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4.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5.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4EE497" w14:textId="5CA22A25" w:rsidR="00736319" w:rsidRPr="00AC1CF3" w:rsidRDefault="00604C44">
      <w:pPr>
        <w:pStyle w:val="Title"/>
        <w:pBdr>
          <w:bottom w:val="single" w:sz="4" w:space="1" w:color="auto"/>
        </w:pBdr>
        <w:rPr>
          <w:sz w:val="68"/>
          <w:szCs w:val="68"/>
        </w:rPr>
      </w:pPr>
      <w:r>
        <w:rPr>
          <w:sz w:val="68"/>
          <w:szCs w:val="68"/>
        </w:rPr>
        <w:t>D</w:t>
      </w:r>
      <w:r w:rsidR="00D0393D" w:rsidRPr="000B65C7">
        <w:rPr>
          <w:sz w:val="68"/>
          <w:szCs w:val="68"/>
        </w:rPr>
        <w:t xml:space="preserve">raft </w:t>
      </w:r>
      <w:r w:rsidR="00D0393D" w:rsidRPr="00AC1CF3">
        <w:rPr>
          <w:sz w:val="68"/>
          <w:szCs w:val="68"/>
        </w:rPr>
        <w:t xml:space="preserve">risk analysis report </w:t>
      </w:r>
      <w:r w:rsidR="00964C19" w:rsidRPr="00AC1CF3">
        <w:rPr>
          <w:sz w:val="68"/>
          <w:szCs w:val="68"/>
        </w:rPr>
        <w:t xml:space="preserve">for the release of </w:t>
      </w:r>
      <w:r w:rsidR="000B65C7" w:rsidRPr="000B65C7">
        <w:rPr>
          <w:i/>
          <w:iCs/>
          <w:sz w:val="68"/>
          <w:szCs w:val="68"/>
        </w:rPr>
        <w:t>Stomphastis</w:t>
      </w:r>
      <w:r w:rsidR="000B65C7">
        <w:rPr>
          <w:sz w:val="68"/>
          <w:szCs w:val="68"/>
        </w:rPr>
        <w:t xml:space="preserve"> sp. nov.</w:t>
      </w:r>
      <w:r w:rsidR="00964C19" w:rsidRPr="00AC1CF3">
        <w:rPr>
          <w:sz w:val="68"/>
          <w:szCs w:val="68"/>
        </w:rPr>
        <w:t xml:space="preserve"> for the biological control of </w:t>
      </w:r>
      <w:r w:rsidR="000B65C7" w:rsidRPr="000B65C7">
        <w:rPr>
          <w:i/>
          <w:iCs/>
          <w:sz w:val="68"/>
          <w:szCs w:val="68"/>
        </w:rPr>
        <w:t>Jatropha gossypiifolia</w:t>
      </w:r>
    </w:p>
    <w:p w14:paraId="07A46C25" w14:textId="645426B9" w:rsidR="00736319" w:rsidRDefault="004506FE">
      <w:pPr>
        <w:jc w:val="right"/>
      </w:pPr>
      <w:r>
        <w:t>November</w:t>
      </w:r>
      <w:r w:rsidR="00D0393D" w:rsidRPr="000B65C7">
        <w:t xml:space="preserve"> </w:t>
      </w:r>
      <w:r w:rsidR="000B65C7">
        <w:t>2021</w:t>
      </w:r>
    </w:p>
    <w:p w14:paraId="1ED64FAA" w14:textId="46E547BE" w:rsidR="00736319" w:rsidRDefault="007B0677">
      <w:pPr>
        <w:pStyle w:val="Picture"/>
      </w:pPr>
      <w:r>
        <w:drawing>
          <wp:anchor distT="0" distB="0" distL="114300" distR="114300" simplePos="0" relativeHeight="251659264" behindDoc="0" locked="0" layoutInCell="1" allowOverlap="1" wp14:anchorId="3BA8C220" wp14:editId="29D4A47D">
            <wp:simplePos x="0" y="0"/>
            <wp:positionH relativeFrom="margin">
              <wp:align>left</wp:align>
            </wp:positionH>
            <wp:positionV relativeFrom="paragraph">
              <wp:posOffset>339725</wp:posOffset>
            </wp:positionV>
            <wp:extent cx="4899025" cy="4856480"/>
            <wp:effectExtent l="0" t="0" r="0" b="1270"/>
            <wp:wrapSquare wrapText="right"/>
            <wp:docPr id="1" name="Picture 1" descr="The Australian Government Department of Agriculture Biosecurity Biosphe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Australian Government Department of Agriculture Biosecurity Biospher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899025" cy="485648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EBAF4C4" w14:textId="77777777" w:rsidR="00736319" w:rsidRDefault="00736319">
      <w:pPr>
        <w:pStyle w:val="Picture"/>
        <w:sectPr w:rsidR="00736319">
          <w:headerReference w:type="default" r:id="rId12"/>
          <w:footerReference w:type="default" r:id="rId13"/>
          <w:type w:val="oddPage"/>
          <w:pgSz w:w="11906" w:h="16838"/>
          <w:pgMar w:top="1418" w:right="1418" w:bottom="1418" w:left="1418" w:header="567" w:footer="283" w:gutter="0"/>
          <w:cols w:space="708"/>
          <w:docGrid w:linePitch="360"/>
        </w:sectPr>
      </w:pPr>
    </w:p>
    <w:p w14:paraId="054CCC0A" w14:textId="5A9CB860" w:rsidR="0039271F" w:rsidRDefault="0039271F" w:rsidP="0039271F">
      <w:pPr>
        <w:pStyle w:val="Picture"/>
        <w:rPr>
          <w:noProof w:val="0"/>
          <w:sz w:val="18"/>
          <w:lang w:eastAsia="en-US"/>
        </w:rPr>
      </w:pPr>
      <w:r>
        <w:rPr>
          <w:noProof w:val="0"/>
          <w:sz w:val="18"/>
          <w:lang w:eastAsia="en-US"/>
        </w:rPr>
        <w:lastRenderedPageBreak/>
        <w:t xml:space="preserve">© Commonwealth </w:t>
      </w:r>
      <w:r w:rsidR="00A52A70">
        <w:rPr>
          <w:noProof w:val="0"/>
          <w:sz w:val="18"/>
          <w:lang w:eastAsia="en-US"/>
        </w:rPr>
        <w:t>of Australia 202</w:t>
      </w:r>
      <w:r w:rsidR="00194EAB">
        <w:rPr>
          <w:noProof w:val="0"/>
          <w:sz w:val="18"/>
          <w:lang w:eastAsia="en-US"/>
        </w:rPr>
        <w:t>1</w:t>
      </w:r>
    </w:p>
    <w:p w14:paraId="60E75F7A" w14:textId="77777777" w:rsidR="001F1729" w:rsidRPr="001F1729" w:rsidRDefault="001F1729" w:rsidP="001F1729">
      <w:pPr>
        <w:spacing w:before="60" w:after="60" w:line="240" w:lineRule="auto"/>
        <w:rPr>
          <w:rFonts w:ascii="Calibri" w:hAnsi="Calibri"/>
          <w:b/>
          <w:sz w:val="18"/>
        </w:rPr>
      </w:pPr>
      <w:r w:rsidRPr="001F1729">
        <w:rPr>
          <w:rFonts w:ascii="Calibri" w:hAnsi="Calibri"/>
          <w:b/>
          <w:sz w:val="18"/>
        </w:rPr>
        <w:t>Ownership of intellectual property rights</w:t>
      </w:r>
    </w:p>
    <w:p w14:paraId="2746AE4D" w14:textId="77777777" w:rsidR="001F1729" w:rsidRPr="001F1729" w:rsidRDefault="001F1729" w:rsidP="001F1729">
      <w:pPr>
        <w:spacing w:before="60" w:after="240" w:line="240" w:lineRule="auto"/>
        <w:rPr>
          <w:sz w:val="18"/>
        </w:rPr>
      </w:pPr>
      <w:r w:rsidRPr="001F1729">
        <w:rPr>
          <w:sz w:val="18"/>
        </w:rPr>
        <w:t>Unless otherwise noted, copyright (and any other intellectual property rights, if any) in this publication is owned by the Commonwealth of Australia (referred to as the Commonwealth).</w:t>
      </w:r>
    </w:p>
    <w:p w14:paraId="5D9997CA" w14:textId="77777777" w:rsidR="001F1729" w:rsidRPr="001F1729" w:rsidRDefault="001F1729" w:rsidP="001F1729">
      <w:pPr>
        <w:spacing w:before="60" w:after="60" w:line="240" w:lineRule="auto"/>
        <w:rPr>
          <w:rFonts w:ascii="Calibri" w:hAnsi="Calibri"/>
          <w:b/>
          <w:sz w:val="18"/>
        </w:rPr>
      </w:pPr>
      <w:r w:rsidRPr="001F1729">
        <w:rPr>
          <w:rFonts w:ascii="Calibri" w:hAnsi="Calibri"/>
          <w:b/>
          <w:sz w:val="18"/>
        </w:rPr>
        <w:t>Creative Commons licence</w:t>
      </w:r>
    </w:p>
    <w:p w14:paraId="6860F5B9" w14:textId="77777777" w:rsidR="001F1729" w:rsidRPr="001F1729" w:rsidRDefault="001F1729" w:rsidP="001F1729">
      <w:pPr>
        <w:spacing w:before="60" w:after="240" w:line="240" w:lineRule="auto"/>
        <w:rPr>
          <w:sz w:val="18"/>
        </w:rPr>
      </w:pPr>
      <w:r w:rsidRPr="001F1729">
        <w:rPr>
          <w:sz w:val="18"/>
        </w:rPr>
        <w:t xml:space="preserve">All material in this publication is licensed under a </w:t>
      </w:r>
      <w:hyperlink r:id="rId14" w:history="1">
        <w:r w:rsidRPr="001F1729">
          <w:rPr>
            <w:color w:val="165788"/>
            <w:sz w:val="18"/>
            <w:u w:val="single"/>
          </w:rPr>
          <w:t>Creative Commons Attribution 4.0 International Licence</w:t>
        </w:r>
      </w:hyperlink>
      <w:r w:rsidRPr="001F1729">
        <w:rPr>
          <w:sz w:val="18"/>
        </w:rPr>
        <w:t>, except content supplied by third parties, logos and the Commonwealth Coat of Arms.</w:t>
      </w:r>
    </w:p>
    <w:p w14:paraId="6ABFB623" w14:textId="0A1B0C19" w:rsidR="001F1729" w:rsidRDefault="001F1729" w:rsidP="001F1729">
      <w:pPr>
        <w:spacing w:before="60" w:after="60" w:line="240" w:lineRule="auto"/>
        <w:rPr>
          <w:sz w:val="18"/>
        </w:rPr>
      </w:pPr>
      <w:r w:rsidRPr="001F1729">
        <w:rPr>
          <w:sz w:val="18"/>
        </w:rPr>
        <w:t xml:space="preserve">Inquiries about the licence and any use of this document should be emailed to </w:t>
      </w:r>
      <w:hyperlink r:id="rId15" w:history="1">
        <w:r w:rsidRPr="001F1729">
          <w:rPr>
            <w:color w:val="165788"/>
            <w:sz w:val="18"/>
            <w:u w:val="single"/>
          </w:rPr>
          <w:t>copyright@awe.gov.au</w:t>
        </w:r>
      </w:hyperlink>
      <w:r w:rsidRPr="001F1729">
        <w:rPr>
          <w:sz w:val="18"/>
        </w:rPr>
        <w:t>.</w:t>
      </w:r>
    </w:p>
    <w:p w14:paraId="4AABC963" w14:textId="77777777" w:rsidR="001F1729" w:rsidRPr="001F1729" w:rsidRDefault="001F1729" w:rsidP="001F1729">
      <w:pPr>
        <w:spacing w:before="60" w:after="60" w:line="240" w:lineRule="auto"/>
        <w:rPr>
          <w:sz w:val="18"/>
        </w:rPr>
      </w:pPr>
    </w:p>
    <w:p w14:paraId="6A322C35" w14:textId="48962250" w:rsidR="0039271F" w:rsidRDefault="003615BA" w:rsidP="0039271F">
      <w:pPr>
        <w:pStyle w:val="TableText"/>
        <w:spacing w:after="240"/>
      </w:pPr>
      <w:r w:rsidRPr="00A25AE3">
        <w:rPr>
          <w:noProof/>
          <w:lang w:eastAsia="en-AU"/>
        </w:rPr>
        <w:drawing>
          <wp:inline distT="0" distB="0" distL="0" distR="0" wp14:anchorId="542C157F" wp14:editId="2DCA651F">
            <wp:extent cx="723265" cy="254635"/>
            <wp:effectExtent l="0" t="0" r="635" b="0"/>
            <wp:docPr id="3" name="Picture 1" descr="b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y"/>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723265" cy="254635"/>
                    </a:xfrm>
                    <a:prstGeom prst="rect">
                      <a:avLst/>
                    </a:prstGeom>
                    <a:noFill/>
                    <a:ln>
                      <a:noFill/>
                    </a:ln>
                  </pic:spPr>
                </pic:pic>
              </a:graphicData>
            </a:graphic>
          </wp:inline>
        </w:drawing>
      </w:r>
    </w:p>
    <w:p w14:paraId="4CE0FB70" w14:textId="77777777" w:rsidR="0039271F" w:rsidRDefault="0039271F" w:rsidP="0039271F">
      <w:pPr>
        <w:pStyle w:val="TableText"/>
        <w:rPr>
          <w:rFonts w:ascii="Calibri" w:hAnsi="Calibri"/>
          <w:b/>
        </w:rPr>
      </w:pPr>
      <w:r>
        <w:rPr>
          <w:rFonts w:ascii="Calibri" w:hAnsi="Calibri"/>
          <w:b/>
        </w:rPr>
        <w:t>Cataloguing data</w:t>
      </w:r>
    </w:p>
    <w:p w14:paraId="679711D3" w14:textId="34A11D4A" w:rsidR="00336EB8" w:rsidRPr="00336EB8" w:rsidRDefault="00336EB8" w:rsidP="00336EB8">
      <w:pPr>
        <w:pStyle w:val="TableText"/>
      </w:pPr>
      <w:r w:rsidRPr="00336EB8">
        <w:t xml:space="preserve">This publication (and any material sourced from it) should be attributed as: </w:t>
      </w:r>
      <w:r>
        <w:t>DAWE</w:t>
      </w:r>
      <w:r w:rsidRPr="00336EB8">
        <w:t xml:space="preserve"> 2021, </w:t>
      </w:r>
      <w:r w:rsidR="0056017E">
        <w:rPr>
          <w:i/>
          <w:iCs/>
        </w:rPr>
        <w:t>D</w:t>
      </w:r>
      <w:r w:rsidRPr="00336EB8">
        <w:rPr>
          <w:i/>
        </w:rPr>
        <w:t xml:space="preserve">raft risk analysis report for the release of </w:t>
      </w:r>
      <w:r w:rsidRPr="00336EB8">
        <w:t xml:space="preserve">Stomphastis </w:t>
      </w:r>
      <w:r w:rsidRPr="00336EB8">
        <w:rPr>
          <w:i/>
          <w:iCs/>
        </w:rPr>
        <w:t>sp. nov</w:t>
      </w:r>
      <w:r w:rsidRPr="00336EB8">
        <w:t>.</w:t>
      </w:r>
      <w:r w:rsidRPr="00336EB8">
        <w:rPr>
          <w:i/>
        </w:rPr>
        <w:t xml:space="preserve"> for the biological control of </w:t>
      </w:r>
      <w:r w:rsidRPr="00336EB8">
        <w:t>Jatropha gossypiifolia</w:t>
      </w:r>
      <w:r>
        <w:t>,</w:t>
      </w:r>
      <w:r w:rsidRPr="00336EB8">
        <w:t xml:space="preserve"> Department of Agriculture, Water and the Environment, Canberra.</w:t>
      </w:r>
      <w:r>
        <w:t xml:space="preserve"> </w:t>
      </w:r>
      <w:r w:rsidRPr="00336EB8">
        <w:t xml:space="preserve">CC BY </w:t>
      </w:r>
      <w:r>
        <w:t>4</w:t>
      </w:r>
      <w:r w:rsidRPr="00336EB8">
        <w:t>.0</w:t>
      </w:r>
      <w:r>
        <w:t>.</w:t>
      </w:r>
    </w:p>
    <w:p w14:paraId="2125936D" w14:textId="77777777" w:rsidR="00336EB8" w:rsidRDefault="00336EB8" w:rsidP="00336EB8">
      <w:pPr>
        <w:pStyle w:val="TableText"/>
      </w:pPr>
    </w:p>
    <w:p w14:paraId="6948734E" w14:textId="38F27FEA" w:rsidR="00336EB8" w:rsidRPr="00336EB8" w:rsidRDefault="00336EB8" w:rsidP="00336EB8">
      <w:pPr>
        <w:pStyle w:val="TableText"/>
      </w:pPr>
      <w:r w:rsidRPr="00336EB8">
        <w:t xml:space="preserve">This publication is available at </w:t>
      </w:r>
      <w:hyperlink r:id="rId17" w:history="1">
        <w:r w:rsidR="00D502F4">
          <w:rPr>
            <w:rStyle w:val="Hyperlink"/>
          </w:rPr>
          <w:t>awe.gov.au/biosecurity-trade/policy/risk-analysis/biological-control-agents</w:t>
        </w:r>
      </w:hyperlink>
      <w:r w:rsidRPr="00336EB8">
        <w:t>.</w:t>
      </w:r>
    </w:p>
    <w:p w14:paraId="1B7C6FE6" w14:textId="4FD299A4" w:rsidR="00336EB8" w:rsidRPr="00336EB8" w:rsidRDefault="00336EB8" w:rsidP="00336EB8">
      <w:pPr>
        <w:pStyle w:val="TableText"/>
      </w:pPr>
      <w:r w:rsidRPr="00336EB8">
        <w:t>Department of Agriculture, Water and the Environment</w:t>
      </w:r>
      <w:r w:rsidRPr="00336EB8">
        <w:br/>
        <w:t>GPO Box 858 Canberra ACT 2601</w:t>
      </w:r>
    </w:p>
    <w:p w14:paraId="0FDD8800" w14:textId="77777777" w:rsidR="00336EB8" w:rsidRPr="00336EB8" w:rsidRDefault="00336EB8" w:rsidP="00336EB8">
      <w:pPr>
        <w:pStyle w:val="TableText"/>
      </w:pPr>
      <w:r w:rsidRPr="00336EB8">
        <w:t>Telephone 1800 900 090</w:t>
      </w:r>
    </w:p>
    <w:p w14:paraId="40B71961" w14:textId="77777777" w:rsidR="00336EB8" w:rsidRPr="00336EB8" w:rsidRDefault="00336EB8" w:rsidP="00336EB8">
      <w:pPr>
        <w:pStyle w:val="TableText"/>
      </w:pPr>
      <w:r w:rsidRPr="00336EB8">
        <w:t xml:space="preserve">Web </w:t>
      </w:r>
      <w:hyperlink r:id="rId18" w:history="1">
        <w:r w:rsidRPr="00336EB8">
          <w:rPr>
            <w:rStyle w:val="Hyperlink"/>
          </w:rPr>
          <w:t>awe.gov.au</w:t>
        </w:r>
      </w:hyperlink>
      <w:r w:rsidRPr="00336EB8">
        <w:t xml:space="preserve">  </w:t>
      </w:r>
    </w:p>
    <w:p w14:paraId="4B556C9D" w14:textId="47B90E3D" w:rsidR="00336EB8" w:rsidRDefault="00336EB8" w:rsidP="00336EB8">
      <w:pPr>
        <w:pStyle w:val="TableText"/>
      </w:pPr>
      <w:r w:rsidRPr="00336EB8">
        <w:t xml:space="preserve">Email </w:t>
      </w:r>
      <w:hyperlink r:id="rId19" w:history="1">
        <w:r w:rsidR="00694BF1" w:rsidRPr="00925598">
          <w:rPr>
            <w:rStyle w:val="Hyperlink"/>
          </w:rPr>
          <w:t>plantstakeholders@awe.gov.au</w:t>
        </w:r>
      </w:hyperlink>
      <w:r w:rsidRPr="00336EB8">
        <w:t xml:space="preserve">  </w:t>
      </w:r>
    </w:p>
    <w:p w14:paraId="76F0F1E7" w14:textId="77777777" w:rsidR="00336EB8" w:rsidRPr="00336EB8" w:rsidRDefault="00336EB8" w:rsidP="00336EB8">
      <w:pPr>
        <w:pStyle w:val="TableText"/>
      </w:pPr>
    </w:p>
    <w:p w14:paraId="58D3C86C" w14:textId="77777777" w:rsidR="0039271F" w:rsidRDefault="0039271F" w:rsidP="0039271F">
      <w:pPr>
        <w:pStyle w:val="TableText"/>
        <w:tabs>
          <w:tab w:val="left" w:pos="1641"/>
        </w:tabs>
        <w:rPr>
          <w:rFonts w:ascii="Calibri" w:hAnsi="Calibri"/>
          <w:b/>
        </w:rPr>
      </w:pPr>
      <w:r>
        <w:rPr>
          <w:rFonts w:ascii="Calibri" w:hAnsi="Calibri"/>
          <w:b/>
        </w:rPr>
        <w:t>Liability</w:t>
      </w:r>
      <w:r>
        <w:rPr>
          <w:rFonts w:ascii="Calibri" w:hAnsi="Calibri"/>
          <w:b/>
        </w:rPr>
        <w:tab/>
      </w:r>
    </w:p>
    <w:p w14:paraId="4FBCC514" w14:textId="28D228CD" w:rsidR="0039271F" w:rsidRDefault="0039271F" w:rsidP="0039271F">
      <w:pPr>
        <w:pStyle w:val="TableText"/>
        <w:spacing w:after="240"/>
      </w:pPr>
      <w:r>
        <w:t>The Australian Government acting through the Department of</w:t>
      </w:r>
      <w:r w:rsidR="00BB7782">
        <w:t xml:space="preserve"> </w:t>
      </w:r>
      <w:r w:rsidR="00A52A70" w:rsidRPr="00A52A70">
        <w:t>Agriculture, Water and the Environment</w:t>
      </w:r>
      <w:r w:rsidR="00A52A70">
        <w:t xml:space="preserve"> </w:t>
      </w:r>
      <w:r>
        <w:t>has exercised due care and skill in preparing and compiling the information in this publication. Notwithstanding, the Department of</w:t>
      </w:r>
      <w:r w:rsidR="00BB7782">
        <w:t xml:space="preserve"> </w:t>
      </w:r>
      <w:r w:rsidR="00F82514" w:rsidRPr="00F82514">
        <w:t>Agriculture, Water and the Environment</w:t>
      </w:r>
      <w:r>
        <w:t>, its employees and advisers disclaim all liability, including liability for negligence and for any loss, damage, injury, expense or cost incurred by any person as a result of accessing, using or relying upon any of the information or data in this publication to the maximum extent permitted by law.</w:t>
      </w:r>
    </w:p>
    <w:p w14:paraId="410BD8D0" w14:textId="77777777" w:rsidR="0039271F" w:rsidRDefault="0039271F" w:rsidP="0039271F">
      <w:pPr>
        <w:pStyle w:val="TableText"/>
        <w:rPr>
          <w:rFonts w:ascii="Calibri" w:hAnsi="Calibri"/>
          <w:b/>
        </w:rPr>
      </w:pPr>
      <w:r>
        <w:rPr>
          <w:rFonts w:ascii="Calibri" w:hAnsi="Calibri"/>
          <w:b/>
        </w:rPr>
        <w:t>Stakeholder submissions on draft reports</w:t>
      </w:r>
    </w:p>
    <w:p w14:paraId="7E897861" w14:textId="77777777" w:rsidR="0039271F" w:rsidRDefault="0039271F" w:rsidP="0039271F">
      <w:pPr>
        <w:pStyle w:val="TableText"/>
        <w:spacing w:after="240"/>
      </w:pPr>
      <w:r>
        <w:t xml:space="preserve">This draft report has been issued to give all interested parties an opportunity to comment on relevant technical biosecurity issues, with supporting rationale. A </w:t>
      </w:r>
      <w:r w:rsidRPr="008539FD">
        <w:t>final report</w:t>
      </w:r>
      <w:r>
        <w:t xml:space="preserve"> will then be produced taking into consideration any comments received.</w:t>
      </w:r>
    </w:p>
    <w:p w14:paraId="49870384" w14:textId="77777777" w:rsidR="00D502F4" w:rsidRDefault="0039271F" w:rsidP="0039271F">
      <w:pPr>
        <w:pStyle w:val="TableText"/>
        <w:spacing w:after="240"/>
      </w:pPr>
      <w:r>
        <w:t>Submissions should be sent to the Department of</w:t>
      </w:r>
      <w:r w:rsidR="00BB7782">
        <w:t xml:space="preserve"> </w:t>
      </w:r>
      <w:r w:rsidR="00083279" w:rsidRPr="00083279">
        <w:t xml:space="preserve">Agriculture, Water and the Environment </w:t>
      </w:r>
      <w:r>
        <w:t>following the conditions specified within the related Biosecurity Advice, which is available at:</w:t>
      </w:r>
    </w:p>
    <w:p w14:paraId="7ADC12C0" w14:textId="7B6743AB" w:rsidR="0039271F" w:rsidRDefault="00CD79A5" w:rsidP="0039271F">
      <w:pPr>
        <w:pStyle w:val="TableText"/>
        <w:spacing w:after="240"/>
      </w:pPr>
      <w:hyperlink r:id="rId20" w:history="1">
        <w:r w:rsidR="00551E63" w:rsidRPr="00F36748">
          <w:rPr>
            <w:rStyle w:val="Hyperlink"/>
          </w:rPr>
          <w:t>https://www.awe.gov.au/biosecurity-trade/policy/risk-analysis/memos</w:t>
        </w:r>
      </w:hyperlink>
      <w:r w:rsidR="0039271F">
        <w:t xml:space="preserve">. </w:t>
      </w:r>
    </w:p>
    <w:p w14:paraId="67C85725" w14:textId="77777777" w:rsidR="00736319" w:rsidRDefault="00736319">
      <w:pPr>
        <w:pStyle w:val="TableText"/>
        <w:tabs>
          <w:tab w:val="left" w:pos="1276"/>
        </w:tabs>
      </w:pPr>
    </w:p>
    <w:p w14:paraId="0BC408FA" w14:textId="77777777" w:rsidR="00736319" w:rsidRDefault="00736319">
      <w:pPr>
        <w:pStyle w:val="TableText"/>
        <w:sectPr w:rsidR="00736319">
          <w:headerReference w:type="default" r:id="rId21"/>
          <w:footerReference w:type="default" r:id="rId22"/>
          <w:pgSz w:w="11906" w:h="16838"/>
          <w:pgMar w:top="1418" w:right="1418" w:bottom="1418" w:left="1418" w:header="567" w:footer="283" w:gutter="0"/>
          <w:cols w:space="708"/>
          <w:docGrid w:linePitch="360"/>
        </w:sectPr>
      </w:pPr>
    </w:p>
    <w:p w14:paraId="7A990CD3" w14:textId="77777777" w:rsidR="00736319" w:rsidRDefault="00D0393D">
      <w:pPr>
        <w:pStyle w:val="TOCHeading"/>
      </w:pPr>
      <w:r>
        <w:lastRenderedPageBreak/>
        <w:t>Contents</w:t>
      </w:r>
    </w:p>
    <w:p w14:paraId="3D6D7DF7" w14:textId="7C5210DB" w:rsidR="0043311F" w:rsidRDefault="00736319">
      <w:pPr>
        <w:pStyle w:val="TOC1"/>
        <w:rPr>
          <w:rFonts w:asciiTheme="minorHAnsi" w:eastAsiaTheme="minorEastAsia" w:hAnsiTheme="minorHAnsi" w:cstheme="minorBidi"/>
          <w:b w:val="0"/>
          <w:lang w:eastAsia="en-AU"/>
        </w:rPr>
      </w:pPr>
      <w:r>
        <w:rPr>
          <w:szCs w:val="24"/>
        </w:rPr>
        <w:fldChar w:fldCharType="begin"/>
      </w:r>
      <w:r w:rsidR="00D0393D">
        <w:instrText xml:space="preserve"> TOC \o "1-2" \u </w:instrText>
      </w:r>
      <w:r>
        <w:rPr>
          <w:szCs w:val="24"/>
        </w:rPr>
        <w:fldChar w:fldCharType="separate"/>
      </w:r>
      <w:r w:rsidR="0043311F">
        <w:t>Acronyms and abbreviations</w:t>
      </w:r>
      <w:r w:rsidR="0043311F">
        <w:tab/>
      </w:r>
      <w:r w:rsidR="0043311F">
        <w:fldChar w:fldCharType="begin"/>
      </w:r>
      <w:r w:rsidR="0043311F">
        <w:instrText xml:space="preserve"> PAGEREF _Toc87425130 \h </w:instrText>
      </w:r>
      <w:r w:rsidR="0043311F">
        <w:fldChar w:fldCharType="separate"/>
      </w:r>
      <w:r w:rsidR="0043311F">
        <w:t>v</w:t>
      </w:r>
      <w:r w:rsidR="0043311F">
        <w:fldChar w:fldCharType="end"/>
      </w:r>
    </w:p>
    <w:p w14:paraId="2C864E97" w14:textId="666A71BF" w:rsidR="0043311F" w:rsidRDefault="0043311F">
      <w:pPr>
        <w:pStyle w:val="TOC1"/>
        <w:rPr>
          <w:rFonts w:asciiTheme="minorHAnsi" w:eastAsiaTheme="minorEastAsia" w:hAnsiTheme="minorHAnsi" w:cstheme="minorBidi"/>
          <w:b w:val="0"/>
          <w:lang w:eastAsia="en-AU"/>
        </w:rPr>
      </w:pPr>
      <w:r>
        <w:t>Summary</w:t>
      </w:r>
      <w:r>
        <w:tab/>
      </w:r>
      <w:r>
        <w:fldChar w:fldCharType="begin"/>
      </w:r>
      <w:r>
        <w:instrText xml:space="preserve"> PAGEREF _Toc87425131 \h </w:instrText>
      </w:r>
      <w:r>
        <w:fldChar w:fldCharType="separate"/>
      </w:r>
      <w:r>
        <w:t>1</w:t>
      </w:r>
      <w:r>
        <w:fldChar w:fldCharType="end"/>
      </w:r>
    </w:p>
    <w:p w14:paraId="3781B2E0" w14:textId="7035E411" w:rsidR="0043311F" w:rsidRDefault="0043311F">
      <w:pPr>
        <w:pStyle w:val="TOC1"/>
        <w:rPr>
          <w:rFonts w:asciiTheme="minorHAnsi" w:eastAsiaTheme="minorEastAsia" w:hAnsiTheme="minorHAnsi" w:cstheme="minorBidi"/>
          <w:b w:val="0"/>
          <w:lang w:eastAsia="en-AU"/>
        </w:rPr>
      </w:pPr>
      <w:r>
        <w:t>1</w:t>
      </w:r>
      <w:r>
        <w:rPr>
          <w:rFonts w:asciiTheme="minorHAnsi" w:eastAsiaTheme="minorEastAsia" w:hAnsiTheme="minorHAnsi" w:cstheme="minorBidi"/>
          <w:b w:val="0"/>
          <w:lang w:eastAsia="en-AU"/>
        </w:rPr>
        <w:tab/>
      </w:r>
      <w:r>
        <w:t>Introduction</w:t>
      </w:r>
      <w:r>
        <w:tab/>
      </w:r>
      <w:r>
        <w:fldChar w:fldCharType="begin"/>
      </w:r>
      <w:r>
        <w:instrText xml:space="preserve"> PAGEREF _Toc87425132 \h </w:instrText>
      </w:r>
      <w:r>
        <w:fldChar w:fldCharType="separate"/>
      </w:r>
      <w:r>
        <w:t>2</w:t>
      </w:r>
      <w:r>
        <w:fldChar w:fldCharType="end"/>
      </w:r>
    </w:p>
    <w:p w14:paraId="05B801D0" w14:textId="3B13DEAE" w:rsidR="0043311F" w:rsidRDefault="0043311F">
      <w:pPr>
        <w:pStyle w:val="TOC2"/>
        <w:tabs>
          <w:tab w:val="left" w:pos="1100"/>
        </w:tabs>
        <w:rPr>
          <w:rFonts w:asciiTheme="minorHAnsi" w:eastAsiaTheme="minorEastAsia" w:hAnsiTheme="minorHAnsi" w:cstheme="minorBidi"/>
          <w:lang w:eastAsia="en-AU"/>
        </w:rPr>
      </w:pPr>
      <w:r>
        <w:t>1.1</w:t>
      </w:r>
      <w:r>
        <w:rPr>
          <w:rFonts w:asciiTheme="minorHAnsi" w:eastAsiaTheme="minorEastAsia" w:hAnsiTheme="minorHAnsi" w:cstheme="minorBidi"/>
          <w:lang w:eastAsia="en-AU"/>
        </w:rPr>
        <w:tab/>
      </w:r>
      <w:r>
        <w:t>Australia’s biosecurity policy framework</w:t>
      </w:r>
      <w:r>
        <w:tab/>
      </w:r>
      <w:r>
        <w:fldChar w:fldCharType="begin"/>
      </w:r>
      <w:r>
        <w:instrText xml:space="preserve"> PAGEREF _Toc87425133 \h </w:instrText>
      </w:r>
      <w:r>
        <w:fldChar w:fldCharType="separate"/>
      </w:r>
      <w:r>
        <w:t>2</w:t>
      </w:r>
      <w:r>
        <w:fldChar w:fldCharType="end"/>
      </w:r>
    </w:p>
    <w:p w14:paraId="7F2A3225" w14:textId="6DD4D76B" w:rsidR="0043311F" w:rsidRDefault="0043311F">
      <w:pPr>
        <w:pStyle w:val="TOC2"/>
        <w:tabs>
          <w:tab w:val="left" w:pos="1100"/>
        </w:tabs>
        <w:rPr>
          <w:rFonts w:asciiTheme="minorHAnsi" w:eastAsiaTheme="minorEastAsia" w:hAnsiTheme="minorHAnsi" w:cstheme="minorBidi"/>
          <w:lang w:eastAsia="en-AU"/>
        </w:rPr>
      </w:pPr>
      <w:r>
        <w:t>1.2</w:t>
      </w:r>
      <w:r>
        <w:rPr>
          <w:rFonts w:asciiTheme="minorHAnsi" w:eastAsiaTheme="minorEastAsia" w:hAnsiTheme="minorHAnsi" w:cstheme="minorBidi"/>
          <w:lang w:eastAsia="en-AU"/>
        </w:rPr>
        <w:tab/>
      </w:r>
      <w:r>
        <w:t>This risk analysis</w:t>
      </w:r>
      <w:r>
        <w:tab/>
      </w:r>
      <w:r>
        <w:fldChar w:fldCharType="begin"/>
      </w:r>
      <w:r>
        <w:instrText xml:space="preserve"> PAGEREF _Toc87425134 \h </w:instrText>
      </w:r>
      <w:r>
        <w:fldChar w:fldCharType="separate"/>
      </w:r>
      <w:r>
        <w:t>2</w:t>
      </w:r>
      <w:r>
        <w:fldChar w:fldCharType="end"/>
      </w:r>
    </w:p>
    <w:p w14:paraId="10D2AE61" w14:textId="0BAA2000" w:rsidR="0043311F" w:rsidRDefault="0043311F">
      <w:pPr>
        <w:pStyle w:val="TOC1"/>
        <w:rPr>
          <w:rFonts w:asciiTheme="minorHAnsi" w:eastAsiaTheme="minorEastAsia" w:hAnsiTheme="minorHAnsi" w:cstheme="minorBidi"/>
          <w:b w:val="0"/>
          <w:lang w:eastAsia="en-AU"/>
        </w:rPr>
      </w:pPr>
      <w:r>
        <w:t>2</w:t>
      </w:r>
      <w:r>
        <w:rPr>
          <w:rFonts w:asciiTheme="minorHAnsi" w:eastAsiaTheme="minorEastAsia" w:hAnsiTheme="minorHAnsi" w:cstheme="minorBidi"/>
          <w:b w:val="0"/>
          <w:lang w:eastAsia="en-AU"/>
        </w:rPr>
        <w:tab/>
      </w:r>
      <w:r>
        <w:t>Assessment of off-target risks</w:t>
      </w:r>
      <w:r>
        <w:tab/>
      </w:r>
      <w:r>
        <w:fldChar w:fldCharType="begin"/>
      </w:r>
      <w:r>
        <w:instrText xml:space="preserve"> PAGEREF _Toc87425135 \h </w:instrText>
      </w:r>
      <w:r>
        <w:fldChar w:fldCharType="separate"/>
      </w:r>
      <w:r>
        <w:t>5</w:t>
      </w:r>
      <w:r>
        <w:fldChar w:fldCharType="end"/>
      </w:r>
    </w:p>
    <w:p w14:paraId="7D78794E" w14:textId="747B55BD" w:rsidR="0043311F" w:rsidRDefault="0043311F">
      <w:pPr>
        <w:pStyle w:val="TOC2"/>
        <w:tabs>
          <w:tab w:val="left" w:pos="1100"/>
        </w:tabs>
        <w:rPr>
          <w:rFonts w:asciiTheme="minorHAnsi" w:eastAsiaTheme="minorEastAsia" w:hAnsiTheme="minorHAnsi" w:cstheme="minorBidi"/>
          <w:lang w:eastAsia="en-AU"/>
        </w:rPr>
      </w:pPr>
      <w:r>
        <w:t>2.1</w:t>
      </w:r>
      <w:r>
        <w:rPr>
          <w:rFonts w:asciiTheme="minorHAnsi" w:eastAsiaTheme="minorEastAsia" w:hAnsiTheme="minorHAnsi" w:cstheme="minorBidi"/>
          <w:lang w:eastAsia="en-AU"/>
        </w:rPr>
        <w:tab/>
      </w:r>
      <w:r>
        <w:t>Stage 1: Initiation</w:t>
      </w:r>
      <w:r>
        <w:tab/>
      </w:r>
      <w:r>
        <w:fldChar w:fldCharType="begin"/>
      </w:r>
      <w:r>
        <w:instrText xml:space="preserve"> PAGEREF _Toc87425136 \h </w:instrText>
      </w:r>
      <w:r>
        <w:fldChar w:fldCharType="separate"/>
      </w:r>
      <w:r>
        <w:t>6</w:t>
      </w:r>
      <w:r>
        <w:fldChar w:fldCharType="end"/>
      </w:r>
    </w:p>
    <w:p w14:paraId="11D29CC6" w14:textId="06E56EA1" w:rsidR="0043311F" w:rsidRDefault="0043311F">
      <w:pPr>
        <w:pStyle w:val="TOC2"/>
        <w:tabs>
          <w:tab w:val="left" w:pos="1100"/>
        </w:tabs>
        <w:rPr>
          <w:rFonts w:asciiTheme="minorHAnsi" w:eastAsiaTheme="minorEastAsia" w:hAnsiTheme="minorHAnsi" w:cstheme="minorBidi"/>
          <w:lang w:eastAsia="en-AU"/>
        </w:rPr>
      </w:pPr>
      <w:r>
        <w:t>2.2</w:t>
      </w:r>
      <w:r>
        <w:rPr>
          <w:rFonts w:asciiTheme="minorHAnsi" w:eastAsiaTheme="minorEastAsia" w:hAnsiTheme="minorHAnsi" w:cstheme="minorBidi"/>
          <w:lang w:eastAsia="en-AU"/>
        </w:rPr>
        <w:tab/>
      </w:r>
      <w:r>
        <w:t>Stage 2: Risk assessment</w:t>
      </w:r>
      <w:r>
        <w:tab/>
      </w:r>
      <w:r>
        <w:fldChar w:fldCharType="begin"/>
      </w:r>
      <w:r>
        <w:instrText xml:space="preserve"> PAGEREF _Toc87425137 \h </w:instrText>
      </w:r>
      <w:r>
        <w:fldChar w:fldCharType="separate"/>
      </w:r>
      <w:r>
        <w:t>6</w:t>
      </w:r>
      <w:r>
        <w:fldChar w:fldCharType="end"/>
      </w:r>
    </w:p>
    <w:p w14:paraId="57D52016" w14:textId="4B3591CF" w:rsidR="0043311F" w:rsidRDefault="0043311F">
      <w:pPr>
        <w:pStyle w:val="TOC1"/>
        <w:rPr>
          <w:rFonts w:asciiTheme="minorHAnsi" w:eastAsiaTheme="minorEastAsia" w:hAnsiTheme="minorHAnsi" w:cstheme="minorBidi"/>
          <w:b w:val="0"/>
          <w:lang w:eastAsia="en-AU"/>
        </w:rPr>
      </w:pPr>
      <w:r>
        <w:t>3</w:t>
      </w:r>
      <w:r>
        <w:rPr>
          <w:rFonts w:asciiTheme="minorHAnsi" w:eastAsiaTheme="minorEastAsia" w:hAnsiTheme="minorHAnsi" w:cstheme="minorBidi"/>
          <w:b w:val="0"/>
          <w:lang w:eastAsia="en-AU"/>
        </w:rPr>
        <w:tab/>
      </w:r>
      <w:r>
        <w:t>Draft recommendation on release</w:t>
      </w:r>
      <w:r>
        <w:tab/>
      </w:r>
      <w:r>
        <w:fldChar w:fldCharType="begin"/>
      </w:r>
      <w:r>
        <w:instrText xml:space="preserve"> PAGEREF _Toc87425138 \h </w:instrText>
      </w:r>
      <w:r>
        <w:fldChar w:fldCharType="separate"/>
      </w:r>
      <w:r>
        <w:t>12</w:t>
      </w:r>
      <w:r>
        <w:fldChar w:fldCharType="end"/>
      </w:r>
    </w:p>
    <w:p w14:paraId="263CC2C3" w14:textId="47AF70B9" w:rsidR="0043311F" w:rsidRDefault="0043311F">
      <w:pPr>
        <w:pStyle w:val="TOC1"/>
        <w:rPr>
          <w:rFonts w:asciiTheme="minorHAnsi" w:eastAsiaTheme="minorEastAsia" w:hAnsiTheme="minorHAnsi" w:cstheme="minorBidi"/>
          <w:b w:val="0"/>
          <w:lang w:eastAsia="en-AU"/>
        </w:rPr>
      </w:pPr>
      <w:r>
        <w:t>4</w:t>
      </w:r>
      <w:r>
        <w:rPr>
          <w:rFonts w:asciiTheme="minorHAnsi" w:eastAsiaTheme="minorEastAsia" w:hAnsiTheme="minorHAnsi" w:cstheme="minorBidi"/>
          <w:b w:val="0"/>
          <w:lang w:eastAsia="en-AU"/>
        </w:rPr>
        <w:tab/>
      </w:r>
      <w:r>
        <w:t>Attachment 1</w:t>
      </w:r>
      <w:r>
        <w:tab/>
      </w:r>
      <w:r>
        <w:fldChar w:fldCharType="begin"/>
      </w:r>
      <w:r>
        <w:instrText xml:space="preserve"> PAGEREF _Toc87425139 \h </w:instrText>
      </w:r>
      <w:r>
        <w:fldChar w:fldCharType="separate"/>
      </w:r>
      <w:r>
        <w:t>12</w:t>
      </w:r>
      <w:r>
        <w:fldChar w:fldCharType="end"/>
      </w:r>
    </w:p>
    <w:p w14:paraId="0408735B" w14:textId="5E7A049B" w:rsidR="0043311F" w:rsidRDefault="0043311F">
      <w:pPr>
        <w:pStyle w:val="TOC1"/>
        <w:rPr>
          <w:rFonts w:asciiTheme="minorHAnsi" w:eastAsiaTheme="minorEastAsia" w:hAnsiTheme="minorHAnsi" w:cstheme="minorBidi"/>
          <w:b w:val="0"/>
          <w:lang w:eastAsia="en-AU"/>
        </w:rPr>
      </w:pPr>
      <w:r>
        <w:t>Appendix A: Method for pest risk analysis</w:t>
      </w:r>
      <w:r>
        <w:tab/>
      </w:r>
      <w:r>
        <w:fldChar w:fldCharType="begin"/>
      </w:r>
      <w:r>
        <w:instrText xml:space="preserve"> PAGEREF _Toc87425140 \h </w:instrText>
      </w:r>
      <w:r>
        <w:fldChar w:fldCharType="separate"/>
      </w:r>
      <w:r>
        <w:t>13</w:t>
      </w:r>
      <w:r>
        <w:fldChar w:fldCharType="end"/>
      </w:r>
    </w:p>
    <w:p w14:paraId="533E2C98" w14:textId="12E3B497" w:rsidR="0043311F" w:rsidRDefault="0043311F">
      <w:pPr>
        <w:pStyle w:val="TOC2"/>
        <w:rPr>
          <w:rFonts w:asciiTheme="minorHAnsi" w:eastAsiaTheme="minorEastAsia" w:hAnsiTheme="minorHAnsi" w:cstheme="minorBidi"/>
          <w:lang w:eastAsia="en-AU"/>
        </w:rPr>
      </w:pPr>
      <w:r>
        <w:t>Stage 1 Initiation</w:t>
      </w:r>
      <w:r>
        <w:tab/>
      </w:r>
      <w:r>
        <w:fldChar w:fldCharType="begin"/>
      </w:r>
      <w:r>
        <w:instrText xml:space="preserve"> PAGEREF _Toc87425141 \h </w:instrText>
      </w:r>
      <w:r>
        <w:fldChar w:fldCharType="separate"/>
      </w:r>
      <w:r>
        <w:t>13</w:t>
      </w:r>
      <w:r>
        <w:fldChar w:fldCharType="end"/>
      </w:r>
    </w:p>
    <w:p w14:paraId="1341A873" w14:textId="71EE083B" w:rsidR="0043311F" w:rsidRDefault="0043311F">
      <w:pPr>
        <w:pStyle w:val="TOC2"/>
        <w:rPr>
          <w:rFonts w:asciiTheme="minorHAnsi" w:eastAsiaTheme="minorEastAsia" w:hAnsiTheme="minorHAnsi" w:cstheme="minorBidi"/>
          <w:lang w:eastAsia="en-AU"/>
        </w:rPr>
      </w:pPr>
      <w:r>
        <w:t>Stage 2 Pest risk assessment</w:t>
      </w:r>
      <w:r>
        <w:tab/>
      </w:r>
      <w:r>
        <w:fldChar w:fldCharType="begin"/>
      </w:r>
      <w:r>
        <w:instrText xml:space="preserve"> PAGEREF _Toc87425142 \h </w:instrText>
      </w:r>
      <w:r>
        <w:fldChar w:fldCharType="separate"/>
      </w:r>
      <w:r>
        <w:t>14</w:t>
      </w:r>
      <w:r>
        <w:fldChar w:fldCharType="end"/>
      </w:r>
    </w:p>
    <w:p w14:paraId="58E80676" w14:textId="54412AA0" w:rsidR="0043311F" w:rsidRDefault="0043311F">
      <w:pPr>
        <w:pStyle w:val="TOC2"/>
        <w:rPr>
          <w:rFonts w:asciiTheme="minorHAnsi" w:eastAsiaTheme="minorEastAsia" w:hAnsiTheme="minorHAnsi" w:cstheme="minorBidi"/>
          <w:lang w:eastAsia="en-AU"/>
        </w:rPr>
      </w:pPr>
      <w:r>
        <w:t>Stage 3 Pest risk management</w:t>
      </w:r>
      <w:r>
        <w:tab/>
      </w:r>
      <w:r>
        <w:fldChar w:fldCharType="begin"/>
      </w:r>
      <w:r>
        <w:instrText xml:space="preserve"> PAGEREF _Toc87425143 \h </w:instrText>
      </w:r>
      <w:r>
        <w:fldChar w:fldCharType="separate"/>
      </w:r>
      <w:r>
        <w:t>21</w:t>
      </w:r>
      <w:r>
        <w:fldChar w:fldCharType="end"/>
      </w:r>
    </w:p>
    <w:p w14:paraId="584CD008" w14:textId="0710A1EB" w:rsidR="0043311F" w:rsidRDefault="0043311F">
      <w:pPr>
        <w:pStyle w:val="TOC1"/>
        <w:rPr>
          <w:rFonts w:asciiTheme="minorHAnsi" w:eastAsiaTheme="minorEastAsia" w:hAnsiTheme="minorHAnsi" w:cstheme="minorBidi"/>
          <w:b w:val="0"/>
          <w:lang w:eastAsia="en-AU"/>
        </w:rPr>
      </w:pPr>
      <w:r>
        <w:t>Glossary</w:t>
      </w:r>
      <w:r>
        <w:tab/>
      </w:r>
      <w:r>
        <w:fldChar w:fldCharType="begin"/>
      </w:r>
      <w:r>
        <w:instrText xml:space="preserve"> PAGEREF _Toc87425144 \h </w:instrText>
      </w:r>
      <w:r>
        <w:fldChar w:fldCharType="separate"/>
      </w:r>
      <w:r>
        <w:t>23</w:t>
      </w:r>
      <w:r>
        <w:fldChar w:fldCharType="end"/>
      </w:r>
    </w:p>
    <w:p w14:paraId="15D5A3B7" w14:textId="07A4BF62" w:rsidR="0043311F" w:rsidRDefault="0043311F">
      <w:pPr>
        <w:pStyle w:val="TOC1"/>
        <w:rPr>
          <w:rFonts w:asciiTheme="minorHAnsi" w:eastAsiaTheme="minorEastAsia" w:hAnsiTheme="minorHAnsi" w:cstheme="minorBidi"/>
          <w:b w:val="0"/>
          <w:lang w:eastAsia="en-AU"/>
        </w:rPr>
      </w:pPr>
      <w:r>
        <w:t>References</w:t>
      </w:r>
      <w:r>
        <w:tab/>
      </w:r>
      <w:r>
        <w:fldChar w:fldCharType="begin"/>
      </w:r>
      <w:r>
        <w:instrText xml:space="preserve"> PAGEREF _Toc87425145 \h </w:instrText>
      </w:r>
      <w:r>
        <w:fldChar w:fldCharType="separate"/>
      </w:r>
      <w:r>
        <w:t>27</w:t>
      </w:r>
      <w:r>
        <w:fldChar w:fldCharType="end"/>
      </w:r>
    </w:p>
    <w:p w14:paraId="057E36BD" w14:textId="3FF67108" w:rsidR="00736319" w:rsidRDefault="00736319">
      <w:pPr>
        <w:pStyle w:val="TOCHeading"/>
      </w:pPr>
      <w:r>
        <w:fldChar w:fldCharType="end"/>
      </w:r>
      <w:r w:rsidR="00D0393D">
        <w:t>Tables</w:t>
      </w:r>
    </w:p>
    <w:p w14:paraId="4B70F921" w14:textId="43027FEA" w:rsidR="00386F3C" w:rsidRDefault="00736319">
      <w:pPr>
        <w:pStyle w:val="TableofFigures"/>
        <w:tabs>
          <w:tab w:val="right" w:leader="dot" w:pos="9060"/>
        </w:tabs>
        <w:rPr>
          <w:rFonts w:asciiTheme="minorHAnsi" w:eastAsiaTheme="minorEastAsia" w:hAnsiTheme="minorHAnsi" w:cstheme="minorBidi"/>
          <w:noProof/>
          <w:lang w:eastAsia="en-AU"/>
        </w:rPr>
      </w:pPr>
      <w:r>
        <w:rPr>
          <w:bCs/>
          <w:szCs w:val="24"/>
        </w:rPr>
        <w:fldChar w:fldCharType="begin"/>
      </w:r>
      <w:r w:rsidR="00D0393D">
        <w:rPr>
          <w:bCs/>
        </w:rPr>
        <w:instrText xml:space="preserve"> TOC \c "Table" </w:instrText>
      </w:r>
      <w:r>
        <w:rPr>
          <w:bCs/>
          <w:szCs w:val="24"/>
        </w:rPr>
        <w:fldChar w:fldCharType="separate"/>
      </w:r>
      <w:r w:rsidR="00386F3C">
        <w:rPr>
          <w:noProof/>
        </w:rPr>
        <w:t>Table 2.1 Risk estimation matrix.</w:t>
      </w:r>
      <w:r w:rsidR="00386F3C">
        <w:rPr>
          <w:noProof/>
        </w:rPr>
        <w:tab/>
      </w:r>
      <w:r w:rsidR="00386F3C">
        <w:rPr>
          <w:noProof/>
        </w:rPr>
        <w:fldChar w:fldCharType="begin"/>
      </w:r>
      <w:r w:rsidR="00386F3C">
        <w:rPr>
          <w:noProof/>
        </w:rPr>
        <w:instrText xml:space="preserve"> PAGEREF _Toc86066030 \h </w:instrText>
      </w:r>
      <w:r w:rsidR="00386F3C">
        <w:rPr>
          <w:noProof/>
        </w:rPr>
      </w:r>
      <w:r w:rsidR="00386F3C">
        <w:rPr>
          <w:noProof/>
        </w:rPr>
        <w:fldChar w:fldCharType="separate"/>
      </w:r>
      <w:r w:rsidR="0043311F">
        <w:rPr>
          <w:noProof/>
        </w:rPr>
        <w:t>5</w:t>
      </w:r>
      <w:r w:rsidR="00386F3C">
        <w:rPr>
          <w:noProof/>
        </w:rPr>
        <w:fldChar w:fldCharType="end"/>
      </w:r>
    </w:p>
    <w:p w14:paraId="599F8FB1" w14:textId="48124C37" w:rsidR="00736319" w:rsidRDefault="00736319">
      <w:pPr>
        <w:pStyle w:val="TOCHeading"/>
      </w:pPr>
      <w:r>
        <w:fldChar w:fldCharType="end"/>
      </w:r>
      <w:r w:rsidR="00D0393D">
        <w:t>Maps</w:t>
      </w:r>
    </w:p>
    <w:p w14:paraId="5E40638B" w14:textId="4FEA19E8" w:rsidR="00386F3C" w:rsidRDefault="00736319">
      <w:pPr>
        <w:pStyle w:val="TableofFigures"/>
        <w:tabs>
          <w:tab w:val="right" w:leader="dot" w:pos="9060"/>
        </w:tabs>
        <w:rPr>
          <w:rFonts w:asciiTheme="minorHAnsi" w:eastAsiaTheme="minorEastAsia" w:hAnsiTheme="minorHAnsi" w:cstheme="minorBidi"/>
          <w:noProof/>
          <w:lang w:eastAsia="en-AU"/>
        </w:rPr>
      </w:pPr>
      <w:r>
        <w:fldChar w:fldCharType="begin"/>
      </w:r>
      <w:r w:rsidR="00D0393D">
        <w:instrText xml:space="preserve"> TOC \c "Map" </w:instrText>
      </w:r>
      <w:r>
        <w:fldChar w:fldCharType="separate"/>
      </w:r>
      <w:r w:rsidR="00386F3C">
        <w:rPr>
          <w:noProof/>
        </w:rPr>
        <w:t>Map 1 Map of Australia</w:t>
      </w:r>
      <w:r w:rsidR="00386F3C">
        <w:rPr>
          <w:noProof/>
        </w:rPr>
        <w:tab/>
      </w:r>
      <w:r w:rsidR="00386F3C">
        <w:rPr>
          <w:noProof/>
        </w:rPr>
        <w:fldChar w:fldCharType="begin"/>
      </w:r>
      <w:r w:rsidR="00386F3C">
        <w:rPr>
          <w:noProof/>
        </w:rPr>
        <w:instrText xml:space="preserve"> PAGEREF _Toc86066031 \h </w:instrText>
      </w:r>
      <w:r w:rsidR="00386F3C">
        <w:rPr>
          <w:noProof/>
        </w:rPr>
      </w:r>
      <w:r w:rsidR="00386F3C">
        <w:rPr>
          <w:noProof/>
        </w:rPr>
        <w:fldChar w:fldCharType="separate"/>
      </w:r>
      <w:r w:rsidR="0043311F">
        <w:rPr>
          <w:noProof/>
        </w:rPr>
        <w:t>iv</w:t>
      </w:r>
      <w:r w:rsidR="00386F3C">
        <w:rPr>
          <w:noProof/>
        </w:rPr>
        <w:fldChar w:fldCharType="end"/>
      </w:r>
    </w:p>
    <w:p w14:paraId="6737B60B" w14:textId="475C5AB3" w:rsidR="00386F3C" w:rsidRDefault="00386F3C">
      <w:pPr>
        <w:pStyle w:val="TableofFigures"/>
        <w:tabs>
          <w:tab w:val="right" w:leader="dot" w:pos="9060"/>
        </w:tabs>
        <w:rPr>
          <w:rFonts w:asciiTheme="minorHAnsi" w:eastAsiaTheme="minorEastAsia" w:hAnsiTheme="minorHAnsi" w:cstheme="minorBidi"/>
          <w:noProof/>
          <w:lang w:eastAsia="en-AU"/>
        </w:rPr>
      </w:pPr>
      <w:r>
        <w:rPr>
          <w:noProof/>
        </w:rPr>
        <w:t>Map 2 A guide to Australia’s bio-climatic zones</w:t>
      </w:r>
      <w:r>
        <w:rPr>
          <w:noProof/>
        </w:rPr>
        <w:tab/>
      </w:r>
      <w:r>
        <w:rPr>
          <w:noProof/>
        </w:rPr>
        <w:fldChar w:fldCharType="begin"/>
      </w:r>
      <w:r>
        <w:rPr>
          <w:noProof/>
        </w:rPr>
        <w:instrText xml:space="preserve"> PAGEREF _Toc86066032 \h </w:instrText>
      </w:r>
      <w:r>
        <w:rPr>
          <w:noProof/>
        </w:rPr>
      </w:r>
      <w:r>
        <w:rPr>
          <w:noProof/>
        </w:rPr>
        <w:fldChar w:fldCharType="separate"/>
      </w:r>
      <w:r w:rsidR="0043311F">
        <w:rPr>
          <w:noProof/>
        </w:rPr>
        <w:t>iv</w:t>
      </w:r>
      <w:r>
        <w:rPr>
          <w:noProof/>
        </w:rPr>
        <w:fldChar w:fldCharType="end"/>
      </w:r>
    </w:p>
    <w:p w14:paraId="0A30FF51" w14:textId="5F4FA913" w:rsidR="00736319" w:rsidRDefault="00736319">
      <w:r>
        <w:fldChar w:fldCharType="end"/>
      </w:r>
      <w:r>
        <w:rPr>
          <w:szCs w:val="24"/>
        </w:rPr>
        <w:fldChar w:fldCharType="begin"/>
      </w:r>
      <w:r w:rsidR="00D0393D">
        <w:instrText xml:space="preserve"> TOC \c "Map" </w:instrText>
      </w:r>
      <w:r>
        <w:rPr>
          <w:szCs w:val="24"/>
        </w:rPr>
        <w:fldChar w:fldCharType="separate"/>
      </w:r>
    </w:p>
    <w:p w14:paraId="14BF6E71" w14:textId="77777777" w:rsidR="00736319" w:rsidRDefault="00736319">
      <w:pPr>
        <w:rPr>
          <w:rFonts w:eastAsia="Times New Roman"/>
        </w:rPr>
        <w:sectPr w:rsidR="00736319">
          <w:headerReference w:type="default" r:id="rId23"/>
          <w:footerReference w:type="default" r:id="rId24"/>
          <w:pgSz w:w="11906" w:h="16838"/>
          <w:pgMar w:top="1418" w:right="1418" w:bottom="1418" w:left="1418" w:header="567" w:footer="283" w:gutter="0"/>
          <w:pgNumType w:fmt="lowerRoman"/>
          <w:cols w:space="708"/>
          <w:docGrid w:linePitch="360"/>
        </w:sectPr>
      </w:pPr>
    </w:p>
    <w:p w14:paraId="0EFC9861" w14:textId="69CB155D" w:rsidR="00736319" w:rsidRDefault="00736319">
      <w:pPr>
        <w:pStyle w:val="Caption"/>
      </w:pPr>
      <w:r>
        <w:lastRenderedPageBreak/>
        <w:fldChar w:fldCharType="end"/>
      </w:r>
      <w:bookmarkStart w:id="1" w:name="_Toc384979272"/>
      <w:bookmarkStart w:id="2" w:name="_Toc384979287"/>
      <w:bookmarkStart w:id="3" w:name="_Toc86066031"/>
      <w:r w:rsidR="00D0393D">
        <w:t xml:space="preserve">Map </w:t>
      </w:r>
      <w:r w:rsidR="00C21661">
        <w:rPr>
          <w:noProof/>
        </w:rPr>
        <w:fldChar w:fldCharType="begin"/>
      </w:r>
      <w:r w:rsidR="00C21661">
        <w:rPr>
          <w:noProof/>
        </w:rPr>
        <w:instrText xml:space="preserve"> SEQ Map \* ARABIC </w:instrText>
      </w:r>
      <w:r w:rsidR="00C21661">
        <w:rPr>
          <w:noProof/>
        </w:rPr>
        <w:fldChar w:fldCharType="separate"/>
      </w:r>
      <w:r w:rsidR="0043311F">
        <w:rPr>
          <w:noProof/>
        </w:rPr>
        <w:t>1</w:t>
      </w:r>
      <w:r w:rsidR="00C21661">
        <w:rPr>
          <w:noProof/>
        </w:rPr>
        <w:fldChar w:fldCharType="end"/>
      </w:r>
      <w:r w:rsidR="00D0393D">
        <w:t xml:space="preserve"> Map of Australia</w:t>
      </w:r>
      <w:bookmarkEnd w:id="1"/>
      <w:bookmarkEnd w:id="2"/>
      <w:bookmarkEnd w:id="3"/>
    </w:p>
    <w:p w14:paraId="0B6E84FA" w14:textId="0C76F855" w:rsidR="00736319" w:rsidRDefault="003615BA">
      <w:r w:rsidRPr="00182039">
        <w:rPr>
          <w:noProof/>
          <w:lang w:eastAsia="en-AU"/>
        </w:rPr>
        <w:drawing>
          <wp:inline distT="0" distB="0" distL="0" distR="0" wp14:anchorId="3A419B1A" wp14:editId="5AA52485">
            <wp:extent cx="4086860" cy="3530600"/>
            <wp:effectExtent l="0" t="0" r="8890" b="0"/>
            <wp:docPr id="4" name="Picture 4" descr="Map of Australia highlighting where the states and territories and capital cities a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ap of Australia highlighting where the states and territories and capital cities are"/>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086860" cy="3530600"/>
                    </a:xfrm>
                    <a:prstGeom prst="rect">
                      <a:avLst/>
                    </a:prstGeom>
                    <a:noFill/>
                    <a:ln>
                      <a:noFill/>
                    </a:ln>
                  </pic:spPr>
                </pic:pic>
              </a:graphicData>
            </a:graphic>
          </wp:inline>
        </w:drawing>
      </w:r>
    </w:p>
    <w:p w14:paraId="29F02617" w14:textId="2361A334" w:rsidR="00736319" w:rsidRDefault="00D0393D">
      <w:pPr>
        <w:pStyle w:val="Caption"/>
      </w:pPr>
      <w:bookmarkStart w:id="4" w:name="_Toc384979273"/>
      <w:bookmarkStart w:id="5" w:name="_Toc384979288"/>
      <w:bookmarkStart w:id="6" w:name="_Toc86066032"/>
      <w:r>
        <w:t xml:space="preserve">Map </w:t>
      </w:r>
      <w:r w:rsidR="00C21661">
        <w:rPr>
          <w:noProof/>
        </w:rPr>
        <w:fldChar w:fldCharType="begin"/>
      </w:r>
      <w:r w:rsidR="00C21661">
        <w:rPr>
          <w:noProof/>
        </w:rPr>
        <w:instrText xml:space="preserve"> SEQ Map \* ARABIC </w:instrText>
      </w:r>
      <w:r w:rsidR="00C21661">
        <w:rPr>
          <w:noProof/>
        </w:rPr>
        <w:fldChar w:fldCharType="separate"/>
      </w:r>
      <w:r w:rsidR="0043311F">
        <w:rPr>
          <w:noProof/>
        </w:rPr>
        <w:t>2</w:t>
      </w:r>
      <w:r w:rsidR="00C21661">
        <w:rPr>
          <w:noProof/>
        </w:rPr>
        <w:fldChar w:fldCharType="end"/>
      </w:r>
      <w:r>
        <w:t xml:space="preserve"> A guide to Australia’s bio-climatic zones</w:t>
      </w:r>
      <w:bookmarkEnd w:id="4"/>
      <w:bookmarkEnd w:id="5"/>
      <w:bookmarkEnd w:id="6"/>
    </w:p>
    <w:p w14:paraId="7CF20DD4" w14:textId="563281A8" w:rsidR="00736319" w:rsidRDefault="003615BA">
      <w:pPr>
        <w:pStyle w:val="Caption"/>
      </w:pPr>
      <w:r w:rsidRPr="00182039">
        <w:rPr>
          <w:noProof/>
          <w:lang w:eastAsia="en-AU"/>
        </w:rPr>
        <w:drawing>
          <wp:inline distT="0" distB="0" distL="0" distR="0" wp14:anchorId="01E818DA" wp14:editId="6B2A70B3">
            <wp:extent cx="5104765" cy="3649345"/>
            <wp:effectExtent l="0" t="0" r="635" b="8255"/>
            <wp:docPr id="5" name="Picture 5" descr="Map of Australia showing where the different climate classes are.&#10;There are six climatic classes, these being:&#10;- Equatorial&#10;- Tropical&#10;- Subtropical&#10;- Desert&#10;- Grassland&#10;- Temperate&#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Map of Australia showing where the different climate classes are.&#10;There are six climatic classes, these being:&#10;- Equatorial&#10;- Tropical&#10;- Subtropical&#10;- Desert&#10;- Grassland&#10;- Temperate&#10;"/>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5104765" cy="3649345"/>
                    </a:xfrm>
                    <a:prstGeom prst="rect">
                      <a:avLst/>
                    </a:prstGeom>
                    <a:noFill/>
                    <a:ln>
                      <a:noFill/>
                    </a:ln>
                  </pic:spPr>
                </pic:pic>
              </a:graphicData>
            </a:graphic>
          </wp:inline>
        </w:drawing>
      </w:r>
    </w:p>
    <w:p w14:paraId="6D09772C" w14:textId="77777777" w:rsidR="00736319" w:rsidRDefault="00736319" w:rsidP="00B2543C">
      <w:pPr>
        <w:pStyle w:val="Caption"/>
        <w:sectPr w:rsidR="00736319">
          <w:headerReference w:type="default" r:id="rId27"/>
          <w:pgSz w:w="11906" w:h="16838"/>
          <w:pgMar w:top="1418" w:right="1418" w:bottom="1418" w:left="1418" w:header="567" w:footer="283" w:gutter="0"/>
          <w:pgNumType w:fmt="lowerRoman"/>
          <w:cols w:space="708"/>
          <w:docGrid w:linePitch="360"/>
        </w:sectPr>
      </w:pPr>
    </w:p>
    <w:p w14:paraId="1F2DC840" w14:textId="77777777" w:rsidR="00736319" w:rsidRDefault="00D0393D">
      <w:pPr>
        <w:pStyle w:val="Heading1nonumbers"/>
      </w:pPr>
      <w:bookmarkStart w:id="7" w:name="_Toc87425130"/>
      <w:r>
        <w:lastRenderedPageBreak/>
        <w:t>Acronyms and abbreviations</w:t>
      </w:r>
      <w:bookmarkEnd w:id="7"/>
    </w:p>
    <w:tbl>
      <w:tblPr>
        <w:tblW w:w="5077" w:type="pct"/>
        <w:tblBorders>
          <w:top w:val="single" w:sz="4" w:space="0" w:color="auto"/>
          <w:bottom w:val="single" w:sz="4" w:space="0" w:color="auto"/>
        </w:tblBorders>
        <w:tblLook w:val="04A0" w:firstRow="1" w:lastRow="0" w:firstColumn="1" w:lastColumn="0" w:noHBand="0" w:noVBand="1"/>
      </w:tblPr>
      <w:tblGrid>
        <w:gridCol w:w="2459"/>
        <w:gridCol w:w="6751"/>
      </w:tblGrid>
      <w:tr w:rsidR="00736319" w:rsidRPr="00C92132" w14:paraId="1C6087D4" w14:textId="77777777">
        <w:trPr>
          <w:trHeight w:val="414"/>
          <w:tblHeader/>
        </w:trPr>
        <w:tc>
          <w:tcPr>
            <w:tcW w:w="1335" w:type="pct"/>
          </w:tcPr>
          <w:p w14:paraId="3A67FD11" w14:textId="77777777" w:rsidR="00736319" w:rsidRPr="00C92132" w:rsidRDefault="00D0393D">
            <w:pPr>
              <w:pStyle w:val="TableHeading"/>
            </w:pPr>
            <w:r w:rsidRPr="00C92132">
              <w:t>Term or abbreviation</w:t>
            </w:r>
          </w:p>
        </w:tc>
        <w:tc>
          <w:tcPr>
            <w:tcW w:w="3665" w:type="pct"/>
          </w:tcPr>
          <w:p w14:paraId="42644965" w14:textId="77777777" w:rsidR="00736319" w:rsidRPr="00C92132" w:rsidRDefault="00D0393D">
            <w:pPr>
              <w:pStyle w:val="TableHeading"/>
            </w:pPr>
            <w:r w:rsidRPr="00C92132">
              <w:t>Definition</w:t>
            </w:r>
          </w:p>
        </w:tc>
      </w:tr>
      <w:tr w:rsidR="00736319" w:rsidRPr="00C92132" w14:paraId="0164544B" w14:textId="77777777">
        <w:trPr>
          <w:trHeight w:val="414"/>
        </w:trPr>
        <w:tc>
          <w:tcPr>
            <w:tcW w:w="1335" w:type="pct"/>
          </w:tcPr>
          <w:p w14:paraId="3E478537" w14:textId="77777777" w:rsidR="00736319" w:rsidRPr="00C92132" w:rsidRDefault="00D0393D">
            <w:pPr>
              <w:pStyle w:val="TableText"/>
            </w:pPr>
            <w:r w:rsidRPr="00C92132">
              <w:t>ACT</w:t>
            </w:r>
          </w:p>
        </w:tc>
        <w:tc>
          <w:tcPr>
            <w:tcW w:w="3665" w:type="pct"/>
          </w:tcPr>
          <w:p w14:paraId="58CE6778" w14:textId="77777777" w:rsidR="00736319" w:rsidRPr="00C92132" w:rsidRDefault="00D0393D">
            <w:pPr>
              <w:pStyle w:val="TableText"/>
            </w:pPr>
            <w:r w:rsidRPr="00C92132">
              <w:t>Australian Capital Territory</w:t>
            </w:r>
          </w:p>
        </w:tc>
      </w:tr>
      <w:tr w:rsidR="00736319" w:rsidRPr="00C92132" w14:paraId="68F54700" w14:textId="77777777">
        <w:trPr>
          <w:trHeight w:val="414"/>
        </w:trPr>
        <w:tc>
          <w:tcPr>
            <w:tcW w:w="1335" w:type="pct"/>
          </w:tcPr>
          <w:p w14:paraId="010271BB" w14:textId="77777777" w:rsidR="00736319" w:rsidRPr="00C92132" w:rsidRDefault="00D0393D">
            <w:pPr>
              <w:pStyle w:val="TableText"/>
            </w:pPr>
            <w:r w:rsidRPr="00C92132">
              <w:t>ALOP</w:t>
            </w:r>
          </w:p>
        </w:tc>
        <w:tc>
          <w:tcPr>
            <w:tcW w:w="3665" w:type="pct"/>
          </w:tcPr>
          <w:p w14:paraId="55D1B40D" w14:textId="77777777" w:rsidR="00736319" w:rsidRPr="00C92132" w:rsidRDefault="00D0393D">
            <w:pPr>
              <w:pStyle w:val="TableText"/>
            </w:pPr>
            <w:r w:rsidRPr="00C92132">
              <w:t>Appropriate level of protection</w:t>
            </w:r>
          </w:p>
        </w:tc>
      </w:tr>
      <w:tr w:rsidR="00736319" w:rsidRPr="00C92132" w14:paraId="4C11BBA7" w14:textId="77777777">
        <w:trPr>
          <w:trHeight w:val="414"/>
        </w:trPr>
        <w:tc>
          <w:tcPr>
            <w:tcW w:w="1335" w:type="pct"/>
          </w:tcPr>
          <w:p w14:paraId="24B1A84A" w14:textId="77777777" w:rsidR="00006924" w:rsidRPr="00C92132" w:rsidRDefault="00D0393D">
            <w:pPr>
              <w:pStyle w:val="TableText"/>
            </w:pPr>
            <w:r w:rsidRPr="00C92132">
              <w:t>BA</w:t>
            </w:r>
          </w:p>
        </w:tc>
        <w:tc>
          <w:tcPr>
            <w:tcW w:w="3665" w:type="pct"/>
          </w:tcPr>
          <w:p w14:paraId="4E91D7D4" w14:textId="77777777" w:rsidR="00AC1CF3" w:rsidRPr="00C92132" w:rsidRDefault="00D0393D">
            <w:pPr>
              <w:pStyle w:val="TableText"/>
            </w:pPr>
            <w:r w:rsidRPr="00C92132">
              <w:t>Biosecurity Advice</w:t>
            </w:r>
          </w:p>
        </w:tc>
      </w:tr>
      <w:tr w:rsidR="003F28C7" w:rsidRPr="00C92132" w14:paraId="6E6179BE" w14:textId="77777777">
        <w:trPr>
          <w:trHeight w:val="414"/>
        </w:trPr>
        <w:tc>
          <w:tcPr>
            <w:tcW w:w="1335" w:type="pct"/>
          </w:tcPr>
          <w:p w14:paraId="5F58D520" w14:textId="77777777" w:rsidR="003F28C7" w:rsidRPr="00C92132" w:rsidRDefault="003F28C7">
            <w:pPr>
              <w:pStyle w:val="TableText"/>
            </w:pPr>
            <w:r>
              <w:t>BCA</w:t>
            </w:r>
          </w:p>
        </w:tc>
        <w:tc>
          <w:tcPr>
            <w:tcW w:w="3665" w:type="pct"/>
          </w:tcPr>
          <w:p w14:paraId="6DF51632" w14:textId="77777777" w:rsidR="003F28C7" w:rsidRPr="00C92132" w:rsidRDefault="003F28C7">
            <w:pPr>
              <w:pStyle w:val="TableText"/>
            </w:pPr>
            <w:r>
              <w:t>Biological Control Agent</w:t>
            </w:r>
          </w:p>
        </w:tc>
      </w:tr>
      <w:tr w:rsidR="000E28D3" w:rsidRPr="00C92132" w14:paraId="1D4C0236" w14:textId="77777777">
        <w:trPr>
          <w:trHeight w:val="414"/>
        </w:trPr>
        <w:tc>
          <w:tcPr>
            <w:tcW w:w="1335" w:type="pct"/>
          </w:tcPr>
          <w:p w14:paraId="2C885859" w14:textId="77777777" w:rsidR="000E28D3" w:rsidRDefault="000E28D3">
            <w:pPr>
              <w:pStyle w:val="TableText"/>
            </w:pPr>
            <w:r>
              <w:t>BICON</w:t>
            </w:r>
          </w:p>
        </w:tc>
        <w:tc>
          <w:tcPr>
            <w:tcW w:w="3665" w:type="pct"/>
          </w:tcPr>
          <w:p w14:paraId="05B21E96" w14:textId="77777777" w:rsidR="000E28D3" w:rsidRDefault="000E28D3" w:rsidP="00953860">
            <w:pPr>
              <w:pStyle w:val="TableText"/>
            </w:pPr>
            <w:r w:rsidRPr="00C92132">
              <w:t xml:space="preserve">The Australian Department of </w:t>
            </w:r>
            <w:r w:rsidR="00953860" w:rsidRPr="00953860">
              <w:t xml:space="preserve">Agriculture, Water and the Environment </w:t>
            </w:r>
            <w:r>
              <w:t>Biosecurity</w:t>
            </w:r>
            <w:r w:rsidRPr="00C92132">
              <w:t xml:space="preserve"> Import Conditions database</w:t>
            </w:r>
          </w:p>
        </w:tc>
      </w:tr>
      <w:tr w:rsidR="00851E8C" w:rsidRPr="00C92132" w14:paraId="60051F63" w14:textId="77777777">
        <w:trPr>
          <w:trHeight w:val="414"/>
        </w:trPr>
        <w:tc>
          <w:tcPr>
            <w:tcW w:w="1335" w:type="pct"/>
          </w:tcPr>
          <w:p w14:paraId="07FDA16B" w14:textId="77777777" w:rsidR="00851E8C" w:rsidRPr="00C92132" w:rsidRDefault="00851E8C">
            <w:pPr>
              <w:pStyle w:val="TableText"/>
            </w:pPr>
            <w:r>
              <w:t>BIRA</w:t>
            </w:r>
          </w:p>
        </w:tc>
        <w:tc>
          <w:tcPr>
            <w:tcW w:w="3665" w:type="pct"/>
          </w:tcPr>
          <w:p w14:paraId="28264A82" w14:textId="77777777" w:rsidR="00851E8C" w:rsidRPr="00C92132" w:rsidRDefault="00851E8C">
            <w:pPr>
              <w:pStyle w:val="TableText"/>
            </w:pPr>
            <w:r>
              <w:t>Biosecurity Import Risk Analysis</w:t>
            </w:r>
          </w:p>
        </w:tc>
      </w:tr>
      <w:tr w:rsidR="00736319" w:rsidRPr="00C92132" w14:paraId="661C96DB" w14:textId="77777777">
        <w:trPr>
          <w:trHeight w:val="414"/>
        </w:trPr>
        <w:tc>
          <w:tcPr>
            <w:tcW w:w="1335" w:type="pct"/>
          </w:tcPr>
          <w:p w14:paraId="3F9201B7" w14:textId="77777777" w:rsidR="00736319" w:rsidRPr="00C92132" w:rsidRDefault="00D0393D">
            <w:pPr>
              <w:pStyle w:val="TableText"/>
            </w:pPr>
            <w:r w:rsidRPr="00C92132">
              <w:t>CSIRO</w:t>
            </w:r>
          </w:p>
        </w:tc>
        <w:tc>
          <w:tcPr>
            <w:tcW w:w="3665" w:type="pct"/>
          </w:tcPr>
          <w:p w14:paraId="5F58A0C5" w14:textId="77777777" w:rsidR="00736319" w:rsidRPr="00C92132" w:rsidRDefault="00D0393D">
            <w:pPr>
              <w:pStyle w:val="TableText"/>
            </w:pPr>
            <w:r w:rsidRPr="00C92132">
              <w:t>Commonwealth Scientific and Industrial Research Organisation</w:t>
            </w:r>
          </w:p>
        </w:tc>
      </w:tr>
      <w:tr w:rsidR="00736319" w:rsidRPr="00C92132" w14:paraId="034B0840" w14:textId="77777777">
        <w:trPr>
          <w:trHeight w:val="414"/>
        </w:trPr>
        <w:tc>
          <w:tcPr>
            <w:tcW w:w="1335" w:type="pct"/>
          </w:tcPr>
          <w:p w14:paraId="71D441F9" w14:textId="77777777" w:rsidR="00736319" w:rsidRPr="00C92132" w:rsidRDefault="00D0393D">
            <w:pPr>
              <w:pStyle w:val="TableText"/>
            </w:pPr>
            <w:r w:rsidRPr="00C92132">
              <w:t>FAO</w:t>
            </w:r>
          </w:p>
        </w:tc>
        <w:tc>
          <w:tcPr>
            <w:tcW w:w="3665" w:type="pct"/>
          </w:tcPr>
          <w:p w14:paraId="76F3D54E" w14:textId="77777777" w:rsidR="00736319" w:rsidRPr="00C92132" w:rsidRDefault="00D0393D">
            <w:pPr>
              <w:pStyle w:val="TableText"/>
            </w:pPr>
            <w:r w:rsidRPr="00C92132">
              <w:t>Food and Agriculture Organization of the United Nations</w:t>
            </w:r>
          </w:p>
        </w:tc>
      </w:tr>
      <w:tr w:rsidR="00736319" w:rsidRPr="00C92132" w14:paraId="4E660B1F" w14:textId="77777777">
        <w:trPr>
          <w:trHeight w:val="414"/>
        </w:trPr>
        <w:tc>
          <w:tcPr>
            <w:tcW w:w="1335" w:type="pct"/>
          </w:tcPr>
          <w:p w14:paraId="70883CEA" w14:textId="77777777" w:rsidR="00736319" w:rsidRPr="00C92132" w:rsidRDefault="00D0393D">
            <w:pPr>
              <w:pStyle w:val="TableText"/>
            </w:pPr>
            <w:r w:rsidRPr="00C92132">
              <w:t>IPC</w:t>
            </w:r>
          </w:p>
        </w:tc>
        <w:tc>
          <w:tcPr>
            <w:tcW w:w="3665" w:type="pct"/>
          </w:tcPr>
          <w:p w14:paraId="3595C9A8" w14:textId="77777777" w:rsidR="00736319" w:rsidRPr="00C92132" w:rsidRDefault="00D0393D">
            <w:pPr>
              <w:pStyle w:val="TableText"/>
            </w:pPr>
            <w:r w:rsidRPr="00C92132">
              <w:t>International Phytosanitary Certificate</w:t>
            </w:r>
          </w:p>
        </w:tc>
      </w:tr>
      <w:tr w:rsidR="00736319" w:rsidRPr="00C92132" w14:paraId="33438CEE" w14:textId="77777777">
        <w:trPr>
          <w:trHeight w:val="414"/>
        </w:trPr>
        <w:tc>
          <w:tcPr>
            <w:tcW w:w="1335" w:type="pct"/>
          </w:tcPr>
          <w:p w14:paraId="3BC57CFA" w14:textId="77777777" w:rsidR="00736319" w:rsidRPr="00C92132" w:rsidRDefault="00D0393D">
            <w:pPr>
              <w:pStyle w:val="TableText"/>
            </w:pPr>
            <w:r w:rsidRPr="00C92132">
              <w:t>IPPC</w:t>
            </w:r>
          </w:p>
        </w:tc>
        <w:tc>
          <w:tcPr>
            <w:tcW w:w="3665" w:type="pct"/>
          </w:tcPr>
          <w:p w14:paraId="22585F0F" w14:textId="77777777" w:rsidR="00736319" w:rsidRPr="00C92132" w:rsidRDefault="00D0393D">
            <w:pPr>
              <w:pStyle w:val="TableText"/>
            </w:pPr>
            <w:r w:rsidRPr="00C92132">
              <w:t>International Plant Protection Convention</w:t>
            </w:r>
          </w:p>
        </w:tc>
      </w:tr>
      <w:tr w:rsidR="00736319" w:rsidRPr="00C92132" w14:paraId="4D7ADF7A" w14:textId="77777777">
        <w:trPr>
          <w:trHeight w:val="414"/>
        </w:trPr>
        <w:tc>
          <w:tcPr>
            <w:tcW w:w="1335" w:type="pct"/>
          </w:tcPr>
          <w:p w14:paraId="41824F11" w14:textId="77777777" w:rsidR="00736319" w:rsidRPr="00C92132" w:rsidRDefault="00D0393D">
            <w:pPr>
              <w:pStyle w:val="TableText"/>
            </w:pPr>
            <w:r w:rsidRPr="00C92132">
              <w:t>ISPM</w:t>
            </w:r>
          </w:p>
        </w:tc>
        <w:tc>
          <w:tcPr>
            <w:tcW w:w="3665" w:type="pct"/>
          </w:tcPr>
          <w:p w14:paraId="3F201964" w14:textId="77777777" w:rsidR="00736319" w:rsidRPr="00C92132" w:rsidRDefault="00D0393D">
            <w:pPr>
              <w:pStyle w:val="TableText"/>
            </w:pPr>
            <w:r w:rsidRPr="00C92132">
              <w:t>International Standard for Phytosanitary Measures</w:t>
            </w:r>
          </w:p>
        </w:tc>
      </w:tr>
      <w:tr w:rsidR="00736319" w:rsidRPr="00C92132" w14:paraId="373D8BE2" w14:textId="77777777">
        <w:trPr>
          <w:trHeight w:val="414"/>
        </w:trPr>
        <w:tc>
          <w:tcPr>
            <w:tcW w:w="1335" w:type="pct"/>
          </w:tcPr>
          <w:p w14:paraId="7DDC3677" w14:textId="77777777" w:rsidR="00736319" w:rsidRPr="00C92132" w:rsidRDefault="00D0393D">
            <w:pPr>
              <w:pStyle w:val="TableText"/>
            </w:pPr>
            <w:r w:rsidRPr="00C92132">
              <w:t>NSW</w:t>
            </w:r>
          </w:p>
        </w:tc>
        <w:tc>
          <w:tcPr>
            <w:tcW w:w="3665" w:type="pct"/>
          </w:tcPr>
          <w:p w14:paraId="042269B2" w14:textId="77777777" w:rsidR="00736319" w:rsidRPr="00C92132" w:rsidRDefault="00D0393D">
            <w:pPr>
              <w:pStyle w:val="TableText"/>
            </w:pPr>
            <w:r w:rsidRPr="00C92132">
              <w:t>New South Wales</w:t>
            </w:r>
          </w:p>
        </w:tc>
      </w:tr>
      <w:tr w:rsidR="00736319" w:rsidRPr="00C92132" w14:paraId="0FE5278E" w14:textId="77777777">
        <w:trPr>
          <w:trHeight w:val="414"/>
        </w:trPr>
        <w:tc>
          <w:tcPr>
            <w:tcW w:w="1335" w:type="pct"/>
          </w:tcPr>
          <w:p w14:paraId="4F2C3C1C" w14:textId="77777777" w:rsidR="00736319" w:rsidRPr="00C92132" w:rsidRDefault="00D0393D">
            <w:pPr>
              <w:pStyle w:val="TableText"/>
            </w:pPr>
            <w:r w:rsidRPr="00C92132">
              <w:t>NPPO</w:t>
            </w:r>
          </w:p>
        </w:tc>
        <w:tc>
          <w:tcPr>
            <w:tcW w:w="3665" w:type="pct"/>
          </w:tcPr>
          <w:p w14:paraId="6F0AE44C" w14:textId="77777777" w:rsidR="00736319" w:rsidRPr="00C92132" w:rsidRDefault="00D0393D">
            <w:pPr>
              <w:pStyle w:val="TableText"/>
            </w:pPr>
            <w:r w:rsidRPr="00C92132">
              <w:t>National Plant Protection Organisation</w:t>
            </w:r>
          </w:p>
        </w:tc>
      </w:tr>
      <w:tr w:rsidR="00736319" w:rsidRPr="00C92132" w14:paraId="0A8EAA72" w14:textId="77777777">
        <w:trPr>
          <w:trHeight w:val="414"/>
        </w:trPr>
        <w:tc>
          <w:tcPr>
            <w:tcW w:w="1335" w:type="pct"/>
          </w:tcPr>
          <w:p w14:paraId="652B3472" w14:textId="77777777" w:rsidR="00736319" w:rsidRPr="00C92132" w:rsidRDefault="00D0393D">
            <w:pPr>
              <w:pStyle w:val="TableText"/>
            </w:pPr>
            <w:r w:rsidRPr="00C92132">
              <w:t>NT</w:t>
            </w:r>
          </w:p>
        </w:tc>
        <w:tc>
          <w:tcPr>
            <w:tcW w:w="3665" w:type="pct"/>
          </w:tcPr>
          <w:p w14:paraId="4587ECA7" w14:textId="77777777" w:rsidR="00736319" w:rsidRPr="00C92132" w:rsidRDefault="00D0393D">
            <w:pPr>
              <w:pStyle w:val="TableText"/>
            </w:pPr>
            <w:r w:rsidRPr="00C92132">
              <w:t>Northern Territory</w:t>
            </w:r>
          </w:p>
        </w:tc>
      </w:tr>
      <w:tr w:rsidR="00736319" w:rsidRPr="00C92132" w14:paraId="71D41FDA" w14:textId="77777777">
        <w:trPr>
          <w:trHeight w:val="414"/>
        </w:trPr>
        <w:tc>
          <w:tcPr>
            <w:tcW w:w="1335" w:type="pct"/>
          </w:tcPr>
          <w:p w14:paraId="1E2DA0D9" w14:textId="77777777" w:rsidR="00736319" w:rsidRPr="00C92132" w:rsidRDefault="00D0393D">
            <w:pPr>
              <w:pStyle w:val="TableText"/>
            </w:pPr>
            <w:r w:rsidRPr="00C92132">
              <w:t>PRA</w:t>
            </w:r>
          </w:p>
        </w:tc>
        <w:tc>
          <w:tcPr>
            <w:tcW w:w="3665" w:type="pct"/>
          </w:tcPr>
          <w:p w14:paraId="5780589B" w14:textId="77777777" w:rsidR="00736319" w:rsidRPr="00C92132" w:rsidRDefault="00D0393D">
            <w:pPr>
              <w:pStyle w:val="TableText"/>
            </w:pPr>
            <w:r w:rsidRPr="00C92132">
              <w:t>Pest risk assessment</w:t>
            </w:r>
          </w:p>
        </w:tc>
      </w:tr>
      <w:tr w:rsidR="00736319" w:rsidRPr="00C92132" w14:paraId="678A6D9D" w14:textId="77777777">
        <w:trPr>
          <w:trHeight w:val="414"/>
        </w:trPr>
        <w:tc>
          <w:tcPr>
            <w:tcW w:w="1335" w:type="pct"/>
          </w:tcPr>
          <w:p w14:paraId="71D6DD76" w14:textId="77777777" w:rsidR="00736319" w:rsidRPr="00C92132" w:rsidRDefault="00D0393D">
            <w:pPr>
              <w:pStyle w:val="TableText"/>
            </w:pPr>
            <w:r w:rsidRPr="00C92132">
              <w:t>Qld</w:t>
            </w:r>
          </w:p>
        </w:tc>
        <w:tc>
          <w:tcPr>
            <w:tcW w:w="3665" w:type="pct"/>
          </w:tcPr>
          <w:p w14:paraId="5AFAEE07" w14:textId="77777777" w:rsidR="00736319" w:rsidRPr="00C92132" w:rsidRDefault="00D0393D">
            <w:pPr>
              <w:pStyle w:val="TableText"/>
            </w:pPr>
            <w:r w:rsidRPr="00C92132">
              <w:t>Queensland</w:t>
            </w:r>
          </w:p>
        </w:tc>
      </w:tr>
      <w:tr w:rsidR="00736319" w:rsidRPr="00C92132" w14:paraId="2763A827" w14:textId="77777777">
        <w:trPr>
          <w:trHeight w:val="414"/>
        </w:trPr>
        <w:tc>
          <w:tcPr>
            <w:tcW w:w="1335" w:type="pct"/>
          </w:tcPr>
          <w:p w14:paraId="449C0F87" w14:textId="77777777" w:rsidR="00736319" w:rsidRPr="00C92132" w:rsidRDefault="00D0393D">
            <w:pPr>
              <w:pStyle w:val="TableText"/>
            </w:pPr>
            <w:r w:rsidRPr="00C92132">
              <w:t>SA</w:t>
            </w:r>
          </w:p>
        </w:tc>
        <w:tc>
          <w:tcPr>
            <w:tcW w:w="3665" w:type="pct"/>
          </w:tcPr>
          <w:p w14:paraId="320C92AC" w14:textId="77777777" w:rsidR="00736319" w:rsidRPr="00C92132" w:rsidRDefault="00D0393D">
            <w:pPr>
              <w:pStyle w:val="TableText"/>
            </w:pPr>
            <w:r w:rsidRPr="00C92132">
              <w:t>South Australia</w:t>
            </w:r>
          </w:p>
        </w:tc>
      </w:tr>
      <w:tr w:rsidR="00736319" w:rsidRPr="00C92132" w14:paraId="5EF45157" w14:textId="77777777">
        <w:trPr>
          <w:trHeight w:val="414"/>
        </w:trPr>
        <w:tc>
          <w:tcPr>
            <w:tcW w:w="1335" w:type="pct"/>
          </w:tcPr>
          <w:p w14:paraId="3536A793" w14:textId="77777777" w:rsidR="00736319" w:rsidRPr="00C92132" w:rsidRDefault="00D0393D">
            <w:pPr>
              <w:pStyle w:val="TableText"/>
            </w:pPr>
            <w:r w:rsidRPr="00C92132">
              <w:t>SPS</w:t>
            </w:r>
            <w:r w:rsidR="005914B9">
              <w:t xml:space="preserve"> Agreement</w:t>
            </w:r>
          </w:p>
        </w:tc>
        <w:tc>
          <w:tcPr>
            <w:tcW w:w="3665" w:type="pct"/>
          </w:tcPr>
          <w:p w14:paraId="0CC79037" w14:textId="77777777" w:rsidR="00736319" w:rsidRPr="00C92132" w:rsidRDefault="005914B9" w:rsidP="005914B9">
            <w:pPr>
              <w:pStyle w:val="TableText"/>
            </w:pPr>
            <w:r>
              <w:t xml:space="preserve">WTO Agreement on the Application of Sanitary </w:t>
            </w:r>
            <w:r w:rsidR="00D0393D" w:rsidRPr="00C92132">
              <w:t>and Phytosanitary</w:t>
            </w:r>
            <w:r>
              <w:t xml:space="preserve"> Measures</w:t>
            </w:r>
          </w:p>
        </w:tc>
      </w:tr>
      <w:tr w:rsidR="00736319" w:rsidRPr="00C92132" w14:paraId="2EB755E0" w14:textId="77777777">
        <w:trPr>
          <w:trHeight w:val="414"/>
        </w:trPr>
        <w:tc>
          <w:tcPr>
            <w:tcW w:w="1335" w:type="pct"/>
          </w:tcPr>
          <w:p w14:paraId="5DE15BC2" w14:textId="77777777" w:rsidR="00736319" w:rsidRPr="00C92132" w:rsidRDefault="00D0393D">
            <w:pPr>
              <w:pStyle w:val="TableText"/>
            </w:pPr>
            <w:r w:rsidRPr="00C92132">
              <w:t>Tas.</w:t>
            </w:r>
          </w:p>
        </w:tc>
        <w:tc>
          <w:tcPr>
            <w:tcW w:w="3665" w:type="pct"/>
          </w:tcPr>
          <w:p w14:paraId="298A038F" w14:textId="77777777" w:rsidR="00736319" w:rsidRPr="00C92132" w:rsidRDefault="00D0393D">
            <w:pPr>
              <w:pStyle w:val="TableText"/>
            </w:pPr>
            <w:r w:rsidRPr="00C92132">
              <w:t>Tasmania</w:t>
            </w:r>
          </w:p>
        </w:tc>
      </w:tr>
      <w:tr w:rsidR="005914B9" w:rsidRPr="00C92132" w14:paraId="11D49D6B" w14:textId="77777777">
        <w:trPr>
          <w:trHeight w:val="414"/>
        </w:trPr>
        <w:tc>
          <w:tcPr>
            <w:tcW w:w="1335" w:type="pct"/>
          </w:tcPr>
          <w:p w14:paraId="4A662C72" w14:textId="77777777" w:rsidR="005914B9" w:rsidRPr="00C92132" w:rsidRDefault="005914B9">
            <w:pPr>
              <w:pStyle w:val="TableText"/>
            </w:pPr>
            <w:r>
              <w:t>the department</w:t>
            </w:r>
          </w:p>
        </w:tc>
        <w:tc>
          <w:tcPr>
            <w:tcW w:w="3665" w:type="pct"/>
          </w:tcPr>
          <w:p w14:paraId="4CC3E27C" w14:textId="77777777" w:rsidR="005914B9" w:rsidRPr="00C92132" w:rsidRDefault="005914B9">
            <w:pPr>
              <w:pStyle w:val="TableText"/>
            </w:pPr>
            <w:r>
              <w:t>The Australian Government Depar</w:t>
            </w:r>
            <w:r w:rsidR="00BB7782">
              <w:t xml:space="preserve">tment of </w:t>
            </w:r>
            <w:r w:rsidR="00953860" w:rsidRPr="00953860">
              <w:t>Agriculture, Water and the Environment</w:t>
            </w:r>
          </w:p>
        </w:tc>
      </w:tr>
      <w:tr w:rsidR="00736319" w:rsidRPr="00C92132" w14:paraId="390C1798" w14:textId="77777777">
        <w:trPr>
          <w:trHeight w:val="414"/>
        </w:trPr>
        <w:tc>
          <w:tcPr>
            <w:tcW w:w="1335" w:type="pct"/>
          </w:tcPr>
          <w:p w14:paraId="24A7DAB4" w14:textId="77777777" w:rsidR="00736319" w:rsidRPr="00C92132" w:rsidRDefault="00D0393D">
            <w:pPr>
              <w:pStyle w:val="TableText"/>
            </w:pPr>
            <w:r w:rsidRPr="00C92132">
              <w:t>Vic.</w:t>
            </w:r>
          </w:p>
        </w:tc>
        <w:tc>
          <w:tcPr>
            <w:tcW w:w="3665" w:type="pct"/>
          </w:tcPr>
          <w:p w14:paraId="567DF425" w14:textId="77777777" w:rsidR="00736319" w:rsidRPr="00C92132" w:rsidRDefault="00D0393D">
            <w:pPr>
              <w:pStyle w:val="TableText"/>
            </w:pPr>
            <w:r w:rsidRPr="00C92132">
              <w:t>Victoria</w:t>
            </w:r>
          </w:p>
        </w:tc>
      </w:tr>
      <w:tr w:rsidR="00736319" w:rsidRPr="00C92132" w14:paraId="56F180BC" w14:textId="77777777">
        <w:trPr>
          <w:trHeight w:val="414"/>
        </w:trPr>
        <w:tc>
          <w:tcPr>
            <w:tcW w:w="1335" w:type="pct"/>
          </w:tcPr>
          <w:p w14:paraId="1FF1E821" w14:textId="77777777" w:rsidR="00736319" w:rsidRPr="00C92132" w:rsidRDefault="00D0393D">
            <w:pPr>
              <w:pStyle w:val="TableText"/>
            </w:pPr>
            <w:r w:rsidRPr="00C92132">
              <w:t>WA</w:t>
            </w:r>
          </w:p>
        </w:tc>
        <w:tc>
          <w:tcPr>
            <w:tcW w:w="3665" w:type="pct"/>
          </w:tcPr>
          <w:p w14:paraId="1E62FF86" w14:textId="77777777" w:rsidR="00736319" w:rsidRPr="00C92132" w:rsidRDefault="00D0393D">
            <w:pPr>
              <w:pStyle w:val="TableText"/>
            </w:pPr>
            <w:r w:rsidRPr="00C92132">
              <w:t>Western Australia</w:t>
            </w:r>
          </w:p>
        </w:tc>
      </w:tr>
      <w:tr w:rsidR="00736319" w:rsidRPr="00C92132" w14:paraId="0C6DCDC8" w14:textId="77777777">
        <w:trPr>
          <w:trHeight w:val="414"/>
        </w:trPr>
        <w:tc>
          <w:tcPr>
            <w:tcW w:w="1335" w:type="pct"/>
          </w:tcPr>
          <w:p w14:paraId="09E489F6" w14:textId="77777777" w:rsidR="00736319" w:rsidRPr="00C92132" w:rsidRDefault="00D0393D">
            <w:pPr>
              <w:pStyle w:val="TableText"/>
            </w:pPr>
            <w:r w:rsidRPr="00C92132">
              <w:t>WTO</w:t>
            </w:r>
          </w:p>
        </w:tc>
        <w:tc>
          <w:tcPr>
            <w:tcW w:w="3665" w:type="pct"/>
          </w:tcPr>
          <w:p w14:paraId="1F8D57CB" w14:textId="77777777" w:rsidR="00736319" w:rsidRPr="00C92132" w:rsidRDefault="00D0393D">
            <w:pPr>
              <w:pStyle w:val="TableText"/>
            </w:pPr>
            <w:r w:rsidRPr="00C92132">
              <w:t>World Trade Organization</w:t>
            </w:r>
          </w:p>
        </w:tc>
      </w:tr>
    </w:tbl>
    <w:p w14:paraId="53972BC9" w14:textId="77777777" w:rsidR="00736319" w:rsidRDefault="00736319"/>
    <w:p w14:paraId="69779948" w14:textId="77777777" w:rsidR="00736319" w:rsidRDefault="00736319">
      <w:pPr>
        <w:sectPr w:rsidR="00736319">
          <w:headerReference w:type="default" r:id="rId28"/>
          <w:pgSz w:w="11906" w:h="16838"/>
          <w:pgMar w:top="1418" w:right="1418" w:bottom="1418" w:left="1418" w:header="567" w:footer="283" w:gutter="0"/>
          <w:pgNumType w:fmt="lowerRoman"/>
          <w:cols w:space="708"/>
          <w:docGrid w:linePitch="360"/>
        </w:sectPr>
      </w:pPr>
    </w:p>
    <w:p w14:paraId="2C404223" w14:textId="77777777" w:rsidR="00736319" w:rsidRDefault="00D0393D">
      <w:pPr>
        <w:pStyle w:val="Heading1nonumbers"/>
      </w:pPr>
      <w:bookmarkStart w:id="8" w:name="_Toc87425131"/>
      <w:r>
        <w:lastRenderedPageBreak/>
        <w:t>Summary</w:t>
      </w:r>
      <w:bookmarkEnd w:id="8"/>
    </w:p>
    <w:p w14:paraId="0D2506C1" w14:textId="33B9C036" w:rsidR="00736319" w:rsidRDefault="00D0393D">
      <w:r>
        <w:t xml:space="preserve">The Department of </w:t>
      </w:r>
      <w:r w:rsidR="00083279" w:rsidRPr="00083279">
        <w:t xml:space="preserve">Agriculture, Water and the Environment </w:t>
      </w:r>
      <w:r>
        <w:t xml:space="preserve">has prepared this </w:t>
      </w:r>
      <w:r w:rsidRPr="00A96B4F">
        <w:t>draft</w:t>
      </w:r>
      <w:r>
        <w:t xml:space="preserve"> report to assess the proposal by </w:t>
      </w:r>
      <w:r w:rsidR="00A96B4F">
        <w:t xml:space="preserve">the </w:t>
      </w:r>
      <w:r w:rsidR="00A96B4F" w:rsidRPr="00A96B4F">
        <w:t>Queensland Department of Agriculture and Fisheries (QDAF)</w:t>
      </w:r>
      <w:r w:rsidR="00A96B4F">
        <w:t xml:space="preserve"> </w:t>
      </w:r>
      <w:r w:rsidR="002C1D03">
        <w:t>to release</w:t>
      </w:r>
      <w:r>
        <w:t xml:space="preserve"> </w:t>
      </w:r>
      <w:r w:rsidR="00E411AF" w:rsidRPr="00E411AF">
        <w:rPr>
          <w:i/>
          <w:iCs/>
        </w:rPr>
        <w:t>Stomphastis</w:t>
      </w:r>
      <w:r w:rsidR="00E411AF">
        <w:t xml:space="preserve"> sp. nov.</w:t>
      </w:r>
      <w:r w:rsidR="002C1D03">
        <w:t xml:space="preserve"> for the biological control of </w:t>
      </w:r>
      <w:r w:rsidR="00E411AF" w:rsidRPr="00E411AF">
        <w:rPr>
          <w:i/>
          <w:iCs/>
        </w:rPr>
        <w:t>Jatropha gossypiifolia</w:t>
      </w:r>
      <w:r w:rsidR="00F518AA">
        <w:t xml:space="preserve"> in Australia</w:t>
      </w:r>
      <w:r>
        <w:t>.</w:t>
      </w:r>
    </w:p>
    <w:p w14:paraId="6080C951" w14:textId="0D5CA413" w:rsidR="00736319" w:rsidRDefault="00D0393D">
      <w:r>
        <w:t xml:space="preserve">This </w:t>
      </w:r>
      <w:r w:rsidRPr="00476607">
        <w:t>draft</w:t>
      </w:r>
      <w:r>
        <w:t xml:space="preserve"> report </w:t>
      </w:r>
      <w:r w:rsidRPr="00476607">
        <w:t>proposes</w:t>
      </w:r>
      <w:r w:rsidR="00C16477">
        <w:t xml:space="preserve"> </w:t>
      </w:r>
      <w:r>
        <w:t xml:space="preserve">that the </w:t>
      </w:r>
      <w:r w:rsidR="008351ED">
        <w:t>release</w:t>
      </w:r>
      <w:r>
        <w:t xml:space="preserve"> of </w:t>
      </w:r>
      <w:bookmarkStart w:id="9" w:name="_Hlk73020668"/>
      <w:r w:rsidR="00476607" w:rsidRPr="00476607">
        <w:rPr>
          <w:i/>
          <w:iCs/>
        </w:rPr>
        <w:t>Stomphastis</w:t>
      </w:r>
      <w:r w:rsidR="00476607" w:rsidRPr="00476607">
        <w:t xml:space="preserve"> sp. nov.</w:t>
      </w:r>
      <w:bookmarkEnd w:id="9"/>
      <w:r w:rsidR="00476607">
        <w:t xml:space="preserve"> </w:t>
      </w:r>
      <w:r w:rsidR="00D22F71" w:rsidRPr="00825CEB">
        <w:t>should</w:t>
      </w:r>
      <w:r w:rsidR="00D22F71">
        <w:t xml:space="preserve"> be permitted</w:t>
      </w:r>
      <w:r w:rsidR="00F518AA">
        <w:t>, subject to standard quarantine conditions associated with the import and release of exotic biological control agents</w:t>
      </w:r>
      <w:r>
        <w:t>.</w:t>
      </w:r>
    </w:p>
    <w:p w14:paraId="47B812E6" w14:textId="4B007552" w:rsidR="00F518AA" w:rsidRDefault="00F518AA">
      <w:r>
        <w:t xml:space="preserve">This </w:t>
      </w:r>
      <w:r w:rsidRPr="008C2B8F">
        <w:t>draft</w:t>
      </w:r>
      <w:r>
        <w:t xml:space="preserve"> report has determined the overall </w:t>
      </w:r>
      <w:r w:rsidR="00083279">
        <w:t>risk</w:t>
      </w:r>
      <w:r>
        <w:t xml:space="preserve"> associated with the release of </w:t>
      </w:r>
      <w:r w:rsidR="008C2B8F" w:rsidRPr="008C2B8F">
        <w:rPr>
          <w:i/>
          <w:iCs/>
        </w:rPr>
        <w:t>Stomphastis</w:t>
      </w:r>
      <w:r w:rsidR="008C2B8F" w:rsidRPr="008C2B8F">
        <w:t xml:space="preserve"> sp. nov.</w:t>
      </w:r>
      <w:r w:rsidR="008C2B8F">
        <w:t xml:space="preserve"> </w:t>
      </w:r>
      <w:r>
        <w:t xml:space="preserve">to be </w:t>
      </w:r>
      <w:r w:rsidR="00482D2E">
        <w:t>Negligible</w:t>
      </w:r>
      <w:r>
        <w:t xml:space="preserve">. A risk estimate of </w:t>
      </w:r>
      <w:r w:rsidR="00482D2E">
        <w:t>Negligible</w:t>
      </w:r>
      <w:r>
        <w:t xml:space="preserve"> </w:t>
      </w:r>
      <w:r w:rsidRPr="00825CEB">
        <w:t>achieves</w:t>
      </w:r>
      <w:r>
        <w:t xml:space="preserve"> Australia’s appropriate level of protection (ALOP).</w:t>
      </w:r>
    </w:p>
    <w:p w14:paraId="7BB9DFA9" w14:textId="652F7051" w:rsidR="00DC44DC" w:rsidRDefault="00DC44DC">
      <w:r w:rsidRPr="00DC44DC">
        <w:t>The assessment of risk to off-target plants included consideration of the testing methodology used and the plant species test list, including non-target species tested in described experiments.</w:t>
      </w:r>
      <w:r>
        <w:t xml:space="preserve"> The biology of </w:t>
      </w:r>
      <w:r w:rsidR="008C2B8F" w:rsidRPr="008C2B8F">
        <w:rPr>
          <w:i/>
          <w:iCs/>
        </w:rPr>
        <w:t>Stomphastis</w:t>
      </w:r>
      <w:r w:rsidR="008C2B8F" w:rsidRPr="008C2B8F">
        <w:t xml:space="preserve"> sp. nov.</w:t>
      </w:r>
      <w:r>
        <w:t xml:space="preserve"> </w:t>
      </w:r>
      <w:r w:rsidR="00825CEB">
        <w:t>was</w:t>
      </w:r>
      <w:r>
        <w:t xml:space="preserve"> also considered.</w:t>
      </w:r>
    </w:p>
    <w:p w14:paraId="24C65BFE" w14:textId="3BC807B7" w:rsidR="00DC44DC" w:rsidRDefault="00DC44DC">
      <w:r>
        <w:t xml:space="preserve">This </w:t>
      </w:r>
      <w:r w:rsidRPr="008C2B8F">
        <w:t>draft</w:t>
      </w:r>
      <w:r>
        <w:t xml:space="preserve"> report also contains details of the risk assessment process used for consideration of potential off-target effects associated with the proposed release of </w:t>
      </w:r>
      <w:r w:rsidR="008C2B8F" w:rsidRPr="008C2B8F">
        <w:rPr>
          <w:i/>
          <w:iCs/>
        </w:rPr>
        <w:t>Stomphastis</w:t>
      </w:r>
      <w:r w:rsidR="008C2B8F" w:rsidRPr="008C2B8F">
        <w:t xml:space="preserve"> sp. nov.</w:t>
      </w:r>
      <w:r w:rsidR="00063F3E">
        <w:t xml:space="preserve"> into the Australian environment.</w:t>
      </w:r>
    </w:p>
    <w:p w14:paraId="68C3F404" w14:textId="66B2E9A8" w:rsidR="00F1386C" w:rsidRDefault="00083279">
      <w:r w:rsidRPr="00083279">
        <w:t xml:space="preserve">There is also an approval process for the import and release of biological control agents under the </w:t>
      </w:r>
      <w:r w:rsidRPr="00083279">
        <w:rPr>
          <w:i/>
        </w:rPr>
        <w:t>Environment Protection and Biodiversity Conservation Act 1999</w:t>
      </w:r>
      <w:r w:rsidRPr="00083279">
        <w:t xml:space="preserve"> within the department. The approval process under that Act will commence upon finalisation of this risk analysis process.</w:t>
      </w:r>
      <w:r w:rsidRPr="00083279">
        <w:rPr>
          <w:highlight w:val="yellow"/>
        </w:rPr>
        <w:t xml:space="preserve"> </w:t>
      </w:r>
    </w:p>
    <w:p w14:paraId="40752800" w14:textId="7AA34186" w:rsidR="00F1386C" w:rsidRDefault="00F1386C">
      <w:r>
        <w:t xml:space="preserve">The application from </w:t>
      </w:r>
      <w:r w:rsidR="008C2B8F">
        <w:t>QDAF</w:t>
      </w:r>
      <w:r>
        <w:t xml:space="preserve"> that was provided to the department has been included with this </w:t>
      </w:r>
      <w:r w:rsidRPr="008C2B8F">
        <w:t>draft</w:t>
      </w:r>
      <w:r>
        <w:t xml:space="preserve"> report (Attachment 1).</w:t>
      </w:r>
    </w:p>
    <w:p w14:paraId="698C6D13" w14:textId="77777777" w:rsidR="00DC44DC" w:rsidRDefault="00DC44DC">
      <w:r>
        <w:t xml:space="preserve"> </w:t>
      </w:r>
    </w:p>
    <w:p w14:paraId="4B417361" w14:textId="77777777" w:rsidR="00F1386C" w:rsidRDefault="00F1386C">
      <w:pPr>
        <w:sectPr w:rsidR="00F1386C">
          <w:headerReference w:type="default" r:id="rId29"/>
          <w:footerReference w:type="default" r:id="rId30"/>
          <w:pgSz w:w="11906" w:h="16838"/>
          <w:pgMar w:top="1418" w:right="1418" w:bottom="1418" w:left="1418" w:header="567" w:footer="283" w:gutter="0"/>
          <w:pgNumType w:start="1"/>
          <w:cols w:space="708"/>
          <w:docGrid w:linePitch="360"/>
        </w:sectPr>
      </w:pPr>
    </w:p>
    <w:p w14:paraId="28F42549" w14:textId="77777777" w:rsidR="00736319" w:rsidRDefault="00D0393D">
      <w:pPr>
        <w:pStyle w:val="Heading1"/>
        <w:numPr>
          <w:ilvl w:val="0"/>
          <w:numId w:val="14"/>
        </w:numPr>
      </w:pPr>
      <w:bookmarkStart w:id="10" w:name="_Toc87425132"/>
      <w:r>
        <w:lastRenderedPageBreak/>
        <w:t>Introduction</w:t>
      </w:r>
      <w:bookmarkEnd w:id="10"/>
    </w:p>
    <w:p w14:paraId="39471B37" w14:textId="77777777" w:rsidR="00736319" w:rsidRDefault="00D0393D">
      <w:pPr>
        <w:pStyle w:val="Heading2"/>
      </w:pPr>
      <w:bookmarkStart w:id="11" w:name="_Toc87425133"/>
      <w:r>
        <w:t>Australia’s biosecurity policy framework</w:t>
      </w:r>
      <w:bookmarkEnd w:id="11"/>
    </w:p>
    <w:p w14:paraId="77EBE192" w14:textId="77777777" w:rsidR="00736319" w:rsidRDefault="00D0393D">
      <w:r>
        <w:t>Australia's biosecurity policies aim to protect Australia against the risks that may arise from exotic pests entering, establishing and spreading in Australia, thereby threatening Australia's unique flora and fauna, as well as those agricultural industries that are relatively free from serious pests.</w:t>
      </w:r>
    </w:p>
    <w:p w14:paraId="2F39A104" w14:textId="77777777" w:rsidR="00C00F7A" w:rsidRPr="00C00F7A" w:rsidRDefault="00C00F7A" w:rsidP="00C00F7A">
      <w:r w:rsidRPr="00C00F7A">
        <w:t>The risk analysis process is an important part of Australia’s biosecurity policies. It enables the Australian Government to formally consider the level of biosecurity risk that may be associated with proposals to import goods</w:t>
      </w:r>
      <w:r w:rsidR="003317F2">
        <w:t xml:space="preserve"> or biological materials</w:t>
      </w:r>
      <w:r w:rsidRPr="00C00F7A">
        <w:t xml:space="preserve"> into Australia. If the biosecurity risks do not achieve the appropriate level of protection (ALOP) for Australia, risk management measures are proposed to reduce the risks to an acceptable level. If the risks cannot be reduced to an acceptable level, the goods</w:t>
      </w:r>
      <w:r w:rsidR="003317F2">
        <w:t xml:space="preserve"> or biological materials</w:t>
      </w:r>
      <w:r w:rsidRPr="00C00F7A">
        <w:t xml:space="preserve"> will not be imported into Australia until suitable measures are identified.</w:t>
      </w:r>
    </w:p>
    <w:p w14:paraId="50E2DD69" w14:textId="77777777" w:rsidR="00C00F7A" w:rsidRPr="00C00F7A" w:rsidRDefault="00C00F7A" w:rsidP="00C00F7A">
      <w:r w:rsidRPr="00C00F7A">
        <w:t xml:space="preserve">Successive Australian Governments have maintained a stringent, but not a zero risk, approach to the management of biosecurity risks. This approach is expressed in terms of the ALOP for Australia, which is defined in the </w:t>
      </w:r>
      <w:r w:rsidRPr="00C00F7A">
        <w:rPr>
          <w:i/>
        </w:rPr>
        <w:t>Biosecurity Act 2015</w:t>
      </w:r>
      <w:r w:rsidRPr="00C00F7A">
        <w:t xml:space="preserve"> as providing a high level of protection aimed at reducing risk to a very low level, but not to zero.</w:t>
      </w:r>
    </w:p>
    <w:p w14:paraId="2A54DF82" w14:textId="666A2A30" w:rsidR="00C00F7A" w:rsidRPr="00C00F7A" w:rsidRDefault="00C00F7A" w:rsidP="00C00F7A">
      <w:r w:rsidRPr="00C00F7A">
        <w:t>Australia’s risk analyses are undertaken by the Department of</w:t>
      </w:r>
      <w:r w:rsidR="00BB7782">
        <w:t xml:space="preserve"> Agriculture</w:t>
      </w:r>
      <w:r w:rsidR="00A00B38">
        <w:t>, Water and the Environment</w:t>
      </w:r>
      <w:r w:rsidRPr="00C00F7A">
        <w:t xml:space="preserve"> using technical and scientific experts in relevant fields and involve consultation with stakeholders at various stages during the process. </w:t>
      </w:r>
    </w:p>
    <w:p w14:paraId="150F5A51" w14:textId="56E4BFD1" w:rsidR="00C00F7A" w:rsidRPr="00C00F7A" w:rsidRDefault="00C00F7A" w:rsidP="00C00F7A">
      <w:r w:rsidRPr="00C00F7A">
        <w:t xml:space="preserve">Further information about Australia’s biosecurity framework is provided in the </w:t>
      </w:r>
      <w:r w:rsidRPr="00C00F7A">
        <w:rPr>
          <w:i/>
          <w:iCs/>
        </w:rPr>
        <w:t>Biosecurity</w:t>
      </w:r>
      <w:r w:rsidRPr="00C00F7A">
        <w:t xml:space="preserve"> </w:t>
      </w:r>
      <w:r w:rsidRPr="00C00F7A">
        <w:rPr>
          <w:i/>
          <w:iCs/>
        </w:rPr>
        <w:t>Import Risk Analysis Guidelines 2016</w:t>
      </w:r>
      <w:r w:rsidRPr="00C00F7A">
        <w:t xml:space="preserve"> located on the </w:t>
      </w:r>
      <w:hyperlink r:id="rId31" w:history="1">
        <w:r w:rsidRPr="00C00F7A">
          <w:rPr>
            <w:rStyle w:val="Hyperlink"/>
          </w:rPr>
          <w:t>Australian Government Department of</w:t>
        </w:r>
        <w:r w:rsidR="00BB7782">
          <w:rPr>
            <w:rStyle w:val="Hyperlink"/>
          </w:rPr>
          <w:t xml:space="preserve"> Agriculture</w:t>
        </w:r>
        <w:r w:rsidR="00E12593">
          <w:rPr>
            <w:rStyle w:val="Hyperlink"/>
          </w:rPr>
          <w:t>, Water and the Environment</w:t>
        </w:r>
        <w:r w:rsidRPr="00C00F7A">
          <w:rPr>
            <w:rStyle w:val="Hyperlink"/>
          </w:rPr>
          <w:t xml:space="preserve"> website</w:t>
        </w:r>
      </w:hyperlink>
      <w:r w:rsidRPr="00C00F7A">
        <w:t>.</w:t>
      </w:r>
    </w:p>
    <w:p w14:paraId="090891F9" w14:textId="77777777" w:rsidR="00736319" w:rsidRDefault="00D0393D">
      <w:pPr>
        <w:pStyle w:val="Heading2"/>
      </w:pPr>
      <w:bookmarkStart w:id="12" w:name="_Toc87425134"/>
      <w:r>
        <w:t>This risk analysis</w:t>
      </w:r>
      <w:bookmarkEnd w:id="12"/>
    </w:p>
    <w:p w14:paraId="28D4A7F1" w14:textId="77777777" w:rsidR="00736319" w:rsidRDefault="00D0393D">
      <w:pPr>
        <w:pStyle w:val="Heading3"/>
      </w:pPr>
      <w:r>
        <w:t>Background</w:t>
      </w:r>
    </w:p>
    <w:p w14:paraId="013BA205" w14:textId="0A00CD08" w:rsidR="00736319" w:rsidRDefault="0053679A">
      <w:r>
        <w:t xml:space="preserve">An application has been submitted by </w:t>
      </w:r>
      <w:r w:rsidR="00360E0A">
        <w:t>QDAF</w:t>
      </w:r>
      <w:r w:rsidR="00D0393D" w:rsidRPr="00360E0A">
        <w:t xml:space="preserve"> </w:t>
      </w:r>
      <w:r w:rsidR="00D0393D">
        <w:t>to</w:t>
      </w:r>
      <w:r>
        <w:t xml:space="preserve"> release a biological control agent (Attachment 1). The </w:t>
      </w:r>
      <w:r w:rsidR="00C86601">
        <w:t xml:space="preserve">identified </w:t>
      </w:r>
      <w:r>
        <w:t xml:space="preserve">biological control agent, </w:t>
      </w:r>
      <w:r w:rsidR="00360E0A" w:rsidRPr="00360E0A">
        <w:rPr>
          <w:i/>
          <w:iCs/>
        </w:rPr>
        <w:t>Stomphastis</w:t>
      </w:r>
      <w:r w:rsidR="00360E0A" w:rsidRPr="00360E0A">
        <w:t xml:space="preserve"> sp. nov.</w:t>
      </w:r>
      <w:r w:rsidR="00360E0A">
        <w:t xml:space="preserve"> </w:t>
      </w:r>
      <w:r>
        <w:t xml:space="preserve">is a </w:t>
      </w:r>
      <w:r w:rsidR="00360E0A">
        <w:t>leaf-mining moth</w:t>
      </w:r>
      <w:r w:rsidRPr="00360E0A">
        <w:t xml:space="preserve"> </w:t>
      </w:r>
      <w:r>
        <w:t xml:space="preserve">proposed for the biological control of </w:t>
      </w:r>
      <w:bookmarkStart w:id="13" w:name="_Hlk73021097"/>
      <w:r w:rsidR="00360E0A" w:rsidRPr="00360E0A">
        <w:rPr>
          <w:i/>
          <w:iCs/>
        </w:rPr>
        <w:t>Jatropha gossypiifolia</w:t>
      </w:r>
      <w:r w:rsidR="00360E0A">
        <w:t xml:space="preserve"> </w:t>
      </w:r>
      <w:bookmarkEnd w:id="13"/>
      <w:r w:rsidR="00360E0A">
        <w:t>(bellyache bush)</w:t>
      </w:r>
      <w:r w:rsidRPr="00360E0A">
        <w:t>.</w:t>
      </w:r>
      <w:r>
        <w:t xml:space="preserve"> The applicant has followed the steps outlined in the </w:t>
      </w:r>
      <w:hyperlink r:id="rId32" w:history="1">
        <w:r w:rsidRPr="0053679A">
          <w:rPr>
            <w:rStyle w:val="Hyperlink"/>
          </w:rPr>
          <w:t>Biosecurity Guidelines</w:t>
        </w:r>
      </w:hyperlink>
      <w:r>
        <w:t xml:space="preserve"> for the Introduction of Exotic Biological Control Agents for the Control of Weeds and Plant Pests.</w:t>
      </w:r>
    </w:p>
    <w:p w14:paraId="28D51545" w14:textId="07AA7503" w:rsidR="002944AB" w:rsidRDefault="002944AB">
      <w:bookmarkStart w:id="14" w:name="_Hlk73094086"/>
      <w:r w:rsidRPr="002944AB">
        <w:rPr>
          <w:i/>
          <w:iCs/>
        </w:rPr>
        <w:t>Jatropha gossypiifolia</w:t>
      </w:r>
      <w:r>
        <w:t xml:space="preserve"> is </w:t>
      </w:r>
      <w:bookmarkEnd w:id="14"/>
      <w:r>
        <w:t>a woody perennial shrub</w:t>
      </w:r>
      <w:r w:rsidR="00905E02">
        <w:t xml:space="preserve">, commonly known as bellyache bush. It is native to </w:t>
      </w:r>
      <w:r w:rsidR="001B3800">
        <w:t xml:space="preserve">Central and South America. </w:t>
      </w:r>
      <w:r w:rsidR="001B3800" w:rsidRPr="001B3800">
        <w:t>In Australia, it is</w:t>
      </w:r>
      <w:r w:rsidR="001B3800">
        <w:t xml:space="preserve"> a </w:t>
      </w:r>
      <w:r w:rsidR="0057766D">
        <w:t>W</w:t>
      </w:r>
      <w:r w:rsidR="001B3800">
        <w:t xml:space="preserve">eed of </w:t>
      </w:r>
      <w:r w:rsidR="0057766D">
        <w:t>N</w:t>
      </w:r>
      <w:r w:rsidR="001B3800">
        <w:t xml:space="preserve">ational </w:t>
      </w:r>
      <w:r w:rsidR="0057766D">
        <w:t>S</w:t>
      </w:r>
      <w:r w:rsidR="001B3800">
        <w:t>ignificance (WONS</w:t>
      </w:r>
      <w:r w:rsidR="0057766D">
        <w:t xml:space="preserve">) found in </w:t>
      </w:r>
      <w:r w:rsidR="001B3800">
        <w:t xml:space="preserve">rangelands in tropical areas, particularly in riparian zones. </w:t>
      </w:r>
      <w:r w:rsidR="001B3800" w:rsidRPr="001B3800">
        <w:rPr>
          <w:i/>
          <w:iCs/>
        </w:rPr>
        <w:t>Jatropha gossypiifolia</w:t>
      </w:r>
      <w:r w:rsidR="001B3800" w:rsidRPr="001B3800">
        <w:t xml:space="preserve"> </w:t>
      </w:r>
      <w:r w:rsidR="001B3800">
        <w:t>has naturalised throughout many areas of Queensland, Western Australia and the Northern Territory</w:t>
      </w:r>
      <w:r w:rsidR="00EF1332">
        <w:t xml:space="preserve"> (Attachment 1)</w:t>
      </w:r>
      <w:r w:rsidR="001B3800">
        <w:t>.</w:t>
      </w:r>
    </w:p>
    <w:p w14:paraId="578CF165" w14:textId="5A7DA353" w:rsidR="00903E2A" w:rsidRPr="002944AB" w:rsidRDefault="00903E2A">
      <w:r w:rsidRPr="00903E2A">
        <w:rPr>
          <w:i/>
          <w:iCs/>
        </w:rPr>
        <w:t>Jatropha gossypiifolia</w:t>
      </w:r>
      <w:r w:rsidRPr="00903E2A">
        <w:t xml:space="preserve"> is</w:t>
      </w:r>
      <w:r>
        <w:t xml:space="preserve"> a</w:t>
      </w:r>
      <w:r w:rsidR="00EF1332">
        <w:t xml:space="preserve"> </w:t>
      </w:r>
      <w:r>
        <w:t>major environmental and agricultural weed in Australia</w:t>
      </w:r>
      <w:r w:rsidR="00EF1332">
        <w:t xml:space="preserve"> that is </w:t>
      </w:r>
      <w:r w:rsidR="00EF1332" w:rsidRPr="00EF1332">
        <w:t>difficult and costly to control</w:t>
      </w:r>
      <w:r>
        <w:t>. It is toxic to both livestock and humans</w:t>
      </w:r>
      <w:r w:rsidR="00EF1332">
        <w:t xml:space="preserve"> and</w:t>
      </w:r>
      <w:r>
        <w:t xml:space="preserve"> forms monocultures, </w:t>
      </w:r>
      <w:r>
        <w:lastRenderedPageBreak/>
        <w:t>preventing growth of pasture species</w:t>
      </w:r>
      <w:r w:rsidR="00EF1332">
        <w:t>. It also</w:t>
      </w:r>
      <w:r>
        <w:t xml:space="preserve"> reduces biodiversity and can cause soil erosion and destabilisation of river banks</w:t>
      </w:r>
      <w:r w:rsidR="00EF1332">
        <w:t xml:space="preserve"> (Attachment 1).</w:t>
      </w:r>
    </w:p>
    <w:p w14:paraId="35D7446A" w14:textId="1A060AC4" w:rsidR="00CD35D6" w:rsidRDefault="004804F1">
      <w:r w:rsidRPr="004804F1">
        <w:rPr>
          <w:i/>
          <w:iCs/>
        </w:rPr>
        <w:t>Stomphastis</w:t>
      </w:r>
      <w:r>
        <w:t xml:space="preserve"> sp. nov. is a small leaf-mining moth native to South America.</w:t>
      </w:r>
      <w:r w:rsidR="00CD35D6">
        <w:t xml:space="preserve"> The most damaging life stage to </w:t>
      </w:r>
      <w:r w:rsidR="00CD35D6" w:rsidRPr="00CD35D6">
        <w:rPr>
          <w:i/>
          <w:iCs/>
        </w:rPr>
        <w:t>J. gossypiifolia</w:t>
      </w:r>
      <w:r w:rsidR="00CD35D6">
        <w:t xml:space="preserve"> are the larvae, which have the potential to rapidly destroy leaves via their mines. Adult moths have a high fecundity and short generation time (Attachment 1).</w:t>
      </w:r>
    </w:p>
    <w:p w14:paraId="49C6CFF0" w14:textId="277B24FA" w:rsidR="00A87250" w:rsidRPr="004804F1" w:rsidRDefault="00CD35D6">
      <w:r>
        <w:t xml:space="preserve">A colony of </w:t>
      </w:r>
      <w:r w:rsidR="008D58AC" w:rsidRPr="008D58AC">
        <w:rPr>
          <w:i/>
          <w:iCs/>
        </w:rPr>
        <w:t>Stomphastis</w:t>
      </w:r>
      <w:r w:rsidR="008D58AC" w:rsidRPr="008D58AC">
        <w:t xml:space="preserve"> sp. nov.</w:t>
      </w:r>
      <w:r w:rsidR="008D58AC">
        <w:t xml:space="preserve"> </w:t>
      </w:r>
      <w:r>
        <w:t xml:space="preserve">was established </w:t>
      </w:r>
      <w:r w:rsidR="008D58AC">
        <w:t xml:space="preserve">in quarantine in Australia </w:t>
      </w:r>
      <w:r>
        <w:t xml:space="preserve">using individuals imported from Peru and </w:t>
      </w:r>
      <w:r w:rsidR="00A01D05">
        <w:t>it was this colony that was used in the host specificity testing reported in the application. I</w:t>
      </w:r>
      <w:r>
        <w:t>f release is approved this colony will be used for mass-rearing and release.</w:t>
      </w:r>
      <w:r w:rsidR="00327AC4">
        <w:t xml:space="preserve"> It is noted that </w:t>
      </w:r>
      <w:r w:rsidR="00327AC4" w:rsidRPr="00327AC4">
        <w:rPr>
          <w:i/>
          <w:iCs/>
        </w:rPr>
        <w:t>Stomphastis</w:t>
      </w:r>
      <w:r w:rsidR="00327AC4">
        <w:t xml:space="preserve"> sp. nov. is currently in the process of being described as a new species and that a full genome sequence has been completed and </w:t>
      </w:r>
      <w:r w:rsidR="00A01D05">
        <w:t>has been</w:t>
      </w:r>
      <w:r w:rsidR="00327AC4">
        <w:t xml:space="preserve"> submitted to GenBank.</w:t>
      </w:r>
    </w:p>
    <w:p w14:paraId="6B240200" w14:textId="77777777" w:rsidR="00736319" w:rsidRDefault="00D0393D">
      <w:pPr>
        <w:pStyle w:val="Heading3"/>
      </w:pPr>
      <w:r>
        <w:t>Scope</w:t>
      </w:r>
    </w:p>
    <w:p w14:paraId="5F6DB5B4" w14:textId="071426B3" w:rsidR="00D00C46" w:rsidRDefault="00A87250">
      <w:r w:rsidRPr="00A87250">
        <w:t>The scope of this risk analysis is to consider the biosecurity risk that may be associated with the release of an exotic biological control agent into the Australian environment</w:t>
      </w:r>
      <w:r w:rsidR="00601359">
        <w:t xml:space="preserve"> </w:t>
      </w:r>
      <w:r w:rsidR="00601359" w:rsidRPr="00601359">
        <w:t>(excluding its external territories)</w:t>
      </w:r>
      <w:r w:rsidRPr="00A87250">
        <w:t>. The primary risk associated with a release of this nature is the possibility of unwanted off-target effects on other species already present in Australia. The Department of</w:t>
      </w:r>
      <w:r w:rsidR="00BB7782">
        <w:t xml:space="preserve"> Agriculture</w:t>
      </w:r>
      <w:r w:rsidR="00E12593">
        <w:t>, Water and the Environment</w:t>
      </w:r>
      <w:r w:rsidRPr="00A87250">
        <w:t xml:space="preserve"> assesses the risk under the </w:t>
      </w:r>
      <w:r w:rsidRPr="00A87250">
        <w:rPr>
          <w:i/>
        </w:rPr>
        <w:t>Biosecurity Act 2015</w:t>
      </w:r>
      <w:r w:rsidRPr="00A87250">
        <w:t xml:space="preserve">. </w:t>
      </w:r>
      <w:r w:rsidR="00E12593" w:rsidRPr="000B3750">
        <w:t>There is also</w:t>
      </w:r>
      <w:r w:rsidRPr="000B3750">
        <w:t xml:space="preserve"> an approval process</w:t>
      </w:r>
      <w:r w:rsidR="00E12593" w:rsidRPr="000B3750">
        <w:t xml:space="preserve"> within the department</w:t>
      </w:r>
      <w:r w:rsidRPr="000B3750">
        <w:t xml:space="preserve"> under the </w:t>
      </w:r>
      <w:r w:rsidRPr="000B3750">
        <w:rPr>
          <w:i/>
        </w:rPr>
        <w:t>Environment Protection and Biodiversity Conservation Act 1999</w:t>
      </w:r>
      <w:r w:rsidRPr="000B3750">
        <w:t xml:space="preserve">. Under section 303EE(4) of the </w:t>
      </w:r>
      <w:r w:rsidRPr="000B3750">
        <w:rPr>
          <w:i/>
        </w:rPr>
        <w:t>Environment Protection and Biodiversity Conservation Act 1999</w:t>
      </w:r>
      <w:r w:rsidRPr="000B3750">
        <w:t xml:space="preserve">, risk analysis reports prepared by the </w:t>
      </w:r>
      <w:r w:rsidR="00A11475" w:rsidRPr="000B3750">
        <w:t>department</w:t>
      </w:r>
      <w:r w:rsidR="00BB7782" w:rsidRPr="000B3750">
        <w:t xml:space="preserve"> </w:t>
      </w:r>
      <w:r w:rsidRPr="000B3750">
        <w:t xml:space="preserve">may be used by the Minister for the Environment in making a determination to include the </w:t>
      </w:r>
      <w:r w:rsidR="003317F2" w:rsidRPr="000B3750">
        <w:t>species</w:t>
      </w:r>
      <w:r w:rsidRPr="000B3750">
        <w:t xml:space="preserve"> on the </w:t>
      </w:r>
      <w:r w:rsidRPr="000B3750">
        <w:rPr>
          <w:i/>
        </w:rPr>
        <w:t>List of specimens taken to be suitable for live import</w:t>
      </w:r>
      <w:r w:rsidRPr="000B3750">
        <w:t>.</w:t>
      </w:r>
      <w:r w:rsidRPr="00A87250">
        <w:t xml:space="preserve"> </w:t>
      </w:r>
    </w:p>
    <w:p w14:paraId="5DC23222" w14:textId="77777777" w:rsidR="00265A5E" w:rsidRDefault="00265A5E">
      <w:r>
        <w:t>Plants that are considered weeds are sometimes</w:t>
      </w:r>
      <w:r w:rsidR="00E45736">
        <w:t xml:space="preserve"> also considered to have value,</w:t>
      </w:r>
      <w:r w:rsidR="00691207">
        <w:t xml:space="preserve"> </w:t>
      </w:r>
      <w:r w:rsidR="00E45736">
        <w:t>f</w:t>
      </w:r>
      <w:r w:rsidR="00691207">
        <w:t xml:space="preserve">or example, </w:t>
      </w:r>
      <w:r w:rsidR="00E45736">
        <w:t xml:space="preserve">for purposes such as </w:t>
      </w:r>
      <w:r w:rsidR="00691207">
        <w:t xml:space="preserve">ornamental </w:t>
      </w:r>
      <w:r w:rsidR="00E45736">
        <w:t>display</w:t>
      </w:r>
      <w:r w:rsidR="00691207">
        <w:t>, traditional medicine, feed for stock</w:t>
      </w:r>
      <w:r w:rsidR="00E45736">
        <w:t>,</w:t>
      </w:r>
      <w:r w:rsidR="00691207">
        <w:t xml:space="preserve"> etc. Consideration</w:t>
      </w:r>
      <w:r w:rsidR="00982940">
        <w:t>s</w:t>
      </w:r>
      <w:r w:rsidR="00691207">
        <w:t xml:space="preserve"> of the benefits</w:t>
      </w:r>
      <w:r w:rsidR="00982940">
        <w:t>,</w:t>
      </w:r>
      <w:r w:rsidR="00691207">
        <w:t xml:space="preserve"> and therefore any</w:t>
      </w:r>
      <w:r w:rsidR="00E45736">
        <w:t xml:space="preserve"> associated</w:t>
      </w:r>
      <w:r w:rsidR="00691207">
        <w:t xml:space="preserve"> concerns about eradication of the target weed species are out of the scope of this analysis.</w:t>
      </w:r>
    </w:p>
    <w:p w14:paraId="7E0A1C56" w14:textId="0EE311B6" w:rsidR="000354C1" w:rsidRDefault="000354C1">
      <w:r>
        <w:t>The Department of Agriculture</w:t>
      </w:r>
      <w:r w:rsidR="00A11475">
        <w:t>, Water and the Environment</w:t>
      </w:r>
      <w:r>
        <w:t xml:space="preserve"> will not commence an assessment to release a biological control agent unless the target has been approved by an appropriate government body. </w:t>
      </w:r>
      <w:r w:rsidR="000B3750" w:rsidRPr="000B3750">
        <w:rPr>
          <w:i/>
          <w:iCs/>
        </w:rPr>
        <w:t>Jatropha gossypiifolia</w:t>
      </w:r>
      <w:r w:rsidR="000B3750" w:rsidRPr="000B3750">
        <w:t xml:space="preserve"> </w:t>
      </w:r>
      <w:r>
        <w:t xml:space="preserve">was approved by </w:t>
      </w:r>
      <w:r w:rsidR="000B3750">
        <w:t>the Standing Committee on Agriculture and Resource Management</w:t>
      </w:r>
      <w:r w:rsidRPr="000B3750">
        <w:t xml:space="preserve"> </w:t>
      </w:r>
      <w:r>
        <w:t xml:space="preserve">in </w:t>
      </w:r>
      <w:r w:rsidR="000B3750">
        <w:t>1999</w:t>
      </w:r>
      <w:r>
        <w:t>.</w:t>
      </w:r>
    </w:p>
    <w:p w14:paraId="64EE1536" w14:textId="644F338E" w:rsidR="00736319" w:rsidRDefault="0091716D">
      <w:pPr>
        <w:pStyle w:val="Heading3"/>
      </w:pPr>
      <w:r>
        <w:t>Associated</w:t>
      </w:r>
      <w:r w:rsidR="00D0393D">
        <w:t xml:space="preserve"> pests</w:t>
      </w:r>
    </w:p>
    <w:p w14:paraId="1CB0B021" w14:textId="0A4B2D44" w:rsidR="00736319" w:rsidRDefault="0091716D">
      <w:r w:rsidRPr="0091716D">
        <w:t xml:space="preserve">There are pests that may arrive with an imported exotic biological control agent. Section 9 of the </w:t>
      </w:r>
      <w:r w:rsidRPr="00275B0E">
        <w:rPr>
          <w:i/>
        </w:rPr>
        <w:t>Biosecurity Act 2015</w:t>
      </w:r>
      <w:r w:rsidRPr="0091716D">
        <w:t xml:space="preserve"> defines a pest as ‘a species, strain or biotype of plant or animal, or a disease agent, that has the potential to cause, either directly or indirectly, harm to: human, animal or plant health; or the environment.’ These pests may include, for example, parasitoids, mites or fungi. Should an application to release a biological control agent be approved, these pests will be addressed by existing operational procedures that apply to the importation and final release of the agent. These procedures include detailed examination of imported material, confirmation of identity, and breeding under containment conditions before release. For this reason, associated pests are not further considered in this risk analysis.</w:t>
      </w:r>
    </w:p>
    <w:p w14:paraId="56C96CEE" w14:textId="6855B5DA" w:rsidR="00AD0D0B" w:rsidRDefault="00AD0D0B">
      <w:pPr>
        <w:pStyle w:val="Heading3"/>
      </w:pPr>
      <w:r>
        <w:lastRenderedPageBreak/>
        <w:t>Consultation</w:t>
      </w:r>
    </w:p>
    <w:p w14:paraId="3B2E60C9" w14:textId="10DE073C" w:rsidR="00AD0D0B" w:rsidRPr="00AD0D0B" w:rsidRDefault="00AD0D0B" w:rsidP="00AD0D0B">
      <w:r w:rsidRPr="00AD0D0B">
        <w:t>In August 202</w:t>
      </w:r>
      <w:r>
        <w:t>1</w:t>
      </w:r>
      <w:r w:rsidRPr="00AD0D0B">
        <w:t>, a preliminary draft of this report was distributed to state and territory departments of primary industry via the Plant Health Committee</w:t>
      </w:r>
      <w:r w:rsidR="00A86C00" w:rsidRPr="00A86C00">
        <w:t xml:space="preserve"> and the Commonwealth Scientific and Industrial Research Organisation (CSIRO)</w:t>
      </w:r>
      <w:r w:rsidRPr="00AD0D0B">
        <w:t xml:space="preserve">. Comments were considered and some minor changes were made to the application </w:t>
      </w:r>
      <w:r w:rsidR="00987863">
        <w:t xml:space="preserve">and draft report </w:t>
      </w:r>
      <w:r w:rsidRPr="00AD0D0B">
        <w:t xml:space="preserve">as a result. There was no change to the off-target risk estimate of Negligible and no objections to the proposed recommendation to release </w:t>
      </w:r>
      <w:r w:rsidR="00987863">
        <w:rPr>
          <w:i/>
        </w:rPr>
        <w:t xml:space="preserve">Stomphastis </w:t>
      </w:r>
      <w:r w:rsidR="00987863">
        <w:rPr>
          <w:iCs/>
        </w:rPr>
        <w:t>sp. nov.</w:t>
      </w:r>
      <w:r w:rsidRPr="00AD0D0B">
        <w:t xml:space="preserve"> for the biological control of the weed</w:t>
      </w:r>
      <w:r w:rsidR="00987863">
        <w:t xml:space="preserve"> </w:t>
      </w:r>
      <w:r w:rsidR="00987863" w:rsidRPr="00AD0930">
        <w:rPr>
          <w:i/>
          <w:iCs/>
        </w:rPr>
        <w:t>J. gossypiifolia</w:t>
      </w:r>
      <w:r w:rsidR="00987863">
        <w:t>.</w:t>
      </w:r>
    </w:p>
    <w:p w14:paraId="59561957" w14:textId="1EF5CD15" w:rsidR="00736319" w:rsidRDefault="00D0393D">
      <w:pPr>
        <w:pStyle w:val="Heading3"/>
      </w:pPr>
      <w:r>
        <w:t>Next Steps</w:t>
      </w:r>
    </w:p>
    <w:p w14:paraId="26F2A2D7" w14:textId="77777777" w:rsidR="00736319" w:rsidRPr="005C79A0" w:rsidRDefault="00D0393D">
      <w:r w:rsidRPr="005C79A0">
        <w:t>This draft report gives stakeholders the opportunity to comment and draw attention to any scientific, technical</w:t>
      </w:r>
      <w:r w:rsidR="007F4D3B" w:rsidRPr="005C79A0">
        <w:t>,</w:t>
      </w:r>
      <w:r w:rsidRPr="005C79A0">
        <w:t xml:space="preserve"> or other gaps in the data, </w:t>
      </w:r>
      <w:r w:rsidR="00971A74" w:rsidRPr="005C79A0">
        <w:t xml:space="preserve">or </w:t>
      </w:r>
      <w:r w:rsidRPr="005C79A0">
        <w:t xml:space="preserve">misinterpretations </w:t>
      </w:r>
      <w:r w:rsidR="00971A74" w:rsidRPr="005C79A0">
        <w:t>or</w:t>
      </w:r>
      <w:r w:rsidRPr="005C79A0">
        <w:t xml:space="preserve"> errors.</w:t>
      </w:r>
    </w:p>
    <w:p w14:paraId="455DC98D" w14:textId="77777777" w:rsidR="00736319" w:rsidRPr="005C79A0" w:rsidRDefault="007F4D3B">
      <w:r w:rsidRPr="005C79A0">
        <w:t>The d</w:t>
      </w:r>
      <w:r w:rsidR="00D0393D" w:rsidRPr="005C79A0">
        <w:t>epartment will consider submissions received on the draft report and may consult informally with stakeholders. The department will revise the draft report as appropriate. The department will then prepare a final report, taking into account stakeholder comments.</w:t>
      </w:r>
    </w:p>
    <w:p w14:paraId="75F577F4" w14:textId="77777777" w:rsidR="008C39E8" w:rsidRDefault="00D0393D">
      <w:r w:rsidRPr="005C79A0">
        <w:t>The final report will be published on the department</w:t>
      </w:r>
      <w:r w:rsidR="007F4D3B" w:rsidRPr="005C79A0">
        <w:t>’s</w:t>
      </w:r>
      <w:r w:rsidRPr="005C79A0">
        <w:t xml:space="preserve"> website with a notice advising stakeholders of the release. The departmen</w:t>
      </w:r>
      <w:r w:rsidR="003F405A" w:rsidRPr="005C79A0">
        <w:t>t will also notify the proposer and</w:t>
      </w:r>
      <w:r w:rsidRPr="005C79A0">
        <w:t xml:space="preserve"> registered stakeholders about the release of the final report. Publication of the final report represents the end of the</w:t>
      </w:r>
      <w:r w:rsidR="0057429D" w:rsidRPr="005C79A0">
        <w:t xml:space="preserve"> risk analysis</w:t>
      </w:r>
      <w:r w:rsidRPr="005C79A0">
        <w:t xml:space="preserve"> process.</w:t>
      </w:r>
    </w:p>
    <w:p w14:paraId="3A0A0FF2" w14:textId="4677FC46" w:rsidR="00736319" w:rsidRDefault="0057429D">
      <w:pPr>
        <w:sectPr w:rsidR="00736319">
          <w:headerReference w:type="default" r:id="rId33"/>
          <w:pgSz w:w="11906" w:h="16838"/>
          <w:pgMar w:top="1418" w:right="1418" w:bottom="1418" w:left="1418" w:header="567" w:footer="283" w:gutter="0"/>
          <w:cols w:space="708"/>
          <w:docGrid w:linePitch="360"/>
        </w:sectPr>
      </w:pPr>
      <w:r w:rsidRPr="005C79A0">
        <w:t xml:space="preserve">There is also an approval process within the department under the </w:t>
      </w:r>
      <w:r w:rsidRPr="005C79A0">
        <w:rPr>
          <w:i/>
        </w:rPr>
        <w:t>Environment Protection and Biodiversity Conservation Act 1999</w:t>
      </w:r>
      <w:r w:rsidRPr="005C79A0">
        <w:t xml:space="preserve">. Risk analysis reports may be used by the Minister for the Environment in making a determination to include the species on the </w:t>
      </w:r>
      <w:r w:rsidRPr="005C79A0">
        <w:rPr>
          <w:i/>
        </w:rPr>
        <w:t>List of specimens taken to be suitable for live import</w:t>
      </w:r>
      <w:r w:rsidRPr="005C79A0">
        <w:t xml:space="preserve"> (the Live Import List). This approval process will occur following release of the final report. If the </w:t>
      </w:r>
      <w:r w:rsidR="008C39E8">
        <w:t>department</w:t>
      </w:r>
      <w:r w:rsidRPr="005C79A0">
        <w:t xml:space="preserve"> approves release of the biological control agent and the Live Import List is amended to include the agent, a letter will be sent to the applicant providing conditions of release. </w:t>
      </w:r>
      <w:r w:rsidR="00D0393D" w:rsidRPr="005C79A0">
        <w:t xml:space="preserve"> </w:t>
      </w:r>
    </w:p>
    <w:p w14:paraId="2F129C12" w14:textId="64178C76" w:rsidR="00736319" w:rsidRDefault="006B0659">
      <w:pPr>
        <w:pStyle w:val="Heading1"/>
      </w:pPr>
      <w:bookmarkStart w:id="15" w:name="_Toc87425135"/>
      <w:r>
        <w:lastRenderedPageBreak/>
        <w:t>Assessment of off-target risks</w:t>
      </w:r>
      <w:bookmarkEnd w:id="15"/>
    </w:p>
    <w:p w14:paraId="77FA1A41" w14:textId="7D0D1D8E" w:rsidR="007B4BAD" w:rsidRPr="00BA20A9" w:rsidRDefault="007B4BAD" w:rsidP="007B4BAD">
      <w:r w:rsidRPr="00AB13FF">
        <w:t>This section sets out the assessment of off-target risks that could be associated with the release of the biological control agent. Where appropriate, the methods followed those used for pest risk analysis (PRA) by the Department of</w:t>
      </w:r>
      <w:r w:rsidR="00E15E40">
        <w:t xml:space="preserve"> Agriculture</w:t>
      </w:r>
      <w:r w:rsidR="00714FFC">
        <w:t>, Water and the Environment</w:t>
      </w:r>
      <w:r w:rsidRPr="00AB13FF">
        <w:t xml:space="preserve"> in accordance with the International </w:t>
      </w:r>
      <w:r w:rsidRPr="00522F06">
        <w:t xml:space="preserve">Standards for Phytosanitary Measures (ISPMs), including ISPM 2: </w:t>
      </w:r>
      <w:r w:rsidRPr="00522F06">
        <w:rPr>
          <w:i/>
        </w:rPr>
        <w:t>Framework for pest risk analysis</w:t>
      </w:r>
      <w:r>
        <w:t xml:space="preserve"> (FAO 201</w:t>
      </w:r>
      <w:r w:rsidR="009D2A7D">
        <w:t>9a</w:t>
      </w:r>
      <w:r w:rsidRPr="00522F06">
        <w:t xml:space="preserve">), ISPM 3: </w:t>
      </w:r>
      <w:r w:rsidRPr="00522F06">
        <w:rPr>
          <w:i/>
        </w:rPr>
        <w:t>Guidelines for the export, shipment, import and release of biological control agents and other beneficial organisms</w:t>
      </w:r>
      <w:r w:rsidRPr="00522F06">
        <w:t xml:space="preserve"> (FAO 201</w:t>
      </w:r>
      <w:r>
        <w:t>7</w:t>
      </w:r>
      <w:r w:rsidRPr="00522F06">
        <w:t xml:space="preserve">) and ISPM 11: </w:t>
      </w:r>
      <w:r w:rsidRPr="00522F06">
        <w:rPr>
          <w:i/>
        </w:rPr>
        <w:t>Pest risk analysis for quarantine pests</w:t>
      </w:r>
      <w:r w:rsidR="009D2A7D">
        <w:t xml:space="preserve"> (FAO 2019</w:t>
      </w:r>
      <w:r>
        <w:t>c</w:t>
      </w:r>
      <w:r w:rsidRPr="00522F06">
        <w:t xml:space="preserve">) that have been developed under the </w:t>
      </w:r>
      <w:r w:rsidR="00714FFC" w:rsidRPr="00714FFC">
        <w:t>World Trade Organization (WTO) Agreement on the Application of Sanitary and Phytosanitary Measures (SPS Agreement)</w:t>
      </w:r>
      <w:r w:rsidRPr="00522F06">
        <w:t xml:space="preserve"> (WTO 1995).</w:t>
      </w:r>
      <w:r w:rsidRPr="00AB13FF">
        <w:t xml:space="preserve"> </w:t>
      </w:r>
      <w:r w:rsidRPr="00BA20A9">
        <w:t>The methodology for a commodity-based PRA is provided in Appendix A.</w:t>
      </w:r>
    </w:p>
    <w:p w14:paraId="50CE26E6" w14:textId="77777777" w:rsidR="007B4BAD" w:rsidRDefault="007B4BAD" w:rsidP="007B4BAD">
      <w:r>
        <w:t>The SPS Agreement defines the concept of an ‘appropriate level of sanitary or phytosanitary protection (ALOP)’ as the level of protection deemed appropriate by the WTO Member establishing a sanitary or phytosanitary measure to protect human, animal or plant life or health within its territory.</w:t>
      </w:r>
    </w:p>
    <w:p w14:paraId="0FB725FE" w14:textId="77777777" w:rsidR="007B4BAD" w:rsidRDefault="007B4BAD" w:rsidP="007B4BAD">
      <w:r>
        <w:t>Like many other countries, Australia expresses its ALOP in qualitative terms. The ALOP for Australia, which reflects community expectations through government policy, is currently expressed as providing a high level of sanitary or phytosanitary protection aimed at reducing risk to a very low level, but not to zero. The band of cells</w:t>
      </w:r>
      <w:r w:rsidRPr="00E435FF">
        <w:t xml:space="preserve"> </w:t>
      </w:r>
      <w:r>
        <w:t xml:space="preserve">in Table 2.1, </w:t>
      </w:r>
      <w:r w:rsidRPr="00E435FF">
        <w:t>marked ‘very low risk’</w:t>
      </w:r>
      <w:r>
        <w:t>,</w:t>
      </w:r>
      <w:r w:rsidRPr="00E435FF">
        <w:t xml:space="preserve"> represents the</w:t>
      </w:r>
      <w:r w:rsidR="00C43C3E">
        <w:t xml:space="preserve"> upper boundary of the</w:t>
      </w:r>
      <w:r w:rsidRPr="00E435FF">
        <w:t xml:space="preserve"> ALOP for Australia.</w:t>
      </w:r>
    </w:p>
    <w:p w14:paraId="00392BFD" w14:textId="77777777" w:rsidR="007B4BAD" w:rsidRDefault="007B4BAD" w:rsidP="007B4BAD">
      <w:r w:rsidRPr="00AB13FF">
        <w:t>The risk associated with</w:t>
      </w:r>
      <w:r>
        <w:t xml:space="preserve"> the</w:t>
      </w:r>
      <w:r w:rsidRPr="00AB13FF">
        <w:t xml:space="preserve"> release of a biological control agent is a combination of the</w:t>
      </w:r>
      <w:r>
        <w:t xml:space="preserve"> estimates of</w:t>
      </w:r>
      <w:r w:rsidRPr="00AB13FF">
        <w:t xml:space="preserve"> likelihood of off-target effects and</w:t>
      </w:r>
      <w:r>
        <w:t xml:space="preserve"> the potential </w:t>
      </w:r>
      <w:r w:rsidRPr="00AB13FF">
        <w:t>consequences of any off-target effects.</w:t>
      </w:r>
      <w:r w:rsidRPr="00BD667B">
        <w:t xml:space="preserve"> </w:t>
      </w:r>
      <w:r>
        <w:t xml:space="preserve">A </w:t>
      </w:r>
      <w:r w:rsidRPr="00BD667B">
        <w:t xml:space="preserve">risk estimation matrix (Table </w:t>
      </w:r>
      <w:r>
        <w:t>2.1</w:t>
      </w:r>
      <w:r w:rsidRPr="00BD667B">
        <w:t xml:space="preserve">) </w:t>
      </w:r>
      <w:r>
        <w:t xml:space="preserve">is used </w:t>
      </w:r>
      <w:r w:rsidRPr="00BD667B">
        <w:t>to combine the</w:t>
      </w:r>
      <w:r>
        <w:t>se</w:t>
      </w:r>
      <w:r w:rsidRPr="00BD667B">
        <w:t xml:space="preserve"> estimates.</w:t>
      </w:r>
    </w:p>
    <w:p w14:paraId="2C592A8E" w14:textId="4CFD0C15" w:rsidR="007B4BAD" w:rsidRDefault="007B4BAD" w:rsidP="007B4BAD">
      <w:pPr>
        <w:pStyle w:val="Caption"/>
      </w:pPr>
      <w:bookmarkStart w:id="16" w:name="_Toc506467523"/>
      <w:bookmarkStart w:id="17" w:name="_Toc86066030"/>
      <w:r>
        <w:t>Table 2.</w:t>
      </w:r>
      <w:r w:rsidR="00C21661">
        <w:rPr>
          <w:noProof/>
        </w:rPr>
        <w:fldChar w:fldCharType="begin"/>
      </w:r>
      <w:r w:rsidR="00C21661">
        <w:rPr>
          <w:noProof/>
        </w:rPr>
        <w:instrText xml:space="preserve"> SEQ Table \* ARABIC </w:instrText>
      </w:r>
      <w:r w:rsidR="00C21661">
        <w:rPr>
          <w:noProof/>
        </w:rPr>
        <w:fldChar w:fldCharType="separate"/>
      </w:r>
      <w:r w:rsidR="0043311F">
        <w:rPr>
          <w:noProof/>
        </w:rPr>
        <w:t>1</w:t>
      </w:r>
      <w:r w:rsidR="00C21661">
        <w:rPr>
          <w:noProof/>
        </w:rPr>
        <w:fldChar w:fldCharType="end"/>
      </w:r>
      <w:r>
        <w:t xml:space="preserve"> </w:t>
      </w:r>
      <w:r w:rsidRPr="00A747D2">
        <w:t>Risk estimation matrix</w:t>
      </w:r>
      <w:r>
        <w:t>.</w:t>
      </w:r>
      <w:bookmarkEnd w:id="16"/>
      <w:bookmarkEnd w:id="17"/>
    </w:p>
    <w:tbl>
      <w:tblPr>
        <w:tblW w:w="5000" w:type="pct"/>
        <w:tblLook w:val="0000" w:firstRow="0" w:lastRow="0" w:firstColumn="0" w:lastColumn="0" w:noHBand="0" w:noVBand="0"/>
      </w:tblPr>
      <w:tblGrid>
        <w:gridCol w:w="1441"/>
        <w:gridCol w:w="1270"/>
        <w:gridCol w:w="1270"/>
        <w:gridCol w:w="1272"/>
        <w:gridCol w:w="1270"/>
        <w:gridCol w:w="1270"/>
        <w:gridCol w:w="1267"/>
      </w:tblGrid>
      <w:tr w:rsidR="007B4BAD" w14:paraId="45E71885" w14:textId="77777777" w:rsidTr="007B4BAD">
        <w:trPr>
          <w:cantSplit/>
          <w:trHeight w:val="551"/>
        </w:trPr>
        <w:tc>
          <w:tcPr>
            <w:tcW w:w="795" w:type="pct"/>
            <w:vMerge w:val="restart"/>
            <w:tcBorders>
              <w:top w:val="single" w:sz="4" w:space="0" w:color="auto"/>
              <w:left w:val="single" w:sz="4" w:space="0" w:color="auto"/>
              <w:bottom w:val="single" w:sz="4" w:space="0" w:color="BFBFBF"/>
            </w:tcBorders>
            <w:vAlign w:val="bottom"/>
          </w:tcPr>
          <w:p w14:paraId="73C2526A" w14:textId="77777777" w:rsidR="007B4BAD" w:rsidRDefault="007B4BAD" w:rsidP="00472B02">
            <w:pPr>
              <w:pStyle w:val="TableText"/>
            </w:pPr>
            <w:r>
              <w:t>Likelihood of off-target effects</w:t>
            </w:r>
          </w:p>
        </w:tc>
        <w:tc>
          <w:tcPr>
            <w:tcW w:w="4205" w:type="pct"/>
            <w:gridSpan w:val="6"/>
            <w:tcBorders>
              <w:top w:val="single" w:sz="4" w:space="0" w:color="auto"/>
              <w:left w:val="nil"/>
              <w:bottom w:val="single" w:sz="4" w:space="0" w:color="BFBFBF"/>
              <w:right w:val="single" w:sz="4" w:space="0" w:color="auto"/>
            </w:tcBorders>
            <w:shd w:val="clear" w:color="auto" w:fill="auto"/>
            <w:vAlign w:val="bottom"/>
          </w:tcPr>
          <w:p w14:paraId="00E0AA04" w14:textId="77777777" w:rsidR="007B4BAD" w:rsidRDefault="007B4BAD" w:rsidP="00472B02">
            <w:pPr>
              <w:pStyle w:val="TableText"/>
            </w:pPr>
            <w:r>
              <w:t>Consequences of off-target effects</w:t>
            </w:r>
          </w:p>
        </w:tc>
      </w:tr>
      <w:tr w:rsidR="007B4BAD" w14:paraId="198BCCDD" w14:textId="77777777" w:rsidTr="007B4BAD">
        <w:trPr>
          <w:cantSplit/>
        </w:trPr>
        <w:tc>
          <w:tcPr>
            <w:tcW w:w="795" w:type="pct"/>
            <w:vMerge/>
            <w:tcBorders>
              <w:top w:val="single" w:sz="4" w:space="0" w:color="BFBFBF"/>
              <w:left w:val="single" w:sz="4" w:space="0" w:color="auto"/>
              <w:bottom w:val="single" w:sz="4" w:space="0" w:color="BFBFBF"/>
            </w:tcBorders>
          </w:tcPr>
          <w:p w14:paraId="4DA48194" w14:textId="77777777" w:rsidR="007B4BAD" w:rsidRPr="007B4BAD" w:rsidRDefault="007B4BAD" w:rsidP="00472B02">
            <w:pPr>
              <w:pStyle w:val="TableText"/>
              <w:rPr>
                <w:color w:val="FFFFFF"/>
              </w:rPr>
            </w:pPr>
          </w:p>
        </w:tc>
        <w:tc>
          <w:tcPr>
            <w:tcW w:w="701" w:type="pct"/>
            <w:tcBorders>
              <w:top w:val="single" w:sz="4" w:space="0" w:color="BFBFBF"/>
              <w:left w:val="nil"/>
              <w:bottom w:val="single" w:sz="8" w:space="0" w:color="C0C0C0"/>
            </w:tcBorders>
            <w:shd w:val="clear" w:color="auto" w:fill="auto"/>
            <w:vAlign w:val="bottom"/>
          </w:tcPr>
          <w:p w14:paraId="3B0BF936" w14:textId="77777777" w:rsidR="007B4BAD" w:rsidRDefault="007B4BAD" w:rsidP="00472B02">
            <w:pPr>
              <w:pStyle w:val="TableText"/>
            </w:pPr>
            <w:r>
              <w:t xml:space="preserve">Negligible </w:t>
            </w:r>
          </w:p>
        </w:tc>
        <w:tc>
          <w:tcPr>
            <w:tcW w:w="701" w:type="pct"/>
            <w:tcBorders>
              <w:top w:val="single" w:sz="4" w:space="0" w:color="BFBFBF"/>
              <w:bottom w:val="single" w:sz="8" w:space="0" w:color="C0C0C0"/>
            </w:tcBorders>
            <w:shd w:val="clear" w:color="auto" w:fill="auto"/>
            <w:vAlign w:val="bottom"/>
          </w:tcPr>
          <w:p w14:paraId="55645C6A" w14:textId="77777777" w:rsidR="007B4BAD" w:rsidRDefault="007B4BAD" w:rsidP="00472B02">
            <w:pPr>
              <w:pStyle w:val="TableText"/>
            </w:pPr>
            <w:r>
              <w:t>Very low</w:t>
            </w:r>
          </w:p>
        </w:tc>
        <w:tc>
          <w:tcPr>
            <w:tcW w:w="702" w:type="pct"/>
            <w:tcBorders>
              <w:top w:val="single" w:sz="4" w:space="0" w:color="BFBFBF"/>
              <w:bottom w:val="single" w:sz="8" w:space="0" w:color="C0C0C0"/>
            </w:tcBorders>
            <w:shd w:val="clear" w:color="auto" w:fill="auto"/>
            <w:vAlign w:val="bottom"/>
          </w:tcPr>
          <w:p w14:paraId="063A3982" w14:textId="77777777" w:rsidR="007B4BAD" w:rsidRDefault="007B4BAD" w:rsidP="00472B02">
            <w:pPr>
              <w:pStyle w:val="TableText"/>
            </w:pPr>
            <w:r>
              <w:t xml:space="preserve">Low </w:t>
            </w:r>
          </w:p>
        </w:tc>
        <w:tc>
          <w:tcPr>
            <w:tcW w:w="701" w:type="pct"/>
            <w:tcBorders>
              <w:top w:val="single" w:sz="4" w:space="0" w:color="BFBFBF"/>
              <w:bottom w:val="single" w:sz="8" w:space="0" w:color="C0C0C0"/>
            </w:tcBorders>
            <w:shd w:val="clear" w:color="auto" w:fill="auto"/>
            <w:vAlign w:val="bottom"/>
          </w:tcPr>
          <w:p w14:paraId="02BCF264" w14:textId="77777777" w:rsidR="007B4BAD" w:rsidRDefault="007B4BAD" w:rsidP="00472B02">
            <w:pPr>
              <w:pStyle w:val="TableText"/>
            </w:pPr>
            <w:r>
              <w:t>Moderate</w:t>
            </w:r>
          </w:p>
        </w:tc>
        <w:tc>
          <w:tcPr>
            <w:tcW w:w="701" w:type="pct"/>
            <w:tcBorders>
              <w:top w:val="single" w:sz="4" w:space="0" w:color="BFBFBF"/>
              <w:bottom w:val="single" w:sz="8" w:space="0" w:color="C0C0C0"/>
            </w:tcBorders>
            <w:shd w:val="clear" w:color="auto" w:fill="auto"/>
            <w:vAlign w:val="bottom"/>
          </w:tcPr>
          <w:p w14:paraId="25ABA8B7" w14:textId="77777777" w:rsidR="007B4BAD" w:rsidRDefault="007B4BAD" w:rsidP="00472B02">
            <w:pPr>
              <w:pStyle w:val="TableText"/>
            </w:pPr>
            <w:r>
              <w:t>High</w:t>
            </w:r>
          </w:p>
        </w:tc>
        <w:tc>
          <w:tcPr>
            <w:tcW w:w="699" w:type="pct"/>
            <w:tcBorders>
              <w:top w:val="single" w:sz="4" w:space="0" w:color="BFBFBF"/>
              <w:bottom w:val="single" w:sz="8" w:space="0" w:color="C0C0C0"/>
              <w:right w:val="single" w:sz="4" w:space="0" w:color="auto"/>
            </w:tcBorders>
            <w:shd w:val="clear" w:color="auto" w:fill="auto"/>
            <w:vAlign w:val="bottom"/>
          </w:tcPr>
          <w:p w14:paraId="45744BC6" w14:textId="77777777" w:rsidR="007B4BAD" w:rsidRDefault="007B4BAD" w:rsidP="00472B02">
            <w:pPr>
              <w:pStyle w:val="TableText"/>
            </w:pPr>
            <w:r>
              <w:t xml:space="preserve">Extreme </w:t>
            </w:r>
          </w:p>
        </w:tc>
      </w:tr>
      <w:tr w:rsidR="007B4BAD" w14:paraId="54356223"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233EFD46" w14:textId="77777777" w:rsidR="007B4BAD" w:rsidRDefault="007B4BAD" w:rsidP="00472B02">
            <w:pPr>
              <w:pStyle w:val="TableText"/>
            </w:pPr>
            <w:r>
              <w:t xml:space="preserve">High </w:t>
            </w:r>
          </w:p>
        </w:tc>
        <w:tc>
          <w:tcPr>
            <w:tcW w:w="701" w:type="pct"/>
            <w:tcBorders>
              <w:top w:val="single" w:sz="4" w:space="0" w:color="D9D9D9"/>
              <w:left w:val="single" w:sz="4" w:space="0" w:color="D9D9D9"/>
              <w:bottom w:val="single" w:sz="8" w:space="0" w:color="C0C0C0"/>
              <w:right w:val="single" w:sz="8" w:space="0" w:color="C0C0C0"/>
            </w:tcBorders>
            <w:shd w:val="clear" w:color="auto" w:fill="F2F2F2"/>
          </w:tcPr>
          <w:p w14:paraId="428728BE" w14:textId="77777777" w:rsidR="007B4BAD" w:rsidRDefault="007B4BAD" w:rsidP="00472B02">
            <w:pPr>
              <w:pStyle w:val="TableText"/>
            </w:pPr>
            <w:r>
              <w:t>Negligible risk</w:t>
            </w:r>
          </w:p>
        </w:tc>
        <w:tc>
          <w:tcPr>
            <w:tcW w:w="701" w:type="pct"/>
            <w:tcBorders>
              <w:top w:val="single" w:sz="4" w:space="0" w:color="D9D9D9"/>
              <w:left w:val="single" w:sz="8" w:space="0" w:color="C0C0C0"/>
              <w:bottom w:val="single" w:sz="8" w:space="0" w:color="C0C0C0"/>
              <w:right w:val="single" w:sz="8" w:space="0" w:color="C0C0C0"/>
            </w:tcBorders>
            <w:shd w:val="clear" w:color="auto" w:fill="000000"/>
          </w:tcPr>
          <w:p w14:paraId="5632D158" w14:textId="77777777" w:rsidR="007B4BAD" w:rsidRDefault="007B4BAD" w:rsidP="00472B02">
            <w:pPr>
              <w:pStyle w:val="TableText"/>
              <w:rPr>
                <w:color w:val="FFFFFF"/>
              </w:rPr>
            </w:pPr>
            <w:r>
              <w:rPr>
                <w:color w:val="FFFFFF"/>
              </w:rPr>
              <w:t>Very low risk</w:t>
            </w:r>
          </w:p>
        </w:tc>
        <w:tc>
          <w:tcPr>
            <w:tcW w:w="702" w:type="pct"/>
            <w:tcBorders>
              <w:top w:val="single" w:sz="4" w:space="0" w:color="D9D9D9"/>
              <w:left w:val="single" w:sz="8" w:space="0" w:color="C0C0C0"/>
              <w:bottom w:val="single" w:sz="8" w:space="0" w:color="C0C0C0"/>
              <w:right w:val="single" w:sz="8" w:space="0" w:color="C0C0C0"/>
            </w:tcBorders>
            <w:shd w:val="clear" w:color="auto" w:fill="CCFFCC"/>
          </w:tcPr>
          <w:p w14:paraId="76961261" w14:textId="77777777" w:rsidR="007B4BAD" w:rsidRDefault="007B4BAD" w:rsidP="00472B02">
            <w:pPr>
              <w:pStyle w:val="TableText"/>
            </w:pPr>
            <w:r>
              <w:t>Low risk</w:t>
            </w:r>
          </w:p>
        </w:tc>
        <w:tc>
          <w:tcPr>
            <w:tcW w:w="701" w:type="pct"/>
            <w:tcBorders>
              <w:top w:val="single" w:sz="4" w:space="0" w:color="D9D9D9"/>
              <w:left w:val="single" w:sz="8" w:space="0" w:color="C0C0C0"/>
              <w:bottom w:val="single" w:sz="8" w:space="0" w:color="C0C0C0"/>
              <w:right w:val="single" w:sz="8" w:space="0" w:color="C0C0C0"/>
            </w:tcBorders>
            <w:shd w:val="clear" w:color="auto" w:fill="FFFF99"/>
          </w:tcPr>
          <w:p w14:paraId="764C0547" w14:textId="77777777" w:rsidR="007B4BAD" w:rsidRDefault="007B4BAD" w:rsidP="00472B02">
            <w:pPr>
              <w:pStyle w:val="TableText"/>
            </w:pPr>
            <w:r>
              <w:t>Moderate risk</w:t>
            </w:r>
          </w:p>
        </w:tc>
        <w:tc>
          <w:tcPr>
            <w:tcW w:w="701" w:type="pct"/>
            <w:tcBorders>
              <w:top w:val="single" w:sz="4" w:space="0" w:color="D9D9D9"/>
              <w:left w:val="single" w:sz="8" w:space="0" w:color="C0C0C0"/>
              <w:bottom w:val="single" w:sz="8" w:space="0" w:color="C0C0C0"/>
              <w:right w:val="single" w:sz="8" w:space="0" w:color="C0C0C0"/>
            </w:tcBorders>
            <w:shd w:val="clear" w:color="auto" w:fill="FFCC99"/>
          </w:tcPr>
          <w:p w14:paraId="5D736050" w14:textId="77777777" w:rsidR="007B4BAD" w:rsidRDefault="007B4BAD" w:rsidP="00472B02">
            <w:pPr>
              <w:pStyle w:val="TableText"/>
            </w:pPr>
            <w:r>
              <w:t>High risk</w:t>
            </w:r>
          </w:p>
        </w:tc>
        <w:tc>
          <w:tcPr>
            <w:tcW w:w="699" w:type="pct"/>
            <w:tcBorders>
              <w:top w:val="single" w:sz="4" w:space="0" w:color="D9D9D9"/>
              <w:left w:val="single" w:sz="8" w:space="0" w:color="C0C0C0"/>
              <w:bottom w:val="single" w:sz="8" w:space="0" w:color="C0C0C0"/>
              <w:right w:val="single" w:sz="4" w:space="0" w:color="auto"/>
            </w:tcBorders>
            <w:shd w:val="clear" w:color="auto" w:fill="FF99CC"/>
          </w:tcPr>
          <w:p w14:paraId="2E42D014" w14:textId="77777777" w:rsidR="007B4BAD" w:rsidRDefault="007B4BAD" w:rsidP="00472B02">
            <w:pPr>
              <w:pStyle w:val="TableText"/>
            </w:pPr>
            <w:r>
              <w:t>Extreme risk</w:t>
            </w:r>
          </w:p>
        </w:tc>
      </w:tr>
      <w:tr w:rsidR="007B4BAD" w14:paraId="69F42B34"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1F02AE83" w14:textId="77777777" w:rsidR="007B4BAD" w:rsidRDefault="007B4BAD" w:rsidP="00472B02">
            <w:pPr>
              <w:pStyle w:val="TableText"/>
            </w:pPr>
            <w:r>
              <w:t>Moderate</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44ED8A3E"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67DD3E45" w14:textId="77777777" w:rsidR="007B4BAD" w:rsidRDefault="007B4BAD" w:rsidP="00472B02">
            <w:pPr>
              <w:pStyle w:val="TableText"/>
              <w:rPr>
                <w:color w:val="FFFFFF"/>
              </w:rPr>
            </w:pPr>
            <w:r>
              <w:rPr>
                <w:color w:val="FFFFFF"/>
              </w:rPr>
              <w:t>Very low risk</w:t>
            </w:r>
          </w:p>
        </w:tc>
        <w:tc>
          <w:tcPr>
            <w:tcW w:w="702" w:type="pct"/>
            <w:tcBorders>
              <w:top w:val="single" w:sz="8" w:space="0" w:color="C0C0C0"/>
              <w:left w:val="single" w:sz="8" w:space="0" w:color="C0C0C0"/>
              <w:bottom w:val="single" w:sz="8" w:space="0" w:color="C0C0C0"/>
              <w:right w:val="single" w:sz="8" w:space="0" w:color="C0C0C0"/>
            </w:tcBorders>
            <w:shd w:val="clear" w:color="auto" w:fill="CCFFCC"/>
          </w:tcPr>
          <w:p w14:paraId="2DAABD6D" w14:textId="77777777" w:rsidR="007B4BAD" w:rsidRDefault="007B4BAD"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0A31C8B5" w14:textId="77777777" w:rsidR="007B4BAD" w:rsidRDefault="007B4BAD" w:rsidP="00472B02">
            <w:pPr>
              <w:pStyle w:val="TableText"/>
            </w:pPr>
            <w:r>
              <w:t>Moderate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14:paraId="32ED6D85" w14:textId="77777777" w:rsidR="007B4BAD" w:rsidRDefault="007B4BAD" w:rsidP="00472B02">
            <w:pPr>
              <w:pStyle w:val="TableText"/>
            </w:pPr>
            <w:r>
              <w:t>High risk</w:t>
            </w:r>
          </w:p>
        </w:tc>
        <w:tc>
          <w:tcPr>
            <w:tcW w:w="699" w:type="pct"/>
            <w:tcBorders>
              <w:top w:val="single" w:sz="8" w:space="0" w:color="C0C0C0"/>
              <w:left w:val="single" w:sz="8" w:space="0" w:color="C0C0C0"/>
              <w:bottom w:val="single" w:sz="8" w:space="0" w:color="C0C0C0"/>
              <w:right w:val="single" w:sz="4" w:space="0" w:color="auto"/>
            </w:tcBorders>
            <w:shd w:val="clear" w:color="auto" w:fill="FF99CC"/>
          </w:tcPr>
          <w:p w14:paraId="598F4FC5" w14:textId="77777777" w:rsidR="007B4BAD" w:rsidRDefault="007B4BAD" w:rsidP="00472B02">
            <w:pPr>
              <w:pStyle w:val="TableText"/>
            </w:pPr>
            <w:r>
              <w:t>Extreme risk</w:t>
            </w:r>
          </w:p>
        </w:tc>
      </w:tr>
      <w:tr w:rsidR="007B4BAD" w14:paraId="7E5736E9"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572A66A5" w14:textId="77777777" w:rsidR="007B4BAD" w:rsidRDefault="007B4BAD" w:rsidP="00472B02">
            <w:pPr>
              <w:pStyle w:val="TableText"/>
            </w:pPr>
            <w:r>
              <w:t>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10B0B258"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65B68ABF"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000000"/>
          </w:tcPr>
          <w:p w14:paraId="26F5A4BE" w14:textId="77777777" w:rsidR="007B4BAD" w:rsidRDefault="007B4BAD"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38BDE152" w14:textId="77777777" w:rsidR="007B4BAD" w:rsidRDefault="007B4BAD"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6779C786" w14:textId="77777777" w:rsidR="007B4BAD" w:rsidRDefault="007B4BAD" w:rsidP="00472B02">
            <w:pPr>
              <w:pStyle w:val="TableText"/>
            </w:pPr>
            <w:r>
              <w:t>Moderate risk</w:t>
            </w:r>
          </w:p>
        </w:tc>
        <w:tc>
          <w:tcPr>
            <w:tcW w:w="699" w:type="pct"/>
            <w:tcBorders>
              <w:top w:val="single" w:sz="8" w:space="0" w:color="C0C0C0"/>
              <w:left w:val="single" w:sz="8" w:space="0" w:color="C0C0C0"/>
              <w:bottom w:val="single" w:sz="8" w:space="0" w:color="C0C0C0"/>
              <w:right w:val="single" w:sz="4" w:space="0" w:color="auto"/>
            </w:tcBorders>
            <w:shd w:val="clear" w:color="auto" w:fill="FFCC99"/>
          </w:tcPr>
          <w:p w14:paraId="45E85D7C" w14:textId="77777777" w:rsidR="007B4BAD" w:rsidRDefault="007B4BAD" w:rsidP="00472B02">
            <w:pPr>
              <w:pStyle w:val="TableText"/>
            </w:pPr>
            <w:r>
              <w:t>High risk</w:t>
            </w:r>
          </w:p>
        </w:tc>
      </w:tr>
      <w:tr w:rsidR="007B4BAD" w14:paraId="75A7F172"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72E272D1" w14:textId="77777777" w:rsidR="007B4BAD" w:rsidRDefault="007B4BAD" w:rsidP="00472B02">
            <w:pPr>
              <w:pStyle w:val="TableText"/>
            </w:pPr>
            <w:r>
              <w:t>Very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745BA499"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7AC67857"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2B039E10"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44D39A6A" w14:textId="77777777" w:rsidR="007B4BAD" w:rsidRDefault="007B4BAD"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04D79CBE" w14:textId="77777777" w:rsidR="007B4BAD" w:rsidRDefault="007B4BAD" w:rsidP="00472B02">
            <w:pPr>
              <w:pStyle w:val="TableText"/>
            </w:pPr>
            <w:r>
              <w:t>Low risk</w:t>
            </w:r>
          </w:p>
        </w:tc>
        <w:tc>
          <w:tcPr>
            <w:tcW w:w="699" w:type="pct"/>
            <w:tcBorders>
              <w:top w:val="single" w:sz="8" w:space="0" w:color="C0C0C0"/>
              <w:left w:val="single" w:sz="8" w:space="0" w:color="C0C0C0"/>
              <w:bottom w:val="single" w:sz="8" w:space="0" w:color="C0C0C0"/>
              <w:right w:val="single" w:sz="4" w:space="0" w:color="auto"/>
            </w:tcBorders>
            <w:shd w:val="clear" w:color="auto" w:fill="FFFF99"/>
          </w:tcPr>
          <w:p w14:paraId="5EA4DC65" w14:textId="77777777" w:rsidR="007B4BAD" w:rsidRDefault="007B4BAD" w:rsidP="00472B02">
            <w:pPr>
              <w:pStyle w:val="TableText"/>
            </w:pPr>
            <w:r>
              <w:t>Moderate risk</w:t>
            </w:r>
          </w:p>
        </w:tc>
      </w:tr>
      <w:tr w:rsidR="007B4BAD" w14:paraId="3662540E" w14:textId="77777777" w:rsidTr="007B4BAD">
        <w:trPr>
          <w:cantSplit/>
        </w:trPr>
        <w:tc>
          <w:tcPr>
            <w:tcW w:w="795" w:type="pct"/>
            <w:tcBorders>
              <w:top w:val="single" w:sz="4" w:space="0" w:color="BFBFBF"/>
              <w:left w:val="single" w:sz="4" w:space="0" w:color="auto"/>
              <w:bottom w:val="single" w:sz="4" w:space="0" w:color="BFBFBF"/>
              <w:right w:val="single" w:sz="4" w:space="0" w:color="D9D9D9"/>
            </w:tcBorders>
          </w:tcPr>
          <w:p w14:paraId="46E68BB0" w14:textId="77777777" w:rsidR="007B4BAD" w:rsidRDefault="007B4BAD" w:rsidP="00472B02">
            <w:pPr>
              <w:pStyle w:val="TableText"/>
            </w:pPr>
            <w:r>
              <w:t>Extremely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1589C0B9"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60B32E41"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55026487"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57D784FB"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02156748" w14:textId="77777777" w:rsidR="007B4BAD" w:rsidRDefault="007B4BAD" w:rsidP="00472B02">
            <w:pPr>
              <w:pStyle w:val="TableText"/>
              <w:rPr>
                <w:color w:val="FFFFFF"/>
              </w:rPr>
            </w:pPr>
            <w:r>
              <w:rPr>
                <w:color w:val="FFFFFF"/>
              </w:rPr>
              <w:t>Very low risk</w:t>
            </w:r>
          </w:p>
        </w:tc>
        <w:tc>
          <w:tcPr>
            <w:tcW w:w="699" w:type="pct"/>
            <w:tcBorders>
              <w:top w:val="single" w:sz="8" w:space="0" w:color="C0C0C0"/>
              <w:left w:val="single" w:sz="8" w:space="0" w:color="C0C0C0"/>
              <w:bottom w:val="single" w:sz="8" w:space="0" w:color="C0C0C0"/>
              <w:right w:val="single" w:sz="4" w:space="0" w:color="auto"/>
            </w:tcBorders>
            <w:shd w:val="clear" w:color="auto" w:fill="CCFFCC"/>
          </w:tcPr>
          <w:p w14:paraId="0A27DD52" w14:textId="77777777" w:rsidR="007B4BAD" w:rsidRDefault="007B4BAD" w:rsidP="00472B02">
            <w:pPr>
              <w:pStyle w:val="TableText"/>
            </w:pPr>
            <w:r>
              <w:t>Low risk</w:t>
            </w:r>
          </w:p>
        </w:tc>
      </w:tr>
      <w:tr w:rsidR="007B4BAD" w14:paraId="55CE21B5" w14:textId="77777777" w:rsidTr="007B4BAD">
        <w:trPr>
          <w:cantSplit/>
        </w:trPr>
        <w:tc>
          <w:tcPr>
            <w:tcW w:w="795" w:type="pct"/>
            <w:tcBorders>
              <w:top w:val="single" w:sz="4" w:space="0" w:color="BFBFBF"/>
              <w:left w:val="single" w:sz="4" w:space="0" w:color="auto"/>
              <w:bottom w:val="single" w:sz="4" w:space="0" w:color="auto"/>
              <w:right w:val="single" w:sz="4" w:space="0" w:color="D9D9D9"/>
            </w:tcBorders>
          </w:tcPr>
          <w:p w14:paraId="753F6F92" w14:textId="77777777" w:rsidR="007B4BAD" w:rsidRDefault="007B4BAD" w:rsidP="00472B02">
            <w:pPr>
              <w:pStyle w:val="TableText"/>
            </w:pPr>
            <w:r>
              <w:t xml:space="preserve">Negligible </w:t>
            </w:r>
          </w:p>
        </w:tc>
        <w:tc>
          <w:tcPr>
            <w:tcW w:w="701" w:type="pct"/>
            <w:tcBorders>
              <w:top w:val="single" w:sz="8" w:space="0" w:color="C0C0C0"/>
              <w:left w:val="single" w:sz="4" w:space="0" w:color="D9D9D9"/>
              <w:bottom w:val="single" w:sz="4" w:space="0" w:color="auto"/>
              <w:right w:val="single" w:sz="8" w:space="0" w:color="C0C0C0"/>
            </w:tcBorders>
            <w:shd w:val="clear" w:color="auto" w:fill="F2F2F2"/>
          </w:tcPr>
          <w:p w14:paraId="1DA8246F"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568A7B7B" w14:textId="77777777" w:rsidR="007B4BAD" w:rsidRDefault="007B4BAD" w:rsidP="00472B02">
            <w:pPr>
              <w:pStyle w:val="TableText"/>
            </w:pPr>
            <w:r>
              <w:t>Negligible risk</w:t>
            </w:r>
          </w:p>
        </w:tc>
        <w:tc>
          <w:tcPr>
            <w:tcW w:w="702" w:type="pct"/>
            <w:tcBorders>
              <w:top w:val="single" w:sz="8" w:space="0" w:color="C0C0C0"/>
              <w:left w:val="single" w:sz="8" w:space="0" w:color="C0C0C0"/>
              <w:bottom w:val="single" w:sz="4" w:space="0" w:color="auto"/>
              <w:right w:val="single" w:sz="8" w:space="0" w:color="C0C0C0"/>
            </w:tcBorders>
            <w:shd w:val="clear" w:color="auto" w:fill="F2F2F2"/>
          </w:tcPr>
          <w:p w14:paraId="19B010A0"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127A9608" w14:textId="77777777" w:rsidR="007B4BAD" w:rsidRDefault="007B4BAD"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03DA6476" w14:textId="77777777" w:rsidR="007B4BAD" w:rsidRDefault="007B4BAD" w:rsidP="00472B02">
            <w:pPr>
              <w:pStyle w:val="TableText"/>
            </w:pPr>
            <w:r>
              <w:t>Negligible risk</w:t>
            </w:r>
          </w:p>
        </w:tc>
        <w:tc>
          <w:tcPr>
            <w:tcW w:w="699" w:type="pct"/>
            <w:tcBorders>
              <w:top w:val="single" w:sz="8" w:space="0" w:color="C0C0C0"/>
              <w:left w:val="single" w:sz="8" w:space="0" w:color="C0C0C0"/>
              <w:bottom w:val="single" w:sz="4" w:space="0" w:color="auto"/>
              <w:right w:val="single" w:sz="4" w:space="0" w:color="auto"/>
            </w:tcBorders>
            <w:shd w:val="clear" w:color="auto" w:fill="000000"/>
          </w:tcPr>
          <w:p w14:paraId="6C4CB524" w14:textId="77777777" w:rsidR="007B4BAD" w:rsidRDefault="007B4BAD" w:rsidP="00472B02">
            <w:pPr>
              <w:pStyle w:val="TableText"/>
              <w:rPr>
                <w:color w:val="FFFFFF"/>
              </w:rPr>
            </w:pPr>
            <w:r>
              <w:rPr>
                <w:color w:val="FFFFFF"/>
              </w:rPr>
              <w:t>Very low risk</w:t>
            </w:r>
          </w:p>
        </w:tc>
      </w:tr>
    </w:tbl>
    <w:p w14:paraId="5FF011DD" w14:textId="77777777" w:rsidR="007B4BAD" w:rsidRDefault="007B4BAD" w:rsidP="007B4BAD">
      <w:pPr>
        <w:pStyle w:val="Heading3"/>
        <w:numPr>
          <w:ilvl w:val="0"/>
          <w:numId w:val="0"/>
        </w:numPr>
      </w:pPr>
      <w:bookmarkStart w:id="18" w:name="_Toc506467508"/>
    </w:p>
    <w:p w14:paraId="17EA47D2" w14:textId="77777777" w:rsidR="007B4BAD" w:rsidRPr="007B4BAD" w:rsidRDefault="007B4BAD" w:rsidP="0092363E">
      <w:pPr>
        <w:pStyle w:val="Heading2"/>
      </w:pPr>
      <w:bookmarkStart w:id="19" w:name="_Toc87425136"/>
      <w:bookmarkEnd w:id="18"/>
      <w:r w:rsidRPr="007B4BAD">
        <w:t>Stage 1</w:t>
      </w:r>
      <w:r w:rsidR="005E3C5C">
        <w:t>:</w:t>
      </w:r>
      <w:r w:rsidRPr="007B4BAD">
        <w:t xml:space="preserve"> Initiation</w:t>
      </w:r>
      <w:bookmarkEnd w:id="19"/>
    </w:p>
    <w:p w14:paraId="11D1F26C" w14:textId="5FFCBE0A" w:rsidR="007B4BAD" w:rsidRPr="007B4BAD" w:rsidRDefault="007B4BAD" w:rsidP="007B4BAD">
      <w:pPr>
        <w:spacing w:before="0"/>
      </w:pPr>
      <w:r w:rsidRPr="007B4BAD">
        <w:t>Initiation commences when an applicant provides a submission proposing the release of a biological control agent</w:t>
      </w:r>
      <w:r w:rsidRPr="00C6395B">
        <w:t>.</w:t>
      </w:r>
      <w:r w:rsidR="00C6395B" w:rsidRPr="00C6395B">
        <w:t xml:space="preserve"> The Department of Agriculture, Water and the Environment will not commence an assessment to release a biological control agent unless the target </w:t>
      </w:r>
      <w:r w:rsidR="00714FFC">
        <w:t xml:space="preserve">pest in the submission </w:t>
      </w:r>
      <w:r w:rsidR="00C6395B" w:rsidRPr="00C6395B">
        <w:t xml:space="preserve">has been approved </w:t>
      </w:r>
      <w:r w:rsidR="00714FFC">
        <w:t xml:space="preserve">as a biological control target </w:t>
      </w:r>
      <w:r w:rsidR="00C6395B" w:rsidRPr="00C6395B">
        <w:t>by an appropriate government body.</w:t>
      </w:r>
    </w:p>
    <w:p w14:paraId="3E4DD660" w14:textId="3954A41B" w:rsidR="007B4BAD" w:rsidRDefault="007B4BAD" w:rsidP="007B4BAD">
      <w:r w:rsidRPr="007B4BAD">
        <w:t>The risk analysis area is defined as all of Australia</w:t>
      </w:r>
      <w:r w:rsidR="00601359">
        <w:t xml:space="preserve"> </w:t>
      </w:r>
      <w:r w:rsidR="00601359" w:rsidRPr="00601359">
        <w:t>(excluding its external territories)</w:t>
      </w:r>
      <w:r w:rsidR="00601359">
        <w:t>,</w:t>
      </w:r>
      <w:r w:rsidRPr="007B4BAD">
        <w:t xml:space="preserve"> given that once released there will be no control of spread of the agent other than environmental constraints related to the biology of the organism.</w:t>
      </w:r>
    </w:p>
    <w:p w14:paraId="4B26031B" w14:textId="77777777" w:rsidR="007B4BAD" w:rsidRPr="007B4BAD" w:rsidRDefault="007B4BAD" w:rsidP="0092363E">
      <w:pPr>
        <w:pStyle w:val="Heading2"/>
      </w:pPr>
      <w:bookmarkStart w:id="20" w:name="_Toc506467509"/>
      <w:bookmarkStart w:id="21" w:name="_Toc87425137"/>
      <w:r w:rsidRPr="007B4BAD">
        <w:t>Stage 2</w:t>
      </w:r>
      <w:r w:rsidR="005E3C5C">
        <w:t>:</w:t>
      </w:r>
      <w:r w:rsidRPr="007B4BAD">
        <w:t xml:space="preserve"> Risk assessment</w:t>
      </w:r>
      <w:bookmarkEnd w:id="20"/>
      <w:bookmarkEnd w:id="21"/>
    </w:p>
    <w:p w14:paraId="0C5201AC" w14:textId="77777777" w:rsidR="007B4BAD" w:rsidRPr="007B4BAD" w:rsidRDefault="007B4BAD" w:rsidP="007B4BAD">
      <w:pPr>
        <w:spacing w:before="0"/>
      </w:pPr>
      <w:r w:rsidRPr="007B4BAD">
        <w:t xml:space="preserve">This assessment evaluates the likelihood of off-target effects and the potential economic and environmental consequences of </w:t>
      </w:r>
      <w:r w:rsidR="00C43C3E">
        <w:t>any such</w:t>
      </w:r>
      <w:r w:rsidRPr="007B4BAD">
        <w:t xml:space="preserve"> effects.</w:t>
      </w:r>
    </w:p>
    <w:p w14:paraId="4116D550" w14:textId="77777777" w:rsidR="007B4BAD" w:rsidRPr="007B4BAD" w:rsidRDefault="00CB6892" w:rsidP="007B4BAD">
      <w:pPr>
        <w:spacing w:before="0"/>
      </w:pPr>
      <w:r w:rsidRPr="00CB6892">
        <w:t>The risk assessment is based primarily on consideration of the information provided by the applicant in the application package, including the results of host specificity testing, and current information in the scientific literature, where this is available.</w:t>
      </w:r>
      <w:r>
        <w:t xml:space="preserve"> </w:t>
      </w:r>
      <w:r w:rsidR="007B4BAD" w:rsidRPr="007B4BAD">
        <w:t>Given that the proposal is for deliberate release, the likelihood of entry, establishment and spread is assumed to be certain</w:t>
      </w:r>
      <w:r w:rsidR="00C43C3E">
        <w:t>,</w:t>
      </w:r>
      <w:r w:rsidR="007B4BAD" w:rsidRPr="007B4BAD">
        <w:t xml:space="preserve"> and therefore the assessment relates to the host specificity of the proposed agent.</w:t>
      </w:r>
    </w:p>
    <w:p w14:paraId="24022FE3" w14:textId="77777777" w:rsidR="007B4BAD" w:rsidRPr="007B4BAD" w:rsidRDefault="007B4BAD" w:rsidP="007B4BAD">
      <w:pPr>
        <w:spacing w:before="0"/>
      </w:pPr>
      <w:r w:rsidRPr="007B4BAD">
        <w:t>A likelihood is assigned to the estimate of</w:t>
      </w:r>
      <w:r w:rsidR="00C43C3E">
        <w:t xml:space="preserve"> occurrence of</w:t>
      </w:r>
      <w:r w:rsidRPr="007B4BAD">
        <w:t xml:space="preserve"> off-target effects. Six descriptors are used: high; moderate; low; very low; extremely lo</w:t>
      </w:r>
      <w:r w:rsidR="007635BE">
        <w:t>w; and negligible. D</w:t>
      </w:r>
      <w:r w:rsidRPr="007B4BAD">
        <w:t>efinitions for these descriptors and their indicative ranges are given in Appendix A, Table 1.</w:t>
      </w:r>
    </w:p>
    <w:p w14:paraId="02F3D86F" w14:textId="7F31F7E0" w:rsidR="00AA431D" w:rsidRDefault="00AA431D" w:rsidP="0092363E">
      <w:pPr>
        <w:pStyle w:val="Heading3"/>
      </w:pPr>
      <w:r>
        <w:t>Host specificity testing methodology</w:t>
      </w:r>
    </w:p>
    <w:p w14:paraId="76ADAAF8" w14:textId="043F3D1F" w:rsidR="001E5A39" w:rsidRDefault="001E5A39" w:rsidP="001E5A39">
      <w:r>
        <w:t>The following summarised information regarding host specificity testing has been sourced from the application provided by QDAF (Attachment 1). For further details please refer to the application.</w:t>
      </w:r>
    </w:p>
    <w:p w14:paraId="3AFF44DC" w14:textId="7A04C9C8" w:rsidR="001E5A39" w:rsidRDefault="001E5A39" w:rsidP="001E5A39">
      <w:pPr>
        <w:rPr>
          <w:bCs/>
          <w:iCs/>
        </w:rPr>
      </w:pPr>
      <w:r>
        <w:t xml:space="preserve">In order to determine whether any non-target species would be at risk from the candidate agent, host specificity tests were conducted with </w:t>
      </w:r>
      <w:r w:rsidRPr="001E5A39">
        <w:rPr>
          <w:i/>
          <w:iCs/>
        </w:rPr>
        <w:t>Stomphastis</w:t>
      </w:r>
      <w:r>
        <w:t xml:space="preserve"> sp. nov.</w:t>
      </w:r>
      <w:r w:rsidRPr="001E5A39">
        <w:t xml:space="preserve"> under quarantine containment conditions in Australia</w:t>
      </w:r>
      <w:r>
        <w:t>.</w:t>
      </w:r>
      <w:r w:rsidR="00F65F43" w:rsidRPr="00F65F43">
        <w:t xml:space="preserve"> The applicant conducted host specificity tests on a total of </w:t>
      </w:r>
      <w:r w:rsidR="00A56E28">
        <w:t>5</w:t>
      </w:r>
      <w:r w:rsidR="00D60965">
        <w:t>0</w:t>
      </w:r>
      <w:r w:rsidR="00F65F43" w:rsidRPr="00F65F43">
        <w:t xml:space="preserve"> </w:t>
      </w:r>
      <w:r w:rsidR="00D60965">
        <w:t xml:space="preserve">non-target </w:t>
      </w:r>
      <w:r w:rsidR="00F65F43" w:rsidRPr="00F65F43">
        <w:t>plant species</w:t>
      </w:r>
      <w:r w:rsidR="00D60965">
        <w:t xml:space="preserve"> </w:t>
      </w:r>
      <w:r w:rsidR="00D21F38">
        <w:t>(Attachment 1, Table</w:t>
      </w:r>
      <w:r w:rsidR="00A56E28">
        <w:t xml:space="preserve"> 5).</w:t>
      </w:r>
      <w:r w:rsidR="00D46811" w:rsidRPr="00D46811">
        <w:t xml:space="preserve"> The standard phylogenetic approach for test list species selection, where closely related species within the target species’ family are tested, was followed (Briese 2005).</w:t>
      </w:r>
      <w:r w:rsidR="00D46811" w:rsidRPr="00D46811">
        <w:rPr>
          <w:rFonts w:ascii="Times New Roman" w:eastAsia="Times New Roman" w:hAnsi="Times New Roman"/>
          <w:bCs/>
          <w:iCs/>
          <w:color w:val="000000"/>
        </w:rPr>
        <w:t xml:space="preserve"> </w:t>
      </w:r>
      <w:r w:rsidR="00D46811" w:rsidRPr="00D46811">
        <w:rPr>
          <w:i/>
          <w:iCs/>
        </w:rPr>
        <w:t>Jatropha gossypiifolia</w:t>
      </w:r>
      <w:r w:rsidR="00D46811" w:rsidRPr="00D46811">
        <w:t xml:space="preserve"> belongs</w:t>
      </w:r>
      <w:r w:rsidR="00D46811">
        <w:t xml:space="preserve"> to the subfamily </w:t>
      </w:r>
      <w:r w:rsidR="00D46811" w:rsidRPr="00D46811">
        <w:t>Crotonoideae and family Euphorbiaceae</w:t>
      </w:r>
      <w:r w:rsidR="00D46811">
        <w:t>.</w:t>
      </w:r>
      <w:r w:rsidR="00D46811" w:rsidRPr="00D46811">
        <w:t xml:space="preserve"> There</w:t>
      </w:r>
      <w:r w:rsidR="00D46811">
        <w:rPr>
          <w:bCs/>
          <w:iCs/>
        </w:rPr>
        <w:t xml:space="preserve"> are </w:t>
      </w:r>
      <w:r w:rsidR="00D46811" w:rsidRPr="00D46811">
        <w:rPr>
          <w:bCs/>
          <w:iCs/>
        </w:rPr>
        <w:t>four</w:t>
      </w:r>
      <w:r w:rsidR="00D46811">
        <w:rPr>
          <w:bCs/>
          <w:iCs/>
        </w:rPr>
        <w:t xml:space="preserve"> introduced</w:t>
      </w:r>
      <w:r w:rsidR="00D46811" w:rsidRPr="00D46811">
        <w:rPr>
          <w:bCs/>
          <w:iCs/>
        </w:rPr>
        <w:t xml:space="preserve"> </w:t>
      </w:r>
      <w:r w:rsidR="00D46811" w:rsidRPr="00D46811">
        <w:rPr>
          <w:bCs/>
          <w:i/>
        </w:rPr>
        <w:t>Jatropha</w:t>
      </w:r>
      <w:r w:rsidR="00D46811" w:rsidRPr="00D46811">
        <w:rPr>
          <w:bCs/>
          <w:iCs/>
        </w:rPr>
        <w:t xml:space="preserve"> species</w:t>
      </w:r>
      <w:r w:rsidR="00D46811">
        <w:rPr>
          <w:bCs/>
          <w:iCs/>
        </w:rPr>
        <w:t>, including the target weed,</w:t>
      </w:r>
      <w:r w:rsidR="00D46811" w:rsidRPr="00D46811">
        <w:rPr>
          <w:bCs/>
          <w:iCs/>
        </w:rPr>
        <w:t xml:space="preserve"> in Australia </w:t>
      </w:r>
      <w:r w:rsidR="00D46811">
        <w:rPr>
          <w:bCs/>
          <w:iCs/>
        </w:rPr>
        <w:t xml:space="preserve">and these species were all included in the testing. There are no native </w:t>
      </w:r>
      <w:r w:rsidR="00D46811" w:rsidRPr="00D46811">
        <w:rPr>
          <w:bCs/>
          <w:i/>
        </w:rPr>
        <w:t>Jatropha</w:t>
      </w:r>
      <w:r w:rsidR="00D46811">
        <w:rPr>
          <w:bCs/>
          <w:iCs/>
        </w:rPr>
        <w:t xml:space="preserve"> species present in Australia.</w:t>
      </w:r>
      <w:r w:rsidR="00D46811" w:rsidRPr="00D46811">
        <w:t xml:space="preserve"> </w:t>
      </w:r>
      <w:r w:rsidR="00D46811">
        <w:rPr>
          <w:bCs/>
          <w:iCs/>
        </w:rPr>
        <w:t>R</w:t>
      </w:r>
      <w:r w:rsidR="00D46811" w:rsidRPr="00D46811">
        <w:rPr>
          <w:bCs/>
          <w:iCs/>
        </w:rPr>
        <w:t xml:space="preserve">epresentatives from </w:t>
      </w:r>
      <w:r w:rsidR="00D46811">
        <w:rPr>
          <w:bCs/>
          <w:iCs/>
        </w:rPr>
        <w:t>both the family and subfamily</w:t>
      </w:r>
      <w:r w:rsidR="00D46811" w:rsidRPr="00D46811">
        <w:rPr>
          <w:bCs/>
          <w:iCs/>
        </w:rPr>
        <w:t>, including native and exotic species, were included in testing</w:t>
      </w:r>
      <w:r w:rsidR="00D46811">
        <w:rPr>
          <w:bCs/>
          <w:iCs/>
        </w:rPr>
        <w:t>.</w:t>
      </w:r>
      <w:r w:rsidR="00D60965">
        <w:rPr>
          <w:bCs/>
          <w:iCs/>
        </w:rPr>
        <w:t xml:space="preserve"> Five unrelated plant species were also tested as they are attacked by other closely related </w:t>
      </w:r>
      <w:r w:rsidR="00D60965" w:rsidRPr="00D60965">
        <w:rPr>
          <w:bCs/>
          <w:i/>
        </w:rPr>
        <w:t>Stomphastis</w:t>
      </w:r>
      <w:r w:rsidR="00D60965">
        <w:rPr>
          <w:bCs/>
          <w:iCs/>
        </w:rPr>
        <w:t xml:space="preserve"> species.</w:t>
      </w:r>
    </w:p>
    <w:p w14:paraId="31C0F977" w14:textId="76B8654F" w:rsidR="00B56F7A" w:rsidRDefault="00B56F7A" w:rsidP="001E5A39">
      <w:r w:rsidRPr="00B56F7A">
        <w:t>Non-target plant species were obtained as seeds, cuttings or whole plants from a range of locations across Australia.</w:t>
      </w:r>
    </w:p>
    <w:p w14:paraId="1B1385E2" w14:textId="36B09A2D" w:rsidR="00B56F7A" w:rsidRDefault="00B56F7A" w:rsidP="001E5A39">
      <w:r w:rsidRPr="00B56F7A">
        <w:lastRenderedPageBreak/>
        <w:t>Host specificity testing in this application involved several experimental methods. Testing consisted of</w:t>
      </w:r>
      <w:r w:rsidR="002F4D70">
        <w:t xml:space="preserve"> no-choice tests, paired-choice comparison tests, choice oviposition tests and</w:t>
      </w:r>
      <w:r w:rsidR="000C0BD4">
        <w:t xml:space="preserve"> m</w:t>
      </w:r>
      <w:r w:rsidR="000C0BD4" w:rsidRPr="000C0BD4">
        <w:t>ultiple-choice oviposition test</w:t>
      </w:r>
      <w:r w:rsidR="000C0BD4">
        <w:t>s</w:t>
      </w:r>
      <w:r w:rsidR="000C0BD4" w:rsidRPr="000C0BD4">
        <w:t xml:space="preserve">, in the absence of </w:t>
      </w:r>
      <w:r w:rsidR="000C0BD4" w:rsidRPr="000C0BD4">
        <w:rPr>
          <w:i/>
        </w:rPr>
        <w:t>J. gossypiifolia</w:t>
      </w:r>
      <w:r w:rsidR="002F4D70">
        <w:t>. Paired-choice comparison testing was only carried out on non-target species on which larval development was recorded in no-choice trials (</w:t>
      </w:r>
      <w:r w:rsidR="002F4D70" w:rsidRPr="002F4D70">
        <w:rPr>
          <w:i/>
          <w:iCs/>
        </w:rPr>
        <w:t>J</w:t>
      </w:r>
      <w:r w:rsidR="002F4D70">
        <w:rPr>
          <w:i/>
          <w:iCs/>
        </w:rPr>
        <w:t>atropha</w:t>
      </w:r>
      <w:r w:rsidR="002F4D70" w:rsidRPr="002F4D70">
        <w:rPr>
          <w:i/>
          <w:iCs/>
        </w:rPr>
        <w:t xml:space="preserve"> curcas</w:t>
      </w:r>
      <w:r w:rsidR="002F4D70">
        <w:t xml:space="preserve"> only).</w:t>
      </w:r>
    </w:p>
    <w:p w14:paraId="5027869D" w14:textId="0991843F" w:rsidR="002F4D70" w:rsidRDefault="00641F55" w:rsidP="001E5A39">
      <w:r>
        <w:t xml:space="preserve">All testing was carried out in quarantine glasshouses maintained at </w:t>
      </w:r>
      <w:r w:rsidRPr="00641F55">
        <w:t xml:space="preserve">30°C </w:t>
      </w:r>
      <w:r>
        <w:t>and</w:t>
      </w:r>
      <w:r w:rsidRPr="00641F55">
        <w:t xml:space="preserve"> 65% relative humidity during the day and 20°C </w:t>
      </w:r>
      <w:r>
        <w:t>and</w:t>
      </w:r>
      <w:r w:rsidRPr="00641F55">
        <w:t xml:space="preserve"> 55% relative humidity at night for the length of the project on a 12:12 hour cycle</w:t>
      </w:r>
      <w:r>
        <w:t>.</w:t>
      </w:r>
    </w:p>
    <w:p w14:paraId="2E8B21F4" w14:textId="72CAC6E5" w:rsidR="00641F55" w:rsidRDefault="00641F55" w:rsidP="00641F55">
      <w:pPr>
        <w:pStyle w:val="Heading4"/>
      </w:pPr>
      <w:r>
        <w:t>No-choice tests</w:t>
      </w:r>
    </w:p>
    <w:p w14:paraId="03A7753D" w14:textId="50D6AE86" w:rsidR="00B05474" w:rsidRDefault="00B05474" w:rsidP="00B05474">
      <w:r>
        <w:t xml:space="preserve">Twenty newly emerged unsexed </w:t>
      </w:r>
      <w:r w:rsidRPr="00B05474">
        <w:rPr>
          <w:i/>
          <w:iCs/>
        </w:rPr>
        <w:t>Stomphastis</w:t>
      </w:r>
      <w:r>
        <w:t xml:space="preserve"> sp. nov. adult moths were released into a gauze covered cage (45 x 45 x 90cm) containing one potted test plant. Sugar solution was provided for sustenance. Plants were checked periodically for eggs and larval mines, and finally when all adults had died. All test plants with eggs and larval mines were monitored until adults had emerged on the control </w:t>
      </w:r>
      <w:r w:rsidRPr="00B05474">
        <w:rPr>
          <w:i/>
          <w:iCs/>
        </w:rPr>
        <w:t>J. gossypiifolia</w:t>
      </w:r>
      <w:r>
        <w:t xml:space="preserve"> plant. If there was any evidence of live larvae on non-target plants at this stage, the test plants were monitored until no live </w:t>
      </w:r>
      <w:r w:rsidRPr="00B05474">
        <w:rPr>
          <w:i/>
          <w:iCs/>
        </w:rPr>
        <w:t>Stomphastis</w:t>
      </w:r>
      <w:r>
        <w:t xml:space="preserve"> sp. nov were present.</w:t>
      </w:r>
    </w:p>
    <w:p w14:paraId="4A494FCB" w14:textId="77777777" w:rsidR="00B05474" w:rsidRDefault="00B05474" w:rsidP="00B05474">
      <w:r w:rsidRPr="00B05474">
        <w:rPr>
          <w:i/>
          <w:iCs/>
        </w:rPr>
        <w:t>Camellia sinensis</w:t>
      </w:r>
      <w:r>
        <w:t xml:space="preserve"> and </w:t>
      </w:r>
      <w:r w:rsidRPr="00B05474">
        <w:rPr>
          <w:i/>
          <w:iCs/>
        </w:rPr>
        <w:t>Coffea arabica</w:t>
      </w:r>
      <w:r>
        <w:t xml:space="preserve"> were tested at a later date. For these no-choice tests only 10 newly emerged unsexed adults were used.</w:t>
      </w:r>
    </w:p>
    <w:p w14:paraId="683D4589" w14:textId="4DE1CCC8" w:rsidR="00641F55" w:rsidRDefault="00B05474" w:rsidP="00B05474">
      <w:r>
        <w:t xml:space="preserve">Ten newly emerged unsexed adults were used for the </w:t>
      </w:r>
      <w:r w:rsidRPr="00B05474">
        <w:rPr>
          <w:i/>
          <w:iCs/>
        </w:rPr>
        <w:t>J. gossypiifolia</w:t>
      </w:r>
      <w:r>
        <w:t xml:space="preserve"> controls. The applicant states that this was so as not to overburden the plants.</w:t>
      </w:r>
    </w:p>
    <w:p w14:paraId="6A7A045F" w14:textId="4E79FF3A" w:rsidR="00052FA8" w:rsidRDefault="00052FA8" w:rsidP="00B05474">
      <w:r>
        <w:t xml:space="preserve">Non-target </w:t>
      </w:r>
      <w:r w:rsidR="00320A40">
        <w:t xml:space="preserve">test </w:t>
      </w:r>
      <w:r>
        <w:t xml:space="preserve">plant </w:t>
      </w:r>
      <w:r w:rsidRPr="00052FA8">
        <w:t xml:space="preserve">species were subjected to a minimum of </w:t>
      </w:r>
      <w:r w:rsidR="003D780B">
        <w:t>5</w:t>
      </w:r>
      <w:r w:rsidRPr="00052FA8">
        <w:t xml:space="preserve"> replicat</w:t>
      </w:r>
      <w:r w:rsidR="00522EE0">
        <w:t>e</w:t>
      </w:r>
      <w:r w:rsidRPr="00052FA8">
        <w:t xml:space="preserve">s (exceptions were </w:t>
      </w:r>
      <w:r w:rsidRPr="00052FA8">
        <w:rPr>
          <w:i/>
          <w:iCs/>
        </w:rPr>
        <w:t>Ricinocarpos pinifolius</w:t>
      </w:r>
      <w:r w:rsidRPr="00052FA8">
        <w:t xml:space="preserve"> and </w:t>
      </w:r>
      <w:r w:rsidRPr="00052FA8">
        <w:rPr>
          <w:i/>
          <w:iCs/>
        </w:rPr>
        <w:t>Euphorbia plumerioides</w:t>
      </w:r>
      <w:r w:rsidRPr="00052FA8">
        <w:t xml:space="preserve"> which were subjected to </w:t>
      </w:r>
      <w:r w:rsidR="003D780B">
        <w:t>3</w:t>
      </w:r>
      <w:r w:rsidRPr="00052FA8">
        <w:t xml:space="preserve"> rep</w:t>
      </w:r>
      <w:r>
        <w:t>licat</w:t>
      </w:r>
      <w:r w:rsidR="00522EE0">
        <w:t>es</w:t>
      </w:r>
      <w:r w:rsidRPr="00052FA8">
        <w:t>).</w:t>
      </w:r>
    </w:p>
    <w:p w14:paraId="52D48EC6" w14:textId="38E4FEF0" w:rsidR="00690508" w:rsidRDefault="00690508" w:rsidP="00690508">
      <w:pPr>
        <w:pStyle w:val="Heading4"/>
      </w:pPr>
      <w:bookmarkStart w:id="22" w:name="_Hlk74229643"/>
      <w:r>
        <w:t>P</w:t>
      </w:r>
      <w:r w:rsidRPr="00690508">
        <w:t>aired-choice comparison tests</w:t>
      </w:r>
    </w:p>
    <w:bookmarkEnd w:id="22"/>
    <w:p w14:paraId="4415160D" w14:textId="5DFF11B5" w:rsidR="00690508" w:rsidRDefault="003A6DE1" w:rsidP="00B05474">
      <w:r>
        <w:t xml:space="preserve">Only </w:t>
      </w:r>
      <w:r w:rsidRPr="003A6DE1">
        <w:rPr>
          <w:i/>
          <w:iCs/>
        </w:rPr>
        <w:t>J. curcas</w:t>
      </w:r>
      <w:r>
        <w:t xml:space="preserve"> was tested using this method as this species was the only test plant species that supported larval development. </w:t>
      </w:r>
      <w:r w:rsidR="00522EE0">
        <w:t>Ten</w:t>
      </w:r>
      <w:r w:rsidR="00522EE0" w:rsidRPr="00522EE0">
        <w:t xml:space="preserve"> newly emerged unsexed </w:t>
      </w:r>
      <w:r w:rsidR="00522EE0" w:rsidRPr="00522EE0">
        <w:rPr>
          <w:i/>
          <w:iCs/>
        </w:rPr>
        <w:t>Stomphastis</w:t>
      </w:r>
      <w:r w:rsidR="00522EE0" w:rsidRPr="00522EE0">
        <w:t xml:space="preserve"> sp. nov. adult moths were released into a gauze covered cage (100 x 45 x 90cm) containing </w:t>
      </w:r>
      <w:r w:rsidR="00522EE0">
        <w:t>one</w:t>
      </w:r>
      <w:r w:rsidR="00522EE0" w:rsidRPr="00522EE0">
        <w:t xml:space="preserve"> </w:t>
      </w:r>
      <w:r w:rsidR="00522EE0" w:rsidRPr="00522EE0">
        <w:rPr>
          <w:i/>
          <w:iCs/>
        </w:rPr>
        <w:t>J. curcas</w:t>
      </w:r>
      <w:r w:rsidR="00522EE0" w:rsidRPr="00522EE0">
        <w:t xml:space="preserve"> potted plant and </w:t>
      </w:r>
      <w:r w:rsidR="00522EE0">
        <w:t>one</w:t>
      </w:r>
      <w:r w:rsidR="00522EE0" w:rsidRPr="00522EE0">
        <w:t xml:space="preserve"> </w:t>
      </w:r>
      <w:r w:rsidR="00522EE0" w:rsidRPr="00522EE0">
        <w:rPr>
          <w:i/>
          <w:iCs/>
        </w:rPr>
        <w:t>J. gossypiifolia</w:t>
      </w:r>
      <w:r w:rsidR="00522EE0" w:rsidRPr="00522EE0">
        <w:t xml:space="preserve"> potted plant. Adults </w:t>
      </w:r>
      <w:r w:rsidR="00522EE0">
        <w:t xml:space="preserve">were </w:t>
      </w:r>
      <w:r w:rsidR="00522EE0" w:rsidRPr="00522EE0">
        <w:t>removed after one day and egg</w:t>
      </w:r>
      <w:r w:rsidR="00522EE0">
        <w:t xml:space="preserve"> numbers</w:t>
      </w:r>
      <w:r w:rsidR="00522EE0" w:rsidRPr="00522EE0">
        <w:t xml:space="preserve"> on each plant counted. Plants </w:t>
      </w:r>
      <w:r w:rsidR="00522EE0">
        <w:t xml:space="preserve">were </w:t>
      </w:r>
      <w:r w:rsidR="00522EE0" w:rsidRPr="00522EE0">
        <w:t xml:space="preserve">monitored and </w:t>
      </w:r>
      <w:r>
        <w:t xml:space="preserve">the number and </w:t>
      </w:r>
      <w:r w:rsidR="00522EE0" w:rsidRPr="00522EE0">
        <w:t>duration of</w:t>
      </w:r>
      <w:r>
        <w:t xml:space="preserve"> each life stage</w:t>
      </w:r>
      <w:r w:rsidR="00522EE0" w:rsidRPr="00522EE0">
        <w:t xml:space="preserve"> </w:t>
      </w:r>
      <w:r>
        <w:t>(</w:t>
      </w:r>
      <w:r w:rsidR="00522EE0" w:rsidRPr="00522EE0">
        <w:t>larvae, adults and pupae</w:t>
      </w:r>
      <w:r>
        <w:t>)</w:t>
      </w:r>
      <w:r w:rsidR="00522EE0" w:rsidRPr="00522EE0">
        <w:t xml:space="preserve"> were recorded.</w:t>
      </w:r>
      <w:r w:rsidR="00522EE0">
        <w:t xml:space="preserve"> Eight replicates were completed.</w:t>
      </w:r>
    </w:p>
    <w:p w14:paraId="648C769A" w14:textId="5D3AF154" w:rsidR="00522EE0" w:rsidRDefault="006C70A4" w:rsidP="006C70A4">
      <w:pPr>
        <w:pStyle w:val="Heading4"/>
      </w:pPr>
      <w:bookmarkStart w:id="23" w:name="_Hlk74229930"/>
      <w:r>
        <w:t>C</w:t>
      </w:r>
      <w:r w:rsidRPr="006C70A4">
        <w:t>hoice oviposition tests</w:t>
      </w:r>
    </w:p>
    <w:bookmarkEnd w:id="23"/>
    <w:p w14:paraId="1A1B580E" w14:textId="1A4C9478" w:rsidR="00173377" w:rsidRDefault="00173377" w:rsidP="00B05474">
      <w:r>
        <w:t xml:space="preserve">Choice oviposition tests were carried out on all non-target plant species on which eggs were laid and </w:t>
      </w:r>
      <w:r w:rsidR="003D780B">
        <w:t>first</w:t>
      </w:r>
      <w:r w:rsidR="005D58E9">
        <w:t xml:space="preserve"> </w:t>
      </w:r>
      <w:r>
        <w:t>instar larvae hatched</w:t>
      </w:r>
      <w:r w:rsidR="005D58E9">
        <w:t xml:space="preserve"> during no-choice testing.</w:t>
      </w:r>
      <w:r w:rsidR="009C66E7">
        <w:t xml:space="preserve"> </w:t>
      </w:r>
      <w:r w:rsidR="009C66E7" w:rsidRPr="009C66E7">
        <w:rPr>
          <w:i/>
          <w:iCs/>
        </w:rPr>
        <w:t>Jatropha curcas</w:t>
      </w:r>
      <w:r w:rsidR="009C66E7">
        <w:t xml:space="preserve"> was not tested during these trials as this species had already been tested using paired-choice comparison tests.</w:t>
      </w:r>
    </w:p>
    <w:p w14:paraId="50278C5B" w14:textId="32845771" w:rsidR="00FE0ACD" w:rsidRDefault="00112F70" w:rsidP="00B05474">
      <w:r>
        <w:t>A p</w:t>
      </w:r>
      <w:r w:rsidRPr="00112F70">
        <w:t xml:space="preserve">reliminary trial </w:t>
      </w:r>
      <w:r>
        <w:t xml:space="preserve">was conducted </w:t>
      </w:r>
      <w:r w:rsidRPr="00112F70">
        <w:t>with</w:t>
      </w:r>
      <w:r>
        <w:t xml:space="preserve"> single plants of</w:t>
      </w:r>
      <w:r w:rsidRPr="00112F70">
        <w:t xml:space="preserve"> </w:t>
      </w:r>
      <w:r w:rsidRPr="00112F70">
        <w:rPr>
          <w:i/>
          <w:iCs/>
        </w:rPr>
        <w:t>Croton verreauxii</w:t>
      </w:r>
      <w:r w:rsidRPr="00112F70">
        <w:t xml:space="preserve">, </w:t>
      </w:r>
      <w:r w:rsidRPr="00112F70">
        <w:rPr>
          <w:i/>
          <w:iCs/>
        </w:rPr>
        <w:t>Baloghia inophylla</w:t>
      </w:r>
      <w:r w:rsidRPr="00112F70">
        <w:t xml:space="preserve"> and </w:t>
      </w:r>
      <w:r w:rsidRPr="00112F70">
        <w:rPr>
          <w:i/>
          <w:iCs/>
        </w:rPr>
        <w:t>Aleurites moluccanus</w:t>
      </w:r>
      <w:r w:rsidRPr="00112F70">
        <w:t xml:space="preserve"> and a single </w:t>
      </w:r>
      <w:r w:rsidRPr="00112F70">
        <w:rPr>
          <w:i/>
          <w:iCs/>
        </w:rPr>
        <w:t>J. gossypiifolia</w:t>
      </w:r>
      <w:r w:rsidRPr="00112F70">
        <w:t xml:space="preserve"> plant </w:t>
      </w:r>
      <w:r>
        <w:t>using</w:t>
      </w:r>
      <w:r w:rsidRPr="00112F70">
        <w:t xml:space="preserve"> 10 newly emerged unsexed adults in a gauze covered cage (100 x 45 x 90cm). Plants </w:t>
      </w:r>
      <w:r w:rsidR="00FE0ACD">
        <w:t xml:space="preserve">were </w:t>
      </w:r>
      <w:r w:rsidRPr="00112F70">
        <w:t>checked weekly and n</w:t>
      </w:r>
      <w:r w:rsidR="00FE0ACD">
        <w:t>umbers</w:t>
      </w:r>
      <w:r w:rsidRPr="00112F70">
        <w:t xml:space="preserve"> of eggs and mines counted. </w:t>
      </w:r>
      <w:r w:rsidR="00FE0ACD">
        <w:t>Five replicates were completed.</w:t>
      </w:r>
    </w:p>
    <w:p w14:paraId="594736E1" w14:textId="1246C1AB" w:rsidR="006C70A4" w:rsidRDefault="00FE0ACD" w:rsidP="00B05474">
      <w:r>
        <w:t>Following the preliminary trial, choice oviposition tests were conducted</w:t>
      </w:r>
      <w:r w:rsidR="005C4287">
        <w:t xml:space="preserve"> using </w:t>
      </w:r>
      <w:r w:rsidR="005C4287" w:rsidRPr="005C4287">
        <w:t>three newly emerged sexed adult male/female pairs</w:t>
      </w:r>
      <w:r>
        <w:t xml:space="preserve"> for </w:t>
      </w:r>
      <w:r w:rsidR="005C4287">
        <w:t>all</w:t>
      </w:r>
      <w:r>
        <w:t xml:space="preserve"> non-target plants t</w:t>
      </w:r>
      <w:r w:rsidR="0031767D">
        <w:t xml:space="preserve">ested </w:t>
      </w:r>
      <w:r>
        <w:t>during no-choice trials</w:t>
      </w:r>
      <w:r w:rsidR="005D58E9">
        <w:t xml:space="preserve"> </w:t>
      </w:r>
      <w:r w:rsidR="005D58E9">
        <w:lastRenderedPageBreak/>
        <w:t>that had sustained egg lay</w:t>
      </w:r>
      <w:r w:rsidR="005C4287">
        <w:t>ing</w:t>
      </w:r>
      <w:r w:rsidR="005D58E9">
        <w:t xml:space="preserve"> and </w:t>
      </w:r>
      <w:r w:rsidR="003D780B">
        <w:t>first</w:t>
      </w:r>
      <w:r w:rsidR="005D58E9">
        <w:t xml:space="preserve"> instar larval</w:t>
      </w:r>
      <w:r w:rsidR="003D780B">
        <w:t xml:space="preserve"> hatch</w:t>
      </w:r>
      <w:r w:rsidR="005C4287">
        <w:t>ing</w:t>
      </w:r>
      <w:r>
        <w:t xml:space="preserve">. Some species tested during no-choice trials were unable to be sourced for the choice oviposition tests. </w:t>
      </w:r>
      <w:r w:rsidR="00112F70" w:rsidRPr="00112F70">
        <w:t>The same methods as the preliminary trial were used however a larger cage size (215 x 140 x 210cm) was used</w:t>
      </w:r>
      <w:r w:rsidR="00AA45FC">
        <w:t xml:space="preserve"> for all species except for </w:t>
      </w:r>
      <w:r w:rsidR="00AA45FC" w:rsidRPr="00AA45FC">
        <w:rPr>
          <w:i/>
          <w:iCs/>
        </w:rPr>
        <w:t>Camellia sinensis</w:t>
      </w:r>
      <w:r w:rsidR="00AA45FC">
        <w:t xml:space="preserve"> and </w:t>
      </w:r>
      <w:r w:rsidR="00AA45FC" w:rsidRPr="00AA45FC">
        <w:rPr>
          <w:i/>
          <w:iCs/>
        </w:rPr>
        <w:t>Coffea arabica</w:t>
      </w:r>
      <w:r w:rsidR="00AA45FC">
        <w:t xml:space="preserve"> (100 x 45 x 90cm)</w:t>
      </w:r>
      <w:r w:rsidR="00112F70" w:rsidRPr="00112F70">
        <w:t>.</w:t>
      </w:r>
      <w:r>
        <w:t xml:space="preserve"> The larger cage size provided adult moths more space to facilitate choice in their egg laying.</w:t>
      </w:r>
    </w:p>
    <w:p w14:paraId="28D1BCF4" w14:textId="3099AA08" w:rsidR="00A30007" w:rsidRDefault="000C0BD4" w:rsidP="00A30007">
      <w:pPr>
        <w:pStyle w:val="Heading4"/>
      </w:pPr>
      <w:bookmarkStart w:id="24" w:name="_Hlk84498314"/>
      <w:bookmarkStart w:id="25" w:name="_Hlk74293890"/>
      <w:r w:rsidRPr="000C0BD4">
        <w:t>Multiple-choice oviposition test</w:t>
      </w:r>
      <w:r>
        <w:t>s</w:t>
      </w:r>
      <w:r w:rsidRPr="000C0BD4">
        <w:t xml:space="preserve">, in the absence of </w:t>
      </w:r>
      <w:r w:rsidRPr="00BE4208">
        <w:rPr>
          <w:i/>
          <w:iCs w:val="0"/>
        </w:rPr>
        <w:t>J. gossypiifolia</w:t>
      </w:r>
      <w:bookmarkEnd w:id="24"/>
    </w:p>
    <w:bookmarkEnd w:id="25"/>
    <w:p w14:paraId="0CAA7AAE" w14:textId="66A0B7AC" w:rsidR="00A30007" w:rsidRPr="00D21F38" w:rsidRDefault="0031767D" w:rsidP="00B05474">
      <w:r>
        <w:t>T</w:t>
      </w:r>
      <w:r w:rsidRPr="0031767D">
        <w:t>h</w:t>
      </w:r>
      <w:r w:rsidR="000C0BD4">
        <w:t>is</w:t>
      </w:r>
      <w:r w:rsidRPr="0031767D">
        <w:t xml:space="preserve"> test </w:t>
      </w:r>
      <w:r w:rsidR="000C0BD4">
        <w:t>was</w:t>
      </w:r>
      <w:r w:rsidR="000C0BD4" w:rsidRPr="0031767D">
        <w:t xml:space="preserve"> </w:t>
      </w:r>
      <w:r w:rsidRPr="0031767D">
        <w:t xml:space="preserve">conducted with six non-target plant species. The species were chosen due to the high egg lay sustained during no-choice testing. Species tested were </w:t>
      </w:r>
      <w:r w:rsidRPr="00011127">
        <w:rPr>
          <w:i/>
          <w:iCs/>
        </w:rPr>
        <w:t>Alchornea ilicifolia</w:t>
      </w:r>
      <w:r w:rsidRPr="0031767D">
        <w:t xml:space="preserve">, </w:t>
      </w:r>
      <w:r w:rsidRPr="00011127">
        <w:rPr>
          <w:i/>
          <w:iCs/>
        </w:rPr>
        <w:t>Antidesma bunis</w:t>
      </w:r>
      <w:r w:rsidRPr="0031767D">
        <w:t xml:space="preserve">, </w:t>
      </w:r>
      <w:r w:rsidRPr="00011127">
        <w:rPr>
          <w:i/>
          <w:iCs/>
        </w:rPr>
        <w:t>Baloghia inophylla</w:t>
      </w:r>
      <w:r w:rsidRPr="0031767D">
        <w:t xml:space="preserve">, </w:t>
      </w:r>
      <w:r w:rsidRPr="00011127">
        <w:rPr>
          <w:i/>
          <w:iCs/>
        </w:rPr>
        <w:t>Bridelia exaltata</w:t>
      </w:r>
      <w:r w:rsidRPr="0031767D">
        <w:t xml:space="preserve">, </w:t>
      </w:r>
      <w:r w:rsidRPr="00011127">
        <w:rPr>
          <w:i/>
          <w:iCs/>
        </w:rPr>
        <w:t>Croton insularis</w:t>
      </w:r>
      <w:r w:rsidRPr="0031767D">
        <w:t xml:space="preserve">, and </w:t>
      </w:r>
      <w:r w:rsidRPr="00011127">
        <w:rPr>
          <w:i/>
          <w:iCs/>
        </w:rPr>
        <w:t>Omphalea celata</w:t>
      </w:r>
      <w:r w:rsidRPr="0031767D">
        <w:t>. Three newly emerged sexed adult male/female pairs were used in the larger cage size used in choice oviposition tests. The cage contained a single potted plant of each non-target species. When all adults had died the plants were checked for eggs, and then also checked again several days later. If eggs were found</w:t>
      </w:r>
      <w:r w:rsidR="00010ACE">
        <w:t>,</w:t>
      </w:r>
      <w:r w:rsidRPr="0031767D">
        <w:t xml:space="preserve"> plants were monitored until no live </w:t>
      </w:r>
      <w:r w:rsidRPr="00011127">
        <w:rPr>
          <w:i/>
          <w:iCs/>
        </w:rPr>
        <w:t>Stomphastis</w:t>
      </w:r>
      <w:r w:rsidRPr="0031767D">
        <w:t xml:space="preserve"> sp. nov were present.</w:t>
      </w:r>
      <w:r w:rsidR="00AA45FC">
        <w:t xml:space="preserve"> Five replicates were completed.</w:t>
      </w:r>
    </w:p>
    <w:p w14:paraId="4C64456B" w14:textId="3FF70A84" w:rsidR="00AA431D" w:rsidRDefault="007B4BAD" w:rsidP="0092363E">
      <w:pPr>
        <w:pStyle w:val="Heading3"/>
      </w:pPr>
      <w:r>
        <w:t>H</w:t>
      </w:r>
      <w:r w:rsidR="00AA431D">
        <w:t>ost specificity testing</w:t>
      </w:r>
      <w:r>
        <w:t xml:space="preserve"> results</w:t>
      </w:r>
    </w:p>
    <w:p w14:paraId="6A9643DF" w14:textId="77777777" w:rsidR="00810E5E" w:rsidRDefault="00810E5E" w:rsidP="00810E5E">
      <w:pPr>
        <w:pStyle w:val="Heading4"/>
      </w:pPr>
      <w:r>
        <w:t>No-choice tests</w:t>
      </w:r>
    </w:p>
    <w:p w14:paraId="43715FA0" w14:textId="4E531D7B" w:rsidR="00F63887" w:rsidRDefault="00BC7AB8" w:rsidP="000F6627">
      <w:r>
        <w:t>No-choice testing resulted in eggs being laid on 35 of the 50 non-target plant species tested. Egg hatch occurred on 28 of those 35 plant species.</w:t>
      </w:r>
      <w:r w:rsidR="00F63887">
        <w:t xml:space="preserve"> Development through to the adult stage was only recorded on the target plant and </w:t>
      </w:r>
      <w:r w:rsidR="00F63887" w:rsidRPr="00F63887">
        <w:rPr>
          <w:i/>
          <w:iCs/>
        </w:rPr>
        <w:t>J. curcas</w:t>
      </w:r>
      <w:r w:rsidR="00F63887">
        <w:t>.</w:t>
      </w:r>
      <w:r w:rsidR="000D74B0">
        <w:t xml:space="preserve"> Damage to leaves caused by larval mining was extensive on both </w:t>
      </w:r>
      <w:r w:rsidR="000D74B0" w:rsidRPr="000D74B0">
        <w:rPr>
          <w:i/>
          <w:iCs/>
        </w:rPr>
        <w:t>J. gossypiifolia</w:t>
      </w:r>
      <w:r w:rsidR="000D74B0">
        <w:t xml:space="preserve"> and </w:t>
      </w:r>
      <w:r w:rsidR="000D74B0" w:rsidRPr="000D74B0">
        <w:rPr>
          <w:i/>
          <w:iCs/>
        </w:rPr>
        <w:t>J. curcas</w:t>
      </w:r>
      <w:r w:rsidR="000D74B0">
        <w:t>.</w:t>
      </w:r>
    </w:p>
    <w:p w14:paraId="035B4119" w14:textId="65CED703" w:rsidR="000F6627" w:rsidRDefault="00F63887" w:rsidP="000F6627">
      <w:r>
        <w:t xml:space="preserve">For all other test plants, first instar larvae attempted to feed, resulting in exploratory mines, but were unable to develop and died shortly after emergence. Exploratory mines were small and </w:t>
      </w:r>
      <w:bookmarkStart w:id="26" w:name="_Hlk74301135"/>
      <w:r>
        <w:t>only affected the surface layers of leaves. No leaf drop or death was recorded as a result of these mines.</w:t>
      </w:r>
      <w:bookmarkEnd w:id="26"/>
    </w:p>
    <w:p w14:paraId="4B1B7C4F" w14:textId="256C3AD6" w:rsidR="000D74B0" w:rsidRDefault="000D74B0" w:rsidP="000F6627">
      <w:r>
        <w:t xml:space="preserve">It is noted that the standard errors for the mean results for egg lay and hatching </w:t>
      </w:r>
      <w:r w:rsidR="00AB52D9">
        <w:t>were</w:t>
      </w:r>
      <w:r>
        <w:t xml:space="preserve"> quite variable. This </w:t>
      </w:r>
      <w:r w:rsidR="00AB52D9">
        <w:t xml:space="preserve">is assumed to be attributed to the variable numbers of female </w:t>
      </w:r>
      <w:r w:rsidR="00AB52D9" w:rsidRPr="00AB52D9">
        <w:rPr>
          <w:i/>
          <w:iCs/>
        </w:rPr>
        <w:t>Stomphastis</w:t>
      </w:r>
      <w:r w:rsidR="00AB52D9">
        <w:t xml:space="preserve"> sp. nov. moths that would have been present during each replicate as the moths used during testing were unsexed.</w:t>
      </w:r>
    </w:p>
    <w:p w14:paraId="5C6C36C6" w14:textId="77777777" w:rsidR="000D74B0" w:rsidRDefault="000D74B0" w:rsidP="000D74B0">
      <w:pPr>
        <w:pStyle w:val="Heading4"/>
      </w:pPr>
      <w:r>
        <w:t>P</w:t>
      </w:r>
      <w:r w:rsidRPr="00690508">
        <w:t>aired-choice comparison tests</w:t>
      </w:r>
    </w:p>
    <w:p w14:paraId="17912219" w14:textId="5FAD4F09" w:rsidR="000D74B0" w:rsidRDefault="000D74B0" w:rsidP="000F6627">
      <w:r>
        <w:t>During pair</w:t>
      </w:r>
      <w:r w:rsidR="0027754D">
        <w:t>ed</w:t>
      </w:r>
      <w:r>
        <w:t xml:space="preserve">-choice </w:t>
      </w:r>
      <w:r w:rsidR="0027754D">
        <w:t xml:space="preserve">comparison </w:t>
      </w:r>
      <w:r>
        <w:t xml:space="preserve">trials, eggs were laid on both </w:t>
      </w:r>
      <w:r w:rsidRPr="000D74B0">
        <w:rPr>
          <w:i/>
          <w:iCs/>
        </w:rPr>
        <w:t>J. gossypiifolia</w:t>
      </w:r>
      <w:r>
        <w:t xml:space="preserve"> and </w:t>
      </w:r>
      <w:r w:rsidRPr="000D74B0">
        <w:rPr>
          <w:i/>
          <w:iCs/>
        </w:rPr>
        <w:t>J. curcas</w:t>
      </w:r>
      <w:r>
        <w:t>, with no significant difference between the two species. Development of eggs through to the adult stage was also recorded, also resulting in no significant difference between the two species.</w:t>
      </w:r>
    </w:p>
    <w:p w14:paraId="7D23E9D7" w14:textId="77777777" w:rsidR="000D74B0" w:rsidRDefault="000D74B0" w:rsidP="000D74B0">
      <w:pPr>
        <w:pStyle w:val="Heading4"/>
      </w:pPr>
      <w:r>
        <w:t>C</w:t>
      </w:r>
      <w:r w:rsidRPr="006C70A4">
        <w:t>hoice oviposition tests</w:t>
      </w:r>
    </w:p>
    <w:p w14:paraId="62129619" w14:textId="77560DAA" w:rsidR="000D74B0" w:rsidRDefault="009C66E7" w:rsidP="000F6627">
      <w:r>
        <w:t>During choice oviposition trials, minimal numbers of eggs were laid on non-target plant species. Eggs were consistently laid on the target plant in all replicates for all trials. During preliminary trials</w:t>
      </w:r>
      <w:r w:rsidR="00485A18">
        <w:t xml:space="preserve"> an average of 89.9% of eggs </w:t>
      </w:r>
      <w:r w:rsidR="00CA48DE">
        <w:t>were laid</w:t>
      </w:r>
      <w:r w:rsidR="00485A18">
        <w:t xml:space="preserve"> on the target plant, which was significantly greater than the </w:t>
      </w:r>
      <w:r w:rsidR="00CA48DE">
        <w:t>percentage</w:t>
      </w:r>
      <w:r w:rsidR="00485A18">
        <w:t xml:space="preserve"> of eggs laid on the non-target plant species tested.</w:t>
      </w:r>
      <w:r w:rsidR="00CA48DE">
        <w:t xml:space="preserve"> During </w:t>
      </w:r>
      <w:r w:rsidR="00456F3F">
        <w:t>all</w:t>
      </w:r>
      <w:r w:rsidR="00CA48DE">
        <w:t xml:space="preserve"> remaining trials</w:t>
      </w:r>
      <w:r w:rsidR="00456F3F">
        <w:t xml:space="preserve">, significantly greater quantities of eggs were laid on the target weed than the non-target plants tested. No eggs were laid on the majority of non-target plant species tested. The </w:t>
      </w:r>
      <w:r w:rsidR="00456F3F">
        <w:lastRenderedPageBreak/>
        <w:t xml:space="preserve">maximum mean number of eggs </w:t>
      </w:r>
      <w:r w:rsidR="005E5DF8">
        <w:t>recorded</w:t>
      </w:r>
      <w:r w:rsidR="00456F3F">
        <w:t xml:space="preserve"> on a non-target plant was 6 eggs laid on </w:t>
      </w:r>
      <w:r w:rsidR="00456F3F" w:rsidRPr="00456F3F">
        <w:rPr>
          <w:i/>
          <w:iCs/>
        </w:rPr>
        <w:t>Jatropha multifida</w:t>
      </w:r>
      <w:r w:rsidR="00456F3F">
        <w:t xml:space="preserve">. </w:t>
      </w:r>
    </w:p>
    <w:p w14:paraId="39E3C7A0" w14:textId="5BFA41CB" w:rsidR="00456F3F" w:rsidRDefault="00456F3F" w:rsidP="000F6627">
      <w:r>
        <w:t>During all choice oviposition trials there was no larval development on any non-target plant species</w:t>
      </w:r>
      <w:r w:rsidR="005E5DF8">
        <w:t xml:space="preserve">. There was also minimal first instar feeding recorded. On the non-target plants where exploratory mines were recorded, these were small and </w:t>
      </w:r>
      <w:r w:rsidR="005E5DF8" w:rsidRPr="005E5DF8">
        <w:t>only affected the surface layers of leaves. No leaf drop or death was recorded as a result of these mines.</w:t>
      </w:r>
    </w:p>
    <w:p w14:paraId="26F27B99" w14:textId="77777777" w:rsidR="00BE4208" w:rsidRPr="00BE4208" w:rsidRDefault="000C0BD4" w:rsidP="00BE4208">
      <w:pPr>
        <w:pStyle w:val="Heading4"/>
      </w:pPr>
      <w:r w:rsidRPr="000C0BD4">
        <w:t>Multiple-choice oviposition test</w:t>
      </w:r>
      <w:r w:rsidR="007051A9">
        <w:t>s</w:t>
      </w:r>
      <w:r w:rsidRPr="000C0BD4">
        <w:t xml:space="preserve">, in the absence of </w:t>
      </w:r>
      <w:r w:rsidRPr="00BE4208">
        <w:rPr>
          <w:i/>
          <w:iCs w:val="0"/>
        </w:rPr>
        <w:t>J. gossypiifolia</w:t>
      </w:r>
    </w:p>
    <w:p w14:paraId="1C452DAE" w14:textId="677F6FF1" w:rsidR="00BF546F" w:rsidRPr="000F6627" w:rsidRDefault="009F614E" w:rsidP="000F6627">
      <w:r>
        <w:t xml:space="preserve">During the </w:t>
      </w:r>
      <w:r w:rsidR="000C0BD4">
        <w:t>m</w:t>
      </w:r>
      <w:r w:rsidR="000C0BD4" w:rsidRPr="000C0BD4">
        <w:t>ultiple-choice oviposition test</w:t>
      </w:r>
      <w:r w:rsidR="007051A9">
        <w:t>s</w:t>
      </w:r>
      <w:r w:rsidR="000C0BD4" w:rsidRPr="000C0BD4">
        <w:t xml:space="preserve">, in the absence of </w:t>
      </w:r>
      <w:r w:rsidR="000C0BD4" w:rsidRPr="000C0BD4">
        <w:rPr>
          <w:i/>
        </w:rPr>
        <w:t>J. gossypiifolia</w:t>
      </w:r>
      <w:r>
        <w:t>, no eggs were laid</w:t>
      </w:r>
      <w:r w:rsidR="000B607B">
        <w:t xml:space="preserve">, </w:t>
      </w:r>
      <w:r w:rsidR="00BA1D09">
        <w:t>across</w:t>
      </w:r>
      <w:r w:rsidR="000B607B">
        <w:t xml:space="preserve"> all replicates,</w:t>
      </w:r>
      <w:r>
        <w:t xml:space="preserve"> on any of the non-target plant species tested.</w:t>
      </w:r>
    </w:p>
    <w:p w14:paraId="3B2DDB2B" w14:textId="3491F83B" w:rsidR="007B4BAD" w:rsidRDefault="007B4BAD" w:rsidP="0092363E">
      <w:pPr>
        <w:pStyle w:val="Heading3"/>
      </w:pPr>
      <w:r>
        <w:t>Comments on host specificity testing</w:t>
      </w:r>
    </w:p>
    <w:p w14:paraId="3F8F0667" w14:textId="26B8FAA4" w:rsidR="004F62E5" w:rsidRDefault="004F62E5" w:rsidP="007672BE">
      <w:r w:rsidRPr="004F62E5">
        <w:t>By testing closely related non-target plant species, using the methodology outlined above</w:t>
      </w:r>
      <w:r w:rsidR="009D2716">
        <w:t>,</w:t>
      </w:r>
      <w:r w:rsidRPr="004F62E5">
        <w:t xml:space="preserve"> and in the application (Attachment 1), the applicant is considered to have satisfactorily a</w:t>
      </w:r>
      <w:r>
        <w:t>ss</w:t>
      </w:r>
      <w:r w:rsidRPr="004F62E5">
        <w:t>essed the likelihood of off-target effects occurring in the Australian environment.</w:t>
      </w:r>
    </w:p>
    <w:p w14:paraId="5EECADFF" w14:textId="14D4B777" w:rsidR="007672BE" w:rsidRDefault="00B97F2F" w:rsidP="007672BE">
      <w:r w:rsidRPr="00B97F2F">
        <w:t>The reported results of the host specificity testing consistently showed lifecycle completion and damage to</w:t>
      </w:r>
      <w:r>
        <w:t xml:space="preserve"> the target weed,</w:t>
      </w:r>
      <w:r w:rsidRPr="00B97F2F">
        <w:t xml:space="preserve"> </w:t>
      </w:r>
      <w:r w:rsidRPr="00B97F2F">
        <w:rPr>
          <w:i/>
          <w:iCs/>
        </w:rPr>
        <w:t>J. gossypiifolia</w:t>
      </w:r>
      <w:r>
        <w:t xml:space="preserve"> and the closely related species, </w:t>
      </w:r>
      <w:r w:rsidRPr="00B97F2F">
        <w:rPr>
          <w:i/>
          <w:iCs/>
        </w:rPr>
        <w:t>J. curcas</w:t>
      </w:r>
      <w:r>
        <w:t xml:space="preserve"> by </w:t>
      </w:r>
      <w:r w:rsidRPr="00B97F2F">
        <w:rPr>
          <w:i/>
          <w:iCs/>
        </w:rPr>
        <w:t>Stomphastis</w:t>
      </w:r>
      <w:r>
        <w:t xml:space="preserve"> sp. nov. </w:t>
      </w:r>
      <w:r w:rsidRPr="00B97F2F">
        <w:t>within all replicates across all tests.</w:t>
      </w:r>
      <w:r>
        <w:t xml:space="preserve"> </w:t>
      </w:r>
      <w:r w:rsidR="003B7143">
        <w:t xml:space="preserve">The applicant noted that the complete development recorded on </w:t>
      </w:r>
      <w:r w:rsidR="003B7143" w:rsidRPr="003B7143">
        <w:rPr>
          <w:i/>
          <w:iCs/>
        </w:rPr>
        <w:t>J. curcas</w:t>
      </w:r>
      <w:r w:rsidR="003B7143">
        <w:t xml:space="preserve"> was not unexpected as </w:t>
      </w:r>
      <w:r w:rsidR="003B7143" w:rsidRPr="003B7143">
        <w:rPr>
          <w:i/>
          <w:iCs/>
        </w:rPr>
        <w:t>Stomphastis</w:t>
      </w:r>
      <w:r w:rsidR="003B7143">
        <w:t xml:space="preserve"> sp. nov. was also found on </w:t>
      </w:r>
      <w:r w:rsidR="003B7143" w:rsidRPr="00BF6035">
        <w:rPr>
          <w:i/>
          <w:iCs/>
        </w:rPr>
        <w:t>J. curcas</w:t>
      </w:r>
      <w:r w:rsidR="003B7143">
        <w:t xml:space="preserve"> during field surveys. It is noted that </w:t>
      </w:r>
      <w:r w:rsidR="00BF6035" w:rsidRPr="00BF6035">
        <w:rPr>
          <w:i/>
          <w:iCs/>
        </w:rPr>
        <w:t>J. curcas</w:t>
      </w:r>
      <w:r w:rsidR="00BF6035">
        <w:t xml:space="preserve"> is also an approved target for biological control in Australia. The other closely related </w:t>
      </w:r>
      <w:r w:rsidR="00BF6035" w:rsidRPr="00F94EFF">
        <w:rPr>
          <w:i/>
          <w:iCs/>
        </w:rPr>
        <w:t>Jatropha</w:t>
      </w:r>
      <w:r w:rsidR="00BF6035">
        <w:t xml:space="preserve"> species tested (</w:t>
      </w:r>
      <w:r w:rsidR="00BF6035" w:rsidRPr="00BF6035">
        <w:rPr>
          <w:i/>
          <w:iCs/>
        </w:rPr>
        <w:t>J. podagrica</w:t>
      </w:r>
      <w:r w:rsidR="00BF6035">
        <w:t xml:space="preserve"> and </w:t>
      </w:r>
      <w:r w:rsidR="00BF6035" w:rsidRPr="00BF6035">
        <w:rPr>
          <w:i/>
          <w:iCs/>
        </w:rPr>
        <w:t>J. multifida</w:t>
      </w:r>
      <w:r w:rsidR="00BF6035">
        <w:t>) were unable to support larval development</w:t>
      </w:r>
      <w:r w:rsidR="004F62E5">
        <w:t xml:space="preserve"> beyond the first instar</w:t>
      </w:r>
      <w:r w:rsidR="00BF6035">
        <w:t>.</w:t>
      </w:r>
    </w:p>
    <w:p w14:paraId="28AFF818" w14:textId="4DF76BE2" w:rsidR="00B97F2F" w:rsidRDefault="00B97F2F" w:rsidP="007672BE">
      <w:r>
        <w:t>Eggs were laid and exploratory mines were recorded on many non-target test plant species during no-choice testing, however no further development occurred beyond this stage</w:t>
      </w:r>
      <w:r w:rsidR="003B7143">
        <w:t xml:space="preserve">. </w:t>
      </w:r>
      <w:r w:rsidR="00A540E2">
        <w:t xml:space="preserve">It is noted that exploratory mines only caused superficial damage and did not impact plant health. </w:t>
      </w:r>
      <w:r w:rsidR="003B7143">
        <w:t xml:space="preserve">Further choice testing showed minimal egg lay on non-target plant species in the presence of the target weed and in larger cage environments where the moths were in less confined conditions with non-target species. </w:t>
      </w:r>
    </w:p>
    <w:p w14:paraId="693DD9B5" w14:textId="77777777" w:rsidR="00EF09E2" w:rsidRDefault="007B4BAD" w:rsidP="0092363E">
      <w:pPr>
        <w:pStyle w:val="Heading3"/>
      </w:pPr>
      <w:r w:rsidRPr="00EF09E2">
        <w:t>Likelihood of off-target effects</w:t>
      </w:r>
    </w:p>
    <w:p w14:paraId="04D5F3D6" w14:textId="77777777" w:rsidR="00EF09E2" w:rsidRDefault="00EF09E2" w:rsidP="00EF09E2">
      <w:r>
        <w:t xml:space="preserve">The likelihood of off-target effects is </w:t>
      </w:r>
      <w:r w:rsidR="002C0133">
        <w:t>estimated</w:t>
      </w:r>
      <w:r>
        <w:t xml:space="preserve"> on the basis of the</w:t>
      </w:r>
      <w:r w:rsidR="002C0133">
        <w:t xml:space="preserve"> outcomes of</w:t>
      </w:r>
      <w:r>
        <w:t xml:space="preserve"> host specificity testing and other relevant information presented in the application (Attachment 1).</w:t>
      </w:r>
    </w:p>
    <w:p w14:paraId="0B54CDEC" w14:textId="1AC526A8" w:rsidR="00731770" w:rsidRDefault="00731770" w:rsidP="00EF09E2">
      <w:r w:rsidRPr="00731770">
        <w:t>Host specificity testing results indicate that</w:t>
      </w:r>
      <w:r w:rsidR="0015106B">
        <w:t xml:space="preserve"> </w:t>
      </w:r>
      <w:r w:rsidR="0015106B" w:rsidRPr="0015106B">
        <w:rPr>
          <w:i/>
          <w:iCs/>
        </w:rPr>
        <w:t>Stomphastis</w:t>
      </w:r>
      <w:r w:rsidR="0015106B">
        <w:t xml:space="preserve"> sp. nov. is host specific to </w:t>
      </w:r>
      <w:r w:rsidR="004506FE">
        <w:t xml:space="preserve">two species of </w:t>
      </w:r>
      <w:r w:rsidR="004506FE" w:rsidRPr="004506FE">
        <w:rPr>
          <w:i/>
          <w:iCs/>
        </w:rPr>
        <w:t>Jatropha</w:t>
      </w:r>
      <w:r w:rsidR="004506FE">
        <w:t xml:space="preserve">: </w:t>
      </w:r>
      <w:r w:rsidR="0015106B">
        <w:t xml:space="preserve">the target weed, </w:t>
      </w:r>
      <w:r w:rsidR="0015106B" w:rsidRPr="0015106B">
        <w:rPr>
          <w:i/>
          <w:iCs/>
        </w:rPr>
        <w:t>J. gossypiifolia</w:t>
      </w:r>
      <w:r w:rsidR="004506FE">
        <w:t>,</w:t>
      </w:r>
      <w:r w:rsidR="004506FE" w:rsidRPr="004506FE">
        <w:t xml:space="preserve"> </w:t>
      </w:r>
      <w:r w:rsidR="004506FE">
        <w:t xml:space="preserve">and </w:t>
      </w:r>
      <w:r w:rsidR="004506FE" w:rsidRPr="004506FE">
        <w:t xml:space="preserve">the closely related weed </w:t>
      </w:r>
      <w:r w:rsidR="004506FE" w:rsidRPr="004506FE">
        <w:rPr>
          <w:i/>
          <w:iCs/>
        </w:rPr>
        <w:t>J. curcas</w:t>
      </w:r>
      <w:r w:rsidR="0015106B">
        <w:t>.</w:t>
      </w:r>
      <w:r w:rsidR="00AF4226">
        <w:t xml:space="preserve"> With the exception of </w:t>
      </w:r>
      <w:r w:rsidR="00AF4226" w:rsidRPr="00AF4226">
        <w:rPr>
          <w:i/>
          <w:iCs/>
        </w:rPr>
        <w:t>J. curcas</w:t>
      </w:r>
      <w:r w:rsidR="00AF4226">
        <w:t xml:space="preserve">, no other plant species tested are expected to be at risk of off-target impacts from </w:t>
      </w:r>
      <w:r w:rsidR="00AF4226" w:rsidRPr="00AF4226">
        <w:rPr>
          <w:i/>
          <w:iCs/>
        </w:rPr>
        <w:t>Stomphastis</w:t>
      </w:r>
      <w:r w:rsidR="00AF4226">
        <w:t xml:space="preserve"> sp. nov.. As </w:t>
      </w:r>
      <w:r w:rsidR="00AF4226" w:rsidRPr="00AF4226">
        <w:rPr>
          <w:i/>
          <w:iCs/>
        </w:rPr>
        <w:t>J. curcas</w:t>
      </w:r>
      <w:r w:rsidR="00AF4226">
        <w:t xml:space="preserve"> is expected to sustain damage where it co-occurs with </w:t>
      </w:r>
      <w:r w:rsidR="00AF4226" w:rsidRPr="00AF4226">
        <w:rPr>
          <w:i/>
          <w:iCs/>
        </w:rPr>
        <w:t>J. gossypiifolia</w:t>
      </w:r>
      <w:r w:rsidR="004F62E5">
        <w:rPr>
          <w:i/>
          <w:iCs/>
        </w:rPr>
        <w:t xml:space="preserve"> </w:t>
      </w:r>
      <w:r w:rsidR="004F62E5" w:rsidRPr="004F62E5">
        <w:t>in northern Australia</w:t>
      </w:r>
      <w:r w:rsidR="00AF4226">
        <w:t>, off-target effects will be high</w:t>
      </w:r>
      <w:r w:rsidR="0078649E">
        <w:t>ly likely to occur</w:t>
      </w:r>
      <w:r w:rsidR="00AF4226">
        <w:t>.</w:t>
      </w:r>
    </w:p>
    <w:p w14:paraId="2D558DE1" w14:textId="12BEB4EF" w:rsidR="00EF09E2" w:rsidRDefault="002C0133" w:rsidP="00EF09E2">
      <w:r>
        <w:t xml:space="preserve">On the basis of the results of host specificity testing reported in this application, it is concluded that the likelihood of occurrence of off-target effects in Australia is </w:t>
      </w:r>
      <w:r w:rsidR="00AF4226">
        <w:rPr>
          <w:b/>
        </w:rPr>
        <w:t>High</w:t>
      </w:r>
      <w:r w:rsidR="00EF09E2">
        <w:t xml:space="preserve">.  </w:t>
      </w:r>
    </w:p>
    <w:p w14:paraId="4630B958" w14:textId="77777777" w:rsidR="00736319" w:rsidRDefault="00D0393D" w:rsidP="0092363E">
      <w:pPr>
        <w:pStyle w:val="Heading3"/>
      </w:pPr>
      <w:r>
        <w:lastRenderedPageBreak/>
        <w:t>Assessment of potential consequences</w:t>
      </w:r>
      <w:r w:rsidR="00CE3D44">
        <w:t xml:space="preserve"> of off-target effects</w:t>
      </w:r>
    </w:p>
    <w:p w14:paraId="56433F2E" w14:textId="77777777" w:rsidR="00CE3D44" w:rsidRDefault="00CE3D44">
      <w:r>
        <w:t>The potential consequences of the off-target effects of this biological control agent have been assessed using the same methodology (Appendix A) as used in the import risk analysis process for pests associated with imported fresh produce.</w:t>
      </w:r>
    </w:p>
    <w:tbl>
      <w:tblPr>
        <w:tblW w:w="4864" w:type="pct"/>
        <w:tblBorders>
          <w:top w:val="single" w:sz="4" w:space="0" w:color="auto"/>
          <w:bottom w:val="single" w:sz="4" w:space="0" w:color="auto"/>
        </w:tblBorders>
        <w:tblLook w:val="04A0" w:firstRow="1" w:lastRow="0" w:firstColumn="1" w:lastColumn="0" w:noHBand="0" w:noVBand="1"/>
      </w:tblPr>
      <w:tblGrid>
        <w:gridCol w:w="3566"/>
        <w:gridCol w:w="5257"/>
      </w:tblGrid>
      <w:tr w:rsidR="00CE3D44" w:rsidRPr="00C92132" w14:paraId="17A9BECF" w14:textId="77777777" w:rsidTr="00CE3D44">
        <w:tc>
          <w:tcPr>
            <w:tcW w:w="2021" w:type="pct"/>
            <w:tcBorders>
              <w:top w:val="single" w:sz="4" w:space="0" w:color="auto"/>
              <w:bottom w:val="single" w:sz="4" w:space="0" w:color="D9D9D9"/>
            </w:tcBorders>
          </w:tcPr>
          <w:p w14:paraId="6CDBBC39" w14:textId="77777777" w:rsidR="00CE3D44" w:rsidRPr="00C92132" w:rsidRDefault="00CE3D44" w:rsidP="00CE3D44">
            <w:pPr>
              <w:pStyle w:val="TableHeading"/>
            </w:pPr>
            <w:r w:rsidRPr="00C92132">
              <w:t>Criterion</w:t>
            </w:r>
          </w:p>
        </w:tc>
        <w:tc>
          <w:tcPr>
            <w:tcW w:w="2979" w:type="pct"/>
            <w:tcBorders>
              <w:top w:val="single" w:sz="4" w:space="0" w:color="auto"/>
              <w:bottom w:val="single" w:sz="4" w:space="0" w:color="D9D9D9"/>
            </w:tcBorders>
          </w:tcPr>
          <w:p w14:paraId="44D0C1DB" w14:textId="77777777" w:rsidR="00CE3D44" w:rsidRPr="00C92132" w:rsidRDefault="00CE3D44" w:rsidP="00CE3D44">
            <w:pPr>
              <w:pStyle w:val="TableHeading"/>
            </w:pPr>
            <w:r w:rsidRPr="00C92132">
              <w:t>Estimate and rationale</w:t>
            </w:r>
          </w:p>
        </w:tc>
      </w:tr>
      <w:tr w:rsidR="00CE3D44" w:rsidRPr="00C92132" w14:paraId="21FB40F5" w14:textId="77777777" w:rsidTr="00CE3D44">
        <w:tc>
          <w:tcPr>
            <w:tcW w:w="5000" w:type="pct"/>
            <w:gridSpan w:val="2"/>
            <w:tcBorders>
              <w:top w:val="single" w:sz="4" w:space="0" w:color="D9D9D9"/>
              <w:bottom w:val="single" w:sz="4" w:space="0" w:color="D9D9D9"/>
            </w:tcBorders>
          </w:tcPr>
          <w:p w14:paraId="6609D347" w14:textId="77777777" w:rsidR="00CE3D44" w:rsidRPr="00C92132" w:rsidRDefault="00CE3D44" w:rsidP="00CE3D44">
            <w:pPr>
              <w:pStyle w:val="TableText"/>
              <w:rPr>
                <w:b/>
              </w:rPr>
            </w:pPr>
            <w:r w:rsidRPr="00C92132">
              <w:rPr>
                <w:b/>
              </w:rPr>
              <w:t>Direct</w:t>
            </w:r>
          </w:p>
        </w:tc>
      </w:tr>
      <w:tr w:rsidR="00CE3D44" w:rsidRPr="00C92132" w14:paraId="30DEA19E" w14:textId="77777777" w:rsidTr="00CE3D44">
        <w:tc>
          <w:tcPr>
            <w:tcW w:w="2021" w:type="pct"/>
            <w:tcBorders>
              <w:top w:val="single" w:sz="4" w:space="0" w:color="D9D9D9"/>
              <w:bottom w:val="single" w:sz="4" w:space="0" w:color="D9D9D9"/>
            </w:tcBorders>
          </w:tcPr>
          <w:p w14:paraId="3EF7BBA3" w14:textId="77777777" w:rsidR="00CE3D44" w:rsidRPr="00C92132" w:rsidRDefault="00CE3D44" w:rsidP="00CE3D44">
            <w:pPr>
              <w:pStyle w:val="TableText"/>
            </w:pPr>
            <w:r w:rsidRPr="00C92132">
              <w:t>Plant life or health</w:t>
            </w:r>
          </w:p>
        </w:tc>
        <w:tc>
          <w:tcPr>
            <w:tcW w:w="2979" w:type="pct"/>
            <w:tcBorders>
              <w:top w:val="single" w:sz="4" w:space="0" w:color="D9D9D9"/>
              <w:bottom w:val="single" w:sz="4" w:space="0" w:color="D9D9D9"/>
            </w:tcBorders>
          </w:tcPr>
          <w:p w14:paraId="40E644BD" w14:textId="076D07FD" w:rsidR="00CE3D44" w:rsidRPr="00F322BD" w:rsidRDefault="00F322BD" w:rsidP="00CE3D44">
            <w:pPr>
              <w:pStyle w:val="TableText"/>
            </w:pPr>
            <w:r>
              <w:t>A</w:t>
            </w:r>
            <w:r w:rsidR="00CE3D44" w:rsidRPr="00F322BD">
              <w:t>—in</w:t>
            </w:r>
            <w:r>
              <w:t>discernible</w:t>
            </w:r>
          </w:p>
          <w:p w14:paraId="48D86670" w14:textId="445EE9CD" w:rsidR="00CE3D44" w:rsidRPr="00C92132" w:rsidRDefault="00CE3D44" w:rsidP="00F322BD">
            <w:pPr>
              <w:pStyle w:val="TableText"/>
              <w:rPr>
                <w:highlight w:val="yellow"/>
              </w:rPr>
            </w:pPr>
            <w:r w:rsidRPr="00F322BD">
              <w:t>I</w:t>
            </w:r>
            <w:r w:rsidR="00F322BD">
              <w:t>t is not anticipated that there will be any direct</w:t>
            </w:r>
            <w:r w:rsidR="00D40E47">
              <w:t xml:space="preserve"> negative</w:t>
            </w:r>
            <w:r w:rsidR="00F322BD">
              <w:t xml:space="preserve"> consequences of off-target effects</w:t>
            </w:r>
            <w:r w:rsidR="00D40E47">
              <w:t xml:space="preserve"> on plant life or health.</w:t>
            </w:r>
            <w:r w:rsidR="00F322BD">
              <w:t xml:space="preserve"> </w:t>
            </w:r>
            <w:r w:rsidR="00D40E47">
              <w:t xml:space="preserve">Host specificity testing has demonstrated that </w:t>
            </w:r>
            <w:r w:rsidR="00D40E47" w:rsidRPr="00707442">
              <w:rPr>
                <w:i/>
                <w:iCs/>
              </w:rPr>
              <w:t>Stomphastis</w:t>
            </w:r>
            <w:r w:rsidR="00D40E47">
              <w:t xml:space="preserve"> sp. nov. is only expected to impact the target weed and the closely related </w:t>
            </w:r>
            <w:r w:rsidR="00D40E47" w:rsidRPr="009E5151">
              <w:rPr>
                <w:i/>
                <w:iCs/>
              </w:rPr>
              <w:t>J. curcas</w:t>
            </w:r>
            <w:r w:rsidR="00D40E47">
              <w:t xml:space="preserve">. </w:t>
            </w:r>
            <w:r w:rsidR="00D40E47" w:rsidRPr="009E5151">
              <w:rPr>
                <w:i/>
                <w:iCs/>
              </w:rPr>
              <w:t>Jatropha curcas</w:t>
            </w:r>
            <w:r w:rsidR="00D40E47">
              <w:t xml:space="preserve"> is a</w:t>
            </w:r>
            <w:r w:rsidR="0010601B">
              <w:t xml:space="preserve"> declared </w:t>
            </w:r>
            <w:r w:rsidR="00707442">
              <w:t xml:space="preserve">introduced weed </w:t>
            </w:r>
            <w:r w:rsidR="0010601B">
              <w:t>species in NT and WA</w:t>
            </w:r>
            <w:r w:rsidR="009E5151">
              <w:t xml:space="preserve"> and is an approved target for biological control. Therefore</w:t>
            </w:r>
            <w:r w:rsidR="00707442">
              <w:t>,</w:t>
            </w:r>
            <w:r w:rsidR="009E5151">
              <w:t xml:space="preserve"> any off-target impacts sustained on this species </w:t>
            </w:r>
            <w:r w:rsidR="00F72EC2">
              <w:t>are expected to be</w:t>
            </w:r>
            <w:r w:rsidR="009E5151">
              <w:t xml:space="preserve"> beneficial.</w:t>
            </w:r>
          </w:p>
        </w:tc>
      </w:tr>
      <w:tr w:rsidR="00CE3D44" w:rsidRPr="00C92132" w14:paraId="206C839B" w14:textId="77777777" w:rsidTr="00CE3D44">
        <w:tc>
          <w:tcPr>
            <w:tcW w:w="2021" w:type="pct"/>
            <w:tcBorders>
              <w:top w:val="single" w:sz="4" w:space="0" w:color="D9D9D9"/>
              <w:bottom w:val="single" w:sz="4" w:space="0" w:color="D9D9D9"/>
            </w:tcBorders>
          </w:tcPr>
          <w:p w14:paraId="67EAF673" w14:textId="77777777" w:rsidR="00CE3D44" w:rsidRPr="00C92132" w:rsidRDefault="00CE3D44" w:rsidP="00CE3D44">
            <w:pPr>
              <w:pStyle w:val="TableText"/>
            </w:pPr>
            <w:r w:rsidRPr="00C92132">
              <w:t>Other aspects of the environment</w:t>
            </w:r>
          </w:p>
        </w:tc>
        <w:tc>
          <w:tcPr>
            <w:tcW w:w="2979" w:type="pct"/>
            <w:tcBorders>
              <w:top w:val="single" w:sz="4" w:space="0" w:color="D9D9D9"/>
              <w:bottom w:val="single" w:sz="4" w:space="0" w:color="D9D9D9"/>
            </w:tcBorders>
          </w:tcPr>
          <w:p w14:paraId="3BFD81A1" w14:textId="52C790B8" w:rsidR="00CE3D44" w:rsidRPr="000B1F15" w:rsidRDefault="000B1F15" w:rsidP="00CE3D44">
            <w:pPr>
              <w:pStyle w:val="TableText"/>
            </w:pPr>
            <w:r>
              <w:t>A</w:t>
            </w:r>
            <w:r w:rsidR="00CE3D44" w:rsidRPr="000B1F15">
              <w:t>— in</w:t>
            </w:r>
            <w:r>
              <w:t>discernible</w:t>
            </w:r>
          </w:p>
          <w:p w14:paraId="7481537B" w14:textId="6720D76E" w:rsidR="00CE3D44" w:rsidRPr="000B1F15" w:rsidRDefault="0030081E" w:rsidP="000B1F15">
            <w:pPr>
              <w:pStyle w:val="TableText"/>
            </w:pPr>
            <w:r w:rsidRPr="0030081E">
              <w:t xml:space="preserve">There is no evidence that the introduction of </w:t>
            </w:r>
            <w:r>
              <w:rPr>
                <w:i/>
              </w:rPr>
              <w:t>Stomphastis</w:t>
            </w:r>
            <w:r w:rsidRPr="0030081E">
              <w:rPr>
                <w:iCs/>
              </w:rPr>
              <w:t xml:space="preserve"> </w:t>
            </w:r>
            <w:r>
              <w:rPr>
                <w:iCs/>
              </w:rPr>
              <w:t xml:space="preserve">sp. nov. </w:t>
            </w:r>
            <w:r w:rsidRPr="0030081E">
              <w:rPr>
                <w:iCs/>
              </w:rPr>
              <w:t>would have any negative effects on any other aspects of the environment</w:t>
            </w:r>
            <w:r>
              <w:rPr>
                <w:iCs/>
              </w:rPr>
              <w:t>. Control of bellyache bush (</w:t>
            </w:r>
            <w:r w:rsidRPr="0030081E">
              <w:rPr>
                <w:i/>
              </w:rPr>
              <w:t>J. gossypiifolia</w:t>
            </w:r>
            <w:r>
              <w:rPr>
                <w:iCs/>
              </w:rPr>
              <w:t xml:space="preserve">) would be beneficial due to the impact of this weed across its range in Australia. </w:t>
            </w:r>
          </w:p>
        </w:tc>
      </w:tr>
      <w:tr w:rsidR="00CE3D44" w:rsidRPr="00C92132" w14:paraId="1E01C5A8" w14:textId="77777777" w:rsidTr="00CE3D44">
        <w:tc>
          <w:tcPr>
            <w:tcW w:w="5000" w:type="pct"/>
            <w:gridSpan w:val="2"/>
            <w:tcBorders>
              <w:top w:val="single" w:sz="4" w:space="0" w:color="D9D9D9"/>
              <w:bottom w:val="single" w:sz="4" w:space="0" w:color="D9D9D9"/>
            </w:tcBorders>
          </w:tcPr>
          <w:p w14:paraId="7E0196C3" w14:textId="77777777" w:rsidR="00CE3D44" w:rsidRPr="00C92132" w:rsidRDefault="00CE3D44" w:rsidP="00CE3D44">
            <w:pPr>
              <w:pStyle w:val="TableHeading"/>
            </w:pPr>
            <w:r w:rsidRPr="00C92132">
              <w:t>Indirect</w:t>
            </w:r>
          </w:p>
        </w:tc>
      </w:tr>
      <w:tr w:rsidR="00CE3D44" w:rsidRPr="00C92132" w14:paraId="4F02038D" w14:textId="77777777" w:rsidTr="00CE3D44">
        <w:tc>
          <w:tcPr>
            <w:tcW w:w="2021" w:type="pct"/>
            <w:tcBorders>
              <w:top w:val="single" w:sz="4" w:space="0" w:color="D9D9D9"/>
              <w:bottom w:val="single" w:sz="4" w:space="0" w:color="D9D9D9"/>
            </w:tcBorders>
          </w:tcPr>
          <w:p w14:paraId="45087999" w14:textId="77777777" w:rsidR="00CE3D44" w:rsidRPr="00C92132" w:rsidRDefault="00CE3D44" w:rsidP="00CE3D44">
            <w:pPr>
              <w:pStyle w:val="TableText"/>
            </w:pPr>
            <w:r w:rsidRPr="00C92132">
              <w:t>Eradication, control</w:t>
            </w:r>
          </w:p>
        </w:tc>
        <w:tc>
          <w:tcPr>
            <w:tcW w:w="2979" w:type="pct"/>
            <w:tcBorders>
              <w:top w:val="single" w:sz="4" w:space="0" w:color="D9D9D9"/>
              <w:bottom w:val="single" w:sz="4" w:space="0" w:color="D9D9D9"/>
            </w:tcBorders>
          </w:tcPr>
          <w:p w14:paraId="712DCBEE" w14:textId="4A5008B1" w:rsidR="00CE3D44" w:rsidRPr="000B1F15" w:rsidRDefault="005D53DD" w:rsidP="00CE3D44">
            <w:pPr>
              <w:pStyle w:val="TableText"/>
            </w:pPr>
            <w:r>
              <w:t>A</w:t>
            </w:r>
            <w:r w:rsidR="00CE3D44" w:rsidRPr="000B1F15">
              <w:t>—in</w:t>
            </w:r>
            <w:r>
              <w:t>discernible</w:t>
            </w:r>
          </w:p>
          <w:p w14:paraId="525CD91D" w14:textId="741D3464" w:rsidR="00CE3D44" w:rsidRPr="000B1F15" w:rsidRDefault="00CA609B" w:rsidP="000B1F15">
            <w:pPr>
              <w:pStyle w:val="TableText"/>
            </w:pPr>
            <w:r w:rsidRPr="00CA609B">
              <w:rPr>
                <w:i/>
                <w:iCs/>
              </w:rPr>
              <w:t>Stomphastis</w:t>
            </w:r>
            <w:r>
              <w:t xml:space="preserve"> sp. nov. is a biological control agent proposed for release for the biological control of </w:t>
            </w:r>
            <w:r w:rsidRPr="00CA609B">
              <w:rPr>
                <w:i/>
                <w:iCs/>
              </w:rPr>
              <w:t>J. gossypiifolia</w:t>
            </w:r>
            <w:r>
              <w:t xml:space="preserve">, a Weed of National Significance (WONS). As the only anticipated off-target impacts are expected to occur on </w:t>
            </w:r>
            <w:r w:rsidRPr="00CA609B">
              <w:rPr>
                <w:i/>
                <w:iCs/>
              </w:rPr>
              <w:t>J. curcas</w:t>
            </w:r>
            <w:r>
              <w:t xml:space="preserve">, also a weed and an approved target for biological control, </w:t>
            </w:r>
            <w:r w:rsidRPr="00CA609B">
              <w:rPr>
                <w:i/>
                <w:iCs/>
              </w:rPr>
              <w:t>Stomphastis</w:t>
            </w:r>
            <w:r>
              <w:t xml:space="preserve"> sp. nov is very unlikely to require attempted eradication or control.</w:t>
            </w:r>
          </w:p>
        </w:tc>
      </w:tr>
      <w:tr w:rsidR="00CE3D44" w:rsidRPr="00C92132" w14:paraId="7687F4A6" w14:textId="77777777" w:rsidTr="00CE3D44">
        <w:tc>
          <w:tcPr>
            <w:tcW w:w="2021" w:type="pct"/>
            <w:tcBorders>
              <w:top w:val="single" w:sz="4" w:space="0" w:color="D9D9D9"/>
              <w:bottom w:val="single" w:sz="4" w:space="0" w:color="D9D9D9"/>
            </w:tcBorders>
          </w:tcPr>
          <w:p w14:paraId="1B4F2625" w14:textId="77777777" w:rsidR="00CE3D44" w:rsidRPr="00C92132" w:rsidRDefault="00CE3D44" w:rsidP="00CE3D44">
            <w:pPr>
              <w:pStyle w:val="TableText"/>
            </w:pPr>
            <w:r w:rsidRPr="00C92132">
              <w:t>Domestic trade</w:t>
            </w:r>
          </w:p>
        </w:tc>
        <w:tc>
          <w:tcPr>
            <w:tcW w:w="2979" w:type="pct"/>
            <w:tcBorders>
              <w:top w:val="single" w:sz="4" w:space="0" w:color="D9D9D9"/>
              <w:bottom w:val="single" w:sz="4" w:space="0" w:color="D9D9D9"/>
            </w:tcBorders>
          </w:tcPr>
          <w:p w14:paraId="46771ED3" w14:textId="3B0E5430" w:rsidR="00CE3D44" w:rsidRPr="000B1F15" w:rsidRDefault="0029143D" w:rsidP="00CE3D44">
            <w:pPr>
              <w:pStyle w:val="TableText"/>
            </w:pPr>
            <w:r>
              <w:t>A</w:t>
            </w:r>
            <w:r w:rsidR="00CE3D44" w:rsidRPr="000B1F15">
              <w:t>—in</w:t>
            </w:r>
            <w:r>
              <w:t>discernible</w:t>
            </w:r>
          </w:p>
          <w:p w14:paraId="3BE90C41" w14:textId="5F507206" w:rsidR="00CE3D44" w:rsidRPr="000B1F15" w:rsidRDefault="00E34749" w:rsidP="000B1F15">
            <w:pPr>
              <w:pStyle w:val="TableText"/>
            </w:pPr>
            <w:r w:rsidRPr="00E34749">
              <w:rPr>
                <w:i/>
                <w:iCs/>
              </w:rPr>
              <w:t>Stomphastis</w:t>
            </w:r>
            <w:r w:rsidRPr="00E34749">
              <w:t xml:space="preserve"> sp. nov. is a biological control agent proposed for release for the biological control of </w:t>
            </w:r>
            <w:r w:rsidRPr="00E34749">
              <w:rPr>
                <w:i/>
                <w:iCs/>
              </w:rPr>
              <w:t>J. gossypiifolia</w:t>
            </w:r>
            <w:r w:rsidRPr="00E34749">
              <w:t>, a Weed of National Significance (WONS).</w:t>
            </w:r>
            <w:r>
              <w:t xml:space="preserve"> The results of host specificity testing indicate that the only species likely to be damaged by </w:t>
            </w:r>
            <w:r w:rsidRPr="00F94EFF">
              <w:rPr>
                <w:i/>
                <w:iCs/>
              </w:rPr>
              <w:t>Stomphastis</w:t>
            </w:r>
            <w:r>
              <w:t xml:space="preserve"> sp. nov. is </w:t>
            </w:r>
            <w:r w:rsidRPr="00E34749">
              <w:rPr>
                <w:i/>
                <w:iCs/>
              </w:rPr>
              <w:t>J. curcas</w:t>
            </w:r>
            <w:r>
              <w:t>,</w:t>
            </w:r>
            <w:r w:rsidRPr="00E34749">
              <w:rPr>
                <w:sz w:val="22"/>
              </w:rPr>
              <w:t xml:space="preserve"> </w:t>
            </w:r>
            <w:r w:rsidRPr="00E34749">
              <w:t>also a weed and an approved target for biological control</w:t>
            </w:r>
            <w:r>
              <w:t>. Therefore</w:t>
            </w:r>
            <w:r w:rsidR="00A82483">
              <w:t>,</w:t>
            </w:r>
            <w:r>
              <w:t xml:space="preserve"> no impacts on domestic trade are anticipated.</w:t>
            </w:r>
          </w:p>
        </w:tc>
      </w:tr>
      <w:tr w:rsidR="00CE3D44" w:rsidRPr="00C92132" w14:paraId="69D6564D" w14:textId="77777777" w:rsidTr="00CE3D44">
        <w:tc>
          <w:tcPr>
            <w:tcW w:w="2021" w:type="pct"/>
            <w:tcBorders>
              <w:top w:val="single" w:sz="4" w:space="0" w:color="D9D9D9"/>
              <w:bottom w:val="single" w:sz="4" w:space="0" w:color="D9D9D9"/>
            </w:tcBorders>
          </w:tcPr>
          <w:p w14:paraId="58C178BE" w14:textId="77777777" w:rsidR="00CE3D44" w:rsidRPr="00C92132" w:rsidRDefault="00CE3D44" w:rsidP="00CE3D44">
            <w:pPr>
              <w:pStyle w:val="TableText"/>
            </w:pPr>
            <w:r w:rsidRPr="00C92132">
              <w:t>International trade</w:t>
            </w:r>
          </w:p>
        </w:tc>
        <w:tc>
          <w:tcPr>
            <w:tcW w:w="2979" w:type="pct"/>
            <w:tcBorders>
              <w:top w:val="single" w:sz="4" w:space="0" w:color="D9D9D9"/>
              <w:bottom w:val="single" w:sz="4" w:space="0" w:color="D9D9D9"/>
            </w:tcBorders>
          </w:tcPr>
          <w:p w14:paraId="1141F55B" w14:textId="584219E8" w:rsidR="00CE3D44" w:rsidRPr="000B1F15" w:rsidRDefault="00E34749" w:rsidP="00CE3D44">
            <w:pPr>
              <w:pStyle w:val="TableText"/>
            </w:pPr>
            <w:r>
              <w:t>A</w:t>
            </w:r>
            <w:r w:rsidR="00CE3D44" w:rsidRPr="000B1F15">
              <w:t>—in</w:t>
            </w:r>
            <w:r>
              <w:t>discernible</w:t>
            </w:r>
          </w:p>
          <w:p w14:paraId="67600616" w14:textId="7EE6F7E0" w:rsidR="00CE3D44" w:rsidRPr="000B1F15" w:rsidRDefault="00145358" w:rsidP="000B1F15">
            <w:pPr>
              <w:pStyle w:val="TableText"/>
            </w:pPr>
            <w:r w:rsidRPr="00145358">
              <w:rPr>
                <w:i/>
                <w:iCs/>
              </w:rPr>
              <w:t>Stomphastis</w:t>
            </w:r>
            <w:r w:rsidRPr="00145358">
              <w:t xml:space="preserve"> sp. nov. is a biological control agent proposed for release for the biological control of </w:t>
            </w:r>
            <w:r w:rsidRPr="00145358">
              <w:rPr>
                <w:i/>
                <w:iCs/>
              </w:rPr>
              <w:t>J. gossypiifolia</w:t>
            </w:r>
            <w:r w:rsidRPr="00145358">
              <w:t>, a Weed of National Significance (WONS).</w:t>
            </w:r>
            <w:r w:rsidRPr="00145358">
              <w:rPr>
                <w:sz w:val="22"/>
              </w:rPr>
              <w:t xml:space="preserve"> </w:t>
            </w:r>
            <w:r w:rsidRPr="00145358">
              <w:t>No off-target impacts are expected to occur on any plant species of significance to international trade.</w:t>
            </w:r>
          </w:p>
        </w:tc>
      </w:tr>
      <w:tr w:rsidR="00CE3D44" w:rsidRPr="00C92132" w14:paraId="234C9D1C" w14:textId="77777777" w:rsidTr="00CE3D44">
        <w:tc>
          <w:tcPr>
            <w:tcW w:w="2021" w:type="pct"/>
            <w:tcBorders>
              <w:top w:val="single" w:sz="4" w:space="0" w:color="D9D9D9"/>
            </w:tcBorders>
          </w:tcPr>
          <w:p w14:paraId="5EB9BFC8" w14:textId="77777777" w:rsidR="00CE3D44" w:rsidRPr="00C92132" w:rsidRDefault="00CE3D44" w:rsidP="00CE3D44">
            <w:pPr>
              <w:pStyle w:val="TableText"/>
            </w:pPr>
            <w:r w:rsidRPr="00C92132">
              <w:t>Environmental and non-commercial</w:t>
            </w:r>
          </w:p>
        </w:tc>
        <w:tc>
          <w:tcPr>
            <w:tcW w:w="2979" w:type="pct"/>
            <w:tcBorders>
              <w:top w:val="single" w:sz="4" w:space="0" w:color="D9D9D9"/>
            </w:tcBorders>
          </w:tcPr>
          <w:p w14:paraId="16FF4682" w14:textId="0911ED1B" w:rsidR="00CE3D44" w:rsidRPr="000B1F15" w:rsidRDefault="000C7D71" w:rsidP="00CE3D44">
            <w:pPr>
              <w:pStyle w:val="TableText"/>
            </w:pPr>
            <w:r>
              <w:t>A</w:t>
            </w:r>
            <w:r w:rsidR="00CE3D44" w:rsidRPr="000B1F15">
              <w:t>—in</w:t>
            </w:r>
            <w:r>
              <w:t>discernible</w:t>
            </w:r>
          </w:p>
          <w:p w14:paraId="7BE535C4" w14:textId="0CFB9FCA" w:rsidR="00CE3D44" w:rsidRPr="000B1F15" w:rsidRDefault="00A82483" w:rsidP="000B1F15">
            <w:pPr>
              <w:pStyle w:val="TableText"/>
            </w:pPr>
            <w:r w:rsidRPr="00A82483">
              <w:rPr>
                <w:i/>
                <w:iCs/>
              </w:rPr>
              <w:t>Jatropha gossypiifolia</w:t>
            </w:r>
            <w:r>
              <w:t xml:space="preserve"> and </w:t>
            </w:r>
            <w:r w:rsidRPr="00A82483">
              <w:rPr>
                <w:i/>
                <w:iCs/>
              </w:rPr>
              <w:t>J. curcas</w:t>
            </w:r>
            <w:r>
              <w:t xml:space="preserve"> (the only species anticipated to be impacted by </w:t>
            </w:r>
            <w:r w:rsidRPr="00A82483">
              <w:rPr>
                <w:i/>
                <w:iCs/>
              </w:rPr>
              <w:t>Stomphastis</w:t>
            </w:r>
            <w:r>
              <w:t xml:space="preserve"> sp. nov.) are both introduced</w:t>
            </w:r>
            <w:r w:rsidR="009270CC">
              <w:t xml:space="preserve"> and invasive</w:t>
            </w:r>
            <w:r>
              <w:t xml:space="preserve"> weeds</w:t>
            </w:r>
            <w:r w:rsidR="009270CC">
              <w:t xml:space="preserve"> in Australia</w:t>
            </w:r>
            <w:r>
              <w:t>.</w:t>
            </w:r>
            <w:r w:rsidR="009270CC" w:rsidRPr="009270CC">
              <w:rPr>
                <w:sz w:val="22"/>
              </w:rPr>
              <w:t xml:space="preserve"> </w:t>
            </w:r>
            <w:r w:rsidR="009270CC">
              <w:t>N</w:t>
            </w:r>
            <w:r w:rsidR="009270CC" w:rsidRPr="009270CC">
              <w:t>o indirect environmental or non-commercial impacts are expected</w:t>
            </w:r>
            <w:r w:rsidR="009270CC">
              <w:t xml:space="preserve"> if </w:t>
            </w:r>
            <w:r w:rsidR="009270CC" w:rsidRPr="009270CC">
              <w:rPr>
                <w:i/>
                <w:iCs/>
              </w:rPr>
              <w:t>Stomphastis</w:t>
            </w:r>
            <w:r w:rsidR="009270CC">
              <w:t xml:space="preserve"> sp. nov. is successful in reducing the prevalence of these species in the environment.</w:t>
            </w:r>
          </w:p>
        </w:tc>
      </w:tr>
    </w:tbl>
    <w:p w14:paraId="4D340D38" w14:textId="248F315B" w:rsidR="00CE3D44" w:rsidRDefault="002D76E7">
      <w:r w:rsidRPr="002D76E7">
        <w:t>Based on this assessment the potential consequences of off-target effects are</w:t>
      </w:r>
      <w:r w:rsidR="00C43C3E">
        <w:t xml:space="preserve"> assessed as</w:t>
      </w:r>
      <w:r w:rsidRPr="002D76E7">
        <w:t xml:space="preserve">: </w:t>
      </w:r>
      <w:r w:rsidR="008F4556">
        <w:rPr>
          <w:b/>
        </w:rPr>
        <w:t>Negligible</w:t>
      </w:r>
      <w:r w:rsidRPr="002D76E7">
        <w:t>.</w:t>
      </w:r>
    </w:p>
    <w:p w14:paraId="60EBF336" w14:textId="77777777" w:rsidR="00736319" w:rsidRDefault="00225036">
      <w:pPr>
        <w:pStyle w:val="Heading3"/>
      </w:pPr>
      <w:r>
        <w:lastRenderedPageBreak/>
        <w:t>Off-target risk estimate</w:t>
      </w:r>
    </w:p>
    <w:p w14:paraId="56DE3E99" w14:textId="77777777" w:rsidR="006F157A" w:rsidRDefault="006F157A" w:rsidP="006F157A">
      <w:bookmarkStart w:id="27" w:name="_Toc384979280"/>
      <w:r>
        <w:t xml:space="preserve">Unrestricted risk is the result of combining the </w:t>
      </w:r>
      <w:r w:rsidR="00446AC3">
        <w:t>likelihood</w:t>
      </w:r>
      <w:r>
        <w:t xml:space="preserve"> of off-target effects with the outcome of potential consequences. </w:t>
      </w:r>
      <w:r w:rsidR="009525DC">
        <w:t>Off-target effects</w:t>
      </w:r>
      <w:r>
        <w:t xml:space="preserve"> and consequences are combined using the risk estimation matrix shown in </w:t>
      </w:r>
      <w:r w:rsidR="00E3787B">
        <w:t>Table 2.1</w:t>
      </w:r>
      <w:r>
        <w:t>.</w:t>
      </w:r>
    </w:p>
    <w:tbl>
      <w:tblPr>
        <w:tblW w:w="5000" w:type="pct"/>
        <w:tblBorders>
          <w:top w:val="single" w:sz="4" w:space="0" w:color="auto"/>
          <w:bottom w:val="single" w:sz="4" w:space="0" w:color="auto"/>
        </w:tblBorders>
        <w:tblLook w:val="04A0" w:firstRow="1" w:lastRow="0" w:firstColumn="1" w:lastColumn="0" w:noHBand="0" w:noVBand="1"/>
      </w:tblPr>
      <w:tblGrid>
        <w:gridCol w:w="6218"/>
        <w:gridCol w:w="2852"/>
      </w:tblGrid>
      <w:tr w:rsidR="006F157A" w:rsidRPr="00C92132" w14:paraId="54D62CC5" w14:textId="77777777" w:rsidTr="009525DC">
        <w:tc>
          <w:tcPr>
            <w:tcW w:w="5000" w:type="pct"/>
            <w:gridSpan w:val="2"/>
          </w:tcPr>
          <w:p w14:paraId="27146793" w14:textId="2802EE4E" w:rsidR="006F157A" w:rsidRPr="00C92132" w:rsidRDefault="00C43DDD" w:rsidP="00C43DDD">
            <w:pPr>
              <w:pStyle w:val="TableHeading"/>
            </w:pPr>
            <w:r w:rsidRPr="00C92132">
              <w:t>R</w:t>
            </w:r>
            <w:r w:rsidR="006F157A" w:rsidRPr="00C92132">
              <w:t xml:space="preserve">isk estimate for </w:t>
            </w:r>
            <w:r w:rsidR="00586D0D" w:rsidRPr="00586D0D">
              <w:rPr>
                <w:i/>
                <w:iCs/>
              </w:rPr>
              <w:t>Stomphastis</w:t>
            </w:r>
            <w:r w:rsidR="00586D0D" w:rsidRPr="00586D0D">
              <w:rPr>
                <w:i/>
              </w:rPr>
              <w:t xml:space="preserve"> </w:t>
            </w:r>
            <w:r w:rsidR="00586D0D" w:rsidRPr="00CC6F17">
              <w:rPr>
                <w:iCs/>
              </w:rPr>
              <w:t>sp. nov</w:t>
            </w:r>
            <w:r w:rsidR="00586D0D" w:rsidRPr="00586D0D">
              <w:rPr>
                <w:i/>
              </w:rPr>
              <w:t>.</w:t>
            </w:r>
          </w:p>
        </w:tc>
      </w:tr>
      <w:tr w:rsidR="006F157A" w:rsidRPr="00C92132" w14:paraId="3FD393A6" w14:textId="77777777" w:rsidTr="009525DC">
        <w:tc>
          <w:tcPr>
            <w:tcW w:w="3428" w:type="pct"/>
          </w:tcPr>
          <w:p w14:paraId="37806E83" w14:textId="77777777" w:rsidR="006F157A" w:rsidRPr="00C92132" w:rsidRDefault="00446AC3" w:rsidP="009525DC">
            <w:pPr>
              <w:pStyle w:val="TableText"/>
            </w:pPr>
            <w:r>
              <w:t>Likelihood</w:t>
            </w:r>
            <w:r w:rsidR="00C43DDD" w:rsidRPr="00C92132">
              <w:t xml:space="preserve"> of off-target effects</w:t>
            </w:r>
          </w:p>
        </w:tc>
        <w:tc>
          <w:tcPr>
            <w:tcW w:w="1572" w:type="pct"/>
          </w:tcPr>
          <w:p w14:paraId="551C7579" w14:textId="2B02A8DC" w:rsidR="006F157A" w:rsidRPr="004C3476" w:rsidRDefault="004C3476" w:rsidP="009525DC">
            <w:pPr>
              <w:pStyle w:val="TableText"/>
            </w:pPr>
            <w:r w:rsidRPr="004C3476">
              <w:t>High</w:t>
            </w:r>
          </w:p>
        </w:tc>
      </w:tr>
      <w:tr w:rsidR="006F157A" w:rsidRPr="00C92132" w14:paraId="28DD996E" w14:textId="77777777" w:rsidTr="009525DC">
        <w:tc>
          <w:tcPr>
            <w:tcW w:w="3428" w:type="pct"/>
          </w:tcPr>
          <w:p w14:paraId="32D42857" w14:textId="77777777" w:rsidR="006F157A" w:rsidRPr="00C92132" w:rsidRDefault="006F157A" w:rsidP="009525DC">
            <w:pPr>
              <w:pStyle w:val="TableText"/>
            </w:pPr>
            <w:r w:rsidRPr="00C92132">
              <w:t>Consequences</w:t>
            </w:r>
          </w:p>
        </w:tc>
        <w:tc>
          <w:tcPr>
            <w:tcW w:w="1572" w:type="pct"/>
          </w:tcPr>
          <w:p w14:paraId="101C4DB4" w14:textId="7B225377" w:rsidR="006F157A" w:rsidRPr="004C3476" w:rsidRDefault="004C3476" w:rsidP="009525DC">
            <w:pPr>
              <w:pStyle w:val="TableText"/>
            </w:pPr>
            <w:r w:rsidRPr="004C3476">
              <w:t>Negligible</w:t>
            </w:r>
          </w:p>
        </w:tc>
      </w:tr>
      <w:tr w:rsidR="006F157A" w:rsidRPr="00C92132" w14:paraId="4694E747" w14:textId="77777777" w:rsidTr="009525DC">
        <w:tc>
          <w:tcPr>
            <w:tcW w:w="3428" w:type="pct"/>
          </w:tcPr>
          <w:p w14:paraId="5853DCCA" w14:textId="77777777" w:rsidR="006F157A" w:rsidRPr="00C92132" w:rsidRDefault="00C43DDD" w:rsidP="009525DC">
            <w:pPr>
              <w:pStyle w:val="TableText"/>
            </w:pPr>
            <w:r w:rsidRPr="00C92132">
              <w:t>R</w:t>
            </w:r>
            <w:r w:rsidR="006F157A" w:rsidRPr="00C92132">
              <w:t>isk</w:t>
            </w:r>
          </w:p>
        </w:tc>
        <w:tc>
          <w:tcPr>
            <w:tcW w:w="1572" w:type="pct"/>
          </w:tcPr>
          <w:p w14:paraId="244A0455" w14:textId="799E3A3C" w:rsidR="006F157A" w:rsidRPr="004C3476" w:rsidRDefault="004C3476" w:rsidP="009525DC">
            <w:pPr>
              <w:pStyle w:val="TableText"/>
            </w:pPr>
            <w:r w:rsidRPr="004C3476">
              <w:t>Negligible</w:t>
            </w:r>
          </w:p>
        </w:tc>
      </w:tr>
    </w:tbl>
    <w:p w14:paraId="597963AF" w14:textId="6958C879" w:rsidR="008561F1" w:rsidRDefault="006F157A">
      <w:pPr>
        <w:spacing w:after="0" w:line="240" w:lineRule="auto"/>
      </w:pPr>
      <w:r>
        <w:t>As indicated, the risk estimate for</w:t>
      </w:r>
      <w:r w:rsidR="00C43DDD">
        <w:t xml:space="preserve"> release of</w:t>
      </w:r>
      <w:r>
        <w:t xml:space="preserve"> </w:t>
      </w:r>
      <w:r w:rsidR="00586D0D" w:rsidRPr="00586D0D">
        <w:rPr>
          <w:i/>
          <w:iCs/>
        </w:rPr>
        <w:t>Stomphastis</w:t>
      </w:r>
      <w:r w:rsidR="00586D0D" w:rsidRPr="00586D0D">
        <w:rPr>
          <w:i/>
        </w:rPr>
        <w:t xml:space="preserve"> </w:t>
      </w:r>
      <w:r w:rsidR="00586D0D" w:rsidRPr="00CC6F17">
        <w:rPr>
          <w:iCs/>
        </w:rPr>
        <w:t>sp. nov</w:t>
      </w:r>
      <w:r w:rsidR="00586D0D" w:rsidRPr="00586D0D">
        <w:rPr>
          <w:i/>
        </w:rPr>
        <w:t>.</w:t>
      </w:r>
      <w:r w:rsidR="00586D0D">
        <w:rPr>
          <w:i/>
        </w:rPr>
        <w:t xml:space="preserve"> </w:t>
      </w:r>
      <w:r>
        <w:t>has been assessed as ‘</w:t>
      </w:r>
      <w:r w:rsidR="00EC6704">
        <w:t>Negligible</w:t>
      </w:r>
      <w:r w:rsidRPr="00EC6704">
        <w:t>’</w:t>
      </w:r>
      <w:r w:rsidRPr="00586D0D">
        <w:t xml:space="preserve">, </w:t>
      </w:r>
      <w:r>
        <w:t xml:space="preserve">which </w:t>
      </w:r>
      <w:r w:rsidR="00704F80" w:rsidRPr="00EC6704">
        <w:t>achieves</w:t>
      </w:r>
      <w:r w:rsidRPr="00586D0D">
        <w:t xml:space="preserve"> </w:t>
      </w:r>
      <w:r w:rsidR="00A159AA">
        <w:t>the appropriate level of protection (ALOP) for Australia</w:t>
      </w:r>
      <w:r>
        <w:t xml:space="preserve">. </w:t>
      </w:r>
    </w:p>
    <w:bookmarkEnd w:id="27"/>
    <w:p w14:paraId="20F22910" w14:textId="77777777" w:rsidR="00736319" w:rsidRDefault="00736319">
      <w:pPr>
        <w:sectPr w:rsidR="00736319">
          <w:headerReference w:type="default" r:id="rId34"/>
          <w:footerReference w:type="default" r:id="rId35"/>
          <w:type w:val="oddPage"/>
          <w:pgSz w:w="11906" w:h="16838"/>
          <w:pgMar w:top="1418" w:right="1418" w:bottom="1418" w:left="1418" w:header="567" w:footer="283" w:gutter="0"/>
          <w:cols w:space="708"/>
          <w:docGrid w:linePitch="360"/>
        </w:sectPr>
      </w:pPr>
    </w:p>
    <w:p w14:paraId="051E014A" w14:textId="47586575" w:rsidR="00736319" w:rsidRDefault="00586D0D">
      <w:pPr>
        <w:pStyle w:val="Heading1"/>
      </w:pPr>
      <w:bookmarkStart w:id="28" w:name="_Toc87425138"/>
      <w:r>
        <w:lastRenderedPageBreak/>
        <w:t>Draft r</w:t>
      </w:r>
      <w:r w:rsidR="00921312">
        <w:t>ecommendation on release</w:t>
      </w:r>
      <w:bookmarkEnd w:id="28"/>
    </w:p>
    <w:p w14:paraId="6B242961" w14:textId="7E8E549F" w:rsidR="00FE17FF" w:rsidRDefault="00FE17FF" w:rsidP="00FE17FF">
      <w:r>
        <w:t xml:space="preserve">The </w:t>
      </w:r>
      <w:r w:rsidR="00714FFC">
        <w:t>overall risk estimate for release of</w:t>
      </w:r>
      <w:r>
        <w:t xml:space="preserve"> </w:t>
      </w:r>
      <w:r w:rsidR="00067DCB" w:rsidRPr="00067DCB">
        <w:rPr>
          <w:i/>
          <w:iCs/>
        </w:rPr>
        <w:t>Stomphastis</w:t>
      </w:r>
      <w:r w:rsidR="00067DCB">
        <w:t xml:space="preserve"> sp. nov.</w:t>
      </w:r>
      <w:r>
        <w:t xml:space="preserve"> </w:t>
      </w:r>
      <w:r w:rsidR="00714FFC">
        <w:t>has been</w:t>
      </w:r>
      <w:r>
        <w:t xml:space="preserve"> assessed as </w:t>
      </w:r>
      <w:r w:rsidR="00067DCB">
        <w:t>Negligible</w:t>
      </w:r>
      <w:r>
        <w:t xml:space="preserve">, </w:t>
      </w:r>
      <w:r w:rsidR="00714FFC">
        <w:t>which</w:t>
      </w:r>
      <w:r>
        <w:t xml:space="preserve"> </w:t>
      </w:r>
      <w:r w:rsidRPr="00067DCB">
        <w:t>achieves</w:t>
      </w:r>
      <w:r>
        <w:t xml:space="preserve"> the ALOP for Australia. Therefore, it is proposed to recommend that this biological control agent be permitted to be released, subject to standard import and release conditions to ensure that the released material is free of other organisms.</w:t>
      </w:r>
    </w:p>
    <w:p w14:paraId="6554629A" w14:textId="2F2D459C" w:rsidR="00FE17FF" w:rsidRDefault="00FE17FF" w:rsidP="00FE17FF">
      <w:r>
        <w:t>This draft recommendation is made on the basis of the high level of host specificity demonstrated by</w:t>
      </w:r>
      <w:r w:rsidR="00067DCB">
        <w:t xml:space="preserve"> the</w:t>
      </w:r>
      <w:r>
        <w:t xml:space="preserve"> </w:t>
      </w:r>
      <w:r w:rsidR="00640BBF" w:rsidRPr="00640BBF">
        <w:t>biological control agent</w:t>
      </w:r>
      <w:r>
        <w:t xml:space="preserve"> on </w:t>
      </w:r>
      <w:r w:rsidR="00067DCB" w:rsidRPr="00067DCB">
        <w:rPr>
          <w:i/>
          <w:iCs/>
        </w:rPr>
        <w:t>J. gossypiifolia</w:t>
      </w:r>
      <w:r>
        <w:t>, and is based on currently available information.</w:t>
      </w:r>
    </w:p>
    <w:p w14:paraId="7F6B95A8" w14:textId="50A23E12" w:rsidR="00194489" w:rsidRDefault="00194489" w:rsidP="00194489">
      <w:pPr>
        <w:pStyle w:val="Heading1"/>
      </w:pPr>
      <w:bookmarkStart w:id="29" w:name="_Toc87425139"/>
      <w:r>
        <w:t>Attachment</w:t>
      </w:r>
      <w:r w:rsidR="00E12593">
        <w:t xml:space="preserve"> 1</w:t>
      </w:r>
      <w:bookmarkEnd w:id="29"/>
    </w:p>
    <w:p w14:paraId="5D5953DA" w14:textId="18AD370D" w:rsidR="00634925" w:rsidRDefault="00E303A0">
      <w:pPr>
        <w:sectPr w:rsidR="00634925">
          <w:headerReference w:type="default" r:id="rId36"/>
          <w:pgSz w:w="11906" w:h="16838"/>
          <w:pgMar w:top="1418" w:right="1418" w:bottom="1418" w:left="1418" w:header="567" w:footer="283" w:gutter="0"/>
          <w:cols w:space="708"/>
          <w:docGrid w:linePitch="360"/>
        </w:sectPr>
      </w:pPr>
      <w:r>
        <w:t>‘</w:t>
      </w:r>
      <w:r w:rsidR="00586D0D">
        <w:t xml:space="preserve">Application to release </w:t>
      </w:r>
      <w:r w:rsidR="00586D0D" w:rsidRPr="00586D0D">
        <w:rPr>
          <w:i/>
          <w:iCs/>
        </w:rPr>
        <w:t>Stomphastis</w:t>
      </w:r>
      <w:r w:rsidR="00586D0D">
        <w:t xml:space="preserve"> sp. nov., an agent for the biological control of </w:t>
      </w:r>
      <w:r w:rsidR="00586D0D" w:rsidRPr="00586D0D">
        <w:rPr>
          <w:i/>
          <w:iCs/>
        </w:rPr>
        <w:t>Jatropha gossypiifolia</w:t>
      </w:r>
      <w:r w:rsidR="00586D0D">
        <w:t xml:space="preserve"> in Australia</w:t>
      </w:r>
      <w:r>
        <w:t>’</w:t>
      </w:r>
    </w:p>
    <w:p w14:paraId="46F2BBEB" w14:textId="77777777" w:rsidR="002E0115" w:rsidRDefault="00634925" w:rsidP="00634925">
      <w:pPr>
        <w:pStyle w:val="Heading1nonumbers"/>
      </w:pPr>
      <w:bookmarkStart w:id="30" w:name="_Toc87425140"/>
      <w:r>
        <w:lastRenderedPageBreak/>
        <w:t>Appendix A: Method for pest risk analysis</w:t>
      </w:r>
      <w:bookmarkEnd w:id="30"/>
    </w:p>
    <w:p w14:paraId="69200B86" w14:textId="2106AD8E" w:rsidR="007C0D1B" w:rsidRDefault="007C0D1B" w:rsidP="007C0D1B">
      <w:r>
        <w:t>This chapter sets out the method used for the pest risk analysis (PRA) in this report. The Department of</w:t>
      </w:r>
      <w:r w:rsidR="00E15E40">
        <w:t xml:space="preserve"> Agriculture</w:t>
      </w:r>
      <w:r w:rsidR="0051733B">
        <w:t>, Water and the Environment</w:t>
      </w:r>
      <w:r>
        <w:t xml:space="preserve"> has conducted this PRA in accordance with the International Standards for Phytosanitary Measures (ISPMs), including ISPM 2: </w:t>
      </w:r>
      <w:r>
        <w:rPr>
          <w:i/>
        </w:rPr>
        <w:t>Framework for pest risk analysis</w:t>
      </w:r>
      <w:r w:rsidR="009D2A7D">
        <w:t xml:space="preserve"> (FAO, 2019a</w:t>
      </w:r>
      <w:r>
        <w:t xml:space="preserve">) and ISPM 11: </w:t>
      </w:r>
      <w:r>
        <w:rPr>
          <w:i/>
        </w:rPr>
        <w:t>Pest risk analysis for quarantine pests</w:t>
      </w:r>
      <w:r w:rsidR="009D2A7D">
        <w:t xml:space="preserve"> (FAO, 2019</w:t>
      </w:r>
      <w:r>
        <w:t>c) that have been developed under the SPS Agreement (WTO, 1995).</w:t>
      </w:r>
    </w:p>
    <w:p w14:paraId="0D66F5C4" w14:textId="63C1F211" w:rsidR="007C0D1B" w:rsidRDefault="007C0D1B" w:rsidP="007C0D1B">
      <w:r>
        <w:t xml:space="preserve">A PRA is ‘the process of evaluating biological or other scientific and economic evidence to determine whether an organism is a pest, whether it should be regulated, and the strength of any phytosanitary measures to be taken against it’ (FAO, </w:t>
      </w:r>
      <w:r w:rsidR="009D2A7D">
        <w:t>2019b</w:t>
      </w:r>
      <w:r>
        <w:t xml:space="preserve">). A pest is ‘any species, strain or biotype of plant, animal, or pathogenic agent injurious to plants or plant products’ (FAO, </w:t>
      </w:r>
      <w:r w:rsidR="009D2A7D">
        <w:t>2019b</w:t>
      </w:r>
      <w:r>
        <w:t xml:space="preserve">). This definition is also applied in the </w:t>
      </w:r>
      <w:r>
        <w:rPr>
          <w:i/>
        </w:rPr>
        <w:t>Biosecurity Act 2015</w:t>
      </w:r>
      <w:r>
        <w:t>.</w:t>
      </w:r>
    </w:p>
    <w:p w14:paraId="41EF0AC3" w14:textId="77777777" w:rsidR="007C0D1B" w:rsidRDefault="007C0D1B" w:rsidP="007C0D1B">
      <w:r>
        <w:t>Biosecurity risk consists of two major components: the likelihood of a pest entering, establishing and spreading in Australia from imports; and the consequences should this happen. These two components are combined to give an overall estimate of the risk.</w:t>
      </w:r>
    </w:p>
    <w:p w14:paraId="0A7CBB47" w14:textId="77777777" w:rsidR="007C0D1B" w:rsidRDefault="007C0D1B" w:rsidP="007C0D1B">
      <w:r>
        <w:t>Unrestricted risk is estimated taking into account the existing commercial production practices of the exporting country and that, on arrival in Australia, the department will verify that the consignment received is as described on the commercial documents and its integrity has been maintained.</w:t>
      </w:r>
    </w:p>
    <w:p w14:paraId="6E293D80" w14:textId="3F68783E" w:rsidR="007C0D1B" w:rsidRDefault="007C0D1B" w:rsidP="007C0D1B">
      <w:r>
        <w:t xml:space="preserve">Restricted risk is estimated with phytosanitary measure(s) applied. A phytosanitary measure is ‘any legislation, regulation or official procedure having the purpose to prevent the introduction and/or spread of quarantine pests, or to limit the economic impact of regulated non-quarantine pests’ (FAO, </w:t>
      </w:r>
      <w:r w:rsidR="009D2A7D">
        <w:t>2019b</w:t>
      </w:r>
      <w:r>
        <w:t>).</w:t>
      </w:r>
    </w:p>
    <w:p w14:paraId="3F2945DF" w14:textId="77777777" w:rsidR="007C0D1B" w:rsidRDefault="007C0D1B" w:rsidP="007C0D1B">
      <w:r>
        <w:t>A glossary of the terms used in the risk analysis is provided at the end of this report.</w:t>
      </w:r>
    </w:p>
    <w:p w14:paraId="2D6A44EB" w14:textId="77777777" w:rsidR="007C0D1B" w:rsidRDefault="007C0D1B" w:rsidP="007C0D1B">
      <w:r>
        <w:t>The PRAs are conducted in the following three consecutive stages: initiation, pest risk assessment and pest risk management.</w:t>
      </w:r>
    </w:p>
    <w:p w14:paraId="60E2BB18" w14:textId="77777777" w:rsidR="007C0D1B" w:rsidRDefault="007C0D1B" w:rsidP="0043271B">
      <w:pPr>
        <w:pStyle w:val="Heading2Nonumber"/>
      </w:pPr>
      <w:bookmarkStart w:id="31" w:name="_Toc467052027"/>
      <w:bookmarkStart w:id="32" w:name="_Toc506467513"/>
      <w:bookmarkStart w:id="33" w:name="_Toc87425141"/>
      <w:r>
        <w:t>Stage 1 Initiation</w:t>
      </w:r>
      <w:bookmarkEnd w:id="31"/>
      <w:bookmarkEnd w:id="32"/>
      <w:bookmarkEnd w:id="33"/>
    </w:p>
    <w:p w14:paraId="75306BBF" w14:textId="77777777" w:rsidR="007C0D1B" w:rsidRDefault="007C0D1B" w:rsidP="007C0D1B">
      <w:r>
        <w:t>Initiation identifies the pest(s) and pathway(s) that are of quarantine concern and should be considered for risk analysis in relation to the identified PRA area.</w:t>
      </w:r>
    </w:p>
    <w:p w14:paraId="5DA26B08" w14:textId="77777777" w:rsidR="007C0D1B" w:rsidRDefault="007C0D1B" w:rsidP="007C0D1B">
      <w:r>
        <w:t>For this risk analysis, the ‘PRA area’ is defined as Australia for pests that are absent, or of limited distribution and under official control. For areas with regional freedom from a pest, the ‘PRA area’ may be defined on the basis of a state or territory of Australia or may be defined as a region of Australia consisting of parts of a state or territory or several states or territories.</w:t>
      </w:r>
    </w:p>
    <w:p w14:paraId="3AF0FA6F" w14:textId="77777777" w:rsidR="007C0D1B" w:rsidRDefault="007C0D1B" w:rsidP="007C0D1B">
      <w:r>
        <w:t>For pests that had been considered by the department in other risk assessments and for which import conditions already exist, this risk analysis considered the likelihood of entry of pests on the commodity and whether existing policy is adequate to manage the risks associated with its import. Where appropriate, the previous risk assessment was taken into consideration in this risk analysis.</w:t>
      </w:r>
    </w:p>
    <w:p w14:paraId="49C436B6" w14:textId="77777777" w:rsidR="007C0D1B" w:rsidRDefault="007C0D1B" w:rsidP="0043271B">
      <w:pPr>
        <w:pStyle w:val="Heading2Nonumber"/>
      </w:pPr>
      <w:bookmarkStart w:id="34" w:name="_Toc467052028"/>
      <w:bookmarkStart w:id="35" w:name="_Toc506467514"/>
      <w:bookmarkStart w:id="36" w:name="_Toc87425142"/>
      <w:r>
        <w:lastRenderedPageBreak/>
        <w:t>Stage 2 Pest risk assessment</w:t>
      </w:r>
      <w:bookmarkEnd w:id="34"/>
      <w:bookmarkEnd w:id="35"/>
      <w:bookmarkEnd w:id="36"/>
    </w:p>
    <w:p w14:paraId="0773BB6A" w14:textId="2ADA4774" w:rsidR="007C0D1B" w:rsidRDefault="007C0D1B" w:rsidP="007C0D1B">
      <w:r>
        <w:t xml:space="preserve">A pest risk assessment (for quarantine pests) is the ‘evaluation of the probability of the introduction and spread of a pest and of the magnitude of the associated potential economic consequences’ (FAO, </w:t>
      </w:r>
      <w:r w:rsidR="009D2A7D">
        <w:t>2019b</w:t>
      </w:r>
      <w:r>
        <w:t>).</w:t>
      </w:r>
    </w:p>
    <w:p w14:paraId="7DE97612" w14:textId="77777777" w:rsidR="007C0D1B" w:rsidRDefault="007C0D1B" w:rsidP="007C0D1B">
      <w:r>
        <w:t>The following three, consecutive steps were used in pest risk assessment:</w:t>
      </w:r>
    </w:p>
    <w:p w14:paraId="006382F5" w14:textId="77777777" w:rsidR="007C0D1B" w:rsidRDefault="007C0D1B" w:rsidP="007C0D1B">
      <w:pPr>
        <w:pStyle w:val="Heading4"/>
        <w:ind w:left="794" w:hanging="794"/>
      </w:pPr>
      <w:r>
        <w:t>Pest categorisation</w:t>
      </w:r>
    </w:p>
    <w:p w14:paraId="04A3B292" w14:textId="345298A9" w:rsidR="007C0D1B" w:rsidRDefault="007C0D1B" w:rsidP="007C0D1B">
      <w:r>
        <w:t xml:space="preserve">Pest categorisation identifies which of the pests with the potential to be on the commodity are quarantine pests for Australia and require pest risk assessment. A ‘quarantine pest’ is a pest of potential economic importance to the area endangered thereby and not yet present there, or present but not widely distributed and being officially controlled (FAO, </w:t>
      </w:r>
      <w:r w:rsidR="009D2A7D">
        <w:t>2019b</w:t>
      </w:r>
      <w:r>
        <w:t>).</w:t>
      </w:r>
    </w:p>
    <w:p w14:paraId="17063C0C" w14:textId="77777777" w:rsidR="007C0D1B" w:rsidRDefault="007C0D1B" w:rsidP="007C0D1B">
      <w:r>
        <w:t>The pests identified in Stage 1 were categorised using the following primary elements to identify the quarantine pests for the commodity being assessed:</w:t>
      </w:r>
    </w:p>
    <w:p w14:paraId="653A5243" w14:textId="77777777" w:rsidR="007C0D1B" w:rsidRDefault="007C0D1B" w:rsidP="007C0D1B">
      <w:pPr>
        <w:pStyle w:val="ListBullet"/>
      </w:pPr>
      <w:r>
        <w:t>identity of the pest</w:t>
      </w:r>
    </w:p>
    <w:p w14:paraId="0972CD51" w14:textId="77777777" w:rsidR="007C0D1B" w:rsidRDefault="007C0D1B" w:rsidP="007C0D1B">
      <w:pPr>
        <w:pStyle w:val="ListBullet"/>
      </w:pPr>
      <w:r>
        <w:t xml:space="preserve">presence or absence in the PRA area </w:t>
      </w:r>
    </w:p>
    <w:p w14:paraId="143B46B0" w14:textId="77777777" w:rsidR="007C0D1B" w:rsidRDefault="007C0D1B" w:rsidP="007C0D1B">
      <w:pPr>
        <w:pStyle w:val="ListBullet"/>
      </w:pPr>
      <w:r>
        <w:t xml:space="preserve">regulatory status </w:t>
      </w:r>
    </w:p>
    <w:p w14:paraId="4113927F" w14:textId="77777777" w:rsidR="007C0D1B" w:rsidRDefault="007C0D1B" w:rsidP="007C0D1B">
      <w:pPr>
        <w:pStyle w:val="ListBullet"/>
      </w:pPr>
      <w:r>
        <w:t xml:space="preserve">potential for establishment and spread in the PRA area </w:t>
      </w:r>
    </w:p>
    <w:p w14:paraId="26E7F3B2" w14:textId="77777777" w:rsidR="007C0D1B" w:rsidRDefault="007C0D1B" w:rsidP="007C0D1B">
      <w:pPr>
        <w:pStyle w:val="ListBullet"/>
      </w:pPr>
      <w:r>
        <w:t>potential for economic consequences (including environmental consequences) in the PRA area.</w:t>
      </w:r>
    </w:p>
    <w:p w14:paraId="2B7CBA2C" w14:textId="77777777" w:rsidR="007C0D1B" w:rsidRDefault="007C0D1B" w:rsidP="007C0D1B">
      <w:pPr>
        <w:pStyle w:val="Heading4"/>
        <w:ind w:left="794" w:hanging="794"/>
      </w:pPr>
      <w:r>
        <w:t>Assessment of the probability of entry, establishment and spread</w:t>
      </w:r>
    </w:p>
    <w:p w14:paraId="6AFF00E6" w14:textId="758B42D6" w:rsidR="007C0D1B" w:rsidRDefault="007C0D1B" w:rsidP="007C0D1B">
      <w:r>
        <w:t>Details of how to assess the ‘probability of entry’, ‘probability of establishment’ and ‘probability of spread’ of a pest</w:t>
      </w:r>
      <w:r w:rsidR="009D2A7D">
        <w:t xml:space="preserve"> are given in ISPM 11 (FAO, 2019</w:t>
      </w:r>
      <w:r>
        <w:t xml:space="preserve">c). The SPS Agreement (WTO 1995) uses the term ‘likelihood’ rather than ‘probability’ for these estimates. In qualitative PRAs, the department uses the term ‘likelihood’ for the descriptors it uses for its estimates of likelihood of entry, establishment and spread. The use of the term ‘probability’ is limited to the direct quotation of ISPM definitions. </w:t>
      </w:r>
    </w:p>
    <w:p w14:paraId="53D26C5E" w14:textId="77777777" w:rsidR="007C0D1B" w:rsidRDefault="007C0D1B" w:rsidP="007C0D1B">
      <w:r>
        <w:t>A summary of this process is given here, followed by a description of the qualitative methodology used in this risk analysis.</w:t>
      </w:r>
    </w:p>
    <w:p w14:paraId="4A9432E1" w14:textId="77777777" w:rsidR="007C0D1B" w:rsidRDefault="007C0D1B" w:rsidP="007C0D1B">
      <w:pPr>
        <w:pStyle w:val="Heading5"/>
      </w:pPr>
      <w:r>
        <w:t>Likelihood of entry</w:t>
      </w:r>
    </w:p>
    <w:p w14:paraId="3270CEAF" w14:textId="77777777" w:rsidR="007C0D1B" w:rsidRDefault="007C0D1B" w:rsidP="007C0D1B">
      <w:r>
        <w:t>The likelihood of entry describes the likelihood that a quarantine pest will enter Australia as a result of trade in a given commodity, be distributed in a viable state in the PRA area and subsequently be transferred to a host. It is based on pathway scenarios depicting necessary steps in the sourcing of the commodity for export, its processing, transport and storage, its use in Australia and the generation and disposal of waste. In particular, the ability of the pest to survive is considered for each of these various stages.</w:t>
      </w:r>
    </w:p>
    <w:p w14:paraId="2CB5ED76" w14:textId="77777777" w:rsidR="007C0D1B" w:rsidRDefault="007C0D1B" w:rsidP="007C0D1B">
      <w:r>
        <w:t xml:space="preserve">The likelihood of entry estimates for the quarantine pests for a commodity are based on the use of the existing commercial production, packaging and shipping practices of the exporting country. Details of the existing commercial production practices for the commodity are set out in </w:t>
      </w:r>
      <w:r>
        <w:lastRenderedPageBreak/>
        <w:t>the report. These practices are taken into consideration by the department when estimating the likelihood of entry.</w:t>
      </w:r>
    </w:p>
    <w:p w14:paraId="5A639232" w14:textId="77777777" w:rsidR="007C0D1B" w:rsidRDefault="007C0D1B" w:rsidP="007C0D1B">
      <w:r>
        <w:t>For the purpose of considering the likelihood of entry, the department divides this step into two components:</w:t>
      </w:r>
    </w:p>
    <w:p w14:paraId="38EC6932" w14:textId="77777777" w:rsidR="007C0D1B" w:rsidRDefault="007C0D1B" w:rsidP="007C0D1B">
      <w:pPr>
        <w:pStyle w:val="ListBullet"/>
      </w:pPr>
      <w:r w:rsidRPr="00901A6E">
        <w:rPr>
          <w:rStyle w:val="Strong"/>
        </w:rPr>
        <w:t>Likelihood of importation</w:t>
      </w:r>
      <w:r>
        <w:t>—the likelihood that a pest will arrive in Australia when a given commodity is imported.</w:t>
      </w:r>
    </w:p>
    <w:p w14:paraId="608C859E" w14:textId="77777777" w:rsidR="007C0D1B" w:rsidRDefault="007C0D1B" w:rsidP="007C0D1B">
      <w:pPr>
        <w:pStyle w:val="ListBullet"/>
      </w:pPr>
      <w:r w:rsidRPr="00901A6E">
        <w:rPr>
          <w:rStyle w:val="Strong"/>
        </w:rPr>
        <w:t>Likelihood of distribution</w:t>
      </w:r>
      <w:r>
        <w:t>— the likelihood that the pest will be distributed, as a result of the processing, sale or disposal of the commodity, in the PRA area and subsequently transfer to a susceptible part of a host.</w:t>
      </w:r>
    </w:p>
    <w:p w14:paraId="09EEF22B" w14:textId="77777777" w:rsidR="007C0D1B" w:rsidRDefault="007C0D1B" w:rsidP="007C0D1B">
      <w:r>
        <w:t>Factors to be considered in the likelihood of importation may include:</w:t>
      </w:r>
    </w:p>
    <w:p w14:paraId="2ECD0116" w14:textId="77777777" w:rsidR="007C0D1B" w:rsidRDefault="007C0D1B" w:rsidP="007C0D1B">
      <w:pPr>
        <w:pStyle w:val="ListBullet"/>
      </w:pPr>
      <w:r>
        <w:t>distribution and incidence of the pest in the source area</w:t>
      </w:r>
    </w:p>
    <w:p w14:paraId="09AF7BF1" w14:textId="77777777" w:rsidR="007C0D1B" w:rsidRDefault="007C0D1B" w:rsidP="007C0D1B">
      <w:pPr>
        <w:pStyle w:val="ListBullet"/>
      </w:pPr>
      <w:r>
        <w:t>occurrence of the pest in a life-stage that would be associated with the commodity</w:t>
      </w:r>
    </w:p>
    <w:p w14:paraId="2C3282F3" w14:textId="77777777" w:rsidR="007C0D1B" w:rsidRDefault="007C0D1B" w:rsidP="007C0D1B">
      <w:pPr>
        <w:pStyle w:val="ListBullet"/>
      </w:pPr>
      <w:r>
        <w:t>mode of trade (for example, bulk, packed)</w:t>
      </w:r>
    </w:p>
    <w:p w14:paraId="28D6792C" w14:textId="77777777" w:rsidR="007C0D1B" w:rsidRDefault="007C0D1B" w:rsidP="007C0D1B">
      <w:pPr>
        <w:pStyle w:val="ListBullet"/>
      </w:pPr>
      <w:r>
        <w:t>volume and frequency of movement of the commodity along each pathway</w:t>
      </w:r>
    </w:p>
    <w:p w14:paraId="46F35F1B" w14:textId="77777777" w:rsidR="007C0D1B" w:rsidRDefault="007C0D1B" w:rsidP="007C0D1B">
      <w:pPr>
        <w:pStyle w:val="ListBullet"/>
      </w:pPr>
      <w:r>
        <w:t>seasonal timing of imports</w:t>
      </w:r>
    </w:p>
    <w:p w14:paraId="01946BA6" w14:textId="77777777" w:rsidR="007C0D1B" w:rsidRDefault="007C0D1B" w:rsidP="007C0D1B">
      <w:pPr>
        <w:pStyle w:val="ListBullet"/>
      </w:pPr>
      <w:r>
        <w:t>pest management, cultural and commercial procedures applied at the place of origin</w:t>
      </w:r>
    </w:p>
    <w:p w14:paraId="35F274CE" w14:textId="77777777" w:rsidR="007C0D1B" w:rsidRDefault="007C0D1B" w:rsidP="007C0D1B">
      <w:pPr>
        <w:pStyle w:val="ListBullet"/>
      </w:pPr>
      <w:r>
        <w:t>speed of transport and conditions of storage compared with the duration of the lifecycle of the pest</w:t>
      </w:r>
    </w:p>
    <w:p w14:paraId="3177D0D7" w14:textId="77777777" w:rsidR="007C0D1B" w:rsidRDefault="007C0D1B" w:rsidP="007C0D1B">
      <w:pPr>
        <w:pStyle w:val="ListBullet"/>
      </w:pPr>
      <w:r>
        <w:t>vulnerability of the life-stages of the pest during transport or storage</w:t>
      </w:r>
    </w:p>
    <w:p w14:paraId="5C938A6A" w14:textId="77777777" w:rsidR="007C0D1B" w:rsidRDefault="007C0D1B" w:rsidP="007C0D1B">
      <w:pPr>
        <w:pStyle w:val="ListBullet"/>
      </w:pPr>
      <w:r>
        <w:t>incidence of the pest likely to be associated with a consignment</w:t>
      </w:r>
    </w:p>
    <w:p w14:paraId="2331FB32" w14:textId="77777777" w:rsidR="007C0D1B" w:rsidRDefault="007C0D1B" w:rsidP="007C0D1B">
      <w:pPr>
        <w:pStyle w:val="ListBullet"/>
      </w:pPr>
      <w:r>
        <w:t>commercial procedures (for example, refrigeration) applied to consignments during transport and storage in the country of origin, and during transport to Australia.</w:t>
      </w:r>
    </w:p>
    <w:p w14:paraId="4F7E7C36" w14:textId="77777777" w:rsidR="007C0D1B" w:rsidRDefault="007C0D1B" w:rsidP="007C0D1B">
      <w:r>
        <w:t>Factors to be considered in the likelihood of distribution may include:</w:t>
      </w:r>
    </w:p>
    <w:p w14:paraId="427015A9" w14:textId="77777777" w:rsidR="007C0D1B" w:rsidRDefault="007C0D1B" w:rsidP="007C0D1B">
      <w:pPr>
        <w:pStyle w:val="ListBullet"/>
      </w:pPr>
      <w:r>
        <w:t>commercial procedures (for example, refrigeration) applied to consignments during distribution in Australia</w:t>
      </w:r>
    </w:p>
    <w:p w14:paraId="60FBB967" w14:textId="77777777" w:rsidR="007C0D1B" w:rsidRDefault="007C0D1B" w:rsidP="007C0D1B">
      <w:pPr>
        <w:pStyle w:val="ListBullet"/>
      </w:pPr>
      <w:r>
        <w:t>dispersal mechanisms of the pest, including vectors, to allow movement from the pathway to a host</w:t>
      </w:r>
    </w:p>
    <w:p w14:paraId="3404896C" w14:textId="77777777" w:rsidR="007C0D1B" w:rsidRDefault="007C0D1B" w:rsidP="007C0D1B">
      <w:pPr>
        <w:pStyle w:val="ListBullet"/>
      </w:pPr>
      <w:r>
        <w:t>whether the imported commodity is to be sent to a few or many destination points in the PRA area</w:t>
      </w:r>
    </w:p>
    <w:p w14:paraId="2D18C861" w14:textId="77777777" w:rsidR="007C0D1B" w:rsidRDefault="007C0D1B" w:rsidP="007C0D1B">
      <w:pPr>
        <w:pStyle w:val="ListBullet"/>
      </w:pPr>
      <w:r>
        <w:t>proximity of entry, transit and destination points to hosts</w:t>
      </w:r>
    </w:p>
    <w:p w14:paraId="2ACC0A68" w14:textId="77777777" w:rsidR="007C0D1B" w:rsidRDefault="007C0D1B" w:rsidP="007C0D1B">
      <w:pPr>
        <w:pStyle w:val="ListBullet"/>
      </w:pPr>
      <w:r>
        <w:t>time of year at which import takes place</w:t>
      </w:r>
    </w:p>
    <w:p w14:paraId="70B7F119" w14:textId="77777777" w:rsidR="007C0D1B" w:rsidRDefault="007C0D1B" w:rsidP="007C0D1B">
      <w:pPr>
        <w:pStyle w:val="ListBullet"/>
      </w:pPr>
      <w:r>
        <w:t>intended use of the commodity (for example, for planting, processing or consumption)</w:t>
      </w:r>
    </w:p>
    <w:p w14:paraId="5BA94A8F" w14:textId="77777777" w:rsidR="007C0D1B" w:rsidRDefault="007C0D1B" w:rsidP="007C0D1B">
      <w:pPr>
        <w:pStyle w:val="ListBullet"/>
      </w:pPr>
      <w:r>
        <w:t>risks from by-products and waste.</w:t>
      </w:r>
    </w:p>
    <w:p w14:paraId="089E412B" w14:textId="77777777" w:rsidR="007C0D1B" w:rsidRDefault="007C0D1B" w:rsidP="007C0D1B">
      <w:pPr>
        <w:pStyle w:val="Heading5"/>
      </w:pPr>
      <w:r>
        <w:lastRenderedPageBreak/>
        <w:t>Likelihood of establishment</w:t>
      </w:r>
    </w:p>
    <w:p w14:paraId="3A36D3B5" w14:textId="1A2F1AE9" w:rsidR="007C0D1B" w:rsidRDefault="007C0D1B" w:rsidP="007C0D1B">
      <w:r>
        <w:t xml:space="preserve">Establishment is defined as the ‘perpetuation for the foreseeable future, of a pest within an area after entry’ (FAO, </w:t>
      </w:r>
      <w:r w:rsidR="009D2A7D">
        <w:t>2019b</w:t>
      </w:r>
      <w:r>
        <w:t>). In order to estimate the likelihood of establishment of a pest, reliable biological information (for example, lifecycle, host range, epidemiology, survival) is obtained from the areas where the pest currently occurs. The situation in the PRA area can then be compared with that in the areas where it currently occurs and expert judgement used to assess the likelihood of establishment.</w:t>
      </w:r>
    </w:p>
    <w:p w14:paraId="64648C5C" w14:textId="77777777" w:rsidR="007C0D1B" w:rsidRDefault="007C0D1B" w:rsidP="007C0D1B">
      <w:r>
        <w:t>Factors to be considered in the likelihood of establishment in the PRA area may include:</w:t>
      </w:r>
    </w:p>
    <w:p w14:paraId="00699BD0" w14:textId="77777777" w:rsidR="007C0D1B" w:rsidRDefault="007C0D1B" w:rsidP="007C0D1B">
      <w:pPr>
        <w:pStyle w:val="ListBullet"/>
      </w:pPr>
      <w:r>
        <w:t>availability of hosts, alternative hosts and vectors</w:t>
      </w:r>
    </w:p>
    <w:p w14:paraId="6E8B2DBC" w14:textId="77777777" w:rsidR="007C0D1B" w:rsidRDefault="007C0D1B" w:rsidP="007C0D1B">
      <w:pPr>
        <w:pStyle w:val="ListBullet"/>
      </w:pPr>
      <w:r>
        <w:t>suitability of the environment</w:t>
      </w:r>
    </w:p>
    <w:p w14:paraId="6C6687D2" w14:textId="77777777" w:rsidR="007C0D1B" w:rsidRDefault="007C0D1B" w:rsidP="007C0D1B">
      <w:pPr>
        <w:pStyle w:val="ListBullet"/>
      </w:pPr>
      <w:r>
        <w:t>reproductive strategy and potential for adaptation</w:t>
      </w:r>
    </w:p>
    <w:p w14:paraId="34757B8D" w14:textId="77777777" w:rsidR="007C0D1B" w:rsidRDefault="007C0D1B" w:rsidP="007C0D1B">
      <w:pPr>
        <w:pStyle w:val="ListBullet"/>
      </w:pPr>
      <w:r>
        <w:t>minimum population needed for establishment</w:t>
      </w:r>
    </w:p>
    <w:p w14:paraId="1A11983B" w14:textId="77777777" w:rsidR="007C0D1B" w:rsidRDefault="007C0D1B" w:rsidP="007C0D1B">
      <w:pPr>
        <w:pStyle w:val="ListBullet"/>
      </w:pPr>
      <w:r>
        <w:t>cultural practices and control measures.</w:t>
      </w:r>
    </w:p>
    <w:p w14:paraId="3009D844" w14:textId="77777777" w:rsidR="007C0D1B" w:rsidRDefault="007C0D1B" w:rsidP="007C0D1B">
      <w:pPr>
        <w:pStyle w:val="Heading5"/>
      </w:pPr>
      <w:r>
        <w:t>Likelihood of spread</w:t>
      </w:r>
    </w:p>
    <w:p w14:paraId="04BA7176" w14:textId="4A1E8E7E" w:rsidR="007C0D1B" w:rsidRDefault="007C0D1B" w:rsidP="007C0D1B">
      <w:r>
        <w:t xml:space="preserve">Spread is defined as ‘the expansion of the geographical distribution of a pest within an area’ (FAO, </w:t>
      </w:r>
      <w:r w:rsidR="009D2A7D">
        <w:t>2019b</w:t>
      </w:r>
      <w:r>
        <w:t>). The likelihood of spread considers the factors relevant to the movement of the pest, after establishment on a host plant or plants, to other susceptible host plants of the same or different species in other areas. In order to estimate the likelihood of spread of the pest, reliable biological information is obtained from areas where the pest currently occurs. The situation in the PRA area is then carefully compared with that in the areas where the pest currently occurs and expert judgement used to assess the likelihood of spread.</w:t>
      </w:r>
    </w:p>
    <w:p w14:paraId="7F9F7DA7" w14:textId="77777777" w:rsidR="007C0D1B" w:rsidRDefault="007C0D1B" w:rsidP="007C0D1B">
      <w:r>
        <w:t>Factors to be considered in the likelihood of spread may include:</w:t>
      </w:r>
    </w:p>
    <w:p w14:paraId="24A45BF1" w14:textId="77777777" w:rsidR="007C0D1B" w:rsidRDefault="007C0D1B" w:rsidP="007C0D1B">
      <w:pPr>
        <w:pStyle w:val="ListBullet"/>
      </w:pPr>
      <w:r>
        <w:t>suitability of the natural and/or managed environment for natural spread of the pest</w:t>
      </w:r>
    </w:p>
    <w:p w14:paraId="5067F229" w14:textId="77777777" w:rsidR="007C0D1B" w:rsidRDefault="007C0D1B" w:rsidP="007C0D1B">
      <w:pPr>
        <w:pStyle w:val="ListBullet"/>
      </w:pPr>
      <w:r>
        <w:t>presence of natural barriers</w:t>
      </w:r>
    </w:p>
    <w:p w14:paraId="3EC1DEEB" w14:textId="77777777" w:rsidR="007C0D1B" w:rsidRDefault="007C0D1B" w:rsidP="007C0D1B">
      <w:pPr>
        <w:pStyle w:val="ListBullet"/>
      </w:pPr>
      <w:r>
        <w:t>potential for movement with commodities, conveyances or by vectors</w:t>
      </w:r>
    </w:p>
    <w:p w14:paraId="2E91B6E9" w14:textId="77777777" w:rsidR="007C0D1B" w:rsidRDefault="007C0D1B" w:rsidP="007C0D1B">
      <w:pPr>
        <w:pStyle w:val="ListBullet"/>
      </w:pPr>
      <w:r>
        <w:t>intended use of the commodity</w:t>
      </w:r>
    </w:p>
    <w:p w14:paraId="2722E4CF" w14:textId="77777777" w:rsidR="007C0D1B" w:rsidRDefault="007C0D1B" w:rsidP="007C0D1B">
      <w:pPr>
        <w:pStyle w:val="ListBullet"/>
      </w:pPr>
      <w:r>
        <w:t>potential vectors of the pest in the PRA area</w:t>
      </w:r>
    </w:p>
    <w:p w14:paraId="00B09CB7" w14:textId="77777777" w:rsidR="007C0D1B" w:rsidRDefault="007C0D1B" w:rsidP="007C0D1B">
      <w:pPr>
        <w:pStyle w:val="ListBullet"/>
      </w:pPr>
      <w:r>
        <w:t>potential natural enemies of the pest in the PRA area.</w:t>
      </w:r>
    </w:p>
    <w:p w14:paraId="1278BED9" w14:textId="77777777" w:rsidR="007C0D1B" w:rsidRDefault="007C0D1B" w:rsidP="007C0D1B">
      <w:pPr>
        <w:pStyle w:val="Heading5"/>
      </w:pPr>
      <w:r>
        <w:t>Assigning likelihoods for entry, establishment and spread</w:t>
      </w:r>
    </w:p>
    <w:p w14:paraId="3D3E3E4F" w14:textId="0F53B793" w:rsidR="007C0D1B" w:rsidRDefault="007C0D1B" w:rsidP="007C0D1B">
      <w:r>
        <w:t>Likelihoods are assigned to each step of entry, establishment and spread. Six descriptors are used: high; moderate; low; very low; extremely low; and negligible (Table 1). Definitions for these descriptors and their indicative probability ranges are given in Table 1</w:t>
      </w:r>
      <w:r>
        <w:fldChar w:fldCharType="begin"/>
      </w:r>
      <w:r>
        <w:instrText xml:space="preserve"> REF _Ref457826303 \h </w:instrText>
      </w:r>
      <w:r>
        <w:fldChar w:fldCharType="separate"/>
      </w:r>
      <w:r w:rsidR="0043311F">
        <w:t xml:space="preserve">Table </w:t>
      </w:r>
      <w:r>
        <w:fldChar w:fldCharType="end"/>
      </w:r>
      <w:r>
        <w:t>. The indicative probability ranges are only provided to illustrate the boundaries of the descriptors and are not used beyond this purpose in qualitative PRAs. These indicative probability ranges provide guidance to the risk analyst and promote consistency between different pest risk assessments.</w:t>
      </w:r>
    </w:p>
    <w:p w14:paraId="17E939E0" w14:textId="77777777" w:rsidR="00AA6A2F" w:rsidRDefault="00AA6A2F" w:rsidP="007C0D1B"/>
    <w:p w14:paraId="695E0803" w14:textId="77777777" w:rsidR="007C0D1B" w:rsidRDefault="007C0D1B" w:rsidP="007C0D1B">
      <w:pPr>
        <w:pStyle w:val="Caption"/>
      </w:pPr>
      <w:bookmarkStart w:id="37" w:name="_Ref457826303"/>
      <w:bookmarkStart w:id="38" w:name="_Toc469037538"/>
      <w:r>
        <w:lastRenderedPageBreak/>
        <w:t xml:space="preserve">Table </w:t>
      </w:r>
      <w:bookmarkEnd w:id="37"/>
      <w:r>
        <w:t xml:space="preserve">1 </w:t>
      </w:r>
      <w:r w:rsidRPr="00A7299B">
        <w:t>Nomenclature of likelihoods</w:t>
      </w:r>
      <w:bookmarkEnd w:id="38"/>
    </w:p>
    <w:tbl>
      <w:tblPr>
        <w:tblW w:w="5000" w:type="pct"/>
        <w:tblBorders>
          <w:top w:val="single" w:sz="4" w:space="0" w:color="auto"/>
          <w:bottom w:val="single" w:sz="4" w:space="0" w:color="auto"/>
        </w:tblBorders>
        <w:tblLook w:val="04A0" w:firstRow="1" w:lastRow="0" w:firstColumn="1" w:lastColumn="0" w:noHBand="0" w:noVBand="1"/>
      </w:tblPr>
      <w:tblGrid>
        <w:gridCol w:w="1906"/>
        <w:gridCol w:w="4140"/>
        <w:gridCol w:w="3024"/>
      </w:tblGrid>
      <w:tr w:rsidR="007C0D1B" w14:paraId="72930069" w14:textId="77777777" w:rsidTr="00472B02">
        <w:tc>
          <w:tcPr>
            <w:tcW w:w="1051" w:type="pct"/>
          </w:tcPr>
          <w:p w14:paraId="5766396C" w14:textId="77777777" w:rsidR="007C0D1B" w:rsidRDefault="007C0D1B" w:rsidP="00472B02">
            <w:pPr>
              <w:pStyle w:val="TableHeading"/>
            </w:pPr>
            <w:r>
              <w:t>Likelihood</w:t>
            </w:r>
          </w:p>
        </w:tc>
        <w:tc>
          <w:tcPr>
            <w:tcW w:w="2282" w:type="pct"/>
          </w:tcPr>
          <w:p w14:paraId="07B5D861" w14:textId="77777777" w:rsidR="007C0D1B" w:rsidRDefault="007C0D1B" w:rsidP="00472B02">
            <w:pPr>
              <w:pStyle w:val="TableHeading"/>
            </w:pPr>
            <w:r>
              <w:t>Descriptive definition</w:t>
            </w:r>
          </w:p>
        </w:tc>
        <w:tc>
          <w:tcPr>
            <w:tcW w:w="1667" w:type="pct"/>
          </w:tcPr>
          <w:p w14:paraId="663AA32E" w14:textId="77777777" w:rsidR="007C0D1B" w:rsidRDefault="007C0D1B" w:rsidP="00472B02">
            <w:pPr>
              <w:pStyle w:val="TableHeading"/>
            </w:pPr>
            <w:r>
              <w:t>Indicative range</w:t>
            </w:r>
          </w:p>
        </w:tc>
      </w:tr>
      <w:tr w:rsidR="007C0D1B" w14:paraId="2A9AE835" w14:textId="77777777" w:rsidTr="00472B02">
        <w:tc>
          <w:tcPr>
            <w:tcW w:w="1051" w:type="pct"/>
          </w:tcPr>
          <w:p w14:paraId="0C83C125" w14:textId="77777777" w:rsidR="007C0D1B" w:rsidRDefault="007C0D1B" w:rsidP="00472B02">
            <w:pPr>
              <w:pStyle w:val="TableText"/>
            </w:pPr>
            <w:r>
              <w:t>High</w:t>
            </w:r>
          </w:p>
        </w:tc>
        <w:tc>
          <w:tcPr>
            <w:tcW w:w="2282" w:type="pct"/>
          </w:tcPr>
          <w:p w14:paraId="35956BCE" w14:textId="77777777" w:rsidR="007C0D1B" w:rsidRDefault="007C0D1B" w:rsidP="00472B02">
            <w:pPr>
              <w:pStyle w:val="TableText"/>
            </w:pPr>
            <w:r>
              <w:t>The event would be very likely to occur</w:t>
            </w:r>
          </w:p>
        </w:tc>
        <w:tc>
          <w:tcPr>
            <w:tcW w:w="1667" w:type="pct"/>
          </w:tcPr>
          <w:p w14:paraId="40557CA0" w14:textId="77777777" w:rsidR="007C0D1B" w:rsidRDefault="007C0D1B" w:rsidP="00472B02">
            <w:pPr>
              <w:pStyle w:val="TableText"/>
            </w:pPr>
            <w:r>
              <w:t>0.7 &lt; to ≤ 1</w:t>
            </w:r>
          </w:p>
        </w:tc>
      </w:tr>
      <w:tr w:rsidR="007C0D1B" w14:paraId="345E1317" w14:textId="77777777" w:rsidTr="00472B02">
        <w:tc>
          <w:tcPr>
            <w:tcW w:w="1051" w:type="pct"/>
          </w:tcPr>
          <w:p w14:paraId="13CB0A2E" w14:textId="77777777" w:rsidR="007C0D1B" w:rsidRDefault="007C0D1B" w:rsidP="00472B02">
            <w:pPr>
              <w:pStyle w:val="TableText"/>
            </w:pPr>
            <w:r>
              <w:t>Moderate</w:t>
            </w:r>
          </w:p>
        </w:tc>
        <w:tc>
          <w:tcPr>
            <w:tcW w:w="2282" w:type="pct"/>
          </w:tcPr>
          <w:p w14:paraId="6F5240C7" w14:textId="77777777" w:rsidR="007C0D1B" w:rsidRDefault="007C0D1B" w:rsidP="00472B02">
            <w:pPr>
              <w:pStyle w:val="TableText"/>
            </w:pPr>
            <w:r>
              <w:t>The event would occur with an even likelihood</w:t>
            </w:r>
          </w:p>
        </w:tc>
        <w:tc>
          <w:tcPr>
            <w:tcW w:w="1667" w:type="pct"/>
          </w:tcPr>
          <w:p w14:paraId="418C09BB" w14:textId="77777777" w:rsidR="007C0D1B" w:rsidRDefault="007C0D1B" w:rsidP="00472B02">
            <w:pPr>
              <w:pStyle w:val="TableText"/>
            </w:pPr>
            <w:r>
              <w:t>0.3 &lt; to ≤ 0.7</w:t>
            </w:r>
          </w:p>
        </w:tc>
      </w:tr>
      <w:tr w:rsidR="007C0D1B" w14:paraId="31757344" w14:textId="77777777" w:rsidTr="00472B02">
        <w:tc>
          <w:tcPr>
            <w:tcW w:w="1051" w:type="pct"/>
          </w:tcPr>
          <w:p w14:paraId="180F3020" w14:textId="77777777" w:rsidR="007C0D1B" w:rsidRDefault="007C0D1B" w:rsidP="00472B02">
            <w:pPr>
              <w:pStyle w:val="TableText"/>
            </w:pPr>
            <w:r>
              <w:t>Low</w:t>
            </w:r>
          </w:p>
        </w:tc>
        <w:tc>
          <w:tcPr>
            <w:tcW w:w="2282" w:type="pct"/>
          </w:tcPr>
          <w:p w14:paraId="19B5FC24" w14:textId="77777777" w:rsidR="007C0D1B" w:rsidRDefault="007C0D1B" w:rsidP="00472B02">
            <w:pPr>
              <w:pStyle w:val="TableText"/>
            </w:pPr>
            <w:r>
              <w:t>The event would be unlikely to occur</w:t>
            </w:r>
          </w:p>
        </w:tc>
        <w:tc>
          <w:tcPr>
            <w:tcW w:w="1667" w:type="pct"/>
          </w:tcPr>
          <w:p w14:paraId="7596B39D" w14:textId="77777777" w:rsidR="007C0D1B" w:rsidRDefault="007C0D1B" w:rsidP="00472B02">
            <w:pPr>
              <w:pStyle w:val="TableText"/>
            </w:pPr>
            <w:r>
              <w:t>0.05 &lt; to ≤ 0.3</w:t>
            </w:r>
          </w:p>
        </w:tc>
      </w:tr>
      <w:tr w:rsidR="007C0D1B" w14:paraId="1CC583DE" w14:textId="77777777" w:rsidTr="00472B02">
        <w:tc>
          <w:tcPr>
            <w:tcW w:w="1051" w:type="pct"/>
          </w:tcPr>
          <w:p w14:paraId="01D3BA78" w14:textId="77777777" w:rsidR="007C0D1B" w:rsidRDefault="007C0D1B" w:rsidP="00472B02">
            <w:pPr>
              <w:pStyle w:val="TableText"/>
            </w:pPr>
            <w:r>
              <w:t>Very low</w:t>
            </w:r>
          </w:p>
        </w:tc>
        <w:tc>
          <w:tcPr>
            <w:tcW w:w="2282" w:type="pct"/>
          </w:tcPr>
          <w:p w14:paraId="32A53B00" w14:textId="77777777" w:rsidR="007C0D1B" w:rsidRDefault="007C0D1B" w:rsidP="00472B02">
            <w:pPr>
              <w:pStyle w:val="TableText"/>
            </w:pPr>
            <w:r>
              <w:t>The event would be very unlikely to occur</w:t>
            </w:r>
          </w:p>
        </w:tc>
        <w:tc>
          <w:tcPr>
            <w:tcW w:w="1667" w:type="pct"/>
          </w:tcPr>
          <w:p w14:paraId="07D54BB1" w14:textId="77777777" w:rsidR="007C0D1B" w:rsidRDefault="007C0D1B" w:rsidP="00472B02">
            <w:pPr>
              <w:pStyle w:val="TableText"/>
            </w:pPr>
            <w:r>
              <w:t>0.001 &lt; to ≤ 0.05</w:t>
            </w:r>
          </w:p>
        </w:tc>
      </w:tr>
      <w:tr w:rsidR="007C0D1B" w14:paraId="0A807CC7" w14:textId="77777777" w:rsidTr="00472B02">
        <w:tc>
          <w:tcPr>
            <w:tcW w:w="1051" w:type="pct"/>
          </w:tcPr>
          <w:p w14:paraId="6060A8D3" w14:textId="77777777" w:rsidR="007C0D1B" w:rsidRDefault="007C0D1B" w:rsidP="00472B02">
            <w:pPr>
              <w:pStyle w:val="TableText"/>
            </w:pPr>
            <w:r>
              <w:t>Extremely low</w:t>
            </w:r>
          </w:p>
        </w:tc>
        <w:tc>
          <w:tcPr>
            <w:tcW w:w="2282" w:type="pct"/>
          </w:tcPr>
          <w:p w14:paraId="773983EF" w14:textId="77777777" w:rsidR="007C0D1B" w:rsidRDefault="007C0D1B" w:rsidP="00472B02">
            <w:pPr>
              <w:pStyle w:val="TableText"/>
            </w:pPr>
            <w:r>
              <w:t>The event would be extremely unlikely to occur</w:t>
            </w:r>
          </w:p>
        </w:tc>
        <w:tc>
          <w:tcPr>
            <w:tcW w:w="1667" w:type="pct"/>
          </w:tcPr>
          <w:p w14:paraId="74876D7E" w14:textId="77777777" w:rsidR="007C0D1B" w:rsidRDefault="007C0D1B" w:rsidP="00472B02">
            <w:pPr>
              <w:pStyle w:val="TableText"/>
            </w:pPr>
            <w:r>
              <w:t>0.000001 &lt; to ≤ 0.001</w:t>
            </w:r>
          </w:p>
        </w:tc>
      </w:tr>
      <w:tr w:rsidR="007C0D1B" w14:paraId="53598B99" w14:textId="77777777" w:rsidTr="00472B02">
        <w:tc>
          <w:tcPr>
            <w:tcW w:w="1051" w:type="pct"/>
          </w:tcPr>
          <w:p w14:paraId="7E3F9776" w14:textId="77777777" w:rsidR="007C0D1B" w:rsidRDefault="007C0D1B" w:rsidP="00472B02">
            <w:pPr>
              <w:pStyle w:val="TableText"/>
            </w:pPr>
            <w:r>
              <w:t>Negligible</w:t>
            </w:r>
          </w:p>
        </w:tc>
        <w:tc>
          <w:tcPr>
            <w:tcW w:w="2282" w:type="pct"/>
          </w:tcPr>
          <w:p w14:paraId="68A27A68" w14:textId="77777777" w:rsidR="007C0D1B" w:rsidRDefault="007C0D1B" w:rsidP="00472B02">
            <w:pPr>
              <w:pStyle w:val="TableText"/>
            </w:pPr>
            <w:r>
              <w:t>The event would almost certainly not occur</w:t>
            </w:r>
          </w:p>
        </w:tc>
        <w:tc>
          <w:tcPr>
            <w:tcW w:w="1667" w:type="pct"/>
          </w:tcPr>
          <w:p w14:paraId="3C3EE164" w14:textId="77777777" w:rsidR="007C0D1B" w:rsidRDefault="007C0D1B" w:rsidP="00472B02">
            <w:pPr>
              <w:pStyle w:val="TableText"/>
            </w:pPr>
            <w:r>
              <w:t>0 &lt; to ≤ 0.000001</w:t>
            </w:r>
          </w:p>
        </w:tc>
      </w:tr>
    </w:tbl>
    <w:p w14:paraId="2D4D575B" w14:textId="77777777" w:rsidR="007C0D1B" w:rsidRDefault="007C0D1B" w:rsidP="007C0D1B">
      <w:pPr>
        <w:pStyle w:val="Heading5"/>
      </w:pPr>
      <w:r>
        <w:t>Combining likelihoods</w:t>
      </w:r>
    </w:p>
    <w:p w14:paraId="0B1D11AF" w14:textId="77777777" w:rsidR="007C0D1B" w:rsidRDefault="007C0D1B" w:rsidP="007C0D1B">
      <w:r>
        <w:t>The likelihood of entry is determined by combining the likelihood that the pest will be imported into the PRA area and the likelihood that the pest will be distributed within the PRA area, using a matrix of rules (Table 2). This matrix is then used to combine the likelihood of entry and the likelihood of establishment, and the likelihood of entry and establishment is then combined with the likelihood of spread to determine the overall likelihood of entry, establishment and spread.</w:t>
      </w:r>
    </w:p>
    <w:p w14:paraId="753C0EF5" w14:textId="77777777" w:rsidR="007C0D1B" w:rsidRDefault="007C0D1B" w:rsidP="007C0D1B">
      <w:r>
        <w:t>For example, if the likelihood of importation is assigned a descriptor of ‘low’ and the likelihood of distribution is assigned a descriptor of ‘moderate’, then they are combined to give a likelihood of ‘low’ for entry. The likelihood for entry is then combined with the likelihood assigned for establishment of ‘high’ to give a likelihood for entry and establishment of ‘low’. The likelihood for entry and establishment is then combined with the likelihood assigned for spread of ‘very low’ to give the overall likelihood for entry, establishment and spread of ‘very low’. This can be summarised as:</w:t>
      </w:r>
    </w:p>
    <w:p w14:paraId="1C16C98A" w14:textId="77777777" w:rsidR="007C0D1B" w:rsidRDefault="007C0D1B" w:rsidP="007C0D1B">
      <w:pPr>
        <w:tabs>
          <w:tab w:val="left" w:pos="4395"/>
        </w:tabs>
      </w:pPr>
      <w:r>
        <w:t>importation x distribution = entry [E]</w:t>
      </w:r>
      <w:r>
        <w:tab/>
      </w:r>
      <w:r w:rsidRPr="00901A6E">
        <w:rPr>
          <w:rStyle w:val="Strong"/>
        </w:rPr>
        <w:t>low x moderate = low</w:t>
      </w:r>
    </w:p>
    <w:p w14:paraId="313E626A" w14:textId="77777777" w:rsidR="007C0D1B" w:rsidRDefault="007C0D1B" w:rsidP="007C0D1B">
      <w:pPr>
        <w:tabs>
          <w:tab w:val="left" w:pos="4395"/>
        </w:tabs>
      </w:pPr>
      <w:r>
        <w:t xml:space="preserve">entry x establishment = [EE] </w:t>
      </w:r>
      <w:r>
        <w:tab/>
      </w:r>
      <w:r w:rsidRPr="00901A6E">
        <w:rPr>
          <w:rStyle w:val="Strong"/>
        </w:rPr>
        <w:t>low x high = low</w:t>
      </w:r>
    </w:p>
    <w:p w14:paraId="41524796" w14:textId="77777777" w:rsidR="007C0D1B" w:rsidRPr="00901A6E" w:rsidRDefault="007C0D1B" w:rsidP="007C0D1B">
      <w:pPr>
        <w:tabs>
          <w:tab w:val="left" w:pos="4395"/>
        </w:tabs>
        <w:rPr>
          <w:rStyle w:val="Strong"/>
        </w:rPr>
      </w:pPr>
      <w:r>
        <w:t xml:space="preserve">[EE] x spread = [EES] </w:t>
      </w:r>
      <w:r>
        <w:tab/>
      </w:r>
      <w:r w:rsidRPr="00901A6E">
        <w:rPr>
          <w:rStyle w:val="Strong"/>
        </w:rPr>
        <w:t>low x very low = very low</w:t>
      </w:r>
    </w:p>
    <w:p w14:paraId="0C911F7C" w14:textId="77777777" w:rsidR="007C0D1B" w:rsidRDefault="007C0D1B" w:rsidP="007C0D1B">
      <w:pPr>
        <w:pStyle w:val="Caption"/>
      </w:pPr>
      <w:r>
        <w:br w:type="page"/>
      </w:r>
      <w:bookmarkStart w:id="39" w:name="_Ref457826328"/>
      <w:bookmarkStart w:id="40" w:name="_Toc469037539"/>
      <w:r>
        <w:lastRenderedPageBreak/>
        <w:t xml:space="preserve">Table </w:t>
      </w:r>
      <w:bookmarkEnd w:id="39"/>
      <w:r>
        <w:t>2 Matrix of rules for combining likelihoods</w:t>
      </w:r>
      <w:bookmarkEnd w:id="40"/>
    </w:p>
    <w:tbl>
      <w:tblPr>
        <w:tblW w:w="5000" w:type="pct"/>
        <w:tblBorders>
          <w:top w:val="single" w:sz="4" w:space="0" w:color="auto"/>
          <w:left w:val="single" w:sz="4" w:space="0" w:color="auto"/>
          <w:bottom w:val="single" w:sz="4" w:space="0" w:color="auto"/>
          <w:right w:val="single" w:sz="4" w:space="0" w:color="auto"/>
          <w:insideH w:val="single" w:sz="8" w:space="0" w:color="C0C0C0"/>
          <w:insideV w:val="single" w:sz="8" w:space="0" w:color="C0C0C0"/>
        </w:tblBorders>
        <w:tblCellMar>
          <w:left w:w="115" w:type="dxa"/>
          <w:right w:w="115" w:type="dxa"/>
        </w:tblCellMar>
        <w:tblLook w:val="0020" w:firstRow="1" w:lastRow="0" w:firstColumn="0" w:lastColumn="0" w:noHBand="0" w:noVBand="0"/>
      </w:tblPr>
      <w:tblGrid>
        <w:gridCol w:w="1194"/>
        <w:gridCol w:w="1309"/>
        <w:gridCol w:w="1310"/>
        <w:gridCol w:w="1309"/>
        <w:gridCol w:w="1309"/>
        <w:gridCol w:w="1310"/>
        <w:gridCol w:w="1309"/>
      </w:tblGrid>
      <w:tr w:rsidR="007C0D1B" w14:paraId="2805FC7B" w14:textId="77777777" w:rsidTr="00472B02">
        <w:trPr>
          <w:cantSplit/>
          <w:trHeight w:val="75"/>
        </w:trPr>
        <w:tc>
          <w:tcPr>
            <w:tcW w:w="660" w:type="pct"/>
            <w:tcBorders>
              <w:top w:val="single" w:sz="8" w:space="0" w:color="auto"/>
              <w:left w:val="single" w:sz="8" w:space="0" w:color="auto"/>
              <w:bottom w:val="nil"/>
              <w:right w:val="nil"/>
              <w:tl2br w:val="single" w:sz="4" w:space="0" w:color="C0C0C0"/>
            </w:tcBorders>
            <w:shd w:val="clear" w:color="auto" w:fill="auto"/>
          </w:tcPr>
          <w:p w14:paraId="3671914B" w14:textId="77777777" w:rsidR="007C0D1B" w:rsidRDefault="007C0D1B" w:rsidP="00472B02">
            <w:pPr>
              <w:pStyle w:val="TableText"/>
            </w:pPr>
          </w:p>
        </w:tc>
        <w:tc>
          <w:tcPr>
            <w:tcW w:w="723" w:type="pct"/>
            <w:tcBorders>
              <w:top w:val="single" w:sz="8" w:space="0" w:color="auto"/>
              <w:left w:val="nil"/>
              <w:bottom w:val="single" w:sz="8" w:space="0" w:color="C0C0C0"/>
            </w:tcBorders>
            <w:shd w:val="clear" w:color="auto" w:fill="auto"/>
          </w:tcPr>
          <w:p w14:paraId="3DDFBB65" w14:textId="77777777" w:rsidR="007C0D1B" w:rsidRDefault="007C0D1B" w:rsidP="00472B02">
            <w:pPr>
              <w:pStyle w:val="TableText"/>
            </w:pPr>
            <w:r>
              <w:t>High</w:t>
            </w:r>
          </w:p>
        </w:tc>
        <w:tc>
          <w:tcPr>
            <w:tcW w:w="724" w:type="pct"/>
            <w:tcBorders>
              <w:top w:val="single" w:sz="8" w:space="0" w:color="auto"/>
              <w:bottom w:val="single" w:sz="8" w:space="0" w:color="C0C0C0"/>
            </w:tcBorders>
            <w:shd w:val="clear" w:color="auto" w:fill="auto"/>
          </w:tcPr>
          <w:p w14:paraId="4B24E0AA" w14:textId="77777777" w:rsidR="007C0D1B" w:rsidRDefault="007C0D1B" w:rsidP="00472B02">
            <w:pPr>
              <w:pStyle w:val="TableText"/>
            </w:pPr>
            <w:r>
              <w:t>Moderate</w:t>
            </w:r>
          </w:p>
        </w:tc>
        <w:tc>
          <w:tcPr>
            <w:tcW w:w="723" w:type="pct"/>
            <w:tcBorders>
              <w:top w:val="single" w:sz="8" w:space="0" w:color="auto"/>
              <w:bottom w:val="single" w:sz="8" w:space="0" w:color="C0C0C0"/>
            </w:tcBorders>
            <w:shd w:val="clear" w:color="auto" w:fill="auto"/>
          </w:tcPr>
          <w:p w14:paraId="60CBC4D4" w14:textId="77777777" w:rsidR="007C0D1B" w:rsidRDefault="007C0D1B" w:rsidP="00472B02">
            <w:pPr>
              <w:pStyle w:val="TableText"/>
            </w:pPr>
            <w:r>
              <w:t>Low</w:t>
            </w:r>
          </w:p>
        </w:tc>
        <w:tc>
          <w:tcPr>
            <w:tcW w:w="723" w:type="pct"/>
            <w:tcBorders>
              <w:top w:val="single" w:sz="8" w:space="0" w:color="auto"/>
              <w:bottom w:val="single" w:sz="8" w:space="0" w:color="C0C0C0"/>
            </w:tcBorders>
            <w:shd w:val="clear" w:color="auto" w:fill="auto"/>
          </w:tcPr>
          <w:p w14:paraId="044AE883" w14:textId="77777777" w:rsidR="007C0D1B" w:rsidRDefault="007C0D1B" w:rsidP="00472B02">
            <w:pPr>
              <w:pStyle w:val="TableText"/>
            </w:pPr>
            <w:r>
              <w:t>Very low</w:t>
            </w:r>
          </w:p>
        </w:tc>
        <w:tc>
          <w:tcPr>
            <w:tcW w:w="724" w:type="pct"/>
            <w:tcBorders>
              <w:top w:val="single" w:sz="8" w:space="0" w:color="auto"/>
              <w:bottom w:val="single" w:sz="8" w:space="0" w:color="C0C0C0"/>
            </w:tcBorders>
            <w:shd w:val="clear" w:color="auto" w:fill="auto"/>
          </w:tcPr>
          <w:p w14:paraId="48C6A7DB" w14:textId="77777777" w:rsidR="007C0D1B" w:rsidRDefault="007C0D1B" w:rsidP="00472B02">
            <w:pPr>
              <w:pStyle w:val="TableText"/>
            </w:pPr>
            <w:r>
              <w:t>Extremely low</w:t>
            </w:r>
          </w:p>
        </w:tc>
        <w:tc>
          <w:tcPr>
            <w:tcW w:w="723" w:type="pct"/>
            <w:tcBorders>
              <w:top w:val="single" w:sz="8" w:space="0" w:color="auto"/>
              <w:bottom w:val="single" w:sz="8" w:space="0" w:color="C0C0C0"/>
              <w:right w:val="single" w:sz="8" w:space="0" w:color="auto"/>
            </w:tcBorders>
            <w:shd w:val="clear" w:color="auto" w:fill="auto"/>
          </w:tcPr>
          <w:p w14:paraId="0822543A" w14:textId="77777777" w:rsidR="007C0D1B" w:rsidRDefault="007C0D1B" w:rsidP="00472B02">
            <w:pPr>
              <w:pStyle w:val="TableText"/>
            </w:pPr>
            <w:r>
              <w:t>Negligible</w:t>
            </w:r>
          </w:p>
        </w:tc>
      </w:tr>
      <w:tr w:rsidR="007C0D1B" w14:paraId="406C996F" w14:textId="77777777" w:rsidTr="007C0D1B">
        <w:trPr>
          <w:cantSplit/>
        </w:trPr>
        <w:tc>
          <w:tcPr>
            <w:tcW w:w="660" w:type="pct"/>
            <w:tcBorders>
              <w:top w:val="nil"/>
              <w:left w:val="single" w:sz="8" w:space="0" w:color="auto"/>
              <w:bottom w:val="single" w:sz="8" w:space="0" w:color="C0C0C0"/>
            </w:tcBorders>
            <w:vAlign w:val="center"/>
          </w:tcPr>
          <w:p w14:paraId="08B3B222" w14:textId="77777777" w:rsidR="007C0D1B" w:rsidRDefault="007C0D1B" w:rsidP="00472B02">
            <w:pPr>
              <w:pStyle w:val="TableText"/>
            </w:pPr>
            <w:r>
              <w:t>High</w:t>
            </w:r>
          </w:p>
        </w:tc>
        <w:tc>
          <w:tcPr>
            <w:tcW w:w="723" w:type="pct"/>
            <w:tcBorders>
              <w:top w:val="single" w:sz="8" w:space="0" w:color="C0C0C0"/>
              <w:bottom w:val="single" w:sz="8" w:space="0" w:color="C0C0C0"/>
            </w:tcBorders>
            <w:shd w:val="clear" w:color="auto" w:fill="FF99CC"/>
            <w:vAlign w:val="center"/>
          </w:tcPr>
          <w:p w14:paraId="70C585B6" w14:textId="77777777" w:rsidR="007C0D1B" w:rsidRDefault="007C0D1B" w:rsidP="00472B02">
            <w:pPr>
              <w:pStyle w:val="TableText"/>
              <w:rPr>
                <w:snapToGrid w:val="0"/>
              </w:rPr>
            </w:pPr>
            <w:r>
              <w:rPr>
                <w:snapToGrid w:val="0"/>
              </w:rPr>
              <w:t>High</w:t>
            </w:r>
          </w:p>
        </w:tc>
        <w:tc>
          <w:tcPr>
            <w:tcW w:w="724" w:type="pct"/>
            <w:tcBorders>
              <w:top w:val="single" w:sz="8" w:space="0" w:color="C0C0C0"/>
            </w:tcBorders>
            <w:shd w:val="clear" w:color="auto" w:fill="FFCC99"/>
            <w:vAlign w:val="center"/>
          </w:tcPr>
          <w:p w14:paraId="64A77C45" w14:textId="77777777" w:rsidR="007C0D1B" w:rsidRDefault="007C0D1B" w:rsidP="00472B02">
            <w:pPr>
              <w:pStyle w:val="TableText"/>
              <w:rPr>
                <w:snapToGrid w:val="0"/>
              </w:rPr>
            </w:pPr>
            <w:r>
              <w:rPr>
                <w:snapToGrid w:val="0"/>
              </w:rPr>
              <w:t>Moderate</w:t>
            </w:r>
          </w:p>
        </w:tc>
        <w:tc>
          <w:tcPr>
            <w:tcW w:w="723" w:type="pct"/>
            <w:tcBorders>
              <w:top w:val="single" w:sz="8" w:space="0" w:color="C0C0C0"/>
            </w:tcBorders>
            <w:shd w:val="clear" w:color="auto" w:fill="FFFF99"/>
            <w:vAlign w:val="center"/>
          </w:tcPr>
          <w:p w14:paraId="0857454D" w14:textId="77777777" w:rsidR="007C0D1B" w:rsidRDefault="007C0D1B" w:rsidP="00472B02">
            <w:pPr>
              <w:pStyle w:val="TableText"/>
              <w:rPr>
                <w:snapToGrid w:val="0"/>
              </w:rPr>
            </w:pPr>
            <w:r>
              <w:rPr>
                <w:snapToGrid w:val="0"/>
              </w:rPr>
              <w:t>Low</w:t>
            </w:r>
          </w:p>
        </w:tc>
        <w:tc>
          <w:tcPr>
            <w:tcW w:w="723" w:type="pct"/>
            <w:tcBorders>
              <w:top w:val="single" w:sz="8" w:space="0" w:color="C0C0C0"/>
            </w:tcBorders>
            <w:shd w:val="clear" w:color="auto" w:fill="CCFFCC"/>
            <w:vAlign w:val="center"/>
          </w:tcPr>
          <w:p w14:paraId="170A5379" w14:textId="77777777" w:rsidR="007C0D1B" w:rsidRDefault="007C0D1B" w:rsidP="00472B02">
            <w:pPr>
              <w:pStyle w:val="TableText"/>
              <w:rPr>
                <w:snapToGrid w:val="0"/>
              </w:rPr>
            </w:pPr>
            <w:r>
              <w:rPr>
                <w:snapToGrid w:val="0"/>
              </w:rPr>
              <w:t>Very low</w:t>
            </w:r>
          </w:p>
        </w:tc>
        <w:tc>
          <w:tcPr>
            <w:tcW w:w="724" w:type="pct"/>
            <w:tcBorders>
              <w:top w:val="single" w:sz="8" w:space="0" w:color="C0C0C0"/>
            </w:tcBorders>
            <w:shd w:val="clear" w:color="auto" w:fill="CCFFFF"/>
            <w:vAlign w:val="center"/>
          </w:tcPr>
          <w:p w14:paraId="0230FACA" w14:textId="77777777" w:rsidR="007C0D1B" w:rsidRDefault="007C0D1B" w:rsidP="00472B02">
            <w:pPr>
              <w:pStyle w:val="TableText"/>
              <w:rPr>
                <w:snapToGrid w:val="0"/>
              </w:rPr>
            </w:pPr>
            <w:r>
              <w:rPr>
                <w:snapToGrid w:val="0"/>
              </w:rPr>
              <w:t>Extremely low</w:t>
            </w:r>
          </w:p>
        </w:tc>
        <w:tc>
          <w:tcPr>
            <w:tcW w:w="723" w:type="pct"/>
            <w:tcBorders>
              <w:top w:val="single" w:sz="8" w:space="0" w:color="C0C0C0"/>
              <w:right w:val="single" w:sz="8" w:space="0" w:color="auto"/>
            </w:tcBorders>
            <w:shd w:val="clear" w:color="auto" w:fill="F2F2F2"/>
            <w:vAlign w:val="center"/>
          </w:tcPr>
          <w:p w14:paraId="2C11C2D8" w14:textId="77777777" w:rsidR="007C0D1B" w:rsidRDefault="007C0D1B" w:rsidP="00472B02">
            <w:pPr>
              <w:pStyle w:val="TableText"/>
              <w:rPr>
                <w:rFonts w:cs="Arial"/>
                <w:snapToGrid w:val="0"/>
                <w:szCs w:val="18"/>
              </w:rPr>
            </w:pPr>
            <w:r>
              <w:rPr>
                <w:rFonts w:cs="Arial"/>
                <w:snapToGrid w:val="0"/>
                <w:szCs w:val="18"/>
              </w:rPr>
              <w:t>Negligible</w:t>
            </w:r>
          </w:p>
        </w:tc>
      </w:tr>
      <w:tr w:rsidR="007C0D1B" w14:paraId="3DEF5BD6" w14:textId="77777777" w:rsidTr="007C0D1B">
        <w:trPr>
          <w:cantSplit/>
        </w:trPr>
        <w:tc>
          <w:tcPr>
            <w:tcW w:w="1382" w:type="pct"/>
            <w:gridSpan w:val="2"/>
            <w:tcBorders>
              <w:top w:val="single" w:sz="8" w:space="0" w:color="C0C0C0"/>
              <w:left w:val="single" w:sz="8" w:space="0" w:color="auto"/>
              <w:bottom w:val="single" w:sz="8" w:space="0" w:color="C0C0C0"/>
            </w:tcBorders>
            <w:vAlign w:val="center"/>
          </w:tcPr>
          <w:p w14:paraId="21471450" w14:textId="77777777" w:rsidR="007C0D1B" w:rsidRDefault="007C0D1B" w:rsidP="00472B02">
            <w:pPr>
              <w:pStyle w:val="TableText"/>
            </w:pPr>
            <w:r>
              <w:t>Moderate</w:t>
            </w:r>
          </w:p>
        </w:tc>
        <w:tc>
          <w:tcPr>
            <w:tcW w:w="724" w:type="pct"/>
            <w:tcBorders>
              <w:bottom w:val="single" w:sz="8" w:space="0" w:color="C0C0C0"/>
            </w:tcBorders>
            <w:shd w:val="clear" w:color="auto" w:fill="FFFF99"/>
            <w:vAlign w:val="center"/>
          </w:tcPr>
          <w:p w14:paraId="3EE30480" w14:textId="77777777" w:rsidR="007C0D1B" w:rsidRDefault="007C0D1B" w:rsidP="00472B02">
            <w:pPr>
              <w:pStyle w:val="TableText"/>
              <w:rPr>
                <w:snapToGrid w:val="0"/>
              </w:rPr>
            </w:pPr>
            <w:r>
              <w:rPr>
                <w:snapToGrid w:val="0"/>
              </w:rPr>
              <w:t>Low</w:t>
            </w:r>
          </w:p>
        </w:tc>
        <w:tc>
          <w:tcPr>
            <w:tcW w:w="723" w:type="pct"/>
            <w:shd w:val="clear" w:color="auto" w:fill="FFFF99"/>
            <w:vAlign w:val="center"/>
          </w:tcPr>
          <w:p w14:paraId="26306843" w14:textId="77777777" w:rsidR="007C0D1B" w:rsidRDefault="007C0D1B" w:rsidP="00472B02">
            <w:pPr>
              <w:pStyle w:val="TableText"/>
              <w:rPr>
                <w:snapToGrid w:val="0"/>
              </w:rPr>
            </w:pPr>
            <w:r>
              <w:rPr>
                <w:snapToGrid w:val="0"/>
              </w:rPr>
              <w:t>Low</w:t>
            </w:r>
          </w:p>
        </w:tc>
        <w:tc>
          <w:tcPr>
            <w:tcW w:w="723" w:type="pct"/>
            <w:shd w:val="clear" w:color="auto" w:fill="CCFFCC"/>
            <w:vAlign w:val="center"/>
          </w:tcPr>
          <w:p w14:paraId="2A1C89F0" w14:textId="77777777" w:rsidR="007C0D1B" w:rsidRDefault="007C0D1B" w:rsidP="00472B02">
            <w:pPr>
              <w:pStyle w:val="TableText"/>
              <w:rPr>
                <w:snapToGrid w:val="0"/>
              </w:rPr>
            </w:pPr>
            <w:r>
              <w:rPr>
                <w:snapToGrid w:val="0"/>
              </w:rPr>
              <w:t>Very low</w:t>
            </w:r>
          </w:p>
        </w:tc>
        <w:tc>
          <w:tcPr>
            <w:tcW w:w="724" w:type="pct"/>
            <w:shd w:val="clear" w:color="auto" w:fill="CCFFFF"/>
            <w:vAlign w:val="center"/>
          </w:tcPr>
          <w:p w14:paraId="23E48D7D"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1214AAF6" w14:textId="77777777" w:rsidR="007C0D1B" w:rsidRDefault="007C0D1B" w:rsidP="00472B02">
            <w:pPr>
              <w:pStyle w:val="TableText"/>
              <w:rPr>
                <w:rFonts w:cs="Arial"/>
                <w:snapToGrid w:val="0"/>
                <w:szCs w:val="18"/>
              </w:rPr>
            </w:pPr>
            <w:r>
              <w:rPr>
                <w:rFonts w:cs="Arial"/>
                <w:snapToGrid w:val="0"/>
                <w:szCs w:val="18"/>
              </w:rPr>
              <w:t>Negligible</w:t>
            </w:r>
          </w:p>
        </w:tc>
      </w:tr>
      <w:tr w:rsidR="007C0D1B" w14:paraId="077691C0" w14:textId="77777777" w:rsidTr="007C0D1B">
        <w:trPr>
          <w:cantSplit/>
        </w:trPr>
        <w:tc>
          <w:tcPr>
            <w:tcW w:w="2106" w:type="pct"/>
            <w:gridSpan w:val="3"/>
            <w:tcBorders>
              <w:top w:val="single" w:sz="8" w:space="0" w:color="C0C0C0"/>
              <w:left w:val="single" w:sz="8" w:space="0" w:color="auto"/>
              <w:bottom w:val="single" w:sz="8" w:space="0" w:color="C0C0C0"/>
            </w:tcBorders>
            <w:vAlign w:val="center"/>
          </w:tcPr>
          <w:p w14:paraId="22A2EAA0" w14:textId="77777777" w:rsidR="007C0D1B" w:rsidRDefault="007C0D1B" w:rsidP="00472B02">
            <w:pPr>
              <w:pStyle w:val="TableText"/>
            </w:pPr>
            <w:r>
              <w:t>Low</w:t>
            </w:r>
          </w:p>
        </w:tc>
        <w:tc>
          <w:tcPr>
            <w:tcW w:w="723" w:type="pct"/>
            <w:tcBorders>
              <w:bottom w:val="single" w:sz="8" w:space="0" w:color="C0C0C0"/>
            </w:tcBorders>
            <w:shd w:val="clear" w:color="auto" w:fill="CCFFCC"/>
            <w:vAlign w:val="center"/>
          </w:tcPr>
          <w:p w14:paraId="5F0FB358" w14:textId="77777777" w:rsidR="007C0D1B" w:rsidRDefault="007C0D1B" w:rsidP="00472B02">
            <w:pPr>
              <w:pStyle w:val="TableText"/>
              <w:rPr>
                <w:snapToGrid w:val="0"/>
              </w:rPr>
            </w:pPr>
            <w:r>
              <w:rPr>
                <w:snapToGrid w:val="0"/>
              </w:rPr>
              <w:t>Very low</w:t>
            </w:r>
          </w:p>
        </w:tc>
        <w:tc>
          <w:tcPr>
            <w:tcW w:w="723" w:type="pct"/>
            <w:shd w:val="clear" w:color="auto" w:fill="CCFFCC"/>
            <w:vAlign w:val="center"/>
          </w:tcPr>
          <w:p w14:paraId="78603226" w14:textId="77777777" w:rsidR="007C0D1B" w:rsidRDefault="007C0D1B" w:rsidP="00472B02">
            <w:pPr>
              <w:pStyle w:val="TableText"/>
              <w:rPr>
                <w:snapToGrid w:val="0"/>
              </w:rPr>
            </w:pPr>
            <w:r>
              <w:rPr>
                <w:snapToGrid w:val="0"/>
              </w:rPr>
              <w:t>Very low</w:t>
            </w:r>
          </w:p>
        </w:tc>
        <w:tc>
          <w:tcPr>
            <w:tcW w:w="724" w:type="pct"/>
            <w:shd w:val="clear" w:color="auto" w:fill="CCFFFF"/>
            <w:vAlign w:val="center"/>
          </w:tcPr>
          <w:p w14:paraId="1D70CD53"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0B81A3D3" w14:textId="77777777" w:rsidR="007C0D1B" w:rsidRDefault="007C0D1B" w:rsidP="00472B02">
            <w:pPr>
              <w:pStyle w:val="TableText"/>
              <w:rPr>
                <w:rFonts w:cs="Arial"/>
                <w:snapToGrid w:val="0"/>
                <w:szCs w:val="18"/>
              </w:rPr>
            </w:pPr>
            <w:r>
              <w:rPr>
                <w:rFonts w:cs="Arial"/>
                <w:snapToGrid w:val="0"/>
                <w:szCs w:val="18"/>
              </w:rPr>
              <w:t>Negligible</w:t>
            </w:r>
          </w:p>
        </w:tc>
      </w:tr>
      <w:tr w:rsidR="007C0D1B" w14:paraId="6E2B32CB" w14:textId="77777777" w:rsidTr="007C0D1B">
        <w:trPr>
          <w:cantSplit/>
        </w:trPr>
        <w:tc>
          <w:tcPr>
            <w:tcW w:w="2830" w:type="pct"/>
            <w:gridSpan w:val="4"/>
            <w:tcBorders>
              <w:top w:val="single" w:sz="8" w:space="0" w:color="C0C0C0"/>
              <w:left w:val="single" w:sz="8" w:space="0" w:color="auto"/>
              <w:bottom w:val="single" w:sz="8" w:space="0" w:color="C0C0C0"/>
            </w:tcBorders>
            <w:vAlign w:val="center"/>
          </w:tcPr>
          <w:p w14:paraId="6AC219C9" w14:textId="77777777" w:rsidR="007C0D1B" w:rsidRDefault="007C0D1B" w:rsidP="00472B02">
            <w:pPr>
              <w:pStyle w:val="TableText"/>
            </w:pPr>
            <w:r>
              <w:t>Very low</w:t>
            </w:r>
          </w:p>
        </w:tc>
        <w:tc>
          <w:tcPr>
            <w:tcW w:w="723" w:type="pct"/>
            <w:tcBorders>
              <w:bottom w:val="single" w:sz="8" w:space="0" w:color="C0C0C0"/>
            </w:tcBorders>
            <w:shd w:val="clear" w:color="auto" w:fill="CCFFFF"/>
            <w:vAlign w:val="center"/>
          </w:tcPr>
          <w:p w14:paraId="33642636" w14:textId="77777777" w:rsidR="007C0D1B" w:rsidRDefault="007C0D1B" w:rsidP="00472B02">
            <w:pPr>
              <w:pStyle w:val="TableText"/>
              <w:rPr>
                <w:snapToGrid w:val="0"/>
              </w:rPr>
            </w:pPr>
            <w:r>
              <w:rPr>
                <w:snapToGrid w:val="0"/>
              </w:rPr>
              <w:t>Extremely low</w:t>
            </w:r>
          </w:p>
        </w:tc>
        <w:tc>
          <w:tcPr>
            <w:tcW w:w="724" w:type="pct"/>
            <w:shd w:val="clear" w:color="auto" w:fill="CCFFFF"/>
            <w:vAlign w:val="center"/>
          </w:tcPr>
          <w:p w14:paraId="241AB891" w14:textId="77777777" w:rsidR="007C0D1B" w:rsidRDefault="007C0D1B" w:rsidP="00472B02">
            <w:pPr>
              <w:pStyle w:val="TableText"/>
              <w:rPr>
                <w:snapToGrid w:val="0"/>
              </w:rPr>
            </w:pPr>
            <w:r>
              <w:rPr>
                <w:snapToGrid w:val="0"/>
              </w:rPr>
              <w:t>Extremely low</w:t>
            </w:r>
          </w:p>
        </w:tc>
        <w:tc>
          <w:tcPr>
            <w:tcW w:w="723" w:type="pct"/>
            <w:tcBorders>
              <w:right w:val="single" w:sz="8" w:space="0" w:color="auto"/>
            </w:tcBorders>
            <w:shd w:val="clear" w:color="auto" w:fill="F2F2F2"/>
            <w:vAlign w:val="center"/>
          </w:tcPr>
          <w:p w14:paraId="30274913" w14:textId="77777777" w:rsidR="007C0D1B" w:rsidRDefault="007C0D1B" w:rsidP="00472B02">
            <w:pPr>
              <w:pStyle w:val="TableText"/>
              <w:rPr>
                <w:rFonts w:cs="Arial"/>
                <w:snapToGrid w:val="0"/>
                <w:szCs w:val="18"/>
              </w:rPr>
            </w:pPr>
            <w:r>
              <w:rPr>
                <w:rFonts w:cs="Arial"/>
                <w:snapToGrid w:val="0"/>
                <w:szCs w:val="18"/>
              </w:rPr>
              <w:t>Negligible</w:t>
            </w:r>
          </w:p>
        </w:tc>
      </w:tr>
      <w:tr w:rsidR="007C0D1B" w14:paraId="6652BC76" w14:textId="77777777" w:rsidTr="007C0D1B">
        <w:trPr>
          <w:cantSplit/>
        </w:trPr>
        <w:tc>
          <w:tcPr>
            <w:tcW w:w="3553" w:type="pct"/>
            <w:gridSpan w:val="5"/>
            <w:tcBorders>
              <w:top w:val="single" w:sz="8" w:space="0" w:color="C0C0C0"/>
              <w:left w:val="single" w:sz="8" w:space="0" w:color="auto"/>
              <w:bottom w:val="single" w:sz="8" w:space="0" w:color="C0C0C0"/>
            </w:tcBorders>
            <w:vAlign w:val="center"/>
          </w:tcPr>
          <w:p w14:paraId="0A488E3C" w14:textId="77777777" w:rsidR="007C0D1B" w:rsidRDefault="007C0D1B" w:rsidP="00472B02">
            <w:pPr>
              <w:pStyle w:val="TableText"/>
            </w:pPr>
            <w:r>
              <w:t>Extremely low</w:t>
            </w:r>
          </w:p>
        </w:tc>
        <w:tc>
          <w:tcPr>
            <w:tcW w:w="724" w:type="pct"/>
            <w:tcBorders>
              <w:bottom w:val="single" w:sz="8" w:space="0" w:color="C0C0C0"/>
            </w:tcBorders>
            <w:shd w:val="clear" w:color="auto" w:fill="F2F2F2"/>
            <w:vAlign w:val="center"/>
          </w:tcPr>
          <w:p w14:paraId="1C854A46" w14:textId="77777777" w:rsidR="007C0D1B" w:rsidRDefault="007C0D1B" w:rsidP="00472B02">
            <w:pPr>
              <w:pStyle w:val="TableText"/>
              <w:rPr>
                <w:snapToGrid w:val="0"/>
              </w:rPr>
            </w:pPr>
            <w:r>
              <w:rPr>
                <w:snapToGrid w:val="0"/>
              </w:rPr>
              <w:t>Negligible</w:t>
            </w:r>
          </w:p>
        </w:tc>
        <w:tc>
          <w:tcPr>
            <w:tcW w:w="723" w:type="pct"/>
            <w:tcBorders>
              <w:right w:val="single" w:sz="8" w:space="0" w:color="auto"/>
            </w:tcBorders>
            <w:shd w:val="clear" w:color="auto" w:fill="F2F2F2"/>
            <w:vAlign w:val="center"/>
          </w:tcPr>
          <w:p w14:paraId="407F14EE" w14:textId="77777777" w:rsidR="007C0D1B" w:rsidRDefault="007C0D1B" w:rsidP="00472B02">
            <w:pPr>
              <w:pStyle w:val="TableText"/>
              <w:rPr>
                <w:rFonts w:cs="Arial"/>
                <w:snapToGrid w:val="0"/>
                <w:szCs w:val="18"/>
              </w:rPr>
            </w:pPr>
            <w:r>
              <w:rPr>
                <w:rFonts w:cs="Arial"/>
                <w:snapToGrid w:val="0"/>
                <w:szCs w:val="18"/>
              </w:rPr>
              <w:t>Negligible</w:t>
            </w:r>
          </w:p>
        </w:tc>
      </w:tr>
      <w:tr w:rsidR="007C0D1B" w14:paraId="2CA4CD12" w14:textId="77777777" w:rsidTr="007C0D1B">
        <w:trPr>
          <w:cantSplit/>
        </w:trPr>
        <w:tc>
          <w:tcPr>
            <w:tcW w:w="4277" w:type="pct"/>
            <w:gridSpan w:val="6"/>
            <w:tcBorders>
              <w:top w:val="single" w:sz="8" w:space="0" w:color="C0C0C0"/>
              <w:left w:val="single" w:sz="8" w:space="0" w:color="auto"/>
              <w:bottom w:val="single" w:sz="8" w:space="0" w:color="auto"/>
            </w:tcBorders>
            <w:vAlign w:val="center"/>
          </w:tcPr>
          <w:p w14:paraId="0F14D815" w14:textId="77777777" w:rsidR="007C0D1B" w:rsidRDefault="007C0D1B" w:rsidP="00472B02">
            <w:pPr>
              <w:pStyle w:val="TableText"/>
            </w:pPr>
            <w:r>
              <w:t>Negligible</w:t>
            </w:r>
          </w:p>
        </w:tc>
        <w:tc>
          <w:tcPr>
            <w:tcW w:w="723" w:type="pct"/>
            <w:tcBorders>
              <w:bottom w:val="single" w:sz="8" w:space="0" w:color="auto"/>
              <w:right w:val="single" w:sz="8" w:space="0" w:color="auto"/>
            </w:tcBorders>
            <w:shd w:val="clear" w:color="auto" w:fill="F2F2F2"/>
            <w:vAlign w:val="center"/>
          </w:tcPr>
          <w:p w14:paraId="2DB24F9C" w14:textId="77777777" w:rsidR="007C0D1B" w:rsidRDefault="007C0D1B" w:rsidP="00472B02">
            <w:pPr>
              <w:pStyle w:val="TableText"/>
              <w:rPr>
                <w:rFonts w:cs="Arial"/>
                <w:szCs w:val="18"/>
              </w:rPr>
            </w:pPr>
            <w:r>
              <w:rPr>
                <w:rFonts w:cs="Arial"/>
                <w:snapToGrid w:val="0"/>
                <w:szCs w:val="18"/>
              </w:rPr>
              <w:t>Negligible</w:t>
            </w:r>
          </w:p>
        </w:tc>
      </w:tr>
    </w:tbl>
    <w:p w14:paraId="495BE442" w14:textId="77777777" w:rsidR="007C0D1B" w:rsidRDefault="007C0D1B" w:rsidP="007C0D1B">
      <w:pPr>
        <w:pStyle w:val="Heading5"/>
      </w:pPr>
      <w:r>
        <w:t>Time and volume of trade</w:t>
      </w:r>
    </w:p>
    <w:p w14:paraId="6550A512" w14:textId="77777777" w:rsidR="007C0D1B" w:rsidRDefault="007C0D1B" w:rsidP="007C0D1B">
      <w:r>
        <w:t>One factor affecting the likelihood of entry is the volume and duration of trade. If all other conditions remain the same, the overall likelihood of entry will increase as time passes and the overall volume of trade increases.</w:t>
      </w:r>
    </w:p>
    <w:p w14:paraId="61D98F5C" w14:textId="77777777" w:rsidR="007C0D1B" w:rsidRDefault="007C0D1B" w:rsidP="007C0D1B">
      <w:r>
        <w:t>The department normally considers the likelihood of entry on the basis of the estimated volume of one year’s trade. This is a convenient value for the analysis that is relatively easy to estimate and allows for expert consideration of seasonal variations in pest presence, incidence and behaviour to be taken into account. The consideration of the likelihood of entry, establishment and spread and subsequent consequences takes into account events that might happen over a number of years even though only one year’s volume of trade is being considered. This difference reflects biological and ecological facts, for example where a pest or disease may establish in the year of import but spread may take many years.</w:t>
      </w:r>
    </w:p>
    <w:p w14:paraId="725DA4DF" w14:textId="77777777" w:rsidR="007C0D1B" w:rsidRDefault="007C0D1B" w:rsidP="007C0D1B">
      <w:r>
        <w:t>The use of a one year volume of trade has been taken into account when setting up the matrix that is used to estimate the risk and therefore any policy based on this analysis does not simply apply to one year of trade. Policy decisions that are based on the department’s method that uses the estimated volume of one year’s trade are consistent with Australia’s policy on appropriate level of protection and meet the Australian Government’s requirement for ongoing quarantine protection. If there are substantial changes in the volume and nature of the trade in specific commodities then the department will review the risk analysis and, if necessary, provide updated policy advice.</w:t>
      </w:r>
    </w:p>
    <w:p w14:paraId="0D8AE0CC" w14:textId="77777777" w:rsidR="007C0D1B" w:rsidRDefault="007C0D1B" w:rsidP="007C0D1B">
      <w:pPr>
        <w:pStyle w:val="Heading4"/>
        <w:ind w:left="794" w:hanging="794"/>
      </w:pPr>
      <w:r>
        <w:t>Assessment of potential consequences</w:t>
      </w:r>
    </w:p>
    <w:p w14:paraId="23DEA73C" w14:textId="02CB18CE" w:rsidR="007C0D1B" w:rsidRDefault="007C0D1B" w:rsidP="007C0D1B">
      <w:r>
        <w:t xml:space="preserve">The objective of the consequence assessment is to provide a structured and transparent analysis of the potential consequences if the pests or disease agents were to enter, establish and spread in Australia. The assessment considers direct and indirect pest effects and their economic and environmental consequences. The requirements for assessing potential consequences are given in Article 5.3 of the SPS Agreement (WTO, 1995), ISPM 5 (FAO, </w:t>
      </w:r>
      <w:r w:rsidR="009D2A7D">
        <w:t>2019b) and ISPM 11 (FAO, 2019</w:t>
      </w:r>
      <w:r>
        <w:t>c).</w:t>
      </w:r>
    </w:p>
    <w:p w14:paraId="2FC27A52" w14:textId="77777777" w:rsidR="007C0D1B" w:rsidRDefault="007C0D1B" w:rsidP="007C0D1B">
      <w:r>
        <w:t>Direct pest effects are considered in the context of the effects on:</w:t>
      </w:r>
    </w:p>
    <w:p w14:paraId="52DB673E" w14:textId="77777777" w:rsidR="007C0D1B" w:rsidRDefault="007C0D1B" w:rsidP="007C0D1B">
      <w:pPr>
        <w:pStyle w:val="ListBullet"/>
      </w:pPr>
      <w:r>
        <w:t>plant life or health</w:t>
      </w:r>
    </w:p>
    <w:p w14:paraId="46148BFE" w14:textId="77777777" w:rsidR="007C0D1B" w:rsidRDefault="007C0D1B" w:rsidP="007C0D1B">
      <w:pPr>
        <w:pStyle w:val="ListBullet"/>
      </w:pPr>
      <w:r>
        <w:lastRenderedPageBreak/>
        <w:t>other aspects of the environment.</w:t>
      </w:r>
    </w:p>
    <w:p w14:paraId="1D4B5A47" w14:textId="77777777" w:rsidR="007C0D1B" w:rsidRDefault="007C0D1B" w:rsidP="007C0D1B">
      <w:r>
        <w:t>Indirect pest effects are considered in the context of the effects on:</w:t>
      </w:r>
    </w:p>
    <w:p w14:paraId="6ED328D0" w14:textId="77777777" w:rsidR="007C0D1B" w:rsidRDefault="007C0D1B" w:rsidP="007C0D1B">
      <w:pPr>
        <w:pStyle w:val="ListBullet"/>
      </w:pPr>
      <w:r>
        <w:t>eradication, control</w:t>
      </w:r>
    </w:p>
    <w:p w14:paraId="35D1974B" w14:textId="77777777" w:rsidR="007C0D1B" w:rsidRDefault="007C0D1B" w:rsidP="007C0D1B">
      <w:pPr>
        <w:pStyle w:val="ListBullet"/>
      </w:pPr>
      <w:r>
        <w:t>domestic trade</w:t>
      </w:r>
    </w:p>
    <w:p w14:paraId="44A5E918" w14:textId="77777777" w:rsidR="007C0D1B" w:rsidRDefault="007C0D1B" w:rsidP="007C0D1B">
      <w:pPr>
        <w:pStyle w:val="ListBullet"/>
      </w:pPr>
      <w:r>
        <w:t>international trade</w:t>
      </w:r>
    </w:p>
    <w:p w14:paraId="2BEC172F" w14:textId="77777777" w:rsidR="007C0D1B" w:rsidRDefault="007C0D1B" w:rsidP="007C0D1B">
      <w:pPr>
        <w:pStyle w:val="ListBullet"/>
      </w:pPr>
      <w:r>
        <w:t>non-commercial and environmental.</w:t>
      </w:r>
    </w:p>
    <w:p w14:paraId="1B423B45" w14:textId="77777777" w:rsidR="007C0D1B" w:rsidRDefault="007C0D1B" w:rsidP="007C0D1B">
      <w:r>
        <w:t>For each of these six criteria, the consequences were estimated over four geographic levels, defined as:</w:t>
      </w:r>
    </w:p>
    <w:p w14:paraId="56E88DB2" w14:textId="77777777" w:rsidR="007C0D1B" w:rsidRDefault="007C0D1B" w:rsidP="007C0D1B">
      <w:r w:rsidRPr="00A32AD0">
        <w:rPr>
          <w:rStyle w:val="Strong"/>
        </w:rPr>
        <w:t>Local</w:t>
      </w:r>
      <w:r>
        <w:t>—an aggregate of households or enterprises (a rural community, a town or a local government area).</w:t>
      </w:r>
    </w:p>
    <w:p w14:paraId="3290D861" w14:textId="77777777" w:rsidR="007C0D1B" w:rsidRDefault="007C0D1B" w:rsidP="007C0D1B">
      <w:r w:rsidRPr="00A32AD0">
        <w:rPr>
          <w:rStyle w:val="Strong"/>
        </w:rPr>
        <w:t>District</w:t>
      </w:r>
      <w:r>
        <w:t>—a geographically or geopolitically associated collection of aggregates (generally a recognised section of a state or territory, such as ‘Far North Queensland’).</w:t>
      </w:r>
    </w:p>
    <w:p w14:paraId="79C9DE99" w14:textId="77777777" w:rsidR="007C0D1B" w:rsidRDefault="007C0D1B" w:rsidP="007C0D1B">
      <w:r w:rsidRPr="00A32AD0">
        <w:rPr>
          <w:rStyle w:val="Strong"/>
        </w:rPr>
        <w:t>Regional</w:t>
      </w:r>
      <w:r>
        <w:t>—a geographically or geopolitically associated collection of districts in a geographic area (generally a state or territory, although there may be exceptions with larger states such as Western Australia).</w:t>
      </w:r>
    </w:p>
    <w:p w14:paraId="506D79DC" w14:textId="77777777" w:rsidR="007C0D1B" w:rsidRDefault="007C0D1B" w:rsidP="007C0D1B">
      <w:r w:rsidRPr="00A32AD0">
        <w:rPr>
          <w:rStyle w:val="Strong"/>
        </w:rPr>
        <w:t>National</w:t>
      </w:r>
      <w:r>
        <w:t>—Australia wide (Australian mainland states and territories and Tasmania).</w:t>
      </w:r>
    </w:p>
    <w:p w14:paraId="12E8C484" w14:textId="77777777" w:rsidR="007C0D1B" w:rsidRDefault="007C0D1B" w:rsidP="007C0D1B">
      <w:r>
        <w:t>For each criterion, the magnitude of the potential consequence at each of these levels was described using four categories, defined as:</w:t>
      </w:r>
    </w:p>
    <w:p w14:paraId="06C7BC65" w14:textId="77777777" w:rsidR="007C0D1B" w:rsidRDefault="007C0D1B" w:rsidP="007C0D1B">
      <w:r w:rsidRPr="00A32AD0">
        <w:rPr>
          <w:rStyle w:val="Strong"/>
        </w:rPr>
        <w:t>Indiscernible</w:t>
      </w:r>
      <w:r>
        <w:t>—pest impact unlikely to be noticeable.</w:t>
      </w:r>
    </w:p>
    <w:p w14:paraId="37932A43" w14:textId="77777777" w:rsidR="007C0D1B" w:rsidRDefault="007C0D1B" w:rsidP="007C0D1B">
      <w:r w:rsidRPr="00A32AD0">
        <w:rPr>
          <w:rStyle w:val="Strong"/>
        </w:rPr>
        <w:t>Minor significance</w:t>
      </w:r>
      <w:r>
        <w:t>—expected to lead to a minor increase in mortality/morbidity of hosts or a minor decrease in production but not expected to threaten the economic viability of production. Expected to decrease the value of non-commercial criteria but not threaten the criterion’s intrinsic value. Effects would generally be reversible.</w:t>
      </w:r>
    </w:p>
    <w:p w14:paraId="23C90F54" w14:textId="77777777" w:rsidR="007C0D1B" w:rsidRDefault="007C0D1B" w:rsidP="007C0D1B">
      <w:r w:rsidRPr="005F1B70">
        <w:rPr>
          <w:b/>
        </w:rPr>
        <w:t>Significant</w:t>
      </w:r>
      <w:r>
        <w:t>—expected to threaten the economic viability of production through a moderate increase in mortality/morbidity of hosts, or a moderate decrease in production. Expected to significantly diminish or threaten the intrinsic value of non-commercial criteria. Effects may not be reversible.</w:t>
      </w:r>
    </w:p>
    <w:p w14:paraId="735DCBD3" w14:textId="77777777" w:rsidR="007C0D1B" w:rsidRDefault="007C0D1B" w:rsidP="007C0D1B">
      <w:r w:rsidRPr="005F1B70">
        <w:rPr>
          <w:b/>
        </w:rPr>
        <w:t>Major significance</w:t>
      </w:r>
      <w:r>
        <w:t>—expected to threaten the economic viability through a large increase in mortality/morbidity of hosts, or a large decrease in production. Expected to severely or irreversibly damage the intrinsic ‘value’ of non-commercial criteria.</w:t>
      </w:r>
    </w:p>
    <w:p w14:paraId="70615456" w14:textId="77777777" w:rsidR="007C0D1B" w:rsidRDefault="007C0D1B" w:rsidP="007C0D1B">
      <w:r>
        <w:t>The estimates of the magnitude of the potential consequences over the four geographic levels were translated into a qualitative impact score (A</w:t>
      </w:r>
      <w:r>
        <w:noBreakHyphen/>
        <w:t>G) using Table 3. For example, a consequence with a magnitude of ‘significant’ at the ‘district’ level will have a consequence impact score of D.</w:t>
      </w:r>
    </w:p>
    <w:p w14:paraId="60ED5CA7" w14:textId="77777777" w:rsidR="007C0D1B" w:rsidRDefault="007C0D1B" w:rsidP="007C0D1B"/>
    <w:p w14:paraId="0D0864CA" w14:textId="77777777" w:rsidR="00AA6A2F" w:rsidRDefault="00AA6A2F" w:rsidP="007C0D1B"/>
    <w:p w14:paraId="160F3F00" w14:textId="77777777" w:rsidR="00AA6A2F" w:rsidRDefault="00AA6A2F" w:rsidP="007C0D1B"/>
    <w:p w14:paraId="61F09D84" w14:textId="77777777" w:rsidR="007C0D1B" w:rsidRDefault="007C0D1B" w:rsidP="007C0D1B"/>
    <w:p w14:paraId="66D7CBD5" w14:textId="77777777" w:rsidR="007C0D1B" w:rsidRDefault="007C0D1B" w:rsidP="007C0D1B">
      <w:pPr>
        <w:pStyle w:val="Caption"/>
      </w:pPr>
      <w:bookmarkStart w:id="41" w:name="_Ref457826350"/>
      <w:bookmarkStart w:id="42" w:name="_Toc384979278"/>
      <w:bookmarkStart w:id="43" w:name="_Toc469037540"/>
      <w:r>
        <w:t>Table 3</w:t>
      </w:r>
      <w:bookmarkEnd w:id="41"/>
      <w:r>
        <w:t xml:space="preserve"> Decision rules for determining the consequence impact score based on the magnitude of consequences at four geographic scales</w:t>
      </w:r>
      <w:bookmarkEnd w:id="42"/>
      <w:bookmarkEnd w:id="43"/>
    </w:p>
    <w:tbl>
      <w:tblPr>
        <w:tblW w:w="5000" w:type="pct"/>
        <w:tblBorders>
          <w:top w:val="single" w:sz="4" w:space="0" w:color="auto"/>
          <w:left w:val="single" w:sz="4" w:space="0" w:color="auto"/>
          <w:bottom w:val="single" w:sz="4" w:space="0" w:color="auto"/>
          <w:right w:val="single" w:sz="4" w:space="0" w:color="auto"/>
        </w:tblBorders>
        <w:tblLook w:val="00A0" w:firstRow="1" w:lastRow="0" w:firstColumn="1" w:lastColumn="0" w:noHBand="0" w:noVBand="0"/>
      </w:tblPr>
      <w:tblGrid>
        <w:gridCol w:w="2098"/>
        <w:gridCol w:w="1741"/>
        <w:gridCol w:w="1741"/>
        <w:gridCol w:w="1740"/>
        <w:gridCol w:w="1740"/>
      </w:tblGrid>
      <w:tr w:rsidR="007C0D1B" w14:paraId="4D995322" w14:textId="77777777" w:rsidTr="007C0D1B">
        <w:trPr>
          <w:cantSplit/>
        </w:trPr>
        <w:tc>
          <w:tcPr>
            <w:tcW w:w="1158" w:type="pct"/>
            <w:vMerge w:val="restart"/>
            <w:tcBorders>
              <w:top w:val="single" w:sz="4" w:space="0" w:color="000000"/>
              <w:bottom w:val="nil"/>
              <w:right w:val="nil"/>
              <w:tl2br w:val="nil"/>
            </w:tcBorders>
            <w:vAlign w:val="bottom"/>
          </w:tcPr>
          <w:p w14:paraId="7FB3A662" w14:textId="77777777" w:rsidR="007C0D1B" w:rsidRPr="00601601" w:rsidRDefault="007C0D1B" w:rsidP="00472B02">
            <w:pPr>
              <w:pStyle w:val="TableText"/>
              <w:rPr>
                <w:szCs w:val="18"/>
              </w:rPr>
            </w:pPr>
            <w:r w:rsidRPr="00601601">
              <w:rPr>
                <w:szCs w:val="18"/>
              </w:rPr>
              <w:t>Magnitude</w:t>
            </w:r>
          </w:p>
        </w:tc>
        <w:tc>
          <w:tcPr>
            <w:tcW w:w="3842" w:type="pct"/>
            <w:gridSpan w:val="4"/>
            <w:tcBorders>
              <w:top w:val="single" w:sz="4" w:space="0" w:color="000000"/>
              <w:left w:val="nil"/>
              <w:bottom w:val="single" w:sz="4" w:space="0" w:color="BFBFBF"/>
              <w:right w:val="single" w:sz="4" w:space="0" w:color="000000"/>
            </w:tcBorders>
          </w:tcPr>
          <w:p w14:paraId="2A02EF0B" w14:textId="77777777" w:rsidR="007C0D1B" w:rsidRPr="00601601" w:rsidRDefault="007C0D1B" w:rsidP="00472B02">
            <w:pPr>
              <w:pStyle w:val="TableText"/>
              <w:rPr>
                <w:szCs w:val="18"/>
              </w:rPr>
            </w:pPr>
            <w:r w:rsidRPr="00601601">
              <w:rPr>
                <w:szCs w:val="18"/>
              </w:rPr>
              <w:t>Geographic scale</w:t>
            </w:r>
          </w:p>
        </w:tc>
      </w:tr>
      <w:tr w:rsidR="007C0D1B" w14:paraId="509DDFA2" w14:textId="77777777" w:rsidTr="007C0D1B">
        <w:trPr>
          <w:cantSplit/>
        </w:trPr>
        <w:tc>
          <w:tcPr>
            <w:tcW w:w="1158" w:type="pct"/>
            <w:vMerge/>
            <w:tcBorders>
              <w:top w:val="single" w:sz="4" w:space="0" w:color="auto"/>
              <w:bottom w:val="single" w:sz="4" w:space="0" w:color="BFBFBF"/>
              <w:right w:val="nil"/>
              <w:tl2br w:val="nil"/>
            </w:tcBorders>
          </w:tcPr>
          <w:p w14:paraId="0E172CE6" w14:textId="77777777" w:rsidR="007C0D1B" w:rsidRPr="00601601" w:rsidRDefault="007C0D1B" w:rsidP="00472B02">
            <w:pPr>
              <w:pStyle w:val="TableText"/>
              <w:rPr>
                <w:szCs w:val="18"/>
              </w:rPr>
            </w:pPr>
          </w:p>
        </w:tc>
        <w:tc>
          <w:tcPr>
            <w:tcW w:w="961" w:type="pct"/>
            <w:tcBorders>
              <w:top w:val="single" w:sz="4" w:space="0" w:color="BFBFBF"/>
              <w:left w:val="nil"/>
              <w:bottom w:val="single" w:sz="4" w:space="0" w:color="BFBFBF"/>
            </w:tcBorders>
          </w:tcPr>
          <w:p w14:paraId="2A223C76" w14:textId="77777777" w:rsidR="007C0D1B" w:rsidRPr="00601601" w:rsidRDefault="007C0D1B" w:rsidP="00472B02">
            <w:pPr>
              <w:pStyle w:val="TableText"/>
              <w:rPr>
                <w:szCs w:val="18"/>
              </w:rPr>
            </w:pPr>
            <w:r w:rsidRPr="00601601">
              <w:rPr>
                <w:szCs w:val="18"/>
              </w:rPr>
              <w:t>Local</w:t>
            </w:r>
          </w:p>
        </w:tc>
        <w:tc>
          <w:tcPr>
            <w:tcW w:w="961" w:type="pct"/>
            <w:tcBorders>
              <w:top w:val="single" w:sz="4" w:space="0" w:color="BFBFBF"/>
              <w:bottom w:val="single" w:sz="4" w:space="0" w:color="BFBFBF"/>
            </w:tcBorders>
          </w:tcPr>
          <w:p w14:paraId="7E764A96" w14:textId="77777777" w:rsidR="007C0D1B" w:rsidRPr="00601601" w:rsidRDefault="007C0D1B" w:rsidP="00472B02">
            <w:pPr>
              <w:pStyle w:val="TableText"/>
              <w:rPr>
                <w:szCs w:val="18"/>
              </w:rPr>
            </w:pPr>
            <w:r w:rsidRPr="00601601">
              <w:rPr>
                <w:szCs w:val="18"/>
              </w:rPr>
              <w:t>District</w:t>
            </w:r>
          </w:p>
        </w:tc>
        <w:tc>
          <w:tcPr>
            <w:tcW w:w="960" w:type="pct"/>
            <w:tcBorders>
              <w:top w:val="single" w:sz="4" w:space="0" w:color="BFBFBF"/>
              <w:bottom w:val="single" w:sz="4" w:space="0" w:color="BFBFBF"/>
            </w:tcBorders>
          </w:tcPr>
          <w:p w14:paraId="1B1866E3" w14:textId="77777777" w:rsidR="007C0D1B" w:rsidRPr="00601601" w:rsidRDefault="007C0D1B" w:rsidP="00472B02">
            <w:pPr>
              <w:pStyle w:val="TableText"/>
              <w:rPr>
                <w:szCs w:val="18"/>
              </w:rPr>
            </w:pPr>
            <w:r w:rsidRPr="00601601">
              <w:rPr>
                <w:szCs w:val="18"/>
              </w:rPr>
              <w:t>Region</w:t>
            </w:r>
          </w:p>
        </w:tc>
        <w:tc>
          <w:tcPr>
            <w:tcW w:w="960" w:type="pct"/>
            <w:tcBorders>
              <w:top w:val="single" w:sz="4" w:space="0" w:color="BFBFBF"/>
              <w:bottom w:val="single" w:sz="4" w:space="0" w:color="BFBFBF"/>
              <w:right w:val="single" w:sz="4" w:space="0" w:color="000000"/>
            </w:tcBorders>
          </w:tcPr>
          <w:p w14:paraId="122FD8D3" w14:textId="77777777" w:rsidR="007C0D1B" w:rsidRPr="00601601" w:rsidRDefault="007C0D1B" w:rsidP="00472B02">
            <w:pPr>
              <w:pStyle w:val="TableText"/>
              <w:rPr>
                <w:szCs w:val="18"/>
              </w:rPr>
            </w:pPr>
            <w:r w:rsidRPr="00601601">
              <w:rPr>
                <w:szCs w:val="18"/>
              </w:rPr>
              <w:t>Nation</w:t>
            </w:r>
          </w:p>
        </w:tc>
      </w:tr>
      <w:tr w:rsidR="007C0D1B" w14:paraId="0ADF01CD"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5399208B" w14:textId="77777777" w:rsidR="007C0D1B" w:rsidRPr="00601601" w:rsidRDefault="007C0D1B" w:rsidP="00472B02">
            <w:pPr>
              <w:pStyle w:val="TableText"/>
              <w:rPr>
                <w:szCs w:val="18"/>
              </w:rPr>
            </w:pPr>
            <w:r w:rsidRPr="00601601">
              <w:rPr>
                <w:szCs w:val="18"/>
              </w:rPr>
              <w:t>Indiscernible</w:t>
            </w:r>
          </w:p>
        </w:tc>
        <w:tc>
          <w:tcPr>
            <w:tcW w:w="961"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34825468" w14:textId="77777777" w:rsidR="007C0D1B" w:rsidRPr="00601601" w:rsidRDefault="007C0D1B" w:rsidP="00472B02">
            <w:pPr>
              <w:pStyle w:val="TableText"/>
              <w:rPr>
                <w:szCs w:val="18"/>
              </w:rPr>
            </w:pPr>
            <w:r w:rsidRPr="00601601">
              <w:rPr>
                <w:szCs w:val="18"/>
              </w:rPr>
              <w:t>A</w:t>
            </w:r>
          </w:p>
        </w:tc>
        <w:tc>
          <w:tcPr>
            <w:tcW w:w="961"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06ECE071" w14:textId="77777777" w:rsidR="007C0D1B" w:rsidRPr="00601601" w:rsidRDefault="007C0D1B" w:rsidP="00472B02">
            <w:pPr>
              <w:pStyle w:val="TableText"/>
              <w:rPr>
                <w:szCs w:val="18"/>
              </w:rPr>
            </w:pPr>
            <w:r w:rsidRPr="00601601">
              <w:rPr>
                <w:szCs w:val="18"/>
              </w:rPr>
              <w:t>A</w:t>
            </w:r>
          </w:p>
        </w:tc>
        <w:tc>
          <w:tcPr>
            <w:tcW w:w="960" w:type="pct"/>
            <w:tcBorders>
              <w:top w:val="single" w:sz="4" w:space="0" w:color="BFBFBF"/>
              <w:left w:val="single" w:sz="4" w:space="0" w:color="BFBFBF"/>
              <w:bottom w:val="single" w:sz="4" w:space="0" w:color="BFBFBF"/>
              <w:right w:val="single" w:sz="4" w:space="0" w:color="BFBFBF"/>
            </w:tcBorders>
            <w:shd w:val="clear" w:color="auto" w:fill="F2F2F2"/>
            <w:vAlign w:val="center"/>
          </w:tcPr>
          <w:p w14:paraId="486B0D8A" w14:textId="77777777" w:rsidR="007C0D1B" w:rsidRPr="00601601" w:rsidRDefault="007C0D1B" w:rsidP="00472B02">
            <w:pPr>
              <w:pStyle w:val="TableText"/>
              <w:rPr>
                <w:szCs w:val="18"/>
              </w:rPr>
            </w:pPr>
            <w:r w:rsidRPr="00601601">
              <w:rPr>
                <w:szCs w:val="18"/>
              </w:rPr>
              <w:t>A</w:t>
            </w:r>
          </w:p>
        </w:tc>
        <w:tc>
          <w:tcPr>
            <w:tcW w:w="960" w:type="pct"/>
            <w:tcBorders>
              <w:top w:val="single" w:sz="4" w:space="0" w:color="BFBFBF"/>
              <w:left w:val="single" w:sz="4" w:space="0" w:color="BFBFBF"/>
              <w:bottom w:val="single" w:sz="4" w:space="0" w:color="BFBFBF"/>
              <w:right w:val="single" w:sz="4" w:space="0" w:color="000000"/>
            </w:tcBorders>
            <w:shd w:val="clear" w:color="auto" w:fill="F2F2F2"/>
            <w:vAlign w:val="center"/>
          </w:tcPr>
          <w:p w14:paraId="4DF353B4" w14:textId="77777777" w:rsidR="007C0D1B" w:rsidRPr="00601601" w:rsidRDefault="007C0D1B" w:rsidP="00472B02">
            <w:pPr>
              <w:pStyle w:val="TableText"/>
              <w:rPr>
                <w:szCs w:val="18"/>
              </w:rPr>
            </w:pPr>
            <w:r w:rsidRPr="00601601">
              <w:rPr>
                <w:szCs w:val="18"/>
              </w:rPr>
              <w:t>A</w:t>
            </w:r>
          </w:p>
        </w:tc>
      </w:tr>
      <w:tr w:rsidR="007C0D1B" w14:paraId="7AC0379B"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2854CE0C" w14:textId="77777777" w:rsidR="007C0D1B" w:rsidRPr="00601601" w:rsidRDefault="007C0D1B" w:rsidP="00472B02">
            <w:pPr>
              <w:pStyle w:val="TableText"/>
              <w:rPr>
                <w:szCs w:val="18"/>
              </w:rPr>
            </w:pPr>
            <w:r w:rsidRPr="00601601">
              <w:rPr>
                <w:szCs w:val="18"/>
              </w:rPr>
              <w:t>Minor significance</w:t>
            </w:r>
          </w:p>
        </w:tc>
        <w:tc>
          <w:tcPr>
            <w:tcW w:w="961" w:type="pct"/>
            <w:tcBorders>
              <w:top w:val="single" w:sz="4" w:space="0" w:color="BFBFBF"/>
              <w:left w:val="single" w:sz="4" w:space="0" w:color="BFBFBF"/>
              <w:bottom w:val="single" w:sz="4" w:space="0" w:color="BFBFBF"/>
              <w:right w:val="single" w:sz="4" w:space="0" w:color="BFBFBF"/>
            </w:tcBorders>
            <w:shd w:val="clear" w:color="auto" w:fill="CFE7FD"/>
            <w:vAlign w:val="center"/>
          </w:tcPr>
          <w:p w14:paraId="58715B27" w14:textId="77777777" w:rsidR="007C0D1B" w:rsidRPr="00601601" w:rsidRDefault="007C0D1B" w:rsidP="00472B02">
            <w:pPr>
              <w:pStyle w:val="TableText"/>
              <w:rPr>
                <w:rFonts w:cs="Arial"/>
                <w:snapToGrid w:val="0"/>
                <w:szCs w:val="18"/>
              </w:rPr>
            </w:pPr>
            <w:r w:rsidRPr="00601601">
              <w:rPr>
                <w:rFonts w:cs="Arial"/>
                <w:snapToGrid w:val="0"/>
                <w:szCs w:val="18"/>
              </w:rPr>
              <w:t>B</w:t>
            </w:r>
          </w:p>
        </w:tc>
        <w:tc>
          <w:tcPr>
            <w:tcW w:w="961" w:type="pct"/>
            <w:tcBorders>
              <w:top w:val="single" w:sz="4" w:space="0" w:color="BFBFBF"/>
              <w:left w:val="single" w:sz="4" w:space="0" w:color="BFBFBF"/>
              <w:bottom w:val="single" w:sz="4" w:space="0" w:color="BFBFBF"/>
              <w:right w:val="single" w:sz="4" w:space="0" w:color="BFBFBF"/>
            </w:tcBorders>
            <w:shd w:val="clear" w:color="auto" w:fill="CCFFFF"/>
            <w:vAlign w:val="center"/>
          </w:tcPr>
          <w:p w14:paraId="0FC2DB3C" w14:textId="77777777" w:rsidR="007C0D1B" w:rsidRPr="00601601" w:rsidRDefault="007C0D1B" w:rsidP="00472B02">
            <w:pPr>
              <w:pStyle w:val="TableText"/>
              <w:rPr>
                <w:rFonts w:cs="Arial"/>
                <w:snapToGrid w:val="0"/>
                <w:szCs w:val="18"/>
              </w:rPr>
            </w:pPr>
            <w:r w:rsidRPr="00601601">
              <w:rPr>
                <w:rFonts w:cs="Arial"/>
                <w:snapToGrid w:val="0"/>
                <w:szCs w:val="18"/>
              </w:rPr>
              <w:t>C</w:t>
            </w:r>
          </w:p>
        </w:tc>
        <w:tc>
          <w:tcPr>
            <w:tcW w:w="960" w:type="pct"/>
            <w:tcBorders>
              <w:top w:val="single" w:sz="4" w:space="0" w:color="BFBFBF"/>
              <w:left w:val="single" w:sz="4" w:space="0" w:color="BFBFBF"/>
              <w:bottom w:val="single" w:sz="4" w:space="0" w:color="BFBFBF"/>
              <w:right w:val="single" w:sz="4" w:space="0" w:color="BFBFBF"/>
            </w:tcBorders>
            <w:shd w:val="clear" w:color="auto" w:fill="CCFFCC"/>
          </w:tcPr>
          <w:p w14:paraId="41614E22"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0" w:type="pct"/>
            <w:tcBorders>
              <w:top w:val="single" w:sz="4" w:space="0" w:color="BFBFBF"/>
              <w:left w:val="single" w:sz="4" w:space="0" w:color="BFBFBF"/>
              <w:bottom w:val="single" w:sz="4" w:space="0" w:color="BFBFBF"/>
              <w:right w:val="single" w:sz="4" w:space="0" w:color="000000"/>
            </w:tcBorders>
            <w:shd w:val="clear" w:color="auto" w:fill="FFFF99"/>
          </w:tcPr>
          <w:p w14:paraId="4CFF572D" w14:textId="77777777" w:rsidR="007C0D1B" w:rsidRPr="00601601" w:rsidRDefault="007C0D1B" w:rsidP="00472B02">
            <w:pPr>
              <w:pStyle w:val="TableText"/>
              <w:rPr>
                <w:szCs w:val="18"/>
              </w:rPr>
            </w:pPr>
            <w:r w:rsidRPr="00601601">
              <w:rPr>
                <w:szCs w:val="18"/>
              </w:rPr>
              <w:t>E</w:t>
            </w:r>
          </w:p>
        </w:tc>
      </w:tr>
      <w:tr w:rsidR="007C0D1B" w14:paraId="0E88286B" w14:textId="77777777" w:rsidTr="007C0D1B">
        <w:trPr>
          <w:cantSplit/>
        </w:trPr>
        <w:tc>
          <w:tcPr>
            <w:tcW w:w="1158" w:type="pct"/>
            <w:tcBorders>
              <w:top w:val="single" w:sz="4" w:space="0" w:color="BFBFBF"/>
              <w:left w:val="single" w:sz="4" w:space="0" w:color="000000"/>
              <w:bottom w:val="single" w:sz="4" w:space="0" w:color="BFBFBF"/>
              <w:right w:val="single" w:sz="4" w:space="0" w:color="BFBFBF"/>
            </w:tcBorders>
            <w:shd w:val="clear" w:color="auto" w:fill="auto"/>
            <w:vAlign w:val="center"/>
          </w:tcPr>
          <w:p w14:paraId="3B22227B" w14:textId="77777777" w:rsidR="007C0D1B" w:rsidRPr="00601601" w:rsidRDefault="007C0D1B" w:rsidP="00472B02">
            <w:pPr>
              <w:pStyle w:val="TableText"/>
              <w:rPr>
                <w:szCs w:val="18"/>
              </w:rPr>
            </w:pPr>
            <w:r w:rsidRPr="00601601">
              <w:rPr>
                <w:szCs w:val="18"/>
              </w:rPr>
              <w:t>Significant</w:t>
            </w:r>
          </w:p>
        </w:tc>
        <w:tc>
          <w:tcPr>
            <w:tcW w:w="961" w:type="pct"/>
            <w:tcBorders>
              <w:top w:val="single" w:sz="4" w:space="0" w:color="BFBFBF"/>
              <w:left w:val="single" w:sz="4" w:space="0" w:color="BFBFBF"/>
              <w:bottom w:val="single" w:sz="4" w:space="0" w:color="D9D9D9"/>
              <w:right w:val="single" w:sz="4" w:space="0" w:color="BFBFBF"/>
            </w:tcBorders>
            <w:shd w:val="clear" w:color="auto" w:fill="CCFFFF"/>
            <w:vAlign w:val="center"/>
          </w:tcPr>
          <w:p w14:paraId="27919530" w14:textId="77777777" w:rsidR="007C0D1B" w:rsidRPr="00601601" w:rsidRDefault="007C0D1B" w:rsidP="00472B02">
            <w:pPr>
              <w:pStyle w:val="TableText"/>
              <w:rPr>
                <w:rFonts w:cs="Arial"/>
                <w:snapToGrid w:val="0"/>
                <w:szCs w:val="18"/>
              </w:rPr>
            </w:pPr>
            <w:r w:rsidRPr="00601601">
              <w:rPr>
                <w:rFonts w:cs="Arial"/>
                <w:snapToGrid w:val="0"/>
                <w:szCs w:val="18"/>
              </w:rPr>
              <w:t>C</w:t>
            </w:r>
          </w:p>
        </w:tc>
        <w:tc>
          <w:tcPr>
            <w:tcW w:w="961" w:type="pct"/>
            <w:tcBorders>
              <w:top w:val="single" w:sz="4" w:space="0" w:color="BFBFBF"/>
              <w:left w:val="single" w:sz="4" w:space="0" w:color="BFBFBF"/>
              <w:bottom w:val="single" w:sz="4" w:space="0" w:color="D9D9D9"/>
              <w:right w:val="single" w:sz="4" w:space="0" w:color="BFBFBF"/>
            </w:tcBorders>
            <w:shd w:val="clear" w:color="auto" w:fill="CCFFCC"/>
            <w:vAlign w:val="center"/>
          </w:tcPr>
          <w:p w14:paraId="17151760"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0" w:type="pct"/>
            <w:tcBorders>
              <w:top w:val="single" w:sz="4" w:space="0" w:color="BFBFBF"/>
              <w:left w:val="single" w:sz="4" w:space="0" w:color="BFBFBF"/>
              <w:bottom w:val="single" w:sz="4" w:space="0" w:color="D9D9D9"/>
              <w:right w:val="single" w:sz="4" w:space="0" w:color="BFBFBF"/>
            </w:tcBorders>
            <w:shd w:val="clear" w:color="auto" w:fill="FFFF99"/>
          </w:tcPr>
          <w:p w14:paraId="1F2E758D" w14:textId="77777777" w:rsidR="007C0D1B" w:rsidRPr="00601601" w:rsidRDefault="007C0D1B" w:rsidP="00472B02">
            <w:pPr>
              <w:pStyle w:val="TableText"/>
              <w:rPr>
                <w:szCs w:val="18"/>
              </w:rPr>
            </w:pPr>
            <w:r w:rsidRPr="00601601">
              <w:rPr>
                <w:szCs w:val="18"/>
              </w:rPr>
              <w:t>E</w:t>
            </w:r>
          </w:p>
        </w:tc>
        <w:tc>
          <w:tcPr>
            <w:tcW w:w="960" w:type="pct"/>
            <w:tcBorders>
              <w:top w:val="single" w:sz="4" w:space="0" w:color="BFBFBF"/>
              <w:left w:val="single" w:sz="4" w:space="0" w:color="BFBFBF"/>
              <w:bottom w:val="single" w:sz="4" w:space="0" w:color="D9D9D9"/>
              <w:right w:val="single" w:sz="4" w:space="0" w:color="000000"/>
            </w:tcBorders>
            <w:shd w:val="clear" w:color="auto" w:fill="FFCC99"/>
          </w:tcPr>
          <w:p w14:paraId="54605420" w14:textId="77777777" w:rsidR="007C0D1B" w:rsidRPr="00601601" w:rsidRDefault="007C0D1B" w:rsidP="00472B02">
            <w:pPr>
              <w:pStyle w:val="TableText"/>
              <w:rPr>
                <w:szCs w:val="18"/>
              </w:rPr>
            </w:pPr>
            <w:r w:rsidRPr="00601601">
              <w:rPr>
                <w:szCs w:val="18"/>
              </w:rPr>
              <w:t>F</w:t>
            </w:r>
          </w:p>
        </w:tc>
      </w:tr>
      <w:tr w:rsidR="007C0D1B" w14:paraId="5EA77200" w14:textId="77777777" w:rsidTr="007C0D1B">
        <w:trPr>
          <w:cantSplit/>
        </w:trPr>
        <w:tc>
          <w:tcPr>
            <w:tcW w:w="1158" w:type="pct"/>
            <w:tcBorders>
              <w:top w:val="single" w:sz="4" w:space="0" w:color="BFBFBF"/>
              <w:left w:val="single" w:sz="4" w:space="0" w:color="000000"/>
              <w:bottom w:val="single" w:sz="4" w:space="0" w:color="000000"/>
              <w:right w:val="single" w:sz="4" w:space="0" w:color="BFBFBF"/>
            </w:tcBorders>
            <w:shd w:val="clear" w:color="auto" w:fill="auto"/>
            <w:vAlign w:val="center"/>
          </w:tcPr>
          <w:p w14:paraId="18834DB7" w14:textId="77777777" w:rsidR="007C0D1B" w:rsidRPr="00601601" w:rsidRDefault="007C0D1B" w:rsidP="00472B02">
            <w:pPr>
              <w:pStyle w:val="TableText"/>
              <w:rPr>
                <w:szCs w:val="18"/>
              </w:rPr>
            </w:pPr>
            <w:r w:rsidRPr="00601601">
              <w:rPr>
                <w:szCs w:val="18"/>
              </w:rPr>
              <w:t>Major significance</w:t>
            </w:r>
          </w:p>
        </w:tc>
        <w:tc>
          <w:tcPr>
            <w:tcW w:w="961" w:type="pct"/>
            <w:tcBorders>
              <w:top w:val="single" w:sz="4" w:space="0" w:color="D9D9D9"/>
              <w:left w:val="single" w:sz="4" w:space="0" w:color="BFBFBF"/>
              <w:bottom w:val="single" w:sz="4" w:space="0" w:color="000000"/>
              <w:right w:val="single" w:sz="4" w:space="0" w:color="BFBFBF"/>
            </w:tcBorders>
            <w:shd w:val="clear" w:color="auto" w:fill="CCFFCC"/>
            <w:vAlign w:val="center"/>
          </w:tcPr>
          <w:p w14:paraId="00492BD8" w14:textId="77777777" w:rsidR="007C0D1B" w:rsidRPr="00601601" w:rsidRDefault="007C0D1B" w:rsidP="00472B02">
            <w:pPr>
              <w:pStyle w:val="TableText"/>
              <w:rPr>
                <w:rFonts w:cs="Arial"/>
                <w:snapToGrid w:val="0"/>
                <w:szCs w:val="18"/>
              </w:rPr>
            </w:pPr>
            <w:r w:rsidRPr="00601601">
              <w:rPr>
                <w:rFonts w:cs="Arial"/>
                <w:snapToGrid w:val="0"/>
                <w:szCs w:val="18"/>
              </w:rPr>
              <w:t>D</w:t>
            </w:r>
          </w:p>
        </w:tc>
        <w:tc>
          <w:tcPr>
            <w:tcW w:w="961" w:type="pct"/>
            <w:tcBorders>
              <w:top w:val="single" w:sz="4" w:space="0" w:color="D9D9D9"/>
              <w:left w:val="single" w:sz="4" w:space="0" w:color="BFBFBF"/>
              <w:bottom w:val="single" w:sz="4" w:space="0" w:color="000000"/>
              <w:right w:val="single" w:sz="4" w:space="0" w:color="BFBFBF"/>
            </w:tcBorders>
            <w:shd w:val="clear" w:color="auto" w:fill="FFFF99"/>
            <w:vAlign w:val="center"/>
          </w:tcPr>
          <w:p w14:paraId="1223A017" w14:textId="77777777" w:rsidR="007C0D1B" w:rsidRPr="00601601" w:rsidRDefault="007C0D1B" w:rsidP="00472B02">
            <w:pPr>
              <w:pStyle w:val="TableText"/>
              <w:rPr>
                <w:szCs w:val="18"/>
              </w:rPr>
            </w:pPr>
            <w:r w:rsidRPr="00601601">
              <w:rPr>
                <w:rFonts w:cs="Arial"/>
                <w:snapToGrid w:val="0"/>
                <w:szCs w:val="18"/>
              </w:rPr>
              <w:t>E</w:t>
            </w:r>
          </w:p>
        </w:tc>
        <w:tc>
          <w:tcPr>
            <w:tcW w:w="960" w:type="pct"/>
            <w:tcBorders>
              <w:top w:val="single" w:sz="4" w:space="0" w:color="D9D9D9"/>
              <w:left w:val="single" w:sz="4" w:space="0" w:color="BFBFBF"/>
              <w:bottom w:val="single" w:sz="4" w:space="0" w:color="000000"/>
              <w:right w:val="single" w:sz="4" w:space="0" w:color="BFBFBF"/>
            </w:tcBorders>
            <w:shd w:val="clear" w:color="auto" w:fill="FFCC99"/>
            <w:vAlign w:val="center"/>
          </w:tcPr>
          <w:p w14:paraId="7BC142AF" w14:textId="77777777" w:rsidR="007C0D1B" w:rsidRPr="00601601" w:rsidRDefault="007C0D1B" w:rsidP="00472B02">
            <w:pPr>
              <w:pStyle w:val="TableText"/>
              <w:rPr>
                <w:szCs w:val="18"/>
              </w:rPr>
            </w:pPr>
            <w:r w:rsidRPr="00601601">
              <w:rPr>
                <w:szCs w:val="18"/>
              </w:rPr>
              <w:t>F</w:t>
            </w:r>
          </w:p>
        </w:tc>
        <w:tc>
          <w:tcPr>
            <w:tcW w:w="960" w:type="pct"/>
            <w:tcBorders>
              <w:top w:val="single" w:sz="4" w:space="0" w:color="D9D9D9"/>
              <w:left w:val="single" w:sz="4" w:space="0" w:color="BFBFBF"/>
              <w:bottom w:val="single" w:sz="4" w:space="0" w:color="000000"/>
              <w:right w:val="single" w:sz="4" w:space="0" w:color="000000"/>
            </w:tcBorders>
            <w:shd w:val="clear" w:color="auto" w:fill="FF99CC"/>
          </w:tcPr>
          <w:p w14:paraId="402821DA" w14:textId="77777777" w:rsidR="007C0D1B" w:rsidRPr="00601601" w:rsidRDefault="007C0D1B" w:rsidP="00472B02">
            <w:pPr>
              <w:pStyle w:val="TableText"/>
              <w:rPr>
                <w:szCs w:val="18"/>
              </w:rPr>
            </w:pPr>
            <w:r w:rsidRPr="00601601">
              <w:rPr>
                <w:szCs w:val="18"/>
              </w:rPr>
              <w:t>G</w:t>
            </w:r>
          </w:p>
        </w:tc>
      </w:tr>
    </w:tbl>
    <w:p w14:paraId="58CD409E" w14:textId="77777777" w:rsidR="007C0D1B" w:rsidRDefault="007C0D1B" w:rsidP="007C0D1B">
      <w:pPr>
        <w:pStyle w:val="FigureTableNoteSource"/>
      </w:pPr>
      <w:r>
        <w:t>Note: In earlier qualitative PRAs, the scale for the impact scores went from A to F and did not explicitly allow for the rating ‘indiscernible’ at all four levels. This combination might be applicable for some criteria. In this report, the impact scale of A to F has been changed to become B</w:t>
      </w:r>
      <w:r>
        <w:noBreakHyphen/>
        <w:t xml:space="preserve">G and a new lowest category A (‘indiscernible’ at all four levels) was added. The rules for combining impacts in Table 4 were adjusted accordingly. </w:t>
      </w:r>
    </w:p>
    <w:p w14:paraId="5534C656" w14:textId="77777777" w:rsidR="007C0D1B" w:rsidRDefault="007C0D1B" w:rsidP="007C0D1B">
      <w:r>
        <w:t>The overall consequence for each pest is achieved by combining the qualitative impact scores (A–G) for each direct and indirect consequence using a series of decision rules (Table 4). These rules are mutually exclusive, and are assessed in numerical order until one applies.</w:t>
      </w:r>
    </w:p>
    <w:p w14:paraId="64A9C262" w14:textId="77777777" w:rsidR="007C0D1B" w:rsidRDefault="007C0D1B" w:rsidP="007C0D1B">
      <w:pPr>
        <w:pStyle w:val="Caption"/>
      </w:pPr>
      <w:bookmarkStart w:id="44" w:name="_Ref457826361"/>
      <w:bookmarkStart w:id="45" w:name="_Toc384979279"/>
      <w:bookmarkStart w:id="46" w:name="_Toc469037541"/>
      <w:r>
        <w:t xml:space="preserve">Table </w:t>
      </w:r>
      <w:bookmarkEnd w:id="44"/>
      <w:r>
        <w:t>4 Decision rules for determining the overall consequence rating for each pest</w:t>
      </w:r>
      <w:bookmarkEnd w:id="45"/>
      <w:bookmarkEnd w:id="46"/>
    </w:p>
    <w:tbl>
      <w:tblPr>
        <w:tblW w:w="5000" w:type="pct"/>
        <w:tblBorders>
          <w:top w:val="single" w:sz="4" w:space="0" w:color="auto"/>
          <w:bottom w:val="single" w:sz="4" w:space="0" w:color="auto"/>
        </w:tblBorders>
        <w:tblLook w:val="04A0" w:firstRow="1" w:lastRow="0" w:firstColumn="1" w:lastColumn="0" w:noHBand="0" w:noVBand="1"/>
      </w:tblPr>
      <w:tblGrid>
        <w:gridCol w:w="798"/>
        <w:gridCol w:w="5816"/>
        <w:gridCol w:w="2456"/>
      </w:tblGrid>
      <w:tr w:rsidR="007C0D1B" w14:paraId="0534119B" w14:textId="77777777" w:rsidTr="00472B02">
        <w:trPr>
          <w:trHeight w:val="414"/>
        </w:trPr>
        <w:tc>
          <w:tcPr>
            <w:tcW w:w="440" w:type="pct"/>
          </w:tcPr>
          <w:p w14:paraId="5F930E14" w14:textId="77777777" w:rsidR="007C0D1B" w:rsidRDefault="007C0D1B" w:rsidP="00472B02">
            <w:pPr>
              <w:pStyle w:val="TableText"/>
            </w:pPr>
            <w:r>
              <w:t>Rule</w:t>
            </w:r>
          </w:p>
        </w:tc>
        <w:tc>
          <w:tcPr>
            <w:tcW w:w="3206" w:type="pct"/>
          </w:tcPr>
          <w:p w14:paraId="2790055C" w14:textId="77777777" w:rsidR="007C0D1B" w:rsidRDefault="007C0D1B" w:rsidP="00472B02">
            <w:pPr>
              <w:pStyle w:val="TableText"/>
            </w:pPr>
            <w:r>
              <w:t>The impact scores for consequences of direct and indirect criteria</w:t>
            </w:r>
          </w:p>
        </w:tc>
        <w:tc>
          <w:tcPr>
            <w:tcW w:w="1354" w:type="pct"/>
          </w:tcPr>
          <w:p w14:paraId="5B2A6A12" w14:textId="77777777" w:rsidR="007C0D1B" w:rsidRDefault="007C0D1B" w:rsidP="00472B02">
            <w:pPr>
              <w:pStyle w:val="TableText"/>
            </w:pPr>
            <w:r>
              <w:t>Overall consequence rating</w:t>
            </w:r>
          </w:p>
        </w:tc>
      </w:tr>
      <w:tr w:rsidR="007C0D1B" w14:paraId="03413FD6" w14:textId="77777777" w:rsidTr="00472B02">
        <w:trPr>
          <w:trHeight w:val="414"/>
        </w:trPr>
        <w:tc>
          <w:tcPr>
            <w:tcW w:w="440" w:type="pct"/>
          </w:tcPr>
          <w:p w14:paraId="39940B5A" w14:textId="77777777" w:rsidR="007C0D1B" w:rsidRDefault="007C0D1B" w:rsidP="00472B02">
            <w:pPr>
              <w:pStyle w:val="TableText"/>
            </w:pPr>
            <w:r>
              <w:t>1</w:t>
            </w:r>
          </w:p>
        </w:tc>
        <w:tc>
          <w:tcPr>
            <w:tcW w:w="3206" w:type="pct"/>
          </w:tcPr>
          <w:p w14:paraId="7F843D54" w14:textId="77777777" w:rsidR="007C0D1B" w:rsidRDefault="007C0D1B" w:rsidP="00472B02">
            <w:pPr>
              <w:pStyle w:val="TableText"/>
            </w:pPr>
            <w:r>
              <w:t>Any criterion has an impact of ‘G’; or</w:t>
            </w:r>
            <w:r>
              <w:br/>
              <w:t>more than one criterion has an impact of ‘F’; or</w:t>
            </w:r>
            <w:r>
              <w:br/>
              <w:t>a single criterion has an impact of ‘F’ and each remaining criterion an ‘E’.</w:t>
            </w:r>
          </w:p>
        </w:tc>
        <w:tc>
          <w:tcPr>
            <w:tcW w:w="1354" w:type="pct"/>
          </w:tcPr>
          <w:p w14:paraId="0F31C438" w14:textId="77777777" w:rsidR="007C0D1B" w:rsidRDefault="007C0D1B" w:rsidP="00472B02">
            <w:pPr>
              <w:pStyle w:val="TableText"/>
            </w:pPr>
            <w:r>
              <w:t>Extreme</w:t>
            </w:r>
          </w:p>
        </w:tc>
      </w:tr>
      <w:tr w:rsidR="007C0D1B" w14:paraId="00509068" w14:textId="77777777" w:rsidTr="00472B02">
        <w:trPr>
          <w:trHeight w:val="414"/>
        </w:trPr>
        <w:tc>
          <w:tcPr>
            <w:tcW w:w="440" w:type="pct"/>
          </w:tcPr>
          <w:p w14:paraId="793A9DA6" w14:textId="77777777" w:rsidR="007C0D1B" w:rsidRDefault="007C0D1B" w:rsidP="00472B02">
            <w:pPr>
              <w:pStyle w:val="TableText"/>
            </w:pPr>
            <w:r>
              <w:t>2</w:t>
            </w:r>
          </w:p>
        </w:tc>
        <w:tc>
          <w:tcPr>
            <w:tcW w:w="3206" w:type="pct"/>
          </w:tcPr>
          <w:p w14:paraId="58BEF040" w14:textId="77777777" w:rsidR="007C0D1B" w:rsidRDefault="007C0D1B" w:rsidP="00472B02">
            <w:pPr>
              <w:pStyle w:val="TableText"/>
            </w:pPr>
            <w:r>
              <w:t>A single criterion has an impact of ‘F’; or</w:t>
            </w:r>
            <w:r>
              <w:br/>
              <w:t>all criteria have an impact of ‘E’.</w:t>
            </w:r>
          </w:p>
        </w:tc>
        <w:tc>
          <w:tcPr>
            <w:tcW w:w="1354" w:type="pct"/>
          </w:tcPr>
          <w:p w14:paraId="3013BD43" w14:textId="77777777" w:rsidR="007C0D1B" w:rsidRDefault="007C0D1B" w:rsidP="00472B02">
            <w:pPr>
              <w:pStyle w:val="TableText"/>
            </w:pPr>
            <w:r>
              <w:t>High</w:t>
            </w:r>
          </w:p>
        </w:tc>
      </w:tr>
      <w:tr w:rsidR="007C0D1B" w14:paraId="76D12749" w14:textId="77777777" w:rsidTr="00472B02">
        <w:trPr>
          <w:trHeight w:val="414"/>
        </w:trPr>
        <w:tc>
          <w:tcPr>
            <w:tcW w:w="440" w:type="pct"/>
          </w:tcPr>
          <w:p w14:paraId="2DC089D3" w14:textId="77777777" w:rsidR="007C0D1B" w:rsidRDefault="007C0D1B" w:rsidP="00472B02">
            <w:pPr>
              <w:pStyle w:val="TableText"/>
            </w:pPr>
            <w:r>
              <w:t>3</w:t>
            </w:r>
          </w:p>
        </w:tc>
        <w:tc>
          <w:tcPr>
            <w:tcW w:w="3206" w:type="pct"/>
          </w:tcPr>
          <w:p w14:paraId="4E74254A" w14:textId="77777777" w:rsidR="007C0D1B" w:rsidRDefault="007C0D1B" w:rsidP="00472B02">
            <w:pPr>
              <w:pStyle w:val="TableText"/>
            </w:pPr>
            <w:r>
              <w:t>One or more criteria have an impact of ‘E’; or</w:t>
            </w:r>
            <w:r>
              <w:br/>
              <w:t>all criteria have an impact of ‘D’.</w:t>
            </w:r>
          </w:p>
        </w:tc>
        <w:tc>
          <w:tcPr>
            <w:tcW w:w="1354" w:type="pct"/>
          </w:tcPr>
          <w:p w14:paraId="58C7749A" w14:textId="77777777" w:rsidR="007C0D1B" w:rsidRDefault="007C0D1B" w:rsidP="00472B02">
            <w:pPr>
              <w:pStyle w:val="TableText"/>
            </w:pPr>
            <w:r>
              <w:t>Moderate</w:t>
            </w:r>
          </w:p>
        </w:tc>
      </w:tr>
      <w:tr w:rsidR="007C0D1B" w14:paraId="11638F97" w14:textId="77777777" w:rsidTr="00472B02">
        <w:trPr>
          <w:trHeight w:val="414"/>
        </w:trPr>
        <w:tc>
          <w:tcPr>
            <w:tcW w:w="440" w:type="pct"/>
          </w:tcPr>
          <w:p w14:paraId="50DD1893" w14:textId="77777777" w:rsidR="007C0D1B" w:rsidRDefault="007C0D1B" w:rsidP="00472B02">
            <w:pPr>
              <w:pStyle w:val="TableText"/>
            </w:pPr>
            <w:r>
              <w:t>4</w:t>
            </w:r>
          </w:p>
        </w:tc>
        <w:tc>
          <w:tcPr>
            <w:tcW w:w="3206" w:type="pct"/>
          </w:tcPr>
          <w:p w14:paraId="4D049F63" w14:textId="77777777" w:rsidR="007C0D1B" w:rsidRDefault="007C0D1B" w:rsidP="00472B02">
            <w:pPr>
              <w:pStyle w:val="TableText"/>
            </w:pPr>
            <w:r>
              <w:t>One or more criteria have an impact of ‘D’; or</w:t>
            </w:r>
            <w:r>
              <w:br/>
              <w:t>all criteria have an impact of ‘C’.</w:t>
            </w:r>
          </w:p>
        </w:tc>
        <w:tc>
          <w:tcPr>
            <w:tcW w:w="1354" w:type="pct"/>
          </w:tcPr>
          <w:p w14:paraId="45636697" w14:textId="77777777" w:rsidR="007C0D1B" w:rsidRDefault="007C0D1B" w:rsidP="00472B02">
            <w:pPr>
              <w:pStyle w:val="TableText"/>
            </w:pPr>
            <w:r>
              <w:t>Low</w:t>
            </w:r>
          </w:p>
        </w:tc>
      </w:tr>
      <w:tr w:rsidR="007C0D1B" w14:paraId="5FA3EBF7" w14:textId="77777777" w:rsidTr="00472B02">
        <w:trPr>
          <w:trHeight w:val="414"/>
        </w:trPr>
        <w:tc>
          <w:tcPr>
            <w:tcW w:w="440" w:type="pct"/>
          </w:tcPr>
          <w:p w14:paraId="33885A70" w14:textId="77777777" w:rsidR="007C0D1B" w:rsidRDefault="007C0D1B" w:rsidP="00472B02">
            <w:pPr>
              <w:pStyle w:val="TableText"/>
            </w:pPr>
            <w:r>
              <w:t>5</w:t>
            </w:r>
          </w:p>
        </w:tc>
        <w:tc>
          <w:tcPr>
            <w:tcW w:w="3206" w:type="pct"/>
          </w:tcPr>
          <w:p w14:paraId="11025893" w14:textId="77777777" w:rsidR="007C0D1B" w:rsidRDefault="007C0D1B" w:rsidP="00472B02">
            <w:pPr>
              <w:pStyle w:val="TableText"/>
            </w:pPr>
            <w:r>
              <w:t>One or more criteria have an impact of ‘C’; or</w:t>
            </w:r>
            <w:r>
              <w:br/>
              <w:t>all criteria have an impact of ‘B’.</w:t>
            </w:r>
          </w:p>
        </w:tc>
        <w:tc>
          <w:tcPr>
            <w:tcW w:w="1354" w:type="pct"/>
          </w:tcPr>
          <w:p w14:paraId="220CC9BC" w14:textId="77777777" w:rsidR="007C0D1B" w:rsidRDefault="007C0D1B" w:rsidP="00472B02">
            <w:pPr>
              <w:pStyle w:val="TableText"/>
            </w:pPr>
            <w:r>
              <w:t>Very Low</w:t>
            </w:r>
          </w:p>
        </w:tc>
      </w:tr>
      <w:tr w:rsidR="007C0D1B" w14:paraId="2E3E81C5" w14:textId="77777777" w:rsidTr="00472B02">
        <w:trPr>
          <w:trHeight w:val="414"/>
        </w:trPr>
        <w:tc>
          <w:tcPr>
            <w:tcW w:w="440" w:type="pct"/>
          </w:tcPr>
          <w:p w14:paraId="2EA04530" w14:textId="77777777" w:rsidR="007C0D1B" w:rsidRDefault="007C0D1B" w:rsidP="00472B02">
            <w:pPr>
              <w:pStyle w:val="TableText"/>
            </w:pPr>
            <w:r>
              <w:t>6</w:t>
            </w:r>
          </w:p>
        </w:tc>
        <w:tc>
          <w:tcPr>
            <w:tcW w:w="3206" w:type="pct"/>
          </w:tcPr>
          <w:p w14:paraId="558B0FD6" w14:textId="77777777" w:rsidR="007C0D1B" w:rsidRDefault="007C0D1B" w:rsidP="00472B02">
            <w:pPr>
              <w:pStyle w:val="TableText"/>
            </w:pPr>
            <w:r>
              <w:t>One or more but not all criteria have an impact of ‘B’, and</w:t>
            </w:r>
            <w:r>
              <w:br/>
              <w:t>all remaining criteria have an impact of ‘A’.</w:t>
            </w:r>
          </w:p>
        </w:tc>
        <w:tc>
          <w:tcPr>
            <w:tcW w:w="1354" w:type="pct"/>
          </w:tcPr>
          <w:p w14:paraId="52EB76EF" w14:textId="77777777" w:rsidR="007C0D1B" w:rsidRDefault="007C0D1B" w:rsidP="00472B02">
            <w:pPr>
              <w:pStyle w:val="TableText"/>
            </w:pPr>
            <w:r>
              <w:t>Negligible</w:t>
            </w:r>
          </w:p>
        </w:tc>
      </w:tr>
    </w:tbl>
    <w:p w14:paraId="2F053F54" w14:textId="77777777" w:rsidR="007C0D1B" w:rsidRDefault="007C0D1B" w:rsidP="007C0D1B">
      <w:pPr>
        <w:pStyle w:val="Heading4"/>
        <w:ind w:left="794" w:hanging="794"/>
      </w:pPr>
      <w:r>
        <w:t>Estimation of the unrestricted risk</w:t>
      </w:r>
    </w:p>
    <w:p w14:paraId="775B4E68" w14:textId="77777777" w:rsidR="007C0D1B" w:rsidRDefault="007C0D1B" w:rsidP="007C0D1B">
      <w:r>
        <w:t>Once the assessment of the likelihood of entry, establishment and spread and for potential consequences are completed, the unrestricted risk can be determined for each pest or groups of pests. This is determined by using a risk estimation matrix (Table 5) to combine the estimates of the likelihood of entry, establishment and spread and the overall consequences of pest establishment and spread. Therefore, risk is the combination of likelihood and consequence.</w:t>
      </w:r>
    </w:p>
    <w:p w14:paraId="04DBE445" w14:textId="77777777" w:rsidR="007C0D1B" w:rsidRDefault="007C0D1B" w:rsidP="007C0D1B">
      <w:r>
        <w:t xml:space="preserve">When interpreting the risk estimation matrix, note the descriptors for each axis are similar (for example, low, moderate, high) but the vertical axis refers to likelihood and the horizontal axis refers to consequences. Accordingly, a ‘low’ likelihood combined with ‘high’ consequences, is not the same as a ‘high’ likelihood combined with ‘low’ consequences—the matrix is not </w:t>
      </w:r>
      <w:r>
        <w:lastRenderedPageBreak/>
        <w:t>symmetrical. For example, the former combination would give an unrestricted risk rating of ‘moderate’, whereas, the latter would be rated as a ‘low’ unrestricted risk.</w:t>
      </w:r>
    </w:p>
    <w:p w14:paraId="02D0E18B" w14:textId="77777777" w:rsidR="00F97361" w:rsidRDefault="00F97361" w:rsidP="007C0D1B"/>
    <w:p w14:paraId="226946FF" w14:textId="77777777" w:rsidR="007C0D1B" w:rsidRDefault="007C0D1B" w:rsidP="007C0D1B">
      <w:pPr>
        <w:pStyle w:val="Caption"/>
      </w:pPr>
      <w:bookmarkStart w:id="47" w:name="_Ref457826369"/>
      <w:bookmarkStart w:id="48" w:name="_Toc389741475"/>
      <w:bookmarkStart w:id="49" w:name="_Toc469037542"/>
      <w:r>
        <w:t xml:space="preserve">Table </w:t>
      </w:r>
      <w:bookmarkEnd w:id="47"/>
      <w:r>
        <w:t>5 Risk estimation matrix</w:t>
      </w:r>
      <w:bookmarkEnd w:id="48"/>
      <w:bookmarkEnd w:id="49"/>
    </w:p>
    <w:tbl>
      <w:tblPr>
        <w:tblW w:w="5000" w:type="pct"/>
        <w:tblLook w:val="0000" w:firstRow="0" w:lastRow="0" w:firstColumn="0" w:lastColumn="0" w:noHBand="0" w:noVBand="0"/>
      </w:tblPr>
      <w:tblGrid>
        <w:gridCol w:w="1438"/>
        <w:gridCol w:w="1270"/>
        <w:gridCol w:w="1270"/>
        <w:gridCol w:w="1272"/>
        <w:gridCol w:w="1270"/>
        <w:gridCol w:w="1270"/>
        <w:gridCol w:w="1270"/>
      </w:tblGrid>
      <w:tr w:rsidR="007C0D1B" w14:paraId="21D80A3D" w14:textId="77777777" w:rsidTr="007C0D1B">
        <w:trPr>
          <w:cantSplit/>
          <w:trHeight w:val="551"/>
        </w:trPr>
        <w:tc>
          <w:tcPr>
            <w:tcW w:w="793" w:type="pct"/>
            <w:vMerge w:val="restart"/>
            <w:tcBorders>
              <w:top w:val="single" w:sz="4" w:space="0" w:color="auto"/>
              <w:left w:val="single" w:sz="4" w:space="0" w:color="auto"/>
              <w:bottom w:val="single" w:sz="4" w:space="0" w:color="BFBFBF"/>
            </w:tcBorders>
            <w:vAlign w:val="bottom"/>
          </w:tcPr>
          <w:p w14:paraId="3BD572A4" w14:textId="77777777" w:rsidR="007C0D1B" w:rsidRDefault="007C0D1B" w:rsidP="00472B02">
            <w:pPr>
              <w:pStyle w:val="TableText"/>
            </w:pPr>
            <w:r>
              <w:t>Likelihood of pest entry, establishment and spread</w:t>
            </w:r>
          </w:p>
        </w:tc>
        <w:tc>
          <w:tcPr>
            <w:tcW w:w="4207" w:type="pct"/>
            <w:gridSpan w:val="6"/>
            <w:tcBorders>
              <w:top w:val="single" w:sz="4" w:space="0" w:color="auto"/>
              <w:left w:val="nil"/>
              <w:bottom w:val="single" w:sz="4" w:space="0" w:color="BFBFBF"/>
              <w:right w:val="single" w:sz="4" w:space="0" w:color="auto"/>
            </w:tcBorders>
            <w:shd w:val="clear" w:color="auto" w:fill="auto"/>
            <w:vAlign w:val="bottom"/>
          </w:tcPr>
          <w:p w14:paraId="069BCB6F" w14:textId="77777777" w:rsidR="007C0D1B" w:rsidRDefault="007C0D1B" w:rsidP="00472B02">
            <w:pPr>
              <w:pStyle w:val="TableText"/>
            </w:pPr>
            <w:r>
              <w:t>Consequences of pest entry, establishment and spread</w:t>
            </w:r>
          </w:p>
        </w:tc>
      </w:tr>
      <w:tr w:rsidR="007C0D1B" w14:paraId="2B973FEF" w14:textId="77777777" w:rsidTr="007C0D1B">
        <w:trPr>
          <w:cantSplit/>
        </w:trPr>
        <w:tc>
          <w:tcPr>
            <w:tcW w:w="793" w:type="pct"/>
            <w:vMerge/>
            <w:tcBorders>
              <w:top w:val="single" w:sz="4" w:space="0" w:color="BFBFBF"/>
              <w:left w:val="single" w:sz="4" w:space="0" w:color="auto"/>
              <w:bottom w:val="single" w:sz="4" w:space="0" w:color="BFBFBF"/>
            </w:tcBorders>
          </w:tcPr>
          <w:p w14:paraId="780D8060" w14:textId="77777777" w:rsidR="007C0D1B" w:rsidRPr="007C0D1B" w:rsidRDefault="007C0D1B" w:rsidP="00472B02">
            <w:pPr>
              <w:pStyle w:val="TableText"/>
              <w:rPr>
                <w:color w:val="FFFFFF"/>
              </w:rPr>
            </w:pPr>
          </w:p>
        </w:tc>
        <w:tc>
          <w:tcPr>
            <w:tcW w:w="701" w:type="pct"/>
            <w:tcBorders>
              <w:top w:val="single" w:sz="4" w:space="0" w:color="BFBFBF"/>
              <w:left w:val="nil"/>
              <w:bottom w:val="single" w:sz="8" w:space="0" w:color="C0C0C0"/>
            </w:tcBorders>
            <w:shd w:val="clear" w:color="auto" w:fill="auto"/>
            <w:vAlign w:val="bottom"/>
          </w:tcPr>
          <w:p w14:paraId="3902E840" w14:textId="77777777" w:rsidR="007C0D1B" w:rsidRDefault="007C0D1B" w:rsidP="00472B02">
            <w:pPr>
              <w:pStyle w:val="TableText"/>
            </w:pPr>
            <w:r>
              <w:t xml:space="preserve">Negligible </w:t>
            </w:r>
          </w:p>
        </w:tc>
        <w:tc>
          <w:tcPr>
            <w:tcW w:w="701" w:type="pct"/>
            <w:tcBorders>
              <w:top w:val="single" w:sz="4" w:space="0" w:color="BFBFBF"/>
              <w:bottom w:val="single" w:sz="8" w:space="0" w:color="C0C0C0"/>
            </w:tcBorders>
            <w:shd w:val="clear" w:color="auto" w:fill="auto"/>
            <w:vAlign w:val="bottom"/>
          </w:tcPr>
          <w:p w14:paraId="3F949F04" w14:textId="77777777" w:rsidR="007C0D1B" w:rsidRDefault="007C0D1B" w:rsidP="00472B02">
            <w:pPr>
              <w:pStyle w:val="TableText"/>
            </w:pPr>
            <w:r>
              <w:t>Very low</w:t>
            </w:r>
          </w:p>
        </w:tc>
        <w:tc>
          <w:tcPr>
            <w:tcW w:w="702" w:type="pct"/>
            <w:tcBorders>
              <w:top w:val="single" w:sz="4" w:space="0" w:color="BFBFBF"/>
              <w:bottom w:val="single" w:sz="8" w:space="0" w:color="C0C0C0"/>
            </w:tcBorders>
            <w:shd w:val="clear" w:color="auto" w:fill="auto"/>
            <w:vAlign w:val="bottom"/>
          </w:tcPr>
          <w:p w14:paraId="43A52608" w14:textId="77777777" w:rsidR="007C0D1B" w:rsidRDefault="007C0D1B" w:rsidP="00472B02">
            <w:pPr>
              <w:pStyle w:val="TableText"/>
            </w:pPr>
            <w:r>
              <w:t xml:space="preserve">Low </w:t>
            </w:r>
          </w:p>
        </w:tc>
        <w:tc>
          <w:tcPr>
            <w:tcW w:w="701" w:type="pct"/>
            <w:tcBorders>
              <w:top w:val="single" w:sz="4" w:space="0" w:color="BFBFBF"/>
              <w:bottom w:val="single" w:sz="8" w:space="0" w:color="C0C0C0"/>
            </w:tcBorders>
            <w:shd w:val="clear" w:color="auto" w:fill="auto"/>
            <w:vAlign w:val="bottom"/>
          </w:tcPr>
          <w:p w14:paraId="31B0E8FC" w14:textId="77777777" w:rsidR="007C0D1B" w:rsidRDefault="007C0D1B" w:rsidP="00472B02">
            <w:pPr>
              <w:pStyle w:val="TableText"/>
            </w:pPr>
            <w:r>
              <w:t>Moderate</w:t>
            </w:r>
          </w:p>
        </w:tc>
        <w:tc>
          <w:tcPr>
            <w:tcW w:w="701" w:type="pct"/>
            <w:tcBorders>
              <w:top w:val="single" w:sz="4" w:space="0" w:color="BFBFBF"/>
              <w:bottom w:val="single" w:sz="8" w:space="0" w:color="C0C0C0"/>
            </w:tcBorders>
            <w:shd w:val="clear" w:color="auto" w:fill="auto"/>
            <w:vAlign w:val="bottom"/>
          </w:tcPr>
          <w:p w14:paraId="6AE6CA7C" w14:textId="77777777" w:rsidR="007C0D1B" w:rsidRDefault="007C0D1B" w:rsidP="00472B02">
            <w:pPr>
              <w:pStyle w:val="TableText"/>
            </w:pPr>
            <w:r>
              <w:t>High</w:t>
            </w:r>
          </w:p>
        </w:tc>
        <w:tc>
          <w:tcPr>
            <w:tcW w:w="701" w:type="pct"/>
            <w:tcBorders>
              <w:top w:val="single" w:sz="4" w:space="0" w:color="BFBFBF"/>
              <w:bottom w:val="single" w:sz="8" w:space="0" w:color="C0C0C0"/>
              <w:right w:val="single" w:sz="4" w:space="0" w:color="auto"/>
            </w:tcBorders>
            <w:shd w:val="clear" w:color="auto" w:fill="auto"/>
            <w:vAlign w:val="bottom"/>
          </w:tcPr>
          <w:p w14:paraId="32F2E711" w14:textId="77777777" w:rsidR="007C0D1B" w:rsidRDefault="007C0D1B" w:rsidP="00472B02">
            <w:pPr>
              <w:pStyle w:val="TableText"/>
            </w:pPr>
            <w:r>
              <w:t xml:space="preserve">Extreme </w:t>
            </w:r>
          </w:p>
        </w:tc>
      </w:tr>
      <w:tr w:rsidR="007C0D1B" w14:paraId="7B897DFA"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647C759C" w14:textId="77777777" w:rsidR="007C0D1B" w:rsidRDefault="007C0D1B" w:rsidP="00472B02">
            <w:pPr>
              <w:pStyle w:val="TableText"/>
            </w:pPr>
            <w:r>
              <w:t xml:space="preserve">High </w:t>
            </w:r>
          </w:p>
        </w:tc>
        <w:tc>
          <w:tcPr>
            <w:tcW w:w="701" w:type="pct"/>
            <w:tcBorders>
              <w:top w:val="single" w:sz="4" w:space="0" w:color="D9D9D9"/>
              <w:left w:val="single" w:sz="4" w:space="0" w:color="D9D9D9"/>
              <w:bottom w:val="single" w:sz="8" w:space="0" w:color="C0C0C0"/>
              <w:right w:val="single" w:sz="8" w:space="0" w:color="C0C0C0"/>
            </w:tcBorders>
            <w:shd w:val="clear" w:color="auto" w:fill="F2F2F2"/>
          </w:tcPr>
          <w:p w14:paraId="15B8CDF2" w14:textId="77777777" w:rsidR="007C0D1B" w:rsidRDefault="007C0D1B" w:rsidP="00472B02">
            <w:pPr>
              <w:pStyle w:val="TableText"/>
            </w:pPr>
            <w:r>
              <w:t>Negligible risk</w:t>
            </w:r>
          </w:p>
        </w:tc>
        <w:tc>
          <w:tcPr>
            <w:tcW w:w="701" w:type="pct"/>
            <w:tcBorders>
              <w:top w:val="single" w:sz="4" w:space="0" w:color="D9D9D9"/>
              <w:left w:val="single" w:sz="8" w:space="0" w:color="C0C0C0"/>
              <w:bottom w:val="single" w:sz="8" w:space="0" w:color="C0C0C0"/>
              <w:right w:val="single" w:sz="8" w:space="0" w:color="C0C0C0"/>
            </w:tcBorders>
            <w:shd w:val="clear" w:color="auto" w:fill="000000"/>
          </w:tcPr>
          <w:p w14:paraId="6DC18272" w14:textId="77777777" w:rsidR="007C0D1B" w:rsidRDefault="007C0D1B" w:rsidP="00472B02">
            <w:pPr>
              <w:pStyle w:val="TableText"/>
              <w:rPr>
                <w:color w:val="FFFFFF"/>
              </w:rPr>
            </w:pPr>
            <w:r>
              <w:rPr>
                <w:color w:val="FFFFFF"/>
              </w:rPr>
              <w:t>Very low risk</w:t>
            </w:r>
          </w:p>
        </w:tc>
        <w:tc>
          <w:tcPr>
            <w:tcW w:w="702" w:type="pct"/>
            <w:tcBorders>
              <w:top w:val="single" w:sz="4" w:space="0" w:color="D9D9D9"/>
              <w:left w:val="single" w:sz="8" w:space="0" w:color="C0C0C0"/>
              <w:bottom w:val="single" w:sz="8" w:space="0" w:color="C0C0C0"/>
              <w:right w:val="single" w:sz="8" w:space="0" w:color="C0C0C0"/>
            </w:tcBorders>
            <w:shd w:val="clear" w:color="auto" w:fill="CCFFCC"/>
          </w:tcPr>
          <w:p w14:paraId="33B63ED5" w14:textId="77777777" w:rsidR="007C0D1B" w:rsidRDefault="007C0D1B" w:rsidP="00472B02">
            <w:pPr>
              <w:pStyle w:val="TableText"/>
            </w:pPr>
            <w:r>
              <w:t>Low risk</w:t>
            </w:r>
          </w:p>
        </w:tc>
        <w:tc>
          <w:tcPr>
            <w:tcW w:w="701" w:type="pct"/>
            <w:tcBorders>
              <w:top w:val="single" w:sz="4" w:space="0" w:color="D9D9D9"/>
              <w:left w:val="single" w:sz="8" w:space="0" w:color="C0C0C0"/>
              <w:bottom w:val="single" w:sz="8" w:space="0" w:color="C0C0C0"/>
              <w:right w:val="single" w:sz="8" w:space="0" w:color="C0C0C0"/>
            </w:tcBorders>
            <w:shd w:val="clear" w:color="auto" w:fill="FFFF99"/>
          </w:tcPr>
          <w:p w14:paraId="71954F1D" w14:textId="77777777" w:rsidR="007C0D1B" w:rsidRDefault="007C0D1B" w:rsidP="00472B02">
            <w:pPr>
              <w:pStyle w:val="TableText"/>
            </w:pPr>
            <w:r>
              <w:t>Moderate risk</w:t>
            </w:r>
          </w:p>
        </w:tc>
        <w:tc>
          <w:tcPr>
            <w:tcW w:w="701" w:type="pct"/>
            <w:tcBorders>
              <w:top w:val="single" w:sz="4" w:space="0" w:color="D9D9D9"/>
              <w:left w:val="single" w:sz="8" w:space="0" w:color="C0C0C0"/>
              <w:bottom w:val="single" w:sz="8" w:space="0" w:color="C0C0C0"/>
              <w:right w:val="single" w:sz="8" w:space="0" w:color="C0C0C0"/>
            </w:tcBorders>
            <w:shd w:val="clear" w:color="auto" w:fill="FFCC99"/>
          </w:tcPr>
          <w:p w14:paraId="0808EE4B" w14:textId="77777777" w:rsidR="007C0D1B" w:rsidRDefault="007C0D1B" w:rsidP="00472B02">
            <w:pPr>
              <w:pStyle w:val="TableText"/>
            </w:pPr>
            <w:r>
              <w:t>High risk</w:t>
            </w:r>
          </w:p>
        </w:tc>
        <w:tc>
          <w:tcPr>
            <w:tcW w:w="701" w:type="pct"/>
            <w:tcBorders>
              <w:top w:val="single" w:sz="4" w:space="0" w:color="D9D9D9"/>
              <w:left w:val="single" w:sz="8" w:space="0" w:color="C0C0C0"/>
              <w:bottom w:val="single" w:sz="8" w:space="0" w:color="C0C0C0"/>
              <w:right w:val="single" w:sz="4" w:space="0" w:color="auto"/>
            </w:tcBorders>
            <w:shd w:val="clear" w:color="auto" w:fill="FF99CC"/>
          </w:tcPr>
          <w:p w14:paraId="59AA764E" w14:textId="77777777" w:rsidR="007C0D1B" w:rsidRDefault="007C0D1B" w:rsidP="00472B02">
            <w:pPr>
              <w:pStyle w:val="TableText"/>
            </w:pPr>
            <w:r>
              <w:t>Extreme risk</w:t>
            </w:r>
          </w:p>
        </w:tc>
      </w:tr>
      <w:tr w:rsidR="007C0D1B" w14:paraId="66AE380C"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64B2D262" w14:textId="77777777" w:rsidR="007C0D1B" w:rsidRDefault="007C0D1B" w:rsidP="00472B02">
            <w:pPr>
              <w:pStyle w:val="TableText"/>
            </w:pPr>
            <w:r>
              <w:t>Moderate</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3B3DEF77"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5218775B" w14:textId="77777777" w:rsidR="007C0D1B" w:rsidRDefault="007C0D1B" w:rsidP="00472B02">
            <w:pPr>
              <w:pStyle w:val="TableText"/>
              <w:rPr>
                <w:color w:val="FFFFFF"/>
              </w:rPr>
            </w:pPr>
            <w:r>
              <w:rPr>
                <w:color w:val="FFFFFF"/>
              </w:rPr>
              <w:t>Very low risk</w:t>
            </w:r>
          </w:p>
        </w:tc>
        <w:tc>
          <w:tcPr>
            <w:tcW w:w="702" w:type="pct"/>
            <w:tcBorders>
              <w:top w:val="single" w:sz="8" w:space="0" w:color="C0C0C0"/>
              <w:left w:val="single" w:sz="8" w:space="0" w:color="C0C0C0"/>
              <w:bottom w:val="single" w:sz="8" w:space="0" w:color="C0C0C0"/>
              <w:right w:val="single" w:sz="8" w:space="0" w:color="C0C0C0"/>
            </w:tcBorders>
            <w:shd w:val="clear" w:color="auto" w:fill="CCFFCC"/>
          </w:tcPr>
          <w:p w14:paraId="0FA7B0B5"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2F32D0A5" w14:textId="77777777" w:rsidR="007C0D1B" w:rsidRDefault="007C0D1B" w:rsidP="00472B02">
            <w:pPr>
              <w:pStyle w:val="TableText"/>
            </w:pPr>
            <w:r>
              <w:t>Moderate risk</w:t>
            </w:r>
          </w:p>
        </w:tc>
        <w:tc>
          <w:tcPr>
            <w:tcW w:w="701" w:type="pct"/>
            <w:tcBorders>
              <w:top w:val="single" w:sz="8" w:space="0" w:color="C0C0C0"/>
              <w:left w:val="single" w:sz="8" w:space="0" w:color="C0C0C0"/>
              <w:bottom w:val="single" w:sz="8" w:space="0" w:color="C0C0C0"/>
              <w:right w:val="single" w:sz="8" w:space="0" w:color="C0C0C0"/>
            </w:tcBorders>
            <w:shd w:val="clear" w:color="auto" w:fill="FFCC99"/>
          </w:tcPr>
          <w:p w14:paraId="4B7B08F5" w14:textId="77777777" w:rsidR="007C0D1B" w:rsidRDefault="007C0D1B" w:rsidP="00472B02">
            <w:pPr>
              <w:pStyle w:val="TableText"/>
            </w:pPr>
            <w:r>
              <w:t>High risk</w:t>
            </w:r>
          </w:p>
        </w:tc>
        <w:tc>
          <w:tcPr>
            <w:tcW w:w="701" w:type="pct"/>
            <w:tcBorders>
              <w:top w:val="single" w:sz="8" w:space="0" w:color="C0C0C0"/>
              <w:left w:val="single" w:sz="8" w:space="0" w:color="C0C0C0"/>
              <w:bottom w:val="single" w:sz="8" w:space="0" w:color="C0C0C0"/>
              <w:right w:val="single" w:sz="4" w:space="0" w:color="auto"/>
            </w:tcBorders>
            <w:shd w:val="clear" w:color="auto" w:fill="FF99CC"/>
          </w:tcPr>
          <w:p w14:paraId="4A136FA0" w14:textId="77777777" w:rsidR="007C0D1B" w:rsidRDefault="007C0D1B" w:rsidP="00472B02">
            <w:pPr>
              <w:pStyle w:val="TableText"/>
            </w:pPr>
            <w:r>
              <w:t>Extreme risk</w:t>
            </w:r>
          </w:p>
        </w:tc>
      </w:tr>
      <w:tr w:rsidR="007C0D1B" w14:paraId="769D0B51"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44A905EB" w14:textId="77777777" w:rsidR="007C0D1B" w:rsidRDefault="007C0D1B" w:rsidP="00472B02">
            <w:pPr>
              <w:pStyle w:val="TableText"/>
            </w:pPr>
            <w:r>
              <w:t>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2354CEE1"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079164A9"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000000"/>
          </w:tcPr>
          <w:p w14:paraId="6FCF4F7B"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7F290256"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8" w:space="0" w:color="C0C0C0"/>
            </w:tcBorders>
            <w:shd w:val="clear" w:color="auto" w:fill="FFFF99"/>
          </w:tcPr>
          <w:p w14:paraId="634BA9BB" w14:textId="77777777" w:rsidR="007C0D1B" w:rsidRDefault="007C0D1B" w:rsidP="00472B02">
            <w:pPr>
              <w:pStyle w:val="TableText"/>
            </w:pPr>
            <w:r>
              <w:t>Moderate risk</w:t>
            </w:r>
          </w:p>
        </w:tc>
        <w:tc>
          <w:tcPr>
            <w:tcW w:w="701" w:type="pct"/>
            <w:tcBorders>
              <w:top w:val="single" w:sz="8" w:space="0" w:color="C0C0C0"/>
              <w:left w:val="single" w:sz="8" w:space="0" w:color="C0C0C0"/>
              <w:bottom w:val="single" w:sz="8" w:space="0" w:color="C0C0C0"/>
              <w:right w:val="single" w:sz="4" w:space="0" w:color="auto"/>
            </w:tcBorders>
            <w:shd w:val="clear" w:color="auto" w:fill="FFCC99"/>
          </w:tcPr>
          <w:p w14:paraId="68BB5AF3" w14:textId="77777777" w:rsidR="007C0D1B" w:rsidRDefault="007C0D1B" w:rsidP="00472B02">
            <w:pPr>
              <w:pStyle w:val="TableText"/>
            </w:pPr>
            <w:r>
              <w:t>High risk</w:t>
            </w:r>
          </w:p>
        </w:tc>
      </w:tr>
      <w:tr w:rsidR="007C0D1B" w14:paraId="0F953C2F"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01C829FA" w14:textId="77777777" w:rsidR="007C0D1B" w:rsidRDefault="007C0D1B" w:rsidP="00472B02">
            <w:pPr>
              <w:pStyle w:val="TableText"/>
            </w:pPr>
            <w:r>
              <w:t>Very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76FEFF8F"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2F9F0371"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0253E597"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679B75AB"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8" w:space="0" w:color="C0C0C0"/>
            </w:tcBorders>
            <w:shd w:val="clear" w:color="auto" w:fill="CCFFCC"/>
          </w:tcPr>
          <w:p w14:paraId="51FE1A95" w14:textId="77777777" w:rsidR="007C0D1B" w:rsidRDefault="007C0D1B" w:rsidP="00472B02">
            <w:pPr>
              <w:pStyle w:val="TableText"/>
            </w:pPr>
            <w:r>
              <w:t>Low risk</w:t>
            </w:r>
          </w:p>
        </w:tc>
        <w:tc>
          <w:tcPr>
            <w:tcW w:w="701" w:type="pct"/>
            <w:tcBorders>
              <w:top w:val="single" w:sz="8" w:space="0" w:color="C0C0C0"/>
              <w:left w:val="single" w:sz="8" w:space="0" w:color="C0C0C0"/>
              <w:bottom w:val="single" w:sz="8" w:space="0" w:color="C0C0C0"/>
              <w:right w:val="single" w:sz="4" w:space="0" w:color="auto"/>
            </w:tcBorders>
            <w:shd w:val="clear" w:color="auto" w:fill="FFFF99"/>
          </w:tcPr>
          <w:p w14:paraId="1C4EA178" w14:textId="77777777" w:rsidR="007C0D1B" w:rsidRDefault="007C0D1B" w:rsidP="00472B02">
            <w:pPr>
              <w:pStyle w:val="TableText"/>
            </w:pPr>
            <w:r>
              <w:t>Moderate risk</w:t>
            </w:r>
          </w:p>
        </w:tc>
      </w:tr>
      <w:tr w:rsidR="007C0D1B" w14:paraId="0E51AA48" w14:textId="77777777" w:rsidTr="007C0D1B">
        <w:trPr>
          <w:cantSplit/>
        </w:trPr>
        <w:tc>
          <w:tcPr>
            <w:tcW w:w="793" w:type="pct"/>
            <w:tcBorders>
              <w:top w:val="single" w:sz="4" w:space="0" w:color="BFBFBF"/>
              <w:left w:val="single" w:sz="4" w:space="0" w:color="auto"/>
              <w:bottom w:val="single" w:sz="4" w:space="0" w:color="BFBFBF"/>
              <w:right w:val="single" w:sz="4" w:space="0" w:color="D9D9D9"/>
            </w:tcBorders>
          </w:tcPr>
          <w:p w14:paraId="6B328467" w14:textId="77777777" w:rsidR="007C0D1B" w:rsidRDefault="007C0D1B" w:rsidP="00472B02">
            <w:pPr>
              <w:pStyle w:val="TableText"/>
            </w:pPr>
            <w:r>
              <w:t>Extremely low</w:t>
            </w:r>
          </w:p>
        </w:tc>
        <w:tc>
          <w:tcPr>
            <w:tcW w:w="701" w:type="pct"/>
            <w:tcBorders>
              <w:top w:val="single" w:sz="8" w:space="0" w:color="C0C0C0"/>
              <w:left w:val="single" w:sz="4" w:space="0" w:color="D9D9D9"/>
              <w:bottom w:val="single" w:sz="8" w:space="0" w:color="C0C0C0"/>
              <w:right w:val="single" w:sz="8" w:space="0" w:color="C0C0C0"/>
            </w:tcBorders>
            <w:shd w:val="clear" w:color="auto" w:fill="F2F2F2"/>
          </w:tcPr>
          <w:p w14:paraId="0C0E5F81"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1E72838D"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8" w:space="0" w:color="C0C0C0"/>
              <w:right w:val="single" w:sz="8" w:space="0" w:color="C0C0C0"/>
            </w:tcBorders>
            <w:shd w:val="clear" w:color="auto" w:fill="F2F2F2"/>
          </w:tcPr>
          <w:p w14:paraId="2A2D67BB"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F2F2F2"/>
          </w:tcPr>
          <w:p w14:paraId="2AF12A8E"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8" w:space="0" w:color="C0C0C0"/>
              <w:right w:val="single" w:sz="8" w:space="0" w:color="C0C0C0"/>
            </w:tcBorders>
            <w:shd w:val="clear" w:color="auto" w:fill="000000"/>
          </w:tcPr>
          <w:p w14:paraId="00FA5737" w14:textId="77777777" w:rsidR="007C0D1B" w:rsidRDefault="007C0D1B" w:rsidP="00472B02">
            <w:pPr>
              <w:pStyle w:val="TableText"/>
              <w:rPr>
                <w:color w:val="FFFFFF"/>
              </w:rPr>
            </w:pPr>
            <w:r>
              <w:rPr>
                <w:color w:val="FFFFFF"/>
              </w:rPr>
              <w:t>Very low risk</w:t>
            </w:r>
          </w:p>
        </w:tc>
        <w:tc>
          <w:tcPr>
            <w:tcW w:w="701" w:type="pct"/>
            <w:tcBorders>
              <w:top w:val="single" w:sz="8" w:space="0" w:color="C0C0C0"/>
              <w:left w:val="single" w:sz="8" w:space="0" w:color="C0C0C0"/>
              <w:bottom w:val="single" w:sz="8" w:space="0" w:color="C0C0C0"/>
              <w:right w:val="single" w:sz="4" w:space="0" w:color="auto"/>
            </w:tcBorders>
            <w:shd w:val="clear" w:color="auto" w:fill="CCFFCC"/>
          </w:tcPr>
          <w:p w14:paraId="1EF0935A" w14:textId="77777777" w:rsidR="007C0D1B" w:rsidRDefault="007C0D1B" w:rsidP="00472B02">
            <w:pPr>
              <w:pStyle w:val="TableText"/>
            </w:pPr>
            <w:r>
              <w:t>Low risk</w:t>
            </w:r>
          </w:p>
        </w:tc>
      </w:tr>
      <w:tr w:rsidR="007C0D1B" w14:paraId="53D62EB1" w14:textId="77777777" w:rsidTr="007C0D1B">
        <w:trPr>
          <w:cantSplit/>
        </w:trPr>
        <w:tc>
          <w:tcPr>
            <w:tcW w:w="793" w:type="pct"/>
            <w:tcBorders>
              <w:top w:val="single" w:sz="4" w:space="0" w:color="BFBFBF"/>
              <w:left w:val="single" w:sz="4" w:space="0" w:color="auto"/>
              <w:bottom w:val="single" w:sz="4" w:space="0" w:color="auto"/>
              <w:right w:val="single" w:sz="4" w:space="0" w:color="D9D9D9"/>
            </w:tcBorders>
          </w:tcPr>
          <w:p w14:paraId="6DFE4F2D" w14:textId="77777777" w:rsidR="007C0D1B" w:rsidRDefault="007C0D1B" w:rsidP="00472B02">
            <w:pPr>
              <w:pStyle w:val="TableText"/>
            </w:pPr>
            <w:r>
              <w:t xml:space="preserve">Negligible </w:t>
            </w:r>
          </w:p>
        </w:tc>
        <w:tc>
          <w:tcPr>
            <w:tcW w:w="701" w:type="pct"/>
            <w:tcBorders>
              <w:top w:val="single" w:sz="8" w:space="0" w:color="C0C0C0"/>
              <w:left w:val="single" w:sz="4" w:space="0" w:color="D9D9D9"/>
              <w:bottom w:val="single" w:sz="4" w:space="0" w:color="auto"/>
              <w:right w:val="single" w:sz="8" w:space="0" w:color="C0C0C0"/>
            </w:tcBorders>
            <w:shd w:val="clear" w:color="auto" w:fill="F2F2F2"/>
          </w:tcPr>
          <w:p w14:paraId="503070B0"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6D5FF16B" w14:textId="77777777" w:rsidR="007C0D1B" w:rsidRDefault="007C0D1B" w:rsidP="00472B02">
            <w:pPr>
              <w:pStyle w:val="TableText"/>
            </w:pPr>
            <w:r>
              <w:t>Negligible risk</w:t>
            </w:r>
          </w:p>
        </w:tc>
        <w:tc>
          <w:tcPr>
            <w:tcW w:w="702" w:type="pct"/>
            <w:tcBorders>
              <w:top w:val="single" w:sz="8" w:space="0" w:color="C0C0C0"/>
              <w:left w:val="single" w:sz="8" w:space="0" w:color="C0C0C0"/>
              <w:bottom w:val="single" w:sz="4" w:space="0" w:color="auto"/>
              <w:right w:val="single" w:sz="8" w:space="0" w:color="C0C0C0"/>
            </w:tcBorders>
            <w:shd w:val="clear" w:color="auto" w:fill="F2F2F2"/>
          </w:tcPr>
          <w:p w14:paraId="14BD7BC7"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444235F8"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8" w:space="0" w:color="C0C0C0"/>
            </w:tcBorders>
            <w:shd w:val="clear" w:color="auto" w:fill="F2F2F2"/>
          </w:tcPr>
          <w:p w14:paraId="3B1D392B" w14:textId="77777777" w:rsidR="007C0D1B" w:rsidRDefault="007C0D1B" w:rsidP="00472B02">
            <w:pPr>
              <w:pStyle w:val="TableText"/>
            </w:pPr>
            <w:r>
              <w:t>Negligible risk</w:t>
            </w:r>
          </w:p>
        </w:tc>
        <w:tc>
          <w:tcPr>
            <w:tcW w:w="701" w:type="pct"/>
            <w:tcBorders>
              <w:top w:val="single" w:sz="8" w:space="0" w:color="C0C0C0"/>
              <w:left w:val="single" w:sz="8" w:space="0" w:color="C0C0C0"/>
              <w:bottom w:val="single" w:sz="4" w:space="0" w:color="auto"/>
              <w:right w:val="single" w:sz="4" w:space="0" w:color="auto"/>
            </w:tcBorders>
            <w:shd w:val="clear" w:color="auto" w:fill="000000"/>
          </w:tcPr>
          <w:p w14:paraId="6B270ACC" w14:textId="77777777" w:rsidR="007C0D1B" w:rsidRDefault="007C0D1B" w:rsidP="00472B02">
            <w:pPr>
              <w:pStyle w:val="TableText"/>
              <w:rPr>
                <w:color w:val="FFFFFF"/>
              </w:rPr>
            </w:pPr>
            <w:r>
              <w:rPr>
                <w:color w:val="FFFFFF"/>
              </w:rPr>
              <w:t>Very low risk</w:t>
            </w:r>
          </w:p>
        </w:tc>
      </w:tr>
    </w:tbl>
    <w:p w14:paraId="5ACA1C6F" w14:textId="77777777" w:rsidR="007C0D1B" w:rsidRDefault="007C0D1B" w:rsidP="007C0D1B">
      <w:pPr>
        <w:pStyle w:val="Heading4"/>
        <w:ind w:left="794" w:hanging="794"/>
      </w:pPr>
      <w:r>
        <w:t>The appropriate level of protection (ALOP) for Australia</w:t>
      </w:r>
    </w:p>
    <w:p w14:paraId="16B1A9E4" w14:textId="77777777" w:rsidR="007C0D1B" w:rsidRDefault="007C0D1B" w:rsidP="007C0D1B">
      <w:r>
        <w:t>The SPS Agreement defines the concept of an ‘appropriate level of sanitary or phytosanitary protection (ALOP)’ as the level of protection deemed appropriate by the WTO Member establishing a sanitary or phytosanitary measure to protect human, animal or plant life or health within its territory.</w:t>
      </w:r>
    </w:p>
    <w:p w14:paraId="38CF41F5" w14:textId="77777777" w:rsidR="007C0D1B" w:rsidRDefault="007C0D1B" w:rsidP="007C0D1B">
      <w:r>
        <w:t>Like many other countries, Australia expresses its ALOP in qualitative terms. The ALOP for Australia, which reflects community expectations through government policy, is currently expressed as providing a high level of sanitary or phytosanitary protection aimed at reducing risk to a very low level, but not to zero. The band of cells in Table 5 marked ‘very low risk’ represents the</w:t>
      </w:r>
      <w:r w:rsidR="00A8759C">
        <w:t xml:space="preserve"> upper boundary of the</w:t>
      </w:r>
      <w:r>
        <w:t xml:space="preserve"> ALOP for Australia.</w:t>
      </w:r>
    </w:p>
    <w:p w14:paraId="02221B57" w14:textId="77777777" w:rsidR="007C0D1B" w:rsidRDefault="007C0D1B" w:rsidP="0043271B">
      <w:pPr>
        <w:pStyle w:val="Heading2Nonumber"/>
      </w:pPr>
      <w:bookmarkStart w:id="50" w:name="_Toc389741444"/>
      <w:bookmarkStart w:id="51" w:name="_Toc467052029"/>
      <w:bookmarkStart w:id="52" w:name="_Toc506467515"/>
      <w:bookmarkStart w:id="53" w:name="_Toc87425143"/>
      <w:r>
        <w:t>Stage 3 Pest risk management</w:t>
      </w:r>
      <w:bookmarkEnd w:id="50"/>
      <w:bookmarkEnd w:id="51"/>
      <w:bookmarkEnd w:id="52"/>
      <w:bookmarkEnd w:id="53"/>
    </w:p>
    <w:p w14:paraId="717F8915" w14:textId="77777777" w:rsidR="007C0D1B" w:rsidRDefault="007C0D1B" w:rsidP="007C0D1B">
      <w:r>
        <w:t>Pest risk management describes the process of identifying and implementing phytosanitary measures to manage risks to achieve the ALOP for Australia, while ensuring that any negative effects on trade are minimised.</w:t>
      </w:r>
    </w:p>
    <w:p w14:paraId="44BAD87A" w14:textId="77777777" w:rsidR="007C0D1B" w:rsidRDefault="007C0D1B" w:rsidP="007C0D1B">
      <w:r>
        <w:t>The conclusions from pest risk assessment are used to decide whether risk management is required and if so, the appropriate measures to be used. Where the unrestricted risk estimate does not achieve the ALOP for Australia, risk management measures are required to reduce this risk to a very low level. The guiding principle for risk management is to manage risk to achieve the ALOP for Australia. The effectiveness of any proposed phytosanitary measures (or combination of measures) is evaluated, using the same approach as used to evaluate the unrestricted risk, to ensure the restricted risk for the relevant pest or pests achieves the ALOP for Australia.</w:t>
      </w:r>
    </w:p>
    <w:p w14:paraId="4F0F95D0" w14:textId="7987CA99" w:rsidR="007C0D1B" w:rsidRDefault="009D2A7D" w:rsidP="007C0D1B">
      <w:r>
        <w:lastRenderedPageBreak/>
        <w:t>ISPM 11 (FAO, 2019</w:t>
      </w:r>
      <w:r w:rsidR="007C0D1B">
        <w:t>c) provides details on the identification and selection of appropriate risk management options and notes that the choice of measures should be based on their effectiveness in reducing the likelihood of entry of the pest.</w:t>
      </w:r>
    </w:p>
    <w:p w14:paraId="23F33012" w14:textId="77777777" w:rsidR="007C0D1B" w:rsidRDefault="007C0D1B" w:rsidP="007C0D1B">
      <w:r>
        <w:t>Examples given of measures commonly applied to traded commodities include:</w:t>
      </w:r>
    </w:p>
    <w:p w14:paraId="4387DE68" w14:textId="77777777" w:rsidR="007C0D1B" w:rsidRDefault="007C0D1B" w:rsidP="007C0D1B">
      <w:pPr>
        <w:pStyle w:val="ListBullet"/>
      </w:pPr>
      <w:r>
        <w:t>options for consignments—for example, inspection or testing for freedom from pests, prohibition of parts of the host, a pre-entry or post-entry quarantine system, specified conditions on preparation of the consignment, specified treatment of the consignment, restrictions on end-use, distribution and periods of entry of the commodity</w:t>
      </w:r>
    </w:p>
    <w:p w14:paraId="4E6C1AA4" w14:textId="77777777" w:rsidR="007C0D1B" w:rsidRDefault="007C0D1B" w:rsidP="007C0D1B">
      <w:pPr>
        <w:pStyle w:val="ListBullet"/>
      </w:pPr>
      <w:r>
        <w:t>options preventing or reducing infestation in the crop—for example, treatment of the crop, restriction on the composition of a consignment so it is composed of plants belonging to resistant or less susceptible species, harvesting of plants at a certain age or specified time of the year, production in a certification scheme</w:t>
      </w:r>
    </w:p>
    <w:p w14:paraId="2446DDC5" w14:textId="77777777" w:rsidR="007C0D1B" w:rsidRDefault="007C0D1B" w:rsidP="007C0D1B">
      <w:pPr>
        <w:pStyle w:val="ListBullet"/>
      </w:pPr>
      <w:r>
        <w:t>options ensuring that the area, place or site of production or crop is free from the pest—for example, pest-free area, pest-free place of production or pest-free production site</w:t>
      </w:r>
    </w:p>
    <w:p w14:paraId="4DB6A063" w14:textId="77777777" w:rsidR="007C0D1B" w:rsidRDefault="007C0D1B" w:rsidP="007C0D1B">
      <w:pPr>
        <w:pStyle w:val="ListBullet"/>
      </w:pPr>
      <w:r>
        <w:t>options for other types of pathways—for example, consider natural spread, measures for human travellers and their baggage, cleaning or disinfestations of contaminated machinery</w:t>
      </w:r>
    </w:p>
    <w:p w14:paraId="7233DD4A" w14:textId="77777777" w:rsidR="007C0D1B" w:rsidRDefault="007C0D1B" w:rsidP="007C0D1B">
      <w:pPr>
        <w:pStyle w:val="ListBullet"/>
      </w:pPr>
      <w:r>
        <w:t>options within the importing country—for example, surveillance and eradication programs</w:t>
      </w:r>
    </w:p>
    <w:p w14:paraId="4ABD4C3B" w14:textId="77777777" w:rsidR="007C0D1B" w:rsidRDefault="007C0D1B" w:rsidP="007C0D1B">
      <w:pPr>
        <w:pStyle w:val="ListBullet"/>
      </w:pPr>
      <w:r>
        <w:t>prohibition of commodities—if no satisfactory measure can be found.</w:t>
      </w:r>
    </w:p>
    <w:p w14:paraId="5B224015" w14:textId="77777777" w:rsidR="007C0D1B" w:rsidRDefault="007C0D1B" w:rsidP="007C0D1B">
      <w:r>
        <w:t xml:space="preserve">Risk management measures are identified for each quarantine pest where the level of biosecurity risk does not achieve the ALOP for Australia. </w:t>
      </w:r>
    </w:p>
    <w:p w14:paraId="4C015EDD" w14:textId="77777777" w:rsidR="007C0D1B" w:rsidRDefault="007C0D1B" w:rsidP="007C0D1B"/>
    <w:p w14:paraId="6BA11A13" w14:textId="77777777" w:rsidR="002764F5" w:rsidRDefault="002764F5" w:rsidP="002764F5"/>
    <w:p w14:paraId="1E724A48" w14:textId="77777777" w:rsidR="002764F5" w:rsidRDefault="002764F5" w:rsidP="002764F5"/>
    <w:p w14:paraId="21987DE8" w14:textId="77777777" w:rsidR="00634925" w:rsidRDefault="00634925" w:rsidP="00634925">
      <w:pPr>
        <w:pStyle w:val="Heading1nonumbers"/>
        <w:sectPr w:rsidR="00634925">
          <w:headerReference w:type="default" r:id="rId37"/>
          <w:pgSz w:w="11906" w:h="16838"/>
          <w:pgMar w:top="1418" w:right="1418" w:bottom="1418" w:left="1418" w:header="567" w:footer="283" w:gutter="0"/>
          <w:cols w:space="708"/>
          <w:docGrid w:linePitch="360"/>
        </w:sectPr>
      </w:pPr>
    </w:p>
    <w:p w14:paraId="7222E746" w14:textId="77777777" w:rsidR="00736319" w:rsidRDefault="00D0393D">
      <w:pPr>
        <w:pStyle w:val="Heading1nonumbers"/>
      </w:pPr>
      <w:bookmarkStart w:id="54" w:name="_Toc87425144"/>
      <w:r>
        <w:lastRenderedPageBreak/>
        <w:t>Glossary</w:t>
      </w:r>
      <w:bookmarkEnd w:id="54"/>
    </w:p>
    <w:tbl>
      <w:tblPr>
        <w:tblW w:w="5000" w:type="pct"/>
        <w:tblBorders>
          <w:top w:val="single" w:sz="4" w:space="0" w:color="auto"/>
          <w:bottom w:val="single" w:sz="4" w:space="0" w:color="auto"/>
        </w:tblBorders>
        <w:tblLook w:val="04A0" w:firstRow="1" w:lastRow="0" w:firstColumn="1" w:lastColumn="0" w:noHBand="0" w:noVBand="1"/>
      </w:tblPr>
      <w:tblGrid>
        <w:gridCol w:w="2737"/>
        <w:gridCol w:w="6333"/>
      </w:tblGrid>
      <w:tr w:rsidR="007C0D1B" w:rsidRPr="00A11F8D" w14:paraId="474B50E7" w14:textId="77777777" w:rsidTr="00472B02">
        <w:trPr>
          <w:cantSplit/>
          <w:tblHeader/>
        </w:trPr>
        <w:tc>
          <w:tcPr>
            <w:tcW w:w="1509" w:type="pct"/>
          </w:tcPr>
          <w:p w14:paraId="400F58E6" w14:textId="77777777" w:rsidR="007C0D1B" w:rsidRPr="00A11F8D" w:rsidRDefault="007C0D1B" w:rsidP="00472B02">
            <w:pPr>
              <w:pStyle w:val="TableHeading"/>
            </w:pPr>
            <w:r w:rsidRPr="00A11F8D">
              <w:t>Term or abbreviation</w:t>
            </w:r>
          </w:p>
        </w:tc>
        <w:tc>
          <w:tcPr>
            <w:tcW w:w="3491" w:type="pct"/>
          </w:tcPr>
          <w:p w14:paraId="27D23BC2" w14:textId="77777777" w:rsidR="007C0D1B" w:rsidRPr="00A11F8D" w:rsidRDefault="007C0D1B" w:rsidP="00472B02">
            <w:pPr>
              <w:pStyle w:val="TableHeading"/>
            </w:pPr>
            <w:r w:rsidRPr="00A11F8D">
              <w:t>Definition</w:t>
            </w:r>
          </w:p>
        </w:tc>
      </w:tr>
      <w:tr w:rsidR="007C0D1B" w:rsidRPr="00A11F8D" w14:paraId="5F50BFFF" w14:textId="77777777" w:rsidTr="00472B02">
        <w:tc>
          <w:tcPr>
            <w:tcW w:w="1509" w:type="pct"/>
          </w:tcPr>
          <w:p w14:paraId="2F6B7613" w14:textId="77777777" w:rsidR="007C0D1B" w:rsidRPr="00A11F8D" w:rsidRDefault="007C0D1B" w:rsidP="00472B02">
            <w:pPr>
              <w:pStyle w:val="TableText"/>
            </w:pPr>
            <w:r w:rsidRPr="00A11F8D">
              <w:t>Appropriate level of protection (ALOP)</w:t>
            </w:r>
          </w:p>
        </w:tc>
        <w:tc>
          <w:tcPr>
            <w:tcW w:w="3491" w:type="pct"/>
          </w:tcPr>
          <w:p w14:paraId="489D8DAB" w14:textId="77777777" w:rsidR="007C0D1B" w:rsidRPr="00A11F8D" w:rsidRDefault="007C0D1B" w:rsidP="00472B02">
            <w:pPr>
              <w:pStyle w:val="TableText"/>
            </w:pPr>
            <w:r w:rsidRPr="00A11F8D">
              <w:t>The level of protection deemed appropriate by the Member establishing a sanitary or phytosanitary measure to protect human, animal or plant life or health within its territory</w:t>
            </w:r>
            <w:r>
              <w:t xml:space="preserve"> (WTO 1995)</w:t>
            </w:r>
            <w:r w:rsidRPr="00A11F8D">
              <w:t>.</w:t>
            </w:r>
          </w:p>
        </w:tc>
      </w:tr>
      <w:tr w:rsidR="007C0D1B" w:rsidRPr="00A11F8D" w14:paraId="05316DB1" w14:textId="77777777" w:rsidTr="00472B02">
        <w:tc>
          <w:tcPr>
            <w:tcW w:w="1509" w:type="pct"/>
          </w:tcPr>
          <w:p w14:paraId="37E2828A" w14:textId="77777777" w:rsidR="007C0D1B" w:rsidRPr="00A11F8D" w:rsidRDefault="007C0D1B" w:rsidP="00472B02">
            <w:pPr>
              <w:pStyle w:val="TableText"/>
            </w:pPr>
            <w:r>
              <w:t>Appropriate level of protection (ALOP) for Australia</w:t>
            </w:r>
          </w:p>
        </w:tc>
        <w:tc>
          <w:tcPr>
            <w:tcW w:w="3491" w:type="pct"/>
          </w:tcPr>
          <w:p w14:paraId="07B6A700" w14:textId="77777777" w:rsidR="007C0D1B" w:rsidRPr="00A11F8D" w:rsidRDefault="007C0D1B" w:rsidP="00472B02">
            <w:pPr>
              <w:pStyle w:val="TableText"/>
            </w:pPr>
            <w:r>
              <w:t xml:space="preserve">The </w:t>
            </w:r>
            <w:r w:rsidRPr="00153630">
              <w:rPr>
                <w:i/>
              </w:rPr>
              <w:t>Biosecurity Act 2015</w:t>
            </w:r>
            <w:r>
              <w:t xml:space="preserve"> defines the appropriate level of protection (or ALOP) for Australia as a high level of sanitary and phytosanitary protection aimed at reducing biosecurity risks to very low, but not to zero.</w:t>
            </w:r>
          </w:p>
        </w:tc>
      </w:tr>
      <w:tr w:rsidR="007C0D1B" w:rsidRPr="00A11F8D" w14:paraId="3604FD25" w14:textId="77777777" w:rsidTr="00472B02">
        <w:tc>
          <w:tcPr>
            <w:tcW w:w="1509" w:type="pct"/>
          </w:tcPr>
          <w:p w14:paraId="5449C5BD" w14:textId="77777777" w:rsidR="007C0D1B" w:rsidRPr="00A11F8D" w:rsidRDefault="007C0D1B" w:rsidP="00472B02">
            <w:pPr>
              <w:pStyle w:val="TableText"/>
            </w:pPr>
            <w:r w:rsidRPr="007C0D1B">
              <w:rPr>
                <w:color w:val="000000"/>
              </w:rPr>
              <w:t>Australian territory</w:t>
            </w:r>
          </w:p>
        </w:tc>
        <w:tc>
          <w:tcPr>
            <w:tcW w:w="3491" w:type="pct"/>
          </w:tcPr>
          <w:p w14:paraId="2D33C478" w14:textId="77777777" w:rsidR="007C0D1B" w:rsidRPr="00A11F8D" w:rsidRDefault="007C0D1B" w:rsidP="00472B02">
            <w:pPr>
              <w:pStyle w:val="TableText"/>
            </w:pPr>
            <w:r w:rsidRPr="007C0D1B">
              <w:rPr>
                <w:color w:val="000000"/>
              </w:rPr>
              <w:t xml:space="preserve">Australian territory as referenced in the </w:t>
            </w:r>
            <w:r w:rsidRPr="007C0D1B">
              <w:rPr>
                <w:i/>
                <w:color w:val="000000"/>
              </w:rPr>
              <w:t>Biosecurity Act 2015</w:t>
            </w:r>
            <w:r w:rsidRPr="007C0D1B">
              <w:rPr>
                <w:color w:val="000000"/>
              </w:rPr>
              <w:t xml:space="preserve"> refers to Australia, Christmas Island and Cocos (Keeling) Islands.</w:t>
            </w:r>
          </w:p>
        </w:tc>
      </w:tr>
      <w:tr w:rsidR="007C0D1B" w:rsidRPr="00A11F8D" w14:paraId="313EC197" w14:textId="77777777" w:rsidTr="00472B02">
        <w:tc>
          <w:tcPr>
            <w:tcW w:w="1509" w:type="pct"/>
          </w:tcPr>
          <w:p w14:paraId="78704E34" w14:textId="77777777" w:rsidR="007C0D1B" w:rsidRPr="007C0D1B" w:rsidRDefault="007C0D1B" w:rsidP="00472B02">
            <w:pPr>
              <w:pStyle w:val="TableText"/>
              <w:rPr>
                <w:color w:val="000000"/>
              </w:rPr>
            </w:pPr>
            <w:r w:rsidRPr="007C0D1B">
              <w:rPr>
                <w:color w:val="000000"/>
              </w:rPr>
              <w:t>Biological control agent</w:t>
            </w:r>
          </w:p>
        </w:tc>
        <w:tc>
          <w:tcPr>
            <w:tcW w:w="3491" w:type="pct"/>
          </w:tcPr>
          <w:p w14:paraId="077511F6" w14:textId="21DB0B06" w:rsidR="007C0D1B" w:rsidRPr="007C0D1B" w:rsidRDefault="007C0D1B" w:rsidP="00472B02">
            <w:pPr>
              <w:pStyle w:val="TableText"/>
              <w:rPr>
                <w:color w:val="000000"/>
              </w:rPr>
            </w:pPr>
            <w:r w:rsidRPr="007C0D1B">
              <w:rPr>
                <w:color w:val="000000"/>
              </w:rPr>
              <w:t xml:space="preserve">A natural enemy, antagonist or competitor, or other organism, used for pest control </w:t>
            </w:r>
            <w:r>
              <w:t xml:space="preserve">(FAO </w:t>
            </w:r>
            <w:r w:rsidR="009D2A7D">
              <w:t>2019b</w:t>
            </w:r>
            <w:r>
              <w:t>)</w:t>
            </w:r>
            <w:r w:rsidRPr="00A11F8D">
              <w:t>.</w:t>
            </w:r>
          </w:p>
        </w:tc>
      </w:tr>
      <w:tr w:rsidR="007C0D1B" w:rsidRPr="00A11F8D" w14:paraId="0EA75AF6" w14:textId="77777777" w:rsidTr="00472B02">
        <w:tc>
          <w:tcPr>
            <w:tcW w:w="1509" w:type="pct"/>
          </w:tcPr>
          <w:p w14:paraId="4F9592AC" w14:textId="77777777" w:rsidR="007C0D1B" w:rsidRPr="00A11F8D" w:rsidRDefault="007C0D1B" w:rsidP="00472B02">
            <w:pPr>
              <w:pStyle w:val="TableText"/>
            </w:pPr>
            <w:r w:rsidRPr="00A11F8D">
              <w:t>Biosecurity</w:t>
            </w:r>
          </w:p>
        </w:tc>
        <w:tc>
          <w:tcPr>
            <w:tcW w:w="3491" w:type="pct"/>
          </w:tcPr>
          <w:p w14:paraId="3828C200" w14:textId="77777777" w:rsidR="007C0D1B" w:rsidRPr="00A11F8D" w:rsidRDefault="007C0D1B" w:rsidP="00472B02">
            <w:pPr>
              <w:pStyle w:val="TableText"/>
            </w:pPr>
            <w:r w:rsidRPr="00A11F8D">
              <w:t>The prevention of the entry, establishment or spread of unwanted pests and infectious disease agents to protect human, animal or plant health or life, and the environment.</w:t>
            </w:r>
          </w:p>
        </w:tc>
      </w:tr>
      <w:tr w:rsidR="007C0D1B" w:rsidRPr="00A11F8D" w14:paraId="40789A10" w14:textId="77777777" w:rsidTr="00472B02">
        <w:tc>
          <w:tcPr>
            <w:tcW w:w="1509" w:type="pct"/>
          </w:tcPr>
          <w:p w14:paraId="4559447E" w14:textId="77777777" w:rsidR="007C0D1B" w:rsidRDefault="007C0D1B" w:rsidP="00472B02">
            <w:pPr>
              <w:pStyle w:val="TableText"/>
            </w:pPr>
            <w:r>
              <w:t>Biosecurity measures</w:t>
            </w:r>
          </w:p>
        </w:tc>
        <w:tc>
          <w:tcPr>
            <w:tcW w:w="3491" w:type="pct"/>
          </w:tcPr>
          <w:p w14:paraId="0CA5674D" w14:textId="77777777" w:rsidR="007C0D1B" w:rsidRDefault="007C0D1B" w:rsidP="00472B02">
            <w:pPr>
              <w:pStyle w:val="TableText"/>
            </w:pPr>
            <w:r>
              <w:t xml:space="preserve">The </w:t>
            </w:r>
            <w:r w:rsidRPr="00153630">
              <w:rPr>
                <w:i/>
              </w:rPr>
              <w:t>Biosec</w:t>
            </w:r>
            <w:r>
              <w:rPr>
                <w:i/>
              </w:rPr>
              <w:t>u</w:t>
            </w:r>
            <w:r w:rsidRPr="00153630">
              <w:rPr>
                <w:i/>
              </w:rPr>
              <w:t>rity Act 2015</w:t>
            </w:r>
            <w:r>
              <w:t xml:space="preserve"> defines biosecurity measures as measures to manage any of the following: biosecurity risk, the risk of contagion of a listed human disease, the risk of listed human diseases entering, emerging, establishing themselves or spreading in Australian territory, and biosecurity emergencies and human biosecurity emergencies. </w:t>
            </w:r>
          </w:p>
        </w:tc>
      </w:tr>
      <w:tr w:rsidR="007C0D1B" w:rsidRPr="00A11F8D" w14:paraId="1DAF36FE" w14:textId="77777777" w:rsidTr="00472B02">
        <w:tc>
          <w:tcPr>
            <w:tcW w:w="1509" w:type="pct"/>
          </w:tcPr>
          <w:p w14:paraId="6DBB2E47" w14:textId="77777777" w:rsidR="007C0D1B" w:rsidRDefault="007C0D1B" w:rsidP="00472B02">
            <w:pPr>
              <w:pStyle w:val="TableText"/>
            </w:pPr>
            <w:r>
              <w:t>Biosecurity import risk analysis (BIRA)</w:t>
            </w:r>
          </w:p>
        </w:tc>
        <w:tc>
          <w:tcPr>
            <w:tcW w:w="3491" w:type="pct"/>
          </w:tcPr>
          <w:p w14:paraId="40EB4B29" w14:textId="77777777" w:rsidR="007C0D1B" w:rsidRDefault="007C0D1B" w:rsidP="00472B02">
            <w:pPr>
              <w:pStyle w:val="TableText"/>
            </w:pPr>
            <w:r>
              <w:t xml:space="preserve">The </w:t>
            </w:r>
            <w:r w:rsidRPr="00A45052">
              <w:rPr>
                <w:i/>
              </w:rPr>
              <w:t>Biosecurity Act 2015</w:t>
            </w:r>
            <w:r>
              <w:t xml:space="preserve"> defines a BIRA as an evaluation of the level of biosecurity risk associated with particular goods, or a particular class of goods, that may be imported, or proposed to be imported, into Australian territory, including, if necessary, the identification of conditions that must be met to manage the level of biosecurity risk associated with the goods, or the class of goods, to a level that achieves the ALOP for Australia. The risk analysis process is regulated under legislation.</w:t>
            </w:r>
          </w:p>
        </w:tc>
      </w:tr>
      <w:tr w:rsidR="007C0D1B" w:rsidRPr="00A11F8D" w14:paraId="5BF41E06" w14:textId="77777777" w:rsidTr="00472B02">
        <w:tc>
          <w:tcPr>
            <w:tcW w:w="1509" w:type="pct"/>
          </w:tcPr>
          <w:p w14:paraId="65DD729B" w14:textId="77777777" w:rsidR="007C0D1B" w:rsidRPr="00A11F8D" w:rsidRDefault="007C0D1B" w:rsidP="00472B02">
            <w:pPr>
              <w:pStyle w:val="TableText"/>
            </w:pPr>
            <w:r>
              <w:t>Biosecurity risk</w:t>
            </w:r>
          </w:p>
        </w:tc>
        <w:tc>
          <w:tcPr>
            <w:tcW w:w="3491" w:type="pct"/>
          </w:tcPr>
          <w:p w14:paraId="7B829752" w14:textId="77777777" w:rsidR="007C0D1B" w:rsidRPr="00A11F8D" w:rsidRDefault="007C0D1B" w:rsidP="00472B02">
            <w:pPr>
              <w:pStyle w:val="TableText"/>
            </w:pPr>
            <w:r>
              <w:t xml:space="preserve">The </w:t>
            </w:r>
            <w:r w:rsidRPr="00153630">
              <w:rPr>
                <w:i/>
              </w:rPr>
              <w:t>Biosec</w:t>
            </w:r>
            <w:r>
              <w:rPr>
                <w:i/>
              </w:rPr>
              <w:t>u</w:t>
            </w:r>
            <w:r w:rsidRPr="00153630">
              <w:rPr>
                <w:i/>
              </w:rPr>
              <w:t>rity Act 2015</w:t>
            </w:r>
            <w:r>
              <w:t xml:space="preserve"> refers to biosecurity risk as the likelihood of a disease or pest entering, establishing or spreading in Australian territory, and the potential for the disease or pest causing harm to human, animal or plant health, the environment, economic or community activities. </w:t>
            </w:r>
          </w:p>
        </w:tc>
      </w:tr>
      <w:tr w:rsidR="007C0D1B" w:rsidRPr="00A11F8D" w14:paraId="6E06157C" w14:textId="77777777" w:rsidTr="00472B02">
        <w:tc>
          <w:tcPr>
            <w:tcW w:w="1509" w:type="pct"/>
          </w:tcPr>
          <w:p w14:paraId="3F30A21F" w14:textId="77777777" w:rsidR="007C0D1B" w:rsidRPr="00A11F8D" w:rsidRDefault="007C0D1B" w:rsidP="00472B02">
            <w:pPr>
              <w:pStyle w:val="TableText"/>
            </w:pPr>
            <w:r w:rsidRPr="00A11F8D">
              <w:t>Control (of a pest)</w:t>
            </w:r>
          </w:p>
        </w:tc>
        <w:tc>
          <w:tcPr>
            <w:tcW w:w="3491" w:type="pct"/>
          </w:tcPr>
          <w:p w14:paraId="47C86637" w14:textId="7745BB6A" w:rsidR="007C0D1B" w:rsidRPr="00A11F8D" w:rsidRDefault="007C0D1B" w:rsidP="00472B02">
            <w:pPr>
              <w:pStyle w:val="TableText"/>
            </w:pPr>
            <w:r w:rsidRPr="00A11F8D">
              <w:t xml:space="preserve">Suppression, containment or eradication of a pest population </w:t>
            </w:r>
            <w:r>
              <w:t xml:space="preserve">(FAO </w:t>
            </w:r>
            <w:r w:rsidR="009D2A7D">
              <w:t>2019b</w:t>
            </w:r>
            <w:r>
              <w:t>)</w:t>
            </w:r>
            <w:r w:rsidRPr="00A11F8D">
              <w:t>.</w:t>
            </w:r>
          </w:p>
        </w:tc>
      </w:tr>
      <w:tr w:rsidR="007C0D1B" w:rsidRPr="00A11F8D" w14:paraId="7EF1BC92" w14:textId="77777777" w:rsidTr="00472B02">
        <w:tc>
          <w:tcPr>
            <w:tcW w:w="1509" w:type="pct"/>
          </w:tcPr>
          <w:p w14:paraId="7A731727" w14:textId="77777777" w:rsidR="007C0D1B" w:rsidRPr="00A11F8D" w:rsidRDefault="007C0D1B" w:rsidP="00472B02">
            <w:pPr>
              <w:pStyle w:val="TableText"/>
            </w:pPr>
            <w:r w:rsidRPr="00A11F8D">
              <w:t>The department</w:t>
            </w:r>
          </w:p>
        </w:tc>
        <w:tc>
          <w:tcPr>
            <w:tcW w:w="3491" w:type="pct"/>
          </w:tcPr>
          <w:p w14:paraId="2C4C1C98" w14:textId="694E8185" w:rsidR="007C0D1B" w:rsidRPr="00A11F8D" w:rsidRDefault="007C0D1B" w:rsidP="00472B02">
            <w:pPr>
              <w:pStyle w:val="TableText"/>
            </w:pPr>
            <w:r w:rsidRPr="00A11F8D">
              <w:t>The Australian Government Department of</w:t>
            </w:r>
            <w:r w:rsidR="00CA4C80">
              <w:t xml:space="preserve"> Agriculture</w:t>
            </w:r>
            <w:r w:rsidR="00C21661">
              <w:t>, Water and the Environment</w:t>
            </w:r>
            <w:r w:rsidRPr="00A11F8D">
              <w:t>.</w:t>
            </w:r>
          </w:p>
        </w:tc>
      </w:tr>
      <w:tr w:rsidR="007C0D1B" w:rsidRPr="00A11F8D" w14:paraId="1AE7C807" w14:textId="77777777" w:rsidTr="00472B02">
        <w:tc>
          <w:tcPr>
            <w:tcW w:w="1509" w:type="pct"/>
          </w:tcPr>
          <w:p w14:paraId="1ADC2693" w14:textId="77777777" w:rsidR="007C0D1B" w:rsidRPr="00A11F8D" w:rsidRDefault="007C0D1B" w:rsidP="00472B02">
            <w:pPr>
              <w:pStyle w:val="TableText"/>
            </w:pPr>
            <w:r w:rsidRPr="00A11F8D">
              <w:t>Endangered area</w:t>
            </w:r>
          </w:p>
        </w:tc>
        <w:tc>
          <w:tcPr>
            <w:tcW w:w="3491" w:type="pct"/>
          </w:tcPr>
          <w:p w14:paraId="0AC0A0DC" w14:textId="601E719C" w:rsidR="007C0D1B" w:rsidRPr="00A11F8D" w:rsidRDefault="007C0D1B" w:rsidP="00472B02">
            <w:pPr>
              <w:pStyle w:val="TableText"/>
            </w:pPr>
            <w:r w:rsidRPr="00A11F8D">
              <w:t xml:space="preserve">An area where ecological factors favour the establishment of a pest whose presence in the area will result in economically important loss </w:t>
            </w:r>
            <w:r>
              <w:t xml:space="preserve">(FAO </w:t>
            </w:r>
            <w:r w:rsidR="009D2A7D">
              <w:t>2019b</w:t>
            </w:r>
            <w:r>
              <w:t>)</w:t>
            </w:r>
            <w:r w:rsidRPr="00A11F8D">
              <w:t>.</w:t>
            </w:r>
          </w:p>
        </w:tc>
      </w:tr>
      <w:tr w:rsidR="007C0D1B" w:rsidRPr="00A11F8D" w14:paraId="4C43CB78" w14:textId="77777777" w:rsidTr="00472B02">
        <w:tc>
          <w:tcPr>
            <w:tcW w:w="1509" w:type="pct"/>
          </w:tcPr>
          <w:p w14:paraId="48F17F8C" w14:textId="77777777" w:rsidR="007C0D1B" w:rsidRPr="00A11F8D" w:rsidRDefault="007C0D1B" w:rsidP="00472B02">
            <w:pPr>
              <w:pStyle w:val="TableText"/>
            </w:pPr>
            <w:r w:rsidRPr="00A11F8D">
              <w:t>Endemic</w:t>
            </w:r>
          </w:p>
        </w:tc>
        <w:tc>
          <w:tcPr>
            <w:tcW w:w="3491" w:type="pct"/>
          </w:tcPr>
          <w:p w14:paraId="73B6F0E1" w14:textId="77777777" w:rsidR="007C0D1B" w:rsidRPr="00A11F8D" w:rsidRDefault="007C0D1B" w:rsidP="00472B02">
            <w:pPr>
              <w:pStyle w:val="TableText"/>
            </w:pPr>
            <w:r w:rsidRPr="00A11F8D">
              <w:t>Belonging to, native to, or prevalent in a particular geography, area or environment.</w:t>
            </w:r>
          </w:p>
        </w:tc>
      </w:tr>
      <w:tr w:rsidR="007C0D1B" w:rsidRPr="00A11F8D" w14:paraId="61576825" w14:textId="77777777" w:rsidTr="00472B02">
        <w:tc>
          <w:tcPr>
            <w:tcW w:w="1509" w:type="pct"/>
          </w:tcPr>
          <w:p w14:paraId="5FE18B71" w14:textId="77777777" w:rsidR="007C0D1B" w:rsidRPr="00A11F8D" w:rsidRDefault="007C0D1B" w:rsidP="00472B02">
            <w:pPr>
              <w:pStyle w:val="TableText"/>
            </w:pPr>
            <w:r w:rsidRPr="00A11F8D">
              <w:t>Entry (of a pest)</w:t>
            </w:r>
          </w:p>
        </w:tc>
        <w:tc>
          <w:tcPr>
            <w:tcW w:w="3491" w:type="pct"/>
          </w:tcPr>
          <w:p w14:paraId="6AAF4783" w14:textId="1A2A87E4" w:rsidR="007C0D1B" w:rsidRPr="00A11F8D" w:rsidRDefault="007C0D1B" w:rsidP="00472B02">
            <w:pPr>
              <w:pStyle w:val="TableText"/>
            </w:pPr>
            <w:r w:rsidRPr="00A11F8D">
              <w:t xml:space="preserve">Movement of a pest into an area where it is not yet present, or present but not widely distributed and being officially controlled </w:t>
            </w:r>
            <w:r>
              <w:t xml:space="preserve">(FAO </w:t>
            </w:r>
            <w:r w:rsidR="009D2A7D">
              <w:t>2019b</w:t>
            </w:r>
            <w:r>
              <w:t>)</w:t>
            </w:r>
            <w:r w:rsidRPr="00A11F8D">
              <w:t>.</w:t>
            </w:r>
          </w:p>
        </w:tc>
      </w:tr>
      <w:tr w:rsidR="007C0D1B" w:rsidRPr="00A11F8D" w14:paraId="6CB68711" w14:textId="77777777" w:rsidTr="00472B02">
        <w:tc>
          <w:tcPr>
            <w:tcW w:w="1509" w:type="pct"/>
          </w:tcPr>
          <w:p w14:paraId="7143416F" w14:textId="77777777" w:rsidR="007C0D1B" w:rsidRPr="00A11F8D" w:rsidRDefault="007C0D1B" w:rsidP="00472B02">
            <w:pPr>
              <w:pStyle w:val="TableText"/>
            </w:pPr>
            <w:r w:rsidRPr="00A11F8D">
              <w:t>Establishment (of a pest)</w:t>
            </w:r>
          </w:p>
        </w:tc>
        <w:tc>
          <w:tcPr>
            <w:tcW w:w="3491" w:type="pct"/>
          </w:tcPr>
          <w:p w14:paraId="3C32320A" w14:textId="1C752C3D" w:rsidR="007C0D1B" w:rsidRPr="00A11F8D" w:rsidRDefault="007C0D1B" w:rsidP="00472B02">
            <w:pPr>
              <w:pStyle w:val="TableText"/>
            </w:pPr>
            <w:r w:rsidRPr="00A11F8D">
              <w:t xml:space="preserve">Perpetuation, for the foreseeable future, of a pest within an area after entry </w:t>
            </w:r>
            <w:r>
              <w:t xml:space="preserve">(FAO </w:t>
            </w:r>
            <w:r w:rsidR="009D2A7D">
              <w:t>2019b</w:t>
            </w:r>
            <w:r>
              <w:t>)</w:t>
            </w:r>
            <w:r w:rsidRPr="00A11F8D">
              <w:t>.</w:t>
            </w:r>
          </w:p>
        </w:tc>
      </w:tr>
      <w:tr w:rsidR="007C0D1B" w:rsidRPr="00A11F8D" w14:paraId="33841E70" w14:textId="77777777" w:rsidTr="00472B02">
        <w:tc>
          <w:tcPr>
            <w:tcW w:w="1509" w:type="pct"/>
          </w:tcPr>
          <w:p w14:paraId="3168846C" w14:textId="77777777" w:rsidR="007C0D1B" w:rsidRPr="00A11F8D" w:rsidRDefault="007C0D1B" w:rsidP="00472B02">
            <w:pPr>
              <w:pStyle w:val="TableText"/>
            </w:pPr>
            <w:r w:rsidRPr="00A11F8D">
              <w:t>Fumigation</w:t>
            </w:r>
          </w:p>
        </w:tc>
        <w:tc>
          <w:tcPr>
            <w:tcW w:w="3491" w:type="pct"/>
          </w:tcPr>
          <w:p w14:paraId="11ACF6C8" w14:textId="77777777" w:rsidR="007C0D1B" w:rsidRPr="00A11F8D" w:rsidRDefault="007C0D1B" w:rsidP="00472B02">
            <w:pPr>
              <w:pStyle w:val="TableText"/>
            </w:pPr>
            <w:r w:rsidRPr="00A11F8D">
              <w:t>A method of pest control that completely fills an area with gaseous pesticides to suffocate or poison the pests within.</w:t>
            </w:r>
          </w:p>
        </w:tc>
      </w:tr>
      <w:tr w:rsidR="007C0D1B" w:rsidRPr="00A11F8D" w14:paraId="6F7AE536" w14:textId="77777777" w:rsidTr="00472B02">
        <w:tc>
          <w:tcPr>
            <w:tcW w:w="1509" w:type="pct"/>
          </w:tcPr>
          <w:p w14:paraId="6E9088F9" w14:textId="77777777" w:rsidR="007C0D1B" w:rsidRPr="00A11F8D" w:rsidRDefault="007C0D1B" w:rsidP="00472B02">
            <w:pPr>
              <w:pStyle w:val="TableText"/>
            </w:pPr>
            <w:r w:rsidRPr="00A11F8D">
              <w:t>Genus</w:t>
            </w:r>
          </w:p>
        </w:tc>
        <w:tc>
          <w:tcPr>
            <w:tcW w:w="3491" w:type="pct"/>
          </w:tcPr>
          <w:p w14:paraId="39E3B3F1" w14:textId="77777777" w:rsidR="007C0D1B" w:rsidRPr="00A11F8D" w:rsidRDefault="007C0D1B" w:rsidP="00472B02">
            <w:pPr>
              <w:pStyle w:val="TableText"/>
            </w:pPr>
            <w:r w:rsidRPr="00A11F8D">
              <w:t>A taxonomic category ranking below a family and above a species and generally consisting of a group of species exhibiting similar characteristics. In taxonomic nomenclature the genus name is used, either alone or followed by a Latin adjective or epithet, to form the name of a species.</w:t>
            </w:r>
          </w:p>
        </w:tc>
      </w:tr>
      <w:tr w:rsidR="007C0D1B" w:rsidRPr="00A11F8D" w14:paraId="229ACF2B" w14:textId="77777777" w:rsidTr="00472B02">
        <w:tc>
          <w:tcPr>
            <w:tcW w:w="1509" w:type="pct"/>
          </w:tcPr>
          <w:p w14:paraId="58B83F74" w14:textId="77777777" w:rsidR="007C0D1B" w:rsidRPr="00A11F8D" w:rsidRDefault="007C0D1B" w:rsidP="00472B02">
            <w:pPr>
              <w:pStyle w:val="TableText"/>
            </w:pPr>
            <w:r w:rsidRPr="00A11F8D">
              <w:t>Host</w:t>
            </w:r>
          </w:p>
        </w:tc>
        <w:tc>
          <w:tcPr>
            <w:tcW w:w="3491" w:type="pct"/>
          </w:tcPr>
          <w:p w14:paraId="2F672247" w14:textId="77777777" w:rsidR="007C0D1B" w:rsidRPr="00A11F8D" w:rsidRDefault="007C0D1B" w:rsidP="00472B02">
            <w:pPr>
              <w:pStyle w:val="TableText"/>
            </w:pPr>
            <w:r w:rsidRPr="00A11F8D">
              <w:t>An organism that harbours a parasite, mutual partner, or commensal partner, typically providing nourishment and shelter.</w:t>
            </w:r>
          </w:p>
        </w:tc>
      </w:tr>
      <w:tr w:rsidR="007C0D1B" w:rsidRPr="00A11F8D" w14:paraId="59809ADA" w14:textId="77777777" w:rsidTr="00472B02">
        <w:tc>
          <w:tcPr>
            <w:tcW w:w="1509" w:type="pct"/>
          </w:tcPr>
          <w:p w14:paraId="280A6224" w14:textId="77777777" w:rsidR="007C0D1B" w:rsidRPr="00A11F8D" w:rsidRDefault="007C0D1B" w:rsidP="00472B02">
            <w:pPr>
              <w:pStyle w:val="TableText"/>
            </w:pPr>
            <w:r w:rsidRPr="00A11F8D">
              <w:lastRenderedPageBreak/>
              <w:t>Host range</w:t>
            </w:r>
          </w:p>
        </w:tc>
        <w:tc>
          <w:tcPr>
            <w:tcW w:w="3491" w:type="pct"/>
          </w:tcPr>
          <w:p w14:paraId="3163B76D" w14:textId="61CF73F7" w:rsidR="007C0D1B" w:rsidRPr="00A11F8D" w:rsidRDefault="007C0D1B" w:rsidP="00472B02">
            <w:pPr>
              <w:pStyle w:val="TableText"/>
            </w:pPr>
            <w:r w:rsidRPr="00A11F8D">
              <w:t xml:space="preserve">Species capable, under natural conditions, of sustaining a specific pest or other organism </w:t>
            </w:r>
            <w:r>
              <w:t xml:space="preserve">(FAO, </w:t>
            </w:r>
            <w:r w:rsidR="009D2A7D">
              <w:t>2019b</w:t>
            </w:r>
            <w:r>
              <w:t>)</w:t>
            </w:r>
            <w:r w:rsidRPr="00A11F8D">
              <w:t>.</w:t>
            </w:r>
          </w:p>
        </w:tc>
      </w:tr>
      <w:tr w:rsidR="007C0D1B" w:rsidRPr="00A11F8D" w14:paraId="2726E59D" w14:textId="77777777" w:rsidTr="00472B02">
        <w:tc>
          <w:tcPr>
            <w:tcW w:w="1509" w:type="pct"/>
          </w:tcPr>
          <w:p w14:paraId="35C17743" w14:textId="77777777" w:rsidR="007C0D1B" w:rsidRPr="00A11F8D" w:rsidRDefault="007C0D1B" w:rsidP="00472B02">
            <w:pPr>
              <w:pStyle w:val="TableText"/>
            </w:pPr>
            <w:r w:rsidRPr="00A11F8D">
              <w:t>Infection</w:t>
            </w:r>
          </w:p>
        </w:tc>
        <w:tc>
          <w:tcPr>
            <w:tcW w:w="3491" w:type="pct"/>
          </w:tcPr>
          <w:p w14:paraId="5A09058D" w14:textId="77777777" w:rsidR="007C0D1B" w:rsidRPr="00A11F8D" w:rsidRDefault="007C0D1B" w:rsidP="00472B02">
            <w:pPr>
              <w:pStyle w:val="TableText"/>
            </w:pPr>
            <w:r w:rsidRPr="00A11F8D">
              <w:t>The internal ‘endophytic’ colonisation of a plant, or plant organ, and is generally associated with the development of disease symptoms as the integrity of cells and/or biological processes are disrupted.</w:t>
            </w:r>
          </w:p>
        </w:tc>
      </w:tr>
      <w:tr w:rsidR="007C0D1B" w:rsidRPr="00A11F8D" w14:paraId="3F328D0E" w14:textId="77777777" w:rsidTr="00472B02">
        <w:tc>
          <w:tcPr>
            <w:tcW w:w="1509" w:type="pct"/>
          </w:tcPr>
          <w:p w14:paraId="1A438763" w14:textId="77777777" w:rsidR="007C0D1B" w:rsidRPr="00A11F8D" w:rsidRDefault="007C0D1B" w:rsidP="00472B02">
            <w:pPr>
              <w:pStyle w:val="TableText"/>
            </w:pPr>
            <w:r w:rsidRPr="00A11F8D">
              <w:t>Infestation (of a commodity)</w:t>
            </w:r>
          </w:p>
        </w:tc>
        <w:tc>
          <w:tcPr>
            <w:tcW w:w="3491" w:type="pct"/>
          </w:tcPr>
          <w:p w14:paraId="2BADA227" w14:textId="26D8A40E" w:rsidR="007C0D1B" w:rsidRPr="00A11F8D" w:rsidRDefault="007C0D1B" w:rsidP="00472B02">
            <w:pPr>
              <w:pStyle w:val="TableText"/>
            </w:pPr>
            <w:r w:rsidRPr="00A11F8D">
              <w:t xml:space="preserve">Presence in a commodity of a living pest of the plant or plant product concerned. Infestation includes infection </w:t>
            </w:r>
            <w:r>
              <w:t xml:space="preserve">(FAO </w:t>
            </w:r>
            <w:r w:rsidR="009D2A7D">
              <w:t>2019b</w:t>
            </w:r>
            <w:r>
              <w:t>)</w:t>
            </w:r>
            <w:r w:rsidRPr="00A11F8D">
              <w:t>.</w:t>
            </w:r>
          </w:p>
        </w:tc>
      </w:tr>
      <w:tr w:rsidR="007C0D1B" w:rsidRPr="00A11F8D" w14:paraId="3B5DEA7B" w14:textId="77777777" w:rsidTr="00472B02">
        <w:tc>
          <w:tcPr>
            <w:tcW w:w="1509" w:type="pct"/>
          </w:tcPr>
          <w:p w14:paraId="115A3897" w14:textId="77777777" w:rsidR="007C0D1B" w:rsidRPr="00A11F8D" w:rsidRDefault="007C0D1B" w:rsidP="00472B02">
            <w:pPr>
              <w:pStyle w:val="TableText"/>
            </w:pPr>
            <w:r w:rsidRPr="00A11F8D">
              <w:t>Inspection</w:t>
            </w:r>
          </w:p>
        </w:tc>
        <w:tc>
          <w:tcPr>
            <w:tcW w:w="3491" w:type="pct"/>
          </w:tcPr>
          <w:p w14:paraId="4D39BEEA" w14:textId="70223888" w:rsidR="007C0D1B" w:rsidRPr="00A11F8D" w:rsidRDefault="007C0D1B" w:rsidP="00472B02">
            <w:pPr>
              <w:pStyle w:val="TableText"/>
            </w:pPr>
            <w:r w:rsidRPr="00A11F8D">
              <w:t xml:space="preserve">Official visual examination of plants, plant products or other regulated articles to determine if pests are present or to determine compliance with phytosanitary regulations </w:t>
            </w:r>
            <w:r>
              <w:t xml:space="preserve">(FAO </w:t>
            </w:r>
            <w:r w:rsidR="009D2A7D">
              <w:t>2019b</w:t>
            </w:r>
            <w:r>
              <w:t>)</w:t>
            </w:r>
            <w:r w:rsidRPr="00A11F8D">
              <w:t>.</w:t>
            </w:r>
          </w:p>
        </w:tc>
      </w:tr>
      <w:tr w:rsidR="007C0D1B" w:rsidRPr="00A11F8D" w14:paraId="79B0D69A" w14:textId="77777777" w:rsidTr="00472B02">
        <w:tc>
          <w:tcPr>
            <w:tcW w:w="1509" w:type="pct"/>
          </w:tcPr>
          <w:p w14:paraId="1CF93180" w14:textId="77777777" w:rsidR="007C0D1B" w:rsidRPr="00A11F8D" w:rsidRDefault="007C0D1B" w:rsidP="00472B02">
            <w:pPr>
              <w:pStyle w:val="TableText"/>
            </w:pPr>
            <w:r w:rsidRPr="00A11F8D">
              <w:t>Interception (of a pest)</w:t>
            </w:r>
          </w:p>
        </w:tc>
        <w:tc>
          <w:tcPr>
            <w:tcW w:w="3491" w:type="pct"/>
          </w:tcPr>
          <w:p w14:paraId="1EECB38C" w14:textId="7FD23392" w:rsidR="007C0D1B" w:rsidRPr="00A11F8D" w:rsidRDefault="007C0D1B" w:rsidP="00472B02">
            <w:pPr>
              <w:pStyle w:val="TableText"/>
            </w:pPr>
            <w:r w:rsidRPr="00A11F8D">
              <w:t xml:space="preserve">The detection of a pest during inspection or testing of an imported consignment </w:t>
            </w:r>
            <w:r>
              <w:t xml:space="preserve">(FAO </w:t>
            </w:r>
            <w:r w:rsidR="009D2A7D">
              <w:t>2019b</w:t>
            </w:r>
            <w:r>
              <w:t>)</w:t>
            </w:r>
            <w:r w:rsidRPr="00A11F8D">
              <w:t>.</w:t>
            </w:r>
          </w:p>
        </w:tc>
      </w:tr>
      <w:tr w:rsidR="007C0D1B" w:rsidRPr="00A11F8D" w14:paraId="7A8ED00C" w14:textId="77777777" w:rsidTr="00472B02">
        <w:tc>
          <w:tcPr>
            <w:tcW w:w="1509" w:type="pct"/>
          </w:tcPr>
          <w:p w14:paraId="1025BC7F" w14:textId="77777777" w:rsidR="007C0D1B" w:rsidRPr="00A11F8D" w:rsidRDefault="007C0D1B" w:rsidP="00472B02">
            <w:pPr>
              <w:pStyle w:val="TableText"/>
            </w:pPr>
            <w:r>
              <w:t>International Plant Protection Convention (IPPC)</w:t>
            </w:r>
          </w:p>
        </w:tc>
        <w:tc>
          <w:tcPr>
            <w:tcW w:w="3491" w:type="pct"/>
          </w:tcPr>
          <w:p w14:paraId="12BD1301" w14:textId="77777777" w:rsidR="007C0D1B" w:rsidRPr="00A11F8D" w:rsidRDefault="007C0D1B" w:rsidP="00472B02">
            <w:pPr>
              <w:pStyle w:val="TableText"/>
            </w:pPr>
            <w:r w:rsidRPr="00FD1510">
              <w:rPr>
                <w:lang w:val="en"/>
              </w:rPr>
              <w:t xml:space="preserve">The IPPC </w:t>
            </w:r>
            <w:r>
              <w:rPr>
                <w:lang w:val="en"/>
              </w:rPr>
              <w:t xml:space="preserve">is an international plant health agreement, established in 1952, that aims to protect cultivated and wild plants by preventing the introduction and spread of pests. The IPPC </w:t>
            </w:r>
            <w:r w:rsidRPr="00FD1510">
              <w:rPr>
                <w:lang w:val="en"/>
              </w:rPr>
              <w:t>provides an international framework for plant protection that includes developing International Standards for Phytosanitary Measures (ISPMs) for safeguarding plant resources.</w:t>
            </w:r>
          </w:p>
        </w:tc>
      </w:tr>
      <w:tr w:rsidR="007C0D1B" w:rsidRPr="00A11F8D" w14:paraId="645A70D4" w14:textId="77777777" w:rsidTr="00472B02">
        <w:tc>
          <w:tcPr>
            <w:tcW w:w="1509" w:type="pct"/>
          </w:tcPr>
          <w:p w14:paraId="53D04F86" w14:textId="77777777" w:rsidR="007C0D1B" w:rsidRPr="00A11F8D" w:rsidRDefault="007C0D1B" w:rsidP="00472B02">
            <w:pPr>
              <w:pStyle w:val="TableText"/>
            </w:pPr>
            <w:r w:rsidRPr="00A11F8D">
              <w:t>International Standard for Phytosanitary Measures (ISPM)</w:t>
            </w:r>
          </w:p>
        </w:tc>
        <w:tc>
          <w:tcPr>
            <w:tcW w:w="3491" w:type="pct"/>
          </w:tcPr>
          <w:p w14:paraId="7987A88F" w14:textId="3E65926C" w:rsidR="007C0D1B" w:rsidRPr="00A11F8D" w:rsidRDefault="007C0D1B" w:rsidP="00472B02">
            <w:pPr>
              <w:pStyle w:val="TableText"/>
            </w:pPr>
            <w:r w:rsidRPr="00A11F8D">
              <w:t>An international standard adopted by the Conference of the Food and Agriculture Organization, the Interim Commission on Phytosanitary Measures or the Commission on Phytosanitary Mea</w:t>
            </w:r>
            <w:r>
              <w:t>sures, established under the IPP</w:t>
            </w:r>
            <w:r w:rsidRPr="00A11F8D">
              <w:t xml:space="preserve">C </w:t>
            </w:r>
            <w:r>
              <w:t xml:space="preserve">(FAO </w:t>
            </w:r>
            <w:r w:rsidR="009D2A7D">
              <w:t>2019b</w:t>
            </w:r>
            <w:r>
              <w:t>)</w:t>
            </w:r>
            <w:r w:rsidRPr="00A11F8D">
              <w:t>.</w:t>
            </w:r>
          </w:p>
        </w:tc>
      </w:tr>
      <w:tr w:rsidR="007C0D1B" w:rsidRPr="00A11F8D" w14:paraId="443AC41E" w14:textId="77777777" w:rsidTr="00472B02">
        <w:tc>
          <w:tcPr>
            <w:tcW w:w="1509" w:type="pct"/>
          </w:tcPr>
          <w:p w14:paraId="7CA77105" w14:textId="77777777" w:rsidR="007C0D1B" w:rsidRPr="00A11F8D" w:rsidRDefault="007C0D1B" w:rsidP="00472B02">
            <w:pPr>
              <w:pStyle w:val="TableText"/>
            </w:pPr>
            <w:r w:rsidRPr="00A11F8D">
              <w:t>Introduction (of a pest)</w:t>
            </w:r>
          </w:p>
        </w:tc>
        <w:tc>
          <w:tcPr>
            <w:tcW w:w="3491" w:type="pct"/>
          </w:tcPr>
          <w:p w14:paraId="3EA7BE42" w14:textId="2E785AAF" w:rsidR="007C0D1B" w:rsidRPr="00A11F8D" w:rsidRDefault="007C0D1B" w:rsidP="00472B02">
            <w:pPr>
              <w:pStyle w:val="TableText"/>
            </w:pPr>
            <w:r w:rsidRPr="00A11F8D">
              <w:t xml:space="preserve">The entry of a pest resulting in its establishment </w:t>
            </w:r>
            <w:r>
              <w:t xml:space="preserve">(FAO </w:t>
            </w:r>
            <w:r w:rsidR="009D2A7D">
              <w:t>2019b</w:t>
            </w:r>
            <w:r>
              <w:t>)</w:t>
            </w:r>
            <w:r w:rsidRPr="00A11F8D">
              <w:t>.</w:t>
            </w:r>
          </w:p>
        </w:tc>
      </w:tr>
      <w:tr w:rsidR="007C0D1B" w:rsidRPr="00A11F8D" w14:paraId="52C2977E" w14:textId="77777777" w:rsidTr="00472B02">
        <w:tc>
          <w:tcPr>
            <w:tcW w:w="1509" w:type="pct"/>
          </w:tcPr>
          <w:p w14:paraId="1D827A15" w14:textId="77777777" w:rsidR="007C0D1B" w:rsidRPr="00A11F8D" w:rsidRDefault="007C0D1B" w:rsidP="00472B02">
            <w:pPr>
              <w:pStyle w:val="TableText"/>
            </w:pPr>
            <w:r w:rsidRPr="00A11F8D">
              <w:t>Larva</w:t>
            </w:r>
          </w:p>
        </w:tc>
        <w:tc>
          <w:tcPr>
            <w:tcW w:w="3491" w:type="pct"/>
          </w:tcPr>
          <w:p w14:paraId="31924089" w14:textId="77777777" w:rsidR="007C0D1B" w:rsidRPr="00A11F8D" w:rsidRDefault="007C0D1B" w:rsidP="00472B02">
            <w:pPr>
              <w:pStyle w:val="TableText"/>
            </w:pPr>
            <w:r w:rsidRPr="00A11F8D">
              <w:t>A juvenile form of animal with indirect development, undergoing metamorphosis (for example, insects or amphibians).</w:t>
            </w:r>
          </w:p>
        </w:tc>
      </w:tr>
      <w:tr w:rsidR="007C0D1B" w:rsidRPr="00A11F8D" w14:paraId="4891F846" w14:textId="77777777" w:rsidTr="00472B02">
        <w:tc>
          <w:tcPr>
            <w:tcW w:w="1509" w:type="pct"/>
          </w:tcPr>
          <w:p w14:paraId="0E3AA0CE" w14:textId="77777777" w:rsidR="007C0D1B" w:rsidRPr="00A11F8D" w:rsidRDefault="007C0D1B" w:rsidP="00472B02">
            <w:pPr>
              <w:pStyle w:val="TableText"/>
            </w:pPr>
            <w:r w:rsidRPr="00A11F8D">
              <w:t>National Plant Protection Organization (NPPO)</w:t>
            </w:r>
          </w:p>
        </w:tc>
        <w:tc>
          <w:tcPr>
            <w:tcW w:w="3491" w:type="pct"/>
          </w:tcPr>
          <w:p w14:paraId="7A37C51E" w14:textId="41EBE6DC" w:rsidR="007C0D1B" w:rsidRPr="00A11F8D" w:rsidRDefault="007C0D1B" w:rsidP="00472B02">
            <w:pPr>
              <w:pStyle w:val="TableText"/>
            </w:pPr>
            <w:r w:rsidRPr="00A11F8D">
              <w:t xml:space="preserve">Official service established by a government to discharge the functions specified by the IPPC </w:t>
            </w:r>
            <w:r>
              <w:t xml:space="preserve">(FAO </w:t>
            </w:r>
            <w:r w:rsidR="009D2A7D">
              <w:t>2019b</w:t>
            </w:r>
            <w:r>
              <w:t>)</w:t>
            </w:r>
            <w:r w:rsidRPr="00A11F8D">
              <w:t>.</w:t>
            </w:r>
          </w:p>
        </w:tc>
      </w:tr>
      <w:tr w:rsidR="007C0D1B" w:rsidRPr="00A11F8D" w14:paraId="3084A585" w14:textId="77777777" w:rsidTr="00472B02">
        <w:tc>
          <w:tcPr>
            <w:tcW w:w="1509" w:type="pct"/>
          </w:tcPr>
          <w:p w14:paraId="22EE7052" w14:textId="77777777" w:rsidR="007C0D1B" w:rsidRPr="00A11F8D" w:rsidRDefault="007C0D1B" w:rsidP="00472B02">
            <w:pPr>
              <w:pStyle w:val="TableText"/>
            </w:pPr>
            <w:r>
              <w:t>Non-regulated risk analysis</w:t>
            </w:r>
          </w:p>
        </w:tc>
        <w:tc>
          <w:tcPr>
            <w:tcW w:w="3491" w:type="pct"/>
          </w:tcPr>
          <w:p w14:paraId="3057B9EE" w14:textId="77777777" w:rsidR="007C0D1B" w:rsidRPr="00A11F8D" w:rsidRDefault="007C0D1B" w:rsidP="00472B02">
            <w:pPr>
              <w:pStyle w:val="TableText"/>
            </w:pPr>
            <w:r>
              <w:t>Refers to the process for conducting a risk analysis that is not regulated under legislation (Biosecurity import risk analysis guidelines 2016).</w:t>
            </w:r>
          </w:p>
        </w:tc>
      </w:tr>
      <w:tr w:rsidR="007C0D1B" w:rsidRPr="00A11F8D" w14:paraId="694D4CA5" w14:textId="77777777" w:rsidTr="00472B02">
        <w:tc>
          <w:tcPr>
            <w:tcW w:w="1509" w:type="pct"/>
          </w:tcPr>
          <w:p w14:paraId="6BCEB2C9" w14:textId="77777777" w:rsidR="007C0D1B" w:rsidRPr="00A11F8D" w:rsidRDefault="007C0D1B" w:rsidP="00472B02">
            <w:pPr>
              <w:pStyle w:val="TableText"/>
            </w:pPr>
            <w:r w:rsidRPr="00A11F8D">
              <w:t>Nymph</w:t>
            </w:r>
          </w:p>
        </w:tc>
        <w:tc>
          <w:tcPr>
            <w:tcW w:w="3491" w:type="pct"/>
          </w:tcPr>
          <w:p w14:paraId="73ADB031" w14:textId="77777777" w:rsidR="007C0D1B" w:rsidRPr="00A11F8D" w:rsidRDefault="007C0D1B" w:rsidP="00472B02">
            <w:pPr>
              <w:pStyle w:val="TableText"/>
            </w:pPr>
            <w:r w:rsidRPr="00A11F8D">
              <w:t>The immature form of some insect species that undergoes incomplete m</w:t>
            </w:r>
            <w:r>
              <w:t>etamorphosis.</w:t>
            </w:r>
            <w:r w:rsidRPr="00A11F8D">
              <w:t xml:space="preserve"> It is not to be confused with larva, as its overall form is already that of the adult.</w:t>
            </w:r>
          </w:p>
        </w:tc>
      </w:tr>
      <w:tr w:rsidR="007C0D1B" w:rsidRPr="00A11F8D" w14:paraId="64854214" w14:textId="77777777" w:rsidTr="00472B02">
        <w:tc>
          <w:tcPr>
            <w:tcW w:w="1509" w:type="pct"/>
          </w:tcPr>
          <w:p w14:paraId="55825817" w14:textId="77777777" w:rsidR="007C0D1B" w:rsidRPr="00A11F8D" w:rsidRDefault="007C0D1B" w:rsidP="00472B02">
            <w:pPr>
              <w:pStyle w:val="TableText"/>
            </w:pPr>
            <w:r w:rsidRPr="00A11F8D">
              <w:t>Pathogen</w:t>
            </w:r>
          </w:p>
        </w:tc>
        <w:tc>
          <w:tcPr>
            <w:tcW w:w="3491" w:type="pct"/>
          </w:tcPr>
          <w:p w14:paraId="047A57C1" w14:textId="77777777" w:rsidR="007C0D1B" w:rsidRPr="00A11F8D" w:rsidRDefault="007C0D1B" w:rsidP="00472B02">
            <w:pPr>
              <w:pStyle w:val="TableText"/>
            </w:pPr>
            <w:r w:rsidRPr="00A11F8D">
              <w:t>A biological agent that can cause disease to its host.</w:t>
            </w:r>
          </w:p>
        </w:tc>
      </w:tr>
      <w:tr w:rsidR="007C0D1B" w:rsidRPr="00A11F8D" w14:paraId="0AD1ACD4" w14:textId="77777777" w:rsidTr="00472B02">
        <w:tc>
          <w:tcPr>
            <w:tcW w:w="1509" w:type="pct"/>
          </w:tcPr>
          <w:p w14:paraId="6744F798" w14:textId="77777777" w:rsidR="007C0D1B" w:rsidRPr="00A11F8D" w:rsidRDefault="007C0D1B" w:rsidP="00472B02">
            <w:pPr>
              <w:pStyle w:val="TableText"/>
            </w:pPr>
            <w:r w:rsidRPr="00A11F8D">
              <w:t>Pathway</w:t>
            </w:r>
          </w:p>
        </w:tc>
        <w:tc>
          <w:tcPr>
            <w:tcW w:w="3491" w:type="pct"/>
          </w:tcPr>
          <w:p w14:paraId="5BDB657F" w14:textId="4F10D409" w:rsidR="007C0D1B" w:rsidRPr="00A11F8D" w:rsidRDefault="007C0D1B" w:rsidP="00472B02">
            <w:pPr>
              <w:pStyle w:val="TableText"/>
            </w:pPr>
            <w:r w:rsidRPr="00A11F8D">
              <w:t xml:space="preserve">Any means that allows the entry or spread of a pest </w:t>
            </w:r>
            <w:r>
              <w:t xml:space="preserve">(FAO </w:t>
            </w:r>
            <w:r w:rsidR="009D2A7D">
              <w:t>2019b</w:t>
            </w:r>
            <w:r>
              <w:t>)</w:t>
            </w:r>
            <w:r w:rsidRPr="00A11F8D">
              <w:t>.</w:t>
            </w:r>
          </w:p>
        </w:tc>
      </w:tr>
      <w:tr w:rsidR="007C0D1B" w:rsidRPr="00A11F8D" w14:paraId="14FE8071" w14:textId="77777777" w:rsidTr="00472B02">
        <w:tc>
          <w:tcPr>
            <w:tcW w:w="1509" w:type="pct"/>
          </w:tcPr>
          <w:p w14:paraId="28E005E0" w14:textId="77777777" w:rsidR="007C0D1B" w:rsidRPr="00A11F8D" w:rsidRDefault="007C0D1B" w:rsidP="00472B02">
            <w:pPr>
              <w:pStyle w:val="TableText"/>
            </w:pPr>
            <w:r w:rsidRPr="00A11F8D">
              <w:t>Pest</w:t>
            </w:r>
          </w:p>
        </w:tc>
        <w:tc>
          <w:tcPr>
            <w:tcW w:w="3491" w:type="pct"/>
          </w:tcPr>
          <w:p w14:paraId="354E3971" w14:textId="36862A5B" w:rsidR="007C0D1B" w:rsidRPr="00A11F8D" w:rsidRDefault="007C0D1B" w:rsidP="00472B02">
            <w:pPr>
              <w:pStyle w:val="TableText"/>
            </w:pPr>
            <w:r w:rsidRPr="00A11F8D">
              <w:t xml:space="preserve">Any species, strain or biotype of plant, animal, or pathogenic agent injurious to plants or plant products </w:t>
            </w:r>
            <w:r>
              <w:t xml:space="preserve">(FAO </w:t>
            </w:r>
            <w:r w:rsidR="009D2A7D">
              <w:t>2019b</w:t>
            </w:r>
            <w:r>
              <w:t>)</w:t>
            </w:r>
            <w:r w:rsidRPr="00A11F8D">
              <w:t>.</w:t>
            </w:r>
          </w:p>
        </w:tc>
      </w:tr>
      <w:tr w:rsidR="007C0D1B" w:rsidRPr="00A11F8D" w14:paraId="748E77F2" w14:textId="77777777" w:rsidTr="00472B02">
        <w:tc>
          <w:tcPr>
            <w:tcW w:w="1509" w:type="pct"/>
          </w:tcPr>
          <w:p w14:paraId="0292211B" w14:textId="77777777" w:rsidR="007C0D1B" w:rsidRPr="00A11F8D" w:rsidRDefault="007C0D1B" w:rsidP="00472B02">
            <w:pPr>
              <w:pStyle w:val="TableText"/>
            </w:pPr>
            <w:r w:rsidRPr="00A11F8D">
              <w:t>Pest free area (PFA)</w:t>
            </w:r>
          </w:p>
        </w:tc>
        <w:tc>
          <w:tcPr>
            <w:tcW w:w="3491" w:type="pct"/>
          </w:tcPr>
          <w:p w14:paraId="3B0CC92C" w14:textId="11F74D1B" w:rsidR="007C0D1B" w:rsidRPr="00A11F8D" w:rsidRDefault="007C0D1B" w:rsidP="00472B02">
            <w:pPr>
              <w:pStyle w:val="TableText"/>
            </w:pPr>
            <w:r w:rsidRPr="00A11F8D">
              <w:t xml:space="preserve">An area in which a specific pest does not occur as demonstrated by scientific evidence and in which, where appropriate, this condition is being officially maintained </w:t>
            </w:r>
            <w:r>
              <w:t xml:space="preserve">(FAO </w:t>
            </w:r>
            <w:r w:rsidR="009D2A7D">
              <w:t>2019b</w:t>
            </w:r>
            <w:r>
              <w:t>)</w:t>
            </w:r>
            <w:r w:rsidRPr="00A11F8D">
              <w:t>.</w:t>
            </w:r>
          </w:p>
        </w:tc>
      </w:tr>
      <w:tr w:rsidR="007C0D1B" w:rsidRPr="00A11F8D" w14:paraId="2D9D1533" w14:textId="77777777" w:rsidTr="00472B02">
        <w:tc>
          <w:tcPr>
            <w:tcW w:w="1509" w:type="pct"/>
          </w:tcPr>
          <w:p w14:paraId="189C8364" w14:textId="77777777" w:rsidR="007C0D1B" w:rsidRPr="00A11F8D" w:rsidRDefault="007C0D1B" w:rsidP="00472B02">
            <w:pPr>
              <w:pStyle w:val="TableText"/>
            </w:pPr>
            <w:r w:rsidRPr="00A11F8D">
              <w:t>Pest risk analysis (PRA)</w:t>
            </w:r>
          </w:p>
        </w:tc>
        <w:tc>
          <w:tcPr>
            <w:tcW w:w="3491" w:type="pct"/>
          </w:tcPr>
          <w:p w14:paraId="47694C33" w14:textId="0D694742" w:rsidR="007C0D1B" w:rsidRPr="00A11F8D" w:rsidRDefault="007C0D1B" w:rsidP="00472B02">
            <w:pPr>
              <w:pStyle w:val="TableText"/>
            </w:pPr>
            <w:r w:rsidRPr="00A11F8D">
              <w:t xml:space="preserve">The process of evaluating biological or other scientific and economic evidence to determine whether an organism is a pest, whether it should be regulated, and the strength of any phytosanitary measures to be taken against it </w:t>
            </w:r>
            <w:r>
              <w:t xml:space="preserve">(FAO </w:t>
            </w:r>
            <w:r w:rsidR="009D2A7D">
              <w:t>2019b</w:t>
            </w:r>
            <w:r>
              <w:t>)</w:t>
            </w:r>
            <w:r w:rsidRPr="00A11F8D">
              <w:t>.</w:t>
            </w:r>
          </w:p>
        </w:tc>
      </w:tr>
      <w:tr w:rsidR="007C0D1B" w:rsidRPr="00A11F8D" w14:paraId="36C09172" w14:textId="77777777" w:rsidTr="00472B02">
        <w:tc>
          <w:tcPr>
            <w:tcW w:w="1509" w:type="pct"/>
          </w:tcPr>
          <w:p w14:paraId="7E4302BE" w14:textId="77777777" w:rsidR="007C0D1B" w:rsidRPr="00A11F8D" w:rsidRDefault="007C0D1B" w:rsidP="00472B02">
            <w:pPr>
              <w:pStyle w:val="TableText"/>
            </w:pPr>
            <w:r w:rsidRPr="00A11F8D">
              <w:t>Pest risk assessment (for quarantine pests)</w:t>
            </w:r>
          </w:p>
        </w:tc>
        <w:tc>
          <w:tcPr>
            <w:tcW w:w="3491" w:type="pct"/>
          </w:tcPr>
          <w:p w14:paraId="6BCD1C38" w14:textId="05E2388D" w:rsidR="007C0D1B" w:rsidRPr="00A11F8D" w:rsidRDefault="007C0D1B" w:rsidP="00472B02">
            <w:pPr>
              <w:pStyle w:val="TableText"/>
            </w:pPr>
            <w:r w:rsidRPr="00A11F8D">
              <w:t xml:space="preserve">Evaluation of the probability of the introduction and spread of a pest and of the magnitude of the associated potential economic consequences </w:t>
            </w:r>
            <w:r>
              <w:t xml:space="preserve">(FAO </w:t>
            </w:r>
            <w:r w:rsidR="009D2A7D">
              <w:t>2019b</w:t>
            </w:r>
            <w:r>
              <w:t>)</w:t>
            </w:r>
            <w:r w:rsidRPr="00A11F8D">
              <w:t>.</w:t>
            </w:r>
          </w:p>
        </w:tc>
      </w:tr>
      <w:tr w:rsidR="007C0D1B" w:rsidRPr="00A11F8D" w14:paraId="221B9AA9" w14:textId="77777777" w:rsidTr="00472B02">
        <w:tc>
          <w:tcPr>
            <w:tcW w:w="1509" w:type="pct"/>
          </w:tcPr>
          <w:p w14:paraId="14989B0F" w14:textId="77777777" w:rsidR="007C0D1B" w:rsidRPr="00A11F8D" w:rsidRDefault="007C0D1B" w:rsidP="00472B02">
            <w:pPr>
              <w:pStyle w:val="TableText"/>
            </w:pPr>
            <w:r w:rsidRPr="00A11F8D">
              <w:t>Pest risk assessment (for regulated non-quarantine pests)</w:t>
            </w:r>
          </w:p>
        </w:tc>
        <w:tc>
          <w:tcPr>
            <w:tcW w:w="3491" w:type="pct"/>
          </w:tcPr>
          <w:p w14:paraId="3D813D5B" w14:textId="6552C709" w:rsidR="007C0D1B" w:rsidRPr="00A11F8D" w:rsidRDefault="007C0D1B" w:rsidP="00472B02">
            <w:pPr>
              <w:pStyle w:val="TableText"/>
            </w:pPr>
            <w:r w:rsidRPr="00A11F8D">
              <w:t>Evaluation of the probability that a pest in pla</w:t>
            </w:r>
            <w:r>
              <w:t>nts for planting affects the intend</w:t>
            </w:r>
            <w:r w:rsidRPr="00A11F8D">
              <w:t xml:space="preserve">ed use of those plants with an economically unacceptable impact </w:t>
            </w:r>
            <w:r>
              <w:t xml:space="preserve">(FAO </w:t>
            </w:r>
            <w:r w:rsidR="009D2A7D">
              <w:t>2019b</w:t>
            </w:r>
            <w:r>
              <w:t>)</w:t>
            </w:r>
            <w:r w:rsidRPr="00A11F8D">
              <w:t>.</w:t>
            </w:r>
          </w:p>
        </w:tc>
      </w:tr>
      <w:tr w:rsidR="007C0D1B" w:rsidRPr="00A11F8D" w14:paraId="302E2AAE" w14:textId="77777777" w:rsidTr="00472B02">
        <w:tc>
          <w:tcPr>
            <w:tcW w:w="1509" w:type="pct"/>
          </w:tcPr>
          <w:p w14:paraId="18090DA1" w14:textId="77777777" w:rsidR="007C0D1B" w:rsidRPr="00A11F8D" w:rsidRDefault="007C0D1B" w:rsidP="00472B02">
            <w:pPr>
              <w:pStyle w:val="TableText"/>
            </w:pPr>
            <w:r w:rsidRPr="00A11F8D">
              <w:t>Pest risk management (for quarantine pests)</w:t>
            </w:r>
          </w:p>
        </w:tc>
        <w:tc>
          <w:tcPr>
            <w:tcW w:w="3491" w:type="pct"/>
          </w:tcPr>
          <w:p w14:paraId="2E5C90DD" w14:textId="30279929" w:rsidR="007C0D1B" w:rsidRPr="00A11F8D" w:rsidRDefault="007C0D1B" w:rsidP="00472B02">
            <w:pPr>
              <w:pStyle w:val="TableText"/>
            </w:pPr>
            <w:r w:rsidRPr="00A11F8D">
              <w:t xml:space="preserve">Evaluation and selection of options to reduce the risk of introduction and spread of a pest </w:t>
            </w:r>
            <w:r>
              <w:t xml:space="preserve">(FAO </w:t>
            </w:r>
            <w:r w:rsidR="009D2A7D">
              <w:t>2019b</w:t>
            </w:r>
            <w:r>
              <w:t>)</w:t>
            </w:r>
            <w:r w:rsidRPr="00A11F8D">
              <w:t>.</w:t>
            </w:r>
          </w:p>
        </w:tc>
      </w:tr>
      <w:tr w:rsidR="007C0D1B" w:rsidRPr="00A11F8D" w14:paraId="51A6848A" w14:textId="77777777" w:rsidTr="00472B02">
        <w:tc>
          <w:tcPr>
            <w:tcW w:w="1509" w:type="pct"/>
          </w:tcPr>
          <w:p w14:paraId="7628181E" w14:textId="77777777" w:rsidR="007C0D1B" w:rsidRPr="00A11F8D" w:rsidRDefault="007C0D1B" w:rsidP="00472B02">
            <w:pPr>
              <w:pStyle w:val="TableText"/>
            </w:pPr>
            <w:r w:rsidRPr="00A11F8D">
              <w:t>Pest risk management (for regulated non-quarantine pests)</w:t>
            </w:r>
          </w:p>
        </w:tc>
        <w:tc>
          <w:tcPr>
            <w:tcW w:w="3491" w:type="pct"/>
          </w:tcPr>
          <w:p w14:paraId="7B323EF7" w14:textId="758FFC4D" w:rsidR="007C0D1B" w:rsidRPr="00A11F8D" w:rsidRDefault="007C0D1B" w:rsidP="00472B02">
            <w:pPr>
              <w:pStyle w:val="TableText"/>
            </w:pPr>
            <w:r w:rsidRPr="00A11F8D">
              <w:t xml:space="preserve">Evaluation and selection of options to reduce the risk that a pest in plants for planting causes an economically unacceptable impact on the intended use of those plants </w:t>
            </w:r>
            <w:r>
              <w:t xml:space="preserve">(FAO </w:t>
            </w:r>
            <w:r w:rsidR="009D2A7D">
              <w:t>2019b</w:t>
            </w:r>
            <w:r>
              <w:t>)</w:t>
            </w:r>
            <w:r w:rsidRPr="00A11F8D">
              <w:t>.</w:t>
            </w:r>
          </w:p>
        </w:tc>
      </w:tr>
      <w:tr w:rsidR="007C0D1B" w:rsidRPr="00A11F8D" w14:paraId="6EFD80B5" w14:textId="77777777" w:rsidTr="00472B02">
        <w:tc>
          <w:tcPr>
            <w:tcW w:w="1509" w:type="pct"/>
          </w:tcPr>
          <w:p w14:paraId="7C3770E1" w14:textId="77777777" w:rsidR="007C0D1B" w:rsidRPr="00A11F8D" w:rsidRDefault="007C0D1B" w:rsidP="00472B02">
            <w:pPr>
              <w:pStyle w:val="TableText"/>
            </w:pPr>
            <w:r w:rsidRPr="00A11F8D">
              <w:lastRenderedPageBreak/>
              <w:t>Pest status (in an area)</w:t>
            </w:r>
          </w:p>
        </w:tc>
        <w:tc>
          <w:tcPr>
            <w:tcW w:w="3491" w:type="pct"/>
          </w:tcPr>
          <w:p w14:paraId="75F26444" w14:textId="3561DBCE" w:rsidR="007C0D1B" w:rsidRPr="00A11F8D" w:rsidRDefault="007C0D1B" w:rsidP="00472B02">
            <w:pPr>
              <w:pStyle w:val="TableText"/>
            </w:pPr>
            <w:r w:rsidRPr="00A11F8D">
              <w:t xml:space="preserve">Presence or absence, at the present time, of a pest in an area, including where appropriate its distribution, as officially determined using expert judgement on the basis of current and historical pest records and other information </w:t>
            </w:r>
            <w:r>
              <w:t xml:space="preserve">(FAO </w:t>
            </w:r>
            <w:r w:rsidR="009D2A7D">
              <w:t>2019b</w:t>
            </w:r>
            <w:r>
              <w:t>)</w:t>
            </w:r>
            <w:r w:rsidRPr="00A11F8D">
              <w:t>.</w:t>
            </w:r>
          </w:p>
        </w:tc>
      </w:tr>
      <w:tr w:rsidR="007C0D1B" w:rsidRPr="00A11F8D" w14:paraId="31C5D28A" w14:textId="77777777" w:rsidTr="00472B02">
        <w:tc>
          <w:tcPr>
            <w:tcW w:w="1509" w:type="pct"/>
          </w:tcPr>
          <w:p w14:paraId="0E3F9146" w14:textId="77777777" w:rsidR="007C0D1B" w:rsidRPr="00A11F8D" w:rsidRDefault="007C0D1B" w:rsidP="00472B02">
            <w:pPr>
              <w:pStyle w:val="TableText"/>
            </w:pPr>
            <w:r w:rsidRPr="00A11F8D">
              <w:t>Phytosanitary certificate</w:t>
            </w:r>
          </w:p>
        </w:tc>
        <w:tc>
          <w:tcPr>
            <w:tcW w:w="3491" w:type="pct"/>
          </w:tcPr>
          <w:p w14:paraId="37B4E519" w14:textId="025006E1" w:rsidR="007C0D1B" w:rsidRPr="00A11F8D" w:rsidRDefault="007C0D1B" w:rsidP="00472B02">
            <w:pPr>
              <w:pStyle w:val="TableText"/>
            </w:pPr>
            <w:r w:rsidRPr="00A11F8D">
              <w:t xml:space="preserve">An official paper document or its official electronic equivalent, consistent with the model of certificates of the IPPC, attesting that a consignment meets phytosanitary import requirements </w:t>
            </w:r>
            <w:r>
              <w:t xml:space="preserve">(FAO </w:t>
            </w:r>
            <w:r w:rsidR="009D2A7D">
              <w:t>2019b</w:t>
            </w:r>
            <w:r>
              <w:t>)</w:t>
            </w:r>
            <w:r w:rsidRPr="00A11F8D">
              <w:t>.</w:t>
            </w:r>
          </w:p>
        </w:tc>
      </w:tr>
      <w:tr w:rsidR="007C0D1B" w:rsidRPr="00A11F8D" w14:paraId="4D969487" w14:textId="77777777" w:rsidTr="00472B02">
        <w:tc>
          <w:tcPr>
            <w:tcW w:w="1509" w:type="pct"/>
          </w:tcPr>
          <w:p w14:paraId="0D2AC58A" w14:textId="77777777" w:rsidR="007C0D1B" w:rsidRPr="00A11F8D" w:rsidRDefault="007C0D1B" w:rsidP="00472B02">
            <w:pPr>
              <w:pStyle w:val="TableText"/>
            </w:pPr>
            <w:r w:rsidRPr="00A11F8D">
              <w:t>Phytosanitary certification</w:t>
            </w:r>
          </w:p>
        </w:tc>
        <w:tc>
          <w:tcPr>
            <w:tcW w:w="3491" w:type="pct"/>
          </w:tcPr>
          <w:p w14:paraId="3CE8E499" w14:textId="403BABF4" w:rsidR="007C0D1B" w:rsidRPr="00A11F8D" w:rsidRDefault="007C0D1B" w:rsidP="00472B02">
            <w:pPr>
              <w:pStyle w:val="TableText"/>
            </w:pPr>
            <w:r w:rsidRPr="00A11F8D">
              <w:t xml:space="preserve">Use of phytosanitary procedures leading to the issue of a phytosanitary certificate </w:t>
            </w:r>
            <w:r>
              <w:t xml:space="preserve">(FAO </w:t>
            </w:r>
            <w:r w:rsidR="009D2A7D">
              <w:t>2019b</w:t>
            </w:r>
            <w:r>
              <w:t>)</w:t>
            </w:r>
            <w:r w:rsidRPr="00A11F8D">
              <w:t>.</w:t>
            </w:r>
          </w:p>
        </w:tc>
      </w:tr>
      <w:tr w:rsidR="007C0D1B" w:rsidRPr="00A11F8D" w14:paraId="7E21D20D" w14:textId="77777777" w:rsidTr="00472B02">
        <w:tc>
          <w:tcPr>
            <w:tcW w:w="1509" w:type="pct"/>
          </w:tcPr>
          <w:p w14:paraId="24CCDBCE" w14:textId="77777777" w:rsidR="007C0D1B" w:rsidRPr="00A11F8D" w:rsidRDefault="007C0D1B" w:rsidP="00472B02">
            <w:pPr>
              <w:pStyle w:val="TableText"/>
            </w:pPr>
            <w:r w:rsidRPr="00A11F8D">
              <w:t>Phytosanitary measure</w:t>
            </w:r>
          </w:p>
        </w:tc>
        <w:tc>
          <w:tcPr>
            <w:tcW w:w="3491" w:type="pct"/>
          </w:tcPr>
          <w:p w14:paraId="621942BA" w14:textId="634E80B3" w:rsidR="007C0D1B" w:rsidRPr="00A11F8D" w:rsidRDefault="007C0D1B" w:rsidP="00472B02">
            <w:pPr>
              <w:pStyle w:val="TableText"/>
            </w:pPr>
            <w:r>
              <w:t xml:space="preserve">Phytosanitary relates to the health of plants. </w:t>
            </w:r>
            <w:r w:rsidRPr="00A11F8D">
              <w:t xml:space="preserve">Any legislation, regulation or official procedure having the purpose to prevent the introduction and/or spread of quarantine pests, or to limit the economic impact of regulated non-quarantine pests </w:t>
            </w:r>
            <w:r>
              <w:t xml:space="preserve">(FAO </w:t>
            </w:r>
            <w:r w:rsidR="009D2A7D">
              <w:t>2019b</w:t>
            </w:r>
            <w:r>
              <w:t>)</w:t>
            </w:r>
            <w:r w:rsidRPr="00A11F8D">
              <w:t>.</w:t>
            </w:r>
            <w:r>
              <w:t xml:space="preserve"> In this risk analysis the term ‘phytosanitary measure’ and ‘risk management measure’ may be used interchangeably. </w:t>
            </w:r>
          </w:p>
        </w:tc>
      </w:tr>
      <w:tr w:rsidR="007C0D1B" w:rsidRPr="00A11F8D" w14:paraId="3179C787" w14:textId="77777777" w:rsidTr="00472B02">
        <w:tc>
          <w:tcPr>
            <w:tcW w:w="1509" w:type="pct"/>
          </w:tcPr>
          <w:p w14:paraId="72843FEB" w14:textId="77777777" w:rsidR="007C0D1B" w:rsidRPr="00A11F8D" w:rsidRDefault="007C0D1B" w:rsidP="00472B02">
            <w:pPr>
              <w:pStyle w:val="TableText"/>
            </w:pPr>
            <w:r w:rsidRPr="00A11F8D">
              <w:t>Phytosanitary procedure</w:t>
            </w:r>
          </w:p>
        </w:tc>
        <w:tc>
          <w:tcPr>
            <w:tcW w:w="3491" w:type="pct"/>
          </w:tcPr>
          <w:p w14:paraId="56951CAC" w14:textId="49F44A4D" w:rsidR="007C0D1B" w:rsidRPr="00A11F8D" w:rsidRDefault="007C0D1B" w:rsidP="00472B02">
            <w:pPr>
              <w:pStyle w:val="TableText"/>
            </w:pPr>
            <w:r w:rsidRPr="00A11F8D">
              <w:t xml:space="preserve">Any official method for implementing phytosanitary measures including the performance of inspections, tests, surveillance or treatments in connection with regulated pests </w:t>
            </w:r>
            <w:r>
              <w:t xml:space="preserve">(FAO </w:t>
            </w:r>
            <w:r w:rsidR="009D2A7D">
              <w:t>2019b</w:t>
            </w:r>
            <w:r>
              <w:t>)</w:t>
            </w:r>
            <w:r w:rsidRPr="00A11F8D">
              <w:t>.</w:t>
            </w:r>
          </w:p>
        </w:tc>
      </w:tr>
      <w:tr w:rsidR="007C0D1B" w:rsidRPr="00A11F8D" w14:paraId="6E84043E" w14:textId="77777777" w:rsidTr="00472B02">
        <w:tc>
          <w:tcPr>
            <w:tcW w:w="1509" w:type="pct"/>
          </w:tcPr>
          <w:p w14:paraId="27E8661A" w14:textId="77777777" w:rsidR="007C0D1B" w:rsidRPr="00A11F8D" w:rsidRDefault="007C0D1B" w:rsidP="00472B02">
            <w:pPr>
              <w:pStyle w:val="TableText"/>
            </w:pPr>
            <w:r w:rsidRPr="00A11F8D">
              <w:t>Phytosanitary regulation</w:t>
            </w:r>
          </w:p>
        </w:tc>
        <w:tc>
          <w:tcPr>
            <w:tcW w:w="3491" w:type="pct"/>
          </w:tcPr>
          <w:p w14:paraId="19A1C80B" w14:textId="350CF882" w:rsidR="007C0D1B" w:rsidRPr="00A11F8D" w:rsidRDefault="007C0D1B" w:rsidP="00472B02">
            <w:pPr>
              <w:pStyle w:val="TableText"/>
            </w:pPr>
            <w:r w:rsidRPr="00A11F8D">
              <w:t xml:space="preserve">Official rule to prevent the introduction and/or spread of quarantine pests, or to limit the economic impact of regulated non-quarantine pests, including establishment of procedures for phytosanitary certification </w:t>
            </w:r>
            <w:r>
              <w:t xml:space="preserve">(FAO </w:t>
            </w:r>
            <w:r w:rsidR="009D2A7D">
              <w:t>2019b</w:t>
            </w:r>
            <w:r>
              <w:t>)</w:t>
            </w:r>
            <w:r w:rsidRPr="00A11F8D">
              <w:t>.</w:t>
            </w:r>
          </w:p>
        </w:tc>
      </w:tr>
      <w:tr w:rsidR="007C0D1B" w:rsidRPr="00A11F8D" w14:paraId="7CAD4255" w14:textId="77777777" w:rsidTr="00472B02">
        <w:tc>
          <w:tcPr>
            <w:tcW w:w="1509" w:type="pct"/>
          </w:tcPr>
          <w:p w14:paraId="59A3ABD8" w14:textId="77777777" w:rsidR="007C0D1B" w:rsidRPr="00A11F8D" w:rsidRDefault="007C0D1B" w:rsidP="00472B02">
            <w:pPr>
              <w:pStyle w:val="TableText"/>
            </w:pPr>
            <w:r w:rsidRPr="00A11F8D">
              <w:t>Polyphagous</w:t>
            </w:r>
          </w:p>
        </w:tc>
        <w:tc>
          <w:tcPr>
            <w:tcW w:w="3491" w:type="pct"/>
          </w:tcPr>
          <w:p w14:paraId="770457E7" w14:textId="77777777" w:rsidR="007C0D1B" w:rsidRPr="00A11F8D" w:rsidRDefault="007C0D1B" w:rsidP="00472B02">
            <w:pPr>
              <w:pStyle w:val="TableText"/>
            </w:pPr>
            <w:r w:rsidRPr="00A11F8D">
              <w:t>Feeding on a relatively large number of hosts from different plant family and/or genera.</w:t>
            </w:r>
          </w:p>
        </w:tc>
      </w:tr>
      <w:tr w:rsidR="007C0D1B" w:rsidRPr="00A11F8D" w14:paraId="14F6CDCD" w14:textId="77777777" w:rsidTr="00472B02">
        <w:tc>
          <w:tcPr>
            <w:tcW w:w="1509" w:type="pct"/>
          </w:tcPr>
          <w:p w14:paraId="1DD6BC2E" w14:textId="77777777" w:rsidR="007C0D1B" w:rsidRPr="00A11F8D" w:rsidRDefault="007C0D1B" w:rsidP="00472B02">
            <w:pPr>
              <w:pStyle w:val="TableText"/>
            </w:pPr>
            <w:r w:rsidRPr="00A11F8D">
              <w:t>Practically free</w:t>
            </w:r>
          </w:p>
        </w:tc>
        <w:tc>
          <w:tcPr>
            <w:tcW w:w="3491" w:type="pct"/>
          </w:tcPr>
          <w:p w14:paraId="51FDE995" w14:textId="045CBABB" w:rsidR="007C0D1B" w:rsidRPr="00A11F8D" w:rsidRDefault="007C0D1B" w:rsidP="00472B02">
            <w:pPr>
              <w:pStyle w:val="TableText"/>
            </w:pPr>
            <w:r w:rsidRPr="00A11F8D">
              <w:t xml:space="preserve">Of a consignment, field or place of production, without pests (or a specific pests) in numbers or quantities in excess of those that can be expected to result from, and be consistent with good cultural and handling practices employed in the production and marketing of the commodity </w:t>
            </w:r>
            <w:r>
              <w:t xml:space="preserve">(FAO </w:t>
            </w:r>
            <w:r w:rsidR="009D2A7D">
              <w:t>2019b</w:t>
            </w:r>
            <w:r>
              <w:t>)</w:t>
            </w:r>
            <w:r w:rsidRPr="00A11F8D">
              <w:t>.</w:t>
            </w:r>
          </w:p>
        </w:tc>
      </w:tr>
      <w:tr w:rsidR="007C0D1B" w:rsidRPr="00A11F8D" w14:paraId="32A77C74" w14:textId="77777777" w:rsidTr="00472B02">
        <w:tc>
          <w:tcPr>
            <w:tcW w:w="1509" w:type="pct"/>
          </w:tcPr>
          <w:p w14:paraId="5B41EEB0" w14:textId="77777777" w:rsidR="007C0D1B" w:rsidRPr="00A11F8D" w:rsidRDefault="007C0D1B" w:rsidP="00472B02">
            <w:pPr>
              <w:pStyle w:val="TableText"/>
            </w:pPr>
            <w:r w:rsidRPr="00A11F8D">
              <w:t>Pupa</w:t>
            </w:r>
          </w:p>
        </w:tc>
        <w:tc>
          <w:tcPr>
            <w:tcW w:w="3491" w:type="pct"/>
          </w:tcPr>
          <w:p w14:paraId="0B6EBF24" w14:textId="77777777" w:rsidR="007C0D1B" w:rsidRPr="00A11F8D" w:rsidRDefault="007C0D1B" w:rsidP="00472B02">
            <w:pPr>
              <w:pStyle w:val="TableText"/>
            </w:pPr>
            <w:r w:rsidRPr="00A11F8D">
              <w:t>An inactive life stage that only occurs in insects that undergo complete metamorphosis, for example butterflies and moths (Lepidoptera), beetles (Coleoptera) and bees, wasps and ants (Hymenoptera).</w:t>
            </w:r>
          </w:p>
        </w:tc>
      </w:tr>
      <w:tr w:rsidR="007C0D1B" w:rsidRPr="00A11F8D" w14:paraId="519757CE" w14:textId="77777777" w:rsidTr="00472B02">
        <w:tc>
          <w:tcPr>
            <w:tcW w:w="1509" w:type="pct"/>
          </w:tcPr>
          <w:p w14:paraId="5E5E46B4" w14:textId="77777777" w:rsidR="007C0D1B" w:rsidRPr="00A11F8D" w:rsidRDefault="007C0D1B" w:rsidP="00472B02">
            <w:pPr>
              <w:pStyle w:val="TableText"/>
            </w:pPr>
            <w:r w:rsidRPr="00A11F8D">
              <w:t>Quarantine</w:t>
            </w:r>
          </w:p>
        </w:tc>
        <w:tc>
          <w:tcPr>
            <w:tcW w:w="3491" w:type="pct"/>
          </w:tcPr>
          <w:p w14:paraId="61CB5C0D" w14:textId="2DB43EDA" w:rsidR="007C0D1B" w:rsidRPr="00A11F8D" w:rsidRDefault="007C0D1B" w:rsidP="00472B02">
            <w:pPr>
              <w:pStyle w:val="TableText"/>
            </w:pPr>
            <w:r w:rsidRPr="00A11F8D">
              <w:t xml:space="preserve">Official confinement of regulated articles for observation and research or for further inspection, testing or treatment </w:t>
            </w:r>
            <w:r>
              <w:t xml:space="preserve">(FAO </w:t>
            </w:r>
            <w:r w:rsidR="009D2A7D">
              <w:t>2019b</w:t>
            </w:r>
            <w:r>
              <w:t>)</w:t>
            </w:r>
            <w:r w:rsidRPr="00A11F8D">
              <w:t>.</w:t>
            </w:r>
          </w:p>
        </w:tc>
      </w:tr>
      <w:tr w:rsidR="007C0D1B" w:rsidRPr="00A11F8D" w14:paraId="50507AF7" w14:textId="77777777" w:rsidTr="00472B02">
        <w:tc>
          <w:tcPr>
            <w:tcW w:w="1509" w:type="pct"/>
          </w:tcPr>
          <w:p w14:paraId="3610680E" w14:textId="77777777" w:rsidR="007C0D1B" w:rsidRPr="00A11F8D" w:rsidRDefault="007C0D1B" w:rsidP="00472B02">
            <w:pPr>
              <w:pStyle w:val="TableText"/>
            </w:pPr>
            <w:r w:rsidRPr="00A11F8D">
              <w:t>Quarantine pest</w:t>
            </w:r>
          </w:p>
        </w:tc>
        <w:tc>
          <w:tcPr>
            <w:tcW w:w="3491" w:type="pct"/>
          </w:tcPr>
          <w:p w14:paraId="2E74C258" w14:textId="6F1F524A" w:rsidR="007C0D1B" w:rsidRPr="00A11F8D" w:rsidRDefault="007C0D1B" w:rsidP="00472B02">
            <w:pPr>
              <w:pStyle w:val="TableText"/>
            </w:pPr>
            <w:r w:rsidRPr="00A11F8D">
              <w:t xml:space="preserve">A pest of potential economic importance to the area endangered thereby and not yet present there, or present but not widely distributed and being officially controlled </w:t>
            </w:r>
            <w:r>
              <w:t xml:space="preserve">(FAO </w:t>
            </w:r>
            <w:r w:rsidR="009D2A7D">
              <w:t>2019b</w:t>
            </w:r>
            <w:r>
              <w:t>)</w:t>
            </w:r>
            <w:r w:rsidRPr="00A11F8D">
              <w:t>.</w:t>
            </w:r>
          </w:p>
        </w:tc>
      </w:tr>
      <w:tr w:rsidR="007C0D1B" w:rsidRPr="00A11F8D" w14:paraId="21298EB8" w14:textId="77777777" w:rsidTr="00472B02">
        <w:tc>
          <w:tcPr>
            <w:tcW w:w="1509" w:type="pct"/>
          </w:tcPr>
          <w:p w14:paraId="3A8A3D22" w14:textId="77777777" w:rsidR="007C0D1B" w:rsidRPr="00A11F8D" w:rsidRDefault="007C0D1B" w:rsidP="00472B02">
            <w:pPr>
              <w:pStyle w:val="TableText"/>
            </w:pPr>
            <w:r w:rsidRPr="00A11F8D">
              <w:t>Regulated article</w:t>
            </w:r>
          </w:p>
        </w:tc>
        <w:tc>
          <w:tcPr>
            <w:tcW w:w="3491" w:type="pct"/>
          </w:tcPr>
          <w:p w14:paraId="64580E4D" w14:textId="10877B55" w:rsidR="007C0D1B" w:rsidRPr="00A11F8D" w:rsidRDefault="007C0D1B" w:rsidP="00472B02">
            <w:pPr>
              <w:pStyle w:val="TableText"/>
            </w:pPr>
            <w:r w:rsidRPr="00A11F8D">
              <w:t xml:space="preserve">Any plant, plant product, storage place, packaging, conveyance, container, soil and any other organism, object or material capable of harbouring or spreading pests, deemed to require phytosanitary measures, particularly where international transportation is involved </w:t>
            </w:r>
            <w:r>
              <w:t xml:space="preserve">(FAO </w:t>
            </w:r>
            <w:r w:rsidR="009D2A7D">
              <w:t>2019b</w:t>
            </w:r>
            <w:r>
              <w:t>)</w:t>
            </w:r>
            <w:r w:rsidRPr="00A11F8D">
              <w:t>.</w:t>
            </w:r>
          </w:p>
        </w:tc>
      </w:tr>
      <w:tr w:rsidR="007C0D1B" w:rsidRPr="00A11F8D" w14:paraId="21C2853D" w14:textId="77777777" w:rsidTr="00472B02">
        <w:tc>
          <w:tcPr>
            <w:tcW w:w="1509" w:type="pct"/>
          </w:tcPr>
          <w:p w14:paraId="5254EE27" w14:textId="77777777" w:rsidR="007C0D1B" w:rsidRPr="00A11F8D" w:rsidRDefault="007C0D1B" w:rsidP="00472B02">
            <w:pPr>
              <w:pStyle w:val="TableText"/>
            </w:pPr>
            <w:r w:rsidRPr="00A11F8D">
              <w:t>Regulated non-quarantine pest</w:t>
            </w:r>
          </w:p>
        </w:tc>
        <w:tc>
          <w:tcPr>
            <w:tcW w:w="3491" w:type="pct"/>
          </w:tcPr>
          <w:p w14:paraId="1F4128AF" w14:textId="008847D4" w:rsidR="007C0D1B" w:rsidRPr="00A11F8D" w:rsidRDefault="007C0D1B" w:rsidP="00472B02">
            <w:pPr>
              <w:pStyle w:val="TableText"/>
            </w:pPr>
            <w:r w:rsidRPr="00A11F8D">
              <w:t xml:space="preserve">A non-quarantine pest whose presence in plants for planting affects the intended use of those plants with an economically unacceptable impact and which is therefore regulated within the territory of the importing contracting party </w:t>
            </w:r>
            <w:r>
              <w:t xml:space="preserve">(FAO </w:t>
            </w:r>
            <w:r w:rsidR="009D2A7D">
              <w:t>2019b</w:t>
            </w:r>
            <w:r>
              <w:t>)</w:t>
            </w:r>
            <w:r w:rsidRPr="00A11F8D">
              <w:t>.</w:t>
            </w:r>
          </w:p>
        </w:tc>
      </w:tr>
      <w:tr w:rsidR="007C0D1B" w:rsidRPr="00A11F8D" w14:paraId="488658A7" w14:textId="77777777" w:rsidTr="00472B02">
        <w:tc>
          <w:tcPr>
            <w:tcW w:w="1509" w:type="pct"/>
          </w:tcPr>
          <w:p w14:paraId="3E7E2976" w14:textId="77777777" w:rsidR="007C0D1B" w:rsidRPr="00A11F8D" w:rsidRDefault="007C0D1B" w:rsidP="00472B02">
            <w:pPr>
              <w:pStyle w:val="TableText"/>
            </w:pPr>
            <w:r w:rsidRPr="00A11F8D">
              <w:t>Regulated pest</w:t>
            </w:r>
          </w:p>
        </w:tc>
        <w:tc>
          <w:tcPr>
            <w:tcW w:w="3491" w:type="pct"/>
          </w:tcPr>
          <w:p w14:paraId="09096578" w14:textId="13377952" w:rsidR="007C0D1B" w:rsidRPr="00A11F8D" w:rsidRDefault="007C0D1B" w:rsidP="00472B02">
            <w:pPr>
              <w:pStyle w:val="TableText"/>
            </w:pPr>
            <w:r w:rsidRPr="00A11F8D">
              <w:t xml:space="preserve">A quarantine pest or a regulated non-quarantine pest </w:t>
            </w:r>
            <w:r>
              <w:t xml:space="preserve">(FAO </w:t>
            </w:r>
            <w:r w:rsidR="009D2A7D">
              <w:t>2019b</w:t>
            </w:r>
            <w:r>
              <w:t>)</w:t>
            </w:r>
            <w:r w:rsidRPr="00A11F8D">
              <w:t>.</w:t>
            </w:r>
          </w:p>
        </w:tc>
      </w:tr>
      <w:tr w:rsidR="007C0D1B" w:rsidRPr="00A11F8D" w14:paraId="7C2E27E0" w14:textId="77777777" w:rsidTr="00472B02">
        <w:tc>
          <w:tcPr>
            <w:tcW w:w="1509" w:type="pct"/>
          </w:tcPr>
          <w:p w14:paraId="6503D103" w14:textId="77777777" w:rsidR="007C0D1B" w:rsidRPr="00A11F8D" w:rsidRDefault="007C0D1B" w:rsidP="00472B02">
            <w:pPr>
              <w:pStyle w:val="TableText"/>
            </w:pPr>
            <w:r w:rsidRPr="00A11F8D">
              <w:t>Restricted risk</w:t>
            </w:r>
          </w:p>
        </w:tc>
        <w:tc>
          <w:tcPr>
            <w:tcW w:w="3491" w:type="pct"/>
          </w:tcPr>
          <w:p w14:paraId="5E7651D4" w14:textId="77777777" w:rsidR="007C0D1B" w:rsidRPr="00A11F8D" w:rsidRDefault="007C0D1B" w:rsidP="00472B02">
            <w:pPr>
              <w:pStyle w:val="TableText"/>
            </w:pPr>
            <w:r>
              <w:t>Restricted risk is the r</w:t>
            </w:r>
            <w:r w:rsidRPr="00A11F8D">
              <w:t>isk estimate w</w:t>
            </w:r>
            <w:r>
              <w:t>hen risk management measures are applied</w:t>
            </w:r>
            <w:r w:rsidRPr="00A11F8D">
              <w:t>.</w:t>
            </w:r>
          </w:p>
        </w:tc>
      </w:tr>
      <w:tr w:rsidR="007C0D1B" w:rsidRPr="00A11F8D" w14:paraId="1754BAB7" w14:textId="77777777" w:rsidTr="00472B02">
        <w:tc>
          <w:tcPr>
            <w:tcW w:w="1509" w:type="pct"/>
          </w:tcPr>
          <w:p w14:paraId="11BCB1DE" w14:textId="77777777" w:rsidR="007C0D1B" w:rsidRPr="00A11F8D" w:rsidRDefault="007C0D1B" w:rsidP="00472B02">
            <w:pPr>
              <w:pStyle w:val="TableText"/>
            </w:pPr>
            <w:r>
              <w:t>Risk analysis</w:t>
            </w:r>
          </w:p>
        </w:tc>
        <w:tc>
          <w:tcPr>
            <w:tcW w:w="3491" w:type="pct"/>
          </w:tcPr>
          <w:p w14:paraId="0F003DEF" w14:textId="77777777" w:rsidR="007C0D1B" w:rsidRPr="00A11F8D" w:rsidRDefault="007C0D1B" w:rsidP="00472B02">
            <w:pPr>
              <w:pStyle w:val="TableText"/>
            </w:pPr>
            <w:r>
              <w:t xml:space="preserve">Refers to the technical or scientific process for assessing the level of biosecurity risk associated with the goods, or the class of goods, and if necessary, the identification of conditions that must be met to manage the level of biosecurity risk associated with the goods, or class of goods to a level that achieves the ALOP for Australia. </w:t>
            </w:r>
          </w:p>
        </w:tc>
      </w:tr>
      <w:tr w:rsidR="007C0D1B" w:rsidRPr="00A11F8D" w14:paraId="330BDA66" w14:textId="77777777" w:rsidTr="00472B02">
        <w:tc>
          <w:tcPr>
            <w:tcW w:w="1509" w:type="pct"/>
          </w:tcPr>
          <w:p w14:paraId="288BBD7F" w14:textId="77777777" w:rsidR="007C0D1B" w:rsidRDefault="007C0D1B" w:rsidP="00472B02">
            <w:pPr>
              <w:pStyle w:val="TableText"/>
            </w:pPr>
            <w:r>
              <w:t>Risk management measure</w:t>
            </w:r>
          </w:p>
        </w:tc>
        <w:tc>
          <w:tcPr>
            <w:tcW w:w="3491" w:type="pct"/>
          </w:tcPr>
          <w:p w14:paraId="13F181C3" w14:textId="77777777" w:rsidR="007C0D1B" w:rsidRDefault="007C0D1B" w:rsidP="00472B02">
            <w:pPr>
              <w:pStyle w:val="TableText"/>
            </w:pPr>
            <w:r>
              <w:t>Are conditions that must be met to manage the level of biosecurity risk associated with the goods or the class of goods, to a level that achieves the ALOP for Australia. In this risk analysis, the term ‘risk management measure’ and ‘phytosanitary measure’ may be used interchangeably.</w:t>
            </w:r>
          </w:p>
        </w:tc>
      </w:tr>
      <w:tr w:rsidR="007C0D1B" w:rsidRPr="00A11F8D" w14:paraId="3469E06A" w14:textId="77777777" w:rsidTr="00472B02">
        <w:tc>
          <w:tcPr>
            <w:tcW w:w="1509" w:type="pct"/>
          </w:tcPr>
          <w:p w14:paraId="68C65C9C" w14:textId="77777777" w:rsidR="007C0D1B" w:rsidRPr="00A11F8D" w:rsidRDefault="007C0D1B" w:rsidP="00472B02">
            <w:pPr>
              <w:pStyle w:val="TableText"/>
            </w:pPr>
            <w:r w:rsidRPr="00A11F8D">
              <w:lastRenderedPageBreak/>
              <w:t>Saprophyte</w:t>
            </w:r>
          </w:p>
        </w:tc>
        <w:tc>
          <w:tcPr>
            <w:tcW w:w="3491" w:type="pct"/>
          </w:tcPr>
          <w:p w14:paraId="1CDBB98C" w14:textId="77777777" w:rsidR="007C0D1B" w:rsidRPr="00A11F8D" w:rsidRDefault="007C0D1B" w:rsidP="00472B02">
            <w:pPr>
              <w:pStyle w:val="TableText"/>
            </w:pPr>
            <w:r w:rsidRPr="00A11F8D">
              <w:t>An organism deriving its nourishment from dead organic matter.</w:t>
            </w:r>
          </w:p>
        </w:tc>
      </w:tr>
      <w:tr w:rsidR="007C0D1B" w:rsidRPr="00A11F8D" w14:paraId="7D1BA45E" w14:textId="77777777" w:rsidTr="00472B02">
        <w:tc>
          <w:tcPr>
            <w:tcW w:w="1509" w:type="pct"/>
          </w:tcPr>
          <w:p w14:paraId="5CD310F5" w14:textId="77777777" w:rsidR="007C0D1B" w:rsidRPr="00A11F8D" w:rsidRDefault="007C0D1B" w:rsidP="00472B02">
            <w:pPr>
              <w:pStyle w:val="TableText"/>
            </w:pPr>
            <w:r w:rsidRPr="00A11F8D">
              <w:t>Spread (of a pest)</w:t>
            </w:r>
          </w:p>
        </w:tc>
        <w:tc>
          <w:tcPr>
            <w:tcW w:w="3491" w:type="pct"/>
          </w:tcPr>
          <w:p w14:paraId="283E67AA" w14:textId="7E4C31E3" w:rsidR="007C0D1B" w:rsidRPr="00A11F8D" w:rsidRDefault="007C0D1B" w:rsidP="00472B02">
            <w:pPr>
              <w:pStyle w:val="TableText"/>
            </w:pPr>
            <w:r w:rsidRPr="00A11F8D">
              <w:t xml:space="preserve">Expansion of the geographical distribution of a pest within an area </w:t>
            </w:r>
            <w:r>
              <w:t xml:space="preserve">(FAO </w:t>
            </w:r>
            <w:r w:rsidR="009D2A7D">
              <w:t>2019b</w:t>
            </w:r>
            <w:r>
              <w:t>)</w:t>
            </w:r>
            <w:r w:rsidRPr="00A11F8D">
              <w:t>.</w:t>
            </w:r>
          </w:p>
        </w:tc>
      </w:tr>
      <w:tr w:rsidR="007C0D1B" w:rsidRPr="00A11F8D" w14:paraId="3664D59F" w14:textId="77777777" w:rsidTr="00472B02">
        <w:tc>
          <w:tcPr>
            <w:tcW w:w="1509" w:type="pct"/>
          </w:tcPr>
          <w:p w14:paraId="287DB285" w14:textId="77777777" w:rsidR="007C0D1B" w:rsidRPr="00A11F8D" w:rsidRDefault="007C0D1B" w:rsidP="00472B02">
            <w:pPr>
              <w:pStyle w:val="TableText"/>
            </w:pPr>
            <w:r w:rsidRPr="00A11F8D">
              <w:t>SPS Agreement</w:t>
            </w:r>
          </w:p>
        </w:tc>
        <w:tc>
          <w:tcPr>
            <w:tcW w:w="3491" w:type="pct"/>
          </w:tcPr>
          <w:p w14:paraId="79366244" w14:textId="77777777" w:rsidR="007C0D1B" w:rsidRPr="00A11F8D" w:rsidRDefault="007C0D1B" w:rsidP="00472B02">
            <w:pPr>
              <w:pStyle w:val="TableText"/>
            </w:pPr>
            <w:r w:rsidRPr="00A11F8D">
              <w:t>WTO Agreement on the Application of Sanitary and Phytosanitary Measures.</w:t>
            </w:r>
          </w:p>
        </w:tc>
      </w:tr>
      <w:tr w:rsidR="007C0D1B" w:rsidRPr="00A11F8D" w14:paraId="761012E8" w14:textId="77777777" w:rsidTr="00472B02">
        <w:tc>
          <w:tcPr>
            <w:tcW w:w="1509" w:type="pct"/>
          </w:tcPr>
          <w:p w14:paraId="5564059C" w14:textId="77777777" w:rsidR="007C0D1B" w:rsidRPr="00A11F8D" w:rsidRDefault="007C0D1B" w:rsidP="00472B02">
            <w:pPr>
              <w:pStyle w:val="TableText"/>
            </w:pPr>
            <w:r w:rsidRPr="00A11F8D">
              <w:t>Stakeholders</w:t>
            </w:r>
          </w:p>
        </w:tc>
        <w:tc>
          <w:tcPr>
            <w:tcW w:w="3491" w:type="pct"/>
          </w:tcPr>
          <w:p w14:paraId="79380B22" w14:textId="77777777" w:rsidR="007C0D1B" w:rsidRPr="00A11F8D" w:rsidRDefault="007C0D1B" w:rsidP="00472B02">
            <w:pPr>
              <w:pStyle w:val="TableText"/>
            </w:pPr>
            <w:r w:rsidRPr="00A11F8D">
              <w:t>Government agencies, individuals, community or industry groups or organizations, whether in Australia or overseas, including the proponent/applicant for a specific proposal, who have an interest in the policy issues.</w:t>
            </w:r>
          </w:p>
        </w:tc>
      </w:tr>
      <w:tr w:rsidR="007C0D1B" w:rsidRPr="00A11F8D" w14:paraId="6ABC7E90" w14:textId="77777777" w:rsidTr="00472B02">
        <w:tc>
          <w:tcPr>
            <w:tcW w:w="1509" w:type="pct"/>
          </w:tcPr>
          <w:p w14:paraId="61B23C59" w14:textId="77777777" w:rsidR="007C0D1B" w:rsidRPr="00A11F8D" w:rsidRDefault="007C0D1B" w:rsidP="00472B02">
            <w:pPr>
              <w:pStyle w:val="TableText"/>
            </w:pPr>
            <w:r w:rsidRPr="00A11F8D">
              <w:t>Surveillance</w:t>
            </w:r>
          </w:p>
        </w:tc>
        <w:tc>
          <w:tcPr>
            <w:tcW w:w="3491" w:type="pct"/>
          </w:tcPr>
          <w:p w14:paraId="0DC21C18" w14:textId="6FFA719F" w:rsidR="007C0D1B" w:rsidRPr="00A11F8D" w:rsidRDefault="007C0D1B" w:rsidP="00472B02">
            <w:pPr>
              <w:pStyle w:val="TableText"/>
            </w:pPr>
            <w:r w:rsidRPr="00A11F8D">
              <w:t xml:space="preserve">An official process which collects and records data on pest occurrence or absence by surveying, monitoring or other procedures </w:t>
            </w:r>
            <w:r>
              <w:t xml:space="preserve">(FAO </w:t>
            </w:r>
            <w:r w:rsidR="009D2A7D">
              <w:t>2019b</w:t>
            </w:r>
            <w:r>
              <w:t>)</w:t>
            </w:r>
            <w:r w:rsidRPr="00A11F8D">
              <w:t>.</w:t>
            </w:r>
          </w:p>
        </w:tc>
      </w:tr>
      <w:tr w:rsidR="007C0D1B" w:rsidRPr="00A11F8D" w14:paraId="2B4F45D0" w14:textId="77777777" w:rsidTr="00472B02">
        <w:tc>
          <w:tcPr>
            <w:tcW w:w="1509" w:type="pct"/>
          </w:tcPr>
          <w:p w14:paraId="5C503CD8" w14:textId="77777777" w:rsidR="007C0D1B" w:rsidRPr="00A11F8D" w:rsidRDefault="007C0D1B" w:rsidP="00472B02">
            <w:pPr>
              <w:pStyle w:val="TableText"/>
            </w:pPr>
            <w:r w:rsidRPr="00A11F8D">
              <w:t>Systems approach(es)</w:t>
            </w:r>
          </w:p>
        </w:tc>
        <w:tc>
          <w:tcPr>
            <w:tcW w:w="3491" w:type="pct"/>
          </w:tcPr>
          <w:p w14:paraId="0D3AFED7" w14:textId="77777777" w:rsidR="007C0D1B" w:rsidRPr="00A11F8D" w:rsidRDefault="007C0D1B" w:rsidP="00472B02">
            <w:pPr>
              <w:pStyle w:val="TableText"/>
            </w:pPr>
            <w:r w:rsidRPr="00A11F8D">
              <w:t>The integration of different risk management measures, at least two of which act independently, and which cumulatively achieve the appropriate level of protection against regulated pests.</w:t>
            </w:r>
          </w:p>
        </w:tc>
      </w:tr>
      <w:tr w:rsidR="007C0D1B" w:rsidRPr="00A11F8D" w14:paraId="61C13241" w14:textId="77777777" w:rsidTr="00472B02">
        <w:tc>
          <w:tcPr>
            <w:tcW w:w="1509" w:type="pct"/>
          </w:tcPr>
          <w:p w14:paraId="1B360FE3" w14:textId="77777777" w:rsidR="007C0D1B" w:rsidRPr="00A11F8D" w:rsidRDefault="007C0D1B" w:rsidP="00472B02">
            <w:pPr>
              <w:pStyle w:val="TableText"/>
            </w:pPr>
            <w:r w:rsidRPr="00A11F8D">
              <w:t>Treatment</w:t>
            </w:r>
          </w:p>
        </w:tc>
        <w:tc>
          <w:tcPr>
            <w:tcW w:w="3491" w:type="pct"/>
          </w:tcPr>
          <w:p w14:paraId="040C2A58" w14:textId="0ADB04C2" w:rsidR="007C0D1B" w:rsidRPr="00A11F8D" w:rsidRDefault="007C0D1B" w:rsidP="00472B02">
            <w:pPr>
              <w:pStyle w:val="TableText"/>
            </w:pPr>
            <w:r w:rsidRPr="00A11F8D">
              <w:t xml:space="preserve">Official procedure for the killing, inactivation or removal of pests, or for rendering pests infertile or for devitalisation </w:t>
            </w:r>
            <w:r>
              <w:t xml:space="preserve">(FAO </w:t>
            </w:r>
            <w:r w:rsidR="009D2A7D">
              <w:t>2019b</w:t>
            </w:r>
            <w:r>
              <w:t>)</w:t>
            </w:r>
            <w:r w:rsidRPr="00A11F8D">
              <w:t>.</w:t>
            </w:r>
          </w:p>
        </w:tc>
      </w:tr>
      <w:tr w:rsidR="007C0D1B" w:rsidRPr="00A11F8D" w14:paraId="0D239981" w14:textId="77777777" w:rsidTr="00472B02">
        <w:tc>
          <w:tcPr>
            <w:tcW w:w="1509" w:type="pct"/>
          </w:tcPr>
          <w:p w14:paraId="4BB1E1F9" w14:textId="77777777" w:rsidR="007C0D1B" w:rsidRPr="00A11F8D" w:rsidRDefault="007C0D1B" w:rsidP="00472B02">
            <w:pPr>
              <w:pStyle w:val="TableText"/>
            </w:pPr>
            <w:r w:rsidRPr="00A11F8D">
              <w:t>Unrestricted risk</w:t>
            </w:r>
          </w:p>
        </w:tc>
        <w:tc>
          <w:tcPr>
            <w:tcW w:w="3491" w:type="pct"/>
          </w:tcPr>
          <w:p w14:paraId="0236D8B0" w14:textId="77777777" w:rsidR="007C0D1B" w:rsidRPr="00A11F8D" w:rsidRDefault="007C0D1B" w:rsidP="00472B02">
            <w:pPr>
              <w:pStyle w:val="TableText"/>
            </w:pPr>
            <w:r w:rsidRPr="00A11F8D">
              <w:t xml:space="preserve">Unrestricted risk estimates apply in the absence of risk </w:t>
            </w:r>
            <w:r>
              <w:t>management</w:t>
            </w:r>
            <w:r w:rsidRPr="00A11F8D">
              <w:t xml:space="preserve"> measures.</w:t>
            </w:r>
          </w:p>
        </w:tc>
      </w:tr>
      <w:tr w:rsidR="007C0D1B" w:rsidRPr="00A11F8D" w14:paraId="2CA4C71D" w14:textId="77777777" w:rsidTr="00472B02">
        <w:tc>
          <w:tcPr>
            <w:tcW w:w="1509" w:type="pct"/>
          </w:tcPr>
          <w:p w14:paraId="29C49ADF" w14:textId="77777777" w:rsidR="007C0D1B" w:rsidRPr="00A11F8D" w:rsidRDefault="007C0D1B" w:rsidP="00472B02">
            <w:pPr>
              <w:pStyle w:val="TableText"/>
            </w:pPr>
            <w:r w:rsidRPr="00A11F8D">
              <w:t>Vector</w:t>
            </w:r>
          </w:p>
        </w:tc>
        <w:tc>
          <w:tcPr>
            <w:tcW w:w="3491" w:type="pct"/>
          </w:tcPr>
          <w:p w14:paraId="76761F89" w14:textId="77777777" w:rsidR="007C0D1B" w:rsidRPr="00A11F8D" w:rsidRDefault="007C0D1B" w:rsidP="00472B02">
            <w:pPr>
              <w:pStyle w:val="TableText"/>
            </w:pPr>
            <w:r w:rsidRPr="00A11F8D">
              <w:t>An organism that does not cause disease itself, but which causes infection by conveying pathogens from one host to another.</w:t>
            </w:r>
          </w:p>
        </w:tc>
      </w:tr>
      <w:tr w:rsidR="007C0D1B" w:rsidRPr="00A11F8D" w14:paraId="387BCCF8" w14:textId="77777777" w:rsidTr="00472B02">
        <w:tc>
          <w:tcPr>
            <w:tcW w:w="1509" w:type="pct"/>
          </w:tcPr>
          <w:p w14:paraId="48777AD4" w14:textId="77777777" w:rsidR="007C0D1B" w:rsidRPr="00A11F8D" w:rsidRDefault="007C0D1B" w:rsidP="00472B02">
            <w:pPr>
              <w:pStyle w:val="TableText"/>
            </w:pPr>
            <w:r w:rsidRPr="00A11F8D">
              <w:t>Viable</w:t>
            </w:r>
          </w:p>
        </w:tc>
        <w:tc>
          <w:tcPr>
            <w:tcW w:w="3491" w:type="pct"/>
          </w:tcPr>
          <w:p w14:paraId="2AAFE1F2" w14:textId="77777777" w:rsidR="007C0D1B" w:rsidRPr="00A11F8D" w:rsidRDefault="007C0D1B" w:rsidP="00472B02">
            <w:pPr>
              <w:pStyle w:val="TableText"/>
            </w:pPr>
            <w:r w:rsidRPr="00A11F8D">
              <w:t>Alive, able to germinate or capable of growth.</w:t>
            </w:r>
          </w:p>
        </w:tc>
      </w:tr>
    </w:tbl>
    <w:p w14:paraId="00730796" w14:textId="77777777" w:rsidR="007C0D1B" w:rsidRDefault="007C0D1B" w:rsidP="007C0D1B">
      <w:pPr>
        <w:pStyle w:val="Heading2"/>
        <w:numPr>
          <w:ilvl w:val="0"/>
          <w:numId w:val="0"/>
        </w:numPr>
        <w:sectPr w:rsidR="007C0D1B" w:rsidSect="00736319">
          <w:headerReference w:type="default" r:id="rId38"/>
          <w:pgSz w:w="11906" w:h="16838"/>
          <w:pgMar w:top="1418" w:right="1418" w:bottom="1418" w:left="1418" w:header="567" w:footer="283" w:gutter="0"/>
          <w:cols w:space="708"/>
          <w:docGrid w:linePitch="360"/>
        </w:sectPr>
      </w:pPr>
    </w:p>
    <w:p w14:paraId="57F6AF87" w14:textId="77777777" w:rsidR="00736319" w:rsidRDefault="00D0393D">
      <w:pPr>
        <w:pStyle w:val="Heading1nonumbers"/>
      </w:pPr>
      <w:bookmarkStart w:id="55" w:name="_Toc87425145"/>
      <w:r>
        <w:lastRenderedPageBreak/>
        <w:t>References</w:t>
      </w:r>
      <w:bookmarkEnd w:id="55"/>
    </w:p>
    <w:p w14:paraId="00E66BED" w14:textId="77777777" w:rsidR="009D2A7D" w:rsidRDefault="009D2A7D" w:rsidP="009D2A7D">
      <w:pPr>
        <w:pStyle w:val="EndNoteBibliography"/>
      </w:pPr>
      <w:r w:rsidRPr="000B25A8">
        <w:t xml:space="preserve">Briese, D 2005, ‘Translating host-specificity test results into the real world: the need to harmonize the yin and yang of current testing procedures’, </w:t>
      </w:r>
      <w:r w:rsidRPr="000B25A8">
        <w:rPr>
          <w:i/>
        </w:rPr>
        <w:t>Biological Control</w:t>
      </w:r>
      <w:r w:rsidRPr="000B25A8">
        <w:t>, vol. 35, pp. 208-214.</w:t>
      </w:r>
    </w:p>
    <w:p w14:paraId="22C7208A" w14:textId="77777777" w:rsidR="009D2A7D" w:rsidRDefault="009D2A7D" w:rsidP="009D2A7D">
      <w:pPr>
        <w:pStyle w:val="EndNoteBibliography"/>
      </w:pPr>
      <w:r>
        <w:t>FAO 2017</w:t>
      </w:r>
      <w:r w:rsidRPr="00E53568">
        <w:t xml:space="preserve">, </w:t>
      </w:r>
      <w:r w:rsidRPr="007A3307">
        <w:rPr>
          <w:i/>
        </w:rPr>
        <w:t>International Standards for Phytosanitary Measures (ISPM) no. 3: Guidelines for the export, shipment, import and release of biological control agents and other beneficial organisms</w:t>
      </w:r>
      <w:r w:rsidRPr="00E53568">
        <w:t xml:space="preserve">, Food and Agriculture Organization of the United Nations, Rome, available at </w:t>
      </w:r>
      <w:hyperlink r:id="rId39" w:history="1">
        <w:r w:rsidRPr="008F554C">
          <w:rPr>
            <w:rStyle w:val="Hyperlink"/>
          </w:rPr>
          <w:t>ippc.int/en/core-activities/standards-setting/ispms/</w:t>
        </w:r>
      </w:hyperlink>
      <w:r>
        <w:t>.</w:t>
      </w:r>
    </w:p>
    <w:p w14:paraId="4C3825E0" w14:textId="77777777" w:rsidR="009D2A7D" w:rsidRPr="00ED142A" w:rsidRDefault="009D2A7D" w:rsidP="009D2A7D">
      <w:pPr>
        <w:pStyle w:val="EndNoteBibliography"/>
      </w:pPr>
      <w:r w:rsidRPr="00ED142A">
        <w:t>FAO 2019a</w:t>
      </w:r>
      <w:r w:rsidRPr="00ED142A">
        <w:rPr>
          <w:i/>
        </w:rPr>
        <w:t>, International Standards for Phytosanitary Measures (ISPM) no. 2: Framework for pest risk analysis</w:t>
      </w:r>
      <w:r w:rsidRPr="00ED142A">
        <w:t xml:space="preserve">, Food and Agriculture Organization of the United Nations, Rome, available at </w:t>
      </w:r>
      <w:hyperlink r:id="rId40" w:history="1">
        <w:r w:rsidRPr="00ED142A">
          <w:rPr>
            <w:rStyle w:val="Hyperlink"/>
          </w:rPr>
          <w:t>ippc.int/en/core-activities/standards-setting/ispms/</w:t>
        </w:r>
      </w:hyperlink>
      <w:r w:rsidRPr="00ED142A">
        <w:t>.</w:t>
      </w:r>
    </w:p>
    <w:p w14:paraId="2111DC41" w14:textId="77777777" w:rsidR="009D2A7D" w:rsidRDefault="009D2A7D" w:rsidP="009D2A7D">
      <w:pPr>
        <w:pStyle w:val="EndNoteBibliography"/>
      </w:pPr>
      <w:r>
        <w:t>FAO 2019b</w:t>
      </w:r>
      <w:r w:rsidRPr="00E53568">
        <w:t xml:space="preserve">, </w:t>
      </w:r>
      <w:r w:rsidRPr="007A3307">
        <w:rPr>
          <w:i/>
        </w:rPr>
        <w:t>International Standards for Phytosanitary Measures (ISPM) no. 5: Glossary of phytosanitary terms</w:t>
      </w:r>
      <w:r w:rsidRPr="00E53568">
        <w:t xml:space="preserve">, Food and Agriculture Organization of the United Nations, Rome, available at </w:t>
      </w:r>
      <w:hyperlink r:id="rId41" w:history="1">
        <w:r w:rsidRPr="008F554C">
          <w:rPr>
            <w:rStyle w:val="Hyperlink"/>
          </w:rPr>
          <w:t>ippc.int/en/core-activities/standards-setting/ispms/</w:t>
        </w:r>
      </w:hyperlink>
      <w:r>
        <w:t>.</w:t>
      </w:r>
    </w:p>
    <w:p w14:paraId="453B6B8D" w14:textId="77777777" w:rsidR="009D2A7D" w:rsidRDefault="009D2A7D" w:rsidP="009D2A7D">
      <w:pPr>
        <w:pStyle w:val="EndNoteBibliography"/>
      </w:pPr>
      <w:r w:rsidRPr="00E53568">
        <w:t>FAO 201</w:t>
      </w:r>
      <w:r>
        <w:t>9c</w:t>
      </w:r>
      <w:r w:rsidRPr="00E53568">
        <w:t xml:space="preserve">, </w:t>
      </w:r>
      <w:r w:rsidRPr="007A3307">
        <w:rPr>
          <w:i/>
        </w:rPr>
        <w:t>International Standards for Phytosanitary Measures (ISPM) no. 11: Pest risk analysis for quarantine pests</w:t>
      </w:r>
      <w:r w:rsidRPr="00E53568">
        <w:t xml:space="preserve">, Food and Agriculture Organization of the United Nations, Rome, available at </w:t>
      </w:r>
      <w:hyperlink r:id="rId42" w:history="1">
        <w:r w:rsidRPr="008F554C">
          <w:rPr>
            <w:rStyle w:val="Hyperlink"/>
          </w:rPr>
          <w:t>ippc.int/en/core-activities/standards-setting/ispms/</w:t>
        </w:r>
      </w:hyperlink>
      <w:r w:rsidRPr="00E53568">
        <w:t>.</w:t>
      </w:r>
    </w:p>
    <w:p w14:paraId="1399D412" w14:textId="77777777" w:rsidR="009D2A7D" w:rsidRDefault="009D2A7D" w:rsidP="009D2A7D">
      <w:r w:rsidRPr="00D01B98">
        <w:t>WTO 1995, ‘The WTO agreement on the application of sanitary and phytosanitary measures (SPS Agreement)’, World Trade Organisation, Switzerland, available at</w:t>
      </w:r>
      <w:r>
        <w:t xml:space="preserve"> </w:t>
      </w:r>
      <w:r w:rsidRPr="00D01B98">
        <w:t xml:space="preserve"> </w:t>
      </w:r>
      <w:hyperlink r:id="rId43" w:history="1">
        <w:r w:rsidRPr="00BA1B91">
          <w:rPr>
            <w:rStyle w:val="Hyperlink"/>
          </w:rPr>
          <w:t>wto.org/english/tratop_e/sps_e/spsagr_e.htm</w:t>
        </w:r>
      </w:hyperlink>
      <w:r>
        <w:t>.</w:t>
      </w:r>
    </w:p>
    <w:p w14:paraId="53F6BC75" w14:textId="3D6FB102" w:rsidR="003F28C7" w:rsidRDefault="003F28C7" w:rsidP="009D2A7D">
      <w:pPr>
        <w:pStyle w:val="EndNoteBibliography"/>
      </w:pPr>
    </w:p>
    <w:sectPr w:rsidR="003F28C7" w:rsidSect="00736319">
      <w:headerReference w:type="default" r:id="rId44"/>
      <w:pgSz w:w="11906" w:h="16838"/>
      <w:pgMar w:top="1418" w:right="1418" w:bottom="1418" w:left="1418" w:header="567"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D0C05" w14:textId="77777777" w:rsidR="00BF546F" w:rsidRDefault="00BF546F">
      <w:pPr>
        <w:spacing w:after="0" w:line="240" w:lineRule="auto"/>
      </w:pPr>
      <w:r>
        <w:separator/>
      </w:r>
    </w:p>
  </w:endnote>
  <w:endnote w:type="continuationSeparator" w:id="0">
    <w:p w14:paraId="3699FA88" w14:textId="77777777" w:rsidR="00BF546F" w:rsidRDefault="00BF546F">
      <w:pPr>
        <w:spacing w:after="0" w:line="240" w:lineRule="auto"/>
      </w:pPr>
      <w:r>
        <w:continuationSeparator/>
      </w:r>
    </w:p>
  </w:endnote>
  <w:endnote w:type="continuationNotice" w:id="1">
    <w:p w14:paraId="759BCFFD" w14:textId="77777777" w:rsidR="00BF546F" w:rsidRDefault="00BF546F">
      <w:pPr>
        <w:pStyle w:val="Footer"/>
        <w:jc w:val="left"/>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C97AE0" w14:textId="77777777" w:rsidR="00BF546F" w:rsidRDefault="00BF546F">
    <w:pPr>
      <w:pStyle w:val="Footer"/>
      <w:tabs>
        <w:tab w:val="clear" w:pos="4536"/>
        <w:tab w:val="center" w:pos="9072"/>
      </w:tabs>
      <w:jc w:val="lef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C30475" w14:textId="77777777" w:rsidR="00BF546F" w:rsidRDefault="00BF546F">
    <w:pPr>
      <w:pStyle w:val="Footer"/>
      <w:tabs>
        <w:tab w:val="clear" w:pos="4536"/>
        <w:tab w:val="center" w:pos="9072"/>
      </w:tabs>
      <w:jc w:val="lef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E4020B" w14:textId="0DEB50FA" w:rsidR="00BF546F" w:rsidRDefault="00BF546F" w:rsidP="00D23EA9">
    <w:pPr>
      <w:pStyle w:val="Footer"/>
      <w:tabs>
        <w:tab w:val="clear" w:pos="4536"/>
        <w:tab w:val="center" w:pos="9072"/>
      </w:tabs>
      <w:jc w:val="left"/>
    </w:pPr>
    <w:r>
      <w:t xml:space="preserve">Department of </w:t>
    </w:r>
    <w:r w:rsidRPr="00083279">
      <w:t>Agriculture, Water and the Environment</w:t>
    </w:r>
    <w:r>
      <w:tab/>
    </w:r>
    <w:r>
      <w:fldChar w:fldCharType="begin"/>
    </w:r>
    <w:r>
      <w:instrText xml:space="preserve"> PAGE   \* MERGEFORMAT </w:instrText>
    </w:r>
    <w:r>
      <w:fldChar w:fldCharType="separate"/>
    </w:r>
    <w:r>
      <w:rPr>
        <w:noProof/>
      </w:rPr>
      <w:t>v</w:t>
    </w:r>
    <w: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BC1F9" w14:textId="211C226A" w:rsidR="00BF546F" w:rsidRDefault="00BF546F">
    <w:pPr>
      <w:pStyle w:val="Footer"/>
      <w:tabs>
        <w:tab w:val="clear" w:pos="4536"/>
        <w:tab w:val="center" w:pos="9072"/>
      </w:tabs>
      <w:jc w:val="left"/>
    </w:pPr>
    <w:r>
      <w:t>Department of Agriculture, Water and the Environment</w:t>
    </w:r>
    <w:r>
      <w:tab/>
    </w:r>
    <w:r>
      <w:fldChar w:fldCharType="begin"/>
    </w:r>
    <w:r>
      <w:instrText xml:space="preserve"> PAGE   \* MERGEFORMAT </w:instrText>
    </w:r>
    <w:r>
      <w:fldChar w:fldCharType="separate"/>
    </w:r>
    <w:r>
      <w:rPr>
        <w:noProof/>
      </w:rPr>
      <w:t>4</w:t>
    </w:r>
    <w: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3FE4FF" w14:textId="0BD9FFBE" w:rsidR="00BF546F" w:rsidRDefault="00BF546F">
    <w:pPr>
      <w:pStyle w:val="Footer"/>
      <w:tabs>
        <w:tab w:val="clear" w:pos="4536"/>
        <w:tab w:val="right" w:pos="9072"/>
        <w:tab w:val="left" w:pos="14034"/>
      </w:tabs>
      <w:spacing w:before="120"/>
      <w:jc w:val="left"/>
    </w:pPr>
    <w:r>
      <w:t>Department of Agriculture, Water and the Environment</w:t>
    </w:r>
    <w:r>
      <w:tab/>
    </w:r>
    <w:r>
      <w:fldChar w:fldCharType="begin"/>
    </w:r>
    <w:r>
      <w:instrText xml:space="preserve"> PAGE   \* MERGEFORMAT </w:instrText>
    </w:r>
    <w:r>
      <w:fldChar w:fldCharType="separate"/>
    </w:r>
    <w:r>
      <w:rPr>
        <w:noProof/>
      </w:rPr>
      <w:t>23</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1728C8E" w14:textId="77777777" w:rsidR="00BF546F" w:rsidRDefault="00BF546F">
      <w:pPr>
        <w:spacing w:after="0" w:line="240" w:lineRule="auto"/>
      </w:pPr>
      <w:r>
        <w:separator/>
      </w:r>
    </w:p>
  </w:footnote>
  <w:footnote w:type="continuationSeparator" w:id="0">
    <w:p w14:paraId="6DDDA57A" w14:textId="77777777" w:rsidR="00BF546F" w:rsidRDefault="00BF546F">
      <w:pPr>
        <w:spacing w:after="0" w:line="240" w:lineRule="auto"/>
      </w:pPr>
      <w:r>
        <w:continuationSeparator/>
      </w:r>
    </w:p>
  </w:footnote>
  <w:footnote w:type="continuationNotice" w:id="1">
    <w:p w14:paraId="18C0F58E" w14:textId="77777777" w:rsidR="00BF546F" w:rsidRDefault="00BF546F">
      <w:pPr>
        <w:pStyle w:val="Foote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3B35DE" w14:textId="33A0B2A3" w:rsidR="00BF546F" w:rsidRDefault="00BF546F">
    <w:pPr>
      <w:pStyle w:val="Header"/>
      <w:tabs>
        <w:tab w:val="clear" w:pos="4820"/>
        <w:tab w:val="center" w:pos="8505"/>
      </w:tabs>
      <w:jc w:val="left"/>
    </w:pPr>
    <w:r>
      <w:rPr>
        <w:noProof/>
        <w:lang w:eastAsia="en-AU"/>
      </w:rPr>
      <w:drawing>
        <wp:inline distT="0" distB="0" distL="0" distR="0" wp14:anchorId="289DB1AE" wp14:editId="01584D78">
          <wp:extent cx="2420620" cy="72517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0620" cy="725170"/>
                  </a:xfrm>
                  <a:prstGeom prst="rect">
                    <a:avLst/>
                  </a:prstGeom>
                  <a:noFill/>
                </pic:spPr>
              </pic:pic>
            </a:graphicData>
          </a:graphic>
        </wp:inline>
      </w:drawing>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99AEDF" w14:textId="7AA1A001" w:rsidR="00BF546F" w:rsidRDefault="00BF546F">
    <w:pPr>
      <w:pStyle w:val="Header"/>
      <w:tabs>
        <w:tab w:val="clear" w:pos="4820"/>
        <w:tab w:val="center" w:pos="8505"/>
        <w:tab w:val="center" w:pos="13041"/>
      </w:tabs>
      <w:jc w:val="left"/>
    </w:pPr>
    <w:r w:rsidRPr="00C16477">
      <w:rPr>
        <w:i/>
        <w:iCs/>
      </w:rPr>
      <w:t>Stomphastis</w:t>
    </w:r>
    <w:r w:rsidRPr="00C16477">
      <w:t xml:space="preserve"> sp. nov. draft risk analysis</w:t>
    </w:r>
    <w:r>
      <w:tab/>
      <w:t>Appendix A</w: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9EAC9C" w14:textId="462B6CBE" w:rsidR="00BF546F" w:rsidRDefault="00BF546F">
    <w:pPr>
      <w:pStyle w:val="Header"/>
      <w:tabs>
        <w:tab w:val="clear" w:pos="4820"/>
        <w:tab w:val="center" w:pos="8505"/>
        <w:tab w:val="center" w:pos="13041"/>
      </w:tabs>
      <w:jc w:val="left"/>
    </w:pPr>
    <w:r w:rsidRPr="00C16477">
      <w:rPr>
        <w:i/>
        <w:iCs/>
      </w:rPr>
      <w:t>Stomphastis</w:t>
    </w:r>
    <w:r w:rsidRPr="00C16477">
      <w:t xml:space="preserve"> sp. nov. draft risk analysis</w:t>
    </w:r>
    <w:r>
      <w:tab/>
    </w:r>
    <w:r w:rsidR="003A085C">
      <w:t>Glossary</w: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4CF744" w14:textId="622973A6" w:rsidR="003A085C" w:rsidRDefault="003A085C">
    <w:pPr>
      <w:pStyle w:val="Header"/>
      <w:tabs>
        <w:tab w:val="clear" w:pos="4820"/>
        <w:tab w:val="center" w:pos="8505"/>
        <w:tab w:val="center" w:pos="13041"/>
      </w:tabs>
      <w:jc w:val="left"/>
    </w:pPr>
    <w:r w:rsidRPr="00C16477">
      <w:rPr>
        <w:i/>
        <w:iCs/>
      </w:rPr>
      <w:t>Stomphastis</w:t>
    </w:r>
    <w:r w:rsidRPr="00C16477">
      <w:t xml:space="preserve"> sp. nov. draft risk analysis</w:t>
    </w:r>
    <w:r>
      <w:tab/>
      <w:t>References</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9224B" w14:textId="77777777" w:rsidR="00BF546F" w:rsidRDefault="00BF546F">
    <w:pPr>
      <w:pStyle w:val="Header"/>
      <w:tabs>
        <w:tab w:val="clear" w:pos="4820"/>
        <w:tab w:val="center" w:pos="8505"/>
      </w:tabs>
      <w:jc w:val="lef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E6C6F0" w14:textId="28226D00" w:rsidR="00BF546F" w:rsidRDefault="00BF546F">
    <w:pPr>
      <w:pStyle w:val="Header"/>
      <w:tabs>
        <w:tab w:val="clear" w:pos="4820"/>
        <w:tab w:val="center" w:pos="8505"/>
      </w:tabs>
      <w:jc w:val="left"/>
    </w:pPr>
    <w:bookmarkStart w:id="0" w:name="_Hlk73016730"/>
    <w:r w:rsidRPr="00C16477">
      <w:rPr>
        <w:i/>
        <w:iCs/>
      </w:rPr>
      <w:t>Stomphastis</w:t>
    </w:r>
    <w:r w:rsidRPr="00C16477">
      <w:t xml:space="preserve"> sp. nov. draft risk analysis</w:t>
    </w:r>
    <w:bookmarkEnd w:id="0"/>
    <w:r>
      <w:tab/>
      <w:t>Contents</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CEFC1" w14:textId="231E1676" w:rsidR="00BF546F" w:rsidRDefault="00BF546F">
    <w:pPr>
      <w:pStyle w:val="Header"/>
      <w:tabs>
        <w:tab w:val="clear" w:pos="4820"/>
        <w:tab w:val="center" w:pos="8505"/>
      </w:tabs>
      <w:jc w:val="left"/>
    </w:pPr>
    <w:r w:rsidRPr="00C16477">
      <w:rPr>
        <w:i/>
        <w:iCs/>
      </w:rPr>
      <w:t>Stomphastis</w:t>
    </w:r>
    <w:r w:rsidRPr="00C16477">
      <w:t xml:space="preserve"> sp. nov. draft risk analysis</w:t>
    </w:r>
    <w:r>
      <w:tab/>
      <w:t>Maps of Australia</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0BC2B7" w14:textId="2BF77ED2" w:rsidR="00BF546F" w:rsidRDefault="00BF546F">
    <w:pPr>
      <w:pStyle w:val="Header"/>
      <w:tabs>
        <w:tab w:val="clear" w:pos="4820"/>
        <w:tab w:val="center" w:pos="8505"/>
      </w:tabs>
      <w:jc w:val="left"/>
    </w:pPr>
    <w:r w:rsidRPr="00C16477">
      <w:rPr>
        <w:i/>
        <w:iCs/>
      </w:rPr>
      <w:t>Stomphastis</w:t>
    </w:r>
    <w:r w:rsidRPr="00C16477">
      <w:t xml:space="preserve"> sp. nov. draft risk analysis</w:t>
    </w:r>
    <w:r>
      <w:tab/>
      <w:t>Acronyms and abbreviations</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87B30" w14:textId="0F4DB2A5" w:rsidR="00BF546F" w:rsidRDefault="00BF546F">
    <w:pPr>
      <w:pStyle w:val="Header"/>
      <w:tabs>
        <w:tab w:val="clear" w:pos="4820"/>
        <w:tab w:val="center" w:pos="8505"/>
      </w:tabs>
      <w:jc w:val="left"/>
    </w:pPr>
    <w:r w:rsidRPr="00C16477">
      <w:rPr>
        <w:i/>
        <w:iCs/>
      </w:rPr>
      <w:t>Stomphastis</w:t>
    </w:r>
    <w:r w:rsidRPr="00C16477">
      <w:t xml:space="preserve"> sp. nov. draft risk analysis</w:t>
    </w:r>
    <w:r>
      <w:tab/>
      <w:t>Summary</w: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531D6C" w14:textId="2922BD69" w:rsidR="00BF546F" w:rsidRDefault="00BF546F">
    <w:pPr>
      <w:pStyle w:val="Header"/>
      <w:tabs>
        <w:tab w:val="clear" w:pos="4820"/>
        <w:tab w:val="center" w:pos="8505"/>
      </w:tabs>
      <w:jc w:val="left"/>
    </w:pPr>
    <w:r w:rsidRPr="00C16477">
      <w:rPr>
        <w:i/>
        <w:iCs/>
      </w:rPr>
      <w:t>Stomphastis</w:t>
    </w:r>
    <w:r w:rsidRPr="00C16477">
      <w:t xml:space="preserve"> sp. nov. draft risk analysis</w:t>
    </w:r>
    <w:r>
      <w:tab/>
      <w:t>Introduction</w: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74F8EA" w14:textId="453EBE31" w:rsidR="00BF546F" w:rsidRDefault="00BF546F">
    <w:pPr>
      <w:pStyle w:val="Header"/>
      <w:tabs>
        <w:tab w:val="clear" w:pos="4820"/>
        <w:tab w:val="center" w:pos="8505"/>
        <w:tab w:val="center" w:pos="13041"/>
      </w:tabs>
      <w:jc w:val="left"/>
    </w:pPr>
    <w:r w:rsidRPr="00C16477">
      <w:rPr>
        <w:i/>
        <w:iCs/>
      </w:rPr>
      <w:t>Stomphastis</w:t>
    </w:r>
    <w:r w:rsidRPr="00C16477">
      <w:t xml:space="preserve"> sp. nov. draft risk analysis</w:t>
    </w:r>
    <w:r>
      <w:tab/>
      <w:t>Method &amp; assessment</w: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FB3E3" w14:textId="3093DCC0" w:rsidR="00BF546F" w:rsidRDefault="00BF546F">
    <w:pPr>
      <w:pStyle w:val="Header"/>
      <w:tabs>
        <w:tab w:val="clear" w:pos="4820"/>
        <w:tab w:val="center" w:pos="8505"/>
        <w:tab w:val="center" w:pos="13041"/>
      </w:tabs>
      <w:jc w:val="left"/>
    </w:pPr>
    <w:r w:rsidRPr="00C16477">
      <w:rPr>
        <w:i/>
        <w:iCs/>
      </w:rPr>
      <w:t>Stomphastis</w:t>
    </w:r>
    <w:r w:rsidRPr="00C16477">
      <w:t xml:space="preserve"> sp. nov. draft risk analysis</w:t>
    </w:r>
    <w:r>
      <w:tab/>
      <w:t>Conclusion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E"/>
    <w:multiLevelType w:val="singleLevel"/>
    <w:tmpl w:val="C8060042"/>
    <w:lvl w:ilvl="0">
      <w:start w:val="1"/>
      <w:numFmt w:val="lowerRoman"/>
      <w:pStyle w:val="ListNumber3"/>
      <w:lvlText w:val="%1)"/>
      <w:lvlJc w:val="left"/>
      <w:pPr>
        <w:tabs>
          <w:tab w:val="num" w:pos="926"/>
        </w:tabs>
        <w:ind w:left="926" w:hanging="360"/>
      </w:pPr>
      <w:rPr>
        <w:rFonts w:hint="default"/>
      </w:rPr>
    </w:lvl>
  </w:abstractNum>
  <w:abstractNum w:abstractNumId="1" w15:restartNumberingAfterBreak="0">
    <w:nsid w:val="FFFFFF83"/>
    <w:multiLevelType w:val="singleLevel"/>
    <w:tmpl w:val="CA5A6F8E"/>
    <w:lvl w:ilvl="0">
      <w:start w:val="1"/>
      <w:numFmt w:val="bullet"/>
      <w:pStyle w:val="ListBullet2"/>
      <w:lvlText w:val=""/>
      <w:lvlJc w:val="left"/>
      <w:pPr>
        <w:tabs>
          <w:tab w:val="num" w:pos="643"/>
        </w:tabs>
        <w:ind w:left="643" w:hanging="360"/>
      </w:pPr>
      <w:rPr>
        <w:rFonts w:ascii="Symbol" w:hAnsi="Symbol" w:hint="default"/>
      </w:rPr>
    </w:lvl>
  </w:abstractNum>
  <w:abstractNum w:abstractNumId="2" w15:restartNumberingAfterBreak="0">
    <w:nsid w:val="FFFFFF89"/>
    <w:multiLevelType w:val="singleLevel"/>
    <w:tmpl w:val="09CC22AE"/>
    <w:lvl w:ilvl="0">
      <w:start w:val="1"/>
      <w:numFmt w:val="bullet"/>
      <w:pStyle w:val="ListBullet"/>
      <w:lvlText w:val=""/>
      <w:lvlJc w:val="left"/>
      <w:pPr>
        <w:tabs>
          <w:tab w:val="num" w:pos="360"/>
        </w:tabs>
        <w:ind w:left="360" w:hanging="360"/>
      </w:pPr>
      <w:rPr>
        <w:rFonts w:ascii="Symbol" w:hAnsi="Symbol" w:hint="default"/>
        <w:color w:val="auto"/>
      </w:rPr>
    </w:lvl>
  </w:abstractNum>
  <w:abstractNum w:abstractNumId="3" w15:restartNumberingAfterBreak="0">
    <w:nsid w:val="07E752D5"/>
    <w:multiLevelType w:val="singleLevel"/>
    <w:tmpl w:val="DE424BC0"/>
    <w:lvl w:ilvl="0">
      <w:start w:val="1"/>
      <w:numFmt w:val="bullet"/>
      <w:pStyle w:val="AQISNum"/>
      <w:lvlText w:val=""/>
      <w:lvlJc w:val="left"/>
      <w:pPr>
        <w:tabs>
          <w:tab w:val="num" w:pos="360"/>
        </w:tabs>
        <w:ind w:left="360" w:hanging="360"/>
      </w:pPr>
      <w:rPr>
        <w:rFonts w:ascii="Symbol" w:hAnsi="Symbol" w:hint="default"/>
        <w:sz w:val="16"/>
      </w:rPr>
    </w:lvl>
  </w:abstractNum>
  <w:abstractNum w:abstractNumId="4" w15:restartNumberingAfterBreak="0">
    <w:nsid w:val="0DAB06F4"/>
    <w:multiLevelType w:val="multilevel"/>
    <w:tmpl w:val="0C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196B606F"/>
    <w:multiLevelType w:val="hybridMultilevel"/>
    <w:tmpl w:val="E0560262"/>
    <w:lvl w:ilvl="0" w:tplc="A9884604">
      <w:start w:val="1"/>
      <w:numFmt w:val="bullet"/>
      <w:pStyle w:val="Table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9636E79"/>
    <w:multiLevelType w:val="multilevel"/>
    <w:tmpl w:val="4344E3E6"/>
    <w:styleLink w:val="Headings"/>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357" w:hanging="357"/>
      </w:pPr>
      <w:rPr>
        <w:rFonts w:hint="default"/>
      </w:rPr>
    </w:lvl>
    <w:lvl w:ilvl="2">
      <w:start w:val="1"/>
      <w:numFmt w:val="decimal"/>
      <w:pStyle w:val="Heading3"/>
      <w:lvlText w:val="%1.%2.%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7" w15:restartNumberingAfterBreak="0">
    <w:nsid w:val="2D595B46"/>
    <w:multiLevelType w:val="multilevel"/>
    <w:tmpl w:val="C32AB9AA"/>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8" w15:restartNumberingAfterBreak="0">
    <w:nsid w:val="32E825F9"/>
    <w:multiLevelType w:val="multilevel"/>
    <w:tmpl w:val="311EB4D2"/>
    <w:styleLink w:val="captions"/>
    <w:lvl w:ilvl="0">
      <w:start w:val="1"/>
      <w:numFmt w:val="decimal"/>
      <w:lvlText w:val="%1"/>
      <w:lvlJc w:val="left"/>
      <w:pPr>
        <w:ind w:left="357" w:hanging="357"/>
      </w:pPr>
      <w:rPr>
        <w:rFonts w:hint="default"/>
      </w:rPr>
    </w:lvl>
    <w:lvl w:ilvl="1">
      <w:start w:val="1"/>
      <w:numFmt w:val="decimal"/>
      <w:lvlText w:val="%1.%2"/>
      <w:lvlJc w:val="left"/>
      <w:pPr>
        <w:ind w:left="357" w:hanging="357"/>
      </w:pPr>
      <w:rPr>
        <w:rFonts w:hint="default"/>
      </w:rPr>
    </w:lvl>
    <w:lvl w:ilvl="2">
      <w:start w:val="1"/>
      <w:numFmt w:val="lowerRoman"/>
      <w:lvlText w:val="%3)"/>
      <w:lvlJc w:val="left"/>
      <w:pPr>
        <w:ind w:left="357" w:hanging="357"/>
      </w:pPr>
      <w:rPr>
        <w:rFonts w:hint="default"/>
      </w:rPr>
    </w:lvl>
    <w:lvl w:ilvl="3">
      <w:start w:val="1"/>
      <w:numFmt w:val="decimal"/>
      <w:lvlText w:val="(%4)"/>
      <w:lvlJc w:val="left"/>
      <w:pPr>
        <w:ind w:left="357" w:hanging="357"/>
      </w:pPr>
      <w:rPr>
        <w:rFonts w:hint="default"/>
      </w:rPr>
    </w:lvl>
    <w:lvl w:ilvl="4">
      <w:start w:val="1"/>
      <w:numFmt w:val="lowerLetter"/>
      <w:lvlText w:val="(%5)"/>
      <w:lvlJc w:val="left"/>
      <w:pPr>
        <w:ind w:left="357" w:hanging="357"/>
      </w:pPr>
      <w:rPr>
        <w:rFonts w:hint="default"/>
      </w:rPr>
    </w:lvl>
    <w:lvl w:ilvl="5">
      <w:start w:val="1"/>
      <w:numFmt w:val="lowerRoman"/>
      <w:lvlText w:val="(%6)"/>
      <w:lvlJc w:val="left"/>
      <w:pPr>
        <w:ind w:left="357" w:hanging="357"/>
      </w:pPr>
      <w:rPr>
        <w:rFonts w:hint="default"/>
      </w:rPr>
    </w:lvl>
    <w:lvl w:ilvl="6">
      <w:start w:val="1"/>
      <w:numFmt w:val="decimal"/>
      <w:lvlText w:val="%7."/>
      <w:lvlJc w:val="left"/>
      <w:pPr>
        <w:ind w:left="357" w:hanging="357"/>
      </w:pPr>
      <w:rPr>
        <w:rFonts w:hint="default"/>
      </w:rPr>
    </w:lvl>
    <w:lvl w:ilvl="7">
      <w:start w:val="1"/>
      <w:numFmt w:val="lowerLetter"/>
      <w:lvlText w:val="%8."/>
      <w:lvlJc w:val="left"/>
      <w:pPr>
        <w:ind w:left="357" w:hanging="357"/>
      </w:pPr>
      <w:rPr>
        <w:rFonts w:hint="default"/>
      </w:rPr>
    </w:lvl>
    <w:lvl w:ilvl="8">
      <w:start w:val="1"/>
      <w:numFmt w:val="lowerRoman"/>
      <w:lvlText w:val="%9."/>
      <w:lvlJc w:val="left"/>
      <w:pPr>
        <w:ind w:left="357" w:hanging="357"/>
      </w:pPr>
      <w:rPr>
        <w:rFonts w:hint="default"/>
      </w:rPr>
    </w:lvl>
  </w:abstractNum>
  <w:abstractNum w:abstractNumId="9" w15:restartNumberingAfterBreak="0">
    <w:nsid w:val="357F0D4F"/>
    <w:multiLevelType w:val="multilevel"/>
    <w:tmpl w:val="311EB4D2"/>
    <w:numStyleLink w:val="captions"/>
  </w:abstractNum>
  <w:abstractNum w:abstractNumId="10" w15:restartNumberingAfterBreak="0">
    <w:nsid w:val="3A551C78"/>
    <w:multiLevelType w:val="hybridMultilevel"/>
    <w:tmpl w:val="A6AA52EC"/>
    <w:lvl w:ilvl="0" w:tplc="68C6DB6E">
      <w:start w:val="1"/>
      <w:numFmt w:val="decimal"/>
      <w:lvlText w:val="1.%1"/>
      <w:lvlJc w:val="left"/>
      <w:pPr>
        <w:ind w:left="360" w:hanging="360"/>
      </w:pPr>
      <w:rPr>
        <w:rFonts w:hint="default"/>
      </w:r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BB54DEF"/>
    <w:multiLevelType w:val="multilevel"/>
    <w:tmpl w:val="C32AB9AA"/>
    <w:styleLink w:val="ListNumber1"/>
    <w:lvl w:ilvl="0">
      <w:start w:val="1"/>
      <w:numFmt w:val="decimal"/>
      <w:lvlText w:val="%1)"/>
      <w:lvlJc w:val="left"/>
      <w:pPr>
        <w:tabs>
          <w:tab w:val="num" w:pos="397"/>
        </w:tabs>
        <w:ind w:left="397" w:hanging="397"/>
      </w:pPr>
      <w:rPr>
        <w:rFonts w:hint="default"/>
        <w:color w:val="auto"/>
      </w:rPr>
    </w:lvl>
    <w:lvl w:ilvl="1">
      <w:start w:val="1"/>
      <w:numFmt w:val="lowerLetter"/>
      <w:lvlText w:val="%2)"/>
      <w:lvlJc w:val="left"/>
      <w:pPr>
        <w:tabs>
          <w:tab w:val="num" w:pos="794"/>
        </w:tabs>
        <w:ind w:left="794" w:hanging="397"/>
      </w:pPr>
      <w:rPr>
        <w:rFonts w:hint="default"/>
      </w:rPr>
    </w:lvl>
    <w:lvl w:ilvl="2">
      <w:start w:val="1"/>
      <w:numFmt w:val="lowerRoman"/>
      <w:lvlText w:val="%3."/>
      <w:lvlJc w:val="right"/>
      <w:pPr>
        <w:tabs>
          <w:tab w:val="num" w:pos="1191"/>
        </w:tabs>
        <w:ind w:left="1191" w:hanging="284"/>
      </w:pPr>
      <w:rPr>
        <w:rFonts w:hint="default"/>
      </w:rPr>
    </w:lvl>
    <w:lvl w:ilvl="3">
      <w:start w:val="1"/>
      <w:numFmt w:val="decimal"/>
      <w:lvlText w:val="%4."/>
      <w:lvlJc w:val="left"/>
      <w:pPr>
        <w:tabs>
          <w:tab w:val="num" w:pos="397"/>
        </w:tabs>
        <w:ind w:left="397" w:hanging="397"/>
      </w:pPr>
      <w:rPr>
        <w:rFonts w:hint="default"/>
      </w:rPr>
    </w:lvl>
    <w:lvl w:ilvl="4">
      <w:start w:val="1"/>
      <w:numFmt w:val="lowerLetter"/>
      <w:lvlText w:val="%5."/>
      <w:lvlJc w:val="left"/>
      <w:pPr>
        <w:tabs>
          <w:tab w:val="num" w:pos="397"/>
        </w:tabs>
        <w:ind w:left="397" w:hanging="397"/>
      </w:pPr>
      <w:rPr>
        <w:rFonts w:hint="default"/>
      </w:rPr>
    </w:lvl>
    <w:lvl w:ilvl="5">
      <w:start w:val="1"/>
      <w:numFmt w:val="lowerRoman"/>
      <w:lvlText w:val="%6."/>
      <w:lvlJc w:val="right"/>
      <w:pPr>
        <w:tabs>
          <w:tab w:val="num" w:pos="397"/>
        </w:tabs>
        <w:ind w:left="397" w:hanging="397"/>
      </w:pPr>
      <w:rPr>
        <w:rFonts w:hint="default"/>
      </w:rPr>
    </w:lvl>
    <w:lvl w:ilvl="6">
      <w:start w:val="1"/>
      <w:numFmt w:val="decimal"/>
      <w:lvlText w:val="%7."/>
      <w:lvlJc w:val="left"/>
      <w:pPr>
        <w:tabs>
          <w:tab w:val="num" w:pos="397"/>
        </w:tabs>
        <w:ind w:left="397" w:hanging="397"/>
      </w:pPr>
      <w:rPr>
        <w:rFonts w:hint="default"/>
      </w:rPr>
    </w:lvl>
    <w:lvl w:ilvl="7">
      <w:start w:val="1"/>
      <w:numFmt w:val="lowerLetter"/>
      <w:lvlText w:val="%8."/>
      <w:lvlJc w:val="left"/>
      <w:pPr>
        <w:tabs>
          <w:tab w:val="num" w:pos="397"/>
        </w:tabs>
        <w:ind w:left="397" w:hanging="397"/>
      </w:pPr>
      <w:rPr>
        <w:rFonts w:hint="default"/>
      </w:rPr>
    </w:lvl>
    <w:lvl w:ilvl="8">
      <w:start w:val="1"/>
      <w:numFmt w:val="lowerRoman"/>
      <w:lvlText w:val="%9."/>
      <w:lvlJc w:val="right"/>
      <w:pPr>
        <w:tabs>
          <w:tab w:val="num" w:pos="397"/>
        </w:tabs>
        <w:ind w:left="397" w:hanging="397"/>
      </w:pPr>
      <w:rPr>
        <w:rFonts w:hint="default"/>
      </w:rPr>
    </w:lvl>
  </w:abstractNum>
  <w:abstractNum w:abstractNumId="12" w15:restartNumberingAfterBreak="0">
    <w:nsid w:val="3D2A3E94"/>
    <w:multiLevelType w:val="multilevel"/>
    <w:tmpl w:val="4344E3E6"/>
    <w:numStyleLink w:val="Headings"/>
  </w:abstractNum>
  <w:abstractNum w:abstractNumId="13" w15:restartNumberingAfterBreak="0">
    <w:nsid w:val="3FDD470D"/>
    <w:multiLevelType w:val="singleLevel"/>
    <w:tmpl w:val="B664CF16"/>
    <w:lvl w:ilvl="0">
      <w:start w:val="1"/>
      <w:numFmt w:val="decimal"/>
      <w:pStyle w:val="ListNumber"/>
      <w:lvlText w:val="%1)"/>
      <w:lvlJc w:val="left"/>
      <w:pPr>
        <w:ind w:left="360" w:hanging="360"/>
      </w:pPr>
      <w:rPr>
        <w:color w:val="auto"/>
      </w:rPr>
    </w:lvl>
  </w:abstractNum>
  <w:abstractNum w:abstractNumId="14" w15:restartNumberingAfterBreak="0">
    <w:nsid w:val="48DE2E4A"/>
    <w:multiLevelType w:val="hybridMultilevel"/>
    <w:tmpl w:val="B7086130"/>
    <w:lvl w:ilvl="0" w:tplc="AAB465F0">
      <w:start w:val="1"/>
      <w:numFmt w:val="bullet"/>
      <w:pStyle w:val="BoxText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B861DE6"/>
    <w:multiLevelType w:val="multilevel"/>
    <w:tmpl w:val="6346ED0E"/>
    <w:styleLink w:val="listbullets"/>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abstractNum w:abstractNumId="16" w15:restartNumberingAfterBreak="0">
    <w:nsid w:val="5AA12966"/>
    <w:multiLevelType w:val="multilevel"/>
    <w:tmpl w:val="DA322B0E"/>
    <w:styleLink w:val="List1"/>
    <w:lvl w:ilvl="0">
      <w:start w:val="1"/>
      <w:numFmt w:val="bullet"/>
      <w:lvlText w:val=""/>
      <w:lvlJc w:val="left"/>
      <w:pPr>
        <w:ind w:left="765" w:hanging="360"/>
      </w:pPr>
      <w:rPr>
        <w:rFonts w:ascii="Symbol" w:hAnsi="Symbol" w:cs="Times New Roman" w:hint="default"/>
        <w:color w:val="auto"/>
      </w:rPr>
    </w:lvl>
    <w:lvl w:ilvl="1">
      <w:start w:val="1"/>
      <w:numFmt w:val="bullet"/>
      <w:lvlText w:val="o"/>
      <w:lvlJc w:val="left"/>
      <w:pPr>
        <w:ind w:left="1485" w:hanging="360"/>
      </w:pPr>
      <w:rPr>
        <w:rFonts w:ascii="Courier New" w:hAnsi="Courier New" w:cs="Courier New" w:hint="default"/>
      </w:rPr>
    </w:lvl>
    <w:lvl w:ilvl="2">
      <w:start w:val="1"/>
      <w:numFmt w:val="bullet"/>
      <w:lvlText w:val=""/>
      <w:lvlJc w:val="left"/>
      <w:pPr>
        <w:ind w:left="2205" w:hanging="360"/>
      </w:pPr>
      <w:rPr>
        <w:rFonts w:ascii="Wingdings" w:hAnsi="Wingdings" w:hint="default"/>
      </w:rPr>
    </w:lvl>
    <w:lvl w:ilvl="3">
      <w:start w:val="1"/>
      <w:numFmt w:val="bullet"/>
      <w:lvlText w:val=""/>
      <w:lvlJc w:val="left"/>
      <w:pPr>
        <w:ind w:left="2925" w:hanging="360"/>
      </w:pPr>
      <w:rPr>
        <w:rFonts w:ascii="Symbol" w:hAnsi="Symbol" w:hint="default"/>
      </w:rPr>
    </w:lvl>
    <w:lvl w:ilvl="4">
      <w:start w:val="1"/>
      <w:numFmt w:val="bullet"/>
      <w:lvlText w:val="o"/>
      <w:lvlJc w:val="left"/>
      <w:pPr>
        <w:ind w:left="3645" w:hanging="360"/>
      </w:pPr>
      <w:rPr>
        <w:rFonts w:ascii="Courier New" w:hAnsi="Courier New" w:cs="Courier New" w:hint="default"/>
      </w:rPr>
    </w:lvl>
    <w:lvl w:ilvl="5">
      <w:start w:val="1"/>
      <w:numFmt w:val="bullet"/>
      <w:lvlText w:val=""/>
      <w:lvlJc w:val="left"/>
      <w:pPr>
        <w:ind w:left="4365" w:hanging="360"/>
      </w:pPr>
      <w:rPr>
        <w:rFonts w:ascii="Wingdings" w:hAnsi="Wingdings" w:hint="default"/>
      </w:rPr>
    </w:lvl>
    <w:lvl w:ilvl="6">
      <w:start w:val="1"/>
      <w:numFmt w:val="bullet"/>
      <w:lvlText w:val=""/>
      <w:lvlJc w:val="left"/>
      <w:pPr>
        <w:ind w:left="5085" w:hanging="360"/>
      </w:pPr>
      <w:rPr>
        <w:rFonts w:ascii="Symbol" w:hAnsi="Symbol" w:hint="default"/>
      </w:rPr>
    </w:lvl>
    <w:lvl w:ilvl="7">
      <w:start w:val="1"/>
      <w:numFmt w:val="bullet"/>
      <w:lvlText w:val="o"/>
      <w:lvlJc w:val="left"/>
      <w:pPr>
        <w:ind w:left="5805" w:hanging="360"/>
      </w:pPr>
      <w:rPr>
        <w:rFonts w:ascii="Courier New" w:hAnsi="Courier New" w:cs="Courier New" w:hint="default"/>
      </w:rPr>
    </w:lvl>
    <w:lvl w:ilvl="8">
      <w:start w:val="1"/>
      <w:numFmt w:val="bullet"/>
      <w:lvlText w:val=""/>
      <w:lvlJc w:val="left"/>
      <w:pPr>
        <w:ind w:left="6525" w:hanging="360"/>
      </w:pPr>
      <w:rPr>
        <w:rFonts w:ascii="Wingdings" w:hAnsi="Wingdings" w:hint="default"/>
      </w:rPr>
    </w:lvl>
  </w:abstractNum>
  <w:abstractNum w:abstractNumId="17" w15:restartNumberingAfterBreak="0">
    <w:nsid w:val="5ED13EEF"/>
    <w:multiLevelType w:val="multilevel"/>
    <w:tmpl w:val="4344E3E6"/>
    <w:numStyleLink w:val="Headings"/>
  </w:abstractNum>
  <w:abstractNum w:abstractNumId="18" w15:restartNumberingAfterBreak="0">
    <w:nsid w:val="70D330FE"/>
    <w:multiLevelType w:val="singleLevel"/>
    <w:tmpl w:val="05420F66"/>
    <w:lvl w:ilvl="0">
      <w:start w:val="1"/>
      <w:numFmt w:val="lowerLetter"/>
      <w:pStyle w:val="ListNumber2"/>
      <w:lvlText w:val="%1)"/>
      <w:lvlJc w:val="left"/>
      <w:pPr>
        <w:ind w:left="709" w:hanging="426"/>
      </w:pPr>
      <w:rPr>
        <w:rFonts w:hint="default"/>
      </w:rPr>
    </w:lvl>
  </w:abstractNum>
  <w:abstractNum w:abstractNumId="19" w15:restartNumberingAfterBreak="0">
    <w:nsid w:val="7600363E"/>
    <w:multiLevelType w:val="multilevel"/>
    <w:tmpl w:val="4344E3E6"/>
    <w:numStyleLink w:val="Headings"/>
  </w:abstractNum>
  <w:abstractNum w:abstractNumId="20" w15:restartNumberingAfterBreak="0">
    <w:nsid w:val="7636387C"/>
    <w:multiLevelType w:val="multilevel"/>
    <w:tmpl w:val="6346ED0E"/>
    <w:lvl w:ilvl="0">
      <w:start w:val="1"/>
      <w:numFmt w:val="bullet"/>
      <w:lvlText w:val=""/>
      <w:lvlJc w:val="left"/>
      <w:pPr>
        <w:tabs>
          <w:tab w:val="num" w:pos="567"/>
        </w:tabs>
        <w:ind w:left="397" w:hanging="397"/>
      </w:pPr>
      <w:rPr>
        <w:rFonts w:ascii="Symbol" w:hAnsi="Symbol" w:hint="default"/>
        <w:color w:val="auto"/>
      </w:rPr>
    </w:lvl>
    <w:lvl w:ilvl="1">
      <w:start w:val="1"/>
      <w:numFmt w:val="bullet"/>
      <w:lvlText w:val=""/>
      <w:lvlJc w:val="left"/>
      <w:pPr>
        <w:tabs>
          <w:tab w:val="num" w:pos="794"/>
        </w:tabs>
        <w:ind w:left="397" w:firstLine="0"/>
      </w:pPr>
      <w:rPr>
        <w:rFonts w:ascii="Symbol" w:hAnsi="Symbol" w:hint="default"/>
      </w:rPr>
    </w:lvl>
    <w:lvl w:ilvl="2">
      <w:start w:val="1"/>
      <w:numFmt w:val="bullet"/>
      <w:lvlText w:val=""/>
      <w:lvlJc w:val="left"/>
      <w:pPr>
        <w:tabs>
          <w:tab w:val="num" w:pos="567"/>
        </w:tabs>
        <w:ind w:left="567" w:hanging="567"/>
      </w:pPr>
      <w:rPr>
        <w:rFonts w:ascii="Wingdings" w:hAnsi="Wingdings" w:hint="default"/>
      </w:rPr>
    </w:lvl>
    <w:lvl w:ilvl="3">
      <w:start w:val="1"/>
      <w:numFmt w:val="bullet"/>
      <w:lvlText w:val=""/>
      <w:lvlJc w:val="left"/>
      <w:pPr>
        <w:tabs>
          <w:tab w:val="num" w:pos="567"/>
        </w:tabs>
        <w:ind w:left="567" w:hanging="567"/>
      </w:pPr>
      <w:rPr>
        <w:rFonts w:ascii="Symbol" w:hAnsi="Symbol" w:hint="default"/>
      </w:rPr>
    </w:lvl>
    <w:lvl w:ilvl="4">
      <w:start w:val="1"/>
      <w:numFmt w:val="bullet"/>
      <w:lvlText w:val="o"/>
      <w:lvlJc w:val="left"/>
      <w:pPr>
        <w:tabs>
          <w:tab w:val="num" w:pos="567"/>
        </w:tabs>
        <w:ind w:left="567" w:hanging="567"/>
      </w:pPr>
      <w:rPr>
        <w:rFonts w:ascii="Courier New" w:hAnsi="Courier New" w:cs="Courier New" w:hint="default"/>
      </w:rPr>
    </w:lvl>
    <w:lvl w:ilvl="5">
      <w:start w:val="1"/>
      <w:numFmt w:val="bullet"/>
      <w:lvlText w:val=""/>
      <w:lvlJc w:val="left"/>
      <w:pPr>
        <w:tabs>
          <w:tab w:val="num" w:pos="567"/>
        </w:tabs>
        <w:ind w:left="567" w:hanging="567"/>
      </w:pPr>
      <w:rPr>
        <w:rFonts w:ascii="Wingdings" w:hAnsi="Wingdings" w:hint="default"/>
      </w:rPr>
    </w:lvl>
    <w:lvl w:ilvl="6">
      <w:start w:val="1"/>
      <w:numFmt w:val="bullet"/>
      <w:lvlText w:val=""/>
      <w:lvlJc w:val="left"/>
      <w:pPr>
        <w:tabs>
          <w:tab w:val="num" w:pos="567"/>
        </w:tabs>
        <w:ind w:left="567" w:hanging="567"/>
      </w:pPr>
      <w:rPr>
        <w:rFonts w:ascii="Symbol" w:hAnsi="Symbol" w:hint="default"/>
      </w:rPr>
    </w:lvl>
    <w:lvl w:ilvl="7">
      <w:start w:val="1"/>
      <w:numFmt w:val="bullet"/>
      <w:lvlText w:val="o"/>
      <w:lvlJc w:val="left"/>
      <w:pPr>
        <w:tabs>
          <w:tab w:val="num" w:pos="567"/>
        </w:tabs>
        <w:ind w:left="567" w:hanging="567"/>
      </w:pPr>
      <w:rPr>
        <w:rFonts w:ascii="Courier New" w:hAnsi="Courier New" w:cs="Courier New" w:hint="default"/>
      </w:rPr>
    </w:lvl>
    <w:lvl w:ilvl="8">
      <w:start w:val="1"/>
      <w:numFmt w:val="bullet"/>
      <w:lvlText w:val=""/>
      <w:lvlJc w:val="left"/>
      <w:pPr>
        <w:tabs>
          <w:tab w:val="num" w:pos="567"/>
        </w:tabs>
        <w:ind w:left="567" w:hanging="567"/>
      </w:pPr>
      <w:rPr>
        <w:rFonts w:ascii="Wingdings" w:hAnsi="Wingdings" w:hint="default"/>
      </w:rPr>
    </w:lvl>
  </w:abstractNum>
  <w:num w:numId="1">
    <w:abstractNumId w:val="2"/>
  </w:num>
  <w:num w:numId="2">
    <w:abstractNumId w:val="1"/>
  </w:num>
  <w:num w:numId="3">
    <w:abstractNumId w:val="13"/>
  </w:num>
  <w:num w:numId="4">
    <w:abstractNumId w:val="18"/>
  </w:num>
  <w:num w:numId="5">
    <w:abstractNumId w:val="0"/>
    <w:lvlOverride w:ilvl="0">
      <w:startOverride w:val="1"/>
    </w:lvlOverride>
  </w:num>
  <w:num w:numId="6">
    <w:abstractNumId w:val="14"/>
  </w:num>
  <w:num w:numId="7">
    <w:abstractNumId w:val="5"/>
  </w:num>
  <w:num w:numId="8">
    <w:abstractNumId w:val="10"/>
  </w:num>
  <w:num w:numId="9">
    <w:abstractNumId w:val="3"/>
  </w:num>
  <w:num w:numId="10">
    <w:abstractNumId w:val="16"/>
  </w:num>
  <w:num w:numId="11">
    <w:abstractNumId w:val="4"/>
  </w:num>
  <w:num w:numId="12">
    <w:abstractNumId w:val="6"/>
  </w:num>
  <w:num w:numId="13">
    <w:abstractNumId w:val="6"/>
  </w:num>
  <w:num w:numId="14">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9"/>
  </w:num>
  <w:num w:numId="17">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9"/>
  </w:num>
  <w:num w:numId="19">
    <w:abstractNumId w:val="17"/>
  </w:num>
  <w:num w:numId="20">
    <w:abstractNumId w:val="17"/>
    <w:lvlOverride w:ilvl="0">
      <w:startOverride w:val="1"/>
    </w:lvlOverride>
  </w:num>
  <w:num w:numId="21">
    <w:abstractNumId w:val="12"/>
  </w:num>
  <w:num w:numId="22">
    <w:abstractNumId w:val="12"/>
  </w:num>
  <w:num w:numId="23">
    <w:abstractNumId w:val="12"/>
  </w:num>
  <w:num w:numId="24">
    <w:abstractNumId w:val="15"/>
  </w:num>
  <w:num w:numId="25">
    <w:abstractNumId w:val="20"/>
    <w:lvlOverride w:ilvl="0">
      <w:lvl w:ilvl="0">
        <w:start w:val="1"/>
        <w:numFmt w:val="bullet"/>
        <w:lvlText w:val=""/>
        <w:lvlJc w:val="left"/>
        <w:pPr>
          <w:tabs>
            <w:tab w:val="num" w:pos="567"/>
          </w:tabs>
          <w:ind w:left="397" w:hanging="397"/>
        </w:pPr>
        <w:rPr>
          <w:rFonts w:ascii="Symbol" w:hAnsi="Symbol" w:hint="default"/>
          <w:color w:val="auto"/>
        </w:rPr>
      </w:lvl>
    </w:lvlOverride>
  </w:num>
  <w:num w:numId="26">
    <w:abstractNumId w:val="11"/>
  </w:num>
  <w:num w:numId="27">
    <w:abstractNumId w:val="7"/>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110"/>
  <w:displayHorizontalDrawingGridEvery w:val="2"/>
  <w:characterSpacingControl w:val="doNotCompress"/>
  <w:hdrShapeDefaults>
    <o:shapedefaults v:ext="edit" spidmax="7270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REFMGR.InstantFormat" w:val="&lt;InstantFormat&gt;&lt;Enabled&gt;0&lt;/Enabled&gt;&lt;ScanUnformatted&gt;1&lt;/ScanUnformatted&gt;&lt;ScanChanges&gt;1&lt;/ScanChanges&gt;&lt;/InstantFormat&gt;"/>
    <w:docVar w:name="REFMGR.Layout" w:val="&lt;Layout&gt;&lt;StartingRefnum&gt;J:\Common\RefManager Catalogues\Styles\BA Output Style.os&lt;/StartingRefnum&gt;&lt;FontName&gt;Cambria&lt;/FontName&gt;&lt;FontSize&gt;11&lt;/FontSize&gt;&lt;ReflistTitle&gt;Reference List&lt;/ReflistTitle&gt;&lt;SpaceAfter&gt;1&lt;/SpaceAfter&gt;&lt;ReflistOrder&gt;1&lt;/ReflistOrder&gt;&lt;CitationOrder&gt;2&lt;/CitationOrder&gt;&lt;NumberReferences&gt;0&lt;/NumberReferences&gt;&lt;FirstLineIndent&gt;0&lt;/FirstLineIndent&gt;&lt;HangingIndent&gt;0&lt;/HangingIndent&gt;&lt;LineSpacing&gt;0&lt;/LineSpacing&gt;&lt;ShowReprint&gt;1&lt;/ShowReprint&gt;&lt;ShowNotes&gt;0&lt;/ShowNotes&gt;&lt;ShowKeywords&gt;0&lt;/ShowKeywords&gt;&lt;ShortFormFields&gt;0&lt;/ShortFormFields&gt;&lt;ShowRecordID&gt;0&lt;/ShowRecordID&gt;&lt;ShowAbstract&gt;0&lt;/ShowAbstract&gt;&lt;/Layout&gt;"/>
    <w:docVar w:name="REFMGR.Libraries" w:val="&lt;Databases&gt;&lt;Libraries&gt;&lt;item&gt;Clean Plant Database&lt;/item&gt;&lt;/Libraries&gt;&lt;/Databases&gt;"/>
  </w:docVars>
  <w:rsids>
    <w:rsidRoot w:val="00D0393D"/>
    <w:rsid w:val="000014A4"/>
    <w:rsid w:val="00006924"/>
    <w:rsid w:val="00010ACE"/>
    <w:rsid w:val="00011127"/>
    <w:rsid w:val="000207A3"/>
    <w:rsid w:val="000354C1"/>
    <w:rsid w:val="0004450F"/>
    <w:rsid w:val="00052FA8"/>
    <w:rsid w:val="00063F3E"/>
    <w:rsid w:val="00065767"/>
    <w:rsid w:val="00067DCB"/>
    <w:rsid w:val="00083279"/>
    <w:rsid w:val="00090D68"/>
    <w:rsid w:val="000A123A"/>
    <w:rsid w:val="000A6360"/>
    <w:rsid w:val="000B1F15"/>
    <w:rsid w:val="000B3750"/>
    <w:rsid w:val="000B3F86"/>
    <w:rsid w:val="000B607B"/>
    <w:rsid w:val="000B65C7"/>
    <w:rsid w:val="000C0BD4"/>
    <w:rsid w:val="000C688F"/>
    <w:rsid w:val="000C7D71"/>
    <w:rsid w:val="000D3C00"/>
    <w:rsid w:val="000D74B0"/>
    <w:rsid w:val="000E28D3"/>
    <w:rsid w:val="000E3922"/>
    <w:rsid w:val="000E7706"/>
    <w:rsid w:val="000F6627"/>
    <w:rsid w:val="0010601B"/>
    <w:rsid w:val="00112F70"/>
    <w:rsid w:val="00133E30"/>
    <w:rsid w:val="00145358"/>
    <w:rsid w:val="0015106B"/>
    <w:rsid w:val="00173377"/>
    <w:rsid w:val="00194489"/>
    <w:rsid w:val="00194EAB"/>
    <w:rsid w:val="001A41FC"/>
    <w:rsid w:val="001B3800"/>
    <w:rsid w:val="001E5A39"/>
    <w:rsid w:val="001E73EE"/>
    <w:rsid w:val="001F1729"/>
    <w:rsid w:val="00210126"/>
    <w:rsid w:val="0022256E"/>
    <w:rsid w:val="00225036"/>
    <w:rsid w:val="0023028A"/>
    <w:rsid w:val="0025193F"/>
    <w:rsid w:val="00265A5E"/>
    <w:rsid w:val="00275B0E"/>
    <w:rsid w:val="002764F5"/>
    <w:rsid w:val="0027754D"/>
    <w:rsid w:val="0029143D"/>
    <w:rsid w:val="002944AB"/>
    <w:rsid w:val="002C0133"/>
    <w:rsid w:val="002C0431"/>
    <w:rsid w:val="002C1D03"/>
    <w:rsid w:val="002C6F6A"/>
    <w:rsid w:val="002D76E7"/>
    <w:rsid w:val="002E0115"/>
    <w:rsid w:val="002E55C8"/>
    <w:rsid w:val="002E71D7"/>
    <w:rsid w:val="002F25F9"/>
    <w:rsid w:val="002F4D70"/>
    <w:rsid w:val="002F7B96"/>
    <w:rsid w:val="0030081E"/>
    <w:rsid w:val="0031767D"/>
    <w:rsid w:val="00320A40"/>
    <w:rsid w:val="00320ABB"/>
    <w:rsid w:val="00327AC4"/>
    <w:rsid w:val="003317F2"/>
    <w:rsid w:val="00332442"/>
    <w:rsid w:val="003349B5"/>
    <w:rsid w:val="00336EB8"/>
    <w:rsid w:val="00343121"/>
    <w:rsid w:val="003537DF"/>
    <w:rsid w:val="00360E0A"/>
    <w:rsid w:val="003615BA"/>
    <w:rsid w:val="00364694"/>
    <w:rsid w:val="00386F3C"/>
    <w:rsid w:val="0039271F"/>
    <w:rsid w:val="003A085C"/>
    <w:rsid w:val="003A6DE1"/>
    <w:rsid w:val="003B7143"/>
    <w:rsid w:val="003C162C"/>
    <w:rsid w:val="003D1A1A"/>
    <w:rsid w:val="003D780B"/>
    <w:rsid w:val="003F28C7"/>
    <w:rsid w:val="003F405A"/>
    <w:rsid w:val="0040689E"/>
    <w:rsid w:val="004204C6"/>
    <w:rsid w:val="00427CE4"/>
    <w:rsid w:val="0043271B"/>
    <w:rsid w:val="0043311F"/>
    <w:rsid w:val="00433507"/>
    <w:rsid w:val="00446AC3"/>
    <w:rsid w:val="004506FE"/>
    <w:rsid w:val="00456F3F"/>
    <w:rsid w:val="004572D4"/>
    <w:rsid w:val="00467E35"/>
    <w:rsid w:val="00471F8F"/>
    <w:rsid w:val="00472B02"/>
    <w:rsid w:val="00472CA6"/>
    <w:rsid w:val="00476607"/>
    <w:rsid w:val="004804F1"/>
    <w:rsid w:val="00482D2E"/>
    <w:rsid w:val="00485A18"/>
    <w:rsid w:val="004C3476"/>
    <w:rsid w:val="004F62E5"/>
    <w:rsid w:val="0051733B"/>
    <w:rsid w:val="00522EE0"/>
    <w:rsid w:val="00532F00"/>
    <w:rsid w:val="0053679A"/>
    <w:rsid w:val="00551E63"/>
    <w:rsid w:val="0056017E"/>
    <w:rsid w:val="00562AE7"/>
    <w:rsid w:val="0057429D"/>
    <w:rsid w:val="0057766D"/>
    <w:rsid w:val="00586D0D"/>
    <w:rsid w:val="005914B9"/>
    <w:rsid w:val="005A5C18"/>
    <w:rsid w:val="005A7F1F"/>
    <w:rsid w:val="005B0249"/>
    <w:rsid w:val="005B6721"/>
    <w:rsid w:val="005C4287"/>
    <w:rsid w:val="005C79A0"/>
    <w:rsid w:val="005D0044"/>
    <w:rsid w:val="005D059C"/>
    <w:rsid w:val="005D1688"/>
    <w:rsid w:val="005D53DD"/>
    <w:rsid w:val="005D58E9"/>
    <w:rsid w:val="005D6AD4"/>
    <w:rsid w:val="005E3C5C"/>
    <w:rsid w:val="005E5DF8"/>
    <w:rsid w:val="005F1701"/>
    <w:rsid w:val="00601359"/>
    <w:rsid w:val="00604C44"/>
    <w:rsid w:val="00614A0A"/>
    <w:rsid w:val="0063103A"/>
    <w:rsid w:val="00634925"/>
    <w:rsid w:val="006368C6"/>
    <w:rsid w:val="00640BBF"/>
    <w:rsid w:val="00641F55"/>
    <w:rsid w:val="00687AF2"/>
    <w:rsid w:val="00690508"/>
    <w:rsid w:val="00691207"/>
    <w:rsid w:val="00694BF1"/>
    <w:rsid w:val="006A5B5C"/>
    <w:rsid w:val="006B0659"/>
    <w:rsid w:val="006C70A4"/>
    <w:rsid w:val="006D2E24"/>
    <w:rsid w:val="006E14E8"/>
    <w:rsid w:val="006F157A"/>
    <w:rsid w:val="006F1726"/>
    <w:rsid w:val="00702854"/>
    <w:rsid w:val="00704F80"/>
    <w:rsid w:val="007051A9"/>
    <w:rsid w:val="00707442"/>
    <w:rsid w:val="00714FFC"/>
    <w:rsid w:val="0072396C"/>
    <w:rsid w:val="00726EB8"/>
    <w:rsid w:val="00731770"/>
    <w:rsid w:val="00732465"/>
    <w:rsid w:val="007328B2"/>
    <w:rsid w:val="00732E8F"/>
    <w:rsid w:val="00735771"/>
    <w:rsid w:val="00736319"/>
    <w:rsid w:val="00747BDA"/>
    <w:rsid w:val="007635BE"/>
    <w:rsid w:val="007672BE"/>
    <w:rsid w:val="00781CBF"/>
    <w:rsid w:val="0078649E"/>
    <w:rsid w:val="00795515"/>
    <w:rsid w:val="007B0677"/>
    <w:rsid w:val="007B4BAD"/>
    <w:rsid w:val="007C0D1B"/>
    <w:rsid w:val="007C3530"/>
    <w:rsid w:val="007E4AEA"/>
    <w:rsid w:val="007F4D3B"/>
    <w:rsid w:val="007F7C2B"/>
    <w:rsid w:val="00810E5E"/>
    <w:rsid w:val="00822613"/>
    <w:rsid w:val="0082292F"/>
    <w:rsid w:val="00825CEB"/>
    <w:rsid w:val="00826AA9"/>
    <w:rsid w:val="00832BC3"/>
    <w:rsid w:val="008351ED"/>
    <w:rsid w:val="00851E8C"/>
    <w:rsid w:val="008561F1"/>
    <w:rsid w:val="008A4397"/>
    <w:rsid w:val="008B2FC1"/>
    <w:rsid w:val="008B789F"/>
    <w:rsid w:val="008C2B8F"/>
    <w:rsid w:val="008C39E8"/>
    <w:rsid w:val="008D1D0E"/>
    <w:rsid w:val="008D58AC"/>
    <w:rsid w:val="008F4556"/>
    <w:rsid w:val="00903E2A"/>
    <w:rsid w:val="00905E02"/>
    <w:rsid w:val="0091716D"/>
    <w:rsid w:val="00921312"/>
    <w:rsid w:val="0092363E"/>
    <w:rsid w:val="0092491C"/>
    <w:rsid w:val="009265A6"/>
    <w:rsid w:val="009270CC"/>
    <w:rsid w:val="009321CD"/>
    <w:rsid w:val="00943527"/>
    <w:rsid w:val="009525DC"/>
    <w:rsid w:val="00953860"/>
    <w:rsid w:val="009639E3"/>
    <w:rsid w:val="00964C19"/>
    <w:rsid w:val="00965F95"/>
    <w:rsid w:val="00970B10"/>
    <w:rsid w:val="00971A74"/>
    <w:rsid w:val="00982940"/>
    <w:rsid w:val="00987863"/>
    <w:rsid w:val="009974FE"/>
    <w:rsid w:val="009A260F"/>
    <w:rsid w:val="009C25D9"/>
    <w:rsid w:val="009C66E7"/>
    <w:rsid w:val="009D2716"/>
    <w:rsid w:val="009D2A7D"/>
    <w:rsid w:val="009E5151"/>
    <w:rsid w:val="009F614E"/>
    <w:rsid w:val="00A00B38"/>
    <w:rsid w:val="00A01D05"/>
    <w:rsid w:val="00A11475"/>
    <w:rsid w:val="00A159AA"/>
    <w:rsid w:val="00A30007"/>
    <w:rsid w:val="00A460DA"/>
    <w:rsid w:val="00A4637F"/>
    <w:rsid w:val="00A52A70"/>
    <w:rsid w:val="00A540E2"/>
    <w:rsid w:val="00A56E28"/>
    <w:rsid w:val="00A65715"/>
    <w:rsid w:val="00A82483"/>
    <w:rsid w:val="00A8392D"/>
    <w:rsid w:val="00A86C00"/>
    <w:rsid w:val="00A87250"/>
    <w:rsid w:val="00A8759C"/>
    <w:rsid w:val="00A941B0"/>
    <w:rsid w:val="00A96B4F"/>
    <w:rsid w:val="00AA369E"/>
    <w:rsid w:val="00AA431D"/>
    <w:rsid w:val="00AA45FC"/>
    <w:rsid w:val="00AA6A2F"/>
    <w:rsid w:val="00AB087A"/>
    <w:rsid w:val="00AB52D9"/>
    <w:rsid w:val="00AC1CF3"/>
    <w:rsid w:val="00AD0930"/>
    <w:rsid w:val="00AD0D0B"/>
    <w:rsid w:val="00AE1939"/>
    <w:rsid w:val="00AF4226"/>
    <w:rsid w:val="00B0363B"/>
    <w:rsid w:val="00B03B30"/>
    <w:rsid w:val="00B05474"/>
    <w:rsid w:val="00B24D06"/>
    <w:rsid w:val="00B2543C"/>
    <w:rsid w:val="00B4082F"/>
    <w:rsid w:val="00B4490D"/>
    <w:rsid w:val="00B450F5"/>
    <w:rsid w:val="00B45EBD"/>
    <w:rsid w:val="00B56F7A"/>
    <w:rsid w:val="00B74987"/>
    <w:rsid w:val="00B75EB9"/>
    <w:rsid w:val="00B94F74"/>
    <w:rsid w:val="00B97F2F"/>
    <w:rsid w:val="00BA1D09"/>
    <w:rsid w:val="00BA520E"/>
    <w:rsid w:val="00BB7782"/>
    <w:rsid w:val="00BC59FD"/>
    <w:rsid w:val="00BC7AB8"/>
    <w:rsid w:val="00BD1414"/>
    <w:rsid w:val="00BD6B0B"/>
    <w:rsid w:val="00BE199A"/>
    <w:rsid w:val="00BE4208"/>
    <w:rsid w:val="00BF546F"/>
    <w:rsid w:val="00BF6035"/>
    <w:rsid w:val="00C00F7A"/>
    <w:rsid w:val="00C16477"/>
    <w:rsid w:val="00C16954"/>
    <w:rsid w:val="00C21661"/>
    <w:rsid w:val="00C31FF1"/>
    <w:rsid w:val="00C3450E"/>
    <w:rsid w:val="00C43C3E"/>
    <w:rsid w:val="00C43DDD"/>
    <w:rsid w:val="00C6367B"/>
    <w:rsid w:val="00C638D2"/>
    <w:rsid w:val="00C6395B"/>
    <w:rsid w:val="00C66EAD"/>
    <w:rsid w:val="00C86601"/>
    <w:rsid w:val="00C86BBF"/>
    <w:rsid w:val="00C92132"/>
    <w:rsid w:val="00CA48DE"/>
    <w:rsid w:val="00CA4C80"/>
    <w:rsid w:val="00CA609B"/>
    <w:rsid w:val="00CA6252"/>
    <w:rsid w:val="00CB6892"/>
    <w:rsid w:val="00CC171B"/>
    <w:rsid w:val="00CC3373"/>
    <w:rsid w:val="00CC5D07"/>
    <w:rsid w:val="00CC6F17"/>
    <w:rsid w:val="00CD35D6"/>
    <w:rsid w:val="00CD5C29"/>
    <w:rsid w:val="00CD79A5"/>
    <w:rsid w:val="00CE0E1B"/>
    <w:rsid w:val="00CE3D44"/>
    <w:rsid w:val="00D00C46"/>
    <w:rsid w:val="00D0393D"/>
    <w:rsid w:val="00D12F04"/>
    <w:rsid w:val="00D21F38"/>
    <w:rsid w:val="00D22F71"/>
    <w:rsid w:val="00D23E74"/>
    <w:rsid w:val="00D23EA9"/>
    <w:rsid w:val="00D40E47"/>
    <w:rsid w:val="00D46811"/>
    <w:rsid w:val="00D502F4"/>
    <w:rsid w:val="00D60965"/>
    <w:rsid w:val="00D71258"/>
    <w:rsid w:val="00D77678"/>
    <w:rsid w:val="00DB0960"/>
    <w:rsid w:val="00DC44DC"/>
    <w:rsid w:val="00DF1010"/>
    <w:rsid w:val="00E11553"/>
    <w:rsid w:val="00E12593"/>
    <w:rsid w:val="00E15E40"/>
    <w:rsid w:val="00E25169"/>
    <w:rsid w:val="00E303A0"/>
    <w:rsid w:val="00E34749"/>
    <w:rsid w:val="00E3787B"/>
    <w:rsid w:val="00E411AF"/>
    <w:rsid w:val="00E45736"/>
    <w:rsid w:val="00E77871"/>
    <w:rsid w:val="00E845A8"/>
    <w:rsid w:val="00EA2B66"/>
    <w:rsid w:val="00EA6368"/>
    <w:rsid w:val="00EA63DC"/>
    <w:rsid w:val="00EB1100"/>
    <w:rsid w:val="00EC6704"/>
    <w:rsid w:val="00ED37AE"/>
    <w:rsid w:val="00ED7FED"/>
    <w:rsid w:val="00EE57AE"/>
    <w:rsid w:val="00EF09E2"/>
    <w:rsid w:val="00EF1332"/>
    <w:rsid w:val="00F01E67"/>
    <w:rsid w:val="00F1386C"/>
    <w:rsid w:val="00F322BD"/>
    <w:rsid w:val="00F412A4"/>
    <w:rsid w:val="00F518AA"/>
    <w:rsid w:val="00F55629"/>
    <w:rsid w:val="00F57C38"/>
    <w:rsid w:val="00F61A05"/>
    <w:rsid w:val="00F63887"/>
    <w:rsid w:val="00F646BD"/>
    <w:rsid w:val="00F65F43"/>
    <w:rsid w:val="00F72D5E"/>
    <w:rsid w:val="00F72EC2"/>
    <w:rsid w:val="00F72FA3"/>
    <w:rsid w:val="00F763DE"/>
    <w:rsid w:val="00F82514"/>
    <w:rsid w:val="00F94EFF"/>
    <w:rsid w:val="00F97361"/>
    <w:rsid w:val="00FB012E"/>
    <w:rsid w:val="00FB6673"/>
    <w:rsid w:val="00FD1289"/>
    <w:rsid w:val="00FE0ACD"/>
    <w:rsid w:val="00FE17FF"/>
    <w:rsid w:val="00FE61B9"/>
    <w:rsid w:val="00FF161D"/>
    <w:rsid w:val="00FF30F8"/>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72705"/>
    <o:shapelayout v:ext="edit">
      <o:idmap v:ext="edit" data="1"/>
    </o:shapelayout>
  </w:shapeDefaults>
  <w:decimalSymbol w:val="."/>
  <w:listSeparator w:val=","/>
  <w14:docId w14:val="7AFD0257"/>
  <w15:chartTrackingRefBased/>
  <w15:docId w15:val="{F5E8ED8A-753F-4C46-8935-828F03F482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semiHidden="1" w:uiPriority="9" w:qFormat="1"/>
    <w:lsdException w:name="heading 2" w:semiHidden="1" w:uiPriority="9" w:unhideWhenUsed="1" w:qFormat="1"/>
    <w:lsdException w:name="heading 3" w:semiHidden="1" w:uiPriority="4" w:unhideWhenUsed="1" w:qFormat="1"/>
    <w:lsdException w:name="heading 4" w:semiHidden="1" w:uiPriority="5" w:unhideWhenUsed="1" w:qFormat="1"/>
    <w:lsdException w:name="heading 5" w:semiHidden="1" w:uiPriority="6" w:unhideWhenUsed="1" w:qFormat="1"/>
    <w:lsdException w:name="heading 6" w:semiHidden="1" w:uiPriority="9" w:qFormat="1"/>
    <w:lsdException w:name="heading 7" w:semiHidden="1" w:uiPriority="9" w:qFormat="1"/>
    <w:lsdException w:name="heading 8" w:semiHidden="1" w:uiPriority="9" w:qFormat="1"/>
    <w:lsdException w:name="heading 9" w:semiHidden="1"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unhideWhenUsed="1"/>
    <w:lsdException w:name="footnote text" w:semiHidden="1" w:unhideWhenUsed="1"/>
    <w:lsdException w:name="annotation text" w:semiHidden="1" w:unhideWhenUsed="1"/>
    <w:lsdException w:name="header" w:semiHidden="1" w:uiPriority="26" w:unhideWhenUsed="1"/>
    <w:lsdException w:name="footer" w:semiHidden="1" w:unhideWhenUsed="1"/>
    <w:lsdException w:name="index heading" w:semiHidden="1" w:unhideWhenUsed="1"/>
    <w:lsdException w:name="caption" w:semiHidden="1" w:uiPriority="12"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7" w:unhideWhenUsed="1" w:qFormat="1"/>
    <w:lsdException w:name="List Number" w:semiHidden="1" w:uiPriority="9"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8" w:unhideWhenUsed="1" w:qFormat="1"/>
    <w:lsdException w:name="List Bullet 3" w:semiHidden="1"/>
    <w:lsdException w:name="List Bullet 4" w:semiHidden="1"/>
    <w:lsdException w:name="List Bullet 5" w:semiHidden="1"/>
    <w:lsdException w:name="List Number 2" w:semiHidden="1" w:uiPriority="10" w:unhideWhenUsed="1" w:qFormat="1"/>
    <w:lsdException w:name="List Number 3" w:semiHidden="1" w:uiPriority="11" w:unhideWhenUsed="1" w:qFormat="1"/>
    <w:lsdException w:name="List Number 4" w:semiHidden="1"/>
    <w:lsdException w:name="List Number 5" w:semiHidden="1"/>
    <w:lsdException w:name="Title" w:semiHidden="1"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qFormat="1"/>
    <w:lsdException w:name="Quote" w:semiHidden="1" w:uiPriority="18"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F1726"/>
    <w:pPr>
      <w:spacing w:before="200" w:after="200" w:line="276" w:lineRule="auto"/>
    </w:pPr>
    <w:rPr>
      <w:rFonts w:eastAsia="Calibri"/>
      <w:sz w:val="22"/>
      <w:szCs w:val="22"/>
      <w:lang w:eastAsia="en-US"/>
    </w:rPr>
  </w:style>
  <w:style w:type="paragraph" w:styleId="Heading1">
    <w:name w:val="heading 1"/>
    <w:basedOn w:val="Normal"/>
    <w:next w:val="Normal"/>
    <w:link w:val="Heading1Char"/>
    <w:uiPriority w:val="9"/>
    <w:qFormat/>
    <w:rsid w:val="006F1726"/>
    <w:pPr>
      <w:keepNext/>
      <w:keepLines/>
      <w:numPr>
        <w:numId w:val="21"/>
      </w:numPr>
      <w:spacing w:before="480" w:after="120"/>
      <w:outlineLvl w:val="0"/>
    </w:pPr>
    <w:rPr>
      <w:rFonts w:ascii="Calibri" w:eastAsia="Times New Roman" w:hAnsi="Calibri"/>
      <w:b/>
      <w:bCs/>
      <w:color w:val="D52B1E"/>
      <w:sz w:val="34"/>
      <w:szCs w:val="28"/>
    </w:rPr>
  </w:style>
  <w:style w:type="paragraph" w:styleId="Heading2">
    <w:name w:val="heading 2"/>
    <w:basedOn w:val="Normal"/>
    <w:next w:val="Normal"/>
    <w:link w:val="Heading2Char"/>
    <w:uiPriority w:val="9"/>
    <w:unhideWhenUsed/>
    <w:qFormat/>
    <w:rsid w:val="006F1726"/>
    <w:pPr>
      <w:keepNext/>
      <w:keepLines/>
      <w:numPr>
        <w:ilvl w:val="1"/>
        <w:numId w:val="21"/>
      </w:numPr>
      <w:spacing w:after="120"/>
      <w:outlineLvl w:val="1"/>
    </w:pPr>
    <w:rPr>
      <w:rFonts w:ascii="Calibri" w:eastAsia="Times New Roman" w:hAnsi="Calibri"/>
      <w:b/>
      <w:bCs/>
      <w:color w:val="773141"/>
      <w:sz w:val="28"/>
      <w:szCs w:val="26"/>
    </w:rPr>
  </w:style>
  <w:style w:type="paragraph" w:styleId="Heading3">
    <w:name w:val="heading 3"/>
    <w:basedOn w:val="Normal"/>
    <w:next w:val="Normal"/>
    <w:link w:val="Heading3Char"/>
    <w:uiPriority w:val="4"/>
    <w:qFormat/>
    <w:rsid w:val="006F1726"/>
    <w:pPr>
      <w:keepNext/>
      <w:keepLines/>
      <w:numPr>
        <w:ilvl w:val="2"/>
        <w:numId w:val="21"/>
      </w:numPr>
      <w:spacing w:before="120" w:line="240" w:lineRule="auto"/>
      <w:outlineLvl w:val="2"/>
    </w:pPr>
    <w:rPr>
      <w:rFonts w:ascii="Calibri" w:hAnsi="Calibri"/>
      <w:b/>
      <w:bCs/>
      <w:sz w:val="24"/>
    </w:rPr>
  </w:style>
  <w:style w:type="paragraph" w:styleId="Heading4">
    <w:name w:val="heading 4"/>
    <w:basedOn w:val="Normal"/>
    <w:next w:val="Normal"/>
    <w:link w:val="Heading4Char"/>
    <w:uiPriority w:val="5"/>
    <w:qFormat/>
    <w:rsid w:val="006F1726"/>
    <w:pPr>
      <w:keepNext/>
      <w:keepLines/>
      <w:spacing w:before="120" w:line="240" w:lineRule="auto"/>
      <w:outlineLvl w:val="3"/>
    </w:pPr>
    <w:rPr>
      <w:rFonts w:ascii="Calibri" w:hAnsi="Calibri"/>
      <w:b/>
      <w:bCs/>
      <w:iCs/>
    </w:rPr>
  </w:style>
  <w:style w:type="paragraph" w:styleId="Heading5">
    <w:name w:val="heading 5"/>
    <w:basedOn w:val="Normal"/>
    <w:next w:val="Normal"/>
    <w:link w:val="Heading5Char"/>
    <w:uiPriority w:val="6"/>
    <w:qFormat/>
    <w:rsid w:val="006F1726"/>
    <w:pPr>
      <w:keepNext/>
      <w:keepLines/>
      <w:spacing w:before="120" w:line="240" w:lineRule="auto"/>
      <w:outlineLvl w:val="4"/>
    </w:pPr>
    <w:rPr>
      <w:rFonts w:ascii="Calibri" w:hAnsi="Calibri"/>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ommentText">
    <w:name w:val="annotation text"/>
    <w:basedOn w:val="Normal"/>
    <w:link w:val="CommentTextChar"/>
    <w:uiPriority w:val="99"/>
    <w:semiHidden/>
    <w:unhideWhenUsed/>
    <w:rsid w:val="006F1726"/>
    <w:rPr>
      <w:sz w:val="20"/>
      <w:szCs w:val="20"/>
    </w:rPr>
  </w:style>
  <w:style w:type="character" w:customStyle="1" w:styleId="CommentTextChar">
    <w:name w:val="Comment Text Char"/>
    <w:link w:val="CommentText"/>
    <w:uiPriority w:val="99"/>
    <w:semiHidden/>
    <w:rsid w:val="006F1726"/>
    <w:rPr>
      <w:rFonts w:eastAsia="Calibri" w:cs="Times New Roman"/>
      <w:lang w:eastAsia="en-US"/>
    </w:rPr>
  </w:style>
  <w:style w:type="paragraph" w:styleId="Header">
    <w:name w:val="header"/>
    <w:basedOn w:val="Normal"/>
    <w:link w:val="HeaderChar"/>
    <w:uiPriority w:val="26"/>
    <w:rsid w:val="006F1726"/>
    <w:pPr>
      <w:tabs>
        <w:tab w:val="center" w:pos="4820"/>
      </w:tabs>
      <w:spacing w:line="240" w:lineRule="auto"/>
      <w:jc w:val="center"/>
    </w:pPr>
    <w:rPr>
      <w:rFonts w:ascii="Calibri" w:hAnsi="Calibri"/>
      <w:sz w:val="20"/>
    </w:rPr>
  </w:style>
  <w:style w:type="character" w:customStyle="1" w:styleId="HeaderChar">
    <w:name w:val="Header Char"/>
    <w:link w:val="Header"/>
    <w:uiPriority w:val="26"/>
    <w:rsid w:val="006F1726"/>
    <w:rPr>
      <w:rFonts w:ascii="Calibri" w:eastAsia="Calibri" w:hAnsi="Calibri" w:cs="Times New Roman"/>
      <w:szCs w:val="22"/>
      <w:lang w:eastAsia="en-US"/>
    </w:rPr>
  </w:style>
  <w:style w:type="paragraph" w:styleId="Footer">
    <w:name w:val="footer"/>
    <w:basedOn w:val="Normal"/>
    <w:link w:val="FooterChar"/>
    <w:uiPriority w:val="99"/>
    <w:rsid w:val="006F1726"/>
    <w:pPr>
      <w:tabs>
        <w:tab w:val="center" w:pos="4536"/>
      </w:tabs>
      <w:spacing w:after="120" w:line="240" w:lineRule="auto"/>
      <w:jc w:val="center"/>
    </w:pPr>
    <w:rPr>
      <w:rFonts w:ascii="Calibri" w:hAnsi="Calibri"/>
      <w:sz w:val="20"/>
    </w:rPr>
  </w:style>
  <w:style w:type="character" w:customStyle="1" w:styleId="FooterChar">
    <w:name w:val="Footer Char"/>
    <w:link w:val="Footer"/>
    <w:uiPriority w:val="99"/>
    <w:rsid w:val="006F1726"/>
    <w:rPr>
      <w:rFonts w:ascii="Calibri" w:eastAsia="Calibri" w:hAnsi="Calibri" w:cs="Times New Roman"/>
      <w:szCs w:val="22"/>
      <w:lang w:eastAsia="en-US"/>
    </w:rPr>
  </w:style>
  <w:style w:type="character" w:styleId="CommentReference">
    <w:name w:val="annotation reference"/>
    <w:uiPriority w:val="99"/>
    <w:semiHidden/>
    <w:unhideWhenUsed/>
    <w:rsid w:val="006F1726"/>
    <w:rPr>
      <w:sz w:val="16"/>
      <w:szCs w:val="16"/>
    </w:rPr>
  </w:style>
  <w:style w:type="paragraph" w:styleId="CommentSubject">
    <w:name w:val="annotation subject"/>
    <w:basedOn w:val="CommentText"/>
    <w:next w:val="CommentText"/>
    <w:link w:val="CommentSubjectChar"/>
    <w:uiPriority w:val="99"/>
    <w:semiHidden/>
    <w:unhideWhenUsed/>
    <w:rsid w:val="006F1726"/>
    <w:rPr>
      <w:b/>
      <w:bCs/>
    </w:rPr>
  </w:style>
  <w:style w:type="character" w:customStyle="1" w:styleId="CommentSubjectChar">
    <w:name w:val="Comment Subject Char"/>
    <w:link w:val="CommentSubject"/>
    <w:uiPriority w:val="99"/>
    <w:semiHidden/>
    <w:rsid w:val="006F1726"/>
    <w:rPr>
      <w:rFonts w:eastAsia="Calibri" w:cs="Times New Roman"/>
      <w:b/>
      <w:bCs/>
      <w:lang w:eastAsia="en-US"/>
    </w:rPr>
  </w:style>
  <w:style w:type="paragraph" w:styleId="BalloonText">
    <w:name w:val="Balloon Text"/>
    <w:basedOn w:val="Normal"/>
    <w:link w:val="BalloonTextChar"/>
    <w:uiPriority w:val="99"/>
    <w:semiHidden/>
    <w:unhideWhenUsed/>
    <w:rsid w:val="006F1726"/>
    <w:rPr>
      <w:rFonts w:ascii="Calibri" w:hAnsi="Calibri"/>
      <w:sz w:val="18"/>
      <w:szCs w:val="18"/>
    </w:rPr>
  </w:style>
  <w:style w:type="character" w:customStyle="1" w:styleId="BalloonTextChar">
    <w:name w:val="Balloon Text Char"/>
    <w:link w:val="BalloonText"/>
    <w:uiPriority w:val="99"/>
    <w:semiHidden/>
    <w:rsid w:val="006F1726"/>
    <w:rPr>
      <w:rFonts w:ascii="Calibri" w:eastAsia="Calibri" w:hAnsi="Calibri" w:cs="Times New Roman"/>
      <w:sz w:val="18"/>
      <w:szCs w:val="18"/>
      <w:lang w:eastAsia="en-US"/>
    </w:rPr>
  </w:style>
  <w:style w:type="table" w:styleId="TableGrid">
    <w:name w:val="Table Grid"/>
    <w:basedOn w:val="TableNormal"/>
    <w:uiPriority w:val="59"/>
    <w:rsid w:val="006F1726"/>
    <w:pPr>
      <w:spacing w:before="60" w:after="60"/>
    </w:pPr>
    <w:rPr>
      <w:rFonts w:eastAsia="Times New Roman"/>
      <w:sz w:val="1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oteraddress">
    <w:name w:val="Footer address"/>
    <w:basedOn w:val="Footer"/>
    <w:semiHidden/>
    <w:qFormat/>
    <w:rsid w:val="006F1726"/>
    <w:rPr>
      <w:sz w:val="16"/>
    </w:rPr>
  </w:style>
  <w:style w:type="numbering" w:customStyle="1" w:styleId="Headings">
    <w:name w:val="Headings"/>
    <w:uiPriority w:val="99"/>
    <w:rsid w:val="006F1726"/>
    <w:pPr>
      <w:numPr>
        <w:numId w:val="12"/>
      </w:numPr>
    </w:pPr>
  </w:style>
  <w:style w:type="character" w:customStyle="1" w:styleId="Heading1Char">
    <w:name w:val="Heading 1 Char"/>
    <w:link w:val="Heading1"/>
    <w:uiPriority w:val="9"/>
    <w:rsid w:val="006F1726"/>
    <w:rPr>
      <w:rFonts w:ascii="Calibri" w:eastAsia="Times New Roman" w:hAnsi="Calibri" w:cs="Times New Roman"/>
      <w:b/>
      <w:bCs/>
      <w:color w:val="D52B1E"/>
      <w:sz w:val="34"/>
      <w:szCs w:val="28"/>
      <w:lang w:eastAsia="en-US"/>
    </w:rPr>
  </w:style>
  <w:style w:type="paragraph" w:styleId="ListParagraph">
    <w:name w:val="List Paragraph"/>
    <w:basedOn w:val="Normal"/>
    <w:uiPriority w:val="99"/>
    <w:semiHidden/>
    <w:qFormat/>
    <w:rsid w:val="006F1726"/>
    <w:pPr>
      <w:ind w:left="720"/>
    </w:pPr>
  </w:style>
  <w:style w:type="character" w:customStyle="1" w:styleId="Heading2Char">
    <w:name w:val="Heading 2 Char"/>
    <w:link w:val="Heading2"/>
    <w:uiPriority w:val="9"/>
    <w:rsid w:val="006F1726"/>
    <w:rPr>
      <w:rFonts w:ascii="Calibri" w:eastAsia="Times New Roman" w:hAnsi="Calibri" w:cs="Times New Roman"/>
      <w:b/>
      <w:bCs/>
      <w:color w:val="773141"/>
      <w:sz w:val="28"/>
      <w:szCs w:val="26"/>
      <w:lang w:eastAsia="en-US"/>
    </w:rPr>
  </w:style>
  <w:style w:type="character" w:customStyle="1" w:styleId="Heading3Char">
    <w:name w:val="Heading 3 Char"/>
    <w:link w:val="Heading3"/>
    <w:uiPriority w:val="4"/>
    <w:rsid w:val="006F1726"/>
    <w:rPr>
      <w:rFonts w:ascii="Calibri" w:eastAsia="Calibri" w:hAnsi="Calibri" w:cs="Times New Roman"/>
      <w:b/>
      <w:bCs/>
      <w:sz w:val="24"/>
      <w:szCs w:val="22"/>
      <w:lang w:eastAsia="en-US"/>
    </w:rPr>
  </w:style>
  <w:style w:type="character" w:customStyle="1" w:styleId="Heading4Char">
    <w:name w:val="Heading 4 Char"/>
    <w:link w:val="Heading4"/>
    <w:uiPriority w:val="5"/>
    <w:rsid w:val="006F1726"/>
    <w:rPr>
      <w:rFonts w:ascii="Calibri" w:eastAsia="Calibri" w:hAnsi="Calibri" w:cs="Times New Roman"/>
      <w:b/>
      <w:bCs/>
      <w:iCs/>
      <w:sz w:val="22"/>
      <w:szCs w:val="22"/>
      <w:lang w:eastAsia="en-US"/>
    </w:rPr>
  </w:style>
  <w:style w:type="character" w:customStyle="1" w:styleId="Heading5Char">
    <w:name w:val="Heading 5 Char"/>
    <w:link w:val="Heading5"/>
    <w:uiPriority w:val="6"/>
    <w:rsid w:val="006F1726"/>
    <w:rPr>
      <w:rFonts w:ascii="Calibri" w:eastAsia="Calibri" w:hAnsi="Calibri" w:cs="Times New Roman"/>
      <w:b/>
      <w:i/>
      <w:sz w:val="22"/>
      <w:szCs w:val="22"/>
      <w:lang w:eastAsia="en-US"/>
    </w:rPr>
  </w:style>
  <w:style w:type="paragraph" w:styleId="Quote">
    <w:name w:val="Quote"/>
    <w:basedOn w:val="Normal"/>
    <w:next w:val="Normal"/>
    <w:link w:val="QuoteChar"/>
    <w:uiPriority w:val="18"/>
    <w:qFormat/>
    <w:rsid w:val="006F1726"/>
    <w:pPr>
      <w:ind w:left="709" w:right="567"/>
    </w:pPr>
    <w:rPr>
      <w:iCs/>
      <w:color w:val="000000"/>
    </w:rPr>
  </w:style>
  <w:style w:type="character" w:customStyle="1" w:styleId="QuoteChar">
    <w:name w:val="Quote Char"/>
    <w:link w:val="Quote"/>
    <w:uiPriority w:val="18"/>
    <w:rsid w:val="006F1726"/>
    <w:rPr>
      <w:rFonts w:eastAsia="Calibri" w:cs="Times New Roman"/>
      <w:iCs/>
      <w:color w:val="000000"/>
      <w:sz w:val="22"/>
      <w:szCs w:val="22"/>
      <w:lang w:eastAsia="en-US"/>
    </w:rPr>
  </w:style>
  <w:style w:type="paragraph" w:customStyle="1" w:styleId="BoxText">
    <w:name w:val="Box Text"/>
    <w:basedOn w:val="Normal"/>
    <w:uiPriority w:val="19"/>
    <w:qFormat/>
    <w:rsid w:val="006F1726"/>
    <w:pPr>
      <w:pBdr>
        <w:top w:val="single" w:sz="4" w:space="10" w:color="auto"/>
        <w:left w:val="single" w:sz="4" w:space="10" w:color="auto"/>
        <w:bottom w:val="single" w:sz="4" w:space="10" w:color="auto"/>
        <w:right w:val="single" w:sz="4" w:space="10" w:color="auto"/>
      </w:pBdr>
      <w:spacing w:before="120" w:after="120"/>
    </w:pPr>
    <w:rPr>
      <w:sz w:val="20"/>
    </w:rPr>
  </w:style>
  <w:style w:type="paragraph" w:styleId="Caption">
    <w:name w:val="caption"/>
    <w:next w:val="Normal"/>
    <w:link w:val="CaptionChar"/>
    <w:uiPriority w:val="12"/>
    <w:qFormat/>
    <w:rsid w:val="006F1726"/>
    <w:pPr>
      <w:spacing w:after="120"/>
    </w:pPr>
    <w:rPr>
      <w:rFonts w:eastAsia="Times New Roman"/>
      <w:b/>
      <w:bCs/>
      <w:color w:val="595959"/>
      <w:szCs w:val="18"/>
      <w:lang w:eastAsia="en-US"/>
    </w:rPr>
  </w:style>
  <w:style w:type="paragraph" w:customStyle="1" w:styleId="FigureTableNoteSource">
    <w:name w:val="Figure/Table Note/Source"/>
    <w:basedOn w:val="Normal"/>
    <w:next w:val="Normal"/>
    <w:uiPriority w:val="16"/>
    <w:qFormat/>
    <w:rsid w:val="006F1726"/>
    <w:pPr>
      <w:spacing w:before="120" w:line="264" w:lineRule="auto"/>
      <w:contextualSpacing/>
    </w:pPr>
    <w:rPr>
      <w:rFonts w:ascii="Calibri" w:hAnsi="Calibri"/>
      <w:sz w:val="18"/>
    </w:rPr>
  </w:style>
  <w:style w:type="paragraph" w:styleId="Title">
    <w:name w:val="Title"/>
    <w:basedOn w:val="Normal"/>
    <w:next w:val="Subtitle"/>
    <w:link w:val="TitleChar"/>
    <w:uiPriority w:val="22"/>
    <w:qFormat/>
    <w:rsid w:val="006F1726"/>
    <w:pPr>
      <w:spacing w:before="240" w:after="120" w:line="240" w:lineRule="auto"/>
    </w:pPr>
    <w:rPr>
      <w:rFonts w:ascii="Calibri" w:hAnsi="Calibri"/>
      <w:b/>
      <w:sz w:val="72"/>
      <w:szCs w:val="72"/>
    </w:rPr>
  </w:style>
  <w:style w:type="character" w:customStyle="1" w:styleId="TitleChar">
    <w:name w:val="Title Char"/>
    <w:link w:val="Title"/>
    <w:uiPriority w:val="22"/>
    <w:rsid w:val="006F1726"/>
    <w:rPr>
      <w:rFonts w:ascii="Calibri" w:eastAsia="Calibri" w:hAnsi="Calibri" w:cs="Times New Roman"/>
      <w:b/>
      <w:sz w:val="72"/>
      <w:szCs w:val="72"/>
      <w:lang w:eastAsia="en-US"/>
    </w:rPr>
  </w:style>
  <w:style w:type="paragraph" w:styleId="Subtitle">
    <w:name w:val="Subtitle"/>
    <w:basedOn w:val="Normal"/>
    <w:next w:val="Normal"/>
    <w:link w:val="SubtitleChar"/>
    <w:uiPriority w:val="23"/>
    <w:qFormat/>
    <w:rsid w:val="006F1726"/>
    <w:pPr>
      <w:spacing w:after="840" w:line="240" w:lineRule="auto"/>
    </w:pPr>
    <w:rPr>
      <w:rFonts w:ascii="Calibri" w:hAnsi="Calibri" w:cs="Calibri"/>
      <w:sz w:val="68"/>
      <w:szCs w:val="72"/>
    </w:rPr>
  </w:style>
  <w:style w:type="character" w:customStyle="1" w:styleId="SubtitleChar">
    <w:name w:val="Subtitle Char"/>
    <w:link w:val="Subtitle"/>
    <w:uiPriority w:val="23"/>
    <w:rsid w:val="006F1726"/>
    <w:rPr>
      <w:rFonts w:ascii="Calibri" w:eastAsia="Calibri" w:hAnsi="Calibri" w:cs="Calibri"/>
      <w:sz w:val="68"/>
      <w:szCs w:val="72"/>
      <w:lang w:eastAsia="en-US"/>
    </w:rPr>
  </w:style>
  <w:style w:type="paragraph" w:styleId="TOCHeading">
    <w:name w:val="TOC Heading"/>
    <w:basedOn w:val="Heading1"/>
    <w:next w:val="Normal"/>
    <w:uiPriority w:val="39"/>
    <w:qFormat/>
    <w:rsid w:val="006F1726"/>
    <w:pPr>
      <w:numPr>
        <w:numId w:val="0"/>
      </w:numPr>
      <w:outlineLvl w:val="9"/>
    </w:pPr>
    <w:rPr>
      <w:lang w:val="en-US"/>
    </w:rPr>
  </w:style>
  <w:style w:type="paragraph" w:styleId="TOC1">
    <w:name w:val="toc 1"/>
    <w:basedOn w:val="Normal"/>
    <w:next w:val="Normal"/>
    <w:uiPriority w:val="39"/>
    <w:unhideWhenUsed/>
    <w:rsid w:val="006F1726"/>
    <w:pPr>
      <w:tabs>
        <w:tab w:val="left" w:pos="426"/>
        <w:tab w:val="right" w:leader="dot" w:pos="9072"/>
      </w:tabs>
      <w:spacing w:before="120" w:after="120" w:line="240" w:lineRule="auto"/>
    </w:pPr>
    <w:rPr>
      <w:b/>
      <w:noProof/>
    </w:rPr>
  </w:style>
  <w:style w:type="paragraph" w:styleId="TOC2">
    <w:name w:val="toc 2"/>
    <w:basedOn w:val="Normal"/>
    <w:next w:val="Normal"/>
    <w:uiPriority w:val="39"/>
    <w:unhideWhenUsed/>
    <w:rsid w:val="006F1726"/>
    <w:pPr>
      <w:tabs>
        <w:tab w:val="right" w:leader="dot" w:pos="9060"/>
      </w:tabs>
      <w:spacing w:before="120" w:after="120" w:line="240" w:lineRule="auto"/>
      <w:ind w:firstLine="425"/>
    </w:pPr>
    <w:rPr>
      <w:noProof/>
    </w:rPr>
  </w:style>
  <w:style w:type="paragraph" w:styleId="TOC3">
    <w:name w:val="toc 3"/>
    <w:basedOn w:val="Normal"/>
    <w:next w:val="Normal"/>
    <w:uiPriority w:val="39"/>
    <w:unhideWhenUsed/>
    <w:rsid w:val="006F1726"/>
    <w:pPr>
      <w:tabs>
        <w:tab w:val="right" w:leader="dot" w:pos="9072"/>
      </w:tabs>
      <w:spacing w:before="120" w:after="120" w:line="240" w:lineRule="auto"/>
      <w:ind w:firstLine="851"/>
    </w:pPr>
    <w:rPr>
      <w:noProof/>
    </w:rPr>
  </w:style>
  <w:style w:type="character" w:styleId="Hyperlink">
    <w:name w:val="Hyperlink"/>
    <w:uiPriority w:val="99"/>
    <w:qFormat/>
    <w:rsid w:val="006F1726"/>
    <w:rPr>
      <w:color w:val="165788"/>
      <w:u w:val="single"/>
    </w:rPr>
  </w:style>
  <w:style w:type="paragraph" w:styleId="ListBullet">
    <w:name w:val="List Bullet"/>
    <w:basedOn w:val="Normal"/>
    <w:uiPriority w:val="7"/>
    <w:qFormat/>
    <w:rsid w:val="006F1726"/>
    <w:pPr>
      <w:numPr>
        <w:numId w:val="1"/>
      </w:numPr>
      <w:tabs>
        <w:tab w:val="clear" w:pos="360"/>
        <w:tab w:val="num" w:pos="284"/>
      </w:tabs>
      <w:spacing w:before="120" w:after="120"/>
      <w:ind w:left="284" w:hanging="284"/>
    </w:pPr>
  </w:style>
  <w:style w:type="paragraph" w:styleId="TableofFigures">
    <w:name w:val="table of figures"/>
    <w:basedOn w:val="Normal"/>
    <w:next w:val="Normal"/>
    <w:uiPriority w:val="99"/>
    <w:rsid w:val="006F1726"/>
    <w:pPr>
      <w:spacing w:before="120" w:after="120" w:line="240" w:lineRule="auto"/>
    </w:pPr>
  </w:style>
  <w:style w:type="paragraph" w:styleId="ListBullet2">
    <w:name w:val="List Bullet 2"/>
    <w:basedOn w:val="Normal"/>
    <w:uiPriority w:val="8"/>
    <w:qFormat/>
    <w:rsid w:val="006F1726"/>
    <w:pPr>
      <w:numPr>
        <w:numId w:val="2"/>
      </w:numPr>
      <w:tabs>
        <w:tab w:val="clear" w:pos="643"/>
        <w:tab w:val="num" w:pos="567"/>
      </w:tabs>
      <w:spacing w:before="120" w:after="120"/>
      <w:ind w:left="568" w:hanging="284"/>
      <w:contextualSpacing/>
    </w:pPr>
  </w:style>
  <w:style w:type="paragraph" w:styleId="ListNumber">
    <w:name w:val="List Number"/>
    <w:basedOn w:val="Normal"/>
    <w:uiPriority w:val="9"/>
    <w:qFormat/>
    <w:rsid w:val="006F1726"/>
    <w:pPr>
      <w:numPr>
        <w:numId w:val="3"/>
      </w:numPr>
      <w:tabs>
        <w:tab w:val="left" w:pos="284"/>
      </w:tabs>
      <w:spacing w:before="120" w:after="120"/>
      <w:ind w:left="284" w:hanging="284"/>
    </w:pPr>
  </w:style>
  <w:style w:type="paragraph" w:styleId="ListNumber2">
    <w:name w:val="List Number 2"/>
    <w:uiPriority w:val="10"/>
    <w:qFormat/>
    <w:rsid w:val="006F1726"/>
    <w:pPr>
      <w:numPr>
        <w:numId w:val="4"/>
      </w:numPr>
      <w:tabs>
        <w:tab w:val="left" w:pos="567"/>
      </w:tabs>
      <w:spacing w:before="120" w:after="120" w:line="264" w:lineRule="auto"/>
      <w:ind w:left="568" w:hanging="284"/>
    </w:pPr>
    <w:rPr>
      <w:rFonts w:ascii="Calibri" w:eastAsia="Times New Roman" w:hAnsi="Calibri"/>
      <w:sz w:val="22"/>
      <w:szCs w:val="24"/>
      <w:lang w:eastAsia="en-US"/>
    </w:rPr>
  </w:style>
  <w:style w:type="paragraph" w:styleId="ListNumber3">
    <w:name w:val="List Number 3"/>
    <w:uiPriority w:val="11"/>
    <w:qFormat/>
    <w:rsid w:val="006F1726"/>
    <w:pPr>
      <w:numPr>
        <w:numId w:val="5"/>
      </w:numPr>
      <w:tabs>
        <w:tab w:val="clear" w:pos="926"/>
        <w:tab w:val="num" w:pos="851"/>
      </w:tabs>
      <w:spacing w:before="120" w:after="120" w:line="264" w:lineRule="auto"/>
      <w:ind w:left="851" w:hanging="284"/>
    </w:pPr>
    <w:rPr>
      <w:rFonts w:ascii="Calibri" w:eastAsia="Times New Roman" w:hAnsi="Calibri"/>
      <w:sz w:val="22"/>
      <w:szCs w:val="24"/>
      <w:lang w:eastAsia="en-US"/>
    </w:rPr>
  </w:style>
  <w:style w:type="table" w:customStyle="1" w:styleId="LightShading1">
    <w:name w:val="Light Shading1"/>
    <w:basedOn w:val="TableNormal"/>
    <w:uiPriority w:val="60"/>
    <w:rsid w:val="006F1726"/>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6">
    <w:name w:val="Light Shading Accent 6"/>
    <w:basedOn w:val="TableGrid1"/>
    <w:uiPriority w:val="60"/>
    <w:rsid w:val="006F1726"/>
    <w:rPr>
      <w:color w:val="E36C0A"/>
      <w:lang w:eastAsia="zh-CN"/>
    </w:rPr>
    <w:tblPr>
      <w:tblStyleRowBandSize w:val="1"/>
      <w:tblStyleColBandSize w:val="1"/>
      <w:tblBorders>
        <w:top w:val="single" w:sz="8" w:space="0" w:color="F79646"/>
        <w:left w:val="none" w:sz="0" w:space="0" w:color="auto"/>
        <w:bottom w:val="single" w:sz="8" w:space="0" w:color="F79646"/>
        <w:right w:val="none" w:sz="0" w:space="0" w:color="auto"/>
        <w:insideH w:val="none" w:sz="0" w:space="0" w:color="auto"/>
        <w:insideV w:val="none" w:sz="0" w:space="0" w:color="auto"/>
      </w:tblBorders>
    </w:tblPr>
    <w:tcPr>
      <w:shd w:val="clear" w:color="auto" w:fill="auto"/>
    </w:tc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i/>
        <w:iCs/>
      </w:rPr>
      <w:tblPr/>
      <w:tcPr>
        <w:tcBorders>
          <w:top w:val="single" w:sz="8" w:space="0" w:color="F79646"/>
          <w:left w:val="nil"/>
          <w:bottom w:val="single" w:sz="8" w:space="0" w:color="F79646"/>
          <w:right w:val="nil"/>
          <w:insideH w:val="nil"/>
          <w:insideV w:val="nil"/>
          <w:tl2br w:val="none" w:sz="0" w:space="0" w:color="auto"/>
          <w:tr2bl w:val="none" w:sz="0" w:space="0" w:color="auto"/>
        </w:tcBorders>
      </w:tcPr>
    </w:tblStylePr>
    <w:tblStylePr w:type="firstCol">
      <w:rPr>
        <w:b/>
        <w:bCs/>
      </w:rPr>
    </w:tblStylePr>
    <w:tblStylePr w:type="lastCol">
      <w:rPr>
        <w:b/>
        <w:bCs/>
        <w:i/>
        <w:iCs/>
      </w:rPr>
      <w:tblPr/>
      <w:tcPr>
        <w:tcBorders>
          <w:tl2br w:val="none" w:sz="0" w:space="0" w:color="auto"/>
          <w:tr2bl w:val="none" w:sz="0" w:space="0" w:color="auto"/>
        </w:tcBorders>
      </w:tc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paragraph" w:customStyle="1" w:styleId="TableText">
    <w:name w:val="Table Text"/>
    <w:basedOn w:val="Normal"/>
    <w:link w:val="TableTextChar"/>
    <w:qFormat/>
    <w:rsid w:val="006F1726"/>
    <w:pPr>
      <w:spacing w:before="60" w:after="60" w:line="240" w:lineRule="auto"/>
    </w:pPr>
    <w:rPr>
      <w:sz w:val="18"/>
    </w:rPr>
  </w:style>
  <w:style w:type="table" w:styleId="TableGrid1">
    <w:name w:val="Table Grid 1"/>
    <w:basedOn w:val="TableNormal"/>
    <w:uiPriority w:val="99"/>
    <w:semiHidden/>
    <w:unhideWhenUsed/>
    <w:rsid w:val="006F1726"/>
    <w:pPr>
      <w:spacing w:after="200"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TableHeading">
    <w:name w:val="Table Heading"/>
    <w:basedOn w:val="TableText"/>
    <w:uiPriority w:val="14"/>
    <w:qFormat/>
    <w:rsid w:val="006F1726"/>
    <w:pPr>
      <w:keepNext/>
    </w:pPr>
    <w:rPr>
      <w:b/>
    </w:rPr>
  </w:style>
  <w:style w:type="character" w:styleId="PlaceholderText">
    <w:name w:val="Placeholder Text"/>
    <w:uiPriority w:val="99"/>
    <w:semiHidden/>
    <w:rsid w:val="006F1726"/>
    <w:rPr>
      <w:color w:val="808080"/>
    </w:rPr>
  </w:style>
  <w:style w:type="paragraph" w:customStyle="1" w:styleId="Author">
    <w:name w:val="Author"/>
    <w:basedOn w:val="Normal"/>
    <w:next w:val="Normal"/>
    <w:uiPriority w:val="24"/>
    <w:qFormat/>
    <w:rsid w:val="006F1726"/>
    <w:pPr>
      <w:spacing w:after="60"/>
    </w:pPr>
    <w:rPr>
      <w:b/>
      <w:sz w:val="28"/>
      <w:szCs w:val="28"/>
    </w:rPr>
  </w:style>
  <w:style w:type="paragraph" w:customStyle="1" w:styleId="AuthorOrganisationAffiliation">
    <w:name w:val="Author Organisation/Affiliation"/>
    <w:basedOn w:val="Normal"/>
    <w:next w:val="Normal"/>
    <w:uiPriority w:val="25"/>
    <w:qFormat/>
    <w:rsid w:val="006F1726"/>
    <w:pPr>
      <w:spacing w:after="720"/>
    </w:pPr>
  </w:style>
  <w:style w:type="character" w:styleId="Strong">
    <w:name w:val="Strong"/>
    <w:uiPriority w:val="99"/>
    <w:qFormat/>
    <w:rsid w:val="006F1726"/>
    <w:rPr>
      <w:b/>
      <w:bCs/>
    </w:rPr>
  </w:style>
  <w:style w:type="paragraph" w:customStyle="1" w:styleId="Glossary">
    <w:name w:val="Glossary"/>
    <w:basedOn w:val="Normal"/>
    <w:link w:val="GlossaryChar"/>
    <w:uiPriority w:val="28"/>
    <w:qFormat/>
    <w:rsid w:val="006F1726"/>
    <w:pPr>
      <w:spacing w:before="120" w:after="120"/>
      <w:ind w:left="2126" w:hanging="2126"/>
    </w:pPr>
    <w:rPr>
      <w:color w:val="000000"/>
    </w:rPr>
  </w:style>
  <w:style w:type="character" w:customStyle="1" w:styleId="GlossaryChar">
    <w:name w:val="Glossary Char"/>
    <w:link w:val="Glossary"/>
    <w:uiPriority w:val="28"/>
    <w:rsid w:val="006F1726"/>
    <w:rPr>
      <w:rFonts w:eastAsia="Calibri" w:cs="Times New Roman"/>
      <w:color w:val="000000"/>
      <w:sz w:val="22"/>
      <w:szCs w:val="22"/>
      <w:lang w:eastAsia="en-US"/>
    </w:rPr>
  </w:style>
  <w:style w:type="character" w:styleId="Emphasis">
    <w:name w:val="Emphasis"/>
    <w:uiPriority w:val="99"/>
    <w:qFormat/>
    <w:rsid w:val="006F1726"/>
    <w:rPr>
      <w:i/>
      <w:iCs/>
    </w:rPr>
  </w:style>
  <w:style w:type="paragraph" w:styleId="TOAHeading">
    <w:name w:val="toa heading"/>
    <w:basedOn w:val="Heading1"/>
    <w:next w:val="Normal"/>
    <w:uiPriority w:val="99"/>
    <w:semiHidden/>
    <w:unhideWhenUsed/>
    <w:rsid w:val="006F1726"/>
    <w:pPr>
      <w:spacing w:before="120"/>
    </w:pPr>
    <w:rPr>
      <w:bCs w:val="0"/>
      <w:sz w:val="24"/>
    </w:rPr>
  </w:style>
  <w:style w:type="paragraph" w:styleId="NormalWeb">
    <w:name w:val="Normal (Web)"/>
    <w:basedOn w:val="Normal"/>
    <w:uiPriority w:val="99"/>
    <w:semiHidden/>
    <w:unhideWhenUsed/>
    <w:rsid w:val="006F1726"/>
    <w:pPr>
      <w:spacing w:after="168" w:line="168" w:lineRule="atLeast"/>
      <w:jc w:val="both"/>
    </w:pPr>
    <w:rPr>
      <w:rFonts w:ascii="Times New Roman" w:hAnsi="Times New Roman"/>
      <w:sz w:val="13"/>
      <w:szCs w:val="13"/>
      <w:lang w:eastAsia="en-AU"/>
    </w:rPr>
  </w:style>
  <w:style w:type="paragraph" w:customStyle="1" w:styleId="BoxTextBullet">
    <w:name w:val="Box Text Bullet"/>
    <w:basedOn w:val="BoxText"/>
    <w:uiPriority w:val="21"/>
    <w:qFormat/>
    <w:rsid w:val="006F1726"/>
    <w:pPr>
      <w:numPr>
        <w:numId w:val="6"/>
      </w:numPr>
      <w:ind w:left="357" w:hanging="357"/>
    </w:pPr>
  </w:style>
  <w:style w:type="paragraph" w:customStyle="1" w:styleId="TableBullet">
    <w:name w:val="Table Bullet"/>
    <w:basedOn w:val="TableText"/>
    <w:uiPriority w:val="15"/>
    <w:qFormat/>
    <w:rsid w:val="006F1726"/>
    <w:pPr>
      <w:numPr>
        <w:numId w:val="7"/>
      </w:numPr>
      <w:ind w:left="284" w:hanging="284"/>
    </w:pPr>
  </w:style>
  <w:style w:type="paragraph" w:styleId="DocumentMap">
    <w:name w:val="Document Map"/>
    <w:basedOn w:val="Normal"/>
    <w:link w:val="DocumentMapChar"/>
    <w:uiPriority w:val="99"/>
    <w:semiHidden/>
    <w:unhideWhenUsed/>
    <w:rsid w:val="006F1726"/>
    <w:pPr>
      <w:spacing w:after="0" w:line="240" w:lineRule="auto"/>
    </w:pPr>
    <w:rPr>
      <w:rFonts w:ascii="Tahoma" w:hAnsi="Tahoma" w:cs="Tahoma"/>
      <w:sz w:val="16"/>
      <w:szCs w:val="16"/>
    </w:rPr>
  </w:style>
  <w:style w:type="character" w:customStyle="1" w:styleId="DocumentMapChar">
    <w:name w:val="Document Map Char"/>
    <w:link w:val="DocumentMap"/>
    <w:uiPriority w:val="99"/>
    <w:semiHidden/>
    <w:rsid w:val="006F1726"/>
    <w:rPr>
      <w:rFonts w:ascii="Tahoma" w:eastAsia="Calibri" w:hAnsi="Tahoma" w:cs="Tahoma"/>
      <w:sz w:val="16"/>
      <w:szCs w:val="16"/>
      <w:lang w:eastAsia="en-US"/>
    </w:rPr>
  </w:style>
  <w:style w:type="paragraph" w:customStyle="1" w:styleId="TOCHeadingsamepage">
    <w:name w:val="TOC Heading (same page)"/>
    <w:basedOn w:val="TOCHeading"/>
    <w:next w:val="Normal"/>
    <w:uiPriority w:val="39"/>
    <w:rsid w:val="006F1726"/>
  </w:style>
  <w:style w:type="paragraph" w:customStyle="1" w:styleId="BoxHeading">
    <w:name w:val="Box Heading"/>
    <w:basedOn w:val="BoxText"/>
    <w:uiPriority w:val="20"/>
    <w:qFormat/>
    <w:rsid w:val="006F1726"/>
    <w:pPr>
      <w:spacing w:line="240" w:lineRule="auto"/>
    </w:pPr>
    <w:rPr>
      <w:b/>
    </w:rPr>
  </w:style>
  <w:style w:type="paragraph" w:customStyle="1" w:styleId="Picture">
    <w:name w:val="Picture"/>
    <w:basedOn w:val="Normal"/>
    <w:uiPriority w:val="17"/>
    <w:qFormat/>
    <w:rsid w:val="006F1726"/>
    <w:pPr>
      <w:spacing w:before="120" w:after="120" w:line="240" w:lineRule="auto"/>
    </w:pPr>
    <w:rPr>
      <w:noProof/>
      <w:lang w:eastAsia="en-AU"/>
    </w:rPr>
  </w:style>
  <w:style w:type="paragraph" w:customStyle="1" w:styleId="Securityclassification">
    <w:name w:val="Security classification"/>
    <w:basedOn w:val="Header"/>
    <w:next w:val="Header"/>
    <w:uiPriority w:val="26"/>
    <w:qFormat/>
    <w:rsid w:val="006F1726"/>
    <w:pPr>
      <w:spacing w:after="0"/>
    </w:pPr>
    <w:rPr>
      <w:b/>
      <w:caps/>
      <w:color w:val="FF0000"/>
      <w:sz w:val="36"/>
      <w:szCs w:val="36"/>
    </w:rPr>
  </w:style>
  <w:style w:type="paragraph" w:customStyle="1" w:styleId="DisseminationLimitingMarker">
    <w:name w:val="Dissemination Limiting Marker"/>
    <w:basedOn w:val="Header"/>
    <w:next w:val="Header"/>
    <w:uiPriority w:val="27"/>
    <w:qFormat/>
    <w:rsid w:val="006F1726"/>
    <w:pPr>
      <w:spacing w:after="0"/>
    </w:pPr>
    <w:rPr>
      <w:b/>
      <w:color w:val="FF0000"/>
      <w:sz w:val="36"/>
      <w:szCs w:val="36"/>
    </w:rPr>
  </w:style>
  <w:style w:type="paragraph" w:styleId="FootnoteText">
    <w:name w:val="footnote text"/>
    <w:basedOn w:val="Normal"/>
    <w:link w:val="FootnoteTextChar"/>
    <w:uiPriority w:val="99"/>
    <w:unhideWhenUsed/>
    <w:rsid w:val="006F1726"/>
    <w:pPr>
      <w:spacing w:after="60" w:line="264" w:lineRule="auto"/>
    </w:pPr>
    <w:rPr>
      <w:sz w:val="20"/>
      <w:szCs w:val="20"/>
    </w:rPr>
  </w:style>
  <w:style w:type="character" w:customStyle="1" w:styleId="FootnoteTextChar">
    <w:name w:val="Footnote Text Char"/>
    <w:link w:val="FootnoteText"/>
    <w:uiPriority w:val="99"/>
    <w:rsid w:val="006F1726"/>
    <w:rPr>
      <w:rFonts w:eastAsia="Calibri" w:cs="Times New Roman"/>
      <w:lang w:eastAsia="en-US"/>
    </w:rPr>
  </w:style>
  <w:style w:type="character" w:styleId="FootnoteReference">
    <w:name w:val="footnote reference"/>
    <w:uiPriority w:val="99"/>
    <w:semiHidden/>
    <w:unhideWhenUsed/>
    <w:rsid w:val="006F1726"/>
    <w:rPr>
      <w:vertAlign w:val="superscript"/>
    </w:rPr>
  </w:style>
  <w:style w:type="paragraph" w:styleId="EndnoteText">
    <w:name w:val="endnote text"/>
    <w:basedOn w:val="Normal"/>
    <w:link w:val="EndnoteTextChar"/>
    <w:uiPriority w:val="99"/>
    <w:unhideWhenUsed/>
    <w:rsid w:val="006F1726"/>
    <w:pPr>
      <w:spacing w:after="60" w:line="264" w:lineRule="auto"/>
    </w:pPr>
    <w:rPr>
      <w:sz w:val="20"/>
      <w:szCs w:val="20"/>
    </w:rPr>
  </w:style>
  <w:style w:type="character" w:customStyle="1" w:styleId="EndnoteTextChar">
    <w:name w:val="Endnote Text Char"/>
    <w:link w:val="EndnoteText"/>
    <w:uiPriority w:val="99"/>
    <w:rsid w:val="006F1726"/>
    <w:rPr>
      <w:rFonts w:eastAsia="Calibri" w:cs="Times New Roman"/>
      <w:lang w:eastAsia="en-US"/>
    </w:rPr>
  </w:style>
  <w:style w:type="character" w:styleId="EndnoteReference">
    <w:name w:val="endnote reference"/>
    <w:uiPriority w:val="99"/>
    <w:semiHidden/>
    <w:unhideWhenUsed/>
    <w:rsid w:val="006F1726"/>
    <w:rPr>
      <w:vertAlign w:val="superscript"/>
    </w:rPr>
  </w:style>
  <w:style w:type="character" w:styleId="FollowedHyperlink">
    <w:name w:val="FollowedHyperlink"/>
    <w:uiPriority w:val="99"/>
    <w:semiHidden/>
    <w:unhideWhenUsed/>
    <w:rsid w:val="006F1726"/>
    <w:rPr>
      <w:color w:val="800080"/>
      <w:u w:val="single"/>
    </w:rPr>
  </w:style>
  <w:style w:type="paragraph" w:customStyle="1" w:styleId="BoxSource">
    <w:name w:val="Box Source"/>
    <w:basedOn w:val="FigureTableNoteSource"/>
    <w:uiPriority w:val="22"/>
    <w:qFormat/>
    <w:rsid w:val="006F1726"/>
    <w:pPr>
      <w:pBdr>
        <w:top w:val="single" w:sz="4" w:space="10" w:color="auto"/>
        <w:left w:val="single" w:sz="4" w:space="10" w:color="auto"/>
        <w:bottom w:val="single" w:sz="4" w:space="10" w:color="auto"/>
        <w:right w:val="single" w:sz="4" w:space="10" w:color="auto"/>
      </w:pBdr>
    </w:pPr>
    <w:rPr>
      <w:lang w:val="en-US"/>
    </w:rPr>
  </w:style>
  <w:style w:type="paragraph" w:customStyle="1" w:styleId="Heading2Nonumber">
    <w:name w:val="Heading 2 No number"/>
    <w:basedOn w:val="Heading2"/>
    <w:next w:val="Normal"/>
    <w:qFormat/>
    <w:rsid w:val="006F1726"/>
    <w:pPr>
      <w:numPr>
        <w:ilvl w:val="0"/>
        <w:numId w:val="0"/>
      </w:numPr>
    </w:pPr>
  </w:style>
  <w:style w:type="paragraph" w:customStyle="1" w:styleId="Heading1nonumbers">
    <w:name w:val="Heading 1 (no numbers)"/>
    <w:basedOn w:val="Heading1"/>
    <w:qFormat/>
    <w:rsid w:val="006F1726"/>
    <w:pPr>
      <w:numPr>
        <w:numId w:val="0"/>
      </w:numPr>
    </w:pPr>
    <w:rPr>
      <w:lang w:val="en-US"/>
    </w:rPr>
  </w:style>
  <w:style w:type="numbering" w:customStyle="1" w:styleId="captions">
    <w:name w:val="captions"/>
    <w:uiPriority w:val="99"/>
    <w:rsid w:val="006F1726"/>
    <w:pPr>
      <w:numPr>
        <w:numId w:val="15"/>
      </w:numPr>
    </w:pPr>
  </w:style>
  <w:style w:type="paragraph" w:customStyle="1" w:styleId="TableText0">
    <w:name w:val="TableText"/>
    <w:basedOn w:val="Normal"/>
    <w:link w:val="TableTextChar0"/>
    <w:rsid w:val="006F1726"/>
    <w:pPr>
      <w:keepNext/>
      <w:spacing w:before="60" w:after="60" w:line="240" w:lineRule="auto"/>
    </w:pPr>
    <w:rPr>
      <w:rFonts w:ascii="Times New Roman" w:hAnsi="Times New Roman"/>
      <w:color w:val="000000"/>
      <w:sz w:val="16"/>
      <w:szCs w:val="20"/>
    </w:rPr>
  </w:style>
  <w:style w:type="character" w:customStyle="1" w:styleId="TableTextChar0">
    <w:name w:val="TableText Char"/>
    <w:link w:val="TableText0"/>
    <w:rsid w:val="006F1726"/>
    <w:rPr>
      <w:rFonts w:ascii="Times New Roman" w:eastAsia="Calibri" w:hAnsi="Times New Roman" w:cs="Times New Roman"/>
      <w:color w:val="000000"/>
      <w:sz w:val="16"/>
      <w:lang w:eastAsia="en-US"/>
    </w:rPr>
  </w:style>
  <w:style w:type="paragraph" w:customStyle="1" w:styleId="TableNotes">
    <w:name w:val="TableNotes"/>
    <w:basedOn w:val="Normal"/>
    <w:link w:val="TableNotesChar"/>
    <w:rsid w:val="006F1726"/>
    <w:pPr>
      <w:spacing w:before="40" w:after="180" w:line="240" w:lineRule="auto"/>
    </w:pPr>
    <w:rPr>
      <w:rFonts w:ascii="Arial Narrow" w:hAnsi="Arial Narrow"/>
      <w:color w:val="000000"/>
      <w:sz w:val="16"/>
    </w:rPr>
  </w:style>
  <w:style w:type="character" w:customStyle="1" w:styleId="TableNotesChar">
    <w:name w:val="TableNotes Char"/>
    <w:link w:val="TableNotes"/>
    <w:rsid w:val="006F1726"/>
    <w:rPr>
      <w:rFonts w:ascii="Arial Narrow" w:eastAsia="Calibri" w:hAnsi="Arial Narrow" w:cs="Times New Roman"/>
      <w:color w:val="000000"/>
      <w:sz w:val="16"/>
      <w:szCs w:val="22"/>
      <w:lang w:eastAsia="en-US"/>
    </w:rPr>
  </w:style>
  <w:style w:type="paragraph" w:customStyle="1" w:styleId="AQISNum">
    <w:name w:val="AQIS Num"/>
    <w:basedOn w:val="Normal"/>
    <w:next w:val="Normal"/>
    <w:link w:val="AQISNumChar"/>
    <w:rsid w:val="006F1726"/>
    <w:pPr>
      <w:numPr>
        <w:numId w:val="9"/>
      </w:numPr>
      <w:spacing w:before="60" w:after="0" w:line="280" w:lineRule="atLeast"/>
    </w:pPr>
    <w:rPr>
      <w:rFonts w:ascii="Times New Roman" w:hAnsi="Times New Roman"/>
      <w:sz w:val="24"/>
      <w:szCs w:val="20"/>
    </w:rPr>
  </w:style>
  <w:style w:type="character" w:customStyle="1" w:styleId="TableTextChar">
    <w:name w:val="Table Text Char"/>
    <w:link w:val="TableText"/>
    <w:rsid w:val="006F1726"/>
    <w:rPr>
      <w:rFonts w:eastAsia="Calibri" w:cs="Times New Roman"/>
      <w:sz w:val="18"/>
      <w:szCs w:val="22"/>
      <w:lang w:eastAsia="en-US"/>
    </w:rPr>
  </w:style>
  <w:style w:type="character" w:customStyle="1" w:styleId="AQISNumChar">
    <w:name w:val="AQIS Num Char"/>
    <w:link w:val="AQISNum"/>
    <w:rsid w:val="006F1726"/>
    <w:rPr>
      <w:rFonts w:ascii="Times New Roman" w:eastAsia="Calibri" w:hAnsi="Times New Roman" w:cs="Times New Roman"/>
      <w:sz w:val="24"/>
      <w:lang w:eastAsia="en-US"/>
    </w:rPr>
  </w:style>
  <w:style w:type="paragraph" w:customStyle="1" w:styleId="Heading6plain">
    <w:name w:val="Heading 6 plain"/>
    <w:basedOn w:val="Heading5"/>
    <w:link w:val="Heading6plainChar"/>
    <w:qFormat/>
    <w:rsid w:val="006F1726"/>
    <w:rPr>
      <w:b w:val="0"/>
    </w:rPr>
  </w:style>
  <w:style w:type="character" w:customStyle="1" w:styleId="Heading6plainChar">
    <w:name w:val="Heading 6 plain Char"/>
    <w:basedOn w:val="Heading5Char"/>
    <w:link w:val="Heading6plain"/>
    <w:rsid w:val="006F1726"/>
    <w:rPr>
      <w:rFonts w:ascii="Calibri" w:eastAsia="Calibri" w:hAnsi="Calibri" w:cs="Times New Roman"/>
      <w:b/>
      <w:i/>
      <w:sz w:val="22"/>
      <w:szCs w:val="22"/>
      <w:lang w:eastAsia="en-US"/>
    </w:rPr>
  </w:style>
  <w:style w:type="numbering" w:customStyle="1" w:styleId="List1">
    <w:name w:val="List1"/>
    <w:basedOn w:val="NoList"/>
    <w:uiPriority w:val="99"/>
    <w:rsid w:val="006F1726"/>
    <w:pPr>
      <w:numPr>
        <w:numId w:val="10"/>
      </w:numPr>
    </w:pPr>
  </w:style>
  <w:style w:type="character" w:customStyle="1" w:styleId="CaptionChar">
    <w:name w:val="Caption Char"/>
    <w:link w:val="Caption"/>
    <w:uiPriority w:val="12"/>
    <w:rsid w:val="006F1726"/>
    <w:rPr>
      <w:rFonts w:ascii="Calibri" w:eastAsia="Times New Roman" w:hAnsi="Calibri" w:cs="Times New Roman"/>
      <w:b/>
      <w:bCs/>
      <w:color w:val="595959"/>
      <w:sz w:val="34"/>
      <w:szCs w:val="18"/>
      <w:lang w:val="en-AU" w:eastAsia="en-US" w:bidi="ar-SA"/>
    </w:rPr>
  </w:style>
  <w:style w:type="paragraph" w:customStyle="1" w:styleId="Style1">
    <w:name w:val="Style1"/>
    <w:basedOn w:val="Heading3"/>
    <w:qFormat/>
    <w:rsid w:val="006F1726"/>
  </w:style>
  <w:style w:type="paragraph" w:customStyle="1" w:styleId="Heading3Nonumber">
    <w:name w:val="Heading 3 No number"/>
    <w:basedOn w:val="Heading3"/>
    <w:qFormat/>
    <w:rsid w:val="006F1726"/>
    <w:pPr>
      <w:numPr>
        <w:ilvl w:val="0"/>
        <w:numId w:val="0"/>
      </w:numPr>
    </w:pPr>
  </w:style>
  <w:style w:type="numbering" w:customStyle="1" w:styleId="listbullets">
    <w:name w:val="list bullets"/>
    <w:uiPriority w:val="99"/>
    <w:rsid w:val="0039271F"/>
    <w:pPr>
      <w:numPr>
        <w:numId w:val="24"/>
      </w:numPr>
    </w:pPr>
  </w:style>
  <w:style w:type="numbering" w:customStyle="1" w:styleId="ListNumber1">
    <w:name w:val="List Number1"/>
    <w:uiPriority w:val="99"/>
    <w:rsid w:val="007C0D1B"/>
    <w:pPr>
      <w:numPr>
        <w:numId w:val="26"/>
      </w:numPr>
    </w:pPr>
  </w:style>
  <w:style w:type="paragraph" w:customStyle="1" w:styleId="EndNoteBibliography">
    <w:name w:val="EndNote Bibliography"/>
    <w:basedOn w:val="Normal"/>
    <w:link w:val="EndNoteBibliographyChar"/>
    <w:rsid w:val="007C0D1B"/>
    <w:pPr>
      <w:spacing w:before="120" w:after="240" w:line="240" w:lineRule="auto"/>
    </w:pPr>
    <w:rPr>
      <w:noProof/>
      <w:lang w:val="en-US"/>
    </w:rPr>
  </w:style>
  <w:style w:type="character" w:customStyle="1" w:styleId="EndNoteBibliographyChar">
    <w:name w:val="EndNote Bibliography Char"/>
    <w:link w:val="EndNoteBibliography"/>
    <w:rsid w:val="007C0D1B"/>
    <w:rPr>
      <w:rFonts w:eastAsia="Calibri"/>
      <w:noProof/>
      <w:sz w:val="22"/>
      <w:szCs w:val="22"/>
      <w:lang w:val="en-US" w:eastAsia="en-US"/>
    </w:rPr>
  </w:style>
  <w:style w:type="character" w:styleId="UnresolvedMention">
    <w:name w:val="Unresolved Mention"/>
    <w:basedOn w:val="DefaultParagraphFont"/>
    <w:uiPriority w:val="99"/>
    <w:semiHidden/>
    <w:unhideWhenUsed/>
    <w:rsid w:val="00726E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747358">
      <w:bodyDiv w:val="1"/>
      <w:marLeft w:val="0"/>
      <w:marRight w:val="0"/>
      <w:marTop w:val="0"/>
      <w:marBottom w:val="0"/>
      <w:divBdr>
        <w:top w:val="none" w:sz="0" w:space="0" w:color="auto"/>
        <w:left w:val="none" w:sz="0" w:space="0" w:color="auto"/>
        <w:bottom w:val="none" w:sz="0" w:space="0" w:color="auto"/>
        <w:right w:val="none" w:sz="0" w:space="0" w:color="auto"/>
      </w:divBdr>
      <w:divsChild>
        <w:div w:id="151024955">
          <w:marLeft w:val="0"/>
          <w:marRight w:val="0"/>
          <w:marTop w:val="0"/>
          <w:marBottom w:val="0"/>
          <w:divBdr>
            <w:top w:val="none" w:sz="0" w:space="0" w:color="auto"/>
            <w:left w:val="none" w:sz="0" w:space="0" w:color="auto"/>
            <w:bottom w:val="none" w:sz="0" w:space="0" w:color="auto"/>
            <w:right w:val="none" w:sz="0" w:space="0" w:color="auto"/>
          </w:divBdr>
          <w:divsChild>
            <w:div w:id="196700482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5541645">
      <w:bodyDiv w:val="1"/>
      <w:marLeft w:val="0"/>
      <w:marRight w:val="0"/>
      <w:marTop w:val="0"/>
      <w:marBottom w:val="0"/>
      <w:divBdr>
        <w:top w:val="none" w:sz="0" w:space="0" w:color="auto"/>
        <w:left w:val="none" w:sz="0" w:space="0" w:color="auto"/>
        <w:bottom w:val="none" w:sz="0" w:space="0" w:color="auto"/>
        <w:right w:val="none" w:sz="0" w:space="0" w:color="auto"/>
      </w:divBdr>
      <w:divsChild>
        <w:div w:id="1485009654">
          <w:marLeft w:val="0"/>
          <w:marRight w:val="0"/>
          <w:marTop w:val="0"/>
          <w:marBottom w:val="0"/>
          <w:divBdr>
            <w:top w:val="none" w:sz="0" w:space="0" w:color="auto"/>
            <w:left w:val="none" w:sz="0" w:space="0" w:color="auto"/>
            <w:bottom w:val="none" w:sz="0" w:space="0" w:color="auto"/>
            <w:right w:val="none" w:sz="0" w:space="0" w:color="auto"/>
          </w:divBdr>
          <w:divsChild>
            <w:div w:id="823666940">
              <w:marLeft w:val="0"/>
              <w:marRight w:val="0"/>
              <w:marTop w:val="0"/>
              <w:marBottom w:val="0"/>
              <w:divBdr>
                <w:top w:val="none" w:sz="0" w:space="0" w:color="auto"/>
                <w:left w:val="none" w:sz="0" w:space="0" w:color="auto"/>
                <w:bottom w:val="none" w:sz="0" w:space="0" w:color="auto"/>
                <w:right w:val="none" w:sz="0" w:space="0" w:color="auto"/>
              </w:divBdr>
              <w:divsChild>
                <w:div w:id="1610694715">
                  <w:marLeft w:val="3096"/>
                  <w:marRight w:val="0"/>
                  <w:marTop w:val="0"/>
                  <w:marBottom w:val="0"/>
                  <w:divBdr>
                    <w:top w:val="none" w:sz="0" w:space="0" w:color="auto"/>
                    <w:left w:val="none" w:sz="0" w:space="0" w:color="auto"/>
                    <w:bottom w:val="none" w:sz="0" w:space="0" w:color="auto"/>
                    <w:right w:val="none" w:sz="0" w:space="0" w:color="auto"/>
                  </w:divBdr>
                  <w:divsChild>
                    <w:div w:id="1739160187">
                      <w:marLeft w:val="0"/>
                      <w:marRight w:val="0"/>
                      <w:marTop w:val="0"/>
                      <w:marBottom w:val="240"/>
                      <w:divBdr>
                        <w:top w:val="none" w:sz="0" w:space="0" w:color="auto"/>
                        <w:left w:val="none" w:sz="0" w:space="0" w:color="auto"/>
                        <w:bottom w:val="none" w:sz="0" w:space="0" w:color="auto"/>
                        <w:right w:val="none" w:sz="0" w:space="0" w:color="auto"/>
                      </w:divBdr>
                      <w:divsChild>
                        <w:div w:id="1694303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7750884">
      <w:bodyDiv w:val="1"/>
      <w:marLeft w:val="0"/>
      <w:marRight w:val="0"/>
      <w:marTop w:val="0"/>
      <w:marBottom w:val="0"/>
      <w:divBdr>
        <w:top w:val="none" w:sz="0" w:space="0" w:color="auto"/>
        <w:left w:val="none" w:sz="0" w:space="0" w:color="auto"/>
        <w:bottom w:val="none" w:sz="0" w:space="0" w:color="auto"/>
        <w:right w:val="none" w:sz="0" w:space="0" w:color="auto"/>
      </w:divBdr>
      <w:divsChild>
        <w:div w:id="616067500">
          <w:marLeft w:val="0"/>
          <w:marRight w:val="0"/>
          <w:marTop w:val="0"/>
          <w:marBottom w:val="0"/>
          <w:divBdr>
            <w:top w:val="none" w:sz="0" w:space="0" w:color="auto"/>
            <w:left w:val="none" w:sz="0" w:space="0" w:color="auto"/>
            <w:bottom w:val="none" w:sz="0" w:space="0" w:color="auto"/>
            <w:right w:val="none" w:sz="0" w:space="0" w:color="auto"/>
          </w:divBdr>
          <w:divsChild>
            <w:div w:id="802696743">
              <w:marLeft w:val="0"/>
              <w:marRight w:val="0"/>
              <w:marTop w:val="0"/>
              <w:marBottom w:val="0"/>
              <w:divBdr>
                <w:top w:val="none" w:sz="0" w:space="0" w:color="auto"/>
                <w:left w:val="none" w:sz="0" w:space="0" w:color="auto"/>
                <w:bottom w:val="none" w:sz="0" w:space="0" w:color="auto"/>
                <w:right w:val="none" w:sz="0" w:space="0" w:color="auto"/>
              </w:divBdr>
              <w:divsChild>
                <w:div w:id="1630817326">
                  <w:marLeft w:val="3096"/>
                  <w:marRight w:val="0"/>
                  <w:marTop w:val="0"/>
                  <w:marBottom w:val="0"/>
                  <w:divBdr>
                    <w:top w:val="none" w:sz="0" w:space="0" w:color="auto"/>
                    <w:left w:val="none" w:sz="0" w:space="0" w:color="auto"/>
                    <w:bottom w:val="none" w:sz="0" w:space="0" w:color="auto"/>
                    <w:right w:val="none" w:sz="0" w:space="0" w:color="auto"/>
                  </w:divBdr>
                  <w:divsChild>
                    <w:div w:id="1404336169">
                      <w:marLeft w:val="0"/>
                      <w:marRight w:val="0"/>
                      <w:marTop w:val="0"/>
                      <w:marBottom w:val="240"/>
                      <w:divBdr>
                        <w:top w:val="none" w:sz="0" w:space="0" w:color="auto"/>
                        <w:left w:val="none" w:sz="0" w:space="0" w:color="auto"/>
                        <w:bottom w:val="none" w:sz="0" w:space="0" w:color="auto"/>
                        <w:right w:val="none" w:sz="0" w:space="0" w:color="auto"/>
                      </w:divBdr>
                      <w:divsChild>
                        <w:div w:id="17485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9706540">
      <w:bodyDiv w:val="1"/>
      <w:marLeft w:val="0"/>
      <w:marRight w:val="0"/>
      <w:marTop w:val="0"/>
      <w:marBottom w:val="0"/>
      <w:divBdr>
        <w:top w:val="none" w:sz="0" w:space="0" w:color="auto"/>
        <w:left w:val="none" w:sz="0" w:space="0" w:color="auto"/>
        <w:bottom w:val="none" w:sz="0" w:space="0" w:color="auto"/>
        <w:right w:val="none" w:sz="0" w:space="0" w:color="auto"/>
      </w:divBdr>
    </w:div>
    <w:div w:id="289288450">
      <w:bodyDiv w:val="1"/>
      <w:marLeft w:val="0"/>
      <w:marRight w:val="0"/>
      <w:marTop w:val="0"/>
      <w:marBottom w:val="0"/>
      <w:divBdr>
        <w:top w:val="none" w:sz="0" w:space="0" w:color="auto"/>
        <w:left w:val="none" w:sz="0" w:space="0" w:color="auto"/>
        <w:bottom w:val="none" w:sz="0" w:space="0" w:color="auto"/>
        <w:right w:val="none" w:sz="0" w:space="0" w:color="auto"/>
      </w:divBdr>
    </w:div>
    <w:div w:id="372198115">
      <w:bodyDiv w:val="1"/>
      <w:marLeft w:val="0"/>
      <w:marRight w:val="0"/>
      <w:marTop w:val="0"/>
      <w:marBottom w:val="0"/>
      <w:divBdr>
        <w:top w:val="none" w:sz="0" w:space="0" w:color="auto"/>
        <w:left w:val="none" w:sz="0" w:space="0" w:color="auto"/>
        <w:bottom w:val="none" w:sz="0" w:space="0" w:color="auto"/>
        <w:right w:val="none" w:sz="0" w:space="0" w:color="auto"/>
      </w:divBdr>
      <w:divsChild>
        <w:div w:id="921640949">
          <w:marLeft w:val="0"/>
          <w:marRight w:val="0"/>
          <w:marTop w:val="0"/>
          <w:marBottom w:val="0"/>
          <w:divBdr>
            <w:top w:val="none" w:sz="0" w:space="0" w:color="auto"/>
            <w:left w:val="none" w:sz="0" w:space="0" w:color="auto"/>
            <w:bottom w:val="none" w:sz="0" w:space="0" w:color="auto"/>
            <w:right w:val="none" w:sz="0" w:space="0" w:color="auto"/>
          </w:divBdr>
          <w:divsChild>
            <w:div w:id="440105684">
              <w:marLeft w:val="0"/>
              <w:marRight w:val="0"/>
              <w:marTop w:val="0"/>
              <w:marBottom w:val="0"/>
              <w:divBdr>
                <w:top w:val="none" w:sz="0" w:space="0" w:color="auto"/>
                <w:left w:val="none" w:sz="0" w:space="0" w:color="auto"/>
                <w:bottom w:val="none" w:sz="0" w:space="0" w:color="auto"/>
                <w:right w:val="none" w:sz="0" w:space="0" w:color="auto"/>
              </w:divBdr>
              <w:divsChild>
                <w:div w:id="2053770889">
                  <w:marLeft w:val="3096"/>
                  <w:marRight w:val="0"/>
                  <w:marTop w:val="0"/>
                  <w:marBottom w:val="0"/>
                  <w:divBdr>
                    <w:top w:val="none" w:sz="0" w:space="0" w:color="auto"/>
                    <w:left w:val="none" w:sz="0" w:space="0" w:color="auto"/>
                    <w:bottom w:val="none" w:sz="0" w:space="0" w:color="auto"/>
                    <w:right w:val="none" w:sz="0" w:space="0" w:color="auto"/>
                  </w:divBdr>
                  <w:divsChild>
                    <w:div w:id="1530725166">
                      <w:marLeft w:val="0"/>
                      <w:marRight w:val="0"/>
                      <w:marTop w:val="0"/>
                      <w:marBottom w:val="240"/>
                      <w:divBdr>
                        <w:top w:val="none" w:sz="0" w:space="0" w:color="auto"/>
                        <w:left w:val="none" w:sz="0" w:space="0" w:color="auto"/>
                        <w:bottom w:val="none" w:sz="0" w:space="0" w:color="auto"/>
                        <w:right w:val="none" w:sz="0" w:space="0" w:color="auto"/>
                      </w:divBdr>
                      <w:divsChild>
                        <w:div w:id="10322631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18019418">
      <w:bodyDiv w:val="1"/>
      <w:marLeft w:val="0"/>
      <w:marRight w:val="0"/>
      <w:marTop w:val="0"/>
      <w:marBottom w:val="0"/>
      <w:divBdr>
        <w:top w:val="none" w:sz="0" w:space="0" w:color="auto"/>
        <w:left w:val="none" w:sz="0" w:space="0" w:color="auto"/>
        <w:bottom w:val="none" w:sz="0" w:space="0" w:color="auto"/>
        <w:right w:val="none" w:sz="0" w:space="0" w:color="auto"/>
      </w:divBdr>
      <w:divsChild>
        <w:div w:id="1653438233">
          <w:marLeft w:val="0"/>
          <w:marRight w:val="0"/>
          <w:marTop w:val="0"/>
          <w:marBottom w:val="0"/>
          <w:divBdr>
            <w:top w:val="none" w:sz="0" w:space="0" w:color="auto"/>
            <w:left w:val="none" w:sz="0" w:space="0" w:color="auto"/>
            <w:bottom w:val="none" w:sz="0" w:space="0" w:color="auto"/>
            <w:right w:val="none" w:sz="0" w:space="0" w:color="auto"/>
          </w:divBdr>
          <w:divsChild>
            <w:div w:id="92846690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22991131">
      <w:bodyDiv w:val="1"/>
      <w:marLeft w:val="0"/>
      <w:marRight w:val="0"/>
      <w:marTop w:val="0"/>
      <w:marBottom w:val="0"/>
      <w:divBdr>
        <w:top w:val="none" w:sz="0" w:space="0" w:color="auto"/>
        <w:left w:val="none" w:sz="0" w:space="0" w:color="auto"/>
        <w:bottom w:val="none" w:sz="0" w:space="0" w:color="auto"/>
        <w:right w:val="none" w:sz="0" w:space="0" w:color="auto"/>
      </w:divBdr>
      <w:divsChild>
        <w:div w:id="1105615592">
          <w:marLeft w:val="0"/>
          <w:marRight w:val="0"/>
          <w:marTop w:val="0"/>
          <w:marBottom w:val="0"/>
          <w:divBdr>
            <w:top w:val="none" w:sz="0" w:space="0" w:color="auto"/>
            <w:left w:val="none" w:sz="0" w:space="0" w:color="auto"/>
            <w:bottom w:val="none" w:sz="0" w:space="0" w:color="auto"/>
            <w:right w:val="none" w:sz="0" w:space="0" w:color="auto"/>
          </w:divBdr>
          <w:divsChild>
            <w:div w:id="43864491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444740545">
      <w:bodyDiv w:val="1"/>
      <w:marLeft w:val="0"/>
      <w:marRight w:val="0"/>
      <w:marTop w:val="0"/>
      <w:marBottom w:val="0"/>
      <w:divBdr>
        <w:top w:val="none" w:sz="0" w:space="0" w:color="auto"/>
        <w:left w:val="none" w:sz="0" w:space="0" w:color="auto"/>
        <w:bottom w:val="none" w:sz="0" w:space="0" w:color="auto"/>
        <w:right w:val="none" w:sz="0" w:space="0" w:color="auto"/>
      </w:divBdr>
      <w:divsChild>
        <w:div w:id="2093622412">
          <w:marLeft w:val="0"/>
          <w:marRight w:val="0"/>
          <w:marTop w:val="0"/>
          <w:marBottom w:val="0"/>
          <w:divBdr>
            <w:top w:val="none" w:sz="0" w:space="0" w:color="auto"/>
            <w:left w:val="none" w:sz="0" w:space="0" w:color="auto"/>
            <w:bottom w:val="none" w:sz="0" w:space="0" w:color="auto"/>
            <w:right w:val="none" w:sz="0" w:space="0" w:color="auto"/>
          </w:divBdr>
          <w:divsChild>
            <w:div w:id="1323007959">
              <w:marLeft w:val="0"/>
              <w:marRight w:val="0"/>
              <w:marTop w:val="0"/>
              <w:marBottom w:val="0"/>
              <w:divBdr>
                <w:top w:val="none" w:sz="0" w:space="0" w:color="auto"/>
                <w:left w:val="none" w:sz="0" w:space="0" w:color="auto"/>
                <w:bottom w:val="none" w:sz="0" w:space="0" w:color="auto"/>
                <w:right w:val="none" w:sz="0" w:space="0" w:color="auto"/>
              </w:divBdr>
              <w:divsChild>
                <w:div w:id="1956330495">
                  <w:marLeft w:val="3096"/>
                  <w:marRight w:val="0"/>
                  <w:marTop w:val="0"/>
                  <w:marBottom w:val="0"/>
                  <w:divBdr>
                    <w:top w:val="none" w:sz="0" w:space="0" w:color="auto"/>
                    <w:left w:val="none" w:sz="0" w:space="0" w:color="auto"/>
                    <w:bottom w:val="none" w:sz="0" w:space="0" w:color="auto"/>
                    <w:right w:val="none" w:sz="0" w:space="0" w:color="auto"/>
                  </w:divBdr>
                  <w:divsChild>
                    <w:div w:id="347491183">
                      <w:marLeft w:val="0"/>
                      <w:marRight w:val="0"/>
                      <w:marTop w:val="0"/>
                      <w:marBottom w:val="240"/>
                      <w:divBdr>
                        <w:top w:val="none" w:sz="0" w:space="0" w:color="auto"/>
                        <w:left w:val="none" w:sz="0" w:space="0" w:color="auto"/>
                        <w:bottom w:val="none" w:sz="0" w:space="0" w:color="auto"/>
                        <w:right w:val="none" w:sz="0" w:space="0" w:color="auto"/>
                      </w:divBdr>
                      <w:divsChild>
                        <w:div w:id="3012777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98932812">
      <w:bodyDiv w:val="1"/>
      <w:marLeft w:val="0"/>
      <w:marRight w:val="0"/>
      <w:marTop w:val="0"/>
      <w:marBottom w:val="0"/>
      <w:divBdr>
        <w:top w:val="none" w:sz="0" w:space="0" w:color="auto"/>
        <w:left w:val="none" w:sz="0" w:space="0" w:color="auto"/>
        <w:bottom w:val="none" w:sz="0" w:space="0" w:color="auto"/>
        <w:right w:val="none" w:sz="0" w:space="0" w:color="auto"/>
      </w:divBdr>
      <w:divsChild>
        <w:div w:id="558367655">
          <w:marLeft w:val="0"/>
          <w:marRight w:val="0"/>
          <w:marTop w:val="0"/>
          <w:marBottom w:val="0"/>
          <w:divBdr>
            <w:top w:val="none" w:sz="0" w:space="0" w:color="auto"/>
            <w:left w:val="none" w:sz="0" w:space="0" w:color="auto"/>
            <w:bottom w:val="none" w:sz="0" w:space="0" w:color="auto"/>
            <w:right w:val="none" w:sz="0" w:space="0" w:color="auto"/>
          </w:divBdr>
          <w:divsChild>
            <w:div w:id="770122578">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500464410">
      <w:bodyDiv w:val="1"/>
      <w:marLeft w:val="0"/>
      <w:marRight w:val="0"/>
      <w:marTop w:val="0"/>
      <w:marBottom w:val="0"/>
      <w:divBdr>
        <w:top w:val="none" w:sz="0" w:space="0" w:color="auto"/>
        <w:left w:val="none" w:sz="0" w:space="0" w:color="auto"/>
        <w:bottom w:val="none" w:sz="0" w:space="0" w:color="auto"/>
        <w:right w:val="none" w:sz="0" w:space="0" w:color="auto"/>
      </w:divBdr>
      <w:divsChild>
        <w:div w:id="774208485">
          <w:marLeft w:val="0"/>
          <w:marRight w:val="0"/>
          <w:marTop w:val="0"/>
          <w:marBottom w:val="0"/>
          <w:divBdr>
            <w:top w:val="none" w:sz="0" w:space="0" w:color="auto"/>
            <w:left w:val="none" w:sz="0" w:space="0" w:color="auto"/>
            <w:bottom w:val="none" w:sz="0" w:space="0" w:color="auto"/>
            <w:right w:val="none" w:sz="0" w:space="0" w:color="auto"/>
          </w:divBdr>
          <w:divsChild>
            <w:div w:id="121543543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08700581">
      <w:bodyDiv w:val="1"/>
      <w:marLeft w:val="0"/>
      <w:marRight w:val="0"/>
      <w:marTop w:val="0"/>
      <w:marBottom w:val="0"/>
      <w:divBdr>
        <w:top w:val="none" w:sz="0" w:space="0" w:color="auto"/>
        <w:left w:val="none" w:sz="0" w:space="0" w:color="auto"/>
        <w:bottom w:val="none" w:sz="0" w:space="0" w:color="auto"/>
        <w:right w:val="none" w:sz="0" w:space="0" w:color="auto"/>
      </w:divBdr>
      <w:divsChild>
        <w:div w:id="2125464787">
          <w:marLeft w:val="0"/>
          <w:marRight w:val="0"/>
          <w:marTop w:val="0"/>
          <w:marBottom w:val="0"/>
          <w:divBdr>
            <w:top w:val="none" w:sz="0" w:space="0" w:color="auto"/>
            <w:left w:val="none" w:sz="0" w:space="0" w:color="auto"/>
            <w:bottom w:val="none" w:sz="0" w:space="0" w:color="auto"/>
            <w:right w:val="none" w:sz="0" w:space="0" w:color="auto"/>
          </w:divBdr>
          <w:divsChild>
            <w:div w:id="16011424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21766386">
      <w:bodyDiv w:val="1"/>
      <w:marLeft w:val="0"/>
      <w:marRight w:val="0"/>
      <w:marTop w:val="0"/>
      <w:marBottom w:val="0"/>
      <w:divBdr>
        <w:top w:val="none" w:sz="0" w:space="0" w:color="auto"/>
        <w:left w:val="none" w:sz="0" w:space="0" w:color="auto"/>
        <w:bottom w:val="none" w:sz="0" w:space="0" w:color="auto"/>
        <w:right w:val="none" w:sz="0" w:space="0" w:color="auto"/>
      </w:divBdr>
    </w:div>
    <w:div w:id="626081013">
      <w:bodyDiv w:val="1"/>
      <w:marLeft w:val="0"/>
      <w:marRight w:val="0"/>
      <w:marTop w:val="0"/>
      <w:marBottom w:val="0"/>
      <w:divBdr>
        <w:top w:val="none" w:sz="0" w:space="0" w:color="auto"/>
        <w:left w:val="none" w:sz="0" w:space="0" w:color="auto"/>
        <w:bottom w:val="none" w:sz="0" w:space="0" w:color="auto"/>
        <w:right w:val="none" w:sz="0" w:space="0" w:color="auto"/>
      </w:divBdr>
      <w:divsChild>
        <w:div w:id="1524051492">
          <w:marLeft w:val="0"/>
          <w:marRight w:val="0"/>
          <w:marTop w:val="0"/>
          <w:marBottom w:val="0"/>
          <w:divBdr>
            <w:top w:val="none" w:sz="0" w:space="0" w:color="auto"/>
            <w:left w:val="none" w:sz="0" w:space="0" w:color="auto"/>
            <w:bottom w:val="none" w:sz="0" w:space="0" w:color="auto"/>
            <w:right w:val="none" w:sz="0" w:space="0" w:color="auto"/>
          </w:divBdr>
          <w:divsChild>
            <w:div w:id="1181433606">
              <w:marLeft w:val="0"/>
              <w:marRight w:val="0"/>
              <w:marTop w:val="0"/>
              <w:marBottom w:val="0"/>
              <w:divBdr>
                <w:top w:val="none" w:sz="0" w:space="0" w:color="auto"/>
                <w:left w:val="none" w:sz="0" w:space="0" w:color="auto"/>
                <w:bottom w:val="none" w:sz="0" w:space="0" w:color="auto"/>
                <w:right w:val="none" w:sz="0" w:space="0" w:color="auto"/>
              </w:divBdr>
              <w:divsChild>
                <w:div w:id="557864718">
                  <w:marLeft w:val="3096"/>
                  <w:marRight w:val="0"/>
                  <w:marTop w:val="0"/>
                  <w:marBottom w:val="0"/>
                  <w:divBdr>
                    <w:top w:val="none" w:sz="0" w:space="0" w:color="auto"/>
                    <w:left w:val="none" w:sz="0" w:space="0" w:color="auto"/>
                    <w:bottom w:val="none" w:sz="0" w:space="0" w:color="auto"/>
                    <w:right w:val="none" w:sz="0" w:space="0" w:color="auto"/>
                  </w:divBdr>
                  <w:divsChild>
                    <w:div w:id="1930846012">
                      <w:marLeft w:val="0"/>
                      <w:marRight w:val="0"/>
                      <w:marTop w:val="0"/>
                      <w:marBottom w:val="240"/>
                      <w:divBdr>
                        <w:top w:val="none" w:sz="0" w:space="0" w:color="auto"/>
                        <w:left w:val="none" w:sz="0" w:space="0" w:color="auto"/>
                        <w:bottom w:val="none" w:sz="0" w:space="0" w:color="auto"/>
                        <w:right w:val="none" w:sz="0" w:space="0" w:color="auto"/>
                      </w:divBdr>
                      <w:divsChild>
                        <w:div w:id="21250781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674311090">
      <w:bodyDiv w:val="1"/>
      <w:marLeft w:val="0"/>
      <w:marRight w:val="0"/>
      <w:marTop w:val="0"/>
      <w:marBottom w:val="0"/>
      <w:divBdr>
        <w:top w:val="none" w:sz="0" w:space="0" w:color="auto"/>
        <w:left w:val="none" w:sz="0" w:space="0" w:color="auto"/>
        <w:bottom w:val="none" w:sz="0" w:space="0" w:color="auto"/>
        <w:right w:val="none" w:sz="0" w:space="0" w:color="auto"/>
      </w:divBdr>
      <w:divsChild>
        <w:div w:id="1562325757">
          <w:marLeft w:val="0"/>
          <w:marRight w:val="0"/>
          <w:marTop w:val="0"/>
          <w:marBottom w:val="0"/>
          <w:divBdr>
            <w:top w:val="none" w:sz="0" w:space="0" w:color="auto"/>
            <w:left w:val="none" w:sz="0" w:space="0" w:color="auto"/>
            <w:bottom w:val="none" w:sz="0" w:space="0" w:color="auto"/>
            <w:right w:val="none" w:sz="0" w:space="0" w:color="auto"/>
          </w:divBdr>
          <w:divsChild>
            <w:div w:id="133156438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677655667">
      <w:bodyDiv w:val="1"/>
      <w:marLeft w:val="0"/>
      <w:marRight w:val="0"/>
      <w:marTop w:val="0"/>
      <w:marBottom w:val="0"/>
      <w:divBdr>
        <w:top w:val="none" w:sz="0" w:space="0" w:color="auto"/>
        <w:left w:val="none" w:sz="0" w:space="0" w:color="auto"/>
        <w:bottom w:val="none" w:sz="0" w:space="0" w:color="auto"/>
        <w:right w:val="none" w:sz="0" w:space="0" w:color="auto"/>
      </w:divBdr>
      <w:divsChild>
        <w:div w:id="275526837">
          <w:marLeft w:val="0"/>
          <w:marRight w:val="0"/>
          <w:marTop w:val="0"/>
          <w:marBottom w:val="0"/>
          <w:divBdr>
            <w:top w:val="none" w:sz="0" w:space="0" w:color="auto"/>
            <w:left w:val="none" w:sz="0" w:space="0" w:color="auto"/>
            <w:bottom w:val="none" w:sz="0" w:space="0" w:color="auto"/>
            <w:right w:val="none" w:sz="0" w:space="0" w:color="auto"/>
          </w:divBdr>
          <w:divsChild>
            <w:div w:id="601913216">
              <w:marLeft w:val="0"/>
              <w:marRight w:val="0"/>
              <w:marTop w:val="0"/>
              <w:marBottom w:val="0"/>
              <w:divBdr>
                <w:top w:val="none" w:sz="0" w:space="0" w:color="auto"/>
                <w:left w:val="none" w:sz="0" w:space="0" w:color="auto"/>
                <w:bottom w:val="none" w:sz="0" w:space="0" w:color="auto"/>
                <w:right w:val="none" w:sz="0" w:space="0" w:color="auto"/>
              </w:divBdr>
              <w:divsChild>
                <w:div w:id="933981249">
                  <w:marLeft w:val="3096"/>
                  <w:marRight w:val="0"/>
                  <w:marTop w:val="0"/>
                  <w:marBottom w:val="0"/>
                  <w:divBdr>
                    <w:top w:val="none" w:sz="0" w:space="0" w:color="auto"/>
                    <w:left w:val="none" w:sz="0" w:space="0" w:color="auto"/>
                    <w:bottom w:val="none" w:sz="0" w:space="0" w:color="auto"/>
                    <w:right w:val="none" w:sz="0" w:space="0" w:color="auto"/>
                  </w:divBdr>
                  <w:divsChild>
                    <w:div w:id="1339507635">
                      <w:marLeft w:val="0"/>
                      <w:marRight w:val="0"/>
                      <w:marTop w:val="0"/>
                      <w:marBottom w:val="240"/>
                      <w:divBdr>
                        <w:top w:val="none" w:sz="0" w:space="0" w:color="auto"/>
                        <w:left w:val="none" w:sz="0" w:space="0" w:color="auto"/>
                        <w:bottom w:val="none" w:sz="0" w:space="0" w:color="auto"/>
                        <w:right w:val="none" w:sz="0" w:space="0" w:color="auto"/>
                      </w:divBdr>
                      <w:divsChild>
                        <w:div w:id="1621034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21830557">
      <w:bodyDiv w:val="1"/>
      <w:marLeft w:val="0"/>
      <w:marRight w:val="0"/>
      <w:marTop w:val="0"/>
      <w:marBottom w:val="0"/>
      <w:divBdr>
        <w:top w:val="none" w:sz="0" w:space="0" w:color="auto"/>
        <w:left w:val="none" w:sz="0" w:space="0" w:color="auto"/>
        <w:bottom w:val="none" w:sz="0" w:space="0" w:color="auto"/>
        <w:right w:val="none" w:sz="0" w:space="0" w:color="auto"/>
      </w:divBdr>
      <w:divsChild>
        <w:div w:id="432366140">
          <w:marLeft w:val="0"/>
          <w:marRight w:val="0"/>
          <w:marTop w:val="0"/>
          <w:marBottom w:val="0"/>
          <w:divBdr>
            <w:top w:val="none" w:sz="0" w:space="0" w:color="auto"/>
            <w:left w:val="none" w:sz="0" w:space="0" w:color="auto"/>
            <w:bottom w:val="none" w:sz="0" w:space="0" w:color="auto"/>
            <w:right w:val="none" w:sz="0" w:space="0" w:color="auto"/>
          </w:divBdr>
          <w:divsChild>
            <w:div w:id="1038042871">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724107702">
      <w:bodyDiv w:val="1"/>
      <w:marLeft w:val="0"/>
      <w:marRight w:val="0"/>
      <w:marTop w:val="0"/>
      <w:marBottom w:val="0"/>
      <w:divBdr>
        <w:top w:val="none" w:sz="0" w:space="0" w:color="auto"/>
        <w:left w:val="none" w:sz="0" w:space="0" w:color="auto"/>
        <w:bottom w:val="none" w:sz="0" w:space="0" w:color="auto"/>
        <w:right w:val="none" w:sz="0" w:space="0" w:color="auto"/>
      </w:divBdr>
      <w:divsChild>
        <w:div w:id="617106945">
          <w:marLeft w:val="0"/>
          <w:marRight w:val="0"/>
          <w:marTop w:val="0"/>
          <w:marBottom w:val="0"/>
          <w:divBdr>
            <w:top w:val="none" w:sz="0" w:space="0" w:color="auto"/>
            <w:left w:val="none" w:sz="0" w:space="0" w:color="auto"/>
            <w:bottom w:val="none" w:sz="0" w:space="0" w:color="auto"/>
            <w:right w:val="none" w:sz="0" w:space="0" w:color="auto"/>
          </w:divBdr>
          <w:divsChild>
            <w:div w:id="677773760">
              <w:marLeft w:val="0"/>
              <w:marRight w:val="0"/>
              <w:marTop w:val="0"/>
              <w:marBottom w:val="0"/>
              <w:divBdr>
                <w:top w:val="none" w:sz="0" w:space="0" w:color="auto"/>
                <w:left w:val="none" w:sz="0" w:space="0" w:color="auto"/>
                <w:bottom w:val="none" w:sz="0" w:space="0" w:color="auto"/>
                <w:right w:val="none" w:sz="0" w:space="0" w:color="auto"/>
              </w:divBdr>
              <w:divsChild>
                <w:div w:id="382171722">
                  <w:marLeft w:val="3096"/>
                  <w:marRight w:val="0"/>
                  <w:marTop w:val="0"/>
                  <w:marBottom w:val="0"/>
                  <w:divBdr>
                    <w:top w:val="none" w:sz="0" w:space="0" w:color="auto"/>
                    <w:left w:val="none" w:sz="0" w:space="0" w:color="auto"/>
                    <w:bottom w:val="none" w:sz="0" w:space="0" w:color="auto"/>
                    <w:right w:val="none" w:sz="0" w:space="0" w:color="auto"/>
                  </w:divBdr>
                  <w:divsChild>
                    <w:div w:id="961689868">
                      <w:marLeft w:val="0"/>
                      <w:marRight w:val="0"/>
                      <w:marTop w:val="0"/>
                      <w:marBottom w:val="240"/>
                      <w:divBdr>
                        <w:top w:val="none" w:sz="0" w:space="0" w:color="auto"/>
                        <w:left w:val="none" w:sz="0" w:space="0" w:color="auto"/>
                        <w:bottom w:val="none" w:sz="0" w:space="0" w:color="auto"/>
                        <w:right w:val="none" w:sz="0" w:space="0" w:color="auto"/>
                      </w:divBdr>
                      <w:divsChild>
                        <w:div w:id="17408617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65072816">
      <w:bodyDiv w:val="1"/>
      <w:marLeft w:val="0"/>
      <w:marRight w:val="0"/>
      <w:marTop w:val="0"/>
      <w:marBottom w:val="0"/>
      <w:divBdr>
        <w:top w:val="none" w:sz="0" w:space="0" w:color="auto"/>
        <w:left w:val="none" w:sz="0" w:space="0" w:color="auto"/>
        <w:bottom w:val="none" w:sz="0" w:space="0" w:color="auto"/>
        <w:right w:val="none" w:sz="0" w:space="0" w:color="auto"/>
      </w:divBdr>
      <w:divsChild>
        <w:div w:id="624584148">
          <w:marLeft w:val="0"/>
          <w:marRight w:val="0"/>
          <w:marTop w:val="0"/>
          <w:marBottom w:val="0"/>
          <w:divBdr>
            <w:top w:val="none" w:sz="0" w:space="0" w:color="auto"/>
            <w:left w:val="none" w:sz="0" w:space="0" w:color="auto"/>
            <w:bottom w:val="none" w:sz="0" w:space="0" w:color="auto"/>
            <w:right w:val="none" w:sz="0" w:space="0" w:color="auto"/>
          </w:divBdr>
          <w:divsChild>
            <w:div w:id="1914198563">
              <w:marLeft w:val="0"/>
              <w:marRight w:val="0"/>
              <w:marTop w:val="0"/>
              <w:marBottom w:val="0"/>
              <w:divBdr>
                <w:top w:val="none" w:sz="0" w:space="0" w:color="auto"/>
                <w:left w:val="none" w:sz="0" w:space="0" w:color="auto"/>
                <w:bottom w:val="none" w:sz="0" w:space="0" w:color="auto"/>
                <w:right w:val="none" w:sz="0" w:space="0" w:color="auto"/>
              </w:divBdr>
              <w:divsChild>
                <w:div w:id="1734813748">
                  <w:marLeft w:val="3096"/>
                  <w:marRight w:val="0"/>
                  <w:marTop w:val="0"/>
                  <w:marBottom w:val="0"/>
                  <w:divBdr>
                    <w:top w:val="none" w:sz="0" w:space="0" w:color="auto"/>
                    <w:left w:val="none" w:sz="0" w:space="0" w:color="auto"/>
                    <w:bottom w:val="none" w:sz="0" w:space="0" w:color="auto"/>
                    <w:right w:val="none" w:sz="0" w:space="0" w:color="auto"/>
                  </w:divBdr>
                  <w:divsChild>
                    <w:div w:id="366610976">
                      <w:marLeft w:val="0"/>
                      <w:marRight w:val="0"/>
                      <w:marTop w:val="0"/>
                      <w:marBottom w:val="240"/>
                      <w:divBdr>
                        <w:top w:val="none" w:sz="0" w:space="0" w:color="auto"/>
                        <w:left w:val="none" w:sz="0" w:space="0" w:color="auto"/>
                        <w:bottom w:val="none" w:sz="0" w:space="0" w:color="auto"/>
                        <w:right w:val="none" w:sz="0" w:space="0" w:color="auto"/>
                      </w:divBdr>
                      <w:divsChild>
                        <w:div w:id="5244399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81605249">
      <w:bodyDiv w:val="1"/>
      <w:marLeft w:val="0"/>
      <w:marRight w:val="0"/>
      <w:marTop w:val="0"/>
      <w:marBottom w:val="0"/>
      <w:divBdr>
        <w:top w:val="none" w:sz="0" w:space="0" w:color="auto"/>
        <w:left w:val="none" w:sz="0" w:space="0" w:color="auto"/>
        <w:bottom w:val="none" w:sz="0" w:space="0" w:color="auto"/>
        <w:right w:val="none" w:sz="0" w:space="0" w:color="auto"/>
      </w:divBdr>
      <w:divsChild>
        <w:div w:id="337465247">
          <w:marLeft w:val="0"/>
          <w:marRight w:val="0"/>
          <w:marTop w:val="0"/>
          <w:marBottom w:val="0"/>
          <w:divBdr>
            <w:top w:val="none" w:sz="0" w:space="0" w:color="auto"/>
            <w:left w:val="none" w:sz="0" w:space="0" w:color="auto"/>
            <w:bottom w:val="none" w:sz="0" w:space="0" w:color="auto"/>
            <w:right w:val="none" w:sz="0" w:space="0" w:color="auto"/>
          </w:divBdr>
          <w:divsChild>
            <w:div w:id="263346469">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837233103">
      <w:bodyDiv w:val="1"/>
      <w:marLeft w:val="0"/>
      <w:marRight w:val="0"/>
      <w:marTop w:val="0"/>
      <w:marBottom w:val="0"/>
      <w:divBdr>
        <w:top w:val="none" w:sz="0" w:space="0" w:color="auto"/>
        <w:left w:val="none" w:sz="0" w:space="0" w:color="auto"/>
        <w:bottom w:val="none" w:sz="0" w:space="0" w:color="auto"/>
        <w:right w:val="none" w:sz="0" w:space="0" w:color="auto"/>
      </w:divBdr>
      <w:divsChild>
        <w:div w:id="1455253976">
          <w:marLeft w:val="0"/>
          <w:marRight w:val="0"/>
          <w:marTop w:val="0"/>
          <w:marBottom w:val="0"/>
          <w:divBdr>
            <w:top w:val="none" w:sz="0" w:space="0" w:color="auto"/>
            <w:left w:val="none" w:sz="0" w:space="0" w:color="auto"/>
            <w:bottom w:val="none" w:sz="0" w:space="0" w:color="auto"/>
            <w:right w:val="none" w:sz="0" w:space="0" w:color="auto"/>
          </w:divBdr>
          <w:divsChild>
            <w:div w:id="1398740906">
              <w:marLeft w:val="0"/>
              <w:marRight w:val="0"/>
              <w:marTop w:val="0"/>
              <w:marBottom w:val="0"/>
              <w:divBdr>
                <w:top w:val="none" w:sz="0" w:space="0" w:color="auto"/>
                <w:left w:val="none" w:sz="0" w:space="0" w:color="auto"/>
                <w:bottom w:val="none" w:sz="0" w:space="0" w:color="auto"/>
                <w:right w:val="none" w:sz="0" w:space="0" w:color="auto"/>
              </w:divBdr>
              <w:divsChild>
                <w:div w:id="1034573595">
                  <w:marLeft w:val="3096"/>
                  <w:marRight w:val="0"/>
                  <w:marTop w:val="0"/>
                  <w:marBottom w:val="0"/>
                  <w:divBdr>
                    <w:top w:val="none" w:sz="0" w:space="0" w:color="auto"/>
                    <w:left w:val="none" w:sz="0" w:space="0" w:color="auto"/>
                    <w:bottom w:val="none" w:sz="0" w:space="0" w:color="auto"/>
                    <w:right w:val="none" w:sz="0" w:space="0" w:color="auto"/>
                  </w:divBdr>
                  <w:divsChild>
                    <w:div w:id="832842410">
                      <w:marLeft w:val="0"/>
                      <w:marRight w:val="0"/>
                      <w:marTop w:val="0"/>
                      <w:marBottom w:val="240"/>
                      <w:divBdr>
                        <w:top w:val="none" w:sz="0" w:space="0" w:color="auto"/>
                        <w:left w:val="none" w:sz="0" w:space="0" w:color="auto"/>
                        <w:bottom w:val="none" w:sz="0" w:space="0" w:color="auto"/>
                        <w:right w:val="none" w:sz="0" w:space="0" w:color="auto"/>
                      </w:divBdr>
                      <w:divsChild>
                        <w:div w:id="1434016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91041698">
      <w:bodyDiv w:val="1"/>
      <w:marLeft w:val="0"/>
      <w:marRight w:val="0"/>
      <w:marTop w:val="0"/>
      <w:marBottom w:val="0"/>
      <w:divBdr>
        <w:top w:val="none" w:sz="0" w:space="0" w:color="auto"/>
        <w:left w:val="none" w:sz="0" w:space="0" w:color="auto"/>
        <w:bottom w:val="none" w:sz="0" w:space="0" w:color="auto"/>
        <w:right w:val="none" w:sz="0" w:space="0" w:color="auto"/>
      </w:divBdr>
      <w:divsChild>
        <w:div w:id="905725268">
          <w:marLeft w:val="0"/>
          <w:marRight w:val="0"/>
          <w:marTop w:val="0"/>
          <w:marBottom w:val="0"/>
          <w:divBdr>
            <w:top w:val="none" w:sz="0" w:space="0" w:color="auto"/>
            <w:left w:val="none" w:sz="0" w:space="0" w:color="auto"/>
            <w:bottom w:val="none" w:sz="0" w:space="0" w:color="auto"/>
            <w:right w:val="none" w:sz="0" w:space="0" w:color="auto"/>
          </w:divBdr>
          <w:divsChild>
            <w:div w:id="260651070">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4555199">
      <w:bodyDiv w:val="1"/>
      <w:marLeft w:val="0"/>
      <w:marRight w:val="0"/>
      <w:marTop w:val="0"/>
      <w:marBottom w:val="0"/>
      <w:divBdr>
        <w:top w:val="none" w:sz="0" w:space="0" w:color="auto"/>
        <w:left w:val="none" w:sz="0" w:space="0" w:color="auto"/>
        <w:bottom w:val="none" w:sz="0" w:space="0" w:color="auto"/>
        <w:right w:val="none" w:sz="0" w:space="0" w:color="auto"/>
      </w:divBdr>
      <w:divsChild>
        <w:div w:id="937955240">
          <w:marLeft w:val="0"/>
          <w:marRight w:val="0"/>
          <w:marTop w:val="0"/>
          <w:marBottom w:val="0"/>
          <w:divBdr>
            <w:top w:val="none" w:sz="0" w:space="0" w:color="auto"/>
            <w:left w:val="none" w:sz="0" w:space="0" w:color="auto"/>
            <w:bottom w:val="none" w:sz="0" w:space="0" w:color="auto"/>
            <w:right w:val="none" w:sz="0" w:space="0" w:color="auto"/>
          </w:divBdr>
          <w:divsChild>
            <w:div w:id="26561865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919755253">
      <w:bodyDiv w:val="1"/>
      <w:marLeft w:val="0"/>
      <w:marRight w:val="0"/>
      <w:marTop w:val="0"/>
      <w:marBottom w:val="0"/>
      <w:divBdr>
        <w:top w:val="none" w:sz="0" w:space="0" w:color="auto"/>
        <w:left w:val="none" w:sz="0" w:space="0" w:color="auto"/>
        <w:bottom w:val="none" w:sz="0" w:space="0" w:color="auto"/>
        <w:right w:val="none" w:sz="0" w:space="0" w:color="auto"/>
      </w:divBdr>
      <w:divsChild>
        <w:div w:id="647317824">
          <w:marLeft w:val="0"/>
          <w:marRight w:val="0"/>
          <w:marTop w:val="0"/>
          <w:marBottom w:val="0"/>
          <w:divBdr>
            <w:top w:val="none" w:sz="0" w:space="0" w:color="auto"/>
            <w:left w:val="none" w:sz="0" w:space="0" w:color="auto"/>
            <w:bottom w:val="none" w:sz="0" w:space="0" w:color="auto"/>
            <w:right w:val="none" w:sz="0" w:space="0" w:color="auto"/>
          </w:divBdr>
          <w:divsChild>
            <w:div w:id="168532781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006008745">
      <w:bodyDiv w:val="1"/>
      <w:marLeft w:val="0"/>
      <w:marRight w:val="0"/>
      <w:marTop w:val="0"/>
      <w:marBottom w:val="0"/>
      <w:divBdr>
        <w:top w:val="none" w:sz="0" w:space="0" w:color="auto"/>
        <w:left w:val="none" w:sz="0" w:space="0" w:color="auto"/>
        <w:bottom w:val="none" w:sz="0" w:space="0" w:color="auto"/>
        <w:right w:val="none" w:sz="0" w:space="0" w:color="auto"/>
      </w:divBdr>
      <w:divsChild>
        <w:div w:id="1109010583">
          <w:marLeft w:val="0"/>
          <w:marRight w:val="0"/>
          <w:marTop w:val="0"/>
          <w:marBottom w:val="0"/>
          <w:divBdr>
            <w:top w:val="none" w:sz="0" w:space="0" w:color="auto"/>
            <w:left w:val="none" w:sz="0" w:space="0" w:color="auto"/>
            <w:bottom w:val="none" w:sz="0" w:space="0" w:color="auto"/>
            <w:right w:val="none" w:sz="0" w:space="0" w:color="auto"/>
          </w:divBdr>
          <w:divsChild>
            <w:div w:id="514618895">
              <w:marLeft w:val="0"/>
              <w:marRight w:val="0"/>
              <w:marTop w:val="0"/>
              <w:marBottom w:val="0"/>
              <w:divBdr>
                <w:top w:val="none" w:sz="0" w:space="0" w:color="auto"/>
                <w:left w:val="none" w:sz="0" w:space="0" w:color="auto"/>
                <w:bottom w:val="none" w:sz="0" w:space="0" w:color="auto"/>
                <w:right w:val="none" w:sz="0" w:space="0" w:color="auto"/>
              </w:divBdr>
              <w:divsChild>
                <w:div w:id="236283538">
                  <w:marLeft w:val="3096"/>
                  <w:marRight w:val="0"/>
                  <w:marTop w:val="0"/>
                  <w:marBottom w:val="0"/>
                  <w:divBdr>
                    <w:top w:val="none" w:sz="0" w:space="0" w:color="auto"/>
                    <w:left w:val="none" w:sz="0" w:space="0" w:color="auto"/>
                    <w:bottom w:val="none" w:sz="0" w:space="0" w:color="auto"/>
                    <w:right w:val="none" w:sz="0" w:space="0" w:color="auto"/>
                  </w:divBdr>
                  <w:divsChild>
                    <w:div w:id="1638533534">
                      <w:marLeft w:val="0"/>
                      <w:marRight w:val="0"/>
                      <w:marTop w:val="0"/>
                      <w:marBottom w:val="240"/>
                      <w:divBdr>
                        <w:top w:val="none" w:sz="0" w:space="0" w:color="auto"/>
                        <w:left w:val="none" w:sz="0" w:space="0" w:color="auto"/>
                        <w:bottom w:val="none" w:sz="0" w:space="0" w:color="auto"/>
                        <w:right w:val="none" w:sz="0" w:space="0" w:color="auto"/>
                      </w:divBdr>
                      <w:divsChild>
                        <w:div w:id="1721125315">
                          <w:marLeft w:val="0"/>
                          <w:marRight w:val="0"/>
                          <w:marTop w:val="0"/>
                          <w:marBottom w:val="0"/>
                          <w:divBdr>
                            <w:top w:val="none" w:sz="0" w:space="0" w:color="auto"/>
                            <w:left w:val="none" w:sz="0" w:space="0" w:color="auto"/>
                            <w:bottom w:val="none" w:sz="0" w:space="0" w:color="auto"/>
                            <w:right w:val="none" w:sz="0" w:space="0" w:color="auto"/>
                          </w:divBdr>
                          <w:divsChild>
                            <w:div w:id="7058308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07752265">
      <w:bodyDiv w:val="1"/>
      <w:marLeft w:val="0"/>
      <w:marRight w:val="0"/>
      <w:marTop w:val="0"/>
      <w:marBottom w:val="0"/>
      <w:divBdr>
        <w:top w:val="none" w:sz="0" w:space="0" w:color="auto"/>
        <w:left w:val="none" w:sz="0" w:space="0" w:color="auto"/>
        <w:bottom w:val="none" w:sz="0" w:space="0" w:color="auto"/>
        <w:right w:val="none" w:sz="0" w:space="0" w:color="auto"/>
      </w:divBdr>
      <w:divsChild>
        <w:div w:id="629827793">
          <w:marLeft w:val="0"/>
          <w:marRight w:val="0"/>
          <w:marTop w:val="0"/>
          <w:marBottom w:val="0"/>
          <w:divBdr>
            <w:top w:val="none" w:sz="0" w:space="0" w:color="auto"/>
            <w:left w:val="none" w:sz="0" w:space="0" w:color="auto"/>
            <w:bottom w:val="none" w:sz="0" w:space="0" w:color="auto"/>
            <w:right w:val="none" w:sz="0" w:space="0" w:color="auto"/>
          </w:divBdr>
          <w:divsChild>
            <w:div w:id="131679841">
              <w:marLeft w:val="0"/>
              <w:marRight w:val="0"/>
              <w:marTop w:val="0"/>
              <w:marBottom w:val="0"/>
              <w:divBdr>
                <w:top w:val="none" w:sz="0" w:space="0" w:color="auto"/>
                <w:left w:val="none" w:sz="0" w:space="0" w:color="auto"/>
                <w:bottom w:val="none" w:sz="0" w:space="0" w:color="auto"/>
                <w:right w:val="none" w:sz="0" w:space="0" w:color="auto"/>
              </w:divBdr>
              <w:divsChild>
                <w:div w:id="1098602646">
                  <w:marLeft w:val="3096"/>
                  <w:marRight w:val="0"/>
                  <w:marTop w:val="0"/>
                  <w:marBottom w:val="0"/>
                  <w:divBdr>
                    <w:top w:val="none" w:sz="0" w:space="0" w:color="auto"/>
                    <w:left w:val="none" w:sz="0" w:space="0" w:color="auto"/>
                    <w:bottom w:val="none" w:sz="0" w:space="0" w:color="auto"/>
                    <w:right w:val="none" w:sz="0" w:space="0" w:color="auto"/>
                  </w:divBdr>
                  <w:divsChild>
                    <w:div w:id="1541553385">
                      <w:marLeft w:val="0"/>
                      <w:marRight w:val="0"/>
                      <w:marTop w:val="0"/>
                      <w:marBottom w:val="240"/>
                      <w:divBdr>
                        <w:top w:val="none" w:sz="0" w:space="0" w:color="auto"/>
                        <w:left w:val="none" w:sz="0" w:space="0" w:color="auto"/>
                        <w:bottom w:val="none" w:sz="0" w:space="0" w:color="auto"/>
                        <w:right w:val="none" w:sz="0" w:space="0" w:color="auto"/>
                      </w:divBdr>
                      <w:divsChild>
                        <w:div w:id="1228102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98061191">
      <w:bodyDiv w:val="1"/>
      <w:marLeft w:val="0"/>
      <w:marRight w:val="0"/>
      <w:marTop w:val="0"/>
      <w:marBottom w:val="0"/>
      <w:divBdr>
        <w:top w:val="none" w:sz="0" w:space="0" w:color="auto"/>
        <w:left w:val="none" w:sz="0" w:space="0" w:color="auto"/>
        <w:bottom w:val="none" w:sz="0" w:space="0" w:color="auto"/>
        <w:right w:val="none" w:sz="0" w:space="0" w:color="auto"/>
      </w:divBdr>
      <w:divsChild>
        <w:div w:id="1814365046">
          <w:marLeft w:val="0"/>
          <w:marRight w:val="0"/>
          <w:marTop w:val="0"/>
          <w:marBottom w:val="0"/>
          <w:divBdr>
            <w:top w:val="none" w:sz="0" w:space="0" w:color="auto"/>
            <w:left w:val="none" w:sz="0" w:space="0" w:color="auto"/>
            <w:bottom w:val="none" w:sz="0" w:space="0" w:color="auto"/>
            <w:right w:val="none" w:sz="0" w:space="0" w:color="auto"/>
          </w:divBdr>
          <w:divsChild>
            <w:div w:id="187029519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112896153">
      <w:bodyDiv w:val="1"/>
      <w:marLeft w:val="0"/>
      <w:marRight w:val="0"/>
      <w:marTop w:val="0"/>
      <w:marBottom w:val="0"/>
      <w:divBdr>
        <w:top w:val="none" w:sz="0" w:space="0" w:color="auto"/>
        <w:left w:val="none" w:sz="0" w:space="0" w:color="auto"/>
        <w:bottom w:val="none" w:sz="0" w:space="0" w:color="auto"/>
        <w:right w:val="none" w:sz="0" w:space="0" w:color="auto"/>
      </w:divBdr>
      <w:divsChild>
        <w:div w:id="1385256421">
          <w:marLeft w:val="0"/>
          <w:marRight w:val="0"/>
          <w:marTop w:val="0"/>
          <w:marBottom w:val="0"/>
          <w:divBdr>
            <w:top w:val="none" w:sz="0" w:space="0" w:color="auto"/>
            <w:left w:val="none" w:sz="0" w:space="0" w:color="auto"/>
            <w:bottom w:val="none" w:sz="0" w:space="0" w:color="auto"/>
            <w:right w:val="none" w:sz="0" w:space="0" w:color="auto"/>
          </w:divBdr>
          <w:divsChild>
            <w:div w:id="1543250488">
              <w:marLeft w:val="0"/>
              <w:marRight w:val="0"/>
              <w:marTop w:val="0"/>
              <w:marBottom w:val="0"/>
              <w:divBdr>
                <w:top w:val="none" w:sz="0" w:space="0" w:color="auto"/>
                <w:left w:val="none" w:sz="0" w:space="0" w:color="auto"/>
                <w:bottom w:val="none" w:sz="0" w:space="0" w:color="auto"/>
                <w:right w:val="none" w:sz="0" w:space="0" w:color="auto"/>
              </w:divBdr>
              <w:divsChild>
                <w:div w:id="12728560">
                  <w:marLeft w:val="3096"/>
                  <w:marRight w:val="0"/>
                  <w:marTop w:val="0"/>
                  <w:marBottom w:val="0"/>
                  <w:divBdr>
                    <w:top w:val="none" w:sz="0" w:space="0" w:color="auto"/>
                    <w:left w:val="none" w:sz="0" w:space="0" w:color="auto"/>
                    <w:bottom w:val="none" w:sz="0" w:space="0" w:color="auto"/>
                    <w:right w:val="none" w:sz="0" w:space="0" w:color="auto"/>
                  </w:divBdr>
                  <w:divsChild>
                    <w:div w:id="780102627">
                      <w:marLeft w:val="0"/>
                      <w:marRight w:val="0"/>
                      <w:marTop w:val="0"/>
                      <w:marBottom w:val="240"/>
                      <w:divBdr>
                        <w:top w:val="none" w:sz="0" w:space="0" w:color="auto"/>
                        <w:left w:val="none" w:sz="0" w:space="0" w:color="auto"/>
                        <w:bottom w:val="none" w:sz="0" w:space="0" w:color="auto"/>
                        <w:right w:val="none" w:sz="0" w:space="0" w:color="auto"/>
                      </w:divBdr>
                      <w:divsChild>
                        <w:div w:id="45968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59288677">
      <w:bodyDiv w:val="1"/>
      <w:marLeft w:val="0"/>
      <w:marRight w:val="0"/>
      <w:marTop w:val="0"/>
      <w:marBottom w:val="0"/>
      <w:divBdr>
        <w:top w:val="none" w:sz="0" w:space="0" w:color="auto"/>
        <w:left w:val="none" w:sz="0" w:space="0" w:color="auto"/>
        <w:bottom w:val="none" w:sz="0" w:space="0" w:color="auto"/>
        <w:right w:val="none" w:sz="0" w:space="0" w:color="auto"/>
      </w:divBdr>
    </w:div>
    <w:div w:id="1283927545">
      <w:bodyDiv w:val="1"/>
      <w:marLeft w:val="0"/>
      <w:marRight w:val="0"/>
      <w:marTop w:val="0"/>
      <w:marBottom w:val="0"/>
      <w:divBdr>
        <w:top w:val="none" w:sz="0" w:space="0" w:color="auto"/>
        <w:left w:val="none" w:sz="0" w:space="0" w:color="auto"/>
        <w:bottom w:val="none" w:sz="0" w:space="0" w:color="auto"/>
        <w:right w:val="none" w:sz="0" w:space="0" w:color="auto"/>
      </w:divBdr>
      <w:divsChild>
        <w:div w:id="1162350612">
          <w:marLeft w:val="0"/>
          <w:marRight w:val="0"/>
          <w:marTop w:val="0"/>
          <w:marBottom w:val="0"/>
          <w:divBdr>
            <w:top w:val="none" w:sz="0" w:space="0" w:color="auto"/>
            <w:left w:val="none" w:sz="0" w:space="0" w:color="auto"/>
            <w:bottom w:val="none" w:sz="0" w:space="0" w:color="auto"/>
            <w:right w:val="none" w:sz="0" w:space="0" w:color="auto"/>
          </w:divBdr>
          <w:divsChild>
            <w:div w:id="2012174360">
              <w:marLeft w:val="0"/>
              <w:marRight w:val="0"/>
              <w:marTop w:val="0"/>
              <w:marBottom w:val="0"/>
              <w:divBdr>
                <w:top w:val="none" w:sz="0" w:space="0" w:color="auto"/>
                <w:left w:val="none" w:sz="0" w:space="0" w:color="auto"/>
                <w:bottom w:val="none" w:sz="0" w:space="0" w:color="auto"/>
                <w:right w:val="none" w:sz="0" w:space="0" w:color="auto"/>
              </w:divBdr>
              <w:divsChild>
                <w:div w:id="1780100012">
                  <w:marLeft w:val="3096"/>
                  <w:marRight w:val="0"/>
                  <w:marTop w:val="0"/>
                  <w:marBottom w:val="0"/>
                  <w:divBdr>
                    <w:top w:val="none" w:sz="0" w:space="0" w:color="auto"/>
                    <w:left w:val="none" w:sz="0" w:space="0" w:color="auto"/>
                    <w:bottom w:val="none" w:sz="0" w:space="0" w:color="auto"/>
                    <w:right w:val="none" w:sz="0" w:space="0" w:color="auto"/>
                  </w:divBdr>
                  <w:divsChild>
                    <w:div w:id="1155293127">
                      <w:marLeft w:val="0"/>
                      <w:marRight w:val="0"/>
                      <w:marTop w:val="0"/>
                      <w:marBottom w:val="240"/>
                      <w:divBdr>
                        <w:top w:val="none" w:sz="0" w:space="0" w:color="auto"/>
                        <w:left w:val="none" w:sz="0" w:space="0" w:color="auto"/>
                        <w:bottom w:val="none" w:sz="0" w:space="0" w:color="auto"/>
                        <w:right w:val="none" w:sz="0" w:space="0" w:color="auto"/>
                      </w:divBdr>
                      <w:divsChild>
                        <w:div w:id="55767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91404196">
      <w:bodyDiv w:val="1"/>
      <w:marLeft w:val="0"/>
      <w:marRight w:val="0"/>
      <w:marTop w:val="0"/>
      <w:marBottom w:val="0"/>
      <w:divBdr>
        <w:top w:val="none" w:sz="0" w:space="0" w:color="auto"/>
        <w:left w:val="none" w:sz="0" w:space="0" w:color="auto"/>
        <w:bottom w:val="none" w:sz="0" w:space="0" w:color="auto"/>
        <w:right w:val="none" w:sz="0" w:space="0" w:color="auto"/>
      </w:divBdr>
      <w:divsChild>
        <w:div w:id="1283263584">
          <w:marLeft w:val="0"/>
          <w:marRight w:val="0"/>
          <w:marTop w:val="0"/>
          <w:marBottom w:val="0"/>
          <w:divBdr>
            <w:top w:val="none" w:sz="0" w:space="0" w:color="auto"/>
            <w:left w:val="none" w:sz="0" w:space="0" w:color="auto"/>
            <w:bottom w:val="none" w:sz="0" w:space="0" w:color="auto"/>
            <w:right w:val="none" w:sz="0" w:space="0" w:color="auto"/>
          </w:divBdr>
          <w:divsChild>
            <w:div w:id="759250874">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379011306">
      <w:bodyDiv w:val="1"/>
      <w:marLeft w:val="0"/>
      <w:marRight w:val="0"/>
      <w:marTop w:val="0"/>
      <w:marBottom w:val="0"/>
      <w:divBdr>
        <w:top w:val="none" w:sz="0" w:space="0" w:color="auto"/>
        <w:left w:val="none" w:sz="0" w:space="0" w:color="auto"/>
        <w:bottom w:val="none" w:sz="0" w:space="0" w:color="auto"/>
        <w:right w:val="none" w:sz="0" w:space="0" w:color="auto"/>
      </w:divBdr>
      <w:divsChild>
        <w:div w:id="1174027807">
          <w:marLeft w:val="0"/>
          <w:marRight w:val="0"/>
          <w:marTop w:val="0"/>
          <w:marBottom w:val="0"/>
          <w:divBdr>
            <w:top w:val="none" w:sz="0" w:space="0" w:color="auto"/>
            <w:left w:val="none" w:sz="0" w:space="0" w:color="auto"/>
            <w:bottom w:val="none" w:sz="0" w:space="0" w:color="auto"/>
            <w:right w:val="none" w:sz="0" w:space="0" w:color="auto"/>
          </w:divBdr>
          <w:divsChild>
            <w:div w:id="1135756641">
              <w:marLeft w:val="0"/>
              <w:marRight w:val="0"/>
              <w:marTop w:val="0"/>
              <w:marBottom w:val="0"/>
              <w:divBdr>
                <w:top w:val="none" w:sz="0" w:space="0" w:color="auto"/>
                <w:left w:val="none" w:sz="0" w:space="0" w:color="auto"/>
                <w:bottom w:val="none" w:sz="0" w:space="0" w:color="auto"/>
                <w:right w:val="none" w:sz="0" w:space="0" w:color="auto"/>
              </w:divBdr>
              <w:divsChild>
                <w:div w:id="789470620">
                  <w:marLeft w:val="3096"/>
                  <w:marRight w:val="0"/>
                  <w:marTop w:val="0"/>
                  <w:marBottom w:val="0"/>
                  <w:divBdr>
                    <w:top w:val="none" w:sz="0" w:space="0" w:color="auto"/>
                    <w:left w:val="none" w:sz="0" w:space="0" w:color="auto"/>
                    <w:bottom w:val="none" w:sz="0" w:space="0" w:color="auto"/>
                    <w:right w:val="none" w:sz="0" w:space="0" w:color="auto"/>
                  </w:divBdr>
                  <w:divsChild>
                    <w:div w:id="1651208768">
                      <w:marLeft w:val="0"/>
                      <w:marRight w:val="0"/>
                      <w:marTop w:val="0"/>
                      <w:marBottom w:val="240"/>
                      <w:divBdr>
                        <w:top w:val="none" w:sz="0" w:space="0" w:color="auto"/>
                        <w:left w:val="none" w:sz="0" w:space="0" w:color="auto"/>
                        <w:bottom w:val="none" w:sz="0" w:space="0" w:color="auto"/>
                        <w:right w:val="none" w:sz="0" w:space="0" w:color="auto"/>
                      </w:divBdr>
                      <w:divsChild>
                        <w:div w:id="1085809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8108220">
      <w:bodyDiv w:val="1"/>
      <w:marLeft w:val="0"/>
      <w:marRight w:val="0"/>
      <w:marTop w:val="0"/>
      <w:marBottom w:val="0"/>
      <w:divBdr>
        <w:top w:val="none" w:sz="0" w:space="0" w:color="auto"/>
        <w:left w:val="none" w:sz="0" w:space="0" w:color="auto"/>
        <w:bottom w:val="none" w:sz="0" w:space="0" w:color="auto"/>
        <w:right w:val="none" w:sz="0" w:space="0" w:color="auto"/>
      </w:divBdr>
      <w:divsChild>
        <w:div w:id="201216125">
          <w:marLeft w:val="0"/>
          <w:marRight w:val="0"/>
          <w:marTop w:val="0"/>
          <w:marBottom w:val="0"/>
          <w:divBdr>
            <w:top w:val="none" w:sz="0" w:space="0" w:color="auto"/>
            <w:left w:val="none" w:sz="0" w:space="0" w:color="auto"/>
            <w:bottom w:val="none" w:sz="0" w:space="0" w:color="auto"/>
            <w:right w:val="none" w:sz="0" w:space="0" w:color="auto"/>
          </w:divBdr>
          <w:divsChild>
            <w:div w:id="1312713993">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666201721">
      <w:bodyDiv w:val="1"/>
      <w:marLeft w:val="0"/>
      <w:marRight w:val="0"/>
      <w:marTop w:val="0"/>
      <w:marBottom w:val="0"/>
      <w:divBdr>
        <w:top w:val="none" w:sz="0" w:space="0" w:color="auto"/>
        <w:left w:val="none" w:sz="0" w:space="0" w:color="auto"/>
        <w:bottom w:val="none" w:sz="0" w:space="0" w:color="auto"/>
        <w:right w:val="none" w:sz="0" w:space="0" w:color="auto"/>
      </w:divBdr>
    </w:div>
    <w:div w:id="1697072163">
      <w:bodyDiv w:val="1"/>
      <w:marLeft w:val="0"/>
      <w:marRight w:val="0"/>
      <w:marTop w:val="0"/>
      <w:marBottom w:val="0"/>
      <w:divBdr>
        <w:top w:val="none" w:sz="0" w:space="0" w:color="auto"/>
        <w:left w:val="none" w:sz="0" w:space="0" w:color="auto"/>
        <w:bottom w:val="none" w:sz="0" w:space="0" w:color="auto"/>
        <w:right w:val="none" w:sz="0" w:space="0" w:color="auto"/>
      </w:divBdr>
      <w:divsChild>
        <w:div w:id="299264280">
          <w:marLeft w:val="0"/>
          <w:marRight w:val="0"/>
          <w:marTop w:val="0"/>
          <w:marBottom w:val="0"/>
          <w:divBdr>
            <w:top w:val="none" w:sz="0" w:space="0" w:color="auto"/>
            <w:left w:val="none" w:sz="0" w:space="0" w:color="auto"/>
            <w:bottom w:val="none" w:sz="0" w:space="0" w:color="auto"/>
            <w:right w:val="none" w:sz="0" w:space="0" w:color="auto"/>
          </w:divBdr>
          <w:divsChild>
            <w:div w:id="259990871">
              <w:marLeft w:val="0"/>
              <w:marRight w:val="0"/>
              <w:marTop w:val="0"/>
              <w:marBottom w:val="0"/>
              <w:divBdr>
                <w:top w:val="none" w:sz="0" w:space="0" w:color="auto"/>
                <w:left w:val="none" w:sz="0" w:space="0" w:color="auto"/>
                <w:bottom w:val="none" w:sz="0" w:space="0" w:color="auto"/>
                <w:right w:val="none" w:sz="0" w:space="0" w:color="auto"/>
              </w:divBdr>
              <w:divsChild>
                <w:div w:id="1726295070">
                  <w:marLeft w:val="3096"/>
                  <w:marRight w:val="0"/>
                  <w:marTop w:val="0"/>
                  <w:marBottom w:val="0"/>
                  <w:divBdr>
                    <w:top w:val="none" w:sz="0" w:space="0" w:color="auto"/>
                    <w:left w:val="none" w:sz="0" w:space="0" w:color="auto"/>
                    <w:bottom w:val="none" w:sz="0" w:space="0" w:color="auto"/>
                    <w:right w:val="none" w:sz="0" w:space="0" w:color="auto"/>
                  </w:divBdr>
                  <w:divsChild>
                    <w:div w:id="874737054">
                      <w:marLeft w:val="0"/>
                      <w:marRight w:val="0"/>
                      <w:marTop w:val="0"/>
                      <w:marBottom w:val="240"/>
                      <w:divBdr>
                        <w:top w:val="none" w:sz="0" w:space="0" w:color="auto"/>
                        <w:left w:val="none" w:sz="0" w:space="0" w:color="auto"/>
                        <w:bottom w:val="none" w:sz="0" w:space="0" w:color="auto"/>
                        <w:right w:val="none" w:sz="0" w:space="0" w:color="auto"/>
                      </w:divBdr>
                      <w:divsChild>
                        <w:div w:id="16174471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33374794">
      <w:bodyDiv w:val="1"/>
      <w:marLeft w:val="0"/>
      <w:marRight w:val="0"/>
      <w:marTop w:val="0"/>
      <w:marBottom w:val="0"/>
      <w:divBdr>
        <w:top w:val="none" w:sz="0" w:space="0" w:color="auto"/>
        <w:left w:val="none" w:sz="0" w:space="0" w:color="auto"/>
        <w:bottom w:val="none" w:sz="0" w:space="0" w:color="auto"/>
        <w:right w:val="none" w:sz="0" w:space="0" w:color="auto"/>
      </w:divBdr>
      <w:divsChild>
        <w:div w:id="502744712">
          <w:marLeft w:val="0"/>
          <w:marRight w:val="0"/>
          <w:marTop w:val="0"/>
          <w:marBottom w:val="0"/>
          <w:divBdr>
            <w:top w:val="none" w:sz="0" w:space="0" w:color="auto"/>
            <w:left w:val="none" w:sz="0" w:space="0" w:color="auto"/>
            <w:bottom w:val="none" w:sz="0" w:space="0" w:color="auto"/>
            <w:right w:val="none" w:sz="0" w:space="0" w:color="auto"/>
          </w:divBdr>
          <w:divsChild>
            <w:div w:id="1616984265">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5632234">
      <w:bodyDiv w:val="1"/>
      <w:marLeft w:val="0"/>
      <w:marRight w:val="0"/>
      <w:marTop w:val="0"/>
      <w:marBottom w:val="0"/>
      <w:divBdr>
        <w:top w:val="none" w:sz="0" w:space="0" w:color="auto"/>
        <w:left w:val="none" w:sz="0" w:space="0" w:color="auto"/>
        <w:bottom w:val="none" w:sz="0" w:space="0" w:color="auto"/>
        <w:right w:val="none" w:sz="0" w:space="0" w:color="auto"/>
      </w:divBdr>
      <w:divsChild>
        <w:div w:id="524834515">
          <w:marLeft w:val="0"/>
          <w:marRight w:val="0"/>
          <w:marTop w:val="0"/>
          <w:marBottom w:val="0"/>
          <w:divBdr>
            <w:top w:val="none" w:sz="0" w:space="0" w:color="auto"/>
            <w:left w:val="none" w:sz="0" w:space="0" w:color="auto"/>
            <w:bottom w:val="none" w:sz="0" w:space="0" w:color="auto"/>
            <w:right w:val="none" w:sz="0" w:space="0" w:color="auto"/>
          </w:divBdr>
          <w:divsChild>
            <w:div w:id="1524781146">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1848591784">
      <w:bodyDiv w:val="1"/>
      <w:marLeft w:val="0"/>
      <w:marRight w:val="0"/>
      <w:marTop w:val="0"/>
      <w:marBottom w:val="0"/>
      <w:divBdr>
        <w:top w:val="none" w:sz="0" w:space="0" w:color="auto"/>
        <w:left w:val="none" w:sz="0" w:space="0" w:color="auto"/>
        <w:bottom w:val="none" w:sz="0" w:space="0" w:color="auto"/>
        <w:right w:val="none" w:sz="0" w:space="0" w:color="auto"/>
      </w:divBdr>
      <w:divsChild>
        <w:div w:id="478965120">
          <w:marLeft w:val="0"/>
          <w:marRight w:val="0"/>
          <w:marTop w:val="0"/>
          <w:marBottom w:val="0"/>
          <w:divBdr>
            <w:top w:val="none" w:sz="0" w:space="0" w:color="auto"/>
            <w:left w:val="none" w:sz="0" w:space="0" w:color="auto"/>
            <w:bottom w:val="none" w:sz="0" w:space="0" w:color="auto"/>
            <w:right w:val="none" w:sz="0" w:space="0" w:color="auto"/>
          </w:divBdr>
          <w:divsChild>
            <w:div w:id="334652654">
              <w:marLeft w:val="0"/>
              <w:marRight w:val="0"/>
              <w:marTop w:val="0"/>
              <w:marBottom w:val="0"/>
              <w:divBdr>
                <w:top w:val="none" w:sz="0" w:space="0" w:color="auto"/>
                <w:left w:val="none" w:sz="0" w:space="0" w:color="auto"/>
                <w:bottom w:val="none" w:sz="0" w:space="0" w:color="auto"/>
                <w:right w:val="none" w:sz="0" w:space="0" w:color="auto"/>
              </w:divBdr>
              <w:divsChild>
                <w:div w:id="2136369764">
                  <w:marLeft w:val="3096"/>
                  <w:marRight w:val="0"/>
                  <w:marTop w:val="0"/>
                  <w:marBottom w:val="0"/>
                  <w:divBdr>
                    <w:top w:val="none" w:sz="0" w:space="0" w:color="auto"/>
                    <w:left w:val="none" w:sz="0" w:space="0" w:color="auto"/>
                    <w:bottom w:val="none" w:sz="0" w:space="0" w:color="auto"/>
                    <w:right w:val="none" w:sz="0" w:space="0" w:color="auto"/>
                  </w:divBdr>
                  <w:divsChild>
                    <w:div w:id="1936817808">
                      <w:marLeft w:val="0"/>
                      <w:marRight w:val="0"/>
                      <w:marTop w:val="0"/>
                      <w:marBottom w:val="240"/>
                      <w:divBdr>
                        <w:top w:val="none" w:sz="0" w:space="0" w:color="auto"/>
                        <w:left w:val="none" w:sz="0" w:space="0" w:color="auto"/>
                        <w:bottom w:val="none" w:sz="0" w:space="0" w:color="auto"/>
                        <w:right w:val="none" w:sz="0" w:space="0" w:color="auto"/>
                      </w:divBdr>
                      <w:divsChild>
                        <w:div w:id="17872392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71335594">
      <w:bodyDiv w:val="1"/>
      <w:marLeft w:val="0"/>
      <w:marRight w:val="0"/>
      <w:marTop w:val="0"/>
      <w:marBottom w:val="0"/>
      <w:divBdr>
        <w:top w:val="none" w:sz="0" w:space="0" w:color="auto"/>
        <w:left w:val="none" w:sz="0" w:space="0" w:color="auto"/>
        <w:bottom w:val="none" w:sz="0" w:space="0" w:color="auto"/>
        <w:right w:val="none" w:sz="0" w:space="0" w:color="auto"/>
      </w:divBdr>
      <w:divsChild>
        <w:div w:id="567107770">
          <w:marLeft w:val="0"/>
          <w:marRight w:val="0"/>
          <w:marTop w:val="0"/>
          <w:marBottom w:val="0"/>
          <w:divBdr>
            <w:top w:val="none" w:sz="0" w:space="0" w:color="auto"/>
            <w:left w:val="none" w:sz="0" w:space="0" w:color="auto"/>
            <w:bottom w:val="none" w:sz="0" w:space="0" w:color="auto"/>
            <w:right w:val="none" w:sz="0" w:space="0" w:color="auto"/>
          </w:divBdr>
          <w:divsChild>
            <w:div w:id="1650088874">
              <w:marLeft w:val="0"/>
              <w:marRight w:val="0"/>
              <w:marTop w:val="0"/>
              <w:marBottom w:val="0"/>
              <w:divBdr>
                <w:top w:val="none" w:sz="0" w:space="0" w:color="auto"/>
                <w:left w:val="none" w:sz="0" w:space="0" w:color="auto"/>
                <w:bottom w:val="none" w:sz="0" w:space="0" w:color="auto"/>
                <w:right w:val="none" w:sz="0" w:space="0" w:color="auto"/>
              </w:divBdr>
              <w:divsChild>
                <w:div w:id="1352682697">
                  <w:marLeft w:val="3096"/>
                  <w:marRight w:val="0"/>
                  <w:marTop w:val="0"/>
                  <w:marBottom w:val="0"/>
                  <w:divBdr>
                    <w:top w:val="none" w:sz="0" w:space="0" w:color="auto"/>
                    <w:left w:val="none" w:sz="0" w:space="0" w:color="auto"/>
                    <w:bottom w:val="none" w:sz="0" w:space="0" w:color="auto"/>
                    <w:right w:val="none" w:sz="0" w:space="0" w:color="auto"/>
                  </w:divBdr>
                  <w:divsChild>
                    <w:div w:id="1836409278">
                      <w:marLeft w:val="0"/>
                      <w:marRight w:val="0"/>
                      <w:marTop w:val="0"/>
                      <w:marBottom w:val="240"/>
                      <w:divBdr>
                        <w:top w:val="none" w:sz="0" w:space="0" w:color="auto"/>
                        <w:left w:val="none" w:sz="0" w:space="0" w:color="auto"/>
                        <w:bottom w:val="none" w:sz="0" w:space="0" w:color="auto"/>
                        <w:right w:val="none" w:sz="0" w:space="0" w:color="auto"/>
                      </w:divBdr>
                      <w:divsChild>
                        <w:div w:id="89759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28360348">
      <w:bodyDiv w:val="1"/>
      <w:marLeft w:val="0"/>
      <w:marRight w:val="0"/>
      <w:marTop w:val="0"/>
      <w:marBottom w:val="0"/>
      <w:divBdr>
        <w:top w:val="none" w:sz="0" w:space="0" w:color="auto"/>
        <w:left w:val="none" w:sz="0" w:space="0" w:color="auto"/>
        <w:bottom w:val="none" w:sz="0" w:space="0" w:color="auto"/>
        <w:right w:val="none" w:sz="0" w:space="0" w:color="auto"/>
      </w:divBdr>
      <w:divsChild>
        <w:div w:id="439104062">
          <w:marLeft w:val="0"/>
          <w:marRight w:val="0"/>
          <w:marTop w:val="0"/>
          <w:marBottom w:val="0"/>
          <w:divBdr>
            <w:top w:val="none" w:sz="0" w:space="0" w:color="auto"/>
            <w:left w:val="none" w:sz="0" w:space="0" w:color="auto"/>
            <w:bottom w:val="none" w:sz="0" w:space="0" w:color="auto"/>
            <w:right w:val="none" w:sz="0" w:space="0" w:color="auto"/>
          </w:divBdr>
          <w:divsChild>
            <w:div w:id="1407141847">
              <w:marLeft w:val="0"/>
              <w:marRight w:val="0"/>
              <w:marTop w:val="72"/>
              <w:marBottom w:val="0"/>
              <w:divBdr>
                <w:top w:val="single" w:sz="4" w:space="4" w:color="666666"/>
                <w:left w:val="none" w:sz="0" w:space="0" w:color="auto"/>
                <w:bottom w:val="none" w:sz="0" w:space="0" w:color="auto"/>
                <w:right w:val="none" w:sz="0" w:space="0" w:color="auto"/>
              </w:divBdr>
            </w:div>
          </w:divsChild>
        </w:div>
      </w:divsChild>
    </w:div>
    <w:div w:id="2076927097">
      <w:bodyDiv w:val="1"/>
      <w:marLeft w:val="0"/>
      <w:marRight w:val="0"/>
      <w:marTop w:val="0"/>
      <w:marBottom w:val="0"/>
      <w:divBdr>
        <w:top w:val="none" w:sz="0" w:space="0" w:color="auto"/>
        <w:left w:val="none" w:sz="0" w:space="0" w:color="auto"/>
        <w:bottom w:val="none" w:sz="0" w:space="0" w:color="auto"/>
        <w:right w:val="none" w:sz="0" w:space="0" w:color="auto"/>
      </w:divBdr>
      <w:divsChild>
        <w:div w:id="1389106207">
          <w:marLeft w:val="0"/>
          <w:marRight w:val="0"/>
          <w:marTop w:val="0"/>
          <w:marBottom w:val="0"/>
          <w:divBdr>
            <w:top w:val="none" w:sz="0" w:space="0" w:color="auto"/>
            <w:left w:val="none" w:sz="0" w:space="0" w:color="auto"/>
            <w:bottom w:val="none" w:sz="0" w:space="0" w:color="auto"/>
            <w:right w:val="none" w:sz="0" w:space="0" w:color="auto"/>
          </w:divBdr>
          <w:divsChild>
            <w:div w:id="395277376">
              <w:marLeft w:val="0"/>
              <w:marRight w:val="0"/>
              <w:marTop w:val="0"/>
              <w:marBottom w:val="0"/>
              <w:divBdr>
                <w:top w:val="none" w:sz="0" w:space="0" w:color="auto"/>
                <w:left w:val="none" w:sz="0" w:space="0" w:color="auto"/>
                <w:bottom w:val="none" w:sz="0" w:space="0" w:color="auto"/>
                <w:right w:val="none" w:sz="0" w:space="0" w:color="auto"/>
              </w:divBdr>
              <w:divsChild>
                <w:div w:id="2041010423">
                  <w:marLeft w:val="3096"/>
                  <w:marRight w:val="0"/>
                  <w:marTop w:val="0"/>
                  <w:marBottom w:val="0"/>
                  <w:divBdr>
                    <w:top w:val="none" w:sz="0" w:space="0" w:color="auto"/>
                    <w:left w:val="none" w:sz="0" w:space="0" w:color="auto"/>
                    <w:bottom w:val="none" w:sz="0" w:space="0" w:color="auto"/>
                    <w:right w:val="none" w:sz="0" w:space="0" w:color="auto"/>
                  </w:divBdr>
                  <w:divsChild>
                    <w:div w:id="658538304">
                      <w:marLeft w:val="0"/>
                      <w:marRight w:val="0"/>
                      <w:marTop w:val="0"/>
                      <w:marBottom w:val="240"/>
                      <w:divBdr>
                        <w:top w:val="none" w:sz="0" w:space="0" w:color="auto"/>
                        <w:left w:val="none" w:sz="0" w:space="0" w:color="auto"/>
                        <w:bottom w:val="none" w:sz="0" w:space="0" w:color="auto"/>
                        <w:right w:val="none" w:sz="0" w:space="0" w:color="auto"/>
                      </w:divBdr>
                      <w:divsChild>
                        <w:div w:id="661523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www.awe.gov.au/" TargetMode="External"/><Relationship Id="rId26" Type="http://schemas.openxmlformats.org/officeDocument/2006/relationships/image" Target="media/image5.jpeg"/><Relationship Id="rId39" Type="http://schemas.openxmlformats.org/officeDocument/2006/relationships/hyperlink" Target="https://www.ippc.int/en/core-activities/standards-setting/ispms/" TargetMode="External"/><Relationship Id="rId3" Type="http://schemas.openxmlformats.org/officeDocument/2006/relationships/customXml" Target="../customXml/item3.xml"/><Relationship Id="rId21" Type="http://schemas.openxmlformats.org/officeDocument/2006/relationships/header" Target="header2.xml"/><Relationship Id="rId34" Type="http://schemas.openxmlformats.org/officeDocument/2006/relationships/header" Target="header8.xml"/><Relationship Id="rId42" Type="http://schemas.openxmlformats.org/officeDocument/2006/relationships/hyperlink" Target="https://www.ippc.int/en/core-activities/standards-setting/ispms/"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www.awe.gov.au/biosecurity-trade/policy/risk-analysis/biological-control-agents" TargetMode="External"/><Relationship Id="rId25" Type="http://schemas.openxmlformats.org/officeDocument/2006/relationships/image" Target="media/image4.png"/><Relationship Id="rId33" Type="http://schemas.openxmlformats.org/officeDocument/2006/relationships/header" Target="header7.xml"/><Relationship Id="rId38" Type="http://schemas.openxmlformats.org/officeDocument/2006/relationships/header" Target="header11.xml"/><Relationship Id="rId46"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hyperlink" Target="https://www.awe.gov.au/biosecurity-trade/policy/risk-analysis/memos" TargetMode="External"/><Relationship Id="rId29" Type="http://schemas.openxmlformats.org/officeDocument/2006/relationships/header" Target="header6.xml"/><Relationship Id="rId41" Type="http://schemas.openxmlformats.org/officeDocument/2006/relationships/hyperlink" Target="https://www.ippc.int/en/core-activities/standards-setting/ispms/"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footer" Target="footer3.xml"/><Relationship Id="rId32" Type="http://schemas.openxmlformats.org/officeDocument/2006/relationships/hyperlink" Target="https://www.awe.gov.au/biosecurity-trade/policy/risk-analysis/biological-control-agents/protocol_for_biological_control_agents" TargetMode="External"/><Relationship Id="rId37" Type="http://schemas.openxmlformats.org/officeDocument/2006/relationships/header" Target="header10.xml"/><Relationship Id="rId40" Type="http://schemas.openxmlformats.org/officeDocument/2006/relationships/hyperlink" Target="https://www.ippc.int/en/core-activities/standards-setting/ispms/" TargetMode="External"/><Relationship Id="rId45"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yperlink" Target="mailto:copyright@awe.gov.au" TargetMode="External"/><Relationship Id="rId23" Type="http://schemas.openxmlformats.org/officeDocument/2006/relationships/header" Target="header3.xml"/><Relationship Id="rId28" Type="http://schemas.openxmlformats.org/officeDocument/2006/relationships/header" Target="header5.xml"/><Relationship Id="rId36" Type="http://schemas.openxmlformats.org/officeDocument/2006/relationships/header" Target="header9.xml"/><Relationship Id="rId10" Type="http://schemas.openxmlformats.org/officeDocument/2006/relationships/endnotes" Target="endnotes.xml"/><Relationship Id="rId19" Type="http://schemas.openxmlformats.org/officeDocument/2006/relationships/hyperlink" Target="mailto:plantstakeholders@awe.gov.au" TargetMode="External"/><Relationship Id="rId31" Type="http://schemas.openxmlformats.org/officeDocument/2006/relationships/hyperlink" Target="https://www.awe.gov.au/biosecurity-trade/policy/risk-analysis/guidelines" TargetMode="External"/><Relationship Id="rId44" Type="http://schemas.openxmlformats.org/officeDocument/2006/relationships/header" Target="header1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creativecommons.org/licenses/by/4.0/legalcode" TargetMode="External"/><Relationship Id="rId22" Type="http://schemas.openxmlformats.org/officeDocument/2006/relationships/footer" Target="footer2.xml"/><Relationship Id="rId27" Type="http://schemas.openxmlformats.org/officeDocument/2006/relationships/header" Target="header4.xml"/><Relationship Id="rId30" Type="http://schemas.openxmlformats.org/officeDocument/2006/relationships/footer" Target="footer4.xml"/><Relationship Id="rId35" Type="http://schemas.openxmlformats.org/officeDocument/2006/relationships/footer" Target="footer5.xml"/><Relationship Id="rId43" Type="http://schemas.openxmlformats.org/officeDocument/2006/relationships/hyperlink" Target="https://www.wto.org/english/tratop_e/sps_e/spsagr_e.ht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Embargoed xmlns="ac7ce04e-ea5d-4d46-bab0-39b1fa6a6f36">false</Embargoed>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B6FD6131ACCD942B99EE496FC609FF4" ma:contentTypeVersion="14" ma:contentTypeDescription="Create a new document." ma:contentTypeScope="" ma:versionID="5ac5b7171d34391e02205fbe47fc11af">
  <xsd:schema xmlns:xsd="http://www.w3.org/2001/XMLSchema" xmlns:xs="http://www.w3.org/2001/XMLSchema" xmlns:p="http://schemas.microsoft.com/office/2006/metadata/properties" xmlns:ns2="ac7ce04e-ea5d-4d46-bab0-39b1fa6a6f36" xmlns:ns3="425a5c30-4c2f-474f-aa2f-443e46b3d189" targetNamespace="http://schemas.microsoft.com/office/2006/metadata/properties" ma:root="true" ma:fieldsID="91d6c043d6d31e4249bddbe0bc290ad9" ns2:_="" ns3:_="">
    <xsd:import namespace="ac7ce04e-ea5d-4d46-bab0-39b1fa6a6f36"/>
    <xsd:import namespace="425a5c30-4c2f-474f-aa2f-443e46b3d189"/>
    <xsd:element name="properties">
      <xsd:complexType>
        <xsd:sequence>
          <xsd:element name="documentManagement">
            <xsd:complexType>
              <xsd:all>
                <xsd:element ref="ns2:MediaServiceMetadata" minOccurs="0"/>
                <xsd:element ref="ns2:MediaServiceFastMetadata" minOccurs="0"/>
                <xsd:element ref="ns2:Embargoed"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2:MediaLengthInSecond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7ce04e-ea5d-4d46-bab0-39b1fa6a6f3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Embargoed" ma:index="10" nillable="true" ma:displayName="Embargoed" ma:default="0" ma:description="Is this file under embargo?" ma:format="Dropdown" ma:internalName="Embargoed">
      <xsd:simpleType>
        <xsd:restriction base="dms:Boolea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425a5c30-4c2f-474f-aa2f-443e46b3d189" elementFormDefault="qualified">
    <xsd:import namespace="http://schemas.microsoft.com/office/2006/documentManagement/types"/>
    <xsd:import namespace="http://schemas.microsoft.com/office/infopath/2007/PartnerControls"/>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6BC64C8-37FB-4077-8743-9A26BB65A4F7}">
  <ds:schemaRefs>
    <ds:schemaRef ds:uri="http://purl.org/dc/elements/1.1/"/>
    <ds:schemaRef ds:uri="http://schemas.microsoft.com/office/2006/metadata/properties"/>
    <ds:schemaRef ds:uri="425a5c30-4c2f-474f-aa2f-443e46b3d189"/>
    <ds:schemaRef ds:uri="http://purl.org/dc/terms/"/>
    <ds:schemaRef ds:uri="http://schemas.openxmlformats.org/package/2006/metadata/core-properties"/>
    <ds:schemaRef ds:uri="http://purl.org/dc/dcmitype/"/>
    <ds:schemaRef ds:uri="http://schemas.microsoft.com/office/2006/documentManagement/types"/>
    <ds:schemaRef ds:uri="http://schemas.microsoft.com/office/infopath/2007/PartnerControls"/>
    <ds:schemaRef ds:uri="ac7ce04e-ea5d-4d46-bab0-39b1fa6a6f36"/>
    <ds:schemaRef ds:uri="http://www.w3.org/XML/1998/namespace"/>
  </ds:schemaRefs>
</ds:datastoreItem>
</file>

<file path=customXml/itemProps2.xml><?xml version="1.0" encoding="utf-8"?>
<ds:datastoreItem xmlns:ds="http://schemas.openxmlformats.org/officeDocument/2006/customXml" ds:itemID="{BFE05E2E-DB91-42F5-A0D2-CEBF87AC20E8}">
  <ds:schemaRefs>
    <ds:schemaRef ds:uri="http://schemas.openxmlformats.org/officeDocument/2006/bibliography"/>
  </ds:schemaRefs>
</ds:datastoreItem>
</file>

<file path=customXml/itemProps3.xml><?xml version="1.0" encoding="utf-8"?>
<ds:datastoreItem xmlns:ds="http://schemas.openxmlformats.org/officeDocument/2006/customXml" ds:itemID="{65C47117-BF8F-46ED-BFA0-C1D78BD96E1C}">
  <ds:schemaRefs>
    <ds:schemaRef ds:uri="http://schemas.microsoft.com/sharepoint/v3/contenttype/forms"/>
  </ds:schemaRefs>
</ds:datastoreItem>
</file>

<file path=customXml/itemProps4.xml><?xml version="1.0" encoding="utf-8"?>
<ds:datastoreItem xmlns:ds="http://schemas.openxmlformats.org/officeDocument/2006/customXml" ds:itemID="{F1CFC9CC-0F7C-4724-8E0E-D9CA88687E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7ce04e-ea5d-4d46-bab0-39b1fa6a6f36"/>
    <ds:schemaRef ds:uri="425a5c30-4c2f-474f-aa2f-443e46b3d18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32</Pages>
  <Words>10718</Words>
  <Characters>61094</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Draft risk analysis report for the release of Stomphastis sp. nov. for the biological control of Jatropha gossypiifolia</vt:lpstr>
    </vt:vector>
  </TitlesOfParts>
  <Company/>
  <LinksUpToDate>false</LinksUpToDate>
  <CharactersWithSpaces>71669</CharactersWithSpaces>
  <SharedDoc>false</SharedDoc>
  <HLinks>
    <vt:vector size="78" baseType="variant">
      <vt:variant>
        <vt:i4>327735</vt:i4>
      </vt:variant>
      <vt:variant>
        <vt:i4>119</vt:i4>
      </vt:variant>
      <vt:variant>
        <vt:i4>0</vt:i4>
      </vt:variant>
      <vt:variant>
        <vt:i4>5</vt:i4>
      </vt:variant>
      <vt:variant>
        <vt:lpwstr>https://www.wto.org/english/tratop_e/sps_e/spsagr_e.htm</vt:lpwstr>
      </vt:variant>
      <vt:variant>
        <vt:lpwstr/>
      </vt:variant>
      <vt:variant>
        <vt:i4>524297</vt:i4>
      </vt:variant>
      <vt:variant>
        <vt:i4>116</vt:i4>
      </vt:variant>
      <vt:variant>
        <vt:i4>0</vt:i4>
      </vt:variant>
      <vt:variant>
        <vt:i4>5</vt:i4>
      </vt:variant>
      <vt:variant>
        <vt:lpwstr>https://www.ippc.int/en/core-activities/standards-setting/ispms/</vt:lpwstr>
      </vt:variant>
      <vt:variant>
        <vt:lpwstr/>
      </vt:variant>
      <vt:variant>
        <vt:i4>524297</vt:i4>
      </vt:variant>
      <vt:variant>
        <vt:i4>113</vt:i4>
      </vt:variant>
      <vt:variant>
        <vt:i4>0</vt:i4>
      </vt:variant>
      <vt:variant>
        <vt:i4>5</vt:i4>
      </vt:variant>
      <vt:variant>
        <vt:lpwstr>https://www.ippc.int/en/core-activities/standards-setting/ispms/</vt:lpwstr>
      </vt:variant>
      <vt:variant>
        <vt:lpwstr/>
      </vt:variant>
      <vt:variant>
        <vt:i4>524297</vt:i4>
      </vt:variant>
      <vt:variant>
        <vt:i4>110</vt:i4>
      </vt:variant>
      <vt:variant>
        <vt:i4>0</vt:i4>
      </vt:variant>
      <vt:variant>
        <vt:i4>5</vt:i4>
      </vt:variant>
      <vt:variant>
        <vt:lpwstr>https://www.ippc.int/en/core-activities/standards-setting/ispms/</vt:lpwstr>
      </vt:variant>
      <vt:variant>
        <vt:lpwstr/>
      </vt:variant>
      <vt:variant>
        <vt:i4>524297</vt:i4>
      </vt:variant>
      <vt:variant>
        <vt:i4>107</vt:i4>
      </vt:variant>
      <vt:variant>
        <vt:i4>0</vt:i4>
      </vt:variant>
      <vt:variant>
        <vt:i4>5</vt:i4>
      </vt:variant>
      <vt:variant>
        <vt:lpwstr>https://www.ippc.int/en/core-activities/standards-setting/ispms/</vt:lpwstr>
      </vt:variant>
      <vt:variant>
        <vt:lpwstr/>
      </vt:variant>
      <vt:variant>
        <vt:i4>7471201</vt:i4>
      </vt:variant>
      <vt:variant>
        <vt:i4>99</vt:i4>
      </vt:variant>
      <vt:variant>
        <vt:i4>0</vt:i4>
      </vt:variant>
      <vt:variant>
        <vt:i4>5</vt:i4>
      </vt:variant>
      <vt:variant>
        <vt:lpwstr>http://www.daff.gov.au/ba/reviews/biological-control-agents/protocol_for_biological_control_agents</vt:lpwstr>
      </vt:variant>
      <vt:variant>
        <vt:lpwstr/>
      </vt:variant>
      <vt:variant>
        <vt:i4>7667827</vt:i4>
      </vt:variant>
      <vt:variant>
        <vt:i4>96</vt:i4>
      </vt:variant>
      <vt:variant>
        <vt:i4>0</vt:i4>
      </vt:variant>
      <vt:variant>
        <vt:i4>5</vt:i4>
      </vt:variant>
      <vt:variant>
        <vt:lpwstr>http://www.agriculture.gov.au/biosecurity/risk-analysis/guidelines</vt:lpwstr>
      </vt:variant>
      <vt:variant>
        <vt:lpwstr/>
      </vt:variant>
      <vt:variant>
        <vt:i4>2031636</vt:i4>
      </vt:variant>
      <vt:variant>
        <vt:i4>15</vt:i4>
      </vt:variant>
      <vt:variant>
        <vt:i4>0</vt:i4>
      </vt:variant>
      <vt:variant>
        <vt:i4>5</vt:i4>
      </vt:variant>
      <vt:variant>
        <vt:lpwstr>http://www.agriculture.gov.au/biosecurity/risk-analysis/memos</vt:lpwstr>
      </vt:variant>
      <vt:variant>
        <vt:lpwstr/>
      </vt:variant>
      <vt:variant>
        <vt:i4>8060954</vt:i4>
      </vt:variant>
      <vt:variant>
        <vt:i4>12</vt:i4>
      </vt:variant>
      <vt:variant>
        <vt:i4>0</vt:i4>
      </vt:variant>
      <vt:variant>
        <vt:i4>5</vt:i4>
      </vt:variant>
      <vt:variant>
        <vt:lpwstr>mailto:plant@agriculture.gov.au</vt:lpwstr>
      </vt:variant>
      <vt:variant>
        <vt:lpwstr/>
      </vt:variant>
      <vt:variant>
        <vt:i4>7864375</vt:i4>
      </vt:variant>
      <vt:variant>
        <vt:i4>9</vt:i4>
      </vt:variant>
      <vt:variant>
        <vt:i4>0</vt:i4>
      </vt:variant>
      <vt:variant>
        <vt:i4>5</vt:i4>
      </vt:variant>
      <vt:variant>
        <vt:lpwstr>http://www.agriculture.gov.au/</vt:lpwstr>
      </vt:variant>
      <vt:variant>
        <vt:lpwstr/>
      </vt:variant>
      <vt:variant>
        <vt:i4>7077903</vt:i4>
      </vt:variant>
      <vt:variant>
        <vt:i4>6</vt:i4>
      </vt:variant>
      <vt:variant>
        <vt:i4>0</vt:i4>
      </vt:variant>
      <vt:variant>
        <vt:i4>5</vt:i4>
      </vt:variant>
      <vt:variant>
        <vt:lpwstr>mailto:copyright@agriculture.gov.au</vt:lpwstr>
      </vt:variant>
      <vt:variant>
        <vt:lpwstr/>
      </vt:variant>
      <vt:variant>
        <vt:i4>2687028</vt:i4>
      </vt:variant>
      <vt:variant>
        <vt:i4>3</vt:i4>
      </vt:variant>
      <vt:variant>
        <vt:i4>0</vt:i4>
      </vt:variant>
      <vt:variant>
        <vt:i4>5</vt:i4>
      </vt:variant>
      <vt:variant>
        <vt:lpwstr>http://creativecommons.org/licenses/by/3.0/au/legalcode</vt:lpwstr>
      </vt:variant>
      <vt:variant>
        <vt:lpwstr/>
      </vt:variant>
      <vt:variant>
        <vt:i4>5111827</vt:i4>
      </vt:variant>
      <vt:variant>
        <vt:i4>0</vt:i4>
      </vt:variant>
      <vt:variant>
        <vt:i4>0</vt:i4>
      </vt:variant>
      <vt:variant>
        <vt:i4>5</vt:i4>
      </vt:variant>
      <vt:variant>
        <vt:lpwstr>http://creativecommons.org/licenses/by/3.0/au/deed.en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risk analysis report for the release of Stomphastis sp. nov. for the biological control of Jatropha gossypiifolia</dc:title>
  <dc:subject/>
  <dc:creator>Department of Agriculture, Water and the Environment</dc:creator>
  <cp:keywords/>
  <dc:description/>
  <cp:revision>5</cp:revision>
  <cp:lastPrinted>2021-11-09T21:25:00Z</cp:lastPrinted>
  <dcterms:created xsi:type="dcterms:W3CDTF">2021-10-25T03:42:00Z</dcterms:created>
  <dcterms:modified xsi:type="dcterms:W3CDTF">2021-11-16T22:16:00Z</dcterms:modified>
  <cp:contentStatus>Final</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
    <vt:lpwstr>Document</vt:lpwstr>
  </property>
  <property fmtid="{D5CDD505-2E9C-101B-9397-08002B2CF9AE}" pid="3" name="ContentTypeId">
    <vt:lpwstr>0x0101004B6FD6131ACCD942B99EE496FC609FF4</vt:lpwstr>
  </property>
</Properties>
</file>