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2AD9" w14:textId="42E7BF3A" w:rsidR="00E362EF" w:rsidRDefault="00D1245D" w:rsidP="00A16700">
      <w:pPr>
        <w:pStyle w:val="Heading1"/>
      </w:pPr>
      <w:r w:rsidRPr="00D1245D">
        <w:t>Summary of changes to imported inorganic fertiliser assessment and m</w:t>
      </w:r>
      <w:r>
        <w:t>ana</w:t>
      </w:r>
      <w:r w:rsidRPr="00D1245D">
        <w:t>g</w:t>
      </w:r>
      <w:r>
        <w:t>e</w:t>
      </w:r>
      <w:r w:rsidRPr="00D1245D">
        <w:t>m</w:t>
      </w:r>
      <w:r>
        <w:t>en</w:t>
      </w:r>
      <w:r w:rsidRPr="00D1245D">
        <w:t>t policies</w:t>
      </w:r>
    </w:p>
    <w:p w14:paraId="22E2AD68" w14:textId="77777777" w:rsidR="008D2717" w:rsidRPr="008D2717" w:rsidRDefault="008D2717" w:rsidP="008D2717"/>
    <w:p w14:paraId="035F8EB1" w14:textId="7DDD42E3" w:rsidR="00E362EF" w:rsidRDefault="00610CC9" w:rsidP="001B1009">
      <w:pPr>
        <w:pStyle w:val="Heading2"/>
        <w:numPr>
          <w:ilvl w:val="0"/>
          <w:numId w:val="0"/>
        </w:numPr>
        <w:ind w:left="720" w:hanging="720"/>
      </w:pPr>
      <w:r>
        <w:t>Overview</w:t>
      </w:r>
    </w:p>
    <w:p w14:paraId="392ECE17" w14:textId="77777777" w:rsidR="00FA6F4B" w:rsidRDefault="00FA6F4B" w:rsidP="00354D23">
      <w:pPr>
        <w:pStyle w:val="ListNumber"/>
        <w:numPr>
          <w:ilvl w:val="0"/>
          <w:numId w:val="0"/>
        </w:numPr>
      </w:pPr>
      <w:r>
        <w:t>The department manages the importation of inorganic (chemical and mined) fertiliser through biosecurity import conditions (</w:t>
      </w:r>
      <w:hyperlink r:id="rId11" w:history="1">
        <w:r w:rsidRPr="00BE1C15">
          <w:rPr>
            <w:rStyle w:val="Hyperlink"/>
          </w:rPr>
          <w:t>BICON</w:t>
        </w:r>
      </w:hyperlink>
      <w:r>
        <w:t>) and two policies that facilitate the registration of offshore entities that have demonstrated their ability to effectively manage inorganic fertiliser biosecurity compliance:</w:t>
      </w:r>
    </w:p>
    <w:p w14:paraId="53A52232" w14:textId="77777777" w:rsidR="00FA6F4B" w:rsidRPr="002000A9" w:rsidRDefault="00FA6F4B" w:rsidP="00354D23">
      <w:pPr>
        <w:pStyle w:val="ListNumber"/>
        <w:numPr>
          <w:ilvl w:val="0"/>
          <w:numId w:val="0"/>
        </w:numPr>
        <w:tabs>
          <w:tab w:val="clear" w:pos="142"/>
        </w:tabs>
        <w:ind w:left="360"/>
        <w:rPr>
          <w:color w:val="000000" w:themeColor="text1"/>
        </w:rPr>
      </w:pPr>
      <w:hyperlink r:id="rId12" w:history="1">
        <w:r w:rsidRPr="009D5B82">
          <w:rPr>
            <w:rStyle w:val="Hyperlink"/>
          </w:rPr>
          <w:t>Imported Inorganic Bulk Cargo Fertiliser Assessment and Management Policy</w:t>
        </w:r>
      </w:hyperlink>
    </w:p>
    <w:p w14:paraId="011DA9D7" w14:textId="77777777" w:rsidR="00FA6F4B" w:rsidRPr="0086724E" w:rsidRDefault="00FA6F4B" w:rsidP="00354D23">
      <w:pPr>
        <w:pStyle w:val="ListNumber"/>
        <w:numPr>
          <w:ilvl w:val="0"/>
          <w:numId w:val="0"/>
        </w:numPr>
        <w:tabs>
          <w:tab w:val="clear" w:pos="142"/>
        </w:tabs>
        <w:ind w:left="360"/>
        <w:rPr>
          <w:color w:val="000000" w:themeColor="text1"/>
        </w:rPr>
      </w:pPr>
      <w:hyperlink r:id="rId13" w:history="1">
        <w:r w:rsidRPr="00456D5E">
          <w:rPr>
            <w:rStyle w:val="Hyperlink"/>
          </w:rPr>
          <w:t>Imported Inorganic Containerised Fertiliser Assessment and Management Policy</w:t>
        </w:r>
      </w:hyperlink>
      <w:r>
        <w:t>.</w:t>
      </w:r>
    </w:p>
    <w:p w14:paraId="6A095021" w14:textId="0DCB8822" w:rsidR="00FA6F4B" w:rsidRDefault="00FA6F4B" w:rsidP="00354D23">
      <w:pPr>
        <w:pStyle w:val="ListNumber"/>
        <w:numPr>
          <w:ilvl w:val="0"/>
          <w:numId w:val="0"/>
        </w:numPr>
      </w:pPr>
      <w:r w:rsidRPr="00610D51">
        <w:t>The</w:t>
      </w:r>
      <w:r>
        <w:t>se</w:t>
      </w:r>
      <w:r w:rsidRPr="00610D51">
        <w:t xml:space="preserve"> policies have been in place for many years</w:t>
      </w:r>
      <w:r>
        <w:t xml:space="preserve">; first introduced in 2004 and revised in 2005, 2010 and 2017. Development assistance and support for the policies </w:t>
      </w:r>
      <w:r w:rsidR="00295794">
        <w:t>have</w:t>
      </w:r>
      <w:r>
        <w:t xml:space="preserve"> been received from Fertilizer Australia and industry broadly since their inception.</w:t>
      </w:r>
    </w:p>
    <w:p w14:paraId="0253F695" w14:textId="77777777" w:rsidR="00FA6F4B" w:rsidRPr="00610D51" w:rsidRDefault="00FA6F4B" w:rsidP="00354D23">
      <w:pPr>
        <w:pStyle w:val="ListNumber"/>
        <w:numPr>
          <w:ilvl w:val="0"/>
          <w:numId w:val="0"/>
        </w:numPr>
      </w:pPr>
      <w:r w:rsidRPr="00610D51">
        <w:t xml:space="preserve">The system of registered offshore export facilities has served </w:t>
      </w:r>
      <w:r>
        <w:t>the department, importers, and registered offshore export facilities</w:t>
      </w:r>
      <w:r w:rsidRPr="00610D51">
        <w:t xml:space="preserve"> well</w:t>
      </w:r>
      <w:r>
        <w:t>;</w:t>
      </w:r>
      <w:r w:rsidRPr="00610D51">
        <w:t xml:space="preserve"> however, the </w:t>
      </w:r>
      <w:r>
        <w:t>regis</w:t>
      </w:r>
      <w:r w:rsidRPr="00610D51">
        <w:t>tration and auditing</w:t>
      </w:r>
      <w:r>
        <w:t xml:space="preserve"> </w:t>
      </w:r>
      <w:r w:rsidRPr="00610D51">
        <w:t>processes are resource intensive and costly for industry and the department.</w:t>
      </w:r>
    </w:p>
    <w:p w14:paraId="6A2762FB" w14:textId="77777777" w:rsidR="00FA6F4B" w:rsidRPr="00610D51" w:rsidRDefault="00FA6F4B" w:rsidP="00354D23">
      <w:pPr>
        <w:pStyle w:val="ListNumber"/>
        <w:numPr>
          <w:ilvl w:val="0"/>
          <w:numId w:val="0"/>
        </w:numPr>
      </w:pPr>
      <w:r>
        <w:t>Historically, compliance of inorganic fertiliser consignments has been very high. This, along with the s</w:t>
      </w:r>
      <w:r w:rsidRPr="00610D51">
        <w:t xml:space="preserve">trong collaboration </w:t>
      </w:r>
      <w:r>
        <w:t xml:space="preserve">and support received from </w:t>
      </w:r>
      <w:r w:rsidRPr="00610D51">
        <w:t xml:space="preserve">industry, provides the department with confidence that </w:t>
      </w:r>
      <w:r>
        <w:t xml:space="preserve">combining, simplifying, and streamlining </w:t>
      </w:r>
      <w:r w:rsidRPr="00610D51">
        <w:t>the policies</w:t>
      </w:r>
      <w:r>
        <w:t>,</w:t>
      </w:r>
      <w:r w:rsidRPr="00610D51">
        <w:t xml:space="preserve"> to help reduce operational costs and resourc</w:t>
      </w:r>
      <w:r>
        <w:t xml:space="preserve">ing, </w:t>
      </w:r>
      <w:r w:rsidRPr="00610D51">
        <w:t xml:space="preserve">is achievable while </w:t>
      </w:r>
      <w:r>
        <w:t xml:space="preserve">also </w:t>
      </w:r>
      <w:r w:rsidRPr="00610D51">
        <w:t xml:space="preserve">maintaining </w:t>
      </w:r>
      <w:r>
        <w:t xml:space="preserve">the historically </w:t>
      </w:r>
      <w:r w:rsidRPr="00610D51">
        <w:t>high compliance.</w:t>
      </w:r>
    </w:p>
    <w:p w14:paraId="040D2183" w14:textId="10F94554" w:rsidR="00FA6F4B" w:rsidRPr="003A0D98" w:rsidRDefault="00FA6F4B" w:rsidP="00354D23">
      <w:pPr>
        <w:pStyle w:val="ListNumber"/>
        <w:numPr>
          <w:ilvl w:val="0"/>
          <w:numId w:val="0"/>
        </w:numPr>
        <w:spacing w:before="0" w:after="0"/>
        <w:rPr>
          <w:color w:val="000000" w:themeColor="text1"/>
        </w:rPr>
      </w:pPr>
      <w:r>
        <w:rPr>
          <w:color w:val="000000" w:themeColor="text1"/>
        </w:rPr>
        <w:t xml:space="preserve">The department has </w:t>
      </w:r>
      <w:r w:rsidR="00DB3428">
        <w:rPr>
          <w:color w:val="000000" w:themeColor="text1"/>
        </w:rPr>
        <w:t xml:space="preserve">updated </w:t>
      </w:r>
      <w:r>
        <w:rPr>
          <w:color w:val="000000" w:themeColor="text1"/>
        </w:rPr>
        <w:t>the policies</w:t>
      </w:r>
      <w:r>
        <w:t>, combining them into one, covering both in-ships-hold and containerised consignments, with a view to:</w:t>
      </w:r>
    </w:p>
    <w:p w14:paraId="06CB5F68" w14:textId="0AD23498" w:rsidR="00FA6F4B" w:rsidRPr="00E8784C" w:rsidRDefault="00FA6F4B" w:rsidP="00354D23">
      <w:pPr>
        <w:pStyle w:val="ListNumber"/>
        <w:numPr>
          <w:ilvl w:val="0"/>
          <w:numId w:val="21"/>
        </w:numPr>
        <w:tabs>
          <w:tab w:val="clear" w:pos="142"/>
        </w:tabs>
        <w:spacing w:before="0" w:after="0"/>
        <w:rPr>
          <w:color w:val="000000" w:themeColor="text1"/>
        </w:rPr>
      </w:pPr>
      <w:r>
        <w:t>simplify and streamlin</w:t>
      </w:r>
      <w:r w:rsidR="00DB3428">
        <w:t>e</w:t>
      </w:r>
      <w:r>
        <w:t xml:space="preserve"> the requirements with an increased outcomes focus where possible,</w:t>
      </w:r>
    </w:p>
    <w:p w14:paraId="4317D0D4" w14:textId="3D3872DA" w:rsidR="00FA6F4B" w:rsidRPr="00E8784C" w:rsidRDefault="00FA6F4B" w:rsidP="00354D23">
      <w:pPr>
        <w:pStyle w:val="ListNumber"/>
        <w:numPr>
          <w:ilvl w:val="0"/>
          <w:numId w:val="21"/>
        </w:numPr>
        <w:tabs>
          <w:tab w:val="clear" w:pos="142"/>
        </w:tabs>
        <w:spacing w:before="0" w:after="0"/>
        <w:rPr>
          <w:color w:val="000000" w:themeColor="text1"/>
        </w:rPr>
      </w:pPr>
      <w:r>
        <w:t>recognis</w:t>
      </w:r>
      <w:r w:rsidR="00DB3428">
        <w:t>e</w:t>
      </w:r>
      <w:r>
        <w:t xml:space="preserve"> the historically high compliance of imported inorganic fertiliser consignments,</w:t>
      </w:r>
    </w:p>
    <w:p w14:paraId="03B329C3" w14:textId="399AE18C" w:rsidR="00FA6F4B" w:rsidRPr="007B341A" w:rsidRDefault="00FA6F4B" w:rsidP="00354D23">
      <w:pPr>
        <w:pStyle w:val="ListNumber"/>
        <w:numPr>
          <w:ilvl w:val="0"/>
          <w:numId w:val="21"/>
        </w:numPr>
        <w:tabs>
          <w:tab w:val="clear" w:pos="142"/>
        </w:tabs>
        <w:spacing w:before="0" w:after="0"/>
        <w:rPr>
          <w:color w:val="000000" w:themeColor="text1"/>
        </w:rPr>
      </w:pPr>
      <w:r>
        <w:t>reduc</w:t>
      </w:r>
      <w:r w:rsidR="00DB3428">
        <w:t>e</w:t>
      </w:r>
      <w:r>
        <w:t xml:space="preserve"> the compliance burden for offshore registered entities,</w:t>
      </w:r>
    </w:p>
    <w:p w14:paraId="0B55E207" w14:textId="05CB9539" w:rsidR="00FA6F4B" w:rsidRPr="005629CB" w:rsidRDefault="00FA6F4B" w:rsidP="00354D23">
      <w:pPr>
        <w:pStyle w:val="ListNumber"/>
        <w:numPr>
          <w:ilvl w:val="0"/>
          <w:numId w:val="21"/>
        </w:numPr>
        <w:tabs>
          <w:tab w:val="clear" w:pos="142"/>
        </w:tabs>
        <w:spacing w:before="0" w:after="0"/>
        <w:rPr>
          <w:color w:val="000000" w:themeColor="text1"/>
        </w:rPr>
      </w:pPr>
      <w:r>
        <w:t>reduc</w:t>
      </w:r>
      <w:r w:rsidR="00DB3428">
        <w:t>e</w:t>
      </w:r>
      <w:r>
        <w:t xml:space="preserve"> the department’s resource burden for offshore entity registration and consignment inspections where appropriate.</w:t>
      </w:r>
    </w:p>
    <w:p w14:paraId="78CCE541" w14:textId="54324BA7" w:rsidR="00FA6F4B" w:rsidRPr="004D7BCE" w:rsidRDefault="00FA6F4B" w:rsidP="00354D23">
      <w:pPr>
        <w:pStyle w:val="ListNumber"/>
        <w:numPr>
          <w:ilvl w:val="0"/>
          <w:numId w:val="0"/>
        </w:numPr>
        <w:rPr>
          <w:color w:val="000000" w:themeColor="text1"/>
        </w:rPr>
      </w:pPr>
      <w:r>
        <w:rPr>
          <w:color w:val="000000" w:themeColor="text1"/>
        </w:rPr>
        <w:t xml:space="preserve">In developing the </w:t>
      </w:r>
      <w:r w:rsidR="0036540E">
        <w:rPr>
          <w:color w:val="000000" w:themeColor="text1"/>
        </w:rPr>
        <w:t>new</w:t>
      </w:r>
      <w:r>
        <w:rPr>
          <w:color w:val="000000" w:themeColor="text1"/>
        </w:rPr>
        <w:t xml:space="preserve"> </w:t>
      </w:r>
      <w:r w:rsidRPr="00455DFE">
        <w:rPr>
          <w:color w:val="000000" w:themeColor="text1"/>
        </w:rPr>
        <w:t>policy</w:t>
      </w:r>
      <w:r>
        <w:rPr>
          <w:color w:val="000000" w:themeColor="text1"/>
        </w:rPr>
        <w:t>,</w:t>
      </w:r>
      <w:r w:rsidRPr="00455DFE">
        <w:rPr>
          <w:color w:val="000000" w:themeColor="text1"/>
        </w:rPr>
        <w:t xml:space="preserve"> </w:t>
      </w:r>
      <w:r w:rsidR="00DB3428">
        <w:rPr>
          <w:color w:val="000000" w:themeColor="text1"/>
        </w:rPr>
        <w:t>we have</w:t>
      </w:r>
      <w:r w:rsidRPr="00455DFE">
        <w:rPr>
          <w:color w:val="000000" w:themeColor="text1"/>
        </w:rPr>
        <w:t xml:space="preserve"> considered feedback from industry representatives</w:t>
      </w:r>
      <w:r>
        <w:rPr>
          <w:color w:val="000000" w:themeColor="text1"/>
        </w:rPr>
        <w:t>, as well as exporter and importer behaviours and compliance.</w:t>
      </w:r>
      <w:r w:rsidR="00295794">
        <w:rPr>
          <w:color w:val="000000" w:themeColor="text1"/>
        </w:rPr>
        <w:t xml:space="preserve"> We have compiled a summary of the changes that stakeholders will need to be aware of before implementation.</w:t>
      </w:r>
    </w:p>
    <w:p w14:paraId="53E57D8D" w14:textId="5C758FF1" w:rsidR="00E362EF" w:rsidRDefault="007C0318" w:rsidP="00AE5860">
      <w:pPr>
        <w:pStyle w:val="Heading2"/>
        <w:numPr>
          <w:ilvl w:val="0"/>
          <w:numId w:val="0"/>
        </w:numPr>
        <w:ind w:left="720" w:hanging="720"/>
      </w:pPr>
      <w:r>
        <w:lastRenderedPageBreak/>
        <w:t>Summary of Changes</w:t>
      </w:r>
    </w:p>
    <w:p w14:paraId="2DC180BD" w14:textId="70A001F6" w:rsidR="003E0D73" w:rsidRDefault="003E0D73" w:rsidP="00DF307A">
      <w:pPr>
        <w:pStyle w:val="ListParagraph"/>
        <w:numPr>
          <w:ilvl w:val="0"/>
          <w:numId w:val="23"/>
        </w:numPr>
        <w:ind w:left="1077"/>
        <w:rPr>
          <w:lang w:eastAsia="ja-JP"/>
        </w:rPr>
      </w:pPr>
      <w:r>
        <w:rPr>
          <w:lang w:eastAsia="ja-JP"/>
        </w:rPr>
        <w:t>Reduc</w:t>
      </w:r>
      <w:r w:rsidR="00860A71">
        <w:rPr>
          <w:lang w:eastAsia="ja-JP"/>
        </w:rPr>
        <w:t>es</w:t>
      </w:r>
      <w:r>
        <w:rPr>
          <w:lang w:eastAsia="ja-JP"/>
        </w:rPr>
        <w:t xml:space="preserve"> vessel classifications from 3 to 2</w:t>
      </w:r>
    </w:p>
    <w:p w14:paraId="5D2F1ECD" w14:textId="77777777" w:rsidR="003E08FA" w:rsidRDefault="003E08FA" w:rsidP="003E08FA">
      <w:pPr>
        <w:pStyle w:val="ListParagraph"/>
        <w:ind w:left="1077"/>
        <w:rPr>
          <w:lang w:eastAsia="ja-JP"/>
        </w:rPr>
      </w:pPr>
    </w:p>
    <w:p w14:paraId="7374932C" w14:textId="31491AC1" w:rsidR="003E0D73" w:rsidRDefault="003E0D73" w:rsidP="00DF307A">
      <w:pPr>
        <w:pStyle w:val="ListParagraph"/>
        <w:numPr>
          <w:ilvl w:val="0"/>
          <w:numId w:val="23"/>
        </w:numPr>
        <w:ind w:left="1077"/>
        <w:rPr>
          <w:lang w:eastAsia="ja-JP"/>
        </w:rPr>
      </w:pPr>
      <w:r>
        <w:rPr>
          <w:lang w:eastAsia="ja-JP"/>
        </w:rPr>
        <w:t>Chang</w:t>
      </w:r>
      <w:r w:rsidR="00860A71">
        <w:rPr>
          <w:lang w:eastAsia="ja-JP"/>
        </w:rPr>
        <w:t>es</w:t>
      </w:r>
      <w:r>
        <w:rPr>
          <w:lang w:eastAsia="ja-JP"/>
        </w:rPr>
        <w:t xml:space="preserve"> Level 1 vessel classification from no actionable cargo for 2 years </w:t>
      </w:r>
      <w:r w:rsidR="00860A71">
        <w:rPr>
          <w:lang w:eastAsia="ja-JP"/>
        </w:rPr>
        <w:t xml:space="preserve">to </w:t>
      </w:r>
      <w:r>
        <w:rPr>
          <w:lang w:eastAsia="ja-JP"/>
        </w:rPr>
        <w:t>no actionable cargo for the last 6 voyages</w:t>
      </w:r>
    </w:p>
    <w:p w14:paraId="5B25228E" w14:textId="77777777" w:rsidR="003E08FA" w:rsidRDefault="003E08FA" w:rsidP="003E08FA">
      <w:pPr>
        <w:pStyle w:val="ListParagraph"/>
        <w:ind w:left="1077"/>
        <w:rPr>
          <w:lang w:eastAsia="ja-JP"/>
        </w:rPr>
      </w:pPr>
    </w:p>
    <w:p w14:paraId="5A3EE7E2" w14:textId="5C942D16" w:rsidR="003E0D73" w:rsidRDefault="00345DC9" w:rsidP="00DF307A">
      <w:pPr>
        <w:pStyle w:val="ListParagraph"/>
        <w:numPr>
          <w:ilvl w:val="0"/>
          <w:numId w:val="23"/>
        </w:numPr>
        <w:ind w:left="1077"/>
        <w:rPr>
          <w:lang w:eastAsia="ja-JP"/>
        </w:rPr>
      </w:pPr>
      <w:r>
        <w:rPr>
          <w:lang w:eastAsia="ja-JP"/>
        </w:rPr>
        <w:t>Simplif</w:t>
      </w:r>
      <w:r w:rsidR="00860A71">
        <w:rPr>
          <w:lang w:eastAsia="ja-JP"/>
        </w:rPr>
        <w:t>ies</w:t>
      </w:r>
      <w:r w:rsidR="003E0D73">
        <w:rPr>
          <w:lang w:eastAsia="ja-JP"/>
        </w:rPr>
        <w:t xml:space="preserve"> offshore entity registrations to include only offshore inorganic fertiliser manufacturers and suppliers, removing registrations for facilities that are solely storage, transport or load facilities that do not have control over the biosecurity integrity of the goods through the full supply chain. Separate registration will only be considered should there be a strong business case to do so and will be assessed by Sea Cargo Policy on a case-by-case basis</w:t>
      </w:r>
    </w:p>
    <w:p w14:paraId="5DAE5F62" w14:textId="77777777" w:rsidR="003E08FA" w:rsidRDefault="003E08FA" w:rsidP="003E08FA">
      <w:pPr>
        <w:pStyle w:val="ListParagraph"/>
        <w:ind w:left="1077"/>
        <w:rPr>
          <w:lang w:eastAsia="ja-JP"/>
        </w:rPr>
      </w:pPr>
    </w:p>
    <w:p w14:paraId="3A52AE55" w14:textId="3B929011" w:rsidR="003E0D73" w:rsidRDefault="003E0D73" w:rsidP="00DF307A">
      <w:pPr>
        <w:pStyle w:val="ListParagraph"/>
        <w:numPr>
          <w:ilvl w:val="0"/>
          <w:numId w:val="23"/>
        </w:numPr>
        <w:ind w:left="1077"/>
        <w:rPr>
          <w:lang w:eastAsia="ja-JP"/>
        </w:rPr>
      </w:pPr>
      <w:r>
        <w:rPr>
          <w:lang w:eastAsia="ja-JP"/>
        </w:rPr>
        <w:t>Formalis</w:t>
      </w:r>
      <w:r w:rsidR="00860A71">
        <w:rPr>
          <w:lang w:eastAsia="ja-JP"/>
        </w:rPr>
        <w:t>es</w:t>
      </w:r>
      <w:r>
        <w:rPr>
          <w:lang w:eastAsia="ja-JP"/>
        </w:rPr>
        <w:t xml:space="preserve"> the replacement of department audits of inorganic fertiliser offshore supply chains with permanent, independent third-party audits, which will be required </w:t>
      </w:r>
      <w:r w:rsidR="000205F8">
        <w:rPr>
          <w:lang w:eastAsia="ja-JP"/>
        </w:rPr>
        <w:t>on an as needs basis</w:t>
      </w:r>
    </w:p>
    <w:p w14:paraId="06E3F362" w14:textId="77777777" w:rsidR="003E08FA" w:rsidRDefault="003E08FA" w:rsidP="003E08FA">
      <w:pPr>
        <w:pStyle w:val="ListParagraph"/>
        <w:ind w:left="1077"/>
        <w:rPr>
          <w:lang w:eastAsia="ja-JP"/>
        </w:rPr>
      </w:pPr>
    </w:p>
    <w:p w14:paraId="10F6B591" w14:textId="49CC113C" w:rsidR="003E0D73" w:rsidRDefault="003E0D73" w:rsidP="00DF307A">
      <w:pPr>
        <w:pStyle w:val="ListParagraph"/>
        <w:numPr>
          <w:ilvl w:val="0"/>
          <w:numId w:val="23"/>
        </w:numPr>
        <w:ind w:left="1077"/>
        <w:rPr>
          <w:lang w:eastAsia="ja-JP"/>
        </w:rPr>
      </w:pPr>
      <w:r>
        <w:rPr>
          <w:lang w:eastAsia="ja-JP"/>
        </w:rPr>
        <w:t>Simplifies vessel cleanliness inspection requirements for in-ships-hold consignments, taking a more outcomes focus and reducing the outcomes to one level. Vessels will be either acceptable or not acceptable, which will then influence a consignment’s risk categorisation and on-arrival intervention requirements</w:t>
      </w:r>
    </w:p>
    <w:p w14:paraId="4FB79FF3" w14:textId="77777777" w:rsidR="003E08FA" w:rsidRDefault="003E08FA" w:rsidP="003E08FA">
      <w:pPr>
        <w:pStyle w:val="ListParagraph"/>
        <w:ind w:left="1077"/>
        <w:rPr>
          <w:lang w:eastAsia="ja-JP"/>
        </w:rPr>
      </w:pPr>
    </w:p>
    <w:p w14:paraId="7A2565EE" w14:textId="646B3F83" w:rsidR="00D95D1F" w:rsidRDefault="003E0D73" w:rsidP="00D95D1F">
      <w:pPr>
        <w:pStyle w:val="ListParagraph"/>
        <w:numPr>
          <w:ilvl w:val="0"/>
          <w:numId w:val="23"/>
        </w:numPr>
        <w:ind w:left="1077"/>
        <w:rPr>
          <w:lang w:eastAsia="ja-JP"/>
        </w:rPr>
      </w:pPr>
      <w:r>
        <w:rPr>
          <w:lang w:eastAsia="ja-JP"/>
        </w:rPr>
        <w:t>Includes a formalised registration agreement/acknowledgement form to ensure registered entities are fully aware of, and acknowledge, their registration responsibilities</w:t>
      </w:r>
    </w:p>
    <w:p w14:paraId="5092A03C" w14:textId="77777777" w:rsidR="00D95D1F" w:rsidRDefault="00D95D1F" w:rsidP="00D95D1F">
      <w:pPr>
        <w:rPr>
          <w:lang w:eastAsia="ja-JP"/>
        </w:rPr>
      </w:pPr>
    </w:p>
    <w:p w14:paraId="17095121" w14:textId="7346A440" w:rsidR="003E0D73" w:rsidRDefault="003E0D73" w:rsidP="00DF307A">
      <w:pPr>
        <w:pStyle w:val="ListParagraph"/>
        <w:numPr>
          <w:ilvl w:val="0"/>
          <w:numId w:val="23"/>
        </w:numPr>
        <w:ind w:left="1077"/>
        <w:rPr>
          <w:lang w:eastAsia="ja-JP"/>
        </w:rPr>
      </w:pPr>
      <w:r>
        <w:rPr>
          <w:lang w:eastAsia="ja-JP"/>
        </w:rPr>
        <w:t>Moves the vessel cleanliness inspection guide and load sample inspection guideline requirements from the main policy document and includes them as attachments, as this information is aimed at a different audience – marine surveyors/authorised inspectors – who are not registered entities under the policy.</w:t>
      </w:r>
    </w:p>
    <w:p w14:paraId="6F750C6D" w14:textId="77777777" w:rsidR="003E08FA" w:rsidRDefault="003E08FA" w:rsidP="003E08FA">
      <w:pPr>
        <w:pStyle w:val="ListParagraph"/>
        <w:ind w:left="1077"/>
        <w:rPr>
          <w:lang w:eastAsia="ja-JP"/>
        </w:rPr>
      </w:pPr>
    </w:p>
    <w:p w14:paraId="5B7A2C8A" w14:textId="3D71995E" w:rsidR="003E0D73" w:rsidRDefault="003E0D73" w:rsidP="00DF307A">
      <w:pPr>
        <w:pStyle w:val="ListParagraph"/>
        <w:numPr>
          <w:ilvl w:val="0"/>
          <w:numId w:val="23"/>
        </w:numPr>
        <w:ind w:left="1077"/>
        <w:rPr>
          <w:lang w:eastAsia="ja-JP"/>
        </w:rPr>
      </w:pPr>
      <w:r>
        <w:rPr>
          <w:lang w:eastAsia="ja-JP"/>
        </w:rPr>
        <w:t>The creation of alternative level 3 conditions that will allow, under permit, increased sampling on the vessel in lieu of a landed inspection. The permit will have specific conditions for this inspection type to be approved. All samples will be taken by a biosecurity industry participant under biosecurity officer supervision</w:t>
      </w:r>
    </w:p>
    <w:p w14:paraId="57908297" w14:textId="77777777" w:rsidR="003E08FA" w:rsidRDefault="003E08FA" w:rsidP="003E08FA">
      <w:pPr>
        <w:pStyle w:val="ListParagraph"/>
        <w:ind w:left="1077"/>
        <w:rPr>
          <w:lang w:eastAsia="ja-JP"/>
        </w:rPr>
      </w:pPr>
    </w:p>
    <w:p w14:paraId="064C877E" w14:textId="77777777" w:rsidR="0063742E" w:rsidRDefault="003E0D73" w:rsidP="00DF307A">
      <w:pPr>
        <w:pStyle w:val="ListParagraph"/>
        <w:numPr>
          <w:ilvl w:val="0"/>
          <w:numId w:val="23"/>
        </w:numPr>
        <w:ind w:left="1077"/>
        <w:rPr>
          <w:lang w:eastAsia="ja-JP"/>
        </w:rPr>
      </w:pPr>
      <w:r>
        <w:rPr>
          <w:lang w:eastAsia="ja-JP"/>
        </w:rPr>
        <w:t>Replaces on-arrival in-hold sampling with an on-arrival inspection of a pre-bagged 15-litre sample from each hold. The 15-litre pre bagged sample will be collected and secured by a qualified marine surveyor/authorised inspector at time of loading</w:t>
      </w:r>
      <w:r w:rsidR="0069707B">
        <w:rPr>
          <w:lang w:eastAsia="ja-JP"/>
        </w:rPr>
        <w:t xml:space="preserve"> for export</w:t>
      </w:r>
      <w:r>
        <w:rPr>
          <w:lang w:eastAsia="ja-JP"/>
        </w:rPr>
        <w:t xml:space="preserve">. As part of the import conditions, a declaration will need to be supplied </w:t>
      </w:r>
      <w:r w:rsidR="0069707B">
        <w:rPr>
          <w:lang w:eastAsia="ja-JP"/>
        </w:rPr>
        <w:t>to the department</w:t>
      </w:r>
      <w:r>
        <w:rPr>
          <w:lang w:eastAsia="ja-JP"/>
        </w:rPr>
        <w:t xml:space="preserve"> that the samples have been taken, secured and placed on the vessel.</w:t>
      </w:r>
    </w:p>
    <w:p w14:paraId="27F2B1D6" w14:textId="77777777" w:rsidR="003E08FA" w:rsidRDefault="003E08FA" w:rsidP="003E08FA">
      <w:pPr>
        <w:pStyle w:val="ListParagraph"/>
        <w:ind w:left="1077"/>
        <w:rPr>
          <w:lang w:eastAsia="ja-JP"/>
        </w:rPr>
      </w:pPr>
    </w:p>
    <w:p w14:paraId="797CDCCE" w14:textId="1B97327F" w:rsidR="00295794" w:rsidRDefault="00295794" w:rsidP="00DF307A">
      <w:pPr>
        <w:pStyle w:val="ListParagraph"/>
        <w:numPr>
          <w:ilvl w:val="0"/>
          <w:numId w:val="23"/>
        </w:numPr>
        <w:ind w:left="1077"/>
        <w:rPr>
          <w:lang w:eastAsia="ja-JP"/>
        </w:rPr>
      </w:pPr>
      <w:r>
        <w:rPr>
          <w:lang w:eastAsia="ja-JP"/>
        </w:rPr>
        <w:t>Expand</w:t>
      </w:r>
      <w:r w:rsidR="00860A71">
        <w:rPr>
          <w:lang w:eastAsia="ja-JP"/>
        </w:rPr>
        <w:t>s</w:t>
      </w:r>
      <w:r>
        <w:rPr>
          <w:lang w:eastAsia="ja-JP"/>
        </w:rPr>
        <w:t xml:space="preserve"> the load sample requirements from Level 1 to all levels of fertiliser. </w:t>
      </w:r>
      <w:r w:rsidR="003E08FA">
        <w:rPr>
          <w:lang w:eastAsia="ja-JP"/>
        </w:rPr>
        <w:t>Importers</w:t>
      </w:r>
      <w:r>
        <w:rPr>
          <w:lang w:eastAsia="ja-JP"/>
        </w:rPr>
        <w:t xml:space="preserve"> will now be required to </w:t>
      </w:r>
      <w:r w:rsidR="003E08FA">
        <w:rPr>
          <w:lang w:eastAsia="ja-JP"/>
        </w:rPr>
        <w:t>provide a</w:t>
      </w:r>
      <w:r>
        <w:rPr>
          <w:lang w:eastAsia="ja-JP"/>
        </w:rPr>
        <w:t xml:space="preserve"> </w:t>
      </w:r>
      <w:r w:rsidR="003E08FA">
        <w:rPr>
          <w:lang w:eastAsia="ja-JP"/>
        </w:rPr>
        <w:t>load sample analysis by a marine surveyor or authorised inspector and provide certification to the department to show the inorganic fertiliser is free from biosecurity risk material</w:t>
      </w:r>
      <w:r w:rsidR="00D95D1F">
        <w:rPr>
          <w:lang w:eastAsia="ja-JP"/>
        </w:rPr>
        <w:t>.</w:t>
      </w:r>
    </w:p>
    <w:p w14:paraId="0982E4C0" w14:textId="77777777" w:rsidR="001C3984" w:rsidRPr="001C3984" w:rsidRDefault="001C3984" w:rsidP="001C3984"/>
    <w:p w14:paraId="320F83AA" w14:textId="22972702" w:rsidR="007C0318" w:rsidRPr="007C0318" w:rsidRDefault="003E0D73" w:rsidP="00587D2F">
      <w:pPr>
        <w:spacing w:line="360" w:lineRule="auto"/>
        <w:rPr>
          <w:lang w:eastAsia="ja-JP"/>
        </w:rPr>
      </w:pPr>
      <w:r>
        <w:rPr>
          <w:lang w:eastAsia="ja-JP"/>
        </w:rPr>
        <w:t>Th</w:t>
      </w:r>
      <w:r w:rsidR="00587D2F">
        <w:rPr>
          <w:lang w:eastAsia="ja-JP"/>
        </w:rPr>
        <w:t>e</w:t>
      </w:r>
      <w:r>
        <w:rPr>
          <w:lang w:eastAsia="ja-JP"/>
        </w:rPr>
        <w:t xml:space="preserve"> new policy is set to go live </w:t>
      </w:r>
      <w:r w:rsidR="00E26470">
        <w:rPr>
          <w:lang w:eastAsia="ja-JP"/>
        </w:rPr>
        <w:t>30 April 2026</w:t>
      </w:r>
      <w:r>
        <w:rPr>
          <w:lang w:eastAsia="ja-JP"/>
        </w:rPr>
        <w:t>.</w:t>
      </w:r>
      <w:r w:rsidR="00C2081B">
        <w:rPr>
          <w:lang w:eastAsia="ja-JP"/>
        </w:rPr>
        <w:t xml:space="preserve"> For </w:t>
      </w:r>
      <w:r w:rsidR="00DF307A">
        <w:rPr>
          <w:lang w:eastAsia="ja-JP"/>
        </w:rPr>
        <w:t>further</w:t>
      </w:r>
      <w:r w:rsidR="00C2081B">
        <w:rPr>
          <w:lang w:eastAsia="ja-JP"/>
        </w:rPr>
        <w:t xml:space="preserve"> information</w:t>
      </w:r>
      <w:r w:rsidR="00A23338">
        <w:rPr>
          <w:lang w:eastAsia="ja-JP"/>
        </w:rPr>
        <w:t xml:space="preserve">, please contact </w:t>
      </w:r>
      <w:hyperlink r:id="rId14" w:history="1">
        <w:r w:rsidR="00DF307A" w:rsidRPr="00B87F1B">
          <w:rPr>
            <w:rStyle w:val="Hyperlink"/>
            <w:lang w:eastAsia="ja-JP"/>
          </w:rPr>
          <w:t>seacargopolicy@aff.gov.au</w:t>
        </w:r>
      </w:hyperlink>
      <w:r w:rsidR="00D95D1F">
        <w:t>.</w:t>
      </w:r>
      <w:r w:rsidR="00DF307A">
        <w:rPr>
          <w:lang w:eastAsia="ja-JP"/>
        </w:rPr>
        <w:t xml:space="preserve"> </w:t>
      </w:r>
    </w:p>
    <w:sectPr w:rsidR="007C0318" w:rsidRPr="007C031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BEAF" w14:textId="77777777" w:rsidR="00D1245D" w:rsidRDefault="00D1245D">
      <w:r>
        <w:separator/>
      </w:r>
    </w:p>
    <w:p w14:paraId="52414997" w14:textId="77777777" w:rsidR="00D1245D" w:rsidRDefault="00D1245D"/>
    <w:p w14:paraId="2DB1162D" w14:textId="77777777" w:rsidR="00D1245D" w:rsidRDefault="00D1245D"/>
  </w:endnote>
  <w:endnote w:type="continuationSeparator" w:id="0">
    <w:p w14:paraId="5CE5D0D4" w14:textId="77777777" w:rsidR="00D1245D" w:rsidRDefault="00D1245D">
      <w:r>
        <w:continuationSeparator/>
      </w:r>
    </w:p>
    <w:p w14:paraId="778946FA" w14:textId="77777777" w:rsidR="00D1245D" w:rsidRDefault="00D1245D"/>
    <w:p w14:paraId="6874EF96" w14:textId="77777777" w:rsidR="00D1245D" w:rsidRDefault="00D1245D"/>
  </w:endnote>
  <w:endnote w:type="continuationNotice" w:id="1">
    <w:p w14:paraId="60F41F2B" w14:textId="77777777" w:rsidR="00D1245D" w:rsidRDefault="00D1245D">
      <w:pPr>
        <w:pStyle w:val="Footer"/>
      </w:pPr>
    </w:p>
    <w:p w14:paraId="105C9150" w14:textId="77777777" w:rsidR="00D1245D" w:rsidRDefault="00D1245D"/>
    <w:p w14:paraId="4A3F51A0" w14:textId="77777777" w:rsidR="00D1245D" w:rsidRDefault="00D12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9293" w14:textId="77777777" w:rsidR="00C30975" w:rsidRDefault="00D61857">
    <w:pPr>
      <w:pStyle w:val="Footer"/>
    </w:pPr>
    <w:r>
      <w:rPr>
        <w:noProof/>
      </w:rPr>
      <mc:AlternateContent>
        <mc:Choice Requires="wps">
          <w:drawing>
            <wp:anchor distT="0" distB="0" distL="0" distR="0" simplePos="0" relativeHeight="251658752" behindDoc="0" locked="0" layoutInCell="1" allowOverlap="1" wp14:anchorId="5F7B860E" wp14:editId="20D2C33F">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54BD5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B860E"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154BD5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42C" w14:textId="77777777" w:rsidR="002A193C" w:rsidRDefault="00D61857" w:rsidP="00D61857">
    <w:pPr>
      <w:pStyle w:val="Footer"/>
    </w:pPr>
    <w:r>
      <w:rPr>
        <w:noProof/>
      </w:rPr>
      <mc:AlternateContent>
        <mc:Choice Requires="wps">
          <w:drawing>
            <wp:anchor distT="0" distB="0" distL="0" distR="0" simplePos="0" relativeHeight="251659776" behindDoc="0" locked="0" layoutInCell="1" allowOverlap="1" wp14:anchorId="5098FA8A" wp14:editId="17D051E2">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E6026C"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8FA8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EE6026C"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75C6" w14:textId="77777777" w:rsidR="002A193C" w:rsidRDefault="00D61857" w:rsidP="00D61857">
    <w:pPr>
      <w:pStyle w:val="Footer"/>
    </w:pPr>
    <w:r>
      <w:rPr>
        <w:noProof/>
      </w:rPr>
      <mc:AlternateContent>
        <mc:Choice Requires="wps">
          <w:drawing>
            <wp:anchor distT="0" distB="0" distL="0" distR="0" simplePos="0" relativeHeight="251657728" behindDoc="0" locked="0" layoutInCell="1" allowOverlap="1" wp14:anchorId="05E210E2" wp14:editId="4CAE7223">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4685FD6"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210E2"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4685FD6"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376F" w14:textId="77777777" w:rsidR="00D1245D" w:rsidRDefault="00D1245D">
      <w:r>
        <w:separator/>
      </w:r>
    </w:p>
    <w:p w14:paraId="37A35A8B" w14:textId="77777777" w:rsidR="00D1245D" w:rsidRDefault="00D1245D"/>
    <w:p w14:paraId="10D54956" w14:textId="77777777" w:rsidR="00D1245D" w:rsidRDefault="00D1245D"/>
  </w:footnote>
  <w:footnote w:type="continuationSeparator" w:id="0">
    <w:p w14:paraId="6535B1F6" w14:textId="77777777" w:rsidR="00D1245D" w:rsidRDefault="00D1245D">
      <w:r>
        <w:continuationSeparator/>
      </w:r>
    </w:p>
    <w:p w14:paraId="57F91F08" w14:textId="77777777" w:rsidR="00D1245D" w:rsidRDefault="00D1245D"/>
    <w:p w14:paraId="0B2848A1" w14:textId="77777777" w:rsidR="00D1245D" w:rsidRDefault="00D1245D"/>
  </w:footnote>
  <w:footnote w:type="continuationNotice" w:id="1">
    <w:p w14:paraId="29BAE13A" w14:textId="77777777" w:rsidR="00D1245D" w:rsidRDefault="00D1245D">
      <w:pPr>
        <w:pStyle w:val="Footer"/>
      </w:pPr>
    </w:p>
    <w:p w14:paraId="015F3F12" w14:textId="77777777" w:rsidR="00D1245D" w:rsidRDefault="00D1245D"/>
    <w:p w14:paraId="3E035694" w14:textId="77777777" w:rsidR="00D1245D" w:rsidRDefault="00D12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1B9C" w14:textId="2502709D" w:rsidR="002A193C" w:rsidRDefault="00D61857">
    <w:pPr>
      <w:pStyle w:val="Header"/>
    </w:pPr>
    <w:r>
      <w:rPr>
        <w:noProof/>
        <w:lang w:val="en-US"/>
      </w:rPr>
      <mc:AlternateContent>
        <mc:Choice Requires="wps">
          <w:drawing>
            <wp:anchor distT="0" distB="0" distL="0" distR="0" simplePos="0" relativeHeight="251655680" behindDoc="0" locked="0" layoutInCell="1" allowOverlap="1" wp14:anchorId="6116E9CE" wp14:editId="4714774D">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5D7FD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16E9CE"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B5D7FD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2E70" w14:textId="6912CAC1" w:rsidR="002A193C" w:rsidRDefault="00D61857">
    <w:pPr>
      <w:pStyle w:val="Header"/>
    </w:pPr>
    <w:r>
      <w:rPr>
        <w:noProof/>
        <w:lang w:val="en-US"/>
      </w:rPr>
      <mc:AlternateContent>
        <mc:Choice Requires="wps">
          <w:drawing>
            <wp:anchor distT="0" distB="0" distL="0" distR="0" simplePos="0" relativeHeight="251656704" behindDoc="0" locked="0" layoutInCell="1" allowOverlap="1" wp14:anchorId="451F4950" wp14:editId="5C4C5D66">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7AE004D"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F4950"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7AE004D"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BF25A7" w:rsidRPr="00BF25A7">
      <w:t xml:space="preserve"> Summary of changes to imported inorganic fertiliser assessment and management policies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B84E" w14:textId="2909C434" w:rsidR="002A193C" w:rsidRDefault="00D61857">
    <w:pPr>
      <w:pStyle w:val="Header"/>
      <w:jc w:val="left"/>
    </w:pPr>
    <w:r>
      <w:rPr>
        <w:noProof/>
        <w:lang w:eastAsia="en-AU"/>
      </w:rPr>
      <mc:AlternateContent>
        <mc:Choice Requires="wps">
          <w:drawing>
            <wp:anchor distT="0" distB="0" distL="0" distR="0" simplePos="0" relativeHeight="251654656" behindDoc="0" locked="0" layoutInCell="1" allowOverlap="1" wp14:anchorId="2DE20519" wp14:editId="52EA5A2F">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59BAF3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20519"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59BAF3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0392AF92" wp14:editId="2D661622">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86E"/>
    <w:multiLevelType w:val="hybridMultilevel"/>
    <w:tmpl w:val="6B00747C"/>
    <w:lvl w:ilvl="0" w:tplc="0C090019">
      <w:start w:val="1"/>
      <w:numFmt w:val="lowerLetter"/>
      <w:lvlText w:val="%1."/>
      <w:lvlJc w:val="left"/>
      <w:pPr>
        <w:ind w:left="1089" w:hanging="360"/>
      </w:pPr>
    </w:lvl>
    <w:lvl w:ilvl="1" w:tplc="FFFFFFFF" w:tentative="1">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FD85B6D"/>
    <w:multiLevelType w:val="hybridMultilevel"/>
    <w:tmpl w:val="1B8E6D9A"/>
    <w:lvl w:ilvl="0" w:tplc="5BB6A7A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F73E6"/>
    <w:multiLevelType w:val="hybridMultilevel"/>
    <w:tmpl w:val="FB188DC2"/>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5" w15:restartNumberingAfterBreak="0">
    <w:nsid w:val="482E5370"/>
    <w:multiLevelType w:val="hybridMultilevel"/>
    <w:tmpl w:val="6E8C7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6800B4"/>
    <w:multiLevelType w:val="multilevel"/>
    <w:tmpl w:val="A0241B28"/>
    <w:numStyleLink w:val="List1"/>
  </w:abstractNum>
  <w:abstractNum w:abstractNumId="7"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5456429"/>
    <w:multiLevelType w:val="multilevel"/>
    <w:tmpl w:val="8544E962"/>
    <w:lvl w:ilvl="0">
      <w:start w:val="1"/>
      <w:numFmt w:val="decimal"/>
      <w:lvlText w:val="%1."/>
      <w:lvlJc w:val="left"/>
      <w:pPr>
        <w:ind w:left="369" w:hanging="369"/>
      </w:pPr>
      <w:rPr>
        <w:rFonts w:ascii="Calibri" w:hAnsi="Calibri" w:hint="default"/>
        <w:b w:val="0"/>
        <w:bCs w:val="0"/>
        <w:sz w:val="22"/>
        <w:szCs w:val="22"/>
      </w:rPr>
    </w:lvl>
    <w:lvl w:ilvl="1">
      <w:start w:val="1"/>
      <w:numFmt w:val="lowerLetter"/>
      <w:lvlText w:val="%2."/>
      <w:lvlJc w:val="left"/>
      <w:pPr>
        <w:ind w:left="738" w:hanging="369"/>
      </w:pPr>
      <w:rPr>
        <w:rFonts w:hint="default"/>
      </w:rPr>
    </w:lvl>
    <w:lvl w:ilvl="2">
      <w:start w:val="1"/>
      <w:numFmt w:val="bullet"/>
      <w:lvlText w:val=""/>
      <w:lvlJc w:val="left"/>
      <w:pPr>
        <w:ind w:left="1098" w:hanging="360"/>
      </w:pPr>
      <w:rPr>
        <w:rFonts w:ascii="Symbol" w:hAnsi="Symbol"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4"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92491E"/>
    <w:multiLevelType w:val="hybridMultilevel"/>
    <w:tmpl w:val="8BFCE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11"/>
  </w:num>
  <w:num w:numId="2" w16cid:durableId="1355770275">
    <w:abstractNumId w:val="12"/>
  </w:num>
  <w:num w:numId="3" w16cid:durableId="1882862685">
    <w:abstractNumId w:val="3"/>
  </w:num>
  <w:num w:numId="4" w16cid:durableId="36050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9"/>
  </w:num>
  <w:num w:numId="6" w16cid:durableId="1314989398">
    <w:abstractNumId w:val="10"/>
  </w:num>
  <w:num w:numId="7" w16cid:durableId="951480071">
    <w:abstractNumId w:val="7"/>
  </w:num>
  <w:num w:numId="8" w16cid:durableId="844629787">
    <w:abstractNumId w:val="3"/>
    <w:lvlOverride w:ilvl="0">
      <w:lvl w:ilvl="0">
        <w:start w:val="1"/>
        <w:numFmt w:val="decimal"/>
        <w:pStyle w:val="Heading2"/>
        <w:lvlText w:val="%1"/>
        <w:lvlJc w:val="left"/>
        <w:pPr>
          <w:ind w:left="720" w:hanging="720"/>
        </w:pPr>
      </w:lvl>
    </w:lvlOverride>
  </w:num>
  <w:num w:numId="9" w16cid:durableId="1698308952">
    <w:abstractNumId w:val="11"/>
  </w:num>
  <w:num w:numId="10" w16cid:durableId="547035718">
    <w:abstractNumId w:val="12"/>
  </w:num>
  <w:num w:numId="11" w16cid:durableId="1145393031">
    <w:abstractNumId w:val="1"/>
  </w:num>
  <w:num w:numId="12" w16cid:durableId="645671681">
    <w:abstractNumId w:val="14"/>
  </w:num>
  <w:num w:numId="13" w16cid:durableId="274824895">
    <w:abstractNumId w:val="17"/>
  </w:num>
  <w:num w:numId="14" w16cid:durableId="1361395064">
    <w:abstractNumId w:val="15"/>
  </w:num>
  <w:num w:numId="15" w16cid:durableId="236869232">
    <w:abstractNumId w:val="8"/>
  </w:num>
  <w:num w:numId="16" w16cid:durableId="774177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2028005">
    <w:abstractNumId w:val="13"/>
  </w:num>
  <w:num w:numId="19" w16cid:durableId="1875583173">
    <w:abstractNumId w:val="16"/>
  </w:num>
  <w:num w:numId="20" w16cid:durableId="1734348127">
    <w:abstractNumId w:val="4"/>
  </w:num>
  <w:num w:numId="21" w16cid:durableId="1777363298">
    <w:abstractNumId w:val="0"/>
  </w:num>
  <w:num w:numId="22" w16cid:durableId="23331944">
    <w:abstractNumId w:val="5"/>
  </w:num>
  <w:num w:numId="23" w16cid:durableId="143609985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5D"/>
    <w:rsid w:val="000205F8"/>
    <w:rsid w:val="00047CF6"/>
    <w:rsid w:val="00050B3E"/>
    <w:rsid w:val="00067744"/>
    <w:rsid w:val="00071927"/>
    <w:rsid w:val="00093CD3"/>
    <w:rsid w:val="000D6DD8"/>
    <w:rsid w:val="00112B86"/>
    <w:rsid w:val="00134E1D"/>
    <w:rsid w:val="001450BA"/>
    <w:rsid w:val="001567E9"/>
    <w:rsid w:val="00183612"/>
    <w:rsid w:val="001A1F79"/>
    <w:rsid w:val="001B1009"/>
    <w:rsid w:val="001C3583"/>
    <w:rsid w:val="001C3984"/>
    <w:rsid w:val="001D77BC"/>
    <w:rsid w:val="001E1C4C"/>
    <w:rsid w:val="00201500"/>
    <w:rsid w:val="00214B1A"/>
    <w:rsid w:val="00222B30"/>
    <w:rsid w:val="00236BA8"/>
    <w:rsid w:val="00262394"/>
    <w:rsid w:val="00274C12"/>
    <w:rsid w:val="00295794"/>
    <w:rsid w:val="002A193C"/>
    <w:rsid w:val="002E5141"/>
    <w:rsid w:val="003005B7"/>
    <w:rsid w:val="00305911"/>
    <w:rsid w:val="00336A98"/>
    <w:rsid w:val="00340820"/>
    <w:rsid w:val="00345DC9"/>
    <w:rsid w:val="00354D23"/>
    <w:rsid w:val="00357095"/>
    <w:rsid w:val="00362353"/>
    <w:rsid w:val="0036540E"/>
    <w:rsid w:val="00381D23"/>
    <w:rsid w:val="00396339"/>
    <w:rsid w:val="0039729F"/>
    <w:rsid w:val="003A4B4A"/>
    <w:rsid w:val="003B3C59"/>
    <w:rsid w:val="003D3CE1"/>
    <w:rsid w:val="003D44DC"/>
    <w:rsid w:val="003E08FA"/>
    <w:rsid w:val="003E0D73"/>
    <w:rsid w:val="00402404"/>
    <w:rsid w:val="00406AC2"/>
    <w:rsid w:val="00451E21"/>
    <w:rsid w:val="00460750"/>
    <w:rsid w:val="004705F2"/>
    <w:rsid w:val="00473964"/>
    <w:rsid w:val="00482FD5"/>
    <w:rsid w:val="004837B1"/>
    <w:rsid w:val="0048569E"/>
    <w:rsid w:val="00486C20"/>
    <w:rsid w:val="00490E7F"/>
    <w:rsid w:val="004C6362"/>
    <w:rsid w:val="004C6C47"/>
    <w:rsid w:val="004C766C"/>
    <w:rsid w:val="004E4B38"/>
    <w:rsid w:val="00524A30"/>
    <w:rsid w:val="005400BF"/>
    <w:rsid w:val="0054262A"/>
    <w:rsid w:val="00543AA7"/>
    <w:rsid w:val="00553D2D"/>
    <w:rsid w:val="005877E0"/>
    <w:rsid w:val="00587D2F"/>
    <w:rsid w:val="0059380F"/>
    <w:rsid w:val="005B54D5"/>
    <w:rsid w:val="005F0E4D"/>
    <w:rsid w:val="005F7ED2"/>
    <w:rsid w:val="00610CC9"/>
    <w:rsid w:val="00611DA7"/>
    <w:rsid w:val="0063742E"/>
    <w:rsid w:val="006416D4"/>
    <w:rsid w:val="0069707B"/>
    <w:rsid w:val="006E15B6"/>
    <w:rsid w:val="006E1CF5"/>
    <w:rsid w:val="00704CE7"/>
    <w:rsid w:val="00722AB5"/>
    <w:rsid w:val="007405CB"/>
    <w:rsid w:val="00740CFA"/>
    <w:rsid w:val="00762C3E"/>
    <w:rsid w:val="007759FF"/>
    <w:rsid w:val="007B1F92"/>
    <w:rsid w:val="007C0318"/>
    <w:rsid w:val="007C5B94"/>
    <w:rsid w:val="008153FE"/>
    <w:rsid w:val="00821DA2"/>
    <w:rsid w:val="0082249A"/>
    <w:rsid w:val="00826753"/>
    <w:rsid w:val="00827B0A"/>
    <w:rsid w:val="00833291"/>
    <w:rsid w:val="00833933"/>
    <w:rsid w:val="00835E9D"/>
    <w:rsid w:val="00860A71"/>
    <w:rsid w:val="00892FE1"/>
    <w:rsid w:val="008A3190"/>
    <w:rsid w:val="008D1B48"/>
    <w:rsid w:val="008D2717"/>
    <w:rsid w:val="0090774C"/>
    <w:rsid w:val="00946843"/>
    <w:rsid w:val="00955A8C"/>
    <w:rsid w:val="009679F4"/>
    <w:rsid w:val="00991227"/>
    <w:rsid w:val="00996A46"/>
    <w:rsid w:val="009A1E6B"/>
    <w:rsid w:val="009E7B5C"/>
    <w:rsid w:val="009F00C4"/>
    <w:rsid w:val="009F6E1F"/>
    <w:rsid w:val="00A16700"/>
    <w:rsid w:val="00A23338"/>
    <w:rsid w:val="00A26D23"/>
    <w:rsid w:val="00A27706"/>
    <w:rsid w:val="00A336EC"/>
    <w:rsid w:val="00A50201"/>
    <w:rsid w:val="00A52203"/>
    <w:rsid w:val="00A7401B"/>
    <w:rsid w:val="00A87C92"/>
    <w:rsid w:val="00A9002C"/>
    <w:rsid w:val="00AA25A6"/>
    <w:rsid w:val="00AA70E3"/>
    <w:rsid w:val="00AB0FBE"/>
    <w:rsid w:val="00AB27F3"/>
    <w:rsid w:val="00AE5860"/>
    <w:rsid w:val="00AF1EB9"/>
    <w:rsid w:val="00AF2C47"/>
    <w:rsid w:val="00AF5211"/>
    <w:rsid w:val="00B01FB8"/>
    <w:rsid w:val="00B35721"/>
    <w:rsid w:val="00B43A41"/>
    <w:rsid w:val="00B5453F"/>
    <w:rsid w:val="00B84D4F"/>
    <w:rsid w:val="00B97EBA"/>
    <w:rsid w:val="00BA0AFF"/>
    <w:rsid w:val="00BB6ACE"/>
    <w:rsid w:val="00BC6BA3"/>
    <w:rsid w:val="00BD2275"/>
    <w:rsid w:val="00BF25A7"/>
    <w:rsid w:val="00C00AAC"/>
    <w:rsid w:val="00C05EA8"/>
    <w:rsid w:val="00C06619"/>
    <w:rsid w:val="00C2081B"/>
    <w:rsid w:val="00C30975"/>
    <w:rsid w:val="00C4721F"/>
    <w:rsid w:val="00C51E35"/>
    <w:rsid w:val="00C759F8"/>
    <w:rsid w:val="00C92F0F"/>
    <w:rsid w:val="00CF7FF8"/>
    <w:rsid w:val="00D06356"/>
    <w:rsid w:val="00D1245D"/>
    <w:rsid w:val="00D179DE"/>
    <w:rsid w:val="00D36729"/>
    <w:rsid w:val="00D45274"/>
    <w:rsid w:val="00D45E0E"/>
    <w:rsid w:val="00D61857"/>
    <w:rsid w:val="00D666DC"/>
    <w:rsid w:val="00D843C2"/>
    <w:rsid w:val="00D912A7"/>
    <w:rsid w:val="00D95D1F"/>
    <w:rsid w:val="00DB3428"/>
    <w:rsid w:val="00DF307A"/>
    <w:rsid w:val="00E05D92"/>
    <w:rsid w:val="00E10918"/>
    <w:rsid w:val="00E223F4"/>
    <w:rsid w:val="00E26470"/>
    <w:rsid w:val="00E3006D"/>
    <w:rsid w:val="00E362EF"/>
    <w:rsid w:val="00E60E5E"/>
    <w:rsid w:val="00E732BE"/>
    <w:rsid w:val="00E74C11"/>
    <w:rsid w:val="00E86770"/>
    <w:rsid w:val="00E96E54"/>
    <w:rsid w:val="00F01D00"/>
    <w:rsid w:val="00F35EE8"/>
    <w:rsid w:val="00F5729D"/>
    <w:rsid w:val="00F65DFD"/>
    <w:rsid w:val="00F90D42"/>
    <w:rsid w:val="00FA6F4B"/>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51DB2"/>
  <w15:docId w15:val="{4A5CA93B-3936-44C1-94BD-4828EC24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067744"/>
    <w:pPr>
      <w:tabs>
        <w:tab w:val="right" w:leader="dot" w:pos="9060"/>
      </w:tabs>
      <w:spacing w:before="120" w:after="120" w:line="240" w:lineRule="auto"/>
      <w:ind w:left="1134" w:hanging="709"/>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DB342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sites/default/files/sitecollectiondocuments/containerised-fertiliser-policy.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ulture.gov.au/sites/default/files/sitecollectiondocuments/bulk-cargo-fertiliser-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con.agriculture.gov.au/BiconWeb4.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cargopolicy@aff.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50E2F-22D3-4ECA-BEEE-AD4EB632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purl.org/dc/terms/"/>
    <ds:schemaRef ds:uri="http://schemas.microsoft.com/office/2006/metadata/properties"/>
    <ds:schemaRef ds:uri="c95b51c2-b2ac-4224-a5b5-069909057829"/>
    <ds:schemaRef ds:uri="81c01dc6-2c49-4730-b140-874c95cac377"/>
    <ds:schemaRef ds:uri="http://schemas.microsoft.com/office/2006/documentManagement/types"/>
    <ds:schemaRef ds:uri="http://schemas.openxmlformats.org/package/2006/metadata/core-properties"/>
    <ds:schemaRef ds:uri="http://schemas.microsoft.com/office/infopath/2007/PartnerControls"/>
    <ds:schemaRef ds:uri="2b53c995-2120-4bc0-8922-c25044d37f65"/>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Short_document_template</Template>
  <TotalTime>12</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Summary of changes to Imported Inorganic Fertiliser Assessment and Management Policies</vt:lpstr>
    </vt:vector>
  </TitlesOfParts>
  <Company/>
  <LinksUpToDate>false</LinksUpToDate>
  <CharactersWithSpaces>5350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changes to Imported Inorganic Fertiliser Assessment and Management Policies</dc:title>
  <dc:creator>Department of Agriculture, Fisheries and Forestry</dc:creator>
  <cp:revision>9</cp:revision>
  <cp:lastPrinted>2019-02-13T02:42:00Z</cp:lastPrinted>
  <dcterms:created xsi:type="dcterms:W3CDTF">2026-01-16T01:43:00Z</dcterms:created>
  <dcterms:modified xsi:type="dcterms:W3CDTF">2026-03-17T00:39:00Z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ies>
</file>