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74C58" w14:textId="77777777" w:rsidR="0058002B" w:rsidRPr="00E17C2B" w:rsidRDefault="0058002B" w:rsidP="0058002B">
      <w:pPr>
        <w:pStyle w:val="Heading1"/>
      </w:pPr>
      <w:bookmarkStart w:id="0" w:name="_Hlk77146008"/>
      <w:bookmarkStart w:id="1" w:name="OLE_LINK1"/>
      <w:bookmarkStart w:id="2" w:name="OLE_LINK2"/>
      <w:bookmarkStart w:id="3" w:name="_Toc248826415"/>
      <w:proofErr w:type="spellStart"/>
      <w:r>
        <w:t>SureTect</w:t>
      </w:r>
      <w:r w:rsidRPr="00BF40CB">
        <w:rPr>
          <w:vertAlign w:val="superscript"/>
        </w:rPr>
        <w:t>TM</w:t>
      </w:r>
      <w:proofErr w:type="spellEnd"/>
      <w:r>
        <w:t xml:space="preserve"> </w:t>
      </w:r>
      <w:r w:rsidRPr="00FF730B">
        <w:rPr>
          <w:i/>
          <w:iCs/>
        </w:rPr>
        <w:t xml:space="preserve">E. coli </w:t>
      </w:r>
      <w:r>
        <w:t xml:space="preserve">O157:H7 and STEC Screening </w:t>
      </w:r>
      <w:bookmarkEnd w:id="0"/>
      <w:r w:rsidR="00B02D2A">
        <w:t xml:space="preserve">PCR Assay </w:t>
      </w:r>
      <w:r>
        <w:t>- AOAC 012102</w:t>
      </w:r>
    </w:p>
    <w:bookmarkEnd w:id="1"/>
    <w:bookmarkEnd w:id="2"/>
    <w:p w14:paraId="2B289540" w14:textId="77777777" w:rsidR="0058002B" w:rsidRDefault="0058002B" w:rsidP="0058002B">
      <w:pPr>
        <w:pStyle w:val="Heading2"/>
      </w:pPr>
      <w:r w:rsidRPr="00E804DF">
        <w:t>SCOPE</w:t>
      </w:r>
      <w:bookmarkEnd w:id="3"/>
    </w:p>
    <w:p w14:paraId="4EF28474" w14:textId="77777777" w:rsidR="0058002B" w:rsidRPr="00E17C2B" w:rsidRDefault="0058002B" w:rsidP="0058002B">
      <w:pPr>
        <w:rPr>
          <w:rFonts w:ascii="Garamond" w:hAnsi="Garamond"/>
          <w:szCs w:val="22"/>
        </w:rPr>
      </w:pPr>
      <w:r>
        <w:t>This method is applicable to testing of raw beef</w:t>
      </w:r>
      <w:bookmarkStart w:id="4" w:name="_Toc248826416"/>
      <w:r>
        <w:t xml:space="preserve"> for screening of </w:t>
      </w:r>
      <w:r w:rsidRPr="00FF730B">
        <w:rPr>
          <w:i/>
          <w:iCs/>
        </w:rPr>
        <w:t>E. coli</w:t>
      </w:r>
      <w:r>
        <w:t xml:space="preserve"> O157:H7 and top 6 non-O157:H7 STEC. All samples identified as potentially positive for </w:t>
      </w:r>
      <w:r>
        <w:rPr>
          <w:i/>
        </w:rPr>
        <w:t>E. coli</w:t>
      </w:r>
      <w:r>
        <w:t xml:space="preserve"> O157:H7 and STEC using this method must be confirmed using </w:t>
      </w:r>
      <w:r w:rsidR="009D38C9">
        <w:t>a department approved confirmatory method.</w:t>
      </w:r>
    </w:p>
    <w:p w14:paraId="48D02590" w14:textId="77777777" w:rsidR="0058002B" w:rsidRDefault="0058002B" w:rsidP="0058002B">
      <w:pPr>
        <w:pStyle w:val="Heading2"/>
      </w:pPr>
      <w:r>
        <w:t>PRINCIPLES</w:t>
      </w:r>
      <w:bookmarkEnd w:id="4"/>
    </w:p>
    <w:p w14:paraId="743DF3D4" w14:textId="77777777" w:rsidR="0058002B" w:rsidRDefault="0058002B" w:rsidP="0058002B">
      <w:r>
        <w:t xml:space="preserve">The Thermo Scientific </w:t>
      </w:r>
      <w:r w:rsidRPr="009750D7">
        <w:t xml:space="preserve">SureTect </w:t>
      </w:r>
      <w:r w:rsidRPr="00FF730B">
        <w:rPr>
          <w:i/>
          <w:iCs/>
        </w:rPr>
        <w:t>E. coli</w:t>
      </w:r>
      <w:r w:rsidRPr="009750D7">
        <w:t xml:space="preserve"> O157:H7 and STEC </w:t>
      </w:r>
      <w:r>
        <w:t>assays are real-time PCR</w:t>
      </w:r>
      <w:r w:rsidR="009D38C9">
        <w:t>s</w:t>
      </w:r>
      <w:r>
        <w:t xml:space="preserve"> designed for rapid detection of </w:t>
      </w:r>
      <w:r w:rsidRPr="009D38C9">
        <w:rPr>
          <w:i/>
          <w:iCs/>
        </w:rPr>
        <w:t>E. coli</w:t>
      </w:r>
      <w:r>
        <w:t xml:space="preserve"> O157:H7 and top six STEC (O26, O45, O103, O111, O121 and O145). </w:t>
      </w:r>
      <w:r w:rsidR="00014CA6">
        <w:t>This method is used in conjunction with</w:t>
      </w:r>
      <w:r w:rsidR="00014CA6" w:rsidRPr="006C0E24">
        <w:t xml:space="preserve"> the Applied Biosystems QuantStudio 5 Real-Time PCR Instrument and </w:t>
      </w:r>
      <w:proofErr w:type="spellStart"/>
      <w:r w:rsidR="00014CA6" w:rsidRPr="006C0E24">
        <w:t>RapidFinder</w:t>
      </w:r>
      <w:proofErr w:type="spellEnd"/>
      <w:r w:rsidR="00014CA6" w:rsidRPr="006C0E24">
        <w:t xml:space="preserve"> Analysis </w:t>
      </w:r>
      <w:r w:rsidR="00266403" w:rsidRPr="006C0E24">
        <w:t>Software</w:t>
      </w:r>
      <w:r w:rsidR="00266403">
        <w:t>.</w:t>
      </w:r>
      <w:r w:rsidRPr="009750D7">
        <w:t xml:space="preserve"> </w:t>
      </w:r>
      <w:r>
        <w:t xml:space="preserve">The </w:t>
      </w:r>
      <w:r w:rsidR="009C52F5">
        <w:t xml:space="preserve">Screening PCR </w:t>
      </w:r>
      <w:r w:rsidR="00266403">
        <w:t>Assay includes</w:t>
      </w:r>
      <w:r w:rsidR="00D84911">
        <w:t xml:space="preserve"> </w:t>
      </w:r>
      <w:r>
        <w:t xml:space="preserve">four </w:t>
      </w:r>
      <w:r w:rsidR="00266403">
        <w:t>different targets</w:t>
      </w:r>
      <w:r w:rsidR="00D84911">
        <w:t xml:space="preserve"> </w:t>
      </w:r>
      <w:r>
        <w:t>(</w:t>
      </w:r>
      <w:proofErr w:type="spellStart"/>
      <w:r w:rsidRPr="00710EA9">
        <w:rPr>
          <w:i/>
          <w:iCs/>
        </w:rPr>
        <w:t>stx</w:t>
      </w:r>
      <w:proofErr w:type="spellEnd"/>
      <w:r>
        <w:t xml:space="preserve">, </w:t>
      </w:r>
      <w:proofErr w:type="spellStart"/>
      <w:r w:rsidRPr="00710EA9">
        <w:rPr>
          <w:i/>
          <w:iCs/>
        </w:rPr>
        <w:t>eae</w:t>
      </w:r>
      <w:proofErr w:type="spellEnd"/>
      <w:r>
        <w:t xml:space="preserve">, O157:H7 target 1 and O157:H7 target 2) to identify the presence of </w:t>
      </w:r>
      <w:r w:rsidRPr="00FF730B">
        <w:rPr>
          <w:i/>
          <w:iCs/>
        </w:rPr>
        <w:t>E. coli</w:t>
      </w:r>
      <w:r>
        <w:t xml:space="preserve"> O157:H7 and </w:t>
      </w:r>
      <w:r w:rsidR="00510015">
        <w:t>S</w:t>
      </w:r>
      <w:r w:rsidR="00D84911">
        <w:t xml:space="preserve">higa toxin producing </w:t>
      </w:r>
      <w:r w:rsidR="00D84911">
        <w:rPr>
          <w:i/>
          <w:iCs/>
        </w:rPr>
        <w:t xml:space="preserve">E. </w:t>
      </w:r>
      <w:r w:rsidR="00266403">
        <w:rPr>
          <w:i/>
          <w:iCs/>
        </w:rPr>
        <w:t>coli.</w:t>
      </w:r>
      <w:r>
        <w:t xml:space="preserve"> Both </w:t>
      </w:r>
      <w:r w:rsidR="009D38C9">
        <w:t xml:space="preserve">the </w:t>
      </w:r>
      <w:proofErr w:type="spellStart"/>
      <w:r w:rsidRPr="00710EA9">
        <w:rPr>
          <w:i/>
          <w:iCs/>
        </w:rPr>
        <w:t>stx</w:t>
      </w:r>
      <w:proofErr w:type="spellEnd"/>
      <w:r>
        <w:t xml:space="preserve"> and </w:t>
      </w:r>
      <w:proofErr w:type="spellStart"/>
      <w:r w:rsidRPr="00710EA9">
        <w:rPr>
          <w:i/>
          <w:iCs/>
        </w:rPr>
        <w:t>eae</w:t>
      </w:r>
      <w:proofErr w:type="spellEnd"/>
      <w:r>
        <w:t xml:space="preserve"> channel</w:t>
      </w:r>
      <w:r w:rsidR="009D38C9">
        <w:t>s</w:t>
      </w:r>
      <w:r>
        <w:t xml:space="preserve"> must </w:t>
      </w:r>
      <w:r w:rsidR="009D38C9">
        <w:t>be</w:t>
      </w:r>
      <w:r>
        <w:t xml:space="preserve"> positive </w:t>
      </w:r>
      <w:r w:rsidR="009D38C9">
        <w:t>for a screen positive STEC result</w:t>
      </w:r>
      <w:r>
        <w:t xml:space="preserve">. </w:t>
      </w:r>
      <w:bookmarkStart w:id="5" w:name="_Hlk83892250"/>
      <w:r>
        <w:t>The O157 target 1 and target 2 channels must be positive for a</w:t>
      </w:r>
      <w:r w:rsidR="009D38C9">
        <w:t xml:space="preserve"> screen positive</w:t>
      </w:r>
      <w:r>
        <w:t xml:space="preserve"> O157:H7</w:t>
      </w:r>
      <w:r w:rsidR="009D38C9">
        <w:t xml:space="preserve"> result, while</w:t>
      </w:r>
      <w:r>
        <w:t xml:space="preserve"> </w:t>
      </w:r>
      <w:proofErr w:type="spellStart"/>
      <w:r w:rsidRPr="00710EA9">
        <w:rPr>
          <w:i/>
          <w:iCs/>
        </w:rPr>
        <w:t>stx</w:t>
      </w:r>
      <w:proofErr w:type="spellEnd"/>
      <w:r>
        <w:t xml:space="preserve"> and </w:t>
      </w:r>
      <w:proofErr w:type="spellStart"/>
      <w:r w:rsidRPr="00710EA9">
        <w:rPr>
          <w:i/>
          <w:iCs/>
        </w:rPr>
        <w:t>eae</w:t>
      </w:r>
      <w:proofErr w:type="spellEnd"/>
      <w:r>
        <w:t xml:space="preserve"> channels may be positive or negative. </w:t>
      </w:r>
      <w:bookmarkEnd w:id="5"/>
      <w:r w:rsidR="00266403">
        <w:t>The identification</w:t>
      </w:r>
      <w:r>
        <w:t xml:space="preserve"> PCR </w:t>
      </w:r>
      <w:r w:rsidR="00D050CB">
        <w:t xml:space="preserve">Assay </w:t>
      </w:r>
      <w:r>
        <w:t>differentiate</w:t>
      </w:r>
      <w:r w:rsidR="009D38C9">
        <w:t>s</w:t>
      </w:r>
      <w:r>
        <w:t xml:space="preserve"> the top 6 STEC serotype</w:t>
      </w:r>
      <w:r w:rsidR="009D38C9">
        <w:t>s</w:t>
      </w:r>
      <w:r w:rsidR="00D050CB">
        <w:t xml:space="preserve">. Both Assays include an internal positive control (IPC) with every reaction. The IPC template, primers, and probe provide an internal control with each reaction to show that the PCR process has occurred. </w:t>
      </w:r>
      <w:r>
        <w:t xml:space="preserve">This method </w:t>
      </w:r>
      <w:r w:rsidR="00D050CB">
        <w:t xml:space="preserve">is </w:t>
      </w:r>
      <w:r>
        <w:t xml:space="preserve">unable to identify O157 serotypes that do not harbour H7 antigen. </w:t>
      </w:r>
    </w:p>
    <w:p w14:paraId="07C00926" w14:textId="77777777" w:rsidR="0058002B" w:rsidRDefault="0058002B" w:rsidP="0058002B">
      <w:r>
        <w:t xml:space="preserve">The detection of </w:t>
      </w:r>
      <w:r>
        <w:rPr>
          <w:i/>
        </w:rPr>
        <w:t>E. coli</w:t>
      </w:r>
      <w:r>
        <w:t xml:space="preserve"> O157:H7 </w:t>
      </w:r>
      <w:r w:rsidR="00D050CB">
        <w:t xml:space="preserve">and top 6 STEC </w:t>
      </w:r>
      <w:r>
        <w:t>involves the following steps:</w:t>
      </w:r>
    </w:p>
    <w:p w14:paraId="6D2BB777" w14:textId="77777777" w:rsidR="0058002B" w:rsidRDefault="0058002B" w:rsidP="0058002B">
      <w:pPr>
        <w:pStyle w:val="Heading3"/>
        <w:spacing w:line="240" w:lineRule="auto"/>
      </w:pPr>
      <w:r>
        <w:t>Sample enrichment</w:t>
      </w:r>
    </w:p>
    <w:p w14:paraId="412A4711" w14:textId="77777777" w:rsidR="0058002B" w:rsidRDefault="0058002B" w:rsidP="0058002B">
      <w:pPr>
        <w:pStyle w:val="Normal-para"/>
        <w:rPr>
          <w:strike/>
        </w:rPr>
      </w:pPr>
      <w:r>
        <w:t>Meat samples (</w:t>
      </w:r>
      <w:r w:rsidRPr="00FF730B">
        <w:t xml:space="preserve">375 </w:t>
      </w:r>
      <w:r w:rsidR="00510B7C">
        <w:t xml:space="preserve">±37.5 </w:t>
      </w:r>
      <w:r w:rsidRPr="00FF730B">
        <w:t>g) are</w:t>
      </w:r>
      <w:r>
        <w:t xml:space="preserve"> </w:t>
      </w:r>
      <w:r w:rsidR="00DE45A2">
        <w:t xml:space="preserve">diluted 1-in-5 (1500 mL) in </w:t>
      </w:r>
      <w:r>
        <w:t xml:space="preserve">pre-warmed (41.5 ±1°C) mTSB. The sample is homogenized by stomaching for 30 s to 1 min and is incubated at 41.5 </w:t>
      </w:r>
      <w:r>
        <w:rPr>
          <w:sz w:val="16"/>
          <w:szCs w:val="16"/>
        </w:rPr>
        <w:t>±</w:t>
      </w:r>
      <w:r>
        <w:t xml:space="preserve"> 1</w:t>
      </w:r>
      <w:r>
        <w:sym w:font="Symbol" w:char="F0B0"/>
      </w:r>
      <w:r>
        <w:t>C for 8-24 hours.  The sample and enrichment broth must be at 41.5 ±1° for minimum of 8 hours (i.e. sample and broth must reach 41.5 ±1° and</w:t>
      </w:r>
      <w:r w:rsidR="009D38C9">
        <w:t xml:space="preserve"> incubated</w:t>
      </w:r>
      <w:r>
        <w:t xml:space="preserve"> from this point </w:t>
      </w:r>
      <w:r w:rsidR="009D38C9">
        <w:t xml:space="preserve">for </w:t>
      </w:r>
      <w:r>
        <w:t xml:space="preserve">a minimum of </w:t>
      </w:r>
      <w:r w:rsidR="00100C8F">
        <w:t>8 hours</w:t>
      </w:r>
      <w:r w:rsidR="00BB3105">
        <w:t>. Frozen or chilled sample</w:t>
      </w:r>
      <w:r w:rsidR="009D38C9">
        <w:t>s</w:t>
      </w:r>
      <w:r w:rsidR="00BB3105">
        <w:t xml:space="preserve"> may take up to 7 hours to reach 41.5°C</w:t>
      </w:r>
      <w:r>
        <w:t xml:space="preserve">. A positive control culture must be run through all procedures daily or when testing is carried out. </w:t>
      </w:r>
    </w:p>
    <w:p w14:paraId="0DF53451" w14:textId="77777777" w:rsidR="0058002B" w:rsidRDefault="0058002B" w:rsidP="0058002B">
      <w:pPr>
        <w:pStyle w:val="Normal-para"/>
      </w:pPr>
      <w:r>
        <w:rPr>
          <w:i/>
        </w:rPr>
        <w:t xml:space="preserve">E. coli </w:t>
      </w:r>
      <w:r>
        <w:rPr>
          <w:iCs/>
        </w:rPr>
        <w:t>O157:H7</w:t>
      </w:r>
      <w:r>
        <w:t xml:space="preserve"> and </w:t>
      </w:r>
      <w:r w:rsidR="00510015">
        <w:t>S</w:t>
      </w:r>
      <w:r>
        <w:t>higa</w:t>
      </w:r>
      <w:r w:rsidR="00510015">
        <w:t xml:space="preserve"> </w:t>
      </w:r>
      <w:r>
        <w:t>toxi</w:t>
      </w:r>
      <w:r w:rsidR="009D38C9">
        <w:t>n</w:t>
      </w:r>
      <w:r>
        <w:t xml:space="preserve"> genes </w:t>
      </w:r>
      <w:r w:rsidR="00100C8F">
        <w:t>are detected in</w:t>
      </w:r>
      <w:r>
        <w:t xml:space="preserve"> the sample </w:t>
      </w:r>
      <w:r w:rsidR="00EB6CCE">
        <w:t xml:space="preserve">using the Screening PCR Assay, </w:t>
      </w:r>
      <w:r>
        <w:t>following the manufacturer’s recommended protocol. PCR positive samples will be considered as potential positive</w:t>
      </w:r>
      <w:r w:rsidR="009D38C9">
        <w:t>s</w:t>
      </w:r>
      <w:r>
        <w:t xml:space="preserve">. </w:t>
      </w:r>
      <w:r w:rsidR="00EB6CCE">
        <w:t xml:space="preserve"> I</w:t>
      </w:r>
      <w:r>
        <w:t xml:space="preserve">dentification PCR </w:t>
      </w:r>
      <w:r w:rsidR="00EB6CCE">
        <w:t xml:space="preserve">Assay </w:t>
      </w:r>
      <w:r>
        <w:t xml:space="preserve">differentiates </w:t>
      </w:r>
      <w:r w:rsidR="00EB6CCE">
        <w:t xml:space="preserve">the top 6 </w:t>
      </w:r>
      <w:r>
        <w:t>STEC serotypes (O26, O45, O103, O111, O121 and O145).</w:t>
      </w:r>
    </w:p>
    <w:p w14:paraId="12E4B270" w14:textId="77777777" w:rsidR="0058002B" w:rsidRDefault="0058002B" w:rsidP="0058002B">
      <w:pPr>
        <w:pStyle w:val="Heading3"/>
      </w:pPr>
      <w:r>
        <w:t>Interpretation</w:t>
      </w:r>
    </w:p>
    <w:p w14:paraId="6A9E3034" w14:textId="77777777" w:rsidR="0058002B" w:rsidRDefault="0058002B" w:rsidP="0058002B">
      <w:pPr>
        <w:pStyle w:val="Normal-para"/>
      </w:pPr>
      <w:r>
        <w:t>Upon completion of the assay the program will provide a test result. Each test sample will be identified as positive (indicated by a red “+” symbol) or negative (a green “</w:t>
      </w:r>
      <w:proofErr w:type="gramStart"/>
      <w:r>
        <w:t>-“ symbol</w:t>
      </w:r>
      <w:proofErr w:type="gramEnd"/>
      <w:r>
        <w:t xml:space="preserve">). A yellow “!” symbol indicates that the test has failed in which case the test must be repeated using the same enrichment </w:t>
      </w:r>
      <w:r w:rsidRPr="006050D7">
        <w:t>cultures. If the repeat test has failed,</w:t>
      </w:r>
      <w:r w:rsidR="00EB6CCE" w:rsidRPr="00E37DD5">
        <w:t xml:space="preserve"> </w:t>
      </w:r>
      <w:r w:rsidR="00EB6CCE">
        <w:t>instructions outlined in the Troubleshooting section of the User Guide must be followed</w:t>
      </w:r>
      <w:r w:rsidRPr="006050D7">
        <w:t xml:space="preserve"> and the enrichment broth must be analysed using an alternate method or the sample deemed positive.</w:t>
      </w:r>
    </w:p>
    <w:p w14:paraId="51AC1999" w14:textId="77777777" w:rsidR="004F0AD3" w:rsidRDefault="004F0AD3" w:rsidP="004F0AD3">
      <w:pPr>
        <w:pStyle w:val="Heading3"/>
        <w:spacing w:line="240" w:lineRule="auto"/>
      </w:pPr>
      <w:r>
        <w:t>Confirmation</w:t>
      </w:r>
    </w:p>
    <w:p w14:paraId="525EF333" w14:textId="0569DF6C" w:rsidR="00735C73" w:rsidRPr="0042371A" w:rsidRDefault="0058002B" w:rsidP="002F02A5">
      <w:pPr>
        <w:pStyle w:val="Normal-para"/>
        <w:sectPr w:rsidR="00735C73" w:rsidRPr="0042371A" w:rsidSect="007E296B">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737" w:left="1418" w:header="567" w:footer="340" w:gutter="0"/>
          <w:cols w:space="708"/>
          <w:docGrid w:linePitch="360"/>
        </w:sectPr>
      </w:pPr>
      <w:r>
        <w:t>For all positive samples and sample</w:t>
      </w:r>
      <w:r w:rsidR="009D38C9">
        <w:t>s</w:t>
      </w:r>
      <w:r>
        <w:t xml:space="preserve"> with a failed result, enriched broth must be confirmed for the presence of </w:t>
      </w:r>
      <w:r w:rsidRPr="00710EA9">
        <w:rPr>
          <w:i/>
          <w:iCs/>
        </w:rPr>
        <w:t>E. coli</w:t>
      </w:r>
      <w:r>
        <w:t xml:space="preserve"> O157:H7 and top 6 non-O157 at </w:t>
      </w:r>
      <w:r w:rsidR="00C85AE6">
        <w:t xml:space="preserve">DAFF </w:t>
      </w:r>
      <w:r w:rsidR="009D38C9">
        <w:t xml:space="preserve">approved confirmatory laboratory using a </w:t>
      </w:r>
      <w:r w:rsidR="00C85AE6">
        <w:t xml:space="preserve">DAFF </w:t>
      </w:r>
      <w:r w:rsidR="009D38C9">
        <w:t>approved confirmatory method.</w:t>
      </w:r>
    </w:p>
    <w:p w14:paraId="1FA4C598" w14:textId="77777777" w:rsidR="00FF730B" w:rsidRDefault="00FF730B" w:rsidP="00FF730B">
      <w:pPr>
        <w:pStyle w:val="Normal-para"/>
        <w:ind w:left="142"/>
      </w:pPr>
      <w:r>
        <w:lastRenderedPageBreak/>
        <w:t>CHECKLIST</w:t>
      </w:r>
    </w:p>
    <w:tbl>
      <w:tblPr>
        <w:tblW w:w="0" w:type="auto"/>
        <w:tblInd w:w="108" w:type="dxa"/>
        <w:tblLook w:val="01E0" w:firstRow="1" w:lastRow="1" w:firstColumn="1" w:lastColumn="1" w:noHBand="0" w:noVBand="0"/>
      </w:tblPr>
      <w:tblGrid>
        <w:gridCol w:w="1896"/>
        <w:gridCol w:w="4761"/>
        <w:gridCol w:w="2306"/>
      </w:tblGrid>
      <w:tr w:rsidR="00FF730B" w14:paraId="7FE4C88B" w14:textId="77777777" w:rsidTr="00EE5BC1">
        <w:tc>
          <w:tcPr>
            <w:tcW w:w="1917" w:type="dxa"/>
            <w:tcBorders>
              <w:top w:val="single" w:sz="4" w:space="0" w:color="auto"/>
            </w:tcBorders>
          </w:tcPr>
          <w:p w14:paraId="0F3D1870" w14:textId="77777777" w:rsidR="00FF730B" w:rsidRPr="00DE6322" w:rsidRDefault="00FF730B" w:rsidP="00EE5BC1">
            <w:pPr>
              <w:rPr>
                <w:b/>
                <w:bCs/>
              </w:rPr>
            </w:pPr>
            <w:r w:rsidRPr="00DE6322">
              <w:rPr>
                <w:b/>
                <w:bCs/>
              </w:rPr>
              <w:t>Enrichment</w:t>
            </w:r>
          </w:p>
        </w:tc>
        <w:tc>
          <w:tcPr>
            <w:tcW w:w="4952" w:type="dxa"/>
            <w:tcBorders>
              <w:top w:val="single" w:sz="4" w:space="0" w:color="auto"/>
            </w:tcBorders>
          </w:tcPr>
          <w:p w14:paraId="35DF275A" w14:textId="77777777" w:rsidR="00FF730B" w:rsidRPr="00E17C2B" w:rsidRDefault="00FF730B" w:rsidP="00EE5BC1">
            <w:pPr>
              <w:spacing w:beforeLines="40" w:before="96" w:afterLines="40" w:after="96"/>
              <w:ind w:left="72"/>
              <w:rPr>
                <w:szCs w:val="22"/>
              </w:rPr>
            </w:pPr>
            <w:r w:rsidRPr="00E17C2B">
              <w:rPr>
                <w:szCs w:val="22"/>
              </w:rPr>
              <w:t xml:space="preserve">Is the </w:t>
            </w:r>
            <w:r>
              <w:rPr>
                <w:szCs w:val="22"/>
              </w:rPr>
              <w:t>mTSB</w:t>
            </w:r>
            <w:r w:rsidRPr="00E17C2B">
              <w:rPr>
                <w:szCs w:val="22"/>
              </w:rPr>
              <w:t xml:space="preserve"> enrichment broth warmed to 41.5 ± 1</w:t>
            </w:r>
            <w:r w:rsidRPr="00E17C2B">
              <w:rPr>
                <w:szCs w:val="22"/>
              </w:rPr>
              <w:sym w:font="Symbol" w:char="F0B0"/>
            </w:r>
            <w:r w:rsidRPr="00E17C2B">
              <w:rPr>
                <w:szCs w:val="22"/>
              </w:rPr>
              <w:t>C before use?</w:t>
            </w:r>
          </w:p>
        </w:tc>
        <w:tc>
          <w:tcPr>
            <w:tcW w:w="2310" w:type="dxa"/>
            <w:tcBorders>
              <w:top w:val="single" w:sz="4" w:space="0" w:color="auto"/>
            </w:tcBorders>
            <w:vAlign w:val="bottom"/>
          </w:tcPr>
          <w:p w14:paraId="4CF5770B" w14:textId="77777777" w:rsidR="00FF730B" w:rsidRPr="00E17C2B" w:rsidRDefault="00FF730B" w:rsidP="00EE5BC1">
            <w:pPr>
              <w:pStyle w:val="Header"/>
              <w:tabs>
                <w:tab w:val="clear" w:pos="4153"/>
                <w:tab w:val="clear" w:pos="8306"/>
                <w:tab w:val="right" w:leader="underscore" w:pos="2018"/>
                <w:tab w:val="left" w:pos="3686"/>
                <w:tab w:val="right" w:leader="underscore" w:pos="6237"/>
              </w:tabs>
              <w:spacing w:before="80" w:after="80"/>
              <w:ind w:left="69"/>
              <w:rPr>
                <w:sz w:val="22"/>
                <w:szCs w:val="22"/>
              </w:rPr>
            </w:pPr>
            <w:r w:rsidRPr="00E17C2B">
              <w:rPr>
                <w:color w:val="333333"/>
                <w:sz w:val="22"/>
                <w:szCs w:val="22"/>
              </w:rPr>
              <w:tab/>
            </w:r>
          </w:p>
        </w:tc>
      </w:tr>
      <w:tr w:rsidR="00FF730B" w14:paraId="123D4FD4" w14:textId="77777777" w:rsidTr="00EE5BC1">
        <w:tc>
          <w:tcPr>
            <w:tcW w:w="1917" w:type="dxa"/>
          </w:tcPr>
          <w:p w14:paraId="06EE7DC0" w14:textId="77777777" w:rsidR="00FF730B" w:rsidRPr="00DE6322" w:rsidRDefault="00FF730B" w:rsidP="00EE5BC1">
            <w:pPr>
              <w:rPr>
                <w:b/>
                <w:bCs/>
              </w:rPr>
            </w:pPr>
          </w:p>
        </w:tc>
        <w:tc>
          <w:tcPr>
            <w:tcW w:w="4952" w:type="dxa"/>
          </w:tcPr>
          <w:p w14:paraId="065AEEF8" w14:textId="77777777" w:rsidR="00FF730B" w:rsidRPr="00E17C2B" w:rsidRDefault="00FF730B" w:rsidP="00EE5BC1">
            <w:pPr>
              <w:spacing w:beforeLines="40" w:before="96" w:afterLines="40" w:after="96"/>
              <w:ind w:left="72"/>
              <w:rPr>
                <w:szCs w:val="22"/>
              </w:rPr>
            </w:pPr>
            <w:r w:rsidRPr="00E17C2B">
              <w:rPr>
                <w:szCs w:val="22"/>
              </w:rPr>
              <w:t xml:space="preserve">Is the correct amount of broth used for the weight of sample analysed i.e. </w:t>
            </w:r>
            <w:r w:rsidR="00826CF8">
              <w:rPr>
                <w:szCs w:val="22"/>
              </w:rPr>
              <w:t xml:space="preserve">diluted 1-in-5; 375 g and </w:t>
            </w:r>
            <w:r>
              <w:rPr>
                <w:szCs w:val="22"/>
              </w:rPr>
              <w:t>1500 mL</w:t>
            </w:r>
            <w:r w:rsidRPr="00E17C2B">
              <w:rPr>
                <w:szCs w:val="22"/>
              </w:rPr>
              <w:t xml:space="preserve">? </w:t>
            </w:r>
          </w:p>
        </w:tc>
        <w:tc>
          <w:tcPr>
            <w:tcW w:w="2310" w:type="dxa"/>
            <w:vAlign w:val="bottom"/>
          </w:tcPr>
          <w:p w14:paraId="698E46C1" w14:textId="77777777" w:rsidR="00FF730B" w:rsidRPr="00E17C2B" w:rsidRDefault="00FF730B" w:rsidP="00EE5BC1">
            <w:pPr>
              <w:pStyle w:val="Header"/>
              <w:tabs>
                <w:tab w:val="clear" w:pos="4153"/>
                <w:tab w:val="clear" w:pos="8306"/>
                <w:tab w:val="right" w:leader="underscore" w:pos="2018"/>
                <w:tab w:val="left" w:pos="3686"/>
                <w:tab w:val="right" w:leader="underscore" w:pos="6237"/>
              </w:tabs>
              <w:spacing w:before="80" w:after="80"/>
              <w:ind w:left="69"/>
              <w:rPr>
                <w:sz w:val="22"/>
                <w:szCs w:val="22"/>
              </w:rPr>
            </w:pPr>
            <w:r w:rsidRPr="00E17C2B">
              <w:rPr>
                <w:color w:val="333333"/>
                <w:sz w:val="22"/>
                <w:szCs w:val="22"/>
              </w:rPr>
              <w:tab/>
            </w:r>
          </w:p>
        </w:tc>
      </w:tr>
      <w:tr w:rsidR="00FF730B" w14:paraId="1E6BDA2B" w14:textId="77777777" w:rsidTr="00EE5BC1">
        <w:tc>
          <w:tcPr>
            <w:tcW w:w="1917" w:type="dxa"/>
          </w:tcPr>
          <w:p w14:paraId="552C3934" w14:textId="77777777" w:rsidR="00FF730B" w:rsidRPr="00DE6322" w:rsidRDefault="00FF730B" w:rsidP="00EE5BC1">
            <w:pPr>
              <w:rPr>
                <w:b/>
                <w:bCs/>
              </w:rPr>
            </w:pPr>
          </w:p>
        </w:tc>
        <w:tc>
          <w:tcPr>
            <w:tcW w:w="4952" w:type="dxa"/>
          </w:tcPr>
          <w:p w14:paraId="1C9B5AC8" w14:textId="77777777" w:rsidR="00FF730B" w:rsidRPr="00E17C2B" w:rsidRDefault="00FF730B" w:rsidP="00EE5BC1">
            <w:pPr>
              <w:spacing w:beforeLines="40" w:before="96" w:afterLines="40" w:after="96"/>
              <w:ind w:left="72"/>
              <w:rPr>
                <w:szCs w:val="22"/>
              </w:rPr>
            </w:pPr>
            <w:r w:rsidRPr="00E17C2B">
              <w:rPr>
                <w:szCs w:val="22"/>
              </w:rPr>
              <w:t>Is a positive control culture run with each batch of samples analysed?</w:t>
            </w:r>
          </w:p>
        </w:tc>
        <w:tc>
          <w:tcPr>
            <w:tcW w:w="2310" w:type="dxa"/>
            <w:vAlign w:val="bottom"/>
          </w:tcPr>
          <w:p w14:paraId="0EF66ACC" w14:textId="77777777" w:rsidR="00FF730B" w:rsidRPr="00E17C2B" w:rsidRDefault="00FF730B" w:rsidP="00EE5BC1">
            <w:pPr>
              <w:pStyle w:val="Header"/>
              <w:tabs>
                <w:tab w:val="clear" w:pos="4153"/>
                <w:tab w:val="clear" w:pos="8306"/>
                <w:tab w:val="right" w:leader="underscore" w:pos="2018"/>
                <w:tab w:val="left" w:pos="3686"/>
                <w:tab w:val="right" w:leader="underscore" w:pos="6237"/>
              </w:tabs>
              <w:spacing w:before="80" w:after="80"/>
              <w:ind w:left="69"/>
              <w:rPr>
                <w:sz w:val="22"/>
                <w:szCs w:val="22"/>
              </w:rPr>
            </w:pPr>
            <w:r w:rsidRPr="00E17C2B">
              <w:rPr>
                <w:color w:val="333333"/>
                <w:sz w:val="22"/>
                <w:szCs w:val="22"/>
              </w:rPr>
              <w:tab/>
            </w:r>
          </w:p>
        </w:tc>
      </w:tr>
      <w:tr w:rsidR="00FF730B" w14:paraId="0D303DAC" w14:textId="77777777" w:rsidTr="00EE5BC1">
        <w:tc>
          <w:tcPr>
            <w:tcW w:w="1917" w:type="dxa"/>
          </w:tcPr>
          <w:p w14:paraId="2A9D7718" w14:textId="77777777" w:rsidR="00FF730B" w:rsidRPr="00DE6322" w:rsidRDefault="00FF730B" w:rsidP="00EE5BC1">
            <w:pPr>
              <w:rPr>
                <w:b/>
                <w:bCs/>
              </w:rPr>
            </w:pPr>
          </w:p>
        </w:tc>
        <w:tc>
          <w:tcPr>
            <w:tcW w:w="4952" w:type="dxa"/>
          </w:tcPr>
          <w:p w14:paraId="75EE9487" w14:textId="77777777" w:rsidR="00FF730B" w:rsidRPr="00E17C2B" w:rsidRDefault="00FF730B" w:rsidP="00EE5BC1">
            <w:pPr>
              <w:spacing w:beforeLines="40" w:before="96" w:afterLines="40" w:after="96"/>
              <w:ind w:left="72"/>
              <w:rPr>
                <w:szCs w:val="22"/>
              </w:rPr>
            </w:pPr>
            <w:r w:rsidRPr="00E17C2B">
              <w:rPr>
                <w:szCs w:val="22"/>
              </w:rPr>
              <w:t>Are control cultures inoculated into the enrichment broth at a level of 10 to 100 cells?</w:t>
            </w:r>
          </w:p>
        </w:tc>
        <w:tc>
          <w:tcPr>
            <w:tcW w:w="2310" w:type="dxa"/>
            <w:vAlign w:val="bottom"/>
          </w:tcPr>
          <w:p w14:paraId="5CC503D1" w14:textId="77777777" w:rsidR="00FF730B" w:rsidRPr="00E17C2B" w:rsidRDefault="00FF730B" w:rsidP="00EE5BC1">
            <w:pPr>
              <w:pStyle w:val="Header"/>
              <w:tabs>
                <w:tab w:val="clear" w:pos="4153"/>
                <w:tab w:val="clear" w:pos="8306"/>
                <w:tab w:val="right" w:leader="underscore" w:pos="2018"/>
                <w:tab w:val="left" w:pos="3686"/>
                <w:tab w:val="right" w:leader="underscore" w:pos="6237"/>
              </w:tabs>
              <w:spacing w:before="80" w:after="80"/>
              <w:ind w:left="69"/>
              <w:rPr>
                <w:sz w:val="22"/>
                <w:szCs w:val="22"/>
              </w:rPr>
            </w:pPr>
            <w:r w:rsidRPr="00E17C2B">
              <w:rPr>
                <w:color w:val="333333"/>
                <w:sz w:val="22"/>
                <w:szCs w:val="22"/>
              </w:rPr>
              <w:tab/>
            </w:r>
          </w:p>
        </w:tc>
      </w:tr>
      <w:tr w:rsidR="00FF730B" w14:paraId="6E1FEED1" w14:textId="77777777" w:rsidTr="00EE5BC1">
        <w:tc>
          <w:tcPr>
            <w:tcW w:w="1917" w:type="dxa"/>
          </w:tcPr>
          <w:p w14:paraId="0EBAB3AC" w14:textId="77777777" w:rsidR="00FF730B" w:rsidRPr="00DE6322" w:rsidRDefault="00FF730B" w:rsidP="00EE5BC1">
            <w:pPr>
              <w:rPr>
                <w:b/>
                <w:bCs/>
              </w:rPr>
            </w:pPr>
          </w:p>
        </w:tc>
        <w:tc>
          <w:tcPr>
            <w:tcW w:w="4952" w:type="dxa"/>
          </w:tcPr>
          <w:p w14:paraId="2B8B8C33" w14:textId="77777777" w:rsidR="00FF730B" w:rsidRPr="00E17C2B" w:rsidRDefault="00FF730B" w:rsidP="00EE5BC1">
            <w:pPr>
              <w:spacing w:beforeLines="40" w:before="96" w:afterLines="40" w:after="96"/>
              <w:ind w:left="72"/>
              <w:rPr>
                <w:szCs w:val="22"/>
              </w:rPr>
            </w:pPr>
            <w:r w:rsidRPr="00E17C2B">
              <w:rPr>
                <w:szCs w:val="22"/>
              </w:rPr>
              <w:t xml:space="preserve"> Is enrichment carried out at 41.5 ± 1</w:t>
            </w:r>
            <w:r w:rsidRPr="00E17C2B">
              <w:rPr>
                <w:szCs w:val="22"/>
              </w:rPr>
              <w:sym w:font="Symbol" w:char="F0B0"/>
            </w:r>
            <w:r w:rsidRPr="00E17C2B">
              <w:rPr>
                <w:szCs w:val="22"/>
              </w:rPr>
              <w:t>C and is the enrichment broth and sample at 41.5 ± 1</w:t>
            </w:r>
            <w:r w:rsidRPr="00E17C2B">
              <w:rPr>
                <w:szCs w:val="22"/>
              </w:rPr>
              <w:sym w:font="Symbol" w:char="F0B0"/>
            </w:r>
            <w:r>
              <w:rPr>
                <w:szCs w:val="22"/>
              </w:rPr>
              <w:t xml:space="preserve">C for a minimum </w:t>
            </w:r>
            <w:r w:rsidR="00100C8F">
              <w:rPr>
                <w:szCs w:val="22"/>
              </w:rPr>
              <w:t>of 8 hours</w:t>
            </w:r>
            <w:r>
              <w:rPr>
                <w:szCs w:val="22"/>
              </w:rPr>
              <w:t>?</w:t>
            </w:r>
          </w:p>
        </w:tc>
        <w:tc>
          <w:tcPr>
            <w:tcW w:w="2310" w:type="dxa"/>
            <w:vAlign w:val="center"/>
          </w:tcPr>
          <w:p w14:paraId="238E5BA4" w14:textId="77777777" w:rsidR="00FF730B" w:rsidRPr="00E17C2B" w:rsidRDefault="00FF730B" w:rsidP="00EE5BC1">
            <w:pPr>
              <w:pStyle w:val="Header"/>
              <w:tabs>
                <w:tab w:val="clear" w:pos="4153"/>
                <w:tab w:val="clear" w:pos="8306"/>
                <w:tab w:val="right" w:leader="underscore" w:pos="2018"/>
                <w:tab w:val="left" w:pos="3686"/>
                <w:tab w:val="right" w:leader="underscore" w:pos="6237"/>
              </w:tabs>
              <w:spacing w:before="80" w:after="80"/>
              <w:ind w:left="69"/>
              <w:rPr>
                <w:color w:val="333333"/>
                <w:sz w:val="22"/>
                <w:szCs w:val="22"/>
              </w:rPr>
            </w:pPr>
            <w:r w:rsidRPr="00E17C2B">
              <w:rPr>
                <w:color w:val="333333"/>
                <w:sz w:val="22"/>
                <w:szCs w:val="22"/>
              </w:rPr>
              <w:tab/>
            </w:r>
          </w:p>
          <w:p w14:paraId="275E77A0" w14:textId="77777777" w:rsidR="00FF730B" w:rsidRPr="00E17C2B" w:rsidRDefault="00FF730B" w:rsidP="00EE5BC1">
            <w:pPr>
              <w:pStyle w:val="Header"/>
              <w:tabs>
                <w:tab w:val="clear" w:pos="4153"/>
                <w:tab w:val="clear" w:pos="8306"/>
                <w:tab w:val="right" w:leader="underscore" w:pos="2018"/>
                <w:tab w:val="left" w:pos="3686"/>
                <w:tab w:val="right" w:leader="underscore" w:pos="6237"/>
              </w:tabs>
              <w:spacing w:before="80" w:after="80"/>
              <w:ind w:left="69"/>
              <w:rPr>
                <w:sz w:val="22"/>
                <w:szCs w:val="22"/>
              </w:rPr>
            </w:pPr>
          </w:p>
        </w:tc>
      </w:tr>
      <w:tr w:rsidR="00FF730B" w14:paraId="43A367F1" w14:textId="77777777" w:rsidTr="00EE5BC1">
        <w:tc>
          <w:tcPr>
            <w:tcW w:w="1917" w:type="dxa"/>
          </w:tcPr>
          <w:p w14:paraId="5A19C2E2" w14:textId="77777777" w:rsidR="00FF730B" w:rsidRPr="00DE6322" w:rsidRDefault="00FF730B" w:rsidP="00EE5BC1">
            <w:pPr>
              <w:rPr>
                <w:b/>
                <w:bCs/>
              </w:rPr>
            </w:pPr>
            <w:r>
              <w:rPr>
                <w:b/>
                <w:bCs/>
              </w:rPr>
              <w:t>PCR</w:t>
            </w:r>
            <w:r w:rsidRPr="00DE6322">
              <w:rPr>
                <w:b/>
                <w:bCs/>
              </w:rPr>
              <w:t xml:space="preserve"> Screening </w:t>
            </w:r>
          </w:p>
        </w:tc>
        <w:tc>
          <w:tcPr>
            <w:tcW w:w="4952" w:type="dxa"/>
          </w:tcPr>
          <w:p w14:paraId="295634CA" w14:textId="77777777" w:rsidR="00FF730B" w:rsidRPr="006050D7" w:rsidRDefault="00FF730B" w:rsidP="00EE5BC1">
            <w:pPr>
              <w:spacing w:beforeLines="40" w:before="96" w:afterLines="40" w:after="96"/>
              <w:ind w:left="72"/>
              <w:rPr>
                <w:szCs w:val="22"/>
              </w:rPr>
            </w:pPr>
            <w:r w:rsidRPr="006050D7">
              <w:rPr>
                <w:szCs w:val="22"/>
              </w:rPr>
              <w:t>Are the manufacturer’s instructions reproduced in the laboratory manual and followed without modification?</w:t>
            </w:r>
          </w:p>
        </w:tc>
        <w:tc>
          <w:tcPr>
            <w:tcW w:w="2310" w:type="dxa"/>
            <w:vAlign w:val="bottom"/>
          </w:tcPr>
          <w:p w14:paraId="6B33F74E" w14:textId="77777777" w:rsidR="00FF730B" w:rsidRPr="00E17C2B" w:rsidRDefault="00FF730B" w:rsidP="00EE5BC1">
            <w:pPr>
              <w:pStyle w:val="Header"/>
              <w:tabs>
                <w:tab w:val="clear" w:pos="4153"/>
                <w:tab w:val="clear" w:pos="8306"/>
                <w:tab w:val="right" w:leader="underscore" w:pos="2018"/>
                <w:tab w:val="left" w:pos="3686"/>
                <w:tab w:val="right" w:leader="underscore" w:pos="6237"/>
              </w:tabs>
              <w:spacing w:before="80" w:after="80"/>
              <w:ind w:left="69"/>
              <w:rPr>
                <w:sz w:val="22"/>
                <w:szCs w:val="22"/>
              </w:rPr>
            </w:pPr>
            <w:r w:rsidRPr="00E17C2B">
              <w:rPr>
                <w:color w:val="333333"/>
                <w:sz w:val="22"/>
                <w:szCs w:val="22"/>
              </w:rPr>
              <w:tab/>
            </w:r>
          </w:p>
        </w:tc>
      </w:tr>
      <w:tr w:rsidR="00FF730B" w14:paraId="046D4E99" w14:textId="77777777" w:rsidTr="00EE5BC1">
        <w:tc>
          <w:tcPr>
            <w:tcW w:w="1917" w:type="dxa"/>
          </w:tcPr>
          <w:p w14:paraId="6ED76516" w14:textId="77777777" w:rsidR="00FF730B" w:rsidRPr="00DE6322" w:rsidRDefault="00FF730B" w:rsidP="00EE5BC1">
            <w:pPr>
              <w:rPr>
                <w:b/>
                <w:bCs/>
              </w:rPr>
            </w:pPr>
          </w:p>
        </w:tc>
        <w:tc>
          <w:tcPr>
            <w:tcW w:w="4952" w:type="dxa"/>
          </w:tcPr>
          <w:p w14:paraId="584DE358" w14:textId="77777777" w:rsidR="00FF730B" w:rsidRPr="006050D7" w:rsidRDefault="00266403" w:rsidP="00266403">
            <w:pPr>
              <w:spacing w:beforeLines="40" w:before="96" w:afterLines="40" w:after="96"/>
              <w:ind w:left="72"/>
              <w:rPr>
                <w:szCs w:val="22"/>
              </w:rPr>
            </w:pPr>
            <w:r w:rsidRPr="006050D7">
              <w:rPr>
                <w:szCs w:val="22"/>
              </w:rPr>
              <w:t xml:space="preserve">Are technicians familiar with and trained in the operation of </w:t>
            </w:r>
            <w:r>
              <w:rPr>
                <w:szCs w:val="22"/>
              </w:rPr>
              <w:t>PCR instrument and Software used in this method?</w:t>
            </w:r>
          </w:p>
        </w:tc>
        <w:tc>
          <w:tcPr>
            <w:tcW w:w="2310" w:type="dxa"/>
            <w:vAlign w:val="bottom"/>
          </w:tcPr>
          <w:p w14:paraId="3F17859B" w14:textId="77777777" w:rsidR="00FF730B" w:rsidRPr="00E17C2B" w:rsidRDefault="00FF730B" w:rsidP="00EE5BC1">
            <w:pPr>
              <w:pStyle w:val="Header"/>
              <w:tabs>
                <w:tab w:val="clear" w:pos="4153"/>
                <w:tab w:val="clear" w:pos="8306"/>
                <w:tab w:val="right" w:leader="underscore" w:pos="2018"/>
                <w:tab w:val="left" w:pos="3686"/>
                <w:tab w:val="right" w:leader="underscore" w:pos="6237"/>
              </w:tabs>
              <w:spacing w:before="80" w:after="80"/>
              <w:ind w:left="69"/>
              <w:rPr>
                <w:sz w:val="22"/>
                <w:szCs w:val="22"/>
              </w:rPr>
            </w:pPr>
            <w:r w:rsidRPr="00E17C2B">
              <w:rPr>
                <w:color w:val="333333"/>
                <w:sz w:val="22"/>
                <w:szCs w:val="22"/>
              </w:rPr>
              <w:tab/>
            </w:r>
          </w:p>
        </w:tc>
      </w:tr>
      <w:tr w:rsidR="00FF730B" w14:paraId="3DF8F2A7" w14:textId="77777777" w:rsidTr="00EE5BC1">
        <w:tc>
          <w:tcPr>
            <w:tcW w:w="1917" w:type="dxa"/>
          </w:tcPr>
          <w:p w14:paraId="706CFB67" w14:textId="77777777" w:rsidR="00FF730B" w:rsidRPr="00DE6322" w:rsidRDefault="00FF730B" w:rsidP="00EE5BC1">
            <w:pPr>
              <w:rPr>
                <w:b/>
                <w:bCs/>
              </w:rPr>
            </w:pPr>
          </w:p>
        </w:tc>
        <w:tc>
          <w:tcPr>
            <w:tcW w:w="4952" w:type="dxa"/>
          </w:tcPr>
          <w:p w14:paraId="1FF5849F" w14:textId="77777777" w:rsidR="00FF730B" w:rsidRPr="006050D7" w:rsidRDefault="00FF730B" w:rsidP="00FF730B">
            <w:pPr>
              <w:spacing w:beforeLines="40" w:before="96" w:afterLines="40" w:after="96"/>
              <w:ind w:left="72"/>
              <w:rPr>
                <w:szCs w:val="22"/>
              </w:rPr>
            </w:pPr>
            <w:r w:rsidRPr="006050D7">
              <w:rPr>
                <w:szCs w:val="22"/>
              </w:rPr>
              <w:t>Is the shelf-life of media, reagents and kits controlled?</w:t>
            </w:r>
          </w:p>
        </w:tc>
        <w:tc>
          <w:tcPr>
            <w:tcW w:w="2310" w:type="dxa"/>
            <w:vAlign w:val="bottom"/>
          </w:tcPr>
          <w:p w14:paraId="28ED9850" w14:textId="77777777" w:rsidR="00FF730B" w:rsidRPr="00FF730B" w:rsidRDefault="00FF730B" w:rsidP="00FF730B">
            <w:pPr>
              <w:pStyle w:val="Header"/>
              <w:tabs>
                <w:tab w:val="clear" w:pos="4153"/>
                <w:tab w:val="clear" w:pos="8306"/>
                <w:tab w:val="right" w:leader="underscore" w:pos="2018"/>
                <w:tab w:val="left" w:pos="3686"/>
                <w:tab w:val="right" w:leader="underscore" w:pos="6237"/>
              </w:tabs>
              <w:spacing w:before="80" w:after="80"/>
              <w:ind w:left="69"/>
              <w:rPr>
                <w:color w:val="333333"/>
                <w:sz w:val="22"/>
                <w:szCs w:val="22"/>
              </w:rPr>
            </w:pPr>
            <w:r w:rsidRPr="00E17C2B">
              <w:rPr>
                <w:color w:val="333333"/>
                <w:sz w:val="22"/>
                <w:szCs w:val="22"/>
              </w:rPr>
              <w:tab/>
            </w:r>
          </w:p>
        </w:tc>
      </w:tr>
      <w:tr w:rsidR="00FF730B" w14:paraId="232B402E" w14:textId="77777777" w:rsidTr="00EE5BC1">
        <w:tc>
          <w:tcPr>
            <w:tcW w:w="1917" w:type="dxa"/>
            <w:tcBorders>
              <w:bottom w:val="single" w:sz="4" w:space="0" w:color="auto"/>
            </w:tcBorders>
          </w:tcPr>
          <w:p w14:paraId="1281D659" w14:textId="77777777" w:rsidR="00FF730B" w:rsidRPr="00DE6322" w:rsidRDefault="00FF730B" w:rsidP="00EE5BC1">
            <w:pPr>
              <w:rPr>
                <w:b/>
                <w:bCs/>
              </w:rPr>
            </w:pPr>
            <w:r w:rsidRPr="00DE6322">
              <w:rPr>
                <w:b/>
                <w:bCs/>
              </w:rPr>
              <w:t>Confirmation</w:t>
            </w:r>
          </w:p>
        </w:tc>
        <w:tc>
          <w:tcPr>
            <w:tcW w:w="4952" w:type="dxa"/>
            <w:tcBorders>
              <w:bottom w:val="single" w:sz="4" w:space="0" w:color="auto"/>
            </w:tcBorders>
          </w:tcPr>
          <w:p w14:paraId="1A08DA78" w14:textId="4EB6F54E" w:rsidR="00FF730B" w:rsidRPr="006050D7" w:rsidRDefault="009D38C9" w:rsidP="00EE5BC1">
            <w:pPr>
              <w:spacing w:beforeLines="40" w:before="96" w:afterLines="40" w:after="96"/>
              <w:ind w:left="72"/>
              <w:rPr>
                <w:szCs w:val="22"/>
              </w:rPr>
            </w:pPr>
            <w:r>
              <w:rPr>
                <w:szCs w:val="22"/>
              </w:rPr>
              <w:t>Are</w:t>
            </w:r>
            <w:r w:rsidRPr="006050D7">
              <w:rPr>
                <w:szCs w:val="22"/>
              </w:rPr>
              <w:t xml:space="preserve"> screen positive sample</w:t>
            </w:r>
            <w:r>
              <w:rPr>
                <w:szCs w:val="22"/>
              </w:rPr>
              <w:t>s</w:t>
            </w:r>
            <w:r w:rsidRPr="006050D7">
              <w:rPr>
                <w:szCs w:val="22"/>
              </w:rPr>
              <w:t xml:space="preserve"> confirmed at a </w:t>
            </w:r>
            <w:r w:rsidR="00C85AE6">
              <w:rPr>
                <w:szCs w:val="22"/>
              </w:rPr>
              <w:t>DAFF</w:t>
            </w:r>
            <w:r w:rsidR="00C85AE6" w:rsidRPr="006050D7">
              <w:rPr>
                <w:szCs w:val="22"/>
              </w:rPr>
              <w:t xml:space="preserve"> </w:t>
            </w:r>
            <w:r w:rsidRPr="006050D7">
              <w:rPr>
                <w:szCs w:val="22"/>
              </w:rPr>
              <w:t xml:space="preserve">approved laboratory using </w:t>
            </w:r>
            <w:r>
              <w:t xml:space="preserve">a </w:t>
            </w:r>
            <w:r w:rsidR="00C85AE6">
              <w:t xml:space="preserve">DAFF </w:t>
            </w:r>
            <w:r>
              <w:t>approved confirmatory method</w:t>
            </w:r>
            <w:r w:rsidRPr="006050D7">
              <w:rPr>
                <w:szCs w:val="22"/>
              </w:rPr>
              <w:t>?</w:t>
            </w:r>
          </w:p>
        </w:tc>
        <w:tc>
          <w:tcPr>
            <w:tcW w:w="2310" w:type="dxa"/>
            <w:tcBorders>
              <w:bottom w:val="single" w:sz="4" w:space="0" w:color="auto"/>
            </w:tcBorders>
            <w:vAlign w:val="bottom"/>
          </w:tcPr>
          <w:p w14:paraId="60B1E1AB" w14:textId="77777777" w:rsidR="00FF730B" w:rsidRPr="00E17C2B" w:rsidRDefault="00FF730B" w:rsidP="00EE5BC1">
            <w:pPr>
              <w:pStyle w:val="Header"/>
              <w:tabs>
                <w:tab w:val="clear" w:pos="4153"/>
                <w:tab w:val="clear" w:pos="8306"/>
                <w:tab w:val="right" w:leader="underscore" w:pos="2018"/>
                <w:tab w:val="left" w:pos="3686"/>
                <w:tab w:val="right" w:leader="underscore" w:pos="6237"/>
              </w:tabs>
              <w:spacing w:before="80" w:after="80"/>
              <w:ind w:left="69"/>
              <w:rPr>
                <w:sz w:val="22"/>
                <w:szCs w:val="22"/>
              </w:rPr>
            </w:pPr>
            <w:r w:rsidRPr="00E17C2B">
              <w:rPr>
                <w:color w:val="333333"/>
                <w:sz w:val="22"/>
                <w:szCs w:val="22"/>
              </w:rPr>
              <w:tab/>
            </w:r>
          </w:p>
        </w:tc>
      </w:tr>
    </w:tbl>
    <w:p w14:paraId="4D49DD22" w14:textId="77777777" w:rsidR="0075073A" w:rsidRDefault="0075073A" w:rsidP="00FF730B">
      <w:pPr>
        <w:pStyle w:val="Normal-para"/>
        <w:ind w:left="0"/>
      </w:pPr>
    </w:p>
    <w:sectPr w:rsidR="0075073A">
      <w:headerReference w:type="even" r:id="rId17"/>
      <w:headerReference w:type="default" r:id="rId18"/>
      <w:footerReference w:type="even" r:id="rId19"/>
      <w:footerReference w:type="default" r:id="rId20"/>
      <w:headerReference w:type="first" r:id="rId21"/>
      <w:footerReference w:type="first" r:id="rId22"/>
      <w:pgSz w:w="11906" w:h="16838" w:code="9"/>
      <w:pgMar w:top="1531" w:right="1134" w:bottom="794"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C41E6" w14:textId="77777777" w:rsidR="00743A7B" w:rsidRDefault="00743A7B" w:rsidP="00E0322F">
      <w:pPr>
        <w:spacing w:after="0"/>
      </w:pPr>
      <w:r>
        <w:separator/>
      </w:r>
    </w:p>
  </w:endnote>
  <w:endnote w:type="continuationSeparator" w:id="0">
    <w:p w14:paraId="2B4CB4EA" w14:textId="77777777" w:rsidR="00743A7B" w:rsidRDefault="00743A7B" w:rsidP="00E032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1810" w14:textId="3CB56FA4" w:rsidR="00000E9B" w:rsidRDefault="00000E9B">
    <w:pPr>
      <w:pStyle w:val="Footer"/>
    </w:pPr>
    <w:r>
      <w:rPr>
        <w:noProof/>
      </w:rPr>
      <mc:AlternateContent>
        <mc:Choice Requires="wps">
          <w:drawing>
            <wp:anchor distT="0" distB="0" distL="0" distR="0" simplePos="0" relativeHeight="251665408" behindDoc="0" locked="0" layoutInCell="1" allowOverlap="1" wp14:anchorId="1788B1A9" wp14:editId="64644983">
              <wp:simplePos x="635" y="635"/>
              <wp:positionH relativeFrom="page">
                <wp:align>center</wp:align>
              </wp:positionH>
              <wp:positionV relativeFrom="page">
                <wp:align>bottom</wp:align>
              </wp:positionV>
              <wp:extent cx="624205" cy="398780"/>
              <wp:effectExtent l="0" t="0" r="4445" b="0"/>
              <wp:wrapNone/>
              <wp:docPr id="27369357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398780"/>
                      </a:xfrm>
                      <a:prstGeom prst="rect">
                        <a:avLst/>
                      </a:prstGeom>
                      <a:noFill/>
                      <a:ln>
                        <a:noFill/>
                      </a:ln>
                    </wps:spPr>
                    <wps:txbx>
                      <w:txbxContent>
                        <w:p w14:paraId="34A3DDBF" w14:textId="0D7EB75D" w:rsidR="00000E9B" w:rsidRPr="00000E9B" w:rsidRDefault="00000E9B" w:rsidP="00000E9B">
                          <w:pPr>
                            <w:spacing w:after="0"/>
                            <w:rPr>
                              <w:rFonts w:ascii="Calibri" w:eastAsia="Calibri" w:hAnsi="Calibri" w:cs="Calibri"/>
                              <w:noProof/>
                              <w:color w:val="FF0000"/>
                              <w:sz w:val="24"/>
                              <w:szCs w:val="24"/>
                            </w:rPr>
                          </w:pPr>
                          <w:r w:rsidRPr="00000E9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88B1A9" id="_x0000_t202" coordsize="21600,21600" o:spt="202" path="m,l,21600r21600,l21600,xe">
              <v:stroke joinstyle="miter"/>
              <v:path gradientshapeok="t" o:connecttype="rect"/>
            </v:shapetype>
            <v:shape id="Text Box 8" o:spid="_x0000_s1027" type="#_x0000_t202" alt="OFFICIAL" style="position:absolute;left:0;text-align:left;margin-left:0;margin-top:0;width:49.15pt;height:31.4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" filled="f" stroked="f">
              <v:fill o:detectmouseclick="t"/>
              <v:textbox style="mso-fit-shape-to-text:t" inset="0,0,0,15pt">
                <w:txbxContent>
                  <w:p w14:paraId="34A3DDBF" w14:textId="0D7EB75D" w:rsidR="00000E9B" w:rsidRPr="00000E9B" w:rsidRDefault="00000E9B" w:rsidP="00000E9B">
                    <w:pPr>
                      <w:spacing w:after="0"/>
                      <w:rPr>
                        <w:rFonts w:ascii="Calibri" w:eastAsia="Calibri" w:hAnsi="Calibri" w:cs="Calibri"/>
                        <w:noProof/>
                        <w:color w:val="FF0000"/>
                        <w:sz w:val="24"/>
                        <w:szCs w:val="24"/>
                      </w:rPr>
                    </w:pPr>
                    <w:r w:rsidRPr="00000E9B">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CD84A" w14:textId="71438718" w:rsidR="001269F2" w:rsidRPr="009A69F2" w:rsidRDefault="001269F2" w:rsidP="00B6281E">
    <w:pPr>
      <w:pStyle w:val="Footer"/>
      <w:tabs>
        <w:tab w:val="clear" w:pos="4513"/>
        <w:tab w:val="center" w:pos="8647"/>
      </w:tabs>
      <w:rPr>
        <w:color w:val="505050"/>
      </w:rPr>
    </w:pPr>
    <w:r w:rsidRPr="009A69F2">
      <w:rPr>
        <w:color w:val="505050"/>
      </w:rPr>
      <w:t>Issue 202</w:t>
    </w:r>
    <w:r w:rsidR="00C85AE6" w:rsidRPr="009A69F2">
      <w:rPr>
        <w:color w:val="505050"/>
      </w:rPr>
      <w:t>5</w:t>
    </w:r>
    <w:r w:rsidRPr="009A69F2">
      <w:rPr>
        <w:color w:val="505050"/>
      </w:rPr>
      <w:t xml:space="preserve"> </w:t>
    </w:r>
    <w:r w:rsidR="0075073A" w:rsidRPr="009A69F2">
      <w:rPr>
        <w:color w:val="505050"/>
      </w:rPr>
      <w:t>0</w:t>
    </w:r>
    <w:r w:rsidR="00C85AE6" w:rsidRPr="009A69F2">
      <w:rPr>
        <w:color w:val="505050"/>
      </w:rPr>
      <w:t>5</w:t>
    </w:r>
    <w:r w:rsidRPr="009A69F2">
      <w:rPr>
        <w:color w:val="505050"/>
      </w:rPr>
      <w:t xml:space="preserve"> </w:t>
    </w:r>
    <w:r w:rsidR="00C85AE6" w:rsidRPr="009A69F2">
      <w:rPr>
        <w:color w:val="505050"/>
      </w:rPr>
      <w:t>01</w:t>
    </w:r>
    <w:r w:rsidRPr="009A69F2">
      <w:rPr>
        <w:color w:val="505050"/>
      </w:rPr>
      <w:t xml:space="preserve"> | Approved Methods Manual</w:t>
    </w:r>
  </w:p>
  <w:p w14:paraId="1A4278C2" w14:textId="77777777" w:rsidR="001269F2" w:rsidRPr="009A69F2" w:rsidRDefault="001269F2" w:rsidP="00670835">
    <w:pPr>
      <w:pStyle w:val="Footer"/>
      <w:tabs>
        <w:tab w:val="clear" w:pos="4513"/>
        <w:tab w:val="clear" w:pos="9026"/>
        <w:tab w:val="center" w:pos="8505"/>
        <w:tab w:val="right" w:pos="8789"/>
      </w:tabs>
      <w:ind w:right="-2"/>
      <w:rPr>
        <w:color w:val="505050"/>
      </w:rPr>
    </w:pPr>
    <w:r w:rsidRPr="009A69F2">
      <w:rPr>
        <w:color w:val="505050"/>
      </w:rPr>
      <w:t xml:space="preserve">Export Standards Branch | Exports </w:t>
    </w:r>
    <w:r w:rsidR="00737ADA" w:rsidRPr="009A69F2">
      <w:rPr>
        <w:color w:val="505050"/>
      </w:rPr>
      <w:t xml:space="preserve">and Veterinary Services </w:t>
    </w:r>
    <w:r w:rsidRPr="009A69F2">
      <w:rPr>
        <w:color w:val="505050"/>
      </w:rPr>
      <w:t>Division</w:t>
    </w:r>
    <w:r w:rsidRPr="009A69F2">
      <w:rPr>
        <w:color w:val="505050"/>
      </w:rPr>
      <w:tab/>
      <w:t xml:space="preserve">Page </w:t>
    </w:r>
    <w:r w:rsidRPr="009A69F2">
      <w:rPr>
        <w:color w:val="505050"/>
      </w:rPr>
      <w:fldChar w:fldCharType="begin"/>
    </w:r>
    <w:r w:rsidRPr="009A69F2">
      <w:rPr>
        <w:color w:val="505050"/>
      </w:rPr>
      <w:instrText xml:space="preserve"> PAGE </w:instrText>
    </w:r>
    <w:r w:rsidRPr="009A69F2">
      <w:rPr>
        <w:color w:val="505050"/>
      </w:rPr>
      <w:fldChar w:fldCharType="separate"/>
    </w:r>
    <w:r w:rsidR="00942328" w:rsidRPr="009A69F2">
      <w:rPr>
        <w:noProof/>
        <w:color w:val="505050"/>
      </w:rPr>
      <w:t>2</w:t>
    </w:r>
    <w:r w:rsidRPr="009A69F2">
      <w:rPr>
        <w:color w:val="505050"/>
      </w:rPr>
      <w:fldChar w:fldCharType="end"/>
    </w:r>
    <w:r w:rsidRPr="009A69F2">
      <w:rPr>
        <w:color w:val="505050"/>
      </w:rPr>
      <w:t xml:space="preserve"> of </w:t>
    </w:r>
    <w:r w:rsidRPr="009A69F2">
      <w:rPr>
        <w:color w:val="505050"/>
      </w:rPr>
      <w:fldChar w:fldCharType="begin"/>
    </w:r>
    <w:r w:rsidRPr="009A69F2">
      <w:rPr>
        <w:color w:val="505050"/>
      </w:rPr>
      <w:instrText xml:space="preserve"> NUMPAGES  </w:instrText>
    </w:r>
    <w:r w:rsidRPr="009A69F2">
      <w:rPr>
        <w:color w:val="505050"/>
      </w:rPr>
      <w:fldChar w:fldCharType="separate"/>
    </w:r>
    <w:r w:rsidR="00942328" w:rsidRPr="009A69F2">
      <w:rPr>
        <w:noProof/>
        <w:color w:val="505050"/>
      </w:rPr>
      <w:t>3</w:t>
    </w:r>
    <w:r w:rsidRPr="009A69F2">
      <w:rPr>
        <w:color w:val="505050"/>
      </w:rPr>
      <w:fldChar w:fldCharType="end"/>
    </w:r>
  </w:p>
  <w:p w14:paraId="031F7735" w14:textId="6A11F57D" w:rsidR="001269F2" w:rsidRPr="001E48B7" w:rsidRDefault="001269F2" w:rsidP="00670835">
    <w:pPr>
      <w:pStyle w:val="Footer"/>
      <w:tabs>
        <w:tab w:val="clear" w:pos="4513"/>
        <w:tab w:val="clear" w:pos="9026"/>
        <w:tab w:val="center" w:pos="8505"/>
        <w:tab w:val="right" w:pos="8789"/>
      </w:tabs>
      <w:ind w:right="-2"/>
    </w:pPr>
    <w:r>
      <w:t xml:space="preserve">Department of Agriculture, </w:t>
    </w:r>
    <w:r w:rsidR="00C85AE6">
      <w:t>Fisheries and Forestry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43925" w14:textId="73C72A9E" w:rsidR="00000E9B" w:rsidRDefault="00000E9B">
    <w:pPr>
      <w:pStyle w:val="Footer"/>
    </w:pPr>
    <w:r>
      <w:rPr>
        <w:noProof/>
      </w:rPr>
      <mc:AlternateContent>
        <mc:Choice Requires="wps">
          <w:drawing>
            <wp:anchor distT="0" distB="0" distL="0" distR="0" simplePos="0" relativeHeight="251664384" behindDoc="0" locked="0" layoutInCell="1" allowOverlap="1" wp14:anchorId="3ABAD5AD" wp14:editId="54EAA93E">
              <wp:simplePos x="635" y="635"/>
              <wp:positionH relativeFrom="page">
                <wp:align>center</wp:align>
              </wp:positionH>
              <wp:positionV relativeFrom="page">
                <wp:align>bottom</wp:align>
              </wp:positionV>
              <wp:extent cx="624205" cy="398780"/>
              <wp:effectExtent l="0" t="0" r="4445" b="0"/>
              <wp:wrapNone/>
              <wp:docPr id="319250571"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398780"/>
                      </a:xfrm>
                      <a:prstGeom prst="rect">
                        <a:avLst/>
                      </a:prstGeom>
                      <a:noFill/>
                      <a:ln>
                        <a:noFill/>
                      </a:ln>
                    </wps:spPr>
                    <wps:txbx>
                      <w:txbxContent>
                        <w:p w14:paraId="34143D58" w14:textId="07821BF5" w:rsidR="00000E9B" w:rsidRPr="00000E9B" w:rsidRDefault="00000E9B" w:rsidP="00000E9B">
                          <w:pPr>
                            <w:spacing w:after="0"/>
                            <w:rPr>
                              <w:rFonts w:ascii="Calibri" w:eastAsia="Calibri" w:hAnsi="Calibri" w:cs="Calibri"/>
                              <w:noProof/>
                              <w:color w:val="FF0000"/>
                              <w:sz w:val="24"/>
                              <w:szCs w:val="24"/>
                            </w:rPr>
                          </w:pPr>
                          <w:r w:rsidRPr="00000E9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BAD5AD" id="_x0000_t202" coordsize="21600,21600" o:spt="202" path="m,l,21600r21600,l21600,xe">
              <v:stroke joinstyle="miter"/>
              <v:path gradientshapeok="t" o:connecttype="rect"/>
            </v:shapetype>
            <v:shape id="Text Box 7" o:spid="_x0000_s1029" type="#_x0000_t202" alt="OFFICIAL" style="position:absolute;left:0;text-align:left;margin-left:0;margin-top:0;width:49.15pt;height:31.4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" filled="f" stroked="f">
              <v:fill o:detectmouseclick="t"/>
              <v:textbox style="mso-fit-shape-to-text:t" inset="0,0,0,15pt">
                <w:txbxContent>
                  <w:p w14:paraId="34143D58" w14:textId="07821BF5" w:rsidR="00000E9B" w:rsidRPr="00000E9B" w:rsidRDefault="00000E9B" w:rsidP="00000E9B">
                    <w:pPr>
                      <w:spacing w:after="0"/>
                      <w:rPr>
                        <w:rFonts w:ascii="Calibri" w:eastAsia="Calibri" w:hAnsi="Calibri" w:cs="Calibri"/>
                        <w:noProof/>
                        <w:color w:val="FF0000"/>
                        <w:sz w:val="24"/>
                        <w:szCs w:val="24"/>
                      </w:rPr>
                    </w:pPr>
                    <w:r w:rsidRPr="00000E9B">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29760" w14:textId="1E5037DE" w:rsidR="00EE5BC1" w:rsidRDefault="00000E9B">
    <w:pPr>
      <w:pStyle w:val="Footer"/>
    </w:pPr>
    <w:r>
      <w:rPr>
        <w:noProof/>
      </w:rPr>
      <mc:AlternateContent>
        <mc:Choice Requires="wps">
          <w:drawing>
            <wp:anchor distT="0" distB="0" distL="0" distR="0" simplePos="0" relativeHeight="251668480" behindDoc="0" locked="0" layoutInCell="1" allowOverlap="1" wp14:anchorId="067BF3BA" wp14:editId="2F1DD9C0">
              <wp:simplePos x="635" y="635"/>
              <wp:positionH relativeFrom="page">
                <wp:align>center</wp:align>
              </wp:positionH>
              <wp:positionV relativeFrom="page">
                <wp:align>bottom</wp:align>
              </wp:positionV>
              <wp:extent cx="624205" cy="398780"/>
              <wp:effectExtent l="0" t="0" r="4445" b="0"/>
              <wp:wrapNone/>
              <wp:docPr id="144799745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398780"/>
                      </a:xfrm>
                      <a:prstGeom prst="rect">
                        <a:avLst/>
                      </a:prstGeom>
                      <a:noFill/>
                      <a:ln>
                        <a:noFill/>
                      </a:ln>
                    </wps:spPr>
                    <wps:txbx>
                      <w:txbxContent>
                        <w:p w14:paraId="4A4C7CD9" w14:textId="735E66C6" w:rsidR="00000E9B" w:rsidRPr="00000E9B" w:rsidRDefault="00000E9B" w:rsidP="00000E9B">
                          <w:pPr>
                            <w:spacing w:after="0"/>
                            <w:rPr>
                              <w:rFonts w:ascii="Calibri" w:eastAsia="Calibri" w:hAnsi="Calibri" w:cs="Calibri"/>
                              <w:noProof/>
                              <w:color w:val="FF0000"/>
                              <w:sz w:val="24"/>
                              <w:szCs w:val="24"/>
                            </w:rPr>
                          </w:pPr>
                          <w:r w:rsidRPr="00000E9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7BF3BA" id="_x0000_t202" coordsize="21600,21600" o:spt="202" path="m,l,21600r21600,l21600,xe">
              <v:stroke joinstyle="miter"/>
              <v:path gradientshapeok="t" o:connecttype="rect"/>
            </v:shapetype>
            <v:shape id="Text Box 11" o:spid="_x0000_s1031" type="#_x0000_t202" alt="OFFICIAL" style="position:absolute;left:0;text-align:left;margin-left:0;margin-top:0;width:49.15pt;height:31.4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" filled="f" stroked="f">
              <v:fill o:detectmouseclick="t"/>
              <v:textbox style="mso-fit-shape-to-text:t" inset="0,0,0,15pt">
                <w:txbxContent>
                  <w:p w14:paraId="4A4C7CD9" w14:textId="735E66C6" w:rsidR="00000E9B" w:rsidRPr="00000E9B" w:rsidRDefault="00000E9B" w:rsidP="00000E9B">
                    <w:pPr>
                      <w:spacing w:after="0"/>
                      <w:rPr>
                        <w:rFonts w:ascii="Calibri" w:eastAsia="Calibri" w:hAnsi="Calibri" w:cs="Calibri"/>
                        <w:noProof/>
                        <w:color w:val="FF0000"/>
                        <w:sz w:val="24"/>
                        <w:szCs w:val="24"/>
                      </w:rPr>
                    </w:pPr>
                    <w:r w:rsidRPr="00000E9B">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B7905" w14:textId="65978796" w:rsidR="00670835" w:rsidRPr="009A69F2" w:rsidRDefault="00EE5BC1" w:rsidP="00EE5BC1">
    <w:pPr>
      <w:pStyle w:val="Footer"/>
      <w:tabs>
        <w:tab w:val="clear" w:pos="4513"/>
        <w:tab w:val="center" w:pos="8505"/>
      </w:tabs>
      <w:rPr>
        <w:color w:val="505050"/>
      </w:rPr>
    </w:pPr>
    <w:r w:rsidRPr="009A69F2">
      <w:rPr>
        <w:color w:val="505050"/>
      </w:rPr>
      <w:t>Issue 202</w:t>
    </w:r>
    <w:r w:rsidR="00C85AE6" w:rsidRPr="009A69F2">
      <w:rPr>
        <w:color w:val="505050"/>
      </w:rPr>
      <w:t>5</w:t>
    </w:r>
    <w:r w:rsidRPr="009A69F2">
      <w:rPr>
        <w:color w:val="505050"/>
      </w:rPr>
      <w:t xml:space="preserve"> 0</w:t>
    </w:r>
    <w:r w:rsidR="00C85AE6" w:rsidRPr="009A69F2">
      <w:rPr>
        <w:color w:val="505050"/>
      </w:rPr>
      <w:t>5</w:t>
    </w:r>
    <w:r w:rsidRPr="009A69F2">
      <w:rPr>
        <w:color w:val="505050"/>
      </w:rPr>
      <w:t xml:space="preserve"> </w:t>
    </w:r>
    <w:r w:rsidR="00C85AE6" w:rsidRPr="009A69F2">
      <w:rPr>
        <w:color w:val="505050"/>
      </w:rPr>
      <w:t>01</w:t>
    </w:r>
    <w:r w:rsidRPr="009A69F2">
      <w:rPr>
        <w:color w:val="505050"/>
      </w:rPr>
      <w:t xml:space="preserve"> | </w:t>
    </w:r>
    <w:r w:rsidR="00670835" w:rsidRPr="009A69F2">
      <w:rPr>
        <w:color w:val="505050"/>
      </w:rPr>
      <w:t>Approve</w:t>
    </w:r>
    <w:r w:rsidRPr="009A69F2">
      <w:rPr>
        <w:color w:val="505050"/>
      </w:rPr>
      <w:t>d Methods Manual</w:t>
    </w:r>
  </w:p>
  <w:p w14:paraId="76EEB072" w14:textId="77777777" w:rsidR="00670835" w:rsidRPr="009A69F2" w:rsidRDefault="00670835" w:rsidP="00670835">
    <w:pPr>
      <w:pStyle w:val="Footer"/>
      <w:tabs>
        <w:tab w:val="clear" w:pos="4513"/>
        <w:tab w:val="center" w:pos="8789"/>
      </w:tabs>
      <w:rPr>
        <w:color w:val="505050"/>
      </w:rPr>
    </w:pPr>
    <w:r w:rsidRPr="009A69F2">
      <w:rPr>
        <w:color w:val="505050"/>
      </w:rPr>
      <w:t xml:space="preserve">Export Standards Branch | Exports </w:t>
    </w:r>
    <w:r w:rsidR="00EE5BC1" w:rsidRPr="009A69F2">
      <w:rPr>
        <w:color w:val="505050"/>
      </w:rPr>
      <w:t xml:space="preserve">and Veterinary Services </w:t>
    </w:r>
    <w:r w:rsidRPr="009A69F2">
      <w:rPr>
        <w:color w:val="505050"/>
      </w:rPr>
      <w:t>Division</w:t>
    </w:r>
    <w:r w:rsidRPr="009A69F2">
      <w:rPr>
        <w:color w:val="505050"/>
      </w:rPr>
      <w:tab/>
      <w:t xml:space="preserve">Page </w:t>
    </w:r>
    <w:r w:rsidRPr="009A69F2">
      <w:rPr>
        <w:color w:val="505050"/>
      </w:rPr>
      <w:fldChar w:fldCharType="begin"/>
    </w:r>
    <w:r w:rsidRPr="009A69F2">
      <w:rPr>
        <w:color w:val="505050"/>
      </w:rPr>
      <w:instrText xml:space="preserve"> PAGE </w:instrText>
    </w:r>
    <w:r w:rsidRPr="009A69F2">
      <w:rPr>
        <w:color w:val="505050"/>
      </w:rPr>
      <w:fldChar w:fldCharType="separate"/>
    </w:r>
    <w:r w:rsidR="00EE5BC1" w:rsidRPr="009A69F2">
      <w:rPr>
        <w:noProof/>
        <w:color w:val="505050"/>
      </w:rPr>
      <w:t>2</w:t>
    </w:r>
    <w:r w:rsidRPr="009A69F2">
      <w:rPr>
        <w:color w:val="505050"/>
      </w:rPr>
      <w:fldChar w:fldCharType="end"/>
    </w:r>
    <w:r w:rsidRPr="009A69F2">
      <w:rPr>
        <w:color w:val="505050"/>
      </w:rPr>
      <w:t xml:space="preserve"> of </w:t>
    </w:r>
    <w:r w:rsidRPr="009A69F2">
      <w:rPr>
        <w:color w:val="505050"/>
      </w:rPr>
      <w:fldChar w:fldCharType="begin"/>
    </w:r>
    <w:r w:rsidRPr="009A69F2">
      <w:rPr>
        <w:color w:val="505050"/>
      </w:rPr>
      <w:instrText xml:space="preserve"> NUMPAGES  </w:instrText>
    </w:r>
    <w:r w:rsidRPr="009A69F2">
      <w:rPr>
        <w:color w:val="505050"/>
      </w:rPr>
      <w:fldChar w:fldCharType="separate"/>
    </w:r>
    <w:r w:rsidR="00EE5BC1" w:rsidRPr="009A69F2">
      <w:rPr>
        <w:noProof/>
        <w:color w:val="505050"/>
      </w:rPr>
      <w:t>2</w:t>
    </w:r>
    <w:r w:rsidRPr="009A69F2">
      <w:rPr>
        <w:color w:val="505050"/>
      </w:rPr>
      <w:fldChar w:fldCharType="end"/>
    </w:r>
  </w:p>
  <w:p w14:paraId="3DF3FA87" w14:textId="0BFB8A99" w:rsidR="00670835" w:rsidRPr="001E48B7" w:rsidRDefault="00670835" w:rsidP="001E48B7">
    <w:pPr>
      <w:pStyle w:val="Footer"/>
    </w:pPr>
    <w:r>
      <w:t>Department of Agriculture</w:t>
    </w:r>
    <w:r w:rsidR="00EE5BC1">
      <w:t xml:space="preserve">, </w:t>
    </w:r>
    <w:r w:rsidR="00C85AE6">
      <w:t>Fisheries and Forestry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4448" w14:textId="176E4A85" w:rsidR="00EE5BC1" w:rsidRDefault="00000E9B">
    <w:pPr>
      <w:pStyle w:val="Footer"/>
    </w:pPr>
    <w:r>
      <w:rPr>
        <w:noProof/>
      </w:rPr>
      <mc:AlternateContent>
        <mc:Choice Requires="wps">
          <w:drawing>
            <wp:anchor distT="0" distB="0" distL="0" distR="0" simplePos="0" relativeHeight="251667456" behindDoc="0" locked="0" layoutInCell="1" allowOverlap="1" wp14:anchorId="7D2D994B" wp14:editId="542A1FDD">
              <wp:simplePos x="635" y="635"/>
              <wp:positionH relativeFrom="page">
                <wp:align>center</wp:align>
              </wp:positionH>
              <wp:positionV relativeFrom="page">
                <wp:align>bottom</wp:align>
              </wp:positionV>
              <wp:extent cx="624205" cy="398780"/>
              <wp:effectExtent l="0" t="0" r="4445" b="0"/>
              <wp:wrapNone/>
              <wp:docPr id="73611237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398780"/>
                      </a:xfrm>
                      <a:prstGeom prst="rect">
                        <a:avLst/>
                      </a:prstGeom>
                      <a:noFill/>
                      <a:ln>
                        <a:noFill/>
                      </a:ln>
                    </wps:spPr>
                    <wps:txbx>
                      <w:txbxContent>
                        <w:p w14:paraId="2DE930A2" w14:textId="65FB7138" w:rsidR="00000E9B" w:rsidRPr="00000E9B" w:rsidRDefault="00000E9B" w:rsidP="00000E9B">
                          <w:pPr>
                            <w:spacing w:after="0"/>
                            <w:rPr>
                              <w:rFonts w:ascii="Calibri" w:eastAsia="Calibri" w:hAnsi="Calibri" w:cs="Calibri"/>
                              <w:noProof/>
                              <w:color w:val="FF0000"/>
                              <w:sz w:val="24"/>
                              <w:szCs w:val="24"/>
                            </w:rPr>
                          </w:pPr>
                          <w:r w:rsidRPr="00000E9B">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2D994B" id="_x0000_t202" coordsize="21600,21600" o:spt="202" path="m,l,21600r21600,l21600,xe">
              <v:stroke joinstyle="miter"/>
              <v:path gradientshapeok="t" o:connecttype="rect"/>
            </v:shapetype>
            <v:shape id="Text Box 10" o:spid="_x0000_s1033" type="#_x0000_t202" alt="OFFICIAL" style="position:absolute;left:0;text-align:left;margin-left:0;margin-top:0;width:49.15pt;height:31.4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" filled="f" stroked="f">
              <v:fill o:detectmouseclick="t"/>
              <v:textbox style="mso-fit-shape-to-text:t" inset="0,0,0,15pt">
                <w:txbxContent>
                  <w:p w14:paraId="2DE930A2" w14:textId="65FB7138" w:rsidR="00000E9B" w:rsidRPr="00000E9B" w:rsidRDefault="00000E9B" w:rsidP="00000E9B">
                    <w:pPr>
                      <w:spacing w:after="0"/>
                      <w:rPr>
                        <w:rFonts w:ascii="Calibri" w:eastAsia="Calibri" w:hAnsi="Calibri" w:cs="Calibri"/>
                        <w:noProof/>
                        <w:color w:val="FF0000"/>
                        <w:sz w:val="24"/>
                        <w:szCs w:val="24"/>
                      </w:rPr>
                    </w:pPr>
                    <w:r w:rsidRPr="00000E9B">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2C9A2" w14:textId="77777777" w:rsidR="00743A7B" w:rsidRDefault="00743A7B" w:rsidP="00E0322F">
      <w:pPr>
        <w:spacing w:after="0"/>
      </w:pPr>
      <w:r>
        <w:separator/>
      </w:r>
    </w:p>
  </w:footnote>
  <w:footnote w:type="continuationSeparator" w:id="0">
    <w:p w14:paraId="2437F179" w14:textId="77777777" w:rsidR="00743A7B" w:rsidRDefault="00743A7B" w:rsidP="00E032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4E24C" w14:textId="535623F7" w:rsidR="00000E9B" w:rsidRDefault="00000E9B">
    <w:pPr>
      <w:pStyle w:val="Header"/>
    </w:pPr>
    <w:r>
      <w:rPr>
        <w:noProof/>
      </w:rPr>
      <mc:AlternateContent>
        <mc:Choice Requires="wps">
          <w:drawing>
            <wp:anchor distT="0" distB="0" distL="0" distR="0" simplePos="0" relativeHeight="251659264" behindDoc="0" locked="0" layoutInCell="1" allowOverlap="1" wp14:anchorId="2AAEAD39" wp14:editId="0AF233BE">
              <wp:simplePos x="635" y="635"/>
              <wp:positionH relativeFrom="page">
                <wp:align>center</wp:align>
              </wp:positionH>
              <wp:positionV relativeFrom="page">
                <wp:align>top</wp:align>
              </wp:positionV>
              <wp:extent cx="624205" cy="398780"/>
              <wp:effectExtent l="0" t="0" r="4445" b="1270"/>
              <wp:wrapNone/>
              <wp:docPr id="144951273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398780"/>
                      </a:xfrm>
                      <a:prstGeom prst="rect">
                        <a:avLst/>
                      </a:prstGeom>
                      <a:noFill/>
                      <a:ln>
                        <a:noFill/>
                      </a:ln>
                    </wps:spPr>
                    <wps:txbx>
                      <w:txbxContent>
                        <w:p w14:paraId="1911452A" w14:textId="4697204B" w:rsidR="00000E9B" w:rsidRPr="00000E9B" w:rsidRDefault="00000E9B" w:rsidP="00000E9B">
                          <w:pPr>
                            <w:spacing w:after="0"/>
                            <w:rPr>
                              <w:rFonts w:ascii="Calibri" w:eastAsia="Calibri" w:hAnsi="Calibri" w:cs="Calibri"/>
                              <w:noProof/>
                              <w:color w:val="FF0000"/>
                              <w:sz w:val="24"/>
                              <w:szCs w:val="24"/>
                            </w:rPr>
                          </w:pPr>
                          <w:r w:rsidRPr="00000E9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AEAD39" id="_x0000_t202" coordsize="21600,21600" o:spt="202" path="m,l,21600r21600,l21600,xe">
              <v:stroke joinstyle="miter"/>
              <v:path gradientshapeok="t" o:connecttype="rect"/>
            </v:shapetype>
            <v:shape id="Text Box 2" o:spid="_x0000_s1026" type="#_x0000_t202" alt="OFFICIAL" style="position:absolute;left:0;text-align:left;margin-left:0;margin-top:0;width:49.15pt;height:31.4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" filled="f" stroked="f">
              <v:fill o:detectmouseclick="t"/>
              <v:textbox style="mso-fit-shape-to-text:t" inset="0,15pt,0,0">
                <w:txbxContent>
                  <w:p w14:paraId="1911452A" w14:textId="4697204B" w:rsidR="00000E9B" w:rsidRPr="00000E9B" w:rsidRDefault="00000E9B" w:rsidP="00000E9B">
                    <w:pPr>
                      <w:spacing w:after="0"/>
                      <w:rPr>
                        <w:rFonts w:ascii="Calibri" w:eastAsia="Calibri" w:hAnsi="Calibri" w:cs="Calibri"/>
                        <w:noProof/>
                        <w:color w:val="FF0000"/>
                        <w:sz w:val="24"/>
                        <w:szCs w:val="24"/>
                      </w:rPr>
                    </w:pPr>
                    <w:r w:rsidRPr="00000E9B">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4B8DE" w14:textId="5FA4014B" w:rsidR="001269F2" w:rsidRDefault="004278C8" w:rsidP="00735C73">
    <w:pPr>
      <w:pStyle w:val="Header"/>
      <w:spacing w:after="360"/>
      <w:jc w:val="left"/>
    </w:pPr>
    <w:r w:rsidRPr="00CF4CBF">
      <w:rPr>
        <w:noProof/>
      </w:rPr>
      <w:drawing>
        <wp:inline distT="0" distB="0" distL="0" distR="0" wp14:anchorId="6FB52CE6" wp14:editId="31D270F0">
          <wp:extent cx="4048125" cy="561975"/>
          <wp:effectExtent l="0" t="0" r="0" b="0"/>
          <wp:docPr id="1" name="Picture 1" descr="Department of Agriculture, Fisheries and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Agriculture, Fisheries and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5619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391B2" w14:textId="03C90378" w:rsidR="00000E9B" w:rsidRDefault="00000E9B">
    <w:pPr>
      <w:pStyle w:val="Header"/>
    </w:pPr>
    <w:r>
      <w:rPr>
        <w:noProof/>
      </w:rPr>
      <mc:AlternateContent>
        <mc:Choice Requires="wps">
          <w:drawing>
            <wp:anchor distT="0" distB="0" distL="0" distR="0" simplePos="0" relativeHeight="251658240" behindDoc="0" locked="0" layoutInCell="1" allowOverlap="1" wp14:anchorId="5196D49B" wp14:editId="1F17116A">
              <wp:simplePos x="635" y="635"/>
              <wp:positionH relativeFrom="page">
                <wp:align>center</wp:align>
              </wp:positionH>
              <wp:positionV relativeFrom="page">
                <wp:align>top</wp:align>
              </wp:positionV>
              <wp:extent cx="624205" cy="398780"/>
              <wp:effectExtent l="0" t="0" r="4445" b="1270"/>
              <wp:wrapNone/>
              <wp:docPr id="208562450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398780"/>
                      </a:xfrm>
                      <a:prstGeom prst="rect">
                        <a:avLst/>
                      </a:prstGeom>
                      <a:noFill/>
                      <a:ln>
                        <a:noFill/>
                      </a:ln>
                    </wps:spPr>
                    <wps:txbx>
                      <w:txbxContent>
                        <w:p w14:paraId="5187F14A" w14:textId="674076FA" w:rsidR="00000E9B" w:rsidRPr="00000E9B" w:rsidRDefault="00000E9B" w:rsidP="00000E9B">
                          <w:pPr>
                            <w:spacing w:after="0"/>
                            <w:rPr>
                              <w:rFonts w:ascii="Calibri" w:eastAsia="Calibri" w:hAnsi="Calibri" w:cs="Calibri"/>
                              <w:noProof/>
                              <w:color w:val="FF0000"/>
                              <w:sz w:val="24"/>
                              <w:szCs w:val="24"/>
                            </w:rPr>
                          </w:pPr>
                          <w:r w:rsidRPr="00000E9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96D49B" id="_x0000_t202" coordsize="21600,21600" o:spt="202" path="m,l,21600r21600,l21600,xe">
              <v:stroke joinstyle="miter"/>
              <v:path gradientshapeok="t" o:connecttype="rect"/>
            </v:shapetype>
            <v:shape id="Text Box 1" o:spid="_x0000_s1028" type="#_x0000_t202" alt="OFFICIAL" style="position:absolute;left:0;text-align:left;margin-left:0;margin-top:0;width:49.15pt;height:31.4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" filled="f" stroked="f">
              <v:fill o:detectmouseclick="t"/>
              <v:textbox style="mso-fit-shape-to-text:t" inset="0,15pt,0,0">
                <w:txbxContent>
                  <w:p w14:paraId="5187F14A" w14:textId="674076FA" w:rsidR="00000E9B" w:rsidRPr="00000E9B" w:rsidRDefault="00000E9B" w:rsidP="00000E9B">
                    <w:pPr>
                      <w:spacing w:after="0"/>
                      <w:rPr>
                        <w:rFonts w:ascii="Calibri" w:eastAsia="Calibri" w:hAnsi="Calibri" w:cs="Calibri"/>
                        <w:noProof/>
                        <w:color w:val="FF0000"/>
                        <w:sz w:val="24"/>
                        <w:szCs w:val="24"/>
                      </w:rPr>
                    </w:pPr>
                    <w:r w:rsidRPr="00000E9B">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FDA9B" w14:textId="3A4935C7" w:rsidR="00EE5BC1" w:rsidRDefault="00000E9B">
    <w:pPr>
      <w:pStyle w:val="Header"/>
    </w:pPr>
    <w:r>
      <w:rPr>
        <w:noProof/>
      </w:rPr>
      <mc:AlternateContent>
        <mc:Choice Requires="wps">
          <w:drawing>
            <wp:anchor distT="0" distB="0" distL="0" distR="0" simplePos="0" relativeHeight="251662336" behindDoc="0" locked="0" layoutInCell="1" allowOverlap="1" wp14:anchorId="25A0E484" wp14:editId="7F5F0653">
              <wp:simplePos x="635" y="635"/>
              <wp:positionH relativeFrom="page">
                <wp:align>center</wp:align>
              </wp:positionH>
              <wp:positionV relativeFrom="page">
                <wp:align>top</wp:align>
              </wp:positionV>
              <wp:extent cx="624205" cy="398780"/>
              <wp:effectExtent l="0" t="0" r="4445" b="1270"/>
              <wp:wrapNone/>
              <wp:docPr id="155452630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398780"/>
                      </a:xfrm>
                      <a:prstGeom prst="rect">
                        <a:avLst/>
                      </a:prstGeom>
                      <a:noFill/>
                      <a:ln>
                        <a:noFill/>
                      </a:ln>
                    </wps:spPr>
                    <wps:txbx>
                      <w:txbxContent>
                        <w:p w14:paraId="5B5265F2" w14:textId="031DD606" w:rsidR="00000E9B" w:rsidRPr="00000E9B" w:rsidRDefault="00000E9B" w:rsidP="00000E9B">
                          <w:pPr>
                            <w:spacing w:after="0"/>
                            <w:rPr>
                              <w:rFonts w:ascii="Calibri" w:eastAsia="Calibri" w:hAnsi="Calibri" w:cs="Calibri"/>
                              <w:noProof/>
                              <w:color w:val="FF0000"/>
                              <w:sz w:val="24"/>
                              <w:szCs w:val="24"/>
                            </w:rPr>
                          </w:pPr>
                          <w:r w:rsidRPr="00000E9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A0E484" id="_x0000_t202" coordsize="21600,21600" o:spt="202" path="m,l,21600r21600,l21600,xe">
              <v:stroke joinstyle="miter"/>
              <v:path gradientshapeok="t" o:connecttype="rect"/>
            </v:shapetype>
            <v:shape id="Text Box 5" o:spid="_x0000_s1030" type="#_x0000_t202" alt="OFFICIAL" style="position:absolute;left:0;text-align:left;margin-left:0;margin-top:0;width:49.15pt;height:31.4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" filled="f" stroked="f">
              <v:fill o:detectmouseclick="t"/>
              <v:textbox style="mso-fit-shape-to-text:t" inset="0,15pt,0,0">
                <w:txbxContent>
                  <w:p w14:paraId="5B5265F2" w14:textId="031DD606" w:rsidR="00000E9B" w:rsidRPr="00000E9B" w:rsidRDefault="00000E9B" w:rsidP="00000E9B">
                    <w:pPr>
                      <w:spacing w:after="0"/>
                      <w:rPr>
                        <w:rFonts w:ascii="Calibri" w:eastAsia="Calibri" w:hAnsi="Calibri" w:cs="Calibri"/>
                        <w:noProof/>
                        <w:color w:val="FF0000"/>
                        <w:sz w:val="24"/>
                        <w:szCs w:val="24"/>
                      </w:rPr>
                    </w:pPr>
                    <w:r w:rsidRPr="00000E9B">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B2A8D" w14:textId="46A290BD" w:rsidR="00272AAC" w:rsidRPr="009A69F2" w:rsidRDefault="00EE5BC1" w:rsidP="00EE5BC1">
    <w:pPr>
      <w:pStyle w:val="Header"/>
      <w:rPr>
        <w:color w:val="505050"/>
        <w:sz w:val="20"/>
        <w:szCs w:val="20"/>
      </w:rPr>
    </w:pPr>
    <w:proofErr w:type="spellStart"/>
    <w:r w:rsidRPr="009A69F2">
      <w:rPr>
        <w:color w:val="505050"/>
        <w:sz w:val="20"/>
        <w:szCs w:val="20"/>
      </w:rPr>
      <w:t>SureTect</w:t>
    </w:r>
    <w:proofErr w:type="spellEnd"/>
    <w:r w:rsidR="00FF730B" w:rsidRPr="009A69F2">
      <w:rPr>
        <w:color w:val="505050"/>
        <w:sz w:val="20"/>
        <w:szCs w:val="20"/>
      </w:rPr>
      <w:t xml:space="preserve"> </w:t>
    </w:r>
    <w:r w:rsidR="00FF730B" w:rsidRPr="009A69F2">
      <w:rPr>
        <w:i/>
        <w:iCs/>
        <w:color w:val="505050"/>
        <w:sz w:val="20"/>
        <w:szCs w:val="20"/>
      </w:rPr>
      <w:t>E. coli</w:t>
    </w:r>
    <w:r w:rsidR="00FF730B" w:rsidRPr="009A69F2">
      <w:rPr>
        <w:color w:val="505050"/>
        <w:sz w:val="20"/>
        <w:szCs w:val="20"/>
      </w:rPr>
      <w:t xml:space="preserve"> O157:H7 and STEC screening</w:t>
    </w:r>
    <w:r w:rsidRPr="009A69F2">
      <w:rPr>
        <w:color w:val="505050"/>
        <w:sz w:val="20"/>
        <w:szCs w:val="20"/>
      </w:rPr>
      <w:t xml:space="preserve"> - AOAC 0</w:t>
    </w:r>
    <w:r w:rsidR="00FF730B" w:rsidRPr="009A69F2">
      <w:rPr>
        <w:color w:val="505050"/>
        <w:sz w:val="20"/>
        <w:szCs w:val="20"/>
      </w:rPr>
      <w:t>12102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243FC" w14:textId="2C8FBAD7" w:rsidR="00EE5BC1" w:rsidRDefault="00000E9B">
    <w:pPr>
      <w:pStyle w:val="Header"/>
    </w:pPr>
    <w:r>
      <w:rPr>
        <w:noProof/>
      </w:rPr>
      <mc:AlternateContent>
        <mc:Choice Requires="wps">
          <w:drawing>
            <wp:anchor distT="0" distB="0" distL="0" distR="0" simplePos="0" relativeHeight="251661312" behindDoc="0" locked="0" layoutInCell="1" allowOverlap="1" wp14:anchorId="20FF926A" wp14:editId="0EDCE3A9">
              <wp:simplePos x="635" y="635"/>
              <wp:positionH relativeFrom="page">
                <wp:align>center</wp:align>
              </wp:positionH>
              <wp:positionV relativeFrom="page">
                <wp:align>top</wp:align>
              </wp:positionV>
              <wp:extent cx="624205" cy="398780"/>
              <wp:effectExtent l="0" t="0" r="4445" b="1270"/>
              <wp:wrapNone/>
              <wp:docPr id="73236344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398780"/>
                      </a:xfrm>
                      <a:prstGeom prst="rect">
                        <a:avLst/>
                      </a:prstGeom>
                      <a:noFill/>
                      <a:ln>
                        <a:noFill/>
                      </a:ln>
                    </wps:spPr>
                    <wps:txbx>
                      <w:txbxContent>
                        <w:p w14:paraId="27F52FE2" w14:textId="043AA8ED" w:rsidR="00000E9B" w:rsidRPr="00000E9B" w:rsidRDefault="00000E9B" w:rsidP="00000E9B">
                          <w:pPr>
                            <w:spacing w:after="0"/>
                            <w:rPr>
                              <w:rFonts w:ascii="Calibri" w:eastAsia="Calibri" w:hAnsi="Calibri" w:cs="Calibri"/>
                              <w:noProof/>
                              <w:color w:val="FF0000"/>
                              <w:sz w:val="24"/>
                              <w:szCs w:val="24"/>
                            </w:rPr>
                          </w:pPr>
                          <w:r w:rsidRPr="00000E9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FF926A" id="_x0000_t202" coordsize="21600,21600" o:spt="202" path="m,l,21600r21600,l21600,xe">
              <v:stroke joinstyle="miter"/>
              <v:path gradientshapeok="t" o:connecttype="rect"/>
            </v:shapetype>
            <v:shape id="Text Box 4" o:spid="_x0000_s1032" type="#_x0000_t202" alt="OFFICIAL" style="position:absolute;left:0;text-align:left;margin-left:0;margin-top:0;width:49.15pt;height:31.4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" filled="f" stroked="f">
              <v:fill o:detectmouseclick="t"/>
              <v:textbox style="mso-fit-shape-to-text:t" inset="0,15pt,0,0">
                <w:txbxContent>
                  <w:p w14:paraId="27F52FE2" w14:textId="043AA8ED" w:rsidR="00000E9B" w:rsidRPr="00000E9B" w:rsidRDefault="00000E9B" w:rsidP="00000E9B">
                    <w:pPr>
                      <w:spacing w:after="0"/>
                      <w:rPr>
                        <w:rFonts w:ascii="Calibri" w:eastAsia="Calibri" w:hAnsi="Calibri" w:cs="Calibri"/>
                        <w:noProof/>
                        <w:color w:val="FF0000"/>
                        <w:sz w:val="24"/>
                        <w:szCs w:val="24"/>
                      </w:rPr>
                    </w:pPr>
                    <w:r w:rsidRPr="00000E9B">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2173"/>
    <w:multiLevelType w:val="hybridMultilevel"/>
    <w:tmpl w:val="D5C2FB66"/>
    <w:lvl w:ilvl="0" w:tplc="1206B646">
      <w:start w:val="1"/>
      <w:numFmt w:val="bullet"/>
      <w:pStyle w:val="Heading3"/>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 w15:restartNumberingAfterBreak="0">
    <w:nsid w:val="1F180A4B"/>
    <w:multiLevelType w:val="hybridMultilevel"/>
    <w:tmpl w:val="05CCA8A6"/>
    <w:lvl w:ilvl="0" w:tplc="153E553C">
      <w:start w:val="1"/>
      <w:numFmt w:val="bullet"/>
      <w:pStyle w:val="ListParagraph"/>
      <w:lvlText w:val=""/>
      <w:lvlJc w:val="left"/>
      <w:pPr>
        <w:ind w:left="1440" w:hanging="360"/>
      </w:pPr>
      <w:rPr>
        <w:rFonts w:ascii="Symbol" w:hAnsi="Symbol" w:cs="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55A2AFA"/>
    <w:multiLevelType w:val="hybridMultilevel"/>
    <w:tmpl w:val="13B2D372"/>
    <w:lvl w:ilvl="0" w:tplc="1D3E360A">
      <w:start w:val="1"/>
      <w:numFmt w:val="bullet"/>
      <w:pStyle w:val="11Heading3"/>
      <w:lvlText w:val=""/>
      <w:lvlJc w:val="left"/>
      <w:pPr>
        <w:tabs>
          <w:tab w:val="num" w:pos="454"/>
        </w:tabs>
        <w:ind w:left="454" w:hanging="454"/>
      </w:pPr>
      <w:rPr>
        <w:rFonts w:ascii="Wingdings" w:hAnsi="Wingdings" w:hint="default"/>
      </w:rPr>
    </w:lvl>
    <w:lvl w:ilvl="1" w:tplc="C8084ED8">
      <w:start w:val="1"/>
      <w:numFmt w:val="bullet"/>
      <w:lvlText w:val="o"/>
      <w:lvlJc w:val="left"/>
      <w:pPr>
        <w:tabs>
          <w:tab w:val="num" w:pos="1440"/>
        </w:tabs>
        <w:ind w:left="1440" w:hanging="360"/>
      </w:pPr>
      <w:rPr>
        <w:rFonts w:ascii="Courier New" w:hAnsi="Courier New" w:cs="Courier New" w:hint="default"/>
      </w:rPr>
    </w:lvl>
    <w:lvl w:ilvl="2" w:tplc="1C2C2958">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192671"/>
    <w:multiLevelType w:val="hybridMultilevel"/>
    <w:tmpl w:val="D2A6DFC4"/>
    <w:lvl w:ilvl="0" w:tplc="4504396A">
      <w:start w:val="1"/>
      <w:numFmt w:val="bullet"/>
      <w:lvlText w:val=""/>
      <w:lvlJc w:val="left"/>
      <w:pPr>
        <w:tabs>
          <w:tab w:val="num" w:pos="2220"/>
        </w:tabs>
        <w:ind w:left="2220" w:hanging="360"/>
      </w:pPr>
      <w:rPr>
        <w:rFonts w:ascii="Symbol" w:hAnsi="Symbol" w:hint="default"/>
      </w:rPr>
    </w:lvl>
    <w:lvl w:ilvl="1" w:tplc="0C090003">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num w:numId="1" w16cid:durableId="1717389842">
    <w:abstractNumId w:val="0"/>
  </w:num>
  <w:num w:numId="2" w16cid:durableId="1221092194">
    <w:abstractNumId w:val="1"/>
  </w:num>
  <w:num w:numId="3" w16cid:durableId="2072464147">
    <w:abstractNumId w:val="3"/>
  </w:num>
  <w:num w:numId="4" w16cid:durableId="1815444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s>
  <w:rsids>
    <w:rsidRoot w:val="0023008E"/>
    <w:rsid w:val="00000E9B"/>
    <w:rsid w:val="00013257"/>
    <w:rsid w:val="00014CA6"/>
    <w:rsid w:val="00021AE4"/>
    <w:rsid w:val="000222C8"/>
    <w:rsid w:val="000236E5"/>
    <w:rsid w:val="00024917"/>
    <w:rsid w:val="0004562C"/>
    <w:rsid w:val="000763DC"/>
    <w:rsid w:val="00082ECB"/>
    <w:rsid w:val="000A799D"/>
    <w:rsid w:val="000C73B4"/>
    <w:rsid w:val="000D26EE"/>
    <w:rsid w:val="000E1166"/>
    <w:rsid w:val="00100C8F"/>
    <w:rsid w:val="001030F5"/>
    <w:rsid w:val="00104392"/>
    <w:rsid w:val="001269F2"/>
    <w:rsid w:val="00153598"/>
    <w:rsid w:val="00160D16"/>
    <w:rsid w:val="00184508"/>
    <w:rsid w:val="0018666A"/>
    <w:rsid w:val="00187BE5"/>
    <w:rsid w:val="001908AD"/>
    <w:rsid w:val="001A25B8"/>
    <w:rsid w:val="001B09CB"/>
    <w:rsid w:val="001B1761"/>
    <w:rsid w:val="001D3936"/>
    <w:rsid w:val="001E31F6"/>
    <w:rsid w:val="001E48B7"/>
    <w:rsid w:val="00202FC9"/>
    <w:rsid w:val="002079F4"/>
    <w:rsid w:val="00221386"/>
    <w:rsid w:val="0023008E"/>
    <w:rsid w:val="00234F1B"/>
    <w:rsid w:val="002654C8"/>
    <w:rsid w:val="00266403"/>
    <w:rsid w:val="00272AAC"/>
    <w:rsid w:val="00295853"/>
    <w:rsid w:val="0029711F"/>
    <w:rsid w:val="002C7146"/>
    <w:rsid w:val="002D24D9"/>
    <w:rsid w:val="002E1679"/>
    <w:rsid w:val="002E7E07"/>
    <w:rsid w:val="002F02A5"/>
    <w:rsid w:val="0031063C"/>
    <w:rsid w:val="00310DAF"/>
    <w:rsid w:val="00323696"/>
    <w:rsid w:val="00331EAE"/>
    <w:rsid w:val="00334283"/>
    <w:rsid w:val="00335CFD"/>
    <w:rsid w:val="00356E91"/>
    <w:rsid w:val="00360055"/>
    <w:rsid w:val="00367E78"/>
    <w:rsid w:val="00371076"/>
    <w:rsid w:val="003B2A8A"/>
    <w:rsid w:val="003D1BFF"/>
    <w:rsid w:val="003E49B8"/>
    <w:rsid w:val="00400770"/>
    <w:rsid w:val="00402ABB"/>
    <w:rsid w:val="00414630"/>
    <w:rsid w:val="004170C5"/>
    <w:rsid w:val="00420207"/>
    <w:rsid w:val="0042371A"/>
    <w:rsid w:val="00427634"/>
    <w:rsid w:val="004278C8"/>
    <w:rsid w:val="00434848"/>
    <w:rsid w:val="00447963"/>
    <w:rsid w:val="004671C7"/>
    <w:rsid w:val="00484EC4"/>
    <w:rsid w:val="00490DCC"/>
    <w:rsid w:val="0049340F"/>
    <w:rsid w:val="00496A38"/>
    <w:rsid w:val="004C1A32"/>
    <w:rsid w:val="004C644E"/>
    <w:rsid w:val="004D349E"/>
    <w:rsid w:val="004E6A49"/>
    <w:rsid w:val="004F0196"/>
    <w:rsid w:val="004F0AD3"/>
    <w:rsid w:val="00510015"/>
    <w:rsid w:val="00510B7C"/>
    <w:rsid w:val="00520FAB"/>
    <w:rsid w:val="005276AA"/>
    <w:rsid w:val="00545802"/>
    <w:rsid w:val="00545EB7"/>
    <w:rsid w:val="00552335"/>
    <w:rsid w:val="00555B25"/>
    <w:rsid w:val="005612A5"/>
    <w:rsid w:val="0056361B"/>
    <w:rsid w:val="0058002B"/>
    <w:rsid w:val="0058046F"/>
    <w:rsid w:val="00580E82"/>
    <w:rsid w:val="00595BF4"/>
    <w:rsid w:val="00597206"/>
    <w:rsid w:val="005A1BA4"/>
    <w:rsid w:val="005E569D"/>
    <w:rsid w:val="00603D95"/>
    <w:rsid w:val="006170C6"/>
    <w:rsid w:val="00617503"/>
    <w:rsid w:val="0063113D"/>
    <w:rsid w:val="0065672F"/>
    <w:rsid w:val="00664AF3"/>
    <w:rsid w:val="00667F57"/>
    <w:rsid w:val="00670835"/>
    <w:rsid w:val="00686601"/>
    <w:rsid w:val="006A06BB"/>
    <w:rsid w:val="006A0E1A"/>
    <w:rsid w:val="006A4AA2"/>
    <w:rsid w:val="006C1A18"/>
    <w:rsid w:val="006D404E"/>
    <w:rsid w:val="006F4571"/>
    <w:rsid w:val="00710568"/>
    <w:rsid w:val="00710EA9"/>
    <w:rsid w:val="00735C73"/>
    <w:rsid w:val="00735FD2"/>
    <w:rsid w:val="00737ADA"/>
    <w:rsid w:val="00740CA0"/>
    <w:rsid w:val="00743A7B"/>
    <w:rsid w:val="0075073A"/>
    <w:rsid w:val="00770AAD"/>
    <w:rsid w:val="00771DC7"/>
    <w:rsid w:val="00792B66"/>
    <w:rsid w:val="00793DA8"/>
    <w:rsid w:val="007B2C7D"/>
    <w:rsid w:val="007E296B"/>
    <w:rsid w:val="007E4068"/>
    <w:rsid w:val="007E7C98"/>
    <w:rsid w:val="007F69EF"/>
    <w:rsid w:val="00826CF8"/>
    <w:rsid w:val="0082716F"/>
    <w:rsid w:val="00830DB3"/>
    <w:rsid w:val="008508A9"/>
    <w:rsid w:val="00852040"/>
    <w:rsid w:val="00871C0F"/>
    <w:rsid w:val="00890E58"/>
    <w:rsid w:val="00891280"/>
    <w:rsid w:val="008977DA"/>
    <w:rsid w:val="008C0DE0"/>
    <w:rsid w:val="008E74EF"/>
    <w:rsid w:val="008F47C2"/>
    <w:rsid w:val="00913805"/>
    <w:rsid w:val="009264DB"/>
    <w:rsid w:val="00932FD0"/>
    <w:rsid w:val="00935DAF"/>
    <w:rsid w:val="00942328"/>
    <w:rsid w:val="0094660E"/>
    <w:rsid w:val="00952047"/>
    <w:rsid w:val="0096656A"/>
    <w:rsid w:val="009935F0"/>
    <w:rsid w:val="009A69F2"/>
    <w:rsid w:val="009A738A"/>
    <w:rsid w:val="009B0083"/>
    <w:rsid w:val="009C52F5"/>
    <w:rsid w:val="009D38C9"/>
    <w:rsid w:val="009E4708"/>
    <w:rsid w:val="009E60CA"/>
    <w:rsid w:val="009E6DCC"/>
    <w:rsid w:val="009F2FC4"/>
    <w:rsid w:val="00A020BB"/>
    <w:rsid w:val="00A061D0"/>
    <w:rsid w:val="00A111AB"/>
    <w:rsid w:val="00A16D61"/>
    <w:rsid w:val="00A17DF3"/>
    <w:rsid w:val="00A21AA0"/>
    <w:rsid w:val="00A30D39"/>
    <w:rsid w:val="00A332EC"/>
    <w:rsid w:val="00A52B8E"/>
    <w:rsid w:val="00A62B3C"/>
    <w:rsid w:val="00A63DC8"/>
    <w:rsid w:val="00A66C37"/>
    <w:rsid w:val="00A81F44"/>
    <w:rsid w:val="00A82ECB"/>
    <w:rsid w:val="00A83672"/>
    <w:rsid w:val="00A90A9A"/>
    <w:rsid w:val="00AA6BE4"/>
    <w:rsid w:val="00AB20B1"/>
    <w:rsid w:val="00AB5209"/>
    <w:rsid w:val="00AC42E5"/>
    <w:rsid w:val="00AD7EC2"/>
    <w:rsid w:val="00B02D2A"/>
    <w:rsid w:val="00B134D3"/>
    <w:rsid w:val="00B15B9C"/>
    <w:rsid w:val="00B23191"/>
    <w:rsid w:val="00B32BD2"/>
    <w:rsid w:val="00B32EA5"/>
    <w:rsid w:val="00B35F5F"/>
    <w:rsid w:val="00B6281E"/>
    <w:rsid w:val="00B629CE"/>
    <w:rsid w:val="00B63D41"/>
    <w:rsid w:val="00BA04E6"/>
    <w:rsid w:val="00BB3105"/>
    <w:rsid w:val="00BC406C"/>
    <w:rsid w:val="00BE13B8"/>
    <w:rsid w:val="00BE458F"/>
    <w:rsid w:val="00C117CA"/>
    <w:rsid w:val="00C12275"/>
    <w:rsid w:val="00C56A77"/>
    <w:rsid w:val="00C63E9E"/>
    <w:rsid w:val="00C70572"/>
    <w:rsid w:val="00C85AE6"/>
    <w:rsid w:val="00CA3109"/>
    <w:rsid w:val="00CB18CF"/>
    <w:rsid w:val="00CF5065"/>
    <w:rsid w:val="00D04B8A"/>
    <w:rsid w:val="00D050CB"/>
    <w:rsid w:val="00D1679C"/>
    <w:rsid w:val="00D607D6"/>
    <w:rsid w:val="00D84911"/>
    <w:rsid w:val="00D95925"/>
    <w:rsid w:val="00DA74AD"/>
    <w:rsid w:val="00DB0834"/>
    <w:rsid w:val="00DB24A1"/>
    <w:rsid w:val="00DD3C74"/>
    <w:rsid w:val="00DD50B2"/>
    <w:rsid w:val="00DE45A2"/>
    <w:rsid w:val="00E0322F"/>
    <w:rsid w:val="00E06588"/>
    <w:rsid w:val="00E967E7"/>
    <w:rsid w:val="00E973C4"/>
    <w:rsid w:val="00EA1AD4"/>
    <w:rsid w:val="00EB6CCE"/>
    <w:rsid w:val="00EB7544"/>
    <w:rsid w:val="00EC512C"/>
    <w:rsid w:val="00ED64A6"/>
    <w:rsid w:val="00EE34C3"/>
    <w:rsid w:val="00EE5BC1"/>
    <w:rsid w:val="00EF3F21"/>
    <w:rsid w:val="00F01F9E"/>
    <w:rsid w:val="00F13D64"/>
    <w:rsid w:val="00F45E13"/>
    <w:rsid w:val="00F55D31"/>
    <w:rsid w:val="00F60081"/>
    <w:rsid w:val="00F61109"/>
    <w:rsid w:val="00F66EF1"/>
    <w:rsid w:val="00F73EA4"/>
    <w:rsid w:val="00F75E04"/>
    <w:rsid w:val="00F75F41"/>
    <w:rsid w:val="00F81478"/>
    <w:rsid w:val="00F91501"/>
    <w:rsid w:val="00F9266C"/>
    <w:rsid w:val="00FA2D1F"/>
    <w:rsid w:val="00FA2F64"/>
    <w:rsid w:val="00FA7F87"/>
    <w:rsid w:val="00FB13AC"/>
    <w:rsid w:val="00FD54DF"/>
    <w:rsid w:val="00FF730B"/>
    <w:rsid w:val="00FF79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433F9"/>
  <w15:chartTrackingRefBased/>
  <w15:docId w15:val="{ADF2AF39-6F17-4A32-AE0B-27A5B617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275"/>
    <w:pPr>
      <w:overflowPunct w:val="0"/>
      <w:autoSpaceDE w:val="0"/>
      <w:autoSpaceDN w:val="0"/>
      <w:adjustRightInd w:val="0"/>
      <w:spacing w:after="120" w:line="269" w:lineRule="auto"/>
      <w:ind w:left="57" w:right="57"/>
      <w:textAlignment w:val="baseline"/>
    </w:pPr>
    <w:rPr>
      <w:rFonts w:ascii="Cambria" w:hAnsi="Cambria"/>
    </w:rPr>
  </w:style>
  <w:style w:type="paragraph" w:styleId="Heading1">
    <w:name w:val="heading 1"/>
    <w:basedOn w:val="Normal"/>
    <w:next w:val="Normal"/>
    <w:link w:val="Heading1Char"/>
    <w:qFormat/>
    <w:rsid w:val="002F02A5"/>
    <w:pPr>
      <w:keepNext/>
      <w:keepLines/>
      <w:spacing w:before="360" w:after="360" w:line="240" w:lineRule="auto"/>
      <w:outlineLvl w:val="0"/>
    </w:pPr>
    <w:rPr>
      <w:rFonts w:ascii="Calibri" w:hAnsi="Calibri"/>
      <w:b/>
      <w:bCs/>
      <w:sz w:val="24"/>
      <w:szCs w:val="28"/>
    </w:rPr>
  </w:style>
  <w:style w:type="paragraph" w:styleId="Heading2">
    <w:name w:val="heading 2"/>
    <w:basedOn w:val="Normal"/>
    <w:next w:val="Normal"/>
    <w:link w:val="Heading2Char"/>
    <w:autoRedefine/>
    <w:unhideWhenUsed/>
    <w:qFormat/>
    <w:rsid w:val="00C12275"/>
    <w:pPr>
      <w:keepNext/>
      <w:keepLines/>
      <w:spacing w:before="240" w:after="0"/>
      <w:outlineLvl w:val="1"/>
    </w:pPr>
    <w:rPr>
      <w:rFonts w:ascii="Calibri" w:hAnsi="Calibri"/>
      <w:b/>
      <w:bCs/>
      <w:spacing w:val="30"/>
      <w:sz w:val="24"/>
      <w:szCs w:val="26"/>
    </w:rPr>
  </w:style>
  <w:style w:type="paragraph" w:styleId="Heading3">
    <w:name w:val="heading 3"/>
    <w:basedOn w:val="Normal"/>
    <w:next w:val="Normal"/>
    <w:link w:val="Heading3Char"/>
    <w:unhideWhenUsed/>
    <w:qFormat/>
    <w:rsid w:val="007E296B"/>
    <w:pPr>
      <w:keepNext/>
      <w:keepLines/>
      <w:numPr>
        <w:numId w:val="1"/>
      </w:numPr>
      <w:spacing w:after="0"/>
      <w:ind w:left="454" w:hanging="45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F02A5"/>
    <w:rPr>
      <w:rFonts w:ascii="Calibri" w:hAnsi="Calibri"/>
      <w:b/>
      <w:bCs/>
      <w:sz w:val="24"/>
      <w:szCs w:val="28"/>
    </w:rPr>
  </w:style>
  <w:style w:type="character" w:customStyle="1" w:styleId="Heading2Char">
    <w:name w:val="Heading 2 Char"/>
    <w:link w:val="Heading2"/>
    <w:rsid w:val="00C12275"/>
    <w:rPr>
      <w:rFonts w:ascii="Calibri" w:hAnsi="Calibri"/>
      <w:b/>
      <w:bCs/>
      <w:spacing w:val="30"/>
      <w:sz w:val="24"/>
      <w:szCs w:val="26"/>
    </w:rPr>
  </w:style>
  <w:style w:type="character" w:customStyle="1" w:styleId="Heading3Char">
    <w:name w:val="Heading 3 Char"/>
    <w:link w:val="Heading3"/>
    <w:rsid w:val="007E296B"/>
    <w:rPr>
      <w:rFonts w:ascii="Cambria" w:hAnsi="Cambria"/>
      <w:b/>
      <w:bCs/>
    </w:rPr>
  </w:style>
  <w:style w:type="paragraph" w:customStyle="1" w:styleId="Normal-para">
    <w:name w:val="Normal-para"/>
    <w:basedOn w:val="Normal"/>
    <w:qFormat/>
    <w:rsid w:val="00B32EA5"/>
    <w:pPr>
      <w:spacing w:after="140"/>
      <w:ind w:left="454"/>
    </w:pPr>
  </w:style>
  <w:style w:type="paragraph" w:styleId="ListParagraph">
    <w:name w:val="List Paragraph"/>
    <w:basedOn w:val="Normal"/>
    <w:uiPriority w:val="34"/>
    <w:qFormat/>
    <w:rsid w:val="00ED64A6"/>
    <w:pPr>
      <w:numPr>
        <w:numId w:val="2"/>
      </w:numPr>
      <w:ind w:left="1434" w:hanging="357"/>
    </w:pPr>
  </w:style>
  <w:style w:type="table" w:styleId="TableGrid">
    <w:name w:val="Table Grid"/>
    <w:basedOn w:val="TableNormal"/>
    <w:rsid w:val="00ED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2E1679"/>
    <w:pPr>
      <w:spacing w:after="0"/>
    </w:pPr>
    <w:rPr>
      <w:b/>
    </w:rPr>
  </w:style>
  <w:style w:type="paragraph" w:customStyle="1" w:styleId="TableBody">
    <w:name w:val="Table Body"/>
    <w:basedOn w:val="Normal"/>
    <w:qFormat/>
    <w:rsid w:val="002E1679"/>
    <w:pPr>
      <w:spacing w:before="40"/>
    </w:pPr>
  </w:style>
  <w:style w:type="character" w:styleId="Strong">
    <w:name w:val="Strong"/>
    <w:rsid w:val="006A0E1A"/>
    <w:rPr>
      <w:b/>
      <w:bCs/>
    </w:rPr>
  </w:style>
  <w:style w:type="paragraph" w:styleId="Header">
    <w:name w:val="header"/>
    <w:basedOn w:val="Normal"/>
    <w:link w:val="HeaderChar"/>
    <w:rsid w:val="002D24D9"/>
    <w:pPr>
      <w:tabs>
        <w:tab w:val="center" w:pos="4153"/>
        <w:tab w:val="right" w:pos="8306"/>
      </w:tabs>
      <w:overflowPunct/>
      <w:autoSpaceDE/>
      <w:autoSpaceDN/>
      <w:adjustRightInd/>
      <w:spacing w:after="0"/>
      <w:ind w:left="0" w:right="0"/>
      <w:jc w:val="right"/>
      <w:textAlignment w:val="auto"/>
    </w:pPr>
    <w:rPr>
      <w:color w:val="7F7F7F"/>
      <w:sz w:val="18"/>
      <w:szCs w:val="24"/>
    </w:rPr>
  </w:style>
  <w:style w:type="character" w:customStyle="1" w:styleId="HeaderChar">
    <w:name w:val="Header Char"/>
    <w:link w:val="Header"/>
    <w:rsid w:val="002D24D9"/>
    <w:rPr>
      <w:rFonts w:ascii="Cambria" w:hAnsi="Cambria"/>
      <w:color w:val="7F7F7F"/>
      <w:sz w:val="18"/>
      <w:szCs w:val="24"/>
    </w:rPr>
  </w:style>
  <w:style w:type="paragraph" w:styleId="FootnoteText">
    <w:name w:val="footnote text"/>
    <w:basedOn w:val="Normal"/>
    <w:link w:val="FootnoteTextChar"/>
    <w:rsid w:val="001B09CB"/>
    <w:pPr>
      <w:spacing w:after="480"/>
    </w:pPr>
    <w:rPr>
      <w:sz w:val="16"/>
    </w:rPr>
  </w:style>
  <w:style w:type="character" w:customStyle="1" w:styleId="FootnoteTextChar">
    <w:name w:val="Footnote Text Char"/>
    <w:link w:val="FootnoteText"/>
    <w:rsid w:val="001B09CB"/>
    <w:rPr>
      <w:rFonts w:ascii="Cambria" w:hAnsi="Cambria"/>
      <w:sz w:val="16"/>
    </w:rPr>
  </w:style>
  <w:style w:type="character" w:styleId="FootnoteReference">
    <w:name w:val="footnote reference"/>
    <w:rsid w:val="00E0322F"/>
    <w:rPr>
      <w:vertAlign w:val="superscript"/>
    </w:rPr>
  </w:style>
  <w:style w:type="paragraph" w:styleId="Footer">
    <w:name w:val="footer"/>
    <w:basedOn w:val="Normal"/>
    <w:link w:val="FooterChar"/>
    <w:rsid w:val="001E48B7"/>
    <w:pPr>
      <w:tabs>
        <w:tab w:val="center" w:pos="4513"/>
        <w:tab w:val="right" w:pos="9026"/>
      </w:tabs>
      <w:spacing w:after="0"/>
    </w:pPr>
    <w:rPr>
      <w:color w:val="7F7F7F"/>
      <w:sz w:val="16"/>
    </w:rPr>
  </w:style>
  <w:style w:type="character" w:customStyle="1" w:styleId="FooterChar">
    <w:name w:val="Footer Char"/>
    <w:link w:val="Footer"/>
    <w:rsid w:val="001E48B7"/>
    <w:rPr>
      <w:rFonts w:ascii="Cambria" w:hAnsi="Cambria"/>
      <w:color w:val="7F7F7F"/>
      <w:sz w:val="16"/>
    </w:rPr>
  </w:style>
  <w:style w:type="paragraph" w:customStyle="1" w:styleId="11Heading3">
    <w:name w:val="1.1 Heading 3"/>
    <w:basedOn w:val="Heading2"/>
    <w:autoRedefine/>
    <w:rsid w:val="001B09CB"/>
    <w:pPr>
      <w:keepNext w:val="0"/>
      <w:keepLines w:val="0"/>
      <w:widowControl w:val="0"/>
      <w:numPr>
        <w:numId w:val="4"/>
      </w:numPr>
      <w:overflowPunct/>
      <w:autoSpaceDE/>
      <w:autoSpaceDN/>
      <w:adjustRightInd/>
      <w:spacing w:before="40" w:after="40"/>
      <w:ind w:right="0"/>
      <w:textAlignment w:val="auto"/>
    </w:pPr>
    <w:rPr>
      <w:rFonts w:ascii="Garamond" w:hAnsi="Garamond" w:cs="Arial"/>
      <w:bCs w:val="0"/>
      <w:spacing w:val="0"/>
      <w:szCs w:val="22"/>
    </w:rPr>
  </w:style>
  <w:style w:type="paragraph" w:styleId="BalloonText">
    <w:name w:val="Balloon Text"/>
    <w:basedOn w:val="Normal"/>
    <w:link w:val="BalloonTextChar"/>
    <w:rsid w:val="002654C8"/>
    <w:pPr>
      <w:spacing w:after="0" w:line="240" w:lineRule="auto"/>
    </w:pPr>
    <w:rPr>
      <w:rFonts w:ascii="Segoe UI" w:hAnsi="Segoe UI" w:cs="Segoe UI"/>
      <w:sz w:val="18"/>
      <w:szCs w:val="18"/>
    </w:rPr>
  </w:style>
  <w:style w:type="character" w:customStyle="1" w:styleId="BalloonTextChar">
    <w:name w:val="Balloon Text Char"/>
    <w:link w:val="BalloonText"/>
    <w:rsid w:val="002654C8"/>
    <w:rPr>
      <w:rFonts w:ascii="Segoe UI" w:hAnsi="Segoe UI" w:cs="Segoe UI"/>
      <w:sz w:val="18"/>
      <w:szCs w:val="18"/>
    </w:rPr>
  </w:style>
  <w:style w:type="character" w:styleId="CommentReference">
    <w:name w:val="annotation reference"/>
    <w:rsid w:val="00EE34C3"/>
    <w:rPr>
      <w:sz w:val="16"/>
      <w:szCs w:val="16"/>
    </w:rPr>
  </w:style>
  <w:style w:type="paragraph" w:styleId="CommentText">
    <w:name w:val="annotation text"/>
    <w:basedOn w:val="Normal"/>
    <w:link w:val="CommentTextChar"/>
    <w:rsid w:val="00EE34C3"/>
  </w:style>
  <w:style w:type="character" w:customStyle="1" w:styleId="CommentTextChar">
    <w:name w:val="Comment Text Char"/>
    <w:link w:val="CommentText"/>
    <w:rsid w:val="00EE34C3"/>
    <w:rPr>
      <w:rFonts w:ascii="Cambria" w:hAnsi="Cambria"/>
    </w:rPr>
  </w:style>
  <w:style w:type="paragraph" w:styleId="CommentSubject">
    <w:name w:val="annotation subject"/>
    <w:basedOn w:val="CommentText"/>
    <w:next w:val="CommentText"/>
    <w:link w:val="CommentSubjectChar"/>
    <w:rsid w:val="00EE34C3"/>
    <w:rPr>
      <w:b/>
      <w:bCs/>
    </w:rPr>
  </w:style>
  <w:style w:type="character" w:customStyle="1" w:styleId="CommentSubjectChar">
    <w:name w:val="Comment Subject Char"/>
    <w:link w:val="CommentSubject"/>
    <w:rsid w:val="00EE34C3"/>
    <w:rPr>
      <w:rFonts w:ascii="Cambria" w:hAnsi="Cambria"/>
      <w:b/>
      <w:bCs/>
    </w:rPr>
  </w:style>
  <w:style w:type="paragraph" w:styleId="Revision">
    <w:name w:val="Revision"/>
    <w:hidden/>
    <w:uiPriority w:val="99"/>
    <w:semiHidden/>
    <w:rsid w:val="00C85AE6"/>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C4D08C5B-E7EC-4747-AF7F-C0EBD8636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AB784-6AAB-4DBE-BEB9-BD7B15B06F1B}">
  <ds:schemaRefs>
    <ds:schemaRef ds:uri="http://schemas.microsoft.com/sharepoint/v3/contenttype/forms"/>
  </ds:schemaRefs>
</ds:datastoreItem>
</file>

<file path=customXml/itemProps3.xml><?xml version="1.0" encoding="utf-8"?>
<ds:datastoreItem xmlns:ds="http://schemas.openxmlformats.org/officeDocument/2006/customXml" ds:itemID="{2663FF02-9F7D-4D63-96FF-E2A36CB5F105}">
  <ds:schemaRefs>
    <ds:schemaRef ds:uri="http://schemas.openxmlformats.org/officeDocument/2006/bibliography"/>
  </ds:schemaRefs>
</ds:datastoreItem>
</file>

<file path=customXml/itemProps4.xml><?xml version="1.0" encoding="utf-8"?>
<ds:datastoreItem xmlns:ds="http://schemas.openxmlformats.org/officeDocument/2006/customXml" ds:itemID="{8BF6FE96-9893-44F0-B277-72801A964C04}">
  <ds:schemaRefs>
    <ds:schemaRef ds:uri="http://purl.org/dc/dcmitype/"/>
    <ds:schemaRef ds:uri="http://schemas.microsoft.com/office/2006/documentManagement/types"/>
    <ds:schemaRef ds:uri="http://schemas.microsoft.com/office/2006/metadata/properties"/>
    <ds:schemaRef ds:uri="81c01dc6-2c49-4730-b140-874c95cac377"/>
    <ds:schemaRef ds:uri="http://www.w3.org/XML/1998/namespace"/>
    <ds:schemaRef ds:uri="http://purl.org/dc/elements/1.1/"/>
    <ds:schemaRef ds:uri="http://schemas.openxmlformats.org/package/2006/metadata/core-properties"/>
    <ds:schemaRef ds:uri="2b53c995-2120-4bc0-8922-c25044d37f65"/>
    <ds:schemaRef ds:uri="http://schemas.microsoft.com/office/infopath/2007/PartnerControls"/>
    <ds:schemaRef ds:uri="c95b51c2-b2ac-4224-a5b5-06990905782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681</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SureTect STEC - AOAC 012102</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SureTect STEC - AOAC 012102</dc:title>
  <dc:subject>Approved Method Manual</dc:subject>
  <dc:creator>Department of Agriculture, Fisheries and Forestry</dc:creator>
  <cp:keywords>Microbiological Testing, Meat testing, AOAC 012102, Shiga-toxin</cp:keywords>
  <cp:revision>6</cp:revision>
  <cp:lastPrinted>2025-06-04T23:08:00Z</cp:lastPrinted>
  <dcterms:created xsi:type="dcterms:W3CDTF">2025-06-04T23:06:00Z</dcterms:created>
  <dcterms:modified xsi:type="dcterms:W3CDTF">2025-06-06T05:59:00Z</dcterms:modified>
  <cp:category>Microbiological method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DCDateCreated">
    <vt:lpwstr/>
  </property>
  <property fmtid="{D5CDD505-2E9C-101B-9397-08002B2CF9AE}" pid="5" name="ClassificationContentMarkingHeaderShapeIds">
    <vt:lpwstr>7c501abb,5665cf20,72a6ec43,2ba6fab3,5ca83064,195ef9e1</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1307608b,10503b8a,51e394b1,2be02ef7,564eb00b,b20c618</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933d8be6-3c40-4052-87a2-9c2adcba8759_Enabled">
    <vt:lpwstr>true</vt:lpwstr>
  </property>
  <property fmtid="{D5CDD505-2E9C-101B-9397-08002B2CF9AE}" pid="12" name="MSIP_Label_933d8be6-3c40-4052-87a2-9c2adcba8759_SetDate">
    <vt:lpwstr>2025-06-04T23:06:52Z</vt:lpwstr>
  </property>
  <property fmtid="{D5CDD505-2E9C-101B-9397-08002B2CF9AE}" pid="13" name="MSIP_Label_933d8be6-3c40-4052-87a2-9c2adcba8759_Method">
    <vt:lpwstr>Privileged</vt:lpwstr>
  </property>
  <property fmtid="{D5CDD505-2E9C-101B-9397-08002B2CF9AE}" pid="14" name="MSIP_Label_933d8be6-3c40-4052-87a2-9c2adcba8759_Name">
    <vt:lpwstr>OFFICIAL</vt:lpwstr>
  </property>
  <property fmtid="{D5CDD505-2E9C-101B-9397-08002B2CF9AE}" pid="15" name="MSIP_Label_933d8be6-3c40-4052-87a2-9c2adcba8759_SiteId">
    <vt:lpwstr>2be67eb7-400c-4b3f-a5a1-1258c0da0696</vt:lpwstr>
  </property>
  <property fmtid="{D5CDD505-2E9C-101B-9397-08002B2CF9AE}" pid="16" name="MSIP_Label_933d8be6-3c40-4052-87a2-9c2adcba8759_ActionId">
    <vt:lpwstr>0bdf2d7d-c68e-4c4e-82e5-4780615de16d</vt:lpwstr>
  </property>
  <property fmtid="{D5CDD505-2E9C-101B-9397-08002B2CF9AE}" pid="17" name="MSIP_Label_933d8be6-3c40-4052-87a2-9c2adcba8759_ContentBits">
    <vt:lpwstr>3</vt:lpwstr>
  </property>
  <property fmtid="{D5CDD505-2E9C-101B-9397-08002B2CF9AE}" pid="18" name="MSIP_Label_933d8be6-3c40-4052-87a2-9c2adcba8759_Tag">
    <vt:lpwstr>10, 0, 1, 1</vt:lpwstr>
  </property>
  <property fmtid="{D5CDD505-2E9C-101B-9397-08002B2CF9AE}" pid="19" name="ContentTypeId">
    <vt:lpwstr>0x0101008991DB94C8E2E14F9D69CDF9B52A3286</vt:lpwstr>
  </property>
  <property fmtid="{D5CDD505-2E9C-101B-9397-08002B2CF9AE}" pid="20" name="MediaServiceImageTags">
    <vt:lpwstr/>
  </property>
</Properties>
</file>