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A2" w:rsidRDefault="001B1BA2" w:rsidP="001B1BA2">
      <w:pPr>
        <w:tabs>
          <w:tab w:val="left" w:pos="851"/>
        </w:tabs>
        <w:ind w:right="424"/>
        <w:rPr>
          <w:rFonts w:ascii="Arial" w:hAnsi="Arial" w:cs="Arial"/>
          <w:b/>
          <w:sz w:val="28"/>
          <w:szCs w:val="28"/>
        </w:rPr>
      </w:pPr>
      <w:bookmarkStart w:id="0" w:name="_GoBack"/>
      <w:bookmarkEnd w:id="0"/>
      <w:r>
        <w:rPr>
          <w:rFonts w:ascii="Arial" w:hAnsi="Arial" w:cs="Arial"/>
          <w:b/>
          <w:sz w:val="28"/>
          <w:szCs w:val="28"/>
        </w:rPr>
        <w:t>Appendix 1</w:t>
      </w:r>
    </w:p>
    <w:p w:rsidR="001B1BA2" w:rsidRDefault="001B1BA2" w:rsidP="001B1BA2">
      <w:pPr>
        <w:rPr>
          <w:rFonts w:ascii="Arial" w:hAnsi="Arial" w:cs="Arial"/>
          <w:b/>
          <w:sz w:val="24"/>
          <w:szCs w:val="24"/>
        </w:rPr>
      </w:pPr>
      <w:bookmarkStart w:id="1" w:name="_Toc58142627"/>
      <w:proofErr w:type="spellStart"/>
      <w:r>
        <w:rPr>
          <w:rFonts w:ascii="Arial" w:hAnsi="Arial" w:cs="Arial"/>
          <w:b/>
          <w:sz w:val="24"/>
          <w:szCs w:val="24"/>
        </w:rPr>
        <w:t>Brushtail</w:t>
      </w:r>
      <w:proofErr w:type="spellEnd"/>
      <w:r>
        <w:rPr>
          <w:rFonts w:ascii="Arial" w:hAnsi="Arial" w:cs="Arial"/>
          <w:b/>
          <w:sz w:val="24"/>
          <w:szCs w:val="24"/>
        </w:rPr>
        <w:t xml:space="preserve"> Possum Management Regions</w:t>
      </w:r>
      <w:bookmarkEnd w:id="1"/>
      <w:r>
        <w:rPr>
          <w:rFonts w:ascii="Arial" w:hAnsi="Arial" w:cs="Arial"/>
          <w:b/>
          <w:sz w:val="24"/>
          <w:szCs w:val="24"/>
        </w:rPr>
        <w:t xml:space="preserve"> and Survey Routes</w:t>
      </w:r>
    </w:p>
    <w:p w:rsidR="001B1BA2" w:rsidRDefault="001B1BA2" w:rsidP="001B1BA2">
      <w:pPr>
        <w:pStyle w:val="Text"/>
        <w:tabs>
          <w:tab w:val="left" w:pos="851"/>
        </w:tabs>
        <w:ind w:right="424"/>
        <w:rPr>
          <w:sz w:val="22"/>
          <w:szCs w:val="22"/>
        </w:rPr>
      </w:pPr>
    </w:p>
    <w:p w:rsidR="001B1BA2" w:rsidRDefault="001B1BA2" w:rsidP="001B1BA2">
      <w:pPr>
        <w:pStyle w:val="Text"/>
        <w:tabs>
          <w:tab w:val="left" w:pos="851"/>
        </w:tabs>
        <w:ind w:right="424"/>
        <w:rPr>
          <w:sz w:val="22"/>
          <w:szCs w:val="22"/>
        </w:rPr>
      </w:pPr>
      <w:r>
        <w:rPr>
          <w:sz w:val="22"/>
          <w:szCs w:val="22"/>
        </w:rPr>
        <w:t xml:space="preserve">The </w:t>
      </w:r>
      <w:proofErr w:type="spellStart"/>
      <w:r>
        <w:rPr>
          <w:sz w:val="22"/>
          <w:szCs w:val="22"/>
        </w:rPr>
        <w:t>brushtail</w:t>
      </w:r>
      <w:proofErr w:type="spellEnd"/>
      <w:r>
        <w:rPr>
          <w:sz w:val="22"/>
          <w:szCs w:val="22"/>
        </w:rPr>
        <w:t xml:space="preserve"> possum management regions reflect the areas covered by the existing population-monitoring program and correlate closely with IBRA bioregions.  These regions are presented in Figure </w:t>
      </w:r>
      <w:r>
        <w:t>1</w:t>
      </w:r>
      <w:r>
        <w:rPr>
          <w:sz w:val="22"/>
          <w:szCs w:val="22"/>
        </w:rPr>
        <w:t>.</w:t>
      </w:r>
    </w:p>
    <w:p w:rsidR="001B1BA2" w:rsidRDefault="001B1BA2" w:rsidP="001B1BA2">
      <w:pPr>
        <w:pStyle w:val="Text"/>
        <w:tabs>
          <w:tab w:val="left" w:pos="851"/>
        </w:tabs>
        <w:ind w:right="424"/>
        <w:rPr>
          <w:b/>
          <w:sz w:val="22"/>
          <w:szCs w:val="22"/>
        </w:rPr>
      </w:pPr>
      <w:bookmarkStart w:id="2" w:name="_Ref51226433"/>
      <w:r>
        <w:rPr>
          <w:b/>
          <w:sz w:val="22"/>
          <w:szCs w:val="22"/>
        </w:rPr>
        <w:t>Southwest Region (20,490 km</w:t>
      </w:r>
      <w:r>
        <w:rPr>
          <w:b/>
          <w:sz w:val="22"/>
          <w:szCs w:val="22"/>
          <w:vertAlign w:val="superscript"/>
        </w:rPr>
        <w:t>2</w:t>
      </w:r>
      <w:r>
        <w:rPr>
          <w:b/>
          <w:sz w:val="22"/>
          <w:szCs w:val="22"/>
        </w:rPr>
        <w:t>)</w:t>
      </w:r>
    </w:p>
    <w:p w:rsidR="001B1BA2" w:rsidRDefault="001B1BA2" w:rsidP="001B1BA2">
      <w:pPr>
        <w:pStyle w:val="Text"/>
        <w:tabs>
          <w:tab w:val="left" w:pos="851"/>
        </w:tabs>
        <w:ind w:right="424"/>
        <w:rPr>
          <w:sz w:val="22"/>
          <w:szCs w:val="22"/>
        </w:rPr>
      </w:pPr>
      <w:r>
        <w:rPr>
          <w:sz w:val="22"/>
          <w:szCs w:val="22"/>
        </w:rPr>
        <w:t xml:space="preserve">The southwest region is the largest of the regions, extending from </w:t>
      </w:r>
      <w:smartTag w:uri="urn:schemas-microsoft-com:office:smarttags" w:element="place">
        <w:smartTag w:uri="urn:schemas-microsoft-com:office:smarttags" w:element="PlaceName">
          <w:smartTag w:uri="urn:schemas-microsoft-com:office:smarttags" w:element="PlaceName">
            <w:r>
              <w:rPr>
                <w:sz w:val="22"/>
                <w:szCs w:val="22"/>
              </w:rPr>
              <w:t>Sandy</w:t>
            </w:r>
          </w:smartTag>
          <w:r>
            <w:rPr>
              <w:sz w:val="22"/>
              <w:szCs w:val="22"/>
            </w:rPr>
            <w:t xml:space="preserve"> </w:t>
          </w:r>
          <w:smartTag w:uri="urn:schemas-microsoft-com:office:smarttags" w:element="PlaceName">
            <w:r>
              <w:rPr>
                <w:sz w:val="22"/>
                <w:szCs w:val="22"/>
              </w:rPr>
              <w:t>Cape</w:t>
            </w:r>
          </w:smartTag>
        </w:smartTag>
      </w:smartTag>
      <w:r>
        <w:rPr>
          <w:sz w:val="22"/>
          <w:szCs w:val="22"/>
        </w:rPr>
        <w:t xml:space="preserve"> on the west coast to New River Lagoon on the south coast.  The area consists predominantly of the World Heritage Area and other conservation reserves, with very little agricultural activity taking place in most of the region. The harvesting of possums is not permitted in the protected areas and presently very few possums are culled in the region nor </w:t>
      </w:r>
      <w:proofErr w:type="gramStart"/>
      <w:r>
        <w:rPr>
          <w:sz w:val="22"/>
          <w:szCs w:val="22"/>
        </w:rPr>
        <w:t>is</w:t>
      </w:r>
      <w:proofErr w:type="gramEnd"/>
      <w:r>
        <w:rPr>
          <w:sz w:val="22"/>
          <w:szCs w:val="22"/>
        </w:rPr>
        <w:t xml:space="preserve"> there likely to be a need to cull significant numbers</w:t>
      </w:r>
      <w:r w:rsidR="00CA2B10">
        <w:rPr>
          <w:sz w:val="22"/>
          <w:szCs w:val="22"/>
        </w:rPr>
        <w:t xml:space="preserve"> in the future</w:t>
      </w:r>
      <w:r>
        <w:rPr>
          <w:sz w:val="22"/>
          <w:szCs w:val="22"/>
        </w:rPr>
        <w:t>.  Possum densities within this region are very low</w:t>
      </w:r>
      <w:r w:rsidR="00CA2B10">
        <w:rPr>
          <w:sz w:val="22"/>
          <w:szCs w:val="22"/>
        </w:rPr>
        <w:t xml:space="preserve"> and no commercial possum harvest is currently undertaken</w:t>
      </w:r>
      <w:r>
        <w:rPr>
          <w:sz w:val="22"/>
          <w:szCs w:val="22"/>
        </w:rPr>
        <w:t>.</w:t>
      </w:r>
    </w:p>
    <w:p w:rsidR="001B1BA2" w:rsidRDefault="001B1BA2" w:rsidP="001B1BA2">
      <w:pPr>
        <w:pStyle w:val="Text"/>
        <w:tabs>
          <w:tab w:val="left" w:pos="851"/>
        </w:tabs>
        <w:ind w:right="424"/>
        <w:rPr>
          <w:b/>
          <w:sz w:val="22"/>
          <w:szCs w:val="22"/>
        </w:rPr>
      </w:pPr>
      <w:r>
        <w:rPr>
          <w:b/>
          <w:sz w:val="22"/>
          <w:szCs w:val="22"/>
        </w:rPr>
        <w:t>Southeast Region (12,610 km</w:t>
      </w:r>
      <w:r>
        <w:rPr>
          <w:b/>
          <w:sz w:val="22"/>
          <w:szCs w:val="22"/>
          <w:vertAlign w:val="superscript"/>
        </w:rPr>
        <w:t>2</w:t>
      </w:r>
      <w:r>
        <w:rPr>
          <w:b/>
          <w:sz w:val="22"/>
          <w:szCs w:val="22"/>
        </w:rPr>
        <w:t>)</w:t>
      </w:r>
    </w:p>
    <w:p w:rsidR="001B1BA2" w:rsidRDefault="001B1BA2" w:rsidP="001B1BA2">
      <w:pPr>
        <w:pStyle w:val="Text"/>
        <w:tabs>
          <w:tab w:val="left" w:pos="851"/>
        </w:tabs>
        <w:ind w:right="424"/>
        <w:rPr>
          <w:sz w:val="22"/>
          <w:szCs w:val="22"/>
        </w:rPr>
      </w:pPr>
      <w:r>
        <w:rPr>
          <w:sz w:val="22"/>
          <w:szCs w:val="22"/>
        </w:rPr>
        <w:t xml:space="preserve">The Southeast Region extends from New River Lagoon on the south coast to Long Point on the east coast. It adjoins the southwest, central and northeast regions.  This region includes the </w:t>
      </w:r>
      <w:proofErr w:type="spellStart"/>
      <w:r>
        <w:rPr>
          <w:sz w:val="22"/>
          <w:szCs w:val="22"/>
        </w:rPr>
        <w:t>D’Entrecasteaux</w:t>
      </w:r>
      <w:proofErr w:type="spellEnd"/>
      <w:r>
        <w:rPr>
          <w:sz w:val="22"/>
          <w:szCs w:val="22"/>
        </w:rPr>
        <w:t xml:space="preserve"> Channel area, the </w:t>
      </w:r>
      <w:smartTag w:uri="urn:schemas-microsoft-com:office:smarttags" w:element="PlaceName">
        <w:r>
          <w:rPr>
            <w:sz w:val="22"/>
            <w:szCs w:val="22"/>
          </w:rPr>
          <w:t>Tasman</w:t>
        </w:r>
      </w:smartTag>
      <w:r>
        <w:rPr>
          <w:sz w:val="22"/>
          <w:szCs w:val="22"/>
        </w:rPr>
        <w:t xml:space="preserve"> </w:t>
      </w:r>
      <w:smartTag w:uri="urn:schemas-microsoft-com:office:smarttags" w:element="PlaceType">
        <w:r>
          <w:rPr>
            <w:sz w:val="22"/>
            <w:szCs w:val="22"/>
          </w:rPr>
          <w:t>Peninsula</w:t>
        </w:r>
      </w:smartTag>
      <w:r>
        <w:rPr>
          <w:sz w:val="22"/>
          <w:szCs w:val="22"/>
        </w:rPr>
        <w:t xml:space="preserve">, and much of the </w:t>
      </w:r>
      <w:smartTag w:uri="urn:schemas-microsoft-com:office:smarttags" w:element="place">
        <w:smartTag w:uri="urn:schemas-microsoft-com:office:smarttags" w:element="PlaceName">
          <w:smartTag w:uri="urn:schemas-microsoft-com:office:smarttags" w:element="PlaceName">
            <w:r>
              <w:rPr>
                <w:sz w:val="22"/>
                <w:szCs w:val="22"/>
              </w:rPr>
              <w:t>Derwent</w:t>
            </w:r>
          </w:smartTag>
          <w:r>
            <w:rPr>
              <w:sz w:val="22"/>
              <w:szCs w:val="22"/>
            </w:rPr>
            <w:t xml:space="preserve"> </w:t>
          </w:r>
          <w:smartTag w:uri="urn:schemas-microsoft-com:office:smarttags" w:element="PlaceType">
            <w:r>
              <w:rPr>
                <w:sz w:val="22"/>
                <w:szCs w:val="22"/>
              </w:rPr>
              <w:t>River</w:t>
            </w:r>
          </w:smartTag>
          <w:r>
            <w:rPr>
              <w:sz w:val="22"/>
              <w:szCs w:val="22"/>
            </w:rPr>
            <w:t xml:space="preserve"> </w:t>
          </w:r>
          <w:smartTag w:uri="urn:schemas-microsoft-com:office:smarttags" w:element="PlaceType">
            <w:r>
              <w:rPr>
                <w:sz w:val="22"/>
                <w:szCs w:val="22"/>
              </w:rPr>
              <w:t>Valley</w:t>
            </w:r>
          </w:smartTag>
        </w:smartTag>
      </w:smartTag>
      <w:r>
        <w:rPr>
          <w:sz w:val="22"/>
          <w:szCs w:val="22"/>
        </w:rPr>
        <w:t xml:space="preserve"> and the east coast.  This region is highly developed for agriculture, including a number of high-value crops, and therefore there is a large demand for crop protection permits.  Possum densities in this region are high.</w:t>
      </w:r>
    </w:p>
    <w:p w:rsidR="001B1BA2" w:rsidRDefault="001B1BA2" w:rsidP="001B1BA2">
      <w:pPr>
        <w:pStyle w:val="Text"/>
        <w:tabs>
          <w:tab w:val="left" w:pos="851"/>
        </w:tabs>
        <w:ind w:right="424"/>
        <w:rPr>
          <w:b/>
          <w:sz w:val="22"/>
          <w:szCs w:val="22"/>
        </w:rPr>
      </w:pPr>
      <w:r>
        <w:rPr>
          <w:b/>
          <w:sz w:val="22"/>
          <w:szCs w:val="22"/>
        </w:rPr>
        <w:t>Central Region (9,041 km</w:t>
      </w:r>
      <w:r>
        <w:rPr>
          <w:b/>
          <w:sz w:val="22"/>
          <w:szCs w:val="22"/>
          <w:vertAlign w:val="superscript"/>
        </w:rPr>
        <w:t>2</w:t>
      </w:r>
      <w:r>
        <w:rPr>
          <w:b/>
          <w:sz w:val="22"/>
          <w:szCs w:val="22"/>
        </w:rPr>
        <w:t>)</w:t>
      </w:r>
    </w:p>
    <w:p w:rsidR="001B1BA2" w:rsidRDefault="001B1BA2" w:rsidP="001B1BA2">
      <w:pPr>
        <w:pStyle w:val="Text"/>
        <w:tabs>
          <w:tab w:val="left" w:pos="851"/>
        </w:tabs>
        <w:ind w:right="424"/>
        <w:rPr>
          <w:sz w:val="22"/>
          <w:szCs w:val="22"/>
        </w:rPr>
      </w:pPr>
      <w:r>
        <w:rPr>
          <w:sz w:val="22"/>
          <w:szCs w:val="22"/>
        </w:rPr>
        <w:t xml:space="preserve">The Central region is bounded by all other regions and encompasses much of the Central Plateau and the </w:t>
      </w:r>
      <w:smartTag w:uri="urn:schemas-microsoft-com:office:smarttags" w:element="place">
        <w:r>
          <w:rPr>
            <w:sz w:val="22"/>
            <w:szCs w:val="22"/>
          </w:rPr>
          <w:t>Midlands</w:t>
        </w:r>
      </w:smartTag>
      <w:r>
        <w:rPr>
          <w:sz w:val="22"/>
          <w:szCs w:val="22"/>
        </w:rPr>
        <w:t xml:space="preserve">.  The </w:t>
      </w:r>
      <w:smartTag w:uri="urn:schemas-microsoft-com:office:smarttags" w:element="place">
        <w:r>
          <w:rPr>
            <w:sz w:val="22"/>
            <w:szCs w:val="22"/>
          </w:rPr>
          <w:t>Midlands</w:t>
        </w:r>
      </w:smartTag>
      <w:r>
        <w:rPr>
          <w:sz w:val="22"/>
          <w:szCs w:val="22"/>
        </w:rPr>
        <w:t xml:space="preserve"> area has been highly modified since European settlement and is now dominated by agricultural land use.  In particular, the loss of natural habitat through the clearing of areas of native vegetation and the growing of crops has seen the encroachment of possums onto farming properties and they have particularly flourished in this region.  Possum densities in this region are very high.</w:t>
      </w:r>
    </w:p>
    <w:p w:rsidR="001B1BA2" w:rsidRDefault="001B1BA2" w:rsidP="001B1BA2">
      <w:pPr>
        <w:pStyle w:val="Text"/>
        <w:tabs>
          <w:tab w:val="left" w:pos="851"/>
        </w:tabs>
        <w:ind w:right="424"/>
        <w:rPr>
          <w:b/>
          <w:sz w:val="22"/>
          <w:szCs w:val="22"/>
        </w:rPr>
      </w:pPr>
      <w:r>
        <w:rPr>
          <w:b/>
          <w:sz w:val="22"/>
          <w:szCs w:val="22"/>
        </w:rPr>
        <w:t>Northeast Region (11,300 km</w:t>
      </w:r>
      <w:r>
        <w:rPr>
          <w:b/>
          <w:sz w:val="22"/>
          <w:szCs w:val="22"/>
          <w:vertAlign w:val="superscript"/>
        </w:rPr>
        <w:t>2</w:t>
      </w:r>
      <w:r>
        <w:rPr>
          <w:b/>
          <w:sz w:val="22"/>
          <w:szCs w:val="22"/>
        </w:rPr>
        <w:t>)</w:t>
      </w:r>
    </w:p>
    <w:p w:rsidR="001B1BA2" w:rsidRDefault="001B1BA2" w:rsidP="001B1BA2">
      <w:pPr>
        <w:pStyle w:val="Text"/>
        <w:tabs>
          <w:tab w:val="left" w:pos="851"/>
        </w:tabs>
        <w:ind w:right="424"/>
        <w:rPr>
          <w:sz w:val="22"/>
          <w:szCs w:val="22"/>
        </w:rPr>
      </w:pPr>
      <w:r>
        <w:rPr>
          <w:sz w:val="22"/>
          <w:szCs w:val="22"/>
        </w:rPr>
        <w:t xml:space="preserve">The Northeast region extends from Long Point on the east coast to the mouth of the </w:t>
      </w:r>
      <w:smartTag w:uri="urn:schemas-microsoft-com:office:smarttags" w:element="place">
        <w:smartTag w:uri="urn:schemas-microsoft-com:office:smarttags" w:element="PlaceName">
          <w:smartTag w:uri="urn:schemas-microsoft-com:office:smarttags" w:element="PlaceName">
            <w:r>
              <w:rPr>
                <w:sz w:val="22"/>
                <w:szCs w:val="22"/>
              </w:rPr>
              <w:t>Rubicon</w:t>
            </w:r>
          </w:smartTag>
          <w:r>
            <w:rPr>
              <w:sz w:val="22"/>
              <w:szCs w:val="22"/>
            </w:rPr>
            <w:t xml:space="preserve"> </w:t>
          </w:r>
          <w:smartTag w:uri="urn:schemas-microsoft-com:office:smarttags" w:element="PlaceType">
            <w:r>
              <w:rPr>
                <w:sz w:val="22"/>
                <w:szCs w:val="22"/>
              </w:rPr>
              <w:t>River</w:t>
            </w:r>
          </w:smartTag>
        </w:smartTag>
      </w:smartTag>
      <w:r>
        <w:rPr>
          <w:sz w:val="22"/>
          <w:szCs w:val="22"/>
        </w:rPr>
        <w:t xml:space="preserve"> on the north coast.  It encompasses the hinterland south of Launceston to Longford and westward to Westbury, as well as the </w:t>
      </w:r>
      <w:smartTag w:uri="urn:schemas-microsoft-com:office:smarttags" w:element="PlaceName">
        <w:r>
          <w:rPr>
            <w:sz w:val="22"/>
            <w:szCs w:val="22"/>
          </w:rPr>
          <w:t>Tamar</w:t>
        </w:r>
      </w:smartTag>
      <w:r>
        <w:rPr>
          <w:sz w:val="22"/>
          <w:szCs w:val="22"/>
        </w:rPr>
        <w:t xml:space="preserve"> </w:t>
      </w:r>
      <w:smartTag w:uri="urn:schemas-microsoft-com:office:smarttags" w:element="PlaceName">
        <w:r>
          <w:rPr>
            <w:sz w:val="22"/>
            <w:szCs w:val="22"/>
          </w:rPr>
          <w:t>Valley</w:t>
        </w:r>
      </w:smartTag>
      <w:r>
        <w:rPr>
          <w:sz w:val="22"/>
          <w:szCs w:val="22"/>
        </w:rPr>
        <w:t xml:space="preserve"> and the </w:t>
      </w:r>
      <w:smartTag w:uri="urn:schemas-microsoft-com:office:smarttags" w:element="place">
        <w:smartTag w:uri="urn:schemas-microsoft-com:office:smarttags" w:element="PlaceName">
          <w:smartTag w:uri="urn:schemas-microsoft-com:office:smarttags" w:element="PlaceName">
            <w:r>
              <w:rPr>
                <w:sz w:val="22"/>
                <w:szCs w:val="22"/>
              </w:rPr>
              <w:t>Fingal</w:t>
            </w:r>
          </w:smartTag>
          <w:r>
            <w:rPr>
              <w:sz w:val="22"/>
              <w:szCs w:val="22"/>
            </w:rPr>
            <w:t xml:space="preserve"> </w:t>
          </w:r>
          <w:smartTag w:uri="urn:schemas-microsoft-com:office:smarttags" w:element="PlaceType">
            <w:r>
              <w:rPr>
                <w:sz w:val="22"/>
                <w:szCs w:val="22"/>
              </w:rPr>
              <w:t>Valley</w:t>
            </w:r>
          </w:smartTag>
        </w:smartTag>
      </w:smartTag>
      <w:r>
        <w:rPr>
          <w:sz w:val="22"/>
          <w:szCs w:val="22"/>
        </w:rPr>
        <w:t xml:space="preserve"> in the south.  This region has several important agricultural areas, particularly in the vicinities of Longford and </w:t>
      </w:r>
      <w:smartTag w:uri="urn:schemas-microsoft-com:office:smarttags" w:element="place">
        <w:smartTag w:uri="urn:schemas-microsoft-com:office:smarttags" w:element="City">
          <w:r>
            <w:rPr>
              <w:sz w:val="22"/>
              <w:szCs w:val="22"/>
            </w:rPr>
            <w:t>Scottsdale</w:t>
          </w:r>
        </w:smartTag>
      </w:smartTag>
      <w:r>
        <w:rPr>
          <w:sz w:val="22"/>
          <w:szCs w:val="22"/>
        </w:rPr>
        <w:t xml:space="preserve"> as well as the northeast coast.  Possum densities in this region range from moderate to high.</w:t>
      </w:r>
    </w:p>
    <w:p w:rsidR="001B1BA2" w:rsidRDefault="001B1BA2" w:rsidP="001B1BA2">
      <w:pPr>
        <w:pStyle w:val="Text"/>
        <w:tabs>
          <w:tab w:val="left" w:pos="851"/>
        </w:tabs>
        <w:ind w:right="424"/>
        <w:rPr>
          <w:b/>
          <w:sz w:val="22"/>
          <w:szCs w:val="22"/>
        </w:rPr>
      </w:pPr>
      <w:r>
        <w:rPr>
          <w:b/>
          <w:sz w:val="22"/>
          <w:szCs w:val="22"/>
        </w:rPr>
        <w:t>Northwest Region (9,949 km</w:t>
      </w:r>
      <w:r>
        <w:rPr>
          <w:b/>
          <w:sz w:val="22"/>
          <w:szCs w:val="22"/>
          <w:vertAlign w:val="superscript"/>
        </w:rPr>
        <w:t>2</w:t>
      </w:r>
      <w:r>
        <w:rPr>
          <w:b/>
          <w:sz w:val="22"/>
          <w:szCs w:val="22"/>
        </w:rPr>
        <w:t>)</w:t>
      </w:r>
    </w:p>
    <w:p w:rsidR="001B1BA2" w:rsidRDefault="001B1BA2" w:rsidP="001B1BA2">
      <w:pPr>
        <w:pStyle w:val="Text"/>
        <w:tabs>
          <w:tab w:val="left" w:pos="851"/>
        </w:tabs>
        <w:ind w:right="424"/>
        <w:rPr>
          <w:sz w:val="22"/>
          <w:szCs w:val="22"/>
        </w:rPr>
      </w:pPr>
      <w:r>
        <w:rPr>
          <w:sz w:val="22"/>
          <w:szCs w:val="22"/>
        </w:rPr>
        <w:t xml:space="preserve">The Northwest region extends from Liffey at the boundary of the Central region through Westbury to the north coast and to </w:t>
      </w:r>
      <w:smartTag w:uri="urn:schemas-microsoft-com:office:smarttags" w:element="place">
        <w:smartTag w:uri="urn:schemas-microsoft-com:office:smarttags" w:element="PlaceName">
          <w:smartTag w:uri="urn:schemas-microsoft-com:office:smarttags" w:element="PlaceName">
            <w:r>
              <w:rPr>
                <w:sz w:val="22"/>
                <w:szCs w:val="22"/>
              </w:rPr>
              <w:t>Sandy</w:t>
            </w:r>
          </w:smartTag>
          <w:r>
            <w:rPr>
              <w:sz w:val="22"/>
              <w:szCs w:val="22"/>
            </w:rPr>
            <w:t xml:space="preserve"> </w:t>
          </w:r>
          <w:smartTag w:uri="urn:schemas-microsoft-com:office:smarttags" w:element="PlaceName">
            <w:r>
              <w:rPr>
                <w:sz w:val="22"/>
                <w:szCs w:val="22"/>
              </w:rPr>
              <w:t>Cape</w:t>
            </w:r>
          </w:smartTag>
        </w:smartTag>
      </w:smartTag>
      <w:r>
        <w:rPr>
          <w:sz w:val="22"/>
          <w:szCs w:val="22"/>
        </w:rPr>
        <w:t xml:space="preserve"> on the west coast.  It includes the far northwest as well as the Smithton, </w:t>
      </w:r>
      <w:smartTag w:uri="urn:schemas-microsoft-com:office:smarttags" w:element="place">
        <w:smartTag w:uri="urn:schemas-microsoft-com:office:smarttags" w:element="City">
          <w:r>
            <w:rPr>
              <w:sz w:val="22"/>
              <w:szCs w:val="22"/>
            </w:rPr>
            <w:t>Somerset</w:t>
          </w:r>
        </w:smartTag>
      </w:smartTag>
      <w:r>
        <w:rPr>
          <w:sz w:val="22"/>
          <w:szCs w:val="22"/>
        </w:rPr>
        <w:t>, Burnie, Devonport and Deloraine areas.  Impacts to farming activities on high value agricultural lands are felt in the region although to a lesser extent than the central region due to the larger area of natural habitat available to possums.  Possum densities in this region are low.</w:t>
      </w:r>
    </w:p>
    <w:p w:rsidR="001B1BA2" w:rsidRDefault="001B1BA2" w:rsidP="001B1BA2">
      <w:pPr>
        <w:tabs>
          <w:tab w:val="left" w:pos="851"/>
        </w:tabs>
        <w:ind w:right="424"/>
        <w:rPr>
          <w:rFonts w:ascii="Garamond" w:hAnsi="Garamond"/>
          <w:sz w:val="22"/>
          <w:szCs w:val="22"/>
        </w:rPr>
        <w:sectPr w:rsidR="001B1BA2">
          <w:headerReference w:type="even" r:id="rId6"/>
          <w:headerReference w:type="default" r:id="rId7"/>
          <w:footerReference w:type="default" r:id="rId8"/>
          <w:pgSz w:w="11880" w:h="16820" w:code="9"/>
          <w:pgMar w:top="1134" w:right="1134" w:bottom="1134" w:left="1134" w:header="720" w:footer="720" w:gutter="567"/>
          <w:pgNumType w:start="1"/>
          <w:cols w:space="720"/>
        </w:sectPr>
      </w:pPr>
    </w:p>
    <w:p w:rsidR="001B1BA2" w:rsidRDefault="001B1BA2" w:rsidP="001B1BA2">
      <w:pPr>
        <w:pBdr>
          <w:top w:val="single" w:sz="4" w:space="1" w:color="auto"/>
          <w:left w:val="single" w:sz="4" w:space="4" w:color="auto"/>
          <w:bottom w:val="single" w:sz="4" w:space="1" w:color="auto"/>
          <w:right w:val="single" w:sz="4" w:space="4" w:color="auto"/>
        </w:pBdr>
        <w:tabs>
          <w:tab w:val="left" w:pos="851"/>
        </w:tabs>
        <w:ind w:right="424"/>
      </w:pPr>
      <w:r>
        <w:rPr>
          <w:noProof/>
          <w:lang w:eastAsia="en-AU"/>
        </w:rPr>
        <w:lastRenderedPageBreak/>
        <w:drawing>
          <wp:inline distT="0" distB="0" distL="0" distR="0">
            <wp:extent cx="5705475" cy="7934325"/>
            <wp:effectExtent l="19050" t="0" r="9525" b="0"/>
            <wp:docPr id="1" name="Picture 9" descr="spotlight ro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otlight routes"/>
                    <pic:cNvPicPr>
                      <a:picLocks noChangeAspect="1" noChangeArrowheads="1"/>
                    </pic:cNvPicPr>
                  </pic:nvPicPr>
                  <pic:blipFill>
                    <a:blip r:embed="rId9" cstate="print"/>
                    <a:srcRect/>
                    <a:stretch>
                      <a:fillRect/>
                    </a:stretch>
                  </pic:blipFill>
                  <pic:spPr bwMode="auto">
                    <a:xfrm>
                      <a:off x="0" y="0"/>
                      <a:ext cx="5705475" cy="7934325"/>
                    </a:xfrm>
                    <a:prstGeom prst="rect">
                      <a:avLst/>
                    </a:prstGeom>
                    <a:noFill/>
                    <a:ln w="9525">
                      <a:noFill/>
                      <a:miter lim="800000"/>
                      <a:headEnd/>
                      <a:tailEnd/>
                    </a:ln>
                  </pic:spPr>
                </pic:pic>
              </a:graphicData>
            </a:graphic>
          </wp:inline>
        </w:drawing>
      </w:r>
    </w:p>
    <w:p w:rsidR="00E25075" w:rsidRDefault="001B1BA2" w:rsidP="001B1BA2">
      <w:pPr>
        <w:pStyle w:val="Text"/>
        <w:tabs>
          <w:tab w:val="left" w:pos="851"/>
        </w:tabs>
        <w:ind w:right="424"/>
      </w:pPr>
      <w:bookmarkStart w:id="3" w:name="_Ref53457343"/>
      <w:r>
        <w:rPr>
          <w:b/>
        </w:rPr>
        <w:t>Figure 1</w:t>
      </w:r>
      <w:bookmarkEnd w:id="2"/>
      <w:bookmarkEnd w:id="3"/>
      <w:r>
        <w:rPr>
          <w:b/>
        </w:rPr>
        <w:t xml:space="preserve">: </w:t>
      </w:r>
      <w:proofErr w:type="spellStart"/>
      <w:r>
        <w:rPr>
          <w:b/>
        </w:rPr>
        <w:t>Brushtail</w:t>
      </w:r>
      <w:proofErr w:type="spellEnd"/>
      <w:r>
        <w:rPr>
          <w:b/>
        </w:rPr>
        <w:t xml:space="preserve"> possum management regions and survey routes for population monitoring, mainland Tasmania.</w:t>
      </w:r>
    </w:p>
    <w:sectPr w:rsidR="00E25075" w:rsidSect="001B1BA2">
      <w:pgSz w:w="12240" w:h="15840"/>
      <w:pgMar w:top="1440"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988" w:rsidRDefault="000A2988" w:rsidP="00D644B7">
      <w:pPr>
        <w:spacing w:before="0" w:after="0"/>
      </w:pPr>
      <w:r>
        <w:separator/>
      </w:r>
    </w:p>
  </w:endnote>
  <w:endnote w:type="continuationSeparator" w:id="0">
    <w:p w:rsidR="000A2988" w:rsidRDefault="000A2988" w:rsidP="00D644B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45" w:rsidRDefault="00E112AD">
    <w:pPr>
      <w:pStyle w:val="Footer"/>
      <w:ind w:right="-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988" w:rsidRDefault="000A2988" w:rsidP="00D644B7">
      <w:pPr>
        <w:spacing w:before="0" w:after="0"/>
      </w:pPr>
      <w:r>
        <w:separator/>
      </w:r>
    </w:p>
  </w:footnote>
  <w:footnote w:type="continuationSeparator" w:id="0">
    <w:p w:rsidR="000A2988" w:rsidRDefault="000A2988" w:rsidP="00D644B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45" w:rsidRDefault="001B1BA2">
    <w:pPr>
      <w:pStyle w:val="Header"/>
      <w:tabs>
        <w:tab w:val="clear" w:pos="8306"/>
        <w:tab w:val="left" w:pos="7088"/>
        <w:tab w:val="left" w:pos="8080"/>
        <w:tab w:val="right" w:pos="8931"/>
      </w:tabs>
      <w:rPr>
        <w:u w:val="single"/>
      </w:rPr>
    </w:pPr>
    <w:r>
      <w:rPr>
        <w:u w:val="single"/>
      </w:rPr>
      <w:tab/>
    </w:r>
    <w:r>
      <w:rPr>
        <w:u w:val="single"/>
      </w:rPr>
      <w:tab/>
    </w:r>
    <w:r>
      <w:rPr>
        <w:u w:val="single"/>
      </w:rPr>
      <w:tab/>
    </w:r>
    <w:r>
      <w:rPr>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45" w:rsidRDefault="00E112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1B1BA2"/>
    <w:rsid w:val="000A2988"/>
    <w:rsid w:val="001B1BA2"/>
    <w:rsid w:val="001F53B6"/>
    <w:rsid w:val="002331DE"/>
    <w:rsid w:val="002B3B9F"/>
    <w:rsid w:val="0031281C"/>
    <w:rsid w:val="003768E2"/>
    <w:rsid w:val="004F5B46"/>
    <w:rsid w:val="005E037A"/>
    <w:rsid w:val="0099054E"/>
    <w:rsid w:val="009A3082"/>
    <w:rsid w:val="00A11D6F"/>
    <w:rsid w:val="00AA4FB4"/>
    <w:rsid w:val="00CA2B10"/>
    <w:rsid w:val="00D644B7"/>
    <w:rsid w:val="00E112AD"/>
    <w:rsid w:val="00E667B2"/>
    <w:rsid w:val="00F466BB"/>
    <w:rsid w:val="00F9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A2"/>
    <w:pPr>
      <w:spacing w:before="120" w:after="120"/>
      <w:jc w:val="both"/>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B1BA2"/>
    <w:rPr>
      <w:rFonts w:ascii="Garamond" w:hAnsi="Garamond"/>
      <w:sz w:val="24"/>
    </w:rPr>
  </w:style>
  <w:style w:type="paragraph" w:styleId="Header">
    <w:name w:val="header"/>
    <w:basedOn w:val="Normal"/>
    <w:link w:val="HeaderChar"/>
    <w:rsid w:val="001B1BA2"/>
    <w:pPr>
      <w:tabs>
        <w:tab w:val="center" w:pos="4153"/>
        <w:tab w:val="right" w:pos="8306"/>
      </w:tabs>
      <w:spacing w:before="60" w:after="60"/>
    </w:pPr>
    <w:rPr>
      <w:rFonts w:ascii="Garamond" w:hAnsi="Garamond"/>
      <w:i/>
      <w:sz w:val="24"/>
    </w:rPr>
  </w:style>
  <w:style w:type="character" w:customStyle="1" w:styleId="HeaderChar">
    <w:name w:val="Header Char"/>
    <w:basedOn w:val="DefaultParagraphFont"/>
    <w:link w:val="Header"/>
    <w:rsid w:val="001B1BA2"/>
    <w:rPr>
      <w:rFonts w:ascii="Garamond" w:eastAsia="Times New Roman" w:hAnsi="Garamond" w:cs="Times New Roman"/>
      <w:i/>
      <w:sz w:val="24"/>
      <w:szCs w:val="20"/>
      <w:lang w:val="en-AU"/>
    </w:rPr>
  </w:style>
  <w:style w:type="paragraph" w:styleId="Footer">
    <w:name w:val="footer"/>
    <w:basedOn w:val="Normal"/>
    <w:link w:val="FooterChar"/>
    <w:rsid w:val="001B1BA2"/>
    <w:pPr>
      <w:tabs>
        <w:tab w:val="center" w:pos="4153"/>
        <w:tab w:val="right" w:pos="8306"/>
      </w:tabs>
      <w:spacing w:before="60" w:after="60"/>
    </w:pPr>
    <w:rPr>
      <w:rFonts w:ascii="Garamond" w:hAnsi="Garamond"/>
      <w:i/>
      <w:sz w:val="24"/>
    </w:rPr>
  </w:style>
  <w:style w:type="character" w:customStyle="1" w:styleId="FooterChar">
    <w:name w:val="Footer Char"/>
    <w:basedOn w:val="DefaultParagraphFont"/>
    <w:link w:val="Footer"/>
    <w:rsid w:val="001B1BA2"/>
    <w:rPr>
      <w:rFonts w:ascii="Garamond" w:eastAsia="Times New Roman" w:hAnsi="Garamond" w:cs="Times New Roman"/>
      <w:i/>
      <w:sz w:val="24"/>
      <w:szCs w:val="20"/>
      <w:lang w:val="en-AU"/>
    </w:rPr>
  </w:style>
  <w:style w:type="paragraph" w:styleId="BalloonText">
    <w:name w:val="Balloon Text"/>
    <w:basedOn w:val="Normal"/>
    <w:link w:val="BalloonTextChar"/>
    <w:uiPriority w:val="99"/>
    <w:semiHidden/>
    <w:unhideWhenUsed/>
    <w:rsid w:val="001B1B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BA2"/>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A2"/>
    <w:pPr>
      <w:spacing w:before="120" w:after="120"/>
      <w:jc w:val="both"/>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B1BA2"/>
    <w:rPr>
      <w:rFonts w:ascii="Garamond" w:hAnsi="Garamond"/>
      <w:sz w:val="24"/>
    </w:rPr>
  </w:style>
  <w:style w:type="paragraph" w:styleId="Header">
    <w:name w:val="header"/>
    <w:basedOn w:val="Normal"/>
    <w:link w:val="HeaderChar"/>
    <w:rsid w:val="001B1BA2"/>
    <w:pPr>
      <w:tabs>
        <w:tab w:val="center" w:pos="4153"/>
        <w:tab w:val="right" w:pos="8306"/>
      </w:tabs>
      <w:spacing w:before="60" w:after="60"/>
    </w:pPr>
    <w:rPr>
      <w:rFonts w:ascii="Garamond" w:hAnsi="Garamond"/>
      <w:i/>
      <w:sz w:val="24"/>
    </w:rPr>
  </w:style>
  <w:style w:type="character" w:customStyle="1" w:styleId="HeaderChar">
    <w:name w:val="Header Char"/>
    <w:basedOn w:val="DefaultParagraphFont"/>
    <w:link w:val="Header"/>
    <w:rsid w:val="001B1BA2"/>
    <w:rPr>
      <w:rFonts w:ascii="Garamond" w:eastAsia="Times New Roman" w:hAnsi="Garamond" w:cs="Times New Roman"/>
      <w:i/>
      <w:sz w:val="24"/>
      <w:szCs w:val="20"/>
      <w:lang w:val="en-AU"/>
    </w:rPr>
  </w:style>
  <w:style w:type="paragraph" w:styleId="Footer">
    <w:name w:val="footer"/>
    <w:basedOn w:val="Normal"/>
    <w:link w:val="FooterChar"/>
    <w:rsid w:val="001B1BA2"/>
    <w:pPr>
      <w:tabs>
        <w:tab w:val="center" w:pos="4153"/>
        <w:tab w:val="right" w:pos="8306"/>
      </w:tabs>
      <w:spacing w:before="60" w:after="60"/>
    </w:pPr>
    <w:rPr>
      <w:rFonts w:ascii="Garamond" w:hAnsi="Garamond"/>
      <w:i/>
      <w:sz w:val="24"/>
    </w:rPr>
  </w:style>
  <w:style w:type="character" w:customStyle="1" w:styleId="FooterChar">
    <w:name w:val="Footer Char"/>
    <w:basedOn w:val="DefaultParagraphFont"/>
    <w:link w:val="Footer"/>
    <w:rsid w:val="001B1BA2"/>
    <w:rPr>
      <w:rFonts w:ascii="Garamond" w:eastAsia="Times New Roman" w:hAnsi="Garamond" w:cs="Times New Roman"/>
      <w:i/>
      <w:sz w:val="24"/>
      <w:szCs w:val="20"/>
      <w:lang w:val="en-AU"/>
    </w:rPr>
  </w:style>
  <w:style w:type="paragraph" w:styleId="BalloonText">
    <w:name w:val="Balloon Text"/>
    <w:basedOn w:val="Normal"/>
    <w:link w:val="BalloonTextChar"/>
    <w:uiPriority w:val="99"/>
    <w:semiHidden/>
    <w:unhideWhenUsed/>
    <w:rsid w:val="001B1B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BA2"/>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DPIW</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Plan for the Commercial Harvest and Export of Brushtail Possums in Tasmania 2015-2020 Appendix 1</dc:title>
  <dc:creator>Department of Primary Industries, Parks, Water and Environment</dc:creator>
  <cp:lastModifiedBy>Rebecca Durack</cp:lastModifiedBy>
  <cp:revision>3</cp:revision>
  <dcterms:created xsi:type="dcterms:W3CDTF">2015-08-26T01:24:00Z</dcterms:created>
  <dcterms:modified xsi:type="dcterms:W3CDTF">2015-08-26T01:26:00Z</dcterms:modified>
  <cp:contentStatus/>
</cp:coreProperties>
</file>