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7C14A" w14:textId="3BCA7A16" w:rsidR="00904B20" w:rsidRPr="00904B20" w:rsidRDefault="00904B20" w:rsidP="00904B20">
      <w:pPr>
        <w:keepNext/>
        <w:keepLines/>
        <w:tabs>
          <w:tab w:val="left" w:pos="5745"/>
        </w:tabs>
        <w:overflowPunct w:val="0"/>
        <w:autoSpaceDE w:val="0"/>
        <w:autoSpaceDN w:val="0"/>
        <w:adjustRightInd w:val="0"/>
        <w:spacing w:before="240"/>
        <w:ind w:left="0" w:right="0"/>
        <w:jc w:val="left"/>
        <w:textAlignment w:val="baseline"/>
        <w:outlineLvl w:val="0"/>
        <w:rPr>
          <w:rFonts w:ascii="Cambria" w:eastAsia="Times New Roman" w:hAnsi="Cambria"/>
          <w:b/>
          <w:bCs/>
          <w:sz w:val="32"/>
          <w:szCs w:val="36"/>
        </w:rPr>
      </w:pPr>
      <w:r w:rsidRPr="00904B20">
        <w:rPr>
          <w:rFonts w:ascii="Cambria" w:eastAsia="Times New Roman" w:hAnsi="Cambria"/>
          <w:b/>
          <w:bCs/>
          <w:sz w:val="32"/>
          <w:szCs w:val="36"/>
        </w:rPr>
        <w:t xml:space="preserve">Quick reference guide for </w:t>
      </w:r>
      <w:r>
        <w:rPr>
          <w:rFonts w:ascii="Cambria" w:eastAsia="Times New Roman" w:hAnsi="Cambria"/>
          <w:b/>
          <w:bCs/>
          <w:sz w:val="32"/>
          <w:szCs w:val="36"/>
        </w:rPr>
        <w:t>Tasmania</w:t>
      </w:r>
    </w:p>
    <w:p w14:paraId="6B5C7F36" w14:textId="527CBB28" w:rsidR="00883354" w:rsidRDefault="007B51F6" w:rsidP="00904B20">
      <w:pPr>
        <w:ind w:left="0"/>
        <w:jc w:val="both"/>
      </w:pPr>
      <w:r>
        <w:t xml:space="preserve">This Quick Reference Guide supports the </w:t>
      </w:r>
      <w:r>
        <w:rPr>
          <w:b/>
        </w:rPr>
        <w:t>State Specific Guideline</w:t>
      </w:r>
      <w:r w:rsidR="00904B20">
        <w:rPr>
          <w:b/>
        </w:rPr>
        <w:t xml:space="preserve"> (SSG)</w:t>
      </w:r>
      <w:r>
        <w:t xml:space="preserve"> for </w:t>
      </w:r>
      <w:r>
        <w:rPr>
          <w:b/>
        </w:rPr>
        <w:t xml:space="preserve">Tasmania </w:t>
      </w:r>
      <w:r>
        <w:t xml:space="preserve">(the Tasmanian Guideline). These documents may be used by processors of raw logs from Tasmania to facilitate their due diligence process in accordance with the </w:t>
      </w:r>
      <w:r>
        <w:rPr>
          <w:i/>
        </w:rPr>
        <w:t xml:space="preserve">Illegal Logging Prohibition Act 2012 </w:t>
      </w:r>
      <w:r>
        <w:t>and the</w:t>
      </w:r>
      <w:r>
        <w:rPr>
          <w:i/>
        </w:rPr>
        <w:t xml:space="preserve"> Illegal Logging Prohibition Regulation 201</w:t>
      </w:r>
      <w:r w:rsidR="005F6D0B">
        <w:rPr>
          <w:i/>
        </w:rPr>
        <w:t>2</w:t>
      </w:r>
      <w:r>
        <w:t>.</w:t>
      </w:r>
    </w:p>
    <w:p w14:paraId="56891E6C" w14:textId="77777777" w:rsidR="00883354" w:rsidRDefault="00883354" w:rsidP="00904B20">
      <w:pPr>
        <w:ind w:left="0"/>
        <w:jc w:val="left"/>
        <w:rPr>
          <w:rFonts w:ascii="Cambria" w:hAnsi="Cambria"/>
          <w:b/>
          <w:sz w:val="24"/>
          <w:szCs w:val="24"/>
        </w:rPr>
      </w:pPr>
    </w:p>
    <w:p w14:paraId="6560F883" w14:textId="77777777" w:rsidR="00883354" w:rsidRDefault="007B51F6" w:rsidP="00904B20">
      <w:pPr>
        <w:ind w:left="0"/>
        <w:jc w:val="left"/>
        <w:rPr>
          <w:rFonts w:ascii="Cambria" w:hAnsi="Cambria"/>
          <w:b/>
          <w:sz w:val="24"/>
          <w:szCs w:val="24"/>
        </w:rPr>
      </w:pPr>
      <w:bookmarkStart w:id="0" w:name="_Toc372122908"/>
      <w:r>
        <w:rPr>
          <w:rFonts w:ascii="Cambria" w:hAnsi="Cambria"/>
          <w:b/>
          <w:sz w:val="24"/>
          <w:szCs w:val="24"/>
        </w:rPr>
        <w:t>Documents to demonstrate legality of timber</w:t>
      </w:r>
      <w:bookmarkEnd w:id="0"/>
      <w:r>
        <w:rPr>
          <w:rFonts w:ascii="Cambria" w:hAnsi="Cambria"/>
          <w:b/>
          <w:sz w:val="24"/>
          <w:szCs w:val="24"/>
        </w:rPr>
        <w:t xml:space="preserve"> from Tasmania</w:t>
      </w:r>
    </w:p>
    <w:p w14:paraId="04466805" w14:textId="77777777" w:rsidR="00883354" w:rsidRDefault="007B51F6" w:rsidP="00904B20">
      <w:pPr>
        <w:ind w:left="0"/>
        <w:jc w:val="both"/>
      </w:pPr>
      <w:r>
        <w:t>Tasmanian forestry is regulated through two systems: at the state government level through the forest practices system and at the local government level through individual planning schemes. Evidence of compliance with Tasmania’s forestry legislation can be demonstrated with:</w:t>
      </w:r>
    </w:p>
    <w:p w14:paraId="1C113886" w14:textId="480BB9A3" w:rsidR="00883354" w:rsidRDefault="00904B20" w:rsidP="00904B20">
      <w:pPr>
        <w:pStyle w:val="ListParagraph"/>
        <w:numPr>
          <w:ilvl w:val="0"/>
          <w:numId w:val="9"/>
        </w:numPr>
        <w:spacing w:after="0" w:line="240" w:lineRule="auto"/>
        <w:ind w:left="426" w:firstLine="0"/>
        <w:rPr>
          <w:rFonts w:ascii="Calibri" w:hAnsi="Calibri"/>
          <w:sz w:val="22"/>
        </w:rPr>
      </w:pPr>
      <w:r>
        <w:rPr>
          <w:rFonts w:ascii="Calibri" w:hAnsi="Calibri"/>
          <w:sz w:val="22"/>
        </w:rPr>
        <w:t xml:space="preserve">A </w:t>
      </w:r>
      <w:r w:rsidR="007B51F6">
        <w:rPr>
          <w:rFonts w:ascii="Calibri" w:hAnsi="Calibri"/>
          <w:sz w:val="22"/>
        </w:rPr>
        <w:t>Forest Practices Plan (FPP), and</w:t>
      </w:r>
    </w:p>
    <w:p w14:paraId="5BB222B4" w14:textId="1D8287DB" w:rsidR="00883354" w:rsidRDefault="007B51F6" w:rsidP="00904B20">
      <w:pPr>
        <w:pStyle w:val="ListParagraph"/>
        <w:numPr>
          <w:ilvl w:val="0"/>
          <w:numId w:val="9"/>
        </w:numPr>
        <w:spacing w:after="0" w:line="240" w:lineRule="auto"/>
        <w:ind w:left="709" w:hanging="283"/>
        <w:rPr>
          <w:rFonts w:ascii="Calibri" w:hAnsi="Calibri"/>
          <w:sz w:val="22"/>
        </w:rPr>
      </w:pPr>
      <w:r>
        <w:rPr>
          <w:rFonts w:ascii="Calibri" w:hAnsi="Calibri"/>
          <w:sz w:val="22"/>
        </w:rPr>
        <w:t>In the case of Public Land (other than Permanent Timber Production Zone) or Private land (that is not a Private Timber Reserve – PTR)</w:t>
      </w:r>
      <w:r w:rsidR="009B5F05">
        <w:rPr>
          <w:rFonts w:ascii="Calibri" w:hAnsi="Calibri"/>
          <w:sz w:val="22"/>
        </w:rPr>
        <w:t>,</w:t>
      </w:r>
      <w:r>
        <w:rPr>
          <w:rFonts w:ascii="Calibri" w:hAnsi="Calibri"/>
          <w:sz w:val="22"/>
        </w:rPr>
        <w:t xml:space="preserve"> a local government Development Permit. </w:t>
      </w:r>
    </w:p>
    <w:p w14:paraId="5BEA2BCE" w14:textId="77777777" w:rsidR="00883354" w:rsidRDefault="00883354" w:rsidP="00904B20">
      <w:pPr>
        <w:ind w:left="0"/>
        <w:jc w:val="left"/>
      </w:pPr>
    </w:p>
    <w:p w14:paraId="419F6490" w14:textId="5CE3C461" w:rsidR="00883354" w:rsidRDefault="007B51F6" w:rsidP="00904B20">
      <w:pPr>
        <w:ind w:left="0"/>
        <w:jc w:val="both"/>
      </w:pPr>
      <w:r>
        <w:t xml:space="preserve">The Forest Practices Authority (FPA) administers the forest practices system set up under the </w:t>
      </w:r>
      <w:r>
        <w:rPr>
          <w:i/>
        </w:rPr>
        <w:t xml:space="preserve">Forest Practices Act 1985. </w:t>
      </w:r>
      <w:r>
        <w:t xml:space="preserve">Legally binding plans (FPPs) are prepared by authorised Forest Practices Officers (FPO) and a strict compliance regime is administered by the FPOs with oversight from the FPA.  See the Tasmanian Guideline for </w:t>
      </w:r>
      <w:r w:rsidR="009B5F05">
        <w:t>an example</w:t>
      </w:r>
      <w:r>
        <w:t xml:space="preserve"> FPP.</w:t>
      </w:r>
    </w:p>
    <w:p w14:paraId="1AE1C347" w14:textId="1662B8C2" w:rsidR="00883354" w:rsidRDefault="00904B20" w:rsidP="00904B20">
      <w:pPr>
        <w:ind w:left="0"/>
        <w:jc w:val="both"/>
      </w:pPr>
      <w:r>
        <w:rPr>
          <w:noProof/>
          <w:lang w:eastAsia="en-AU"/>
        </w:rPr>
        <mc:AlternateContent>
          <mc:Choice Requires="wps">
            <w:drawing>
              <wp:anchor distT="0" distB="0" distL="114300" distR="114300" simplePos="0" relativeHeight="251657728" behindDoc="0" locked="0" layoutInCell="1" allowOverlap="1" wp14:anchorId="442B83A4" wp14:editId="2DF47614">
                <wp:simplePos x="0" y="0"/>
                <wp:positionH relativeFrom="column">
                  <wp:posOffset>465455</wp:posOffset>
                </wp:positionH>
                <wp:positionV relativeFrom="paragraph">
                  <wp:posOffset>7081520</wp:posOffset>
                </wp:positionV>
                <wp:extent cx="608330" cy="150495"/>
                <wp:effectExtent l="0" t="0" r="1270" b="190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150495"/>
                        </a:xfrm>
                        <a:prstGeom prst="rect">
                          <a:avLst/>
                        </a:prstGeom>
                        <a:solidFill>
                          <a:srgbClr val="FFFF00"/>
                        </a:solidFill>
                        <a:ln w="9525">
                          <a:solidFill>
                            <a:srgbClr val="000000"/>
                          </a:solidFill>
                          <a:miter lim="800000"/>
                          <a:headEnd/>
                          <a:tailEnd/>
                        </a:ln>
                      </wps:spPr>
                      <wps:txbx>
                        <w:txbxContent>
                          <w:p w14:paraId="2FBCBCB6" w14:textId="77777777" w:rsidR="00883354" w:rsidRDefault="008833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2B83A4" id="_x0000_t202" coordsize="21600,21600" o:spt="202" path="m,l,21600r21600,l21600,xe">
                <v:stroke joinstyle="miter"/>
                <v:path gradientshapeok="t" o:connecttype="rect"/>
              </v:shapetype>
              <v:shape id="Text Box 2" o:spid="_x0000_s1026" type="#_x0000_t202" style="position:absolute;left:0;text-align:left;margin-left:36.65pt;margin-top:557.6pt;width:47.9pt;height:1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" fillcolor="yellow">
                <v:textbox>
                  <w:txbxContent>
                    <w:p w14:paraId="2FBCBCB6" w14:textId="77777777" w:rsidR="00883354" w:rsidRDefault="00883354"/>
                  </w:txbxContent>
                </v:textbox>
              </v:shape>
            </w:pict>
          </mc:Fallback>
        </mc:AlternateContent>
      </w:r>
    </w:p>
    <w:p w14:paraId="620D41E6" w14:textId="77777777" w:rsidR="00883354" w:rsidRDefault="007B51F6" w:rsidP="00904B20">
      <w:pPr>
        <w:ind w:left="0"/>
        <w:jc w:val="both"/>
      </w:pPr>
      <w:r>
        <w:t xml:space="preserve">If the land the timber is sourced from is classified as Permanent Timber Production Zone, or is a PTR, a certified FPP is required to demonstrate compliance with Tasmania’s forest harvesting laws. If the land from which the timber is sourced is private but is not registered as a PTR, in addition to a certified FPP, a Development Permit under the relevant local government law may be required. For further information on local government planning schemes, including Development Permit applications, see the Tasmanian Planning Commission website at </w:t>
      </w:r>
      <w:hyperlink r:id="rId10" w:history="1">
        <w:r w:rsidRPr="009B5F05">
          <w:rPr>
            <w:rStyle w:val="Hyperlink"/>
            <w:color w:val="auto"/>
          </w:rPr>
          <w:t>www.planning.tas.gov.au</w:t>
        </w:r>
      </w:hyperlink>
      <w:r>
        <w:t xml:space="preserve">. </w:t>
      </w:r>
      <w:r>
        <w:rPr>
          <w:rFonts w:ascii="Times New Roman" w:hAnsi="Times New Roman"/>
        </w:rPr>
        <w:t xml:space="preserve"> </w:t>
      </w:r>
      <w:r>
        <w:t xml:space="preserve"> </w:t>
      </w:r>
    </w:p>
    <w:p w14:paraId="31A5FCDB" w14:textId="77777777" w:rsidR="00883354" w:rsidRDefault="00883354" w:rsidP="00904B20">
      <w:pPr>
        <w:ind w:left="0"/>
        <w:jc w:val="both"/>
        <w:rPr>
          <w:b/>
        </w:rPr>
      </w:pPr>
    </w:p>
    <w:p w14:paraId="47E23167" w14:textId="77777777" w:rsidR="00883354" w:rsidRDefault="007B51F6" w:rsidP="00904B20">
      <w:pPr>
        <w:ind w:left="0"/>
        <w:jc w:val="left"/>
        <w:rPr>
          <w:rFonts w:ascii="Cambria" w:hAnsi="Cambria"/>
          <w:b/>
          <w:sz w:val="24"/>
          <w:szCs w:val="24"/>
        </w:rPr>
      </w:pPr>
      <w:r>
        <w:rPr>
          <w:rFonts w:ascii="Cambria" w:hAnsi="Cambria"/>
          <w:b/>
          <w:sz w:val="24"/>
          <w:szCs w:val="24"/>
        </w:rPr>
        <w:t>FPP and council approval requirements for different tenures</w:t>
      </w:r>
    </w:p>
    <w:tbl>
      <w:tblPr>
        <w:tblW w:w="9242" w:type="dxa"/>
        <w:jc w:val="center"/>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5572"/>
        <w:gridCol w:w="1835"/>
        <w:gridCol w:w="1835"/>
      </w:tblGrid>
      <w:tr w:rsidR="00883354" w:rsidRPr="00DD08C5" w14:paraId="77D73DEA" w14:textId="77777777" w:rsidTr="00DD08C5">
        <w:trPr>
          <w:jc w:val="center"/>
        </w:trPr>
        <w:tc>
          <w:tcPr>
            <w:tcW w:w="5572" w:type="dxa"/>
            <w:tcBorders>
              <w:top w:val="nil"/>
              <w:left w:val="nil"/>
              <w:bottom w:val="single" w:sz="24" w:space="0" w:color="4F81BD"/>
              <w:right w:val="nil"/>
            </w:tcBorders>
            <w:shd w:val="clear" w:color="auto" w:fill="FFFFFF"/>
          </w:tcPr>
          <w:p w14:paraId="4B8E2012" w14:textId="77777777" w:rsidR="00883354" w:rsidRPr="00DD08C5" w:rsidRDefault="00883354" w:rsidP="00904B20">
            <w:pPr>
              <w:ind w:left="0"/>
              <w:jc w:val="left"/>
              <w:rPr>
                <w:rFonts w:ascii="Times New Roman" w:eastAsia="Times New Roman" w:hAnsi="Times New Roman"/>
                <w:color w:val="000000"/>
                <w:sz w:val="24"/>
                <w:szCs w:val="24"/>
              </w:rPr>
            </w:pPr>
          </w:p>
        </w:tc>
        <w:tc>
          <w:tcPr>
            <w:tcW w:w="1835" w:type="dxa"/>
            <w:tcBorders>
              <w:top w:val="nil"/>
              <w:left w:val="nil"/>
              <w:bottom w:val="single" w:sz="24" w:space="0" w:color="4F81BD"/>
              <w:right w:val="nil"/>
            </w:tcBorders>
            <w:shd w:val="clear" w:color="auto" w:fill="FFFFFF"/>
          </w:tcPr>
          <w:p w14:paraId="267142B5" w14:textId="77777777" w:rsidR="00883354" w:rsidRPr="00904B20" w:rsidRDefault="007B51F6" w:rsidP="00904B20">
            <w:pPr>
              <w:ind w:left="0"/>
              <w:rPr>
                <w:rFonts w:eastAsia="Times New Roman"/>
                <w:color w:val="000000"/>
              </w:rPr>
            </w:pPr>
            <w:r w:rsidRPr="00904B20">
              <w:rPr>
                <w:rFonts w:eastAsia="Times New Roman"/>
                <w:color w:val="000000"/>
              </w:rPr>
              <w:t>FPP Required</w:t>
            </w:r>
          </w:p>
          <w:p w14:paraId="6218F05F" w14:textId="77777777" w:rsidR="00883354" w:rsidRPr="00904B20" w:rsidRDefault="007B51F6" w:rsidP="00904B20">
            <w:pPr>
              <w:ind w:left="0"/>
              <w:rPr>
                <w:rFonts w:eastAsia="Times New Roman"/>
                <w:color w:val="000000"/>
              </w:rPr>
            </w:pPr>
            <w:r w:rsidRPr="00904B20">
              <w:rPr>
                <w:rFonts w:eastAsia="Times New Roman"/>
                <w:color w:val="000000"/>
              </w:rPr>
              <w:t>(unless exempt)</w:t>
            </w:r>
          </w:p>
        </w:tc>
        <w:tc>
          <w:tcPr>
            <w:tcW w:w="1835" w:type="dxa"/>
            <w:tcBorders>
              <w:top w:val="nil"/>
              <w:left w:val="nil"/>
              <w:bottom w:val="single" w:sz="24" w:space="0" w:color="4F81BD"/>
              <w:right w:val="nil"/>
            </w:tcBorders>
            <w:shd w:val="clear" w:color="auto" w:fill="FFFFFF"/>
          </w:tcPr>
          <w:p w14:paraId="71CA4573" w14:textId="77777777" w:rsidR="00883354" w:rsidRPr="00904B20" w:rsidRDefault="007B51F6" w:rsidP="00904B20">
            <w:pPr>
              <w:ind w:left="0"/>
              <w:rPr>
                <w:rFonts w:eastAsia="Times New Roman"/>
                <w:color w:val="000000"/>
              </w:rPr>
            </w:pPr>
            <w:r w:rsidRPr="00904B20">
              <w:rPr>
                <w:rFonts w:eastAsia="Times New Roman"/>
                <w:color w:val="000000"/>
              </w:rPr>
              <w:t>Council approval required</w:t>
            </w:r>
          </w:p>
        </w:tc>
      </w:tr>
      <w:tr w:rsidR="00883354" w:rsidRPr="00DD08C5" w14:paraId="7C8915BE" w14:textId="77777777" w:rsidTr="00DD08C5">
        <w:trPr>
          <w:jc w:val="center"/>
        </w:trPr>
        <w:tc>
          <w:tcPr>
            <w:tcW w:w="5572" w:type="dxa"/>
            <w:tcBorders>
              <w:top w:val="nil"/>
              <w:left w:val="nil"/>
              <w:bottom w:val="nil"/>
              <w:right w:val="single" w:sz="8" w:space="0" w:color="4F81BD"/>
            </w:tcBorders>
            <w:shd w:val="clear" w:color="auto" w:fill="FFFFFF"/>
          </w:tcPr>
          <w:p w14:paraId="176F4501" w14:textId="77777777" w:rsidR="00883354" w:rsidRPr="00DD08C5" w:rsidRDefault="007B51F6" w:rsidP="00904B20">
            <w:pPr>
              <w:ind w:left="0"/>
              <w:jc w:val="left"/>
              <w:rPr>
                <w:rFonts w:eastAsia="Times New Roman"/>
                <w:color w:val="000000"/>
                <w:szCs w:val="24"/>
              </w:rPr>
            </w:pPr>
            <w:r w:rsidRPr="00DD08C5">
              <w:rPr>
                <w:rFonts w:eastAsia="Times New Roman"/>
                <w:color w:val="000000"/>
                <w:szCs w:val="24"/>
              </w:rPr>
              <w:t>Permanent timber production zone</w:t>
            </w:r>
          </w:p>
        </w:tc>
        <w:tc>
          <w:tcPr>
            <w:tcW w:w="1835" w:type="dxa"/>
            <w:tcBorders>
              <w:top w:val="nil"/>
              <w:left w:val="nil"/>
              <w:bottom w:val="nil"/>
              <w:right w:val="nil"/>
            </w:tcBorders>
            <w:shd w:val="clear" w:color="auto" w:fill="D3DFEE"/>
            <w:vAlign w:val="center"/>
          </w:tcPr>
          <w:p w14:paraId="22B6E8BE" w14:textId="77777777" w:rsidR="00883354" w:rsidRPr="00DD08C5" w:rsidRDefault="007B51F6" w:rsidP="00904B20">
            <w:pPr>
              <w:ind w:left="0"/>
              <w:rPr>
                <w:rFonts w:ascii="Times New Roman" w:eastAsia="Times New Roman" w:hAnsi="Times New Roman"/>
                <w:color w:val="000000"/>
                <w:sz w:val="24"/>
                <w:szCs w:val="24"/>
              </w:rPr>
            </w:pPr>
            <w:r w:rsidRPr="00DD08C5">
              <w:rPr>
                <w:rFonts w:ascii="Times New Roman" w:eastAsia="Times New Roman" w:hAnsi="Times New Roman"/>
                <w:color w:val="000000"/>
                <w:sz w:val="24"/>
                <w:szCs w:val="24"/>
              </w:rPr>
              <w:sym w:font="Wingdings 2" w:char="F050"/>
            </w:r>
          </w:p>
        </w:tc>
        <w:tc>
          <w:tcPr>
            <w:tcW w:w="1835" w:type="dxa"/>
            <w:tcBorders>
              <w:top w:val="nil"/>
              <w:left w:val="nil"/>
              <w:bottom w:val="nil"/>
            </w:tcBorders>
            <w:shd w:val="clear" w:color="auto" w:fill="D3DFEE"/>
            <w:vAlign w:val="center"/>
          </w:tcPr>
          <w:p w14:paraId="5E0B8F66" w14:textId="77777777" w:rsidR="00883354" w:rsidRPr="00DD08C5" w:rsidRDefault="007B51F6" w:rsidP="00904B20">
            <w:pPr>
              <w:ind w:left="0"/>
              <w:rPr>
                <w:rFonts w:ascii="Times New Roman" w:eastAsia="Times New Roman" w:hAnsi="Times New Roman"/>
                <w:color w:val="000000"/>
                <w:sz w:val="24"/>
                <w:szCs w:val="24"/>
              </w:rPr>
            </w:pPr>
            <w:r w:rsidRPr="00DD08C5">
              <w:rPr>
                <w:rFonts w:ascii="Times New Roman" w:eastAsia="Times New Roman" w:hAnsi="Times New Roman"/>
                <w:color w:val="000000"/>
                <w:sz w:val="24"/>
                <w:szCs w:val="24"/>
              </w:rPr>
              <w:sym w:font="Wingdings 2" w:char="F04F"/>
            </w:r>
          </w:p>
        </w:tc>
      </w:tr>
      <w:tr w:rsidR="00883354" w:rsidRPr="00DD08C5" w14:paraId="0DECA2EC" w14:textId="77777777" w:rsidTr="00DD08C5">
        <w:trPr>
          <w:jc w:val="center"/>
        </w:trPr>
        <w:tc>
          <w:tcPr>
            <w:tcW w:w="5572" w:type="dxa"/>
            <w:tcBorders>
              <w:left w:val="nil"/>
              <w:bottom w:val="nil"/>
              <w:right w:val="single" w:sz="8" w:space="0" w:color="4F81BD"/>
            </w:tcBorders>
            <w:shd w:val="clear" w:color="auto" w:fill="FFFFFF"/>
          </w:tcPr>
          <w:p w14:paraId="32140420" w14:textId="77777777" w:rsidR="00883354" w:rsidRPr="00DD08C5" w:rsidRDefault="007B51F6" w:rsidP="00904B20">
            <w:pPr>
              <w:ind w:left="0"/>
              <w:jc w:val="left"/>
              <w:rPr>
                <w:rFonts w:eastAsia="Times New Roman"/>
                <w:color w:val="000000"/>
                <w:szCs w:val="24"/>
              </w:rPr>
            </w:pPr>
            <w:r w:rsidRPr="00DD08C5">
              <w:rPr>
                <w:rFonts w:eastAsia="Times New Roman"/>
                <w:color w:val="000000"/>
                <w:szCs w:val="24"/>
              </w:rPr>
              <w:t>Public land (other than permanent timber production zone)</w:t>
            </w:r>
          </w:p>
        </w:tc>
        <w:tc>
          <w:tcPr>
            <w:tcW w:w="1835" w:type="dxa"/>
            <w:vAlign w:val="center"/>
          </w:tcPr>
          <w:p w14:paraId="44EEFAE5" w14:textId="77777777" w:rsidR="00883354" w:rsidRPr="00DD08C5" w:rsidRDefault="007B51F6" w:rsidP="00904B20">
            <w:pPr>
              <w:ind w:left="0"/>
              <w:rPr>
                <w:rFonts w:ascii="Times New Roman" w:eastAsia="Times New Roman" w:hAnsi="Times New Roman"/>
                <w:color w:val="000000"/>
                <w:sz w:val="24"/>
                <w:szCs w:val="24"/>
              </w:rPr>
            </w:pPr>
            <w:r w:rsidRPr="00DD08C5">
              <w:rPr>
                <w:rFonts w:ascii="Times New Roman" w:eastAsia="Times New Roman" w:hAnsi="Times New Roman"/>
                <w:color w:val="000000"/>
                <w:sz w:val="24"/>
                <w:szCs w:val="24"/>
              </w:rPr>
              <w:sym w:font="Wingdings 2" w:char="F050"/>
            </w:r>
          </w:p>
        </w:tc>
        <w:tc>
          <w:tcPr>
            <w:tcW w:w="1835" w:type="dxa"/>
            <w:vAlign w:val="center"/>
          </w:tcPr>
          <w:p w14:paraId="1F1BF0AB" w14:textId="77777777" w:rsidR="00883354" w:rsidRPr="00DD08C5" w:rsidRDefault="007B51F6" w:rsidP="00904B20">
            <w:pPr>
              <w:ind w:left="0"/>
              <w:rPr>
                <w:rFonts w:ascii="Times New Roman" w:eastAsia="Times New Roman" w:hAnsi="Times New Roman"/>
                <w:color w:val="000000"/>
                <w:sz w:val="24"/>
                <w:szCs w:val="24"/>
              </w:rPr>
            </w:pPr>
            <w:r w:rsidRPr="00DD08C5">
              <w:rPr>
                <w:rFonts w:ascii="Times New Roman" w:eastAsia="Times New Roman" w:hAnsi="Times New Roman"/>
                <w:color w:val="000000"/>
                <w:sz w:val="24"/>
                <w:szCs w:val="24"/>
              </w:rPr>
              <w:sym w:font="Wingdings 2" w:char="F050"/>
            </w:r>
            <w:r w:rsidRPr="00DD08C5">
              <w:rPr>
                <w:rFonts w:ascii="Times New Roman" w:eastAsia="Times New Roman" w:hAnsi="Times New Roman"/>
                <w:color w:val="000000"/>
                <w:sz w:val="24"/>
                <w:szCs w:val="24"/>
                <w:vertAlign w:val="superscript"/>
              </w:rPr>
              <w:t>*</w:t>
            </w:r>
          </w:p>
        </w:tc>
      </w:tr>
      <w:tr w:rsidR="00883354" w:rsidRPr="00DD08C5" w14:paraId="119DF5DA" w14:textId="77777777" w:rsidTr="00DD08C5">
        <w:trPr>
          <w:jc w:val="center"/>
        </w:trPr>
        <w:tc>
          <w:tcPr>
            <w:tcW w:w="5572" w:type="dxa"/>
            <w:tcBorders>
              <w:top w:val="nil"/>
              <w:left w:val="nil"/>
              <w:bottom w:val="nil"/>
              <w:right w:val="single" w:sz="8" w:space="0" w:color="4F81BD"/>
            </w:tcBorders>
            <w:shd w:val="clear" w:color="auto" w:fill="FFFFFF"/>
          </w:tcPr>
          <w:p w14:paraId="4A32E032" w14:textId="77777777" w:rsidR="00883354" w:rsidRPr="00DD08C5" w:rsidRDefault="007B51F6" w:rsidP="00904B20">
            <w:pPr>
              <w:ind w:left="0"/>
              <w:jc w:val="left"/>
              <w:rPr>
                <w:rFonts w:eastAsia="Times New Roman"/>
                <w:color w:val="000000"/>
                <w:szCs w:val="24"/>
              </w:rPr>
            </w:pPr>
            <w:r w:rsidRPr="00DD08C5">
              <w:rPr>
                <w:rFonts w:eastAsia="Times New Roman"/>
                <w:color w:val="000000"/>
                <w:szCs w:val="24"/>
              </w:rPr>
              <w:t>Private land (not PTR)</w:t>
            </w:r>
          </w:p>
        </w:tc>
        <w:tc>
          <w:tcPr>
            <w:tcW w:w="1835" w:type="dxa"/>
            <w:tcBorders>
              <w:top w:val="nil"/>
              <w:left w:val="nil"/>
              <w:bottom w:val="nil"/>
              <w:right w:val="nil"/>
            </w:tcBorders>
            <w:shd w:val="clear" w:color="auto" w:fill="D3DFEE"/>
            <w:vAlign w:val="center"/>
          </w:tcPr>
          <w:p w14:paraId="1CCFBB4D" w14:textId="77777777" w:rsidR="00883354" w:rsidRPr="00DD08C5" w:rsidRDefault="007B51F6" w:rsidP="00904B20">
            <w:pPr>
              <w:ind w:left="0"/>
              <w:rPr>
                <w:rFonts w:ascii="Times New Roman" w:eastAsia="Times New Roman" w:hAnsi="Times New Roman"/>
                <w:color w:val="000000"/>
                <w:sz w:val="24"/>
                <w:szCs w:val="24"/>
              </w:rPr>
            </w:pPr>
            <w:r w:rsidRPr="00DD08C5">
              <w:rPr>
                <w:rFonts w:ascii="Times New Roman" w:eastAsia="Times New Roman" w:hAnsi="Times New Roman"/>
                <w:color w:val="000000"/>
                <w:sz w:val="24"/>
                <w:szCs w:val="24"/>
              </w:rPr>
              <w:sym w:font="Wingdings 2" w:char="F050"/>
            </w:r>
          </w:p>
        </w:tc>
        <w:tc>
          <w:tcPr>
            <w:tcW w:w="1835" w:type="dxa"/>
            <w:tcBorders>
              <w:top w:val="nil"/>
              <w:left w:val="nil"/>
              <w:bottom w:val="nil"/>
            </w:tcBorders>
            <w:shd w:val="clear" w:color="auto" w:fill="D3DFEE"/>
            <w:vAlign w:val="center"/>
          </w:tcPr>
          <w:p w14:paraId="68514A58" w14:textId="77777777" w:rsidR="00883354" w:rsidRPr="00DD08C5" w:rsidRDefault="007B51F6" w:rsidP="00904B20">
            <w:pPr>
              <w:ind w:left="0"/>
              <w:rPr>
                <w:rFonts w:ascii="Times New Roman" w:eastAsia="Times New Roman" w:hAnsi="Times New Roman"/>
                <w:color w:val="000000"/>
                <w:sz w:val="24"/>
                <w:szCs w:val="24"/>
              </w:rPr>
            </w:pPr>
            <w:r w:rsidRPr="00DD08C5">
              <w:rPr>
                <w:rFonts w:ascii="Times New Roman" w:eastAsia="Times New Roman" w:hAnsi="Times New Roman"/>
                <w:color w:val="000000"/>
                <w:sz w:val="24"/>
                <w:szCs w:val="24"/>
              </w:rPr>
              <w:sym w:font="Wingdings 2" w:char="F050"/>
            </w:r>
            <w:r w:rsidRPr="00DD08C5">
              <w:rPr>
                <w:rFonts w:ascii="Times New Roman" w:eastAsia="Times New Roman" w:hAnsi="Times New Roman"/>
                <w:color w:val="000000"/>
                <w:sz w:val="24"/>
                <w:szCs w:val="24"/>
                <w:vertAlign w:val="superscript"/>
              </w:rPr>
              <w:t>*</w:t>
            </w:r>
          </w:p>
        </w:tc>
      </w:tr>
      <w:tr w:rsidR="00883354" w:rsidRPr="00DD08C5" w14:paraId="4DB5B716" w14:textId="77777777" w:rsidTr="00DD08C5">
        <w:trPr>
          <w:jc w:val="center"/>
        </w:trPr>
        <w:tc>
          <w:tcPr>
            <w:tcW w:w="5572" w:type="dxa"/>
            <w:tcBorders>
              <w:left w:val="nil"/>
              <w:bottom w:val="nil"/>
              <w:right w:val="single" w:sz="8" w:space="0" w:color="4F81BD"/>
            </w:tcBorders>
            <w:shd w:val="clear" w:color="auto" w:fill="FFFFFF"/>
          </w:tcPr>
          <w:p w14:paraId="73ED648A" w14:textId="77777777" w:rsidR="00883354" w:rsidRPr="00DD08C5" w:rsidRDefault="007B51F6" w:rsidP="00904B20">
            <w:pPr>
              <w:ind w:left="0"/>
              <w:jc w:val="left"/>
              <w:rPr>
                <w:rFonts w:eastAsia="Times New Roman"/>
                <w:color w:val="000000"/>
                <w:szCs w:val="24"/>
              </w:rPr>
            </w:pPr>
            <w:r w:rsidRPr="00DD08C5">
              <w:rPr>
                <w:rFonts w:eastAsia="Times New Roman"/>
                <w:color w:val="000000"/>
                <w:szCs w:val="24"/>
              </w:rPr>
              <w:t>Private timber reserve</w:t>
            </w:r>
          </w:p>
        </w:tc>
        <w:tc>
          <w:tcPr>
            <w:tcW w:w="1835" w:type="dxa"/>
            <w:vAlign w:val="center"/>
          </w:tcPr>
          <w:p w14:paraId="7536F2BF" w14:textId="77777777" w:rsidR="00883354" w:rsidRPr="00DD08C5" w:rsidRDefault="007B51F6" w:rsidP="00904B20">
            <w:pPr>
              <w:ind w:left="0"/>
              <w:rPr>
                <w:rFonts w:ascii="Times New Roman" w:eastAsia="Times New Roman" w:hAnsi="Times New Roman"/>
                <w:color w:val="000000"/>
                <w:sz w:val="24"/>
                <w:szCs w:val="24"/>
              </w:rPr>
            </w:pPr>
            <w:r w:rsidRPr="00DD08C5">
              <w:rPr>
                <w:rFonts w:ascii="Times New Roman" w:eastAsia="Times New Roman" w:hAnsi="Times New Roman"/>
                <w:color w:val="000000"/>
                <w:sz w:val="24"/>
                <w:szCs w:val="24"/>
              </w:rPr>
              <w:sym w:font="Wingdings 2" w:char="F050"/>
            </w:r>
          </w:p>
        </w:tc>
        <w:tc>
          <w:tcPr>
            <w:tcW w:w="1835" w:type="dxa"/>
            <w:vAlign w:val="center"/>
          </w:tcPr>
          <w:p w14:paraId="580B89E3" w14:textId="77777777" w:rsidR="00883354" w:rsidRPr="00DD08C5" w:rsidRDefault="007B51F6" w:rsidP="00904B20">
            <w:pPr>
              <w:ind w:left="0"/>
              <w:rPr>
                <w:rFonts w:ascii="Times New Roman" w:eastAsia="Times New Roman" w:hAnsi="Times New Roman"/>
                <w:color w:val="000000"/>
                <w:sz w:val="24"/>
                <w:szCs w:val="24"/>
              </w:rPr>
            </w:pPr>
            <w:r w:rsidRPr="00DD08C5">
              <w:rPr>
                <w:rFonts w:ascii="Times New Roman" w:eastAsia="Times New Roman" w:hAnsi="Times New Roman"/>
                <w:color w:val="000000"/>
                <w:sz w:val="24"/>
                <w:szCs w:val="24"/>
              </w:rPr>
              <w:sym w:font="Wingdings 2" w:char="F04F"/>
            </w:r>
          </w:p>
        </w:tc>
      </w:tr>
    </w:tbl>
    <w:p w14:paraId="4F3D96DD" w14:textId="2D8EAA1F" w:rsidR="00883354" w:rsidRDefault="007B51F6" w:rsidP="00904B20">
      <w:pPr>
        <w:ind w:left="0"/>
      </w:pPr>
      <w:r>
        <w:rPr>
          <w:sz w:val="18"/>
        </w:rPr>
        <w:t>* Unless forestry</w:t>
      </w:r>
      <w:r w:rsidR="009B5F05">
        <w:rPr>
          <w:sz w:val="18"/>
        </w:rPr>
        <w:t xml:space="preserve"> activity</w:t>
      </w:r>
      <w:r>
        <w:rPr>
          <w:sz w:val="18"/>
        </w:rPr>
        <w:t xml:space="preserve"> is in a zone that does not require a permit</w:t>
      </w:r>
    </w:p>
    <w:p w14:paraId="08D18E41" w14:textId="77777777" w:rsidR="00883354" w:rsidRDefault="00883354" w:rsidP="00904B20">
      <w:pPr>
        <w:ind w:left="0"/>
        <w:jc w:val="left"/>
      </w:pPr>
    </w:p>
    <w:p w14:paraId="6A4B11A7" w14:textId="3BBEEF9D" w:rsidR="00883354" w:rsidRDefault="007B51F6" w:rsidP="00904B20">
      <w:pPr>
        <w:ind w:left="0"/>
        <w:jc w:val="both"/>
      </w:pPr>
      <w:r>
        <w:t>Most forest practices require a FPP unless an exemption applies. See the Tasmanian Guideline for a full list and details of these exemptions. If an exemption applies to the raw log being processed, there may be other conditions which must be met to establish the application of an exemption. For example, harvesting or clearing of less than 100 tonnes or one hectare of timber is exempt from the FPP, but may still require a Development Permit. Check with the local council for any requirements under the relevant local planning scheme.</w:t>
      </w:r>
    </w:p>
    <w:p w14:paraId="26FB3C58" w14:textId="0F46BB70" w:rsidR="00904B20" w:rsidRDefault="00904B20" w:rsidP="00904B20">
      <w:pPr>
        <w:ind w:left="0"/>
        <w:jc w:val="left"/>
      </w:pPr>
    </w:p>
    <w:p w14:paraId="2C0A78A2" w14:textId="77777777" w:rsidR="00904B20" w:rsidRPr="00904B20" w:rsidRDefault="00904B20" w:rsidP="00904B20">
      <w:pPr>
        <w:spacing w:after="120"/>
        <w:ind w:left="0"/>
        <w:jc w:val="left"/>
        <w:rPr>
          <w:rFonts w:ascii="Cambria" w:hAnsi="Cambria"/>
          <w:b/>
          <w:sz w:val="24"/>
          <w:szCs w:val="24"/>
        </w:rPr>
      </w:pPr>
      <w:r w:rsidRPr="00904B20">
        <w:rPr>
          <w:rFonts w:ascii="Cambria" w:hAnsi="Cambria"/>
          <w:b/>
          <w:sz w:val="24"/>
          <w:szCs w:val="24"/>
        </w:rPr>
        <w:t>Who should I contact for further information?</w:t>
      </w:r>
    </w:p>
    <w:tbl>
      <w:tblPr>
        <w:tblW w:w="11364" w:type="dxa"/>
        <w:tblInd w:w="-1050" w:type="dxa"/>
        <w:tblLayout w:type="fixed"/>
        <w:tblLook w:val="04A0" w:firstRow="1" w:lastRow="0" w:firstColumn="1" w:lastColumn="0" w:noHBand="0" w:noVBand="1"/>
      </w:tblPr>
      <w:tblGrid>
        <w:gridCol w:w="5836"/>
        <w:gridCol w:w="5528"/>
      </w:tblGrid>
      <w:tr w:rsidR="00904B20" w:rsidRPr="00904B20" w14:paraId="34CA4E70" w14:textId="77777777" w:rsidTr="00A47BC4">
        <w:trPr>
          <w:trHeight w:val="1086"/>
        </w:trPr>
        <w:tc>
          <w:tcPr>
            <w:tcW w:w="5836" w:type="dxa"/>
          </w:tcPr>
          <w:p w14:paraId="4E47D2FB" w14:textId="77777777" w:rsidR="00904B20" w:rsidRPr="00904B20" w:rsidRDefault="00904B20" w:rsidP="00904B20">
            <w:pPr>
              <w:ind w:left="1049"/>
              <w:jc w:val="left"/>
              <w:rPr>
                <w:b/>
                <w:bCs/>
              </w:rPr>
            </w:pPr>
            <w:r w:rsidRPr="00904B20">
              <w:rPr>
                <w:b/>
                <w:bCs/>
              </w:rPr>
              <w:t>Australian Government Department of Agriculture,</w:t>
            </w:r>
          </w:p>
          <w:p w14:paraId="28C29BEB" w14:textId="57255557" w:rsidR="00904B20" w:rsidRPr="00904B20" w:rsidRDefault="00904B20" w:rsidP="00904B20">
            <w:pPr>
              <w:ind w:left="1049"/>
              <w:jc w:val="left"/>
              <w:rPr>
                <w:b/>
                <w:bCs/>
              </w:rPr>
            </w:pPr>
            <w:r w:rsidRPr="00904B20">
              <w:rPr>
                <w:b/>
                <w:bCs/>
              </w:rPr>
              <w:t>Water and the Environment</w:t>
            </w:r>
          </w:p>
          <w:p w14:paraId="4CE461A2" w14:textId="77777777" w:rsidR="00904B20" w:rsidRPr="00904B20" w:rsidRDefault="00904B20" w:rsidP="00904B20">
            <w:pPr>
              <w:tabs>
                <w:tab w:val="center" w:pos="2739"/>
              </w:tabs>
              <w:spacing w:line="276" w:lineRule="auto"/>
              <w:ind w:left="1050"/>
              <w:jc w:val="left"/>
            </w:pPr>
            <w:r w:rsidRPr="00904B20">
              <w:t>GPO Box 858, Canberra ACT 2601</w:t>
            </w:r>
          </w:p>
          <w:p w14:paraId="708266D4" w14:textId="30A085C3" w:rsidR="00904B20" w:rsidRPr="00904B20" w:rsidRDefault="00904B20" w:rsidP="00904B20">
            <w:pPr>
              <w:spacing w:line="276" w:lineRule="auto"/>
              <w:ind w:left="1050"/>
              <w:jc w:val="left"/>
            </w:pPr>
            <w:r w:rsidRPr="00904B20">
              <w:t>Phone:</w:t>
            </w:r>
            <w:r>
              <w:t xml:space="preserve"> 0</w:t>
            </w:r>
            <w:r w:rsidRPr="00904B20">
              <w:t>2 6272 3933</w:t>
            </w:r>
          </w:p>
          <w:p w14:paraId="766A4499" w14:textId="77777777" w:rsidR="00904B20" w:rsidRPr="00904B20" w:rsidRDefault="00904B20" w:rsidP="00904B20">
            <w:pPr>
              <w:spacing w:line="276" w:lineRule="auto"/>
              <w:ind w:firstLine="1163"/>
              <w:jc w:val="left"/>
            </w:pPr>
            <w:r w:rsidRPr="00904B20">
              <w:rPr>
                <w:rFonts w:cs="Calibri"/>
              </w:rPr>
              <w:t xml:space="preserve">Website: </w:t>
            </w:r>
            <w:hyperlink r:id="rId11" w:history="1">
              <w:r w:rsidRPr="00904B20">
                <w:rPr>
                  <w:rStyle w:val="Hyperlink"/>
                </w:rPr>
                <w:t>www.agriculture.gov.au/illegallogging</w:t>
              </w:r>
            </w:hyperlink>
          </w:p>
          <w:p w14:paraId="55AFD132" w14:textId="1D7AC822" w:rsidR="00904B20" w:rsidRPr="00DD08C5" w:rsidRDefault="00904B20" w:rsidP="00904B20">
            <w:pPr>
              <w:spacing w:line="276" w:lineRule="auto"/>
              <w:ind w:firstLine="1163"/>
              <w:jc w:val="left"/>
              <w:rPr>
                <w:rFonts w:cs="Calibri"/>
                <w:b/>
                <w:sz w:val="16"/>
                <w:szCs w:val="16"/>
              </w:rPr>
            </w:pPr>
            <w:r w:rsidRPr="00904B20">
              <w:rPr>
                <w:rFonts w:cs="Calibri"/>
              </w:rPr>
              <w:t xml:space="preserve">Email: </w:t>
            </w:r>
            <w:hyperlink r:id="rId12" w:history="1">
              <w:r w:rsidR="009B5F05">
                <w:rPr>
                  <w:rStyle w:val="Hyperlink"/>
                  <w:rFonts w:cs="Calibri"/>
                </w:rPr>
                <w:t>illegallogging@awe.gov.au</w:t>
              </w:r>
            </w:hyperlink>
            <w:r w:rsidRPr="00DD08C5">
              <w:rPr>
                <w:rFonts w:cs="Calibri"/>
                <w:sz w:val="16"/>
                <w:szCs w:val="16"/>
              </w:rPr>
              <w:t xml:space="preserve"> </w:t>
            </w:r>
          </w:p>
        </w:tc>
        <w:tc>
          <w:tcPr>
            <w:tcW w:w="5528" w:type="dxa"/>
            <w:shd w:val="clear" w:color="auto" w:fill="auto"/>
          </w:tcPr>
          <w:p w14:paraId="792C90CB" w14:textId="2C5FA108" w:rsidR="00904B20" w:rsidRPr="00904B20" w:rsidRDefault="00904B20" w:rsidP="00904B20">
            <w:pPr>
              <w:spacing w:line="276" w:lineRule="auto"/>
              <w:ind w:right="30" w:firstLine="715"/>
              <w:jc w:val="left"/>
              <w:rPr>
                <w:rFonts w:cs="Calibri"/>
                <w:b/>
              </w:rPr>
            </w:pPr>
            <w:r w:rsidRPr="00904B20">
              <w:rPr>
                <w:rFonts w:cs="Calibri"/>
                <w:b/>
              </w:rPr>
              <w:t>Tasmania Government</w:t>
            </w:r>
            <w:r>
              <w:rPr>
                <w:rFonts w:cs="Calibri"/>
                <w:b/>
              </w:rPr>
              <w:t xml:space="preserve"> </w:t>
            </w:r>
            <w:r w:rsidRPr="00904B20">
              <w:rPr>
                <w:rFonts w:cs="Calibri"/>
                <w:b/>
                <w:bCs/>
              </w:rPr>
              <w:t>Forest Practices Authority</w:t>
            </w:r>
          </w:p>
          <w:p w14:paraId="3DBBA638" w14:textId="77777777" w:rsidR="00904B20" w:rsidRPr="00904B20" w:rsidRDefault="00904B20" w:rsidP="00904B20">
            <w:pPr>
              <w:spacing w:line="276" w:lineRule="auto"/>
              <w:ind w:right="30" w:firstLine="715"/>
              <w:jc w:val="left"/>
              <w:rPr>
                <w:rFonts w:cs="Calibri"/>
              </w:rPr>
            </w:pPr>
            <w:r w:rsidRPr="00904B20">
              <w:rPr>
                <w:rFonts w:cs="Calibri"/>
              </w:rPr>
              <w:t>30 Patrick Street, Hobart Tasmania 7000</w:t>
            </w:r>
          </w:p>
          <w:p w14:paraId="62E49087" w14:textId="77777777" w:rsidR="00904B20" w:rsidRPr="00904B20" w:rsidRDefault="00904B20" w:rsidP="00904B20">
            <w:pPr>
              <w:spacing w:line="276" w:lineRule="auto"/>
              <w:ind w:right="30" w:firstLine="715"/>
              <w:jc w:val="left"/>
              <w:rPr>
                <w:rFonts w:cs="Calibri"/>
              </w:rPr>
            </w:pPr>
            <w:r w:rsidRPr="00904B20">
              <w:rPr>
                <w:rFonts w:cs="Calibri"/>
              </w:rPr>
              <w:t>Phone: 03 6165 4090</w:t>
            </w:r>
          </w:p>
          <w:p w14:paraId="6DC5F040" w14:textId="77777777" w:rsidR="00904B20" w:rsidRDefault="00904B20" w:rsidP="00904B20">
            <w:pPr>
              <w:spacing w:line="276" w:lineRule="auto"/>
              <w:ind w:right="30" w:firstLine="715"/>
              <w:jc w:val="left"/>
              <w:rPr>
                <w:rFonts w:cs="Calibri"/>
              </w:rPr>
            </w:pPr>
            <w:r w:rsidRPr="00904B20">
              <w:rPr>
                <w:rFonts w:cs="Calibri"/>
              </w:rPr>
              <w:t xml:space="preserve">Website: </w:t>
            </w:r>
            <w:hyperlink r:id="rId13" w:history="1">
              <w:r w:rsidRPr="00904B20">
                <w:rPr>
                  <w:rStyle w:val="Hyperlink"/>
                </w:rPr>
                <w:t>www.fpa.tas.gov.au/</w:t>
              </w:r>
            </w:hyperlink>
          </w:p>
          <w:p w14:paraId="7589713E" w14:textId="73ED32E2" w:rsidR="00904B20" w:rsidRPr="00904B20" w:rsidRDefault="00904B20" w:rsidP="00904B20">
            <w:pPr>
              <w:spacing w:line="276" w:lineRule="auto"/>
              <w:ind w:right="30" w:firstLine="715"/>
              <w:jc w:val="left"/>
            </w:pPr>
            <w:r w:rsidRPr="00904B20">
              <w:rPr>
                <w:rFonts w:cs="Calibri"/>
              </w:rPr>
              <w:t xml:space="preserve">Email: </w:t>
            </w:r>
            <w:hyperlink r:id="rId14" w:history="1">
              <w:r w:rsidRPr="00904B20">
                <w:rPr>
                  <w:rStyle w:val="Hyperlink"/>
                  <w:rFonts w:cs="Calibri"/>
                </w:rPr>
                <w:t>info@fpa.tas.gov.au</w:t>
              </w:r>
            </w:hyperlink>
          </w:p>
        </w:tc>
      </w:tr>
    </w:tbl>
    <w:p w14:paraId="27916565" w14:textId="77777777" w:rsidR="00904B20" w:rsidRDefault="00904B20" w:rsidP="00904B20">
      <w:pPr>
        <w:ind w:left="0"/>
        <w:jc w:val="left"/>
        <w:rPr>
          <w:rFonts w:ascii="Cambria" w:hAnsi="Cambria"/>
          <w:sz w:val="24"/>
          <w:szCs w:val="24"/>
        </w:rPr>
      </w:pPr>
    </w:p>
    <w:sectPr w:rsidR="00904B20" w:rsidSect="00883354">
      <w:footerReference w:type="default" r:id="rId15"/>
      <w:headerReference w:type="first" r:id="rId16"/>
      <w:footerReference w:type="first" r:id="rId17"/>
      <w:pgSz w:w="11906" w:h="16838"/>
      <w:pgMar w:top="851" w:right="1440" w:bottom="709" w:left="1440" w:header="426" w:footer="2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F3362" w14:textId="77777777" w:rsidR="00FB5DC3" w:rsidRDefault="00FB5DC3">
      <w:r>
        <w:separator/>
      </w:r>
    </w:p>
  </w:endnote>
  <w:endnote w:type="continuationSeparator" w:id="0">
    <w:p w14:paraId="6B140E22" w14:textId="77777777" w:rsidR="00FB5DC3" w:rsidRDefault="00FB5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E19EF" w14:textId="77777777" w:rsidR="00883354" w:rsidRDefault="007B51F6">
    <w:pPr>
      <w:pStyle w:val="Heading1"/>
      <w:spacing w:before="0"/>
      <w:ind w:left="-1134" w:right="-1180"/>
      <w:jc w:val="center"/>
      <w:rPr>
        <w:sz w:val="20"/>
        <w:szCs w:val="20"/>
      </w:rPr>
    </w:pPr>
    <w:r>
      <w:rPr>
        <w:sz w:val="20"/>
        <w:szCs w:val="20"/>
      </w:rPr>
      <w:t>Who should I contact for further information?</w:t>
    </w:r>
  </w:p>
  <w:tbl>
    <w:tblPr>
      <w:tblW w:w="11364" w:type="dxa"/>
      <w:tblInd w:w="-1050" w:type="dxa"/>
      <w:tblLayout w:type="fixed"/>
      <w:tblLook w:val="04A0" w:firstRow="1" w:lastRow="0" w:firstColumn="1" w:lastColumn="0" w:noHBand="0" w:noVBand="1"/>
    </w:tblPr>
    <w:tblGrid>
      <w:gridCol w:w="5694"/>
      <w:gridCol w:w="5670"/>
    </w:tblGrid>
    <w:tr w:rsidR="00883354" w:rsidRPr="00DD08C5" w14:paraId="0DE9F36B" w14:textId="77777777" w:rsidTr="00DD08C5">
      <w:trPr>
        <w:trHeight w:val="1086"/>
      </w:trPr>
      <w:tc>
        <w:tcPr>
          <w:tcW w:w="5694" w:type="dxa"/>
        </w:tcPr>
        <w:p w14:paraId="04E5E548" w14:textId="77777777" w:rsidR="00883354" w:rsidRPr="00DD08C5" w:rsidRDefault="007B51F6" w:rsidP="00DD08C5">
          <w:pPr>
            <w:spacing w:line="276" w:lineRule="auto"/>
            <w:jc w:val="left"/>
            <w:rPr>
              <w:rFonts w:cs="Calibri"/>
              <w:b/>
              <w:sz w:val="16"/>
              <w:szCs w:val="16"/>
            </w:rPr>
          </w:pPr>
          <w:r w:rsidRPr="00DD08C5">
            <w:rPr>
              <w:rFonts w:cs="Calibri"/>
              <w:b/>
              <w:sz w:val="16"/>
              <w:szCs w:val="16"/>
            </w:rPr>
            <w:t>Australian Government Department of Agriculture</w:t>
          </w:r>
        </w:p>
        <w:p w14:paraId="0299AD96" w14:textId="77777777" w:rsidR="00883354" w:rsidRPr="00DD08C5" w:rsidRDefault="007B51F6" w:rsidP="00DD08C5">
          <w:pPr>
            <w:tabs>
              <w:tab w:val="center" w:pos="2739"/>
            </w:tabs>
            <w:spacing w:line="276" w:lineRule="auto"/>
            <w:jc w:val="left"/>
            <w:rPr>
              <w:rFonts w:cs="Calibri"/>
              <w:sz w:val="16"/>
              <w:szCs w:val="16"/>
            </w:rPr>
          </w:pPr>
          <w:r w:rsidRPr="00DD08C5">
            <w:rPr>
              <w:rFonts w:cs="Calibri"/>
              <w:sz w:val="16"/>
              <w:szCs w:val="16"/>
            </w:rPr>
            <w:t>GPO Box 858, Canberra ACT 2601</w:t>
          </w:r>
        </w:p>
        <w:p w14:paraId="5CA51055" w14:textId="77777777" w:rsidR="00883354" w:rsidRPr="00DD08C5" w:rsidRDefault="007B51F6" w:rsidP="00DD08C5">
          <w:pPr>
            <w:spacing w:line="276" w:lineRule="auto"/>
            <w:jc w:val="left"/>
            <w:rPr>
              <w:rFonts w:cs="Calibri"/>
              <w:sz w:val="16"/>
              <w:szCs w:val="16"/>
            </w:rPr>
          </w:pPr>
          <w:r w:rsidRPr="00DD08C5">
            <w:rPr>
              <w:rFonts w:cs="Calibri"/>
              <w:bCs/>
              <w:sz w:val="16"/>
              <w:szCs w:val="16"/>
            </w:rPr>
            <w:t xml:space="preserve">Phone: +61 </w:t>
          </w:r>
          <w:r w:rsidRPr="00DD08C5">
            <w:rPr>
              <w:rFonts w:cs="Calibri"/>
              <w:sz w:val="16"/>
              <w:szCs w:val="16"/>
            </w:rPr>
            <w:t>2 6272 3933</w:t>
          </w:r>
        </w:p>
        <w:p w14:paraId="4370799A" w14:textId="77777777" w:rsidR="00883354" w:rsidRPr="00DD08C5" w:rsidRDefault="007B51F6" w:rsidP="00DD08C5">
          <w:pPr>
            <w:spacing w:line="276" w:lineRule="auto"/>
            <w:jc w:val="left"/>
            <w:rPr>
              <w:rFonts w:cs="Calibri"/>
              <w:b/>
              <w:sz w:val="16"/>
              <w:szCs w:val="16"/>
            </w:rPr>
          </w:pPr>
          <w:r w:rsidRPr="00DD08C5">
            <w:rPr>
              <w:rFonts w:cs="Calibri"/>
              <w:sz w:val="16"/>
              <w:szCs w:val="16"/>
            </w:rPr>
            <w:t xml:space="preserve">Email: </w:t>
          </w:r>
          <w:hyperlink r:id="rId1" w:history="1">
            <w:r w:rsidRPr="00DD08C5">
              <w:rPr>
                <w:rStyle w:val="Hyperlink"/>
                <w:rFonts w:cs="Calibri"/>
                <w:sz w:val="16"/>
                <w:szCs w:val="16"/>
              </w:rPr>
              <w:t>illegallogging@daff.gov.au</w:t>
            </w:r>
          </w:hyperlink>
          <w:r w:rsidRPr="00DD08C5">
            <w:rPr>
              <w:rFonts w:cs="Calibri"/>
              <w:sz w:val="16"/>
              <w:szCs w:val="16"/>
            </w:rPr>
            <w:t xml:space="preserve"> Website: </w:t>
          </w:r>
          <w:hyperlink r:id="rId2" w:history="1">
            <w:r w:rsidRPr="00DD08C5">
              <w:rPr>
                <w:rStyle w:val="Hyperlink"/>
                <w:rFonts w:cs="Calibri"/>
                <w:sz w:val="16"/>
                <w:szCs w:val="16"/>
              </w:rPr>
              <w:t>www.daff.gov.au</w:t>
            </w:r>
            <w:r w:rsidRPr="00DD08C5">
              <w:rPr>
                <w:rStyle w:val="Hyperlink"/>
                <w:sz w:val="16"/>
                <w:szCs w:val="16"/>
              </w:rPr>
              <w:t>/illegallogging</w:t>
            </w:r>
          </w:hyperlink>
        </w:p>
      </w:tc>
      <w:tc>
        <w:tcPr>
          <w:tcW w:w="5670" w:type="dxa"/>
          <w:shd w:val="clear" w:color="auto" w:fill="auto"/>
        </w:tcPr>
        <w:p w14:paraId="4CF5E8EE" w14:textId="77777777" w:rsidR="00883354" w:rsidRPr="00DD08C5" w:rsidRDefault="007B51F6" w:rsidP="00DD08C5">
          <w:pPr>
            <w:spacing w:line="276" w:lineRule="auto"/>
            <w:jc w:val="right"/>
            <w:rPr>
              <w:rFonts w:cs="Calibri"/>
              <w:b/>
              <w:sz w:val="16"/>
              <w:szCs w:val="16"/>
            </w:rPr>
          </w:pPr>
          <w:r w:rsidRPr="00DD08C5">
            <w:rPr>
              <w:rFonts w:cs="Calibri"/>
              <w:b/>
              <w:sz w:val="16"/>
              <w:szCs w:val="16"/>
            </w:rPr>
            <w:t>Tasmania Government</w:t>
          </w:r>
        </w:p>
        <w:p w14:paraId="10F5C017" w14:textId="77777777" w:rsidR="00883354" w:rsidRPr="00DD08C5" w:rsidRDefault="007B51F6" w:rsidP="00DD08C5">
          <w:pPr>
            <w:spacing w:line="276" w:lineRule="auto"/>
            <w:jc w:val="right"/>
            <w:rPr>
              <w:rFonts w:cs="Calibri"/>
              <w:sz w:val="16"/>
              <w:szCs w:val="16"/>
            </w:rPr>
          </w:pPr>
          <w:r w:rsidRPr="00DD08C5">
            <w:rPr>
              <w:rFonts w:cs="Calibri"/>
              <w:sz w:val="16"/>
              <w:szCs w:val="16"/>
            </w:rPr>
            <w:t>Forest Practices Authority</w:t>
          </w:r>
        </w:p>
        <w:p w14:paraId="3ED6ECBA" w14:textId="77777777" w:rsidR="00883354" w:rsidRPr="00DD08C5" w:rsidRDefault="007B51F6" w:rsidP="00DD08C5">
          <w:pPr>
            <w:spacing w:line="276" w:lineRule="auto"/>
            <w:jc w:val="right"/>
            <w:rPr>
              <w:rFonts w:cs="Calibri"/>
              <w:sz w:val="16"/>
              <w:szCs w:val="16"/>
            </w:rPr>
          </w:pPr>
          <w:r w:rsidRPr="00DD08C5">
            <w:rPr>
              <w:rFonts w:cs="Calibri"/>
              <w:sz w:val="16"/>
              <w:szCs w:val="16"/>
            </w:rPr>
            <w:t>30 Patrick Street, Hobart Tasmania 7000</w:t>
          </w:r>
        </w:p>
        <w:p w14:paraId="56446227" w14:textId="77777777" w:rsidR="00883354" w:rsidRPr="00DD08C5" w:rsidRDefault="007B51F6" w:rsidP="00DD08C5">
          <w:pPr>
            <w:spacing w:line="276" w:lineRule="auto"/>
            <w:jc w:val="right"/>
            <w:rPr>
              <w:rFonts w:cs="Calibri"/>
              <w:sz w:val="16"/>
              <w:szCs w:val="16"/>
            </w:rPr>
          </w:pPr>
          <w:r w:rsidRPr="00DD08C5">
            <w:rPr>
              <w:rFonts w:cs="Calibri"/>
              <w:sz w:val="16"/>
              <w:szCs w:val="16"/>
            </w:rPr>
            <w:t>Phone: 03 6165 4090</w:t>
          </w:r>
        </w:p>
        <w:p w14:paraId="1876500E" w14:textId="77777777" w:rsidR="00883354" w:rsidRPr="00DD08C5" w:rsidRDefault="007B51F6" w:rsidP="00DD08C5">
          <w:pPr>
            <w:spacing w:line="276" w:lineRule="auto"/>
            <w:jc w:val="right"/>
            <w:rPr>
              <w:sz w:val="16"/>
            </w:rPr>
          </w:pPr>
          <w:r w:rsidRPr="00DD08C5">
            <w:rPr>
              <w:rFonts w:cs="Calibri"/>
              <w:sz w:val="16"/>
              <w:szCs w:val="16"/>
            </w:rPr>
            <w:t xml:space="preserve">Email: </w:t>
          </w:r>
          <w:hyperlink r:id="rId3" w:history="1">
            <w:r w:rsidRPr="00DD08C5">
              <w:rPr>
                <w:rStyle w:val="Hyperlink"/>
                <w:rFonts w:cs="Calibri"/>
                <w:sz w:val="16"/>
                <w:szCs w:val="16"/>
              </w:rPr>
              <w:t>info@fpa.tas.gov.au</w:t>
            </w:r>
          </w:hyperlink>
          <w:r w:rsidRPr="00DD08C5">
            <w:rPr>
              <w:rFonts w:cs="Calibri"/>
              <w:sz w:val="16"/>
              <w:szCs w:val="16"/>
            </w:rPr>
            <w:t xml:space="preserve"> Website: </w:t>
          </w:r>
          <w:hyperlink r:id="rId4" w:history="1">
            <w:r w:rsidRPr="00DD08C5">
              <w:rPr>
                <w:rStyle w:val="Hyperlink"/>
                <w:sz w:val="16"/>
              </w:rPr>
              <w:t>http://111.fpa.tas.gov.au/</w:t>
            </w:r>
          </w:hyperlink>
        </w:p>
      </w:tc>
    </w:tr>
    <w:tr w:rsidR="00883354" w:rsidRPr="00DD08C5" w14:paraId="388C9CC8" w14:textId="77777777" w:rsidTr="00DD08C5">
      <w:trPr>
        <w:trHeight w:val="1427"/>
      </w:trPr>
      <w:tc>
        <w:tcPr>
          <w:tcW w:w="11364" w:type="dxa"/>
          <w:gridSpan w:val="2"/>
        </w:tcPr>
        <w:p w14:paraId="632C0A8A" w14:textId="77777777" w:rsidR="00883354" w:rsidRPr="00DD08C5" w:rsidRDefault="007B51F6">
          <w:pPr>
            <w:rPr>
              <w:bCs/>
              <w:sz w:val="16"/>
            </w:rPr>
          </w:pPr>
          <w:r w:rsidRPr="00DD08C5">
            <w:rPr>
              <w:b/>
              <w:bCs/>
              <w:sz w:val="16"/>
            </w:rPr>
            <w:t>Disclaimer</w:t>
          </w:r>
        </w:p>
        <w:p w14:paraId="2B9D3297" w14:textId="77777777" w:rsidR="00883354" w:rsidRPr="00DD08C5" w:rsidRDefault="007B51F6">
          <w:pPr>
            <w:rPr>
              <w:bCs/>
              <w:sz w:val="16"/>
            </w:rPr>
          </w:pPr>
          <w:r w:rsidRPr="00DD08C5">
            <w:rPr>
              <w:bCs/>
              <w:sz w:val="16"/>
            </w:rPr>
            <w:t xml:space="preserve">While reasonable efforts have been made to ensure that the contents of this Quick Reference Guide are factually correct, the Commonwealth does not accept responsibility for the accuracy or completeness of the contents and expressly disclaims liability for any loss or damage, however caused, that may be occasioned directly or indirectly </w:t>
          </w:r>
          <w:proofErr w:type="gramStart"/>
          <w:r w:rsidRPr="00DD08C5">
            <w:rPr>
              <w:bCs/>
              <w:sz w:val="16"/>
            </w:rPr>
            <w:t>through the use of</w:t>
          </w:r>
          <w:proofErr w:type="gramEnd"/>
          <w:r w:rsidRPr="00DD08C5">
            <w:rPr>
              <w:bCs/>
              <w:sz w:val="16"/>
            </w:rPr>
            <w:t>, or reliance on, the contents of this Quick Reference Guide. This guide should be read in conjunction with the Tasmania State Specific Guideline.</w:t>
          </w:r>
        </w:p>
        <w:p w14:paraId="48AA9842" w14:textId="77777777" w:rsidR="00883354" w:rsidRPr="00DD08C5" w:rsidRDefault="00883354">
          <w:pPr>
            <w:rPr>
              <w:bCs/>
              <w:sz w:val="16"/>
            </w:rPr>
          </w:pPr>
        </w:p>
        <w:p w14:paraId="539FE7CE" w14:textId="77777777" w:rsidR="00883354" w:rsidRPr="00DD08C5" w:rsidRDefault="007B51F6">
          <w:pPr>
            <w:rPr>
              <w:rFonts w:ascii="Cambria" w:eastAsia="Times New Roman" w:hAnsi="Cambria" w:cs="Calibri"/>
              <w:b/>
              <w:bCs/>
              <w:sz w:val="16"/>
              <w:szCs w:val="16"/>
            </w:rPr>
          </w:pPr>
          <w:r w:rsidRPr="00DD08C5">
            <w:rPr>
              <w:bCs/>
              <w:sz w:val="16"/>
            </w:rPr>
            <w:t xml:space="preserve">This Quick Reference Guide is made available on the understanding that the Commonwealth is not providing professional advice. Before relying on this Quick Reference Guide, readers should obtain appropriate professional advice suitable to their </w:t>
          </w:r>
          <w:proofErr w:type="gramStart"/>
          <w:r w:rsidRPr="00DD08C5">
            <w:rPr>
              <w:bCs/>
              <w:sz w:val="16"/>
            </w:rPr>
            <w:t>particular circumstances</w:t>
          </w:r>
          <w:proofErr w:type="gramEnd"/>
          <w:r w:rsidRPr="00DD08C5">
            <w:rPr>
              <w:bCs/>
              <w:sz w:val="16"/>
            </w:rPr>
            <w:t>.</w:t>
          </w:r>
        </w:p>
      </w:tc>
    </w:tr>
  </w:tbl>
  <w:p w14:paraId="0567816C" w14:textId="77777777" w:rsidR="00883354" w:rsidRDefault="00883354">
    <w:pPr>
      <w:pStyle w:val="Heading1"/>
      <w:spacing w:before="0"/>
      <w:rPr>
        <w:sz w:val="4"/>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39A6C" w14:textId="77777777" w:rsidR="00883354" w:rsidRDefault="00883354">
    <w:pPr>
      <w:pStyle w:val="Footer"/>
      <w:ind w:left="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5F881" w14:textId="77777777" w:rsidR="00FB5DC3" w:rsidRDefault="00FB5DC3">
      <w:r>
        <w:separator/>
      </w:r>
    </w:p>
  </w:footnote>
  <w:footnote w:type="continuationSeparator" w:id="0">
    <w:p w14:paraId="504A3F45" w14:textId="77777777" w:rsidR="00FB5DC3" w:rsidRDefault="00FB5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C354" w14:textId="5B2911E4" w:rsidR="00883354" w:rsidRDefault="00904B20">
    <w:pPr>
      <w:ind w:left="-851"/>
      <w:jc w:val="left"/>
      <w:rPr>
        <w:rFonts w:ascii="Cambria" w:hAnsi="Cambria"/>
      </w:rPr>
    </w:pPr>
    <w:r w:rsidRPr="008E7F8B">
      <w:rPr>
        <w:noProof/>
        <w:lang w:eastAsia="en-AU"/>
      </w:rPr>
      <w:drawing>
        <wp:inline distT="0" distB="0" distL="0" distR="0" wp14:anchorId="2E9F3CDE" wp14:editId="08DE81E0">
          <wp:extent cx="2819400" cy="838200"/>
          <wp:effectExtent l="0" t="0" r="0" b="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838200"/>
                  </a:xfrm>
                  <a:prstGeom prst="rect">
                    <a:avLst/>
                  </a:prstGeom>
                  <a:noFill/>
                  <a:ln>
                    <a:noFill/>
                  </a:ln>
                </pic:spPr>
              </pic:pic>
            </a:graphicData>
          </a:graphic>
        </wp:inline>
      </w:drawing>
    </w:r>
    <w:r>
      <w:rPr>
        <w:noProof/>
        <w:lang w:eastAsia="en-AU"/>
      </w:rPr>
      <w:tab/>
    </w:r>
    <w:r>
      <w:rPr>
        <w:noProof/>
        <w:lang w:eastAsia="en-AU"/>
      </w:rPr>
      <w:tab/>
    </w:r>
    <w:r>
      <w:rPr>
        <w:noProof/>
        <w:lang w:eastAsia="en-AU"/>
      </w:rPr>
      <w:tab/>
    </w:r>
    <w:r>
      <w:rPr>
        <w:noProof/>
        <w:lang w:eastAsia="en-AU"/>
      </w:rPr>
      <w:tab/>
    </w:r>
    <w:r>
      <w:rPr>
        <w:noProof/>
        <w:lang w:eastAsia="en-AU"/>
      </w:rPr>
      <w:tab/>
    </w:r>
    <w:r w:rsidRPr="00F82795">
      <w:rPr>
        <w:noProof/>
        <w:lang w:eastAsia="en-AU"/>
      </w:rPr>
      <w:drawing>
        <wp:inline distT="0" distB="0" distL="0" distR="0" wp14:anchorId="5CE0EB00" wp14:editId="1BCD0A8D">
          <wp:extent cx="1000125" cy="933450"/>
          <wp:effectExtent l="0" t="0" r="0" b="0"/>
          <wp:docPr id="10" name="Picture 28" descr="Logo of the Tasman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 of the Tasmanian Govern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12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599F"/>
    <w:multiLevelType w:val="hybridMultilevel"/>
    <w:tmpl w:val="E962F6B2"/>
    <w:lvl w:ilvl="0" w:tplc="0C090001">
      <w:start w:val="1"/>
      <w:numFmt w:val="bullet"/>
      <w:lvlText w:val=""/>
      <w:lvlJc w:val="left"/>
      <w:pPr>
        <w:ind w:left="607" w:hanging="360"/>
      </w:pPr>
      <w:rPr>
        <w:rFonts w:ascii="Symbol" w:hAnsi="Symbol" w:hint="default"/>
      </w:rPr>
    </w:lvl>
    <w:lvl w:ilvl="1" w:tplc="0C090003">
      <w:start w:val="1"/>
      <w:numFmt w:val="bullet"/>
      <w:lvlText w:val="o"/>
      <w:lvlJc w:val="left"/>
      <w:pPr>
        <w:ind w:left="1327" w:hanging="360"/>
      </w:pPr>
      <w:rPr>
        <w:rFonts w:ascii="Courier New" w:hAnsi="Courier New" w:cs="Courier New" w:hint="default"/>
      </w:rPr>
    </w:lvl>
    <w:lvl w:ilvl="2" w:tplc="0C090005">
      <w:start w:val="1"/>
      <w:numFmt w:val="bullet"/>
      <w:lvlText w:val=""/>
      <w:lvlJc w:val="left"/>
      <w:pPr>
        <w:ind w:left="2047" w:hanging="360"/>
      </w:pPr>
      <w:rPr>
        <w:rFonts w:ascii="Wingdings" w:hAnsi="Wingdings" w:hint="default"/>
      </w:rPr>
    </w:lvl>
    <w:lvl w:ilvl="3" w:tplc="0C090001" w:tentative="1">
      <w:start w:val="1"/>
      <w:numFmt w:val="bullet"/>
      <w:lvlText w:val=""/>
      <w:lvlJc w:val="left"/>
      <w:pPr>
        <w:ind w:left="2767" w:hanging="360"/>
      </w:pPr>
      <w:rPr>
        <w:rFonts w:ascii="Symbol" w:hAnsi="Symbol" w:hint="default"/>
      </w:rPr>
    </w:lvl>
    <w:lvl w:ilvl="4" w:tplc="0C090003" w:tentative="1">
      <w:start w:val="1"/>
      <w:numFmt w:val="bullet"/>
      <w:lvlText w:val="o"/>
      <w:lvlJc w:val="left"/>
      <w:pPr>
        <w:ind w:left="3487" w:hanging="360"/>
      </w:pPr>
      <w:rPr>
        <w:rFonts w:ascii="Courier New" w:hAnsi="Courier New" w:cs="Courier New" w:hint="default"/>
      </w:rPr>
    </w:lvl>
    <w:lvl w:ilvl="5" w:tplc="0C090005" w:tentative="1">
      <w:start w:val="1"/>
      <w:numFmt w:val="bullet"/>
      <w:lvlText w:val=""/>
      <w:lvlJc w:val="left"/>
      <w:pPr>
        <w:ind w:left="4207" w:hanging="360"/>
      </w:pPr>
      <w:rPr>
        <w:rFonts w:ascii="Wingdings" w:hAnsi="Wingdings" w:hint="default"/>
      </w:rPr>
    </w:lvl>
    <w:lvl w:ilvl="6" w:tplc="0C090001" w:tentative="1">
      <w:start w:val="1"/>
      <w:numFmt w:val="bullet"/>
      <w:lvlText w:val=""/>
      <w:lvlJc w:val="left"/>
      <w:pPr>
        <w:ind w:left="4927" w:hanging="360"/>
      </w:pPr>
      <w:rPr>
        <w:rFonts w:ascii="Symbol" w:hAnsi="Symbol" w:hint="default"/>
      </w:rPr>
    </w:lvl>
    <w:lvl w:ilvl="7" w:tplc="0C090003" w:tentative="1">
      <w:start w:val="1"/>
      <w:numFmt w:val="bullet"/>
      <w:lvlText w:val="o"/>
      <w:lvlJc w:val="left"/>
      <w:pPr>
        <w:ind w:left="5647" w:hanging="360"/>
      </w:pPr>
      <w:rPr>
        <w:rFonts w:ascii="Courier New" w:hAnsi="Courier New" w:cs="Courier New" w:hint="default"/>
      </w:rPr>
    </w:lvl>
    <w:lvl w:ilvl="8" w:tplc="0C090005" w:tentative="1">
      <w:start w:val="1"/>
      <w:numFmt w:val="bullet"/>
      <w:lvlText w:val=""/>
      <w:lvlJc w:val="left"/>
      <w:pPr>
        <w:ind w:left="6367" w:hanging="360"/>
      </w:pPr>
      <w:rPr>
        <w:rFonts w:ascii="Wingdings" w:hAnsi="Wingdings" w:hint="default"/>
      </w:rPr>
    </w:lvl>
  </w:abstractNum>
  <w:abstractNum w:abstractNumId="1" w15:restartNumberingAfterBreak="0">
    <w:nsid w:val="08154E01"/>
    <w:multiLevelType w:val="hybridMultilevel"/>
    <w:tmpl w:val="9DE298E0"/>
    <w:lvl w:ilvl="0" w:tplc="0C090001">
      <w:start w:val="1"/>
      <w:numFmt w:val="bullet"/>
      <w:lvlText w:val=""/>
      <w:lvlJc w:val="left"/>
      <w:pPr>
        <w:ind w:left="653" w:hanging="360"/>
      </w:pPr>
      <w:rPr>
        <w:rFonts w:ascii="Symbol" w:hAnsi="Symbol" w:hint="default"/>
      </w:rPr>
    </w:lvl>
    <w:lvl w:ilvl="1" w:tplc="0C090003" w:tentative="1">
      <w:start w:val="1"/>
      <w:numFmt w:val="bullet"/>
      <w:lvlText w:val="o"/>
      <w:lvlJc w:val="left"/>
      <w:pPr>
        <w:ind w:left="1373" w:hanging="360"/>
      </w:pPr>
      <w:rPr>
        <w:rFonts w:ascii="Courier New" w:hAnsi="Courier New" w:cs="Courier New" w:hint="default"/>
      </w:rPr>
    </w:lvl>
    <w:lvl w:ilvl="2" w:tplc="0C090005" w:tentative="1">
      <w:start w:val="1"/>
      <w:numFmt w:val="bullet"/>
      <w:lvlText w:val=""/>
      <w:lvlJc w:val="left"/>
      <w:pPr>
        <w:ind w:left="2093" w:hanging="360"/>
      </w:pPr>
      <w:rPr>
        <w:rFonts w:ascii="Wingdings" w:hAnsi="Wingdings" w:hint="default"/>
      </w:rPr>
    </w:lvl>
    <w:lvl w:ilvl="3" w:tplc="0C090001" w:tentative="1">
      <w:start w:val="1"/>
      <w:numFmt w:val="bullet"/>
      <w:lvlText w:val=""/>
      <w:lvlJc w:val="left"/>
      <w:pPr>
        <w:ind w:left="2813" w:hanging="360"/>
      </w:pPr>
      <w:rPr>
        <w:rFonts w:ascii="Symbol" w:hAnsi="Symbol" w:hint="default"/>
      </w:rPr>
    </w:lvl>
    <w:lvl w:ilvl="4" w:tplc="0C090003" w:tentative="1">
      <w:start w:val="1"/>
      <w:numFmt w:val="bullet"/>
      <w:lvlText w:val="o"/>
      <w:lvlJc w:val="left"/>
      <w:pPr>
        <w:ind w:left="3533" w:hanging="360"/>
      </w:pPr>
      <w:rPr>
        <w:rFonts w:ascii="Courier New" w:hAnsi="Courier New" w:cs="Courier New" w:hint="default"/>
      </w:rPr>
    </w:lvl>
    <w:lvl w:ilvl="5" w:tplc="0C090005" w:tentative="1">
      <w:start w:val="1"/>
      <w:numFmt w:val="bullet"/>
      <w:lvlText w:val=""/>
      <w:lvlJc w:val="left"/>
      <w:pPr>
        <w:ind w:left="4253" w:hanging="360"/>
      </w:pPr>
      <w:rPr>
        <w:rFonts w:ascii="Wingdings" w:hAnsi="Wingdings" w:hint="default"/>
      </w:rPr>
    </w:lvl>
    <w:lvl w:ilvl="6" w:tplc="0C090001" w:tentative="1">
      <w:start w:val="1"/>
      <w:numFmt w:val="bullet"/>
      <w:lvlText w:val=""/>
      <w:lvlJc w:val="left"/>
      <w:pPr>
        <w:ind w:left="4973" w:hanging="360"/>
      </w:pPr>
      <w:rPr>
        <w:rFonts w:ascii="Symbol" w:hAnsi="Symbol" w:hint="default"/>
      </w:rPr>
    </w:lvl>
    <w:lvl w:ilvl="7" w:tplc="0C090003" w:tentative="1">
      <w:start w:val="1"/>
      <w:numFmt w:val="bullet"/>
      <w:lvlText w:val="o"/>
      <w:lvlJc w:val="left"/>
      <w:pPr>
        <w:ind w:left="5693" w:hanging="360"/>
      </w:pPr>
      <w:rPr>
        <w:rFonts w:ascii="Courier New" w:hAnsi="Courier New" w:cs="Courier New" w:hint="default"/>
      </w:rPr>
    </w:lvl>
    <w:lvl w:ilvl="8" w:tplc="0C090005" w:tentative="1">
      <w:start w:val="1"/>
      <w:numFmt w:val="bullet"/>
      <w:lvlText w:val=""/>
      <w:lvlJc w:val="left"/>
      <w:pPr>
        <w:ind w:left="6413" w:hanging="360"/>
      </w:pPr>
      <w:rPr>
        <w:rFonts w:ascii="Wingdings" w:hAnsi="Wingdings" w:hint="default"/>
      </w:rPr>
    </w:lvl>
  </w:abstractNum>
  <w:abstractNum w:abstractNumId="2" w15:restartNumberingAfterBreak="0">
    <w:nsid w:val="0B1F4AE9"/>
    <w:multiLevelType w:val="hybridMultilevel"/>
    <w:tmpl w:val="337C65CA"/>
    <w:lvl w:ilvl="0" w:tplc="0C090001">
      <w:start w:val="1"/>
      <w:numFmt w:val="bullet"/>
      <w:lvlText w:val=""/>
      <w:lvlJc w:val="left"/>
      <w:pPr>
        <w:ind w:left="607" w:hanging="360"/>
      </w:pPr>
      <w:rPr>
        <w:rFonts w:ascii="Symbol" w:hAnsi="Symbol" w:hint="default"/>
      </w:rPr>
    </w:lvl>
    <w:lvl w:ilvl="1" w:tplc="0C090003" w:tentative="1">
      <w:start w:val="1"/>
      <w:numFmt w:val="bullet"/>
      <w:lvlText w:val="o"/>
      <w:lvlJc w:val="left"/>
      <w:pPr>
        <w:ind w:left="1327" w:hanging="360"/>
      </w:pPr>
      <w:rPr>
        <w:rFonts w:ascii="Courier New" w:hAnsi="Courier New" w:cs="Courier New" w:hint="default"/>
      </w:rPr>
    </w:lvl>
    <w:lvl w:ilvl="2" w:tplc="0C090005" w:tentative="1">
      <w:start w:val="1"/>
      <w:numFmt w:val="bullet"/>
      <w:lvlText w:val=""/>
      <w:lvlJc w:val="left"/>
      <w:pPr>
        <w:ind w:left="2047" w:hanging="360"/>
      </w:pPr>
      <w:rPr>
        <w:rFonts w:ascii="Wingdings" w:hAnsi="Wingdings" w:hint="default"/>
      </w:rPr>
    </w:lvl>
    <w:lvl w:ilvl="3" w:tplc="0C090001" w:tentative="1">
      <w:start w:val="1"/>
      <w:numFmt w:val="bullet"/>
      <w:lvlText w:val=""/>
      <w:lvlJc w:val="left"/>
      <w:pPr>
        <w:ind w:left="2767" w:hanging="360"/>
      </w:pPr>
      <w:rPr>
        <w:rFonts w:ascii="Symbol" w:hAnsi="Symbol" w:hint="default"/>
      </w:rPr>
    </w:lvl>
    <w:lvl w:ilvl="4" w:tplc="0C090003" w:tentative="1">
      <w:start w:val="1"/>
      <w:numFmt w:val="bullet"/>
      <w:lvlText w:val="o"/>
      <w:lvlJc w:val="left"/>
      <w:pPr>
        <w:ind w:left="3487" w:hanging="360"/>
      </w:pPr>
      <w:rPr>
        <w:rFonts w:ascii="Courier New" w:hAnsi="Courier New" w:cs="Courier New" w:hint="default"/>
      </w:rPr>
    </w:lvl>
    <w:lvl w:ilvl="5" w:tplc="0C090005" w:tentative="1">
      <w:start w:val="1"/>
      <w:numFmt w:val="bullet"/>
      <w:lvlText w:val=""/>
      <w:lvlJc w:val="left"/>
      <w:pPr>
        <w:ind w:left="4207" w:hanging="360"/>
      </w:pPr>
      <w:rPr>
        <w:rFonts w:ascii="Wingdings" w:hAnsi="Wingdings" w:hint="default"/>
      </w:rPr>
    </w:lvl>
    <w:lvl w:ilvl="6" w:tplc="0C090001" w:tentative="1">
      <w:start w:val="1"/>
      <w:numFmt w:val="bullet"/>
      <w:lvlText w:val=""/>
      <w:lvlJc w:val="left"/>
      <w:pPr>
        <w:ind w:left="4927" w:hanging="360"/>
      </w:pPr>
      <w:rPr>
        <w:rFonts w:ascii="Symbol" w:hAnsi="Symbol" w:hint="default"/>
      </w:rPr>
    </w:lvl>
    <w:lvl w:ilvl="7" w:tplc="0C090003" w:tentative="1">
      <w:start w:val="1"/>
      <w:numFmt w:val="bullet"/>
      <w:lvlText w:val="o"/>
      <w:lvlJc w:val="left"/>
      <w:pPr>
        <w:ind w:left="5647" w:hanging="360"/>
      </w:pPr>
      <w:rPr>
        <w:rFonts w:ascii="Courier New" w:hAnsi="Courier New" w:cs="Courier New" w:hint="default"/>
      </w:rPr>
    </w:lvl>
    <w:lvl w:ilvl="8" w:tplc="0C090005" w:tentative="1">
      <w:start w:val="1"/>
      <w:numFmt w:val="bullet"/>
      <w:lvlText w:val=""/>
      <w:lvlJc w:val="left"/>
      <w:pPr>
        <w:ind w:left="6367" w:hanging="360"/>
      </w:pPr>
      <w:rPr>
        <w:rFonts w:ascii="Wingdings" w:hAnsi="Wingdings" w:hint="default"/>
      </w:rPr>
    </w:lvl>
  </w:abstractNum>
  <w:abstractNum w:abstractNumId="3" w15:restartNumberingAfterBreak="0">
    <w:nsid w:val="2D3B6546"/>
    <w:multiLevelType w:val="hybridMultilevel"/>
    <w:tmpl w:val="DF1CAEAE"/>
    <w:lvl w:ilvl="0" w:tplc="0C090001">
      <w:start w:val="1"/>
      <w:numFmt w:val="bullet"/>
      <w:lvlText w:val=""/>
      <w:lvlJc w:val="left"/>
      <w:pPr>
        <w:ind w:left="2047" w:hanging="360"/>
      </w:pPr>
      <w:rPr>
        <w:rFonts w:ascii="Symbol" w:hAnsi="Symbol" w:hint="default"/>
      </w:rPr>
    </w:lvl>
    <w:lvl w:ilvl="1" w:tplc="0C090003" w:tentative="1">
      <w:start w:val="1"/>
      <w:numFmt w:val="bullet"/>
      <w:lvlText w:val="o"/>
      <w:lvlJc w:val="left"/>
      <w:pPr>
        <w:ind w:left="2767" w:hanging="360"/>
      </w:pPr>
      <w:rPr>
        <w:rFonts w:ascii="Courier New" w:hAnsi="Courier New" w:cs="Courier New" w:hint="default"/>
      </w:rPr>
    </w:lvl>
    <w:lvl w:ilvl="2" w:tplc="0C090005" w:tentative="1">
      <w:start w:val="1"/>
      <w:numFmt w:val="bullet"/>
      <w:lvlText w:val=""/>
      <w:lvlJc w:val="left"/>
      <w:pPr>
        <w:ind w:left="3487" w:hanging="360"/>
      </w:pPr>
      <w:rPr>
        <w:rFonts w:ascii="Wingdings" w:hAnsi="Wingdings" w:hint="default"/>
      </w:rPr>
    </w:lvl>
    <w:lvl w:ilvl="3" w:tplc="0C090001" w:tentative="1">
      <w:start w:val="1"/>
      <w:numFmt w:val="bullet"/>
      <w:lvlText w:val=""/>
      <w:lvlJc w:val="left"/>
      <w:pPr>
        <w:ind w:left="4207" w:hanging="360"/>
      </w:pPr>
      <w:rPr>
        <w:rFonts w:ascii="Symbol" w:hAnsi="Symbol" w:hint="default"/>
      </w:rPr>
    </w:lvl>
    <w:lvl w:ilvl="4" w:tplc="0C090003" w:tentative="1">
      <w:start w:val="1"/>
      <w:numFmt w:val="bullet"/>
      <w:lvlText w:val="o"/>
      <w:lvlJc w:val="left"/>
      <w:pPr>
        <w:ind w:left="4927" w:hanging="360"/>
      </w:pPr>
      <w:rPr>
        <w:rFonts w:ascii="Courier New" w:hAnsi="Courier New" w:cs="Courier New" w:hint="default"/>
      </w:rPr>
    </w:lvl>
    <w:lvl w:ilvl="5" w:tplc="0C090005" w:tentative="1">
      <w:start w:val="1"/>
      <w:numFmt w:val="bullet"/>
      <w:lvlText w:val=""/>
      <w:lvlJc w:val="left"/>
      <w:pPr>
        <w:ind w:left="5647" w:hanging="360"/>
      </w:pPr>
      <w:rPr>
        <w:rFonts w:ascii="Wingdings" w:hAnsi="Wingdings" w:hint="default"/>
      </w:rPr>
    </w:lvl>
    <w:lvl w:ilvl="6" w:tplc="0C090001" w:tentative="1">
      <w:start w:val="1"/>
      <w:numFmt w:val="bullet"/>
      <w:lvlText w:val=""/>
      <w:lvlJc w:val="left"/>
      <w:pPr>
        <w:ind w:left="6367" w:hanging="360"/>
      </w:pPr>
      <w:rPr>
        <w:rFonts w:ascii="Symbol" w:hAnsi="Symbol" w:hint="default"/>
      </w:rPr>
    </w:lvl>
    <w:lvl w:ilvl="7" w:tplc="0C090003" w:tentative="1">
      <w:start w:val="1"/>
      <w:numFmt w:val="bullet"/>
      <w:lvlText w:val="o"/>
      <w:lvlJc w:val="left"/>
      <w:pPr>
        <w:ind w:left="7087" w:hanging="360"/>
      </w:pPr>
      <w:rPr>
        <w:rFonts w:ascii="Courier New" w:hAnsi="Courier New" w:cs="Courier New" w:hint="default"/>
      </w:rPr>
    </w:lvl>
    <w:lvl w:ilvl="8" w:tplc="0C090005" w:tentative="1">
      <w:start w:val="1"/>
      <w:numFmt w:val="bullet"/>
      <w:lvlText w:val=""/>
      <w:lvlJc w:val="left"/>
      <w:pPr>
        <w:ind w:left="7807" w:hanging="360"/>
      </w:pPr>
      <w:rPr>
        <w:rFonts w:ascii="Wingdings" w:hAnsi="Wingdings" w:hint="default"/>
      </w:rPr>
    </w:lvl>
  </w:abstractNum>
  <w:abstractNum w:abstractNumId="4" w15:restartNumberingAfterBreak="0">
    <w:nsid w:val="3147219C"/>
    <w:multiLevelType w:val="hybridMultilevel"/>
    <w:tmpl w:val="B7BAE3AA"/>
    <w:lvl w:ilvl="0" w:tplc="807EE746">
      <w:numFmt w:val="bullet"/>
      <w:lvlText w:val="•"/>
      <w:lvlJc w:val="left"/>
      <w:pPr>
        <w:ind w:left="720" w:hanging="360"/>
      </w:pPr>
      <w:rPr>
        <w:rFonts w:ascii="Times New Roman" w:eastAsia="Calibri" w:hAnsi="Times New Roman" w:cs="Times New Roman" w:hint="default"/>
      </w:rPr>
    </w:lvl>
    <w:lvl w:ilvl="1" w:tplc="FA1C9702">
      <w:numFmt w:val="bullet"/>
      <w:lvlText w:val="–"/>
      <w:lvlJc w:val="left"/>
      <w:pPr>
        <w:ind w:left="1440" w:hanging="360"/>
      </w:pPr>
      <w:rPr>
        <w:rFonts w:ascii="Times New Roman" w:eastAsia="Calibr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E76D35"/>
    <w:multiLevelType w:val="hybridMultilevel"/>
    <w:tmpl w:val="DBB2EC66"/>
    <w:lvl w:ilvl="0" w:tplc="65C80D9E">
      <w:numFmt w:val="bullet"/>
      <w:lvlText w:val="-"/>
      <w:lvlJc w:val="left"/>
      <w:pPr>
        <w:ind w:left="247" w:hanging="360"/>
      </w:pPr>
      <w:rPr>
        <w:rFonts w:ascii="Calibri" w:eastAsia="Calibri" w:hAnsi="Calibri" w:cs="Times New Roman" w:hint="default"/>
      </w:rPr>
    </w:lvl>
    <w:lvl w:ilvl="1" w:tplc="0C090003" w:tentative="1">
      <w:start w:val="1"/>
      <w:numFmt w:val="bullet"/>
      <w:lvlText w:val="o"/>
      <w:lvlJc w:val="left"/>
      <w:pPr>
        <w:ind w:left="967" w:hanging="360"/>
      </w:pPr>
      <w:rPr>
        <w:rFonts w:ascii="Courier New" w:hAnsi="Courier New" w:cs="Courier New" w:hint="default"/>
      </w:rPr>
    </w:lvl>
    <w:lvl w:ilvl="2" w:tplc="0C090005" w:tentative="1">
      <w:start w:val="1"/>
      <w:numFmt w:val="bullet"/>
      <w:lvlText w:val=""/>
      <w:lvlJc w:val="left"/>
      <w:pPr>
        <w:ind w:left="1687" w:hanging="360"/>
      </w:pPr>
      <w:rPr>
        <w:rFonts w:ascii="Wingdings" w:hAnsi="Wingdings" w:hint="default"/>
      </w:rPr>
    </w:lvl>
    <w:lvl w:ilvl="3" w:tplc="0C090001" w:tentative="1">
      <w:start w:val="1"/>
      <w:numFmt w:val="bullet"/>
      <w:lvlText w:val=""/>
      <w:lvlJc w:val="left"/>
      <w:pPr>
        <w:ind w:left="2407" w:hanging="360"/>
      </w:pPr>
      <w:rPr>
        <w:rFonts w:ascii="Symbol" w:hAnsi="Symbol" w:hint="default"/>
      </w:rPr>
    </w:lvl>
    <w:lvl w:ilvl="4" w:tplc="0C090003" w:tentative="1">
      <w:start w:val="1"/>
      <w:numFmt w:val="bullet"/>
      <w:lvlText w:val="o"/>
      <w:lvlJc w:val="left"/>
      <w:pPr>
        <w:ind w:left="3127" w:hanging="360"/>
      </w:pPr>
      <w:rPr>
        <w:rFonts w:ascii="Courier New" w:hAnsi="Courier New" w:cs="Courier New" w:hint="default"/>
      </w:rPr>
    </w:lvl>
    <w:lvl w:ilvl="5" w:tplc="0C090005" w:tentative="1">
      <w:start w:val="1"/>
      <w:numFmt w:val="bullet"/>
      <w:lvlText w:val=""/>
      <w:lvlJc w:val="left"/>
      <w:pPr>
        <w:ind w:left="3847" w:hanging="360"/>
      </w:pPr>
      <w:rPr>
        <w:rFonts w:ascii="Wingdings" w:hAnsi="Wingdings" w:hint="default"/>
      </w:rPr>
    </w:lvl>
    <w:lvl w:ilvl="6" w:tplc="0C090001" w:tentative="1">
      <w:start w:val="1"/>
      <w:numFmt w:val="bullet"/>
      <w:lvlText w:val=""/>
      <w:lvlJc w:val="left"/>
      <w:pPr>
        <w:ind w:left="4567" w:hanging="360"/>
      </w:pPr>
      <w:rPr>
        <w:rFonts w:ascii="Symbol" w:hAnsi="Symbol" w:hint="default"/>
      </w:rPr>
    </w:lvl>
    <w:lvl w:ilvl="7" w:tplc="0C090003" w:tentative="1">
      <w:start w:val="1"/>
      <w:numFmt w:val="bullet"/>
      <w:lvlText w:val="o"/>
      <w:lvlJc w:val="left"/>
      <w:pPr>
        <w:ind w:left="5287" w:hanging="360"/>
      </w:pPr>
      <w:rPr>
        <w:rFonts w:ascii="Courier New" w:hAnsi="Courier New" w:cs="Courier New" w:hint="default"/>
      </w:rPr>
    </w:lvl>
    <w:lvl w:ilvl="8" w:tplc="0C090005" w:tentative="1">
      <w:start w:val="1"/>
      <w:numFmt w:val="bullet"/>
      <w:lvlText w:val=""/>
      <w:lvlJc w:val="left"/>
      <w:pPr>
        <w:ind w:left="6007" w:hanging="360"/>
      </w:pPr>
      <w:rPr>
        <w:rFonts w:ascii="Wingdings" w:hAnsi="Wingdings" w:hint="default"/>
      </w:rPr>
    </w:lvl>
  </w:abstractNum>
  <w:abstractNum w:abstractNumId="6" w15:restartNumberingAfterBreak="0">
    <w:nsid w:val="4DF3327A"/>
    <w:multiLevelType w:val="hybridMultilevel"/>
    <w:tmpl w:val="4D504DBE"/>
    <w:lvl w:ilvl="0" w:tplc="0C090001">
      <w:start w:val="1"/>
      <w:numFmt w:val="bullet"/>
      <w:lvlText w:val=""/>
      <w:lvlJc w:val="left"/>
      <w:pPr>
        <w:ind w:left="607" w:hanging="360"/>
      </w:pPr>
      <w:rPr>
        <w:rFonts w:ascii="Symbol" w:hAnsi="Symbol" w:hint="default"/>
      </w:rPr>
    </w:lvl>
    <w:lvl w:ilvl="1" w:tplc="0C090003" w:tentative="1">
      <w:start w:val="1"/>
      <w:numFmt w:val="bullet"/>
      <w:lvlText w:val="o"/>
      <w:lvlJc w:val="left"/>
      <w:pPr>
        <w:ind w:left="1327" w:hanging="360"/>
      </w:pPr>
      <w:rPr>
        <w:rFonts w:ascii="Courier New" w:hAnsi="Courier New" w:cs="Courier New" w:hint="default"/>
      </w:rPr>
    </w:lvl>
    <w:lvl w:ilvl="2" w:tplc="0C090005" w:tentative="1">
      <w:start w:val="1"/>
      <w:numFmt w:val="bullet"/>
      <w:lvlText w:val=""/>
      <w:lvlJc w:val="left"/>
      <w:pPr>
        <w:ind w:left="2047" w:hanging="360"/>
      </w:pPr>
      <w:rPr>
        <w:rFonts w:ascii="Wingdings" w:hAnsi="Wingdings" w:hint="default"/>
      </w:rPr>
    </w:lvl>
    <w:lvl w:ilvl="3" w:tplc="0C090001" w:tentative="1">
      <w:start w:val="1"/>
      <w:numFmt w:val="bullet"/>
      <w:lvlText w:val=""/>
      <w:lvlJc w:val="left"/>
      <w:pPr>
        <w:ind w:left="2767" w:hanging="360"/>
      </w:pPr>
      <w:rPr>
        <w:rFonts w:ascii="Symbol" w:hAnsi="Symbol" w:hint="default"/>
      </w:rPr>
    </w:lvl>
    <w:lvl w:ilvl="4" w:tplc="0C090003" w:tentative="1">
      <w:start w:val="1"/>
      <w:numFmt w:val="bullet"/>
      <w:lvlText w:val="o"/>
      <w:lvlJc w:val="left"/>
      <w:pPr>
        <w:ind w:left="3487" w:hanging="360"/>
      </w:pPr>
      <w:rPr>
        <w:rFonts w:ascii="Courier New" w:hAnsi="Courier New" w:cs="Courier New" w:hint="default"/>
      </w:rPr>
    </w:lvl>
    <w:lvl w:ilvl="5" w:tplc="0C090005" w:tentative="1">
      <w:start w:val="1"/>
      <w:numFmt w:val="bullet"/>
      <w:lvlText w:val=""/>
      <w:lvlJc w:val="left"/>
      <w:pPr>
        <w:ind w:left="4207" w:hanging="360"/>
      </w:pPr>
      <w:rPr>
        <w:rFonts w:ascii="Wingdings" w:hAnsi="Wingdings" w:hint="default"/>
      </w:rPr>
    </w:lvl>
    <w:lvl w:ilvl="6" w:tplc="0C090001" w:tentative="1">
      <w:start w:val="1"/>
      <w:numFmt w:val="bullet"/>
      <w:lvlText w:val=""/>
      <w:lvlJc w:val="left"/>
      <w:pPr>
        <w:ind w:left="4927" w:hanging="360"/>
      </w:pPr>
      <w:rPr>
        <w:rFonts w:ascii="Symbol" w:hAnsi="Symbol" w:hint="default"/>
      </w:rPr>
    </w:lvl>
    <w:lvl w:ilvl="7" w:tplc="0C090003" w:tentative="1">
      <w:start w:val="1"/>
      <w:numFmt w:val="bullet"/>
      <w:lvlText w:val="o"/>
      <w:lvlJc w:val="left"/>
      <w:pPr>
        <w:ind w:left="5647" w:hanging="360"/>
      </w:pPr>
      <w:rPr>
        <w:rFonts w:ascii="Courier New" w:hAnsi="Courier New" w:cs="Courier New" w:hint="default"/>
      </w:rPr>
    </w:lvl>
    <w:lvl w:ilvl="8" w:tplc="0C090005" w:tentative="1">
      <w:start w:val="1"/>
      <w:numFmt w:val="bullet"/>
      <w:lvlText w:val=""/>
      <w:lvlJc w:val="left"/>
      <w:pPr>
        <w:ind w:left="6367" w:hanging="360"/>
      </w:pPr>
      <w:rPr>
        <w:rFonts w:ascii="Wingdings" w:hAnsi="Wingdings" w:hint="default"/>
      </w:rPr>
    </w:lvl>
  </w:abstractNum>
  <w:abstractNum w:abstractNumId="7" w15:restartNumberingAfterBreak="0">
    <w:nsid w:val="6B461ED5"/>
    <w:multiLevelType w:val="hybridMultilevel"/>
    <w:tmpl w:val="1C88133C"/>
    <w:lvl w:ilvl="0" w:tplc="0C090001">
      <w:start w:val="1"/>
      <w:numFmt w:val="bullet"/>
      <w:lvlText w:val=""/>
      <w:lvlJc w:val="left"/>
      <w:pPr>
        <w:ind w:left="607" w:hanging="360"/>
      </w:pPr>
      <w:rPr>
        <w:rFonts w:ascii="Symbol" w:hAnsi="Symbol" w:hint="default"/>
      </w:rPr>
    </w:lvl>
    <w:lvl w:ilvl="1" w:tplc="0C090003" w:tentative="1">
      <w:start w:val="1"/>
      <w:numFmt w:val="bullet"/>
      <w:lvlText w:val="o"/>
      <w:lvlJc w:val="left"/>
      <w:pPr>
        <w:ind w:left="1327" w:hanging="360"/>
      </w:pPr>
      <w:rPr>
        <w:rFonts w:ascii="Courier New" w:hAnsi="Courier New" w:cs="Courier New" w:hint="default"/>
      </w:rPr>
    </w:lvl>
    <w:lvl w:ilvl="2" w:tplc="0C090005" w:tentative="1">
      <w:start w:val="1"/>
      <w:numFmt w:val="bullet"/>
      <w:lvlText w:val=""/>
      <w:lvlJc w:val="left"/>
      <w:pPr>
        <w:ind w:left="2047" w:hanging="360"/>
      </w:pPr>
      <w:rPr>
        <w:rFonts w:ascii="Wingdings" w:hAnsi="Wingdings" w:hint="default"/>
      </w:rPr>
    </w:lvl>
    <w:lvl w:ilvl="3" w:tplc="0C090001" w:tentative="1">
      <w:start w:val="1"/>
      <w:numFmt w:val="bullet"/>
      <w:lvlText w:val=""/>
      <w:lvlJc w:val="left"/>
      <w:pPr>
        <w:ind w:left="2767" w:hanging="360"/>
      </w:pPr>
      <w:rPr>
        <w:rFonts w:ascii="Symbol" w:hAnsi="Symbol" w:hint="default"/>
      </w:rPr>
    </w:lvl>
    <w:lvl w:ilvl="4" w:tplc="0C090003" w:tentative="1">
      <w:start w:val="1"/>
      <w:numFmt w:val="bullet"/>
      <w:lvlText w:val="o"/>
      <w:lvlJc w:val="left"/>
      <w:pPr>
        <w:ind w:left="3487" w:hanging="360"/>
      </w:pPr>
      <w:rPr>
        <w:rFonts w:ascii="Courier New" w:hAnsi="Courier New" w:cs="Courier New" w:hint="default"/>
      </w:rPr>
    </w:lvl>
    <w:lvl w:ilvl="5" w:tplc="0C090005" w:tentative="1">
      <w:start w:val="1"/>
      <w:numFmt w:val="bullet"/>
      <w:lvlText w:val=""/>
      <w:lvlJc w:val="left"/>
      <w:pPr>
        <w:ind w:left="4207" w:hanging="360"/>
      </w:pPr>
      <w:rPr>
        <w:rFonts w:ascii="Wingdings" w:hAnsi="Wingdings" w:hint="default"/>
      </w:rPr>
    </w:lvl>
    <w:lvl w:ilvl="6" w:tplc="0C090001" w:tentative="1">
      <w:start w:val="1"/>
      <w:numFmt w:val="bullet"/>
      <w:lvlText w:val=""/>
      <w:lvlJc w:val="left"/>
      <w:pPr>
        <w:ind w:left="4927" w:hanging="360"/>
      </w:pPr>
      <w:rPr>
        <w:rFonts w:ascii="Symbol" w:hAnsi="Symbol" w:hint="default"/>
      </w:rPr>
    </w:lvl>
    <w:lvl w:ilvl="7" w:tplc="0C090003" w:tentative="1">
      <w:start w:val="1"/>
      <w:numFmt w:val="bullet"/>
      <w:lvlText w:val="o"/>
      <w:lvlJc w:val="left"/>
      <w:pPr>
        <w:ind w:left="5647" w:hanging="360"/>
      </w:pPr>
      <w:rPr>
        <w:rFonts w:ascii="Courier New" w:hAnsi="Courier New" w:cs="Courier New" w:hint="default"/>
      </w:rPr>
    </w:lvl>
    <w:lvl w:ilvl="8" w:tplc="0C090005" w:tentative="1">
      <w:start w:val="1"/>
      <w:numFmt w:val="bullet"/>
      <w:lvlText w:val=""/>
      <w:lvlJc w:val="left"/>
      <w:pPr>
        <w:ind w:left="6367" w:hanging="360"/>
      </w:pPr>
      <w:rPr>
        <w:rFonts w:ascii="Wingdings" w:hAnsi="Wingdings" w:hint="default"/>
      </w:rPr>
    </w:lvl>
  </w:abstractNum>
  <w:abstractNum w:abstractNumId="8" w15:restartNumberingAfterBreak="0">
    <w:nsid w:val="7BB649EB"/>
    <w:multiLevelType w:val="hybridMultilevel"/>
    <w:tmpl w:val="FEA0E5BC"/>
    <w:lvl w:ilvl="0" w:tplc="05B8D628">
      <w:start w:val="1"/>
      <w:numFmt w:val="bullet"/>
      <w:lvlText w:val="•"/>
      <w:lvlJc w:val="left"/>
      <w:pPr>
        <w:tabs>
          <w:tab w:val="num" w:pos="720"/>
        </w:tabs>
        <w:ind w:left="720" w:hanging="360"/>
      </w:pPr>
      <w:rPr>
        <w:rFonts w:ascii="Times New Roman" w:hAnsi="Times New Roman" w:hint="default"/>
      </w:rPr>
    </w:lvl>
    <w:lvl w:ilvl="1" w:tplc="7A5A433C" w:tentative="1">
      <w:start w:val="1"/>
      <w:numFmt w:val="bullet"/>
      <w:lvlText w:val="•"/>
      <w:lvlJc w:val="left"/>
      <w:pPr>
        <w:tabs>
          <w:tab w:val="num" w:pos="1440"/>
        </w:tabs>
        <w:ind w:left="1440" w:hanging="360"/>
      </w:pPr>
      <w:rPr>
        <w:rFonts w:ascii="Times New Roman" w:hAnsi="Times New Roman" w:hint="default"/>
      </w:rPr>
    </w:lvl>
    <w:lvl w:ilvl="2" w:tplc="AC18BAEE" w:tentative="1">
      <w:start w:val="1"/>
      <w:numFmt w:val="bullet"/>
      <w:lvlText w:val="•"/>
      <w:lvlJc w:val="left"/>
      <w:pPr>
        <w:tabs>
          <w:tab w:val="num" w:pos="2160"/>
        </w:tabs>
        <w:ind w:left="2160" w:hanging="360"/>
      </w:pPr>
      <w:rPr>
        <w:rFonts w:ascii="Times New Roman" w:hAnsi="Times New Roman" w:hint="default"/>
      </w:rPr>
    </w:lvl>
    <w:lvl w:ilvl="3" w:tplc="F5E01EDE" w:tentative="1">
      <w:start w:val="1"/>
      <w:numFmt w:val="bullet"/>
      <w:lvlText w:val="•"/>
      <w:lvlJc w:val="left"/>
      <w:pPr>
        <w:tabs>
          <w:tab w:val="num" w:pos="2880"/>
        </w:tabs>
        <w:ind w:left="2880" w:hanging="360"/>
      </w:pPr>
      <w:rPr>
        <w:rFonts w:ascii="Times New Roman" w:hAnsi="Times New Roman" w:hint="default"/>
      </w:rPr>
    </w:lvl>
    <w:lvl w:ilvl="4" w:tplc="75166A9C" w:tentative="1">
      <w:start w:val="1"/>
      <w:numFmt w:val="bullet"/>
      <w:lvlText w:val="•"/>
      <w:lvlJc w:val="left"/>
      <w:pPr>
        <w:tabs>
          <w:tab w:val="num" w:pos="3600"/>
        </w:tabs>
        <w:ind w:left="3600" w:hanging="360"/>
      </w:pPr>
      <w:rPr>
        <w:rFonts w:ascii="Times New Roman" w:hAnsi="Times New Roman" w:hint="default"/>
      </w:rPr>
    </w:lvl>
    <w:lvl w:ilvl="5" w:tplc="7A12A30E" w:tentative="1">
      <w:start w:val="1"/>
      <w:numFmt w:val="bullet"/>
      <w:lvlText w:val="•"/>
      <w:lvlJc w:val="left"/>
      <w:pPr>
        <w:tabs>
          <w:tab w:val="num" w:pos="4320"/>
        </w:tabs>
        <w:ind w:left="4320" w:hanging="360"/>
      </w:pPr>
      <w:rPr>
        <w:rFonts w:ascii="Times New Roman" w:hAnsi="Times New Roman" w:hint="default"/>
      </w:rPr>
    </w:lvl>
    <w:lvl w:ilvl="6" w:tplc="E3A4C3B6" w:tentative="1">
      <w:start w:val="1"/>
      <w:numFmt w:val="bullet"/>
      <w:lvlText w:val="•"/>
      <w:lvlJc w:val="left"/>
      <w:pPr>
        <w:tabs>
          <w:tab w:val="num" w:pos="5040"/>
        </w:tabs>
        <w:ind w:left="5040" w:hanging="360"/>
      </w:pPr>
      <w:rPr>
        <w:rFonts w:ascii="Times New Roman" w:hAnsi="Times New Roman" w:hint="default"/>
      </w:rPr>
    </w:lvl>
    <w:lvl w:ilvl="7" w:tplc="CAD4C8CC" w:tentative="1">
      <w:start w:val="1"/>
      <w:numFmt w:val="bullet"/>
      <w:lvlText w:val="•"/>
      <w:lvlJc w:val="left"/>
      <w:pPr>
        <w:tabs>
          <w:tab w:val="num" w:pos="5760"/>
        </w:tabs>
        <w:ind w:left="5760" w:hanging="360"/>
      </w:pPr>
      <w:rPr>
        <w:rFonts w:ascii="Times New Roman" w:hAnsi="Times New Roman" w:hint="default"/>
      </w:rPr>
    </w:lvl>
    <w:lvl w:ilvl="8" w:tplc="CC6E55D6"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0"/>
  </w:num>
  <w:num w:numId="3">
    <w:abstractNumId w:val="8"/>
  </w:num>
  <w:num w:numId="4">
    <w:abstractNumId w:val="5"/>
  </w:num>
  <w:num w:numId="5">
    <w:abstractNumId w:val="1"/>
  </w:num>
  <w:num w:numId="6">
    <w:abstractNumId w:val="7"/>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7169">
      <o:colormru v:ext="edit" colors="yellow"/>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354"/>
    <w:rsid w:val="005F6D0B"/>
    <w:rsid w:val="007B51F6"/>
    <w:rsid w:val="00883354"/>
    <w:rsid w:val="00904B20"/>
    <w:rsid w:val="009B5F05"/>
    <w:rsid w:val="00DD08C5"/>
    <w:rsid w:val="00EE196B"/>
    <w:rsid w:val="00FB5D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9">
      <o:colormru v:ext="edit" colors="yellow"/>
    </o:shapedefaults>
    <o:shapelayout v:ext="edit">
      <o:idmap v:ext="edit" data="1"/>
    </o:shapelayout>
  </w:shapeDefaults>
  <w:decimalSymbol w:val="."/>
  <w:listSeparator w:val=","/>
  <w14:docId w14:val="4BFB8622"/>
  <w15:chartTrackingRefBased/>
  <w15:docId w15:val="{B24F296F-5996-4AAA-A899-5C8CAF3A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354"/>
    <w:pPr>
      <w:ind w:left="-113" w:right="-113"/>
      <w:jc w:val="center"/>
    </w:pPr>
    <w:rPr>
      <w:sz w:val="22"/>
      <w:szCs w:val="22"/>
      <w:lang w:eastAsia="en-US"/>
    </w:rPr>
  </w:style>
  <w:style w:type="paragraph" w:styleId="Heading1">
    <w:name w:val="heading 1"/>
    <w:basedOn w:val="Normal"/>
    <w:next w:val="Normal"/>
    <w:link w:val="Heading1Char"/>
    <w:uiPriority w:val="9"/>
    <w:qFormat/>
    <w:rsid w:val="00883354"/>
    <w:pPr>
      <w:keepNext/>
      <w:keepLines/>
      <w:tabs>
        <w:tab w:val="left" w:pos="5745"/>
      </w:tabs>
      <w:overflowPunct w:val="0"/>
      <w:autoSpaceDE w:val="0"/>
      <w:autoSpaceDN w:val="0"/>
      <w:adjustRightInd w:val="0"/>
      <w:spacing w:before="480" w:line="276" w:lineRule="auto"/>
      <w:ind w:left="0" w:right="0"/>
      <w:jc w:val="left"/>
      <w:textAlignment w:val="baseline"/>
      <w:outlineLvl w:val="0"/>
    </w:pPr>
    <w:rPr>
      <w:rFonts w:ascii="Cambria" w:eastAsia="Times New Roman" w:hAnsi="Cambria"/>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3354"/>
    <w:pPr>
      <w:tabs>
        <w:tab w:val="center" w:pos="4513"/>
        <w:tab w:val="right" w:pos="9026"/>
      </w:tabs>
    </w:pPr>
  </w:style>
  <w:style w:type="character" w:customStyle="1" w:styleId="HeaderChar">
    <w:name w:val="Header Char"/>
    <w:basedOn w:val="DefaultParagraphFont"/>
    <w:link w:val="Header"/>
    <w:uiPriority w:val="99"/>
    <w:rsid w:val="00883354"/>
  </w:style>
  <w:style w:type="paragraph" w:styleId="Footer">
    <w:name w:val="footer"/>
    <w:basedOn w:val="Normal"/>
    <w:link w:val="FooterChar"/>
    <w:uiPriority w:val="99"/>
    <w:unhideWhenUsed/>
    <w:rsid w:val="00883354"/>
    <w:pPr>
      <w:tabs>
        <w:tab w:val="center" w:pos="4513"/>
        <w:tab w:val="right" w:pos="9026"/>
      </w:tabs>
    </w:pPr>
  </w:style>
  <w:style w:type="character" w:customStyle="1" w:styleId="FooterChar">
    <w:name w:val="Footer Char"/>
    <w:basedOn w:val="DefaultParagraphFont"/>
    <w:link w:val="Footer"/>
    <w:uiPriority w:val="99"/>
    <w:rsid w:val="00883354"/>
  </w:style>
  <w:style w:type="paragraph" w:styleId="BalloonText">
    <w:name w:val="Balloon Text"/>
    <w:basedOn w:val="Normal"/>
    <w:link w:val="BalloonTextChar"/>
    <w:uiPriority w:val="99"/>
    <w:semiHidden/>
    <w:unhideWhenUsed/>
    <w:rsid w:val="00883354"/>
    <w:rPr>
      <w:rFonts w:ascii="Tahoma" w:hAnsi="Tahoma" w:cs="Tahoma"/>
      <w:sz w:val="16"/>
      <w:szCs w:val="16"/>
    </w:rPr>
  </w:style>
  <w:style w:type="character" w:customStyle="1" w:styleId="BalloonTextChar">
    <w:name w:val="Balloon Text Char"/>
    <w:link w:val="BalloonText"/>
    <w:uiPriority w:val="99"/>
    <w:semiHidden/>
    <w:rsid w:val="00883354"/>
    <w:rPr>
      <w:rFonts w:ascii="Tahoma" w:hAnsi="Tahoma" w:cs="Tahoma"/>
      <w:sz w:val="16"/>
      <w:szCs w:val="16"/>
    </w:rPr>
  </w:style>
  <w:style w:type="character" w:customStyle="1" w:styleId="Heading1Char">
    <w:name w:val="Heading 1 Char"/>
    <w:link w:val="Heading1"/>
    <w:uiPriority w:val="9"/>
    <w:rsid w:val="00883354"/>
    <w:rPr>
      <w:rFonts w:ascii="Cambria" w:eastAsia="Times New Roman" w:hAnsi="Cambria" w:cs="Times New Roman"/>
      <w:b/>
      <w:bCs/>
      <w:sz w:val="36"/>
      <w:szCs w:val="36"/>
    </w:rPr>
  </w:style>
  <w:style w:type="paragraph" w:styleId="ListParagraph">
    <w:name w:val="List Paragraph"/>
    <w:aliases w:val="List Paragraph1,Recommendation,List Paragraph11"/>
    <w:basedOn w:val="Normal"/>
    <w:link w:val="ListParagraphChar"/>
    <w:uiPriority w:val="34"/>
    <w:qFormat/>
    <w:rsid w:val="00883354"/>
    <w:pPr>
      <w:spacing w:after="200" w:line="276" w:lineRule="auto"/>
      <w:ind w:left="720" w:right="0"/>
      <w:contextualSpacing/>
      <w:jc w:val="left"/>
    </w:pPr>
    <w:rPr>
      <w:rFonts w:ascii="Cambria" w:hAnsi="Cambria"/>
      <w:sz w:val="24"/>
    </w:rPr>
  </w:style>
  <w:style w:type="character" w:customStyle="1" w:styleId="ListParagraphChar">
    <w:name w:val="List Paragraph Char"/>
    <w:aliases w:val="List Paragraph1 Char,Recommendation Char,List Paragraph11 Char"/>
    <w:link w:val="ListParagraph"/>
    <w:uiPriority w:val="34"/>
    <w:locked/>
    <w:rsid w:val="00883354"/>
    <w:rPr>
      <w:rFonts w:ascii="Cambria" w:eastAsia="Calibri" w:hAnsi="Cambria" w:cs="Times New Roman"/>
      <w:sz w:val="24"/>
    </w:rPr>
  </w:style>
  <w:style w:type="character" w:styleId="Hyperlink">
    <w:name w:val="Hyperlink"/>
    <w:uiPriority w:val="99"/>
    <w:rsid w:val="00883354"/>
    <w:rPr>
      <w:color w:val="0000FF"/>
      <w:u w:val="single"/>
    </w:rPr>
  </w:style>
  <w:style w:type="table" w:styleId="TableGrid">
    <w:name w:val="Table Grid"/>
    <w:basedOn w:val="TableNormal"/>
    <w:uiPriority w:val="59"/>
    <w:rsid w:val="00883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83354"/>
    <w:rPr>
      <w:sz w:val="16"/>
      <w:szCs w:val="16"/>
    </w:rPr>
  </w:style>
  <w:style w:type="paragraph" w:styleId="CommentText">
    <w:name w:val="annotation text"/>
    <w:basedOn w:val="Normal"/>
    <w:link w:val="CommentTextChar"/>
    <w:uiPriority w:val="99"/>
    <w:unhideWhenUsed/>
    <w:rsid w:val="00883354"/>
    <w:rPr>
      <w:sz w:val="20"/>
      <w:szCs w:val="20"/>
    </w:rPr>
  </w:style>
  <w:style w:type="character" w:customStyle="1" w:styleId="CommentTextChar">
    <w:name w:val="Comment Text Char"/>
    <w:link w:val="CommentText"/>
    <w:uiPriority w:val="99"/>
    <w:rsid w:val="00883354"/>
    <w:rPr>
      <w:sz w:val="20"/>
      <w:szCs w:val="20"/>
    </w:rPr>
  </w:style>
  <w:style w:type="paragraph" w:styleId="CommentSubject">
    <w:name w:val="annotation subject"/>
    <w:basedOn w:val="CommentText"/>
    <w:next w:val="CommentText"/>
    <w:link w:val="CommentSubjectChar"/>
    <w:uiPriority w:val="99"/>
    <w:semiHidden/>
    <w:unhideWhenUsed/>
    <w:rsid w:val="00883354"/>
    <w:rPr>
      <w:b/>
      <w:bCs/>
    </w:rPr>
  </w:style>
  <w:style w:type="character" w:customStyle="1" w:styleId="CommentSubjectChar">
    <w:name w:val="Comment Subject Char"/>
    <w:link w:val="CommentSubject"/>
    <w:uiPriority w:val="99"/>
    <w:semiHidden/>
    <w:rsid w:val="00883354"/>
    <w:rPr>
      <w:b/>
      <w:bCs/>
      <w:sz w:val="20"/>
      <w:szCs w:val="20"/>
    </w:rPr>
  </w:style>
  <w:style w:type="paragraph" w:styleId="Caption">
    <w:name w:val="caption"/>
    <w:basedOn w:val="Normal"/>
    <w:next w:val="Normal"/>
    <w:uiPriority w:val="35"/>
    <w:semiHidden/>
    <w:unhideWhenUsed/>
    <w:qFormat/>
    <w:rsid w:val="00883354"/>
    <w:pPr>
      <w:spacing w:after="200"/>
    </w:pPr>
    <w:rPr>
      <w:b/>
      <w:bCs/>
      <w:color w:val="4F81BD"/>
      <w:sz w:val="18"/>
      <w:szCs w:val="18"/>
    </w:rPr>
  </w:style>
  <w:style w:type="table" w:customStyle="1" w:styleId="LightShading-Accent11">
    <w:name w:val="Light Shading - Accent 11"/>
    <w:basedOn w:val="TableNormal"/>
    <w:uiPriority w:val="60"/>
    <w:rsid w:val="0088335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2">
    <w:name w:val="Light List Accent 2"/>
    <w:basedOn w:val="TableNormal"/>
    <w:uiPriority w:val="61"/>
    <w:rsid w:val="00883354"/>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11">
    <w:name w:val="Light List - Accent 11"/>
    <w:basedOn w:val="TableNormal"/>
    <w:uiPriority w:val="61"/>
    <w:rsid w:val="0088335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2-Accent11">
    <w:name w:val="Medium Shading 2 - Accent 11"/>
    <w:basedOn w:val="TableNormal"/>
    <w:uiPriority w:val="64"/>
    <w:rsid w:val="0088335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11">
    <w:name w:val="Medium List 1 - Accent 11"/>
    <w:basedOn w:val="TableNormal"/>
    <w:uiPriority w:val="65"/>
    <w:rsid w:val="00883354"/>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Accent1">
    <w:name w:val="Medium List 2 Accent 1"/>
    <w:basedOn w:val="TableNormal"/>
    <w:uiPriority w:val="66"/>
    <w:rsid w:val="00883354"/>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Revision">
    <w:name w:val="Revision"/>
    <w:hidden/>
    <w:uiPriority w:val="99"/>
    <w:semiHidden/>
    <w:rsid w:val="0088335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382992">
      <w:bodyDiv w:val="1"/>
      <w:marLeft w:val="0"/>
      <w:marRight w:val="0"/>
      <w:marTop w:val="0"/>
      <w:marBottom w:val="0"/>
      <w:divBdr>
        <w:top w:val="none" w:sz="0" w:space="0" w:color="auto"/>
        <w:left w:val="none" w:sz="0" w:space="0" w:color="auto"/>
        <w:bottom w:val="none" w:sz="0" w:space="0" w:color="auto"/>
        <w:right w:val="none" w:sz="0" w:space="0" w:color="auto"/>
      </w:divBdr>
      <w:divsChild>
        <w:div w:id="601575973">
          <w:marLeft w:val="547"/>
          <w:marRight w:val="0"/>
          <w:marTop w:val="0"/>
          <w:marBottom w:val="0"/>
          <w:divBdr>
            <w:top w:val="none" w:sz="0" w:space="0" w:color="auto"/>
            <w:left w:val="none" w:sz="0" w:space="0" w:color="auto"/>
            <w:bottom w:val="none" w:sz="0" w:space="0" w:color="auto"/>
            <w:right w:val="none" w:sz="0" w:space="0" w:color="auto"/>
          </w:divBdr>
        </w:div>
        <w:div w:id="767236038">
          <w:marLeft w:val="547"/>
          <w:marRight w:val="0"/>
          <w:marTop w:val="0"/>
          <w:marBottom w:val="0"/>
          <w:divBdr>
            <w:top w:val="none" w:sz="0" w:space="0" w:color="auto"/>
            <w:left w:val="none" w:sz="0" w:space="0" w:color="auto"/>
            <w:bottom w:val="none" w:sz="0" w:space="0" w:color="auto"/>
            <w:right w:val="none" w:sz="0" w:space="0" w:color="auto"/>
          </w:divBdr>
        </w:div>
        <w:div w:id="2074810448">
          <w:marLeft w:val="547"/>
          <w:marRight w:val="0"/>
          <w:marTop w:val="0"/>
          <w:marBottom w:val="0"/>
          <w:divBdr>
            <w:top w:val="none" w:sz="0" w:space="0" w:color="auto"/>
            <w:left w:val="none" w:sz="0" w:space="0" w:color="auto"/>
            <w:bottom w:val="none" w:sz="0" w:space="0" w:color="auto"/>
            <w:right w:val="none" w:sz="0" w:space="0" w:color="auto"/>
          </w:divBdr>
        </w:div>
      </w:divsChild>
    </w:div>
    <w:div w:id="162792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pa.tas.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llegallogging@awe.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griculture.gov.au/illegalloggin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planning.tas.gov.a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fpa.tas.gov.au"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info@fpa.tas.gov.au" TargetMode="External"/><Relationship Id="rId2" Type="http://schemas.openxmlformats.org/officeDocument/2006/relationships/hyperlink" Target="http://www.daff.gov.au/illegallogging" TargetMode="External"/><Relationship Id="rId1" Type="http://schemas.openxmlformats.org/officeDocument/2006/relationships/hyperlink" Target="mailto:illegallogging@daff.gov.au" TargetMode="External"/><Relationship Id="rId4" Type="http://schemas.openxmlformats.org/officeDocument/2006/relationships/hyperlink" Target="http://111.fpa.tas.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827461-0467-4C57-97E4-33DA9974C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D4E77D-A946-43BF-AD97-3D8228FF021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25a5c30-4c2f-474f-aa2f-443e46b3d189"/>
    <ds:schemaRef ds:uri="http://purl.org/dc/terms/"/>
    <ds:schemaRef ds:uri="ac7ce04e-ea5d-4d46-bab0-39b1fa6a6f36"/>
    <ds:schemaRef ds:uri="http://www.w3.org/XML/1998/namespace"/>
    <ds:schemaRef ds:uri="http://purl.org/dc/dcmitype/"/>
  </ds:schemaRefs>
</ds:datastoreItem>
</file>

<file path=customXml/itemProps3.xml><?xml version="1.0" encoding="utf-8"?>
<ds:datastoreItem xmlns:ds="http://schemas.openxmlformats.org/officeDocument/2006/customXml" ds:itemID="{43D5A61A-98D2-4A9E-A705-076C65F875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512</Words>
  <Characters>2876</Characters>
  <Application>Microsoft Office Word</Application>
  <DocSecurity>0</DocSecurity>
  <Lines>56</Lines>
  <Paragraphs>24</Paragraphs>
  <ScaleCrop>false</ScaleCrop>
  <HeadingPairs>
    <vt:vector size="2" baseType="variant">
      <vt:variant>
        <vt:lpstr>Title</vt:lpstr>
      </vt:variant>
      <vt:variant>
        <vt:i4>1</vt:i4>
      </vt:variant>
    </vt:vector>
  </HeadingPairs>
  <TitlesOfParts>
    <vt:vector size="1" baseType="lpstr">
      <vt:lpstr>Tasmania SSG quick reference guide</vt:lpstr>
    </vt:vector>
  </TitlesOfParts>
  <Company>Department of Agriculture Fisheries &amp; Forestry</Company>
  <LinksUpToDate>false</LinksUpToDate>
  <CharactersWithSpaces>3364</CharactersWithSpaces>
  <SharedDoc>false</SharedDoc>
  <HLinks>
    <vt:vector size="54" baseType="variant">
      <vt:variant>
        <vt:i4>7274539</vt:i4>
      </vt:variant>
      <vt:variant>
        <vt:i4>0</vt:i4>
      </vt:variant>
      <vt:variant>
        <vt:i4>0</vt:i4>
      </vt:variant>
      <vt:variant>
        <vt:i4>5</vt:i4>
      </vt:variant>
      <vt:variant>
        <vt:lpwstr>http://www.planning.tas.gov.au/</vt:lpwstr>
      </vt:variant>
      <vt:variant>
        <vt:lpwstr/>
      </vt:variant>
      <vt:variant>
        <vt:i4>7602293</vt:i4>
      </vt:variant>
      <vt:variant>
        <vt:i4>21</vt:i4>
      </vt:variant>
      <vt:variant>
        <vt:i4>0</vt:i4>
      </vt:variant>
      <vt:variant>
        <vt:i4>5</vt:i4>
      </vt:variant>
      <vt:variant>
        <vt:lpwstr>http://www.fpa.tas.gov.au/</vt:lpwstr>
      </vt:variant>
      <vt:variant>
        <vt:lpwstr/>
      </vt:variant>
      <vt:variant>
        <vt:i4>524347</vt:i4>
      </vt:variant>
      <vt:variant>
        <vt:i4>18</vt:i4>
      </vt:variant>
      <vt:variant>
        <vt:i4>0</vt:i4>
      </vt:variant>
      <vt:variant>
        <vt:i4>5</vt:i4>
      </vt:variant>
      <vt:variant>
        <vt:lpwstr>mailto:info@fpa.tas.gov.au</vt:lpwstr>
      </vt:variant>
      <vt:variant>
        <vt:lpwstr/>
      </vt:variant>
      <vt:variant>
        <vt:i4>1376351</vt:i4>
      </vt:variant>
      <vt:variant>
        <vt:i4>15</vt:i4>
      </vt:variant>
      <vt:variant>
        <vt:i4>0</vt:i4>
      </vt:variant>
      <vt:variant>
        <vt:i4>5</vt:i4>
      </vt:variant>
      <vt:variant>
        <vt:lpwstr>http://www.agriculture.gov.au/illegallogging</vt:lpwstr>
      </vt:variant>
      <vt:variant>
        <vt:lpwstr/>
      </vt:variant>
      <vt:variant>
        <vt:i4>2949211</vt:i4>
      </vt:variant>
      <vt:variant>
        <vt:i4>12</vt:i4>
      </vt:variant>
      <vt:variant>
        <vt:i4>0</vt:i4>
      </vt:variant>
      <vt:variant>
        <vt:i4>5</vt:i4>
      </vt:variant>
      <vt:variant>
        <vt:lpwstr>mailto:illegallogging@agriculture.gov.au</vt:lpwstr>
      </vt:variant>
      <vt:variant>
        <vt:lpwstr/>
      </vt:variant>
      <vt:variant>
        <vt:i4>7602227</vt:i4>
      </vt:variant>
      <vt:variant>
        <vt:i4>9</vt:i4>
      </vt:variant>
      <vt:variant>
        <vt:i4>0</vt:i4>
      </vt:variant>
      <vt:variant>
        <vt:i4>5</vt:i4>
      </vt:variant>
      <vt:variant>
        <vt:lpwstr>http://111.fpa.tas.gov.au/</vt:lpwstr>
      </vt:variant>
      <vt:variant>
        <vt:lpwstr/>
      </vt:variant>
      <vt:variant>
        <vt:i4>524347</vt:i4>
      </vt:variant>
      <vt:variant>
        <vt:i4>6</vt:i4>
      </vt:variant>
      <vt:variant>
        <vt:i4>0</vt:i4>
      </vt:variant>
      <vt:variant>
        <vt:i4>5</vt:i4>
      </vt:variant>
      <vt:variant>
        <vt:lpwstr>mailto:info@fpa.tas.gov.au</vt:lpwstr>
      </vt:variant>
      <vt:variant>
        <vt:lpwstr/>
      </vt:variant>
      <vt:variant>
        <vt:i4>5963778</vt:i4>
      </vt:variant>
      <vt:variant>
        <vt:i4>3</vt:i4>
      </vt:variant>
      <vt:variant>
        <vt:i4>0</vt:i4>
      </vt:variant>
      <vt:variant>
        <vt:i4>5</vt:i4>
      </vt:variant>
      <vt:variant>
        <vt:lpwstr>http://www.daff.gov.au/illegallogging</vt:lpwstr>
      </vt:variant>
      <vt:variant>
        <vt:lpwstr/>
      </vt:variant>
      <vt:variant>
        <vt:i4>3997770</vt:i4>
      </vt:variant>
      <vt:variant>
        <vt:i4>0</vt:i4>
      </vt:variant>
      <vt:variant>
        <vt:i4>0</vt:i4>
      </vt:variant>
      <vt:variant>
        <vt:i4>5</vt:i4>
      </vt:variant>
      <vt:variant>
        <vt:lpwstr>mailto:illegallogging@daff.gov.au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Tasmania SSG quick reference guide</dc:title>
  <dc:subject/>
  <dc:creator>Department of Agriculture, Water and the Environment, Tasmanian Forest Practices Authority</dc:creator>
  <cp:keywords/>
  <cp:lastModifiedBy>Fiona Goggins</cp:lastModifiedBy>
  <cp:revision>3</cp:revision>
  <cp:lastPrinted>2014-09-23T07:27:00Z</cp:lastPrinted>
  <dcterms:created xsi:type="dcterms:W3CDTF">2021-03-24T23:01:00Z</dcterms:created>
  <dcterms:modified xsi:type="dcterms:W3CDTF">2021-12-23T05:00:00Z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