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720EA71" w14:textId="77777777" w:rsidR="00B06A32" w:rsidRPr="00112F6E" w:rsidRDefault="00B06A32" w:rsidP="00112F6E">
      <w:pPr>
        <w:pStyle w:val="Heading1"/>
        <w:rPr>
          <w:rStyle w:val="Heading1Char"/>
          <w:b/>
          <w:bCs/>
        </w:rPr>
      </w:pPr>
      <w:r w:rsidRPr="00F9048B">
        <w:t>U</w:t>
      </w:r>
      <w:r w:rsidRPr="00F9048B">
        <w:rPr>
          <w:rStyle w:val="Heading1Char"/>
          <w:b/>
          <w:bCs/>
        </w:rPr>
        <w:t xml:space="preserve">sing </w:t>
      </w:r>
      <w:r w:rsidR="000C0994">
        <w:rPr>
          <w:rStyle w:val="Heading1Char"/>
          <w:b/>
          <w:bCs/>
        </w:rPr>
        <w:t>a</w:t>
      </w:r>
      <w:r w:rsidRPr="00F9048B">
        <w:rPr>
          <w:rStyle w:val="Heading1Char"/>
          <w:b/>
          <w:bCs/>
        </w:rPr>
        <w:t>utomatic</w:t>
      </w:r>
      <w:r w:rsidR="000C0994">
        <w:rPr>
          <w:rStyle w:val="Heading1Char"/>
          <w:b/>
          <w:bCs/>
        </w:rPr>
        <w:t xml:space="preserve"> entry processing for c</w:t>
      </w:r>
      <w:r w:rsidRPr="00F9048B">
        <w:rPr>
          <w:rStyle w:val="Heading1Char"/>
          <w:b/>
          <w:bCs/>
        </w:rPr>
        <w:t>ommodities</w:t>
      </w:r>
      <w:r w:rsidR="0018415B">
        <w:rPr>
          <w:rStyle w:val="Heading1Char"/>
          <w:b/>
          <w:bCs/>
        </w:rPr>
        <w:t xml:space="preserve"> </w:t>
      </w:r>
      <w:r w:rsidRPr="00F9048B">
        <w:rPr>
          <w:rStyle w:val="Heading1Char"/>
          <w:b/>
          <w:bCs/>
        </w:rPr>
        <w:t xml:space="preserve">during </w:t>
      </w:r>
      <w:r w:rsidR="0018415B">
        <w:rPr>
          <w:rStyle w:val="Heading1Char"/>
          <w:b/>
          <w:bCs/>
        </w:rPr>
        <w:t xml:space="preserve">brown marmorated stink bug </w:t>
      </w:r>
      <w:r w:rsidRPr="00F9048B">
        <w:rPr>
          <w:rStyle w:val="Heading1Char"/>
          <w:b/>
          <w:bCs/>
        </w:rPr>
        <w:t>season</w:t>
      </w:r>
    </w:p>
    <w:p w14:paraId="24CEC892" w14:textId="77777777" w:rsidR="00F9048B" w:rsidRDefault="00F9048B" w:rsidP="00454A9C">
      <w:pPr>
        <w:rPr>
          <w:lang w:eastAsia="ja-JP"/>
        </w:rPr>
      </w:pPr>
      <w:r>
        <w:rPr>
          <w:lang w:eastAsia="ja-JP"/>
        </w:rPr>
        <w:t xml:space="preserve">This task card </w:t>
      </w:r>
      <w:r w:rsidR="00590DB4">
        <w:rPr>
          <w:lang w:eastAsia="ja-JP"/>
        </w:rPr>
        <w:t>provides a guide on</w:t>
      </w:r>
      <w:r w:rsidR="00DB1512">
        <w:rPr>
          <w:lang w:eastAsia="ja-JP"/>
        </w:rPr>
        <w:t xml:space="preserve"> </w:t>
      </w:r>
      <w:r w:rsidR="001A1F64">
        <w:rPr>
          <w:lang w:eastAsia="ja-JP"/>
        </w:rPr>
        <w:t xml:space="preserve">lodging </w:t>
      </w:r>
      <w:r w:rsidR="00F06720">
        <w:rPr>
          <w:lang w:eastAsia="ja-JP"/>
        </w:rPr>
        <w:t>import declaration</w:t>
      </w:r>
      <w:r w:rsidR="00E50867">
        <w:rPr>
          <w:lang w:eastAsia="ja-JP"/>
        </w:rPr>
        <w:t>s</w:t>
      </w:r>
      <w:r w:rsidR="00DB1512">
        <w:rPr>
          <w:lang w:eastAsia="ja-JP"/>
        </w:rPr>
        <w:t xml:space="preserve"> </w:t>
      </w:r>
      <w:r w:rsidR="00F06720">
        <w:rPr>
          <w:lang w:eastAsia="ja-JP"/>
        </w:rPr>
        <w:t>containing</w:t>
      </w:r>
      <w:r w:rsidR="00252DB7">
        <w:rPr>
          <w:lang w:eastAsia="ja-JP"/>
        </w:rPr>
        <w:t xml:space="preserve"> </w:t>
      </w:r>
      <w:r w:rsidR="00F06720">
        <w:rPr>
          <w:lang w:eastAsia="ja-JP"/>
        </w:rPr>
        <w:t>goods subject to</w:t>
      </w:r>
      <w:r w:rsidR="00252DB7">
        <w:rPr>
          <w:lang w:eastAsia="ja-JP"/>
        </w:rPr>
        <w:t xml:space="preserve"> </w:t>
      </w:r>
      <w:hyperlink r:id="rId8" w:history="1">
        <w:r w:rsidR="002B03F0">
          <w:rPr>
            <w:rStyle w:val="Hyperlink"/>
            <w:lang w:eastAsia="ja-JP"/>
          </w:rPr>
          <w:t>Seasonal measures for B</w:t>
        </w:r>
        <w:r w:rsidR="00252DB7">
          <w:rPr>
            <w:rStyle w:val="Hyperlink"/>
            <w:lang w:eastAsia="ja-JP"/>
          </w:rPr>
          <w:t>rown marmorated stink bug (BMSB)</w:t>
        </w:r>
      </w:hyperlink>
      <w:r w:rsidR="00952ACB">
        <w:rPr>
          <w:lang w:eastAsia="ja-JP"/>
        </w:rPr>
        <w:t xml:space="preserve"> </w:t>
      </w:r>
      <w:r w:rsidR="00DB1512">
        <w:rPr>
          <w:lang w:eastAsia="ja-JP"/>
        </w:rPr>
        <w:t>under the Automatic entry processing for commodities (AEPCOMM) approved arrangement (AA).</w:t>
      </w:r>
    </w:p>
    <w:p w14:paraId="2BF14283" w14:textId="77777777" w:rsidR="00F9048B" w:rsidRDefault="00F9048B" w:rsidP="00E86D12">
      <w:pPr>
        <w:pStyle w:val="ICHeading1"/>
        <w:rPr>
          <w:lang w:eastAsia="ja-JP"/>
        </w:rPr>
      </w:pPr>
      <w:r>
        <w:rPr>
          <w:lang w:eastAsia="ja-JP"/>
        </w:rPr>
        <w:t>Summary</w:t>
      </w:r>
    </w:p>
    <w:p w14:paraId="61915B47" w14:textId="77777777" w:rsidR="0018415B" w:rsidRDefault="0018415B" w:rsidP="00454A9C">
      <w:r>
        <w:t xml:space="preserve">Commodities available under </w:t>
      </w:r>
      <w:r w:rsidR="00590DB4">
        <w:t>AEPCOMM</w:t>
      </w:r>
      <w:r>
        <w:t xml:space="preserve"> may also be subject to </w:t>
      </w:r>
      <w:r w:rsidR="00590DB4">
        <w:t xml:space="preserve">BMSB </w:t>
      </w:r>
      <w:r w:rsidR="00F06720">
        <w:t>seasonal</w:t>
      </w:r>
      <w:r>
        <w:t xml:space="preserve"> measures. These commodities are still able to be processed through AEP during the BMSB season. </w:t>
      </w:r>
      <w:r w:rsidR="0051747C">
        <w:t>Assessing documentation for these</w:t>
      </w:r>
      <w:r w:rsidR="00F410DC">
        <w:t xml:space="preserve"> commodities need</w:t>
      </w:r>
      <w:r w:rsidR="00425898">
        <w:t>s</w:t>
      </w:r>
      <w:r w:rsidR="00F410DC">
        <w:t xml:space="preserve"> to address</w:t>
      </w:r>
      <w:r w:rsidR="00503C09">
        <w:t xml:space="preserve"> standard biosecurity risk</w:t>
      </w:r>
      <w:r w:rsidR="001D031C">
        <w:t xml:space="preserve"> as well as BMSB risk.</w:t>
      </w:r>
    </w:p>
    <w:p w14:paraId="20679BC5" w14:textId="77777777" w:rsidR="00312372" w:rsidRPr="00704CC8" w:rsidRDefault="00312372" w:rsidP="00454A9C">
      <w:r w:rsidRPr="00704CC8">
        <w:t xml:space="preserve">The </w:t>
      </w:r>
      <w:r w:rsidR="007E3800">
        <w:t xml:space="preserve">BMSB hitchhiker pests BICON case </w:t>
      </w:r>
      <w:r w:rsidRPr="00704CC8">
        <w:t xml:space="preserve">has </w:t>
      </w:r>
      <w:r w:rsidR="007E3800">
        <w:t>been</w:t>
      </w:r>
      <w:r w:rsidRPr="00704CC8">
        <w:t xml:space="preserve"> updated to include in</w:t>
      </w:r>
      <w:r w:rsidR="008D2DB5">
        <w:t>-</w:t>
      </w:r>
      <w:r w:rsidRPr="00704CC8">
        <w:t>scope AEPCOMM pathways and codes. Th</w:t>
      </w:r>
      <w:r w:rsidR="008D2DB5">
        <w:t>e</w:t>
      </w:r>
      <w:r w:rsidRPr="00704CC8">
        <w:t xml:space="preserve"> </w:t>
      </w:r>
      <w:r w:rsidR="008D2DB5">
        <w:t xml:space="preserve">BICON case </w:t>
      </w:r>
      <w:r w:rsidRPr="00704CC8">
        <w:t xml:space="preserve">replaces the </w:t>
      </w:r>
      <w:r w:rsidR="008D2DB5">
        <w:t>A</w:t>
      </w:r>
      <w:r w:rsidRPr="00704CC8">
        <w:t xml:space="preserve">ssessment </w:t>
      </w:r>
      <w:r w:rsidR="007E3800">
        <w:t>g</w:t>
      </w:r>
      <w:r w:rsidRPr="00704CC8">
        <w:t xml:space="preserve">uide for </w:t>
      </w:r>
      <w:r w:rsidR="007E3800">
        <w:t>c</w:t>
      </w:r>
      <w:r w:rsidRPr="00704CC8">
        <w:t xml:space="preserve">lass 19.2 </w:t>
      </w:r>
      <w:r w:rsidR="007E3800">
        <w:t>a</w:t>
      </w:r>
      <w:r w:rsidRPr="00704CC8">
        <w:t xml:space="preserve">ccredited </w:t>
      </w:r>
      <w:r w:rsidR="007E3800">
        <w:t>p</w:t>
      </w:r>
      <w:r w:rsidRPr="00704CC8">
        <w:t xml:space="preserve">ersons </w:t>
      </w:r>
      <w:r w:rsidR="0055517F">
        <w:t>that</w:t>
      </w:r>
      <w:r w:rsidRPr="00704CC8">
        <w:t xml:space="preserve"> was used to assess goods during the 2018-19 BMSB season.</w:t>
      </w:r>
    </w:p>
    <w:p w14:paraId="41CF9A66" w14:textId="77777777" w:rsidR="00A507FB" w:rsidRDefault="00A507FB" w:rsidP="00A507FB">
      <w:pPr>
        <w:pStyle w:val="ICHeading1"/>
      </w:pPr>
      <w:r>
        <w:t xml:space="preserve">How to assess goods subject to BMSB seasonal measures </w:t>
      </w:r>
      <w:r w:rsidR="00216281">
        <w:t xml:space="preserve">when </w:t>
      </w:r>
      <w:r>
        <w:t>using AEPCOMM</w:t>
      </w:r>
    </w:p>
    <w:p w14:paraId="54631FFB" w14:textId="77777777" w:rsidR="00A507FB" w:rsidRDefault="002B55D2" w:rsidP="00A507FB">
      <w:r>
        <w:t>The following table outlines the process</w:t>
      </w:r>
      <w:r w:rsidR="00A507FB">
        <w:t xml:space="preserve"> to assess in-scope goods that are also subject to BMSB seasonal measures through AEPCOMM.</w:t>
      </w:r>
    </w:p>
    <w:tbl>
      <w:tblPr>
        <w:tblStyle w:val="TableGrid"/>
        <w:tblW w:w="0" w:type="auto"/>
        <w:tblLook w:val="04A0" w:firstRow="1" w:lastRow="0" w:firstColumn="1" w:lastColumn="0" w:noHBand="0" w:noVBand="1"/>
      </w:tblPr>
      <w:tblGrid>
        <w:gridCol w:w="704"/>
        <w:gridCol w:w="8312"/>
      </w:tblGrid>
      <w:tr w:rsidR="00A507FB" w14:paraId="414CEA28" w14:textId="77777777" w:rsidTr="00612A80">
        <w:tc>
          <w:tcPr>
            <w:tcW w:w="704" w:type="dxa"/>
            <w:shd w:val="clear" w:color="auto" w:fill="000000" w:themeFill="text1"/>
          </w:tcPr>
          <w:p w14:paraId="79CED3B8" w14:textId="77777777" w:rsidR="00A507FB" w:rsidRPr="00AA785E" w:rsidRDefault="00A507FB" w:rsidP="00612A80">
            <w:pPr>
              <w:rPr>
                <w:b/>
              </w:rPr>
            </w:pPr>
            <w:r w:rsidRPr="00AA785E">
              <w:rPr>
                <w:b/>
              </w:rPr>
              <w:t>Step</w:t>
            </w:r>
          </w:p>
        </w:tc>
        <w:tc>
          <w:tcPr>
            <w:tcW w:w="8312" w:type="dxa"/>
            <w:shd w:val="clear" w:color="auto" w:fill="000000" w:themeFill="text1"/>
          </w:tcPr>
          <w:p w14:paraId="0E9D3D7F" w14:textId="77777777" w:rsidR="00A507FB" w:rsidRPr="00AA785E" w:rsidRDefault="00A507FB" w:rsidP="00612A80">
            <w:pPr>
              <w:rPr>
                <w:b/>
              </w:rPr>
            </w:pPr>
            <w:r w:rsidRPr="00AA785E">
              <w:rPr>
                <w:b/>
              </w:rPr>
              <w:t>Action</w:t>
            </w:r>
          </w:p>
        </w:tc>
      </w:tr>
      <w:tr w:rsidR="00A507FB" w14:paraId="7E20B2B4" w14:textId="77777777" w:rsidTr="00612A80">
        <w:tc>
          <w:tcPr>
            <w:tcW w:w="704" w:type="dxa"/>
          </w:tcPr>
          <w:p w14:paraId="3EBFE323" w14:textId="77777777" w:rsidR="00A507FB" w:rsidRDefault="00A507FB" w:rsidP="00612A80">
            <w:pPr>
              <w:pStyle w:val="ListParagraph"/>
              <w:numPr>
                <w:ilvl w:val="0"/>
                <w:numId w:val="24"/>
              </w:numPr>
            </w:pPr>
          </w:p>
        </w:tc>
        <w:tc>
          <w:tcPr>
            <w:tcW w:w="8312" w:type="dxa"/>
          </w:tcPr>
          <w:p w14:paraId="6279910D" w14:textId="77777777" w:rsidR="00A507FB" w:rsidRDefault="00A507FB" w:rsidP="00612A80">
            <w:r>
              <w:t xml:space="preserve">Determine if the goods may be subject to seasonal BMSB measures by referring to the </w:t>
            </w:r>
            <w:hyperlink r:id="rId9" w:history="1">
              <w:r w:rsidRPr="00406A14">
                <w:rPr>
                  <w:rStyle w:val="Hyperlink"/>
                </w:rPr>
                <w:t>Seasonal measures for Brown marmorated stink bug</w:t>
              </w:r>
            </w:hyperlink>
            <w:r>
              <w:t xml:space="preserve"> webpage</w:t>
            </w:r>
          </w:p>
          <w:tbl>
            <w:tblPr>
              <w:tblStyle w:val="TableGrid"/>
              <w:tblW w:w="0" w:type="auto"/>
              <w:tblLook w:val="04A0" w:firstRow="1" w:lastRow="0" w:firstColumn="1" w:lastColumn="0" w:noHBand="0" w:noVBand="1"/>
            </w:tblPr>
            <w:tblGrid>
              <w:gridCol w:w="4043"/>
              <w:gridCol w:w="4043"/>
            </w:tblGrid>
            <w:tr w:rsidR="00A507FB" w14:paraId="76B43D80" w14:textId="77777777" w:rsidTr="00612A80">
              <w:tc>
                <w:tcPr>
                  <w:tcW w:w="4043" w:type="dxa"/>
                  <w:shd w:val="clear" w:color="auto" w:fill="000000" w:themeFill="text1"/>
                </w:tcPr>
                <w:p w14:paraId="6CBE89AB" w14:textId="77777777" w:rsidR="00A507FB" w:rsidRPr="00E228A8" w:rsidRDefault="00A507FB" w:rsidP="00612A80">
                  <w:pPr>
                    <w:rPr>
                      <w:b/>
                      <w:color w:val="FFFFFF" w:themeColor="background1"/>
                    </w:rPr>
                  </w:pPr>
                  <w:r w:rsidRPr="00E228A8">
                    <w:rPr>
                      <w:b/>
                      <w:color w:val="FFFFFF" w:themeColor="background1"/>
                    </w:rPr>
                    <w:t>If</w:t>
                  </w:r>
                </w:p>
              </w:tc>
              <w:tc>
                <w:tcPr>
                  <w:tcW w:w="4043" w:type="dxa"/>
                  <w:shd w:val="clear" w:color="auto" w:fill="000000" w:themeFill="text1"/>
                </w:tcPr>
                <w:p w14:paraId="64B45F2D" w14:textId="77777777" w:rsidR="00A507FB" w:rsidRPr="00E228A8" w:rsidRDefault="00A507FB" w:rsidP="00612A80">
                  <w:pPr>
                    <w:rPr>
                      <w:b/>
                      <w:color w:val="FFFFFF" w:themeColor="background1"/>
                    </w:rPr>
                  </w:pPr>
                  <w:r w:rsidRPr="00E228A8">
                    <w:rPr>
                      <w:b/>
                      <w:color w:val="FFFFFF" w:themeColor="background1"/>
                    </w:rPr>
                    <w:t>Then</w:t>
                  </w:r>
                </w:p>
              </w:tc>
            </w:tr>
            <w:tr w:rsidR="00A507FB" w14:paraId="6C06C07A" w14:textId="77777777" w:rsidTr="00612A80">
              <w:tc>
                <w:tcPr>
                  <w:tcW w:w="4043" w:type="dxa"/>
                </w:tcPr>
                <w:p w14:paraId="7BA856E0" w14:textId="77777777" w:rsidR="00A507FB" w:rsidRDefault="00A507FB" w:rsidP="004E4C76">
                  <w:r>
                    <w:t xml:space="preserve">Goods </w:t>
                  </w:r>
                  <w:r w:rsidR="004E4C76">
                    <w:t>are</w:t>
                  </w:r>
                  <w:r>
                    <w:t xml:space="preserve"> subject to</w:t>
                  </w:r>
                  <w:r w:rsidR="004E4C76">
                    <w:t xml:space="preserve"> target high risk</w:t>
                  </w:r>
                  <w:r>
                    <w:t xml:space="preserve"> BMSB measures</w:t>
                  </w:r>
                </w:p>
              </w:tc>
              <w:tc>
                <w:tcPr>
                  <w:tcW w:w="4043" w:type="dxa"/>
                </w:tcPr>
                <w:p w14:paraId="0419C77D" w14:textId="77777777" w:rsidR="00A507FB" w:rsidRDefault="00A507FB" w:rsidP="00612A80">
                  <w:r>
                    <w:rPr>
                      <w:b/>
                    </w:rPr>
                    <w:t>Go to step 2</w:t>
                  </w:r>
                </w:p>
              </w:tc>
            </w:tr>
            <w:tr w:rsidR="00A507FB" w14:paraId="02D65BBF" w14:textId="77777777" w:rsidTr="00612A80">
              <w:tc>
                <w:tcPr>
                  <w:tcW w:w="4043" w:type="dxa"/>
                </w:tcPr>
                <w:p w14:paraId="5A12FFC1" w14:textId="77777777" w:rsidR="00A507FB" w:rsidRDefault="00A507FB">
                  <w:r>
                    <w:t>Goods</w:t>
                  </w:r>
                  <w:r w:rsidR="00244DA1">
                    <w:t xml:space="preserve"> </w:t>
                  </w:r>
                  <w:r w:rsidR="004E4C76">
                    <w:t>are not</w:t>
                  </w:r>
                  <w:r>
                    <w:t xml:space="preserve"> subject to BMSB measures</w:t>
                  </w:r>
                </w:p>
              </w:tc>
              <w:tc>
                <w:tcPr>
                  <w:tcW w:w="4043" w:type="dxa"/>
                </w:tcPr>
                <w:p w14:paraId="25EA7DA2" w14:textId="77777777" w:rsidR="00A61A87" w:rsidRDefault="00A507FB" w:rsidP="00052558">
                  <w:pPr>
                    <w:pStyle w:val="ListBullet"/>
                    <w:numPr>
                      <w:ilvl w:val="0"/>
                      <w:numId w:val="39"/>
                    </w:numPr>
                    <w:ind w:left="414"/>
                  </w:pPr>
                  <w:r w:rsidRPr="00112461">
                    <w:t xml:space="preserve">Refer to </w:t>
                  </w:r>
                  <w:r w:rsidR="00774674">
                    <w:t>standard</w:t>
                  </w:r>
                  <w:r w:rsidRPr="00112461">
                    <w:t xml:space="preserve"> BICON case</w:t>
                  </w:r>
                </w:p>
                <w:p w14:paraId="2FE2869F" w14:textId="77777777" w:rsidR="00A61A87" w:rsidRDefault="00A61A87" w:rsidP="00052558">
                  <w:pPr>
                    <w:pStyle w:val="ListBullet"/>
                    <w:numPr>
                      <w:ilvl w:val="0"/>
                      <w:numId w:val="39"/>
                    </w:numPr>
                    <w:ind w:left="414"/>
                  </w:pPr>
                  <w:r>
                    <w:t>Verify import conditions do not indicate BMSB seasonal measure</w:t>
                  </w:r>
                  <w:r w:rsidR="00D31978">
                    <w:t>s</w:t>
                  </w:r>
                </w:p>
                <w:p w14:paraId="20534247" w14:textId="77777777" w:rsidR="00A61A87" w:rsidRDefault="00A61A87" w:rsidP="00052558">
                  <w:pPr>
                    <w:pStyle w:val="ListBullet"/>
                    <w:numPr>
                      <w:ilvl w:val="0"/>
                      <w:numId w:val="39"/>
                    </w:numPr>
                    <w:ind w:left="414"/>
                  </w:pPr>
                  <w:r>
                    <w:t>Apply the AEPCOMM code from the standard BICON case (if appropriate)</w:t>
                  </w:r>
                </w:p>
                <w:p w14:paraId="35226055" w14:textId="77777777" w:rsidR="00A507FB" w:rsidRPr="00052558" w:rsidRDefault="00774674" w:rsidP="00052558">
                  <w:pPr>
                    <w:pStyle w:val="ListBullet"/>
                    <w:ind w:left="54"/>
                    <w:rPr>
                      <w:b/>
                    </w:rPr>
                  </w:pPr>
                  <w:r w:rsidRPr="00052558">
                    <w:rPr>
                      <w:b/>
                    </w:rPr>
                    <w:lastRenderedPageBreak/>
                    <w:t>End of process</w:t>
                  </w:r>
                </w:p>
              </w:tc>
            </w:tr>
          </w:tbl>
          <w:p w14:paraId="748A7112" w14:textId="77777777" w:rsidR="00A507FB" w:rsidRDefault="00A507FB" w:rsidP="00612A80"/>
        </w:tc>
      </w:tr>
      <w:tr w:rsidR="00D45055" w14:paraId="54CCC355" w14:textId="77777777" w:rsidTr="00D45055">
        <w:tc>
          <w:tcPr>
            <w:tcW w:w="704" w:type="dxa"/>
            <w:shd w:val="clear" w:color="auto" w:fill="000000" w:themeFill="text1"/>
          </w:tcPr>
          <w:p w14:paraId="47749B33" w14:textId="77777777" w:rsidR="00D45055" w:rsidRPr="00D45055" w:rsidRDefault="00D45055" w:rsidP="00D45055">
            <w:pPr>
              <w:rPr>
                <w:b/>
                <w:color w:val="FFFFFF" w:themeColor="background1"/>
              </w:rPr>
            </w:pPr>
            <w:r w:rsidRPr="00D45055">
              <w:rPr>
                <w:b/>
                <w:color w:val="FFFFFF" w:themeColor="background1"/>
              </w:rPr>
              <w:lastRenderedPageBreak/>
              <w:t>Step</w:t>
            </w:r>
          </w:p>
        </w:tc>
        <w:tc>
          <w:tcPr>
            <w:tcW w:w="8312" w:type="dxa"/>
            <w:shd w:val="clear" w:color="auto" w:fill="000000" w:themeFill="text1"/>
          </w:tcPr>
          <w:p w14:paraId="5F72DE73" w14:textId="77777777" w:rsidR="00D45055" w:rsidRPr="00D45055" w:rsidRDefault="00D45055" w:rsidP="008504B1">
            <w:pPr>
              <w:rPr>
                <w:b/>
                <w:color w:val="FFFFFF" w:themeColor="background1"/>
              </w:rPr>
            </w:pPr>
            <w:r w:rsidRPr="00D45055">
              <w:rPr>
                <w:b/>
                <w:color w:val="FFFFFF" w:themeColor="background1"/>
              </w:rPr>
              <w:t>Action</w:t>
            </w:r>
          </w:p>
        </w:tc>
      </w:tr>
      <w:tr w:rsidR="00D45055" w14:paraId="7D36A806" w14:textId="77777777" w:rsidTr="00612A80">
        <w:tc>
          <w:tcPr>
            <w:tcW w:w="704" w:type="dxa"/>
          </w:tcPr>
          <w:p w14:paraId="4E6E80C0" w14:textId="77777777" w:rsidR="00D45055" w:rsidRDefault="00D45055" w:rsidP="00612A80">
            <w:pPr>
              <w:pStyle w:val="ListParagraph"/>
              <w:numPr>
                <w:ilvl w:val="0"/>
                <w:numId w:val="24"/>
              </w:numPr>
            </w:pPr>
          </w:p>
        </w:tc>
        <w:tc>
          <w:tcPr>
            <w:tcW w:w="8312" w:type="dxa"/>
          </w:tcPr>
          <w:p w14:paraId="004E1CAC" w14:textId="77777777" w:rsidR="00D45055" w:rsidRDefault="00D45055" w:rsidP="008504B1">
            <w:r>
              <w:t>Log into your BICON AEPCOMM user access account</w:t>
            </w:r>
          </w:p>
          <w:p w14:paraId="4FAE9A92" w14:textId="77777777" w:rsidR="00623CD6" w:rsidRDefault="00623CD6" w:rsidP="008504B1"/>
          <w:p w14:paraId="786CB3B2" w14:textId="77777777" w:rsidR="00623CD6" w:rsidRDefault="00623CD6" w:rsidP="008504B1">
            <w:r w:rsidRPr="00112461">
              <w:rPr>
                <w:b/>
                <w:u w:val="single"/>
              </w:rPr>
              <w:t>Note</w:t>
            </w:r>
            <w:r>
              <w:t xml:space="preserve">: Detailed AEPCOMM information will only be displayed through your </w:t>
            </w:r>
            <w:r w:rsidRPr="00112461">
              <w:rPr>
                <w:b/>
              </w:rPr>
              <w:t>BICON AEPCOMM user access account</w:t>
            </w:r>
          </w:p>
        </w:tc>
      </w:tr>
      <w:tr w:rsidR="008504B1" w14:paraId="6ECB74E2" w14:textId="77777777" w:rsidTr="00612A80">
        <w:tc>
          <w:tcPr>
            <w:tcW w:w="704" w:type="dxa"/>
          </w:tcPr>
          <w:p w14:paraId="34D8F1D4" w14:textId="77777777" w:rsidR="008504B1" w:rsidRDefault="008504B1" w:rsidP="00612A80">
            <w:pPr>
              <w:pStyle w:val="ListParagraph"/>
              <w:numPr>
                <w:ilvl w:val="0"/>
                <w:numId w:val="24"/>
              </w:numPr>
            </w:pPr>
          </w:p>
        </w:tc>
        <w:tc>
          <w:tcPr>
            <w:tcW w:w="8312" w:type="dxa"/>
          </w:tcPr>
          <w:p w14:paraId="01C23167" w14:textId="77777777" w:rsidR="00732BEA" w:rsidRDefault="006D58B1" w:rsidP="008504B1">
            <w:r>
              <w:t>Refer</w:t>
            </w:r>
            <w:r w:rsidR="002C0FEB">
              <w:t xml:space="preserve"> to the </w:t>
            </w:r>
            <w:r w:rsidR="006D6C70">
              <w:t>(standard) relevant</w:t>
            </w:r>
            <w:r w:rsidR="005324D4">
              <w:t xml:space="preserve"> BICON case</w:t>
            </w:r>
            <w:r w:rsidR="003E5D2C">
              <w:t xml:space="preserve"> to determine</w:t>
            </w:r>
            <w:r w:rsidR="00732BEA">
              <w:t>:</w:t>
            </w:r>
          </w:p>
          <w:p w14:paraId="11EDF8AA" w14:textId="77777777" w:rsidR="00732BEA" w:rsidRPr="00E77397" w:rsidRDefault="00732BEA" w:rsidP="00732BEA">
            <w:pPr>
              <w:pStyle w:val="ListParagraph"/>
              <w:numPr>
                <w:ilvl w:val="0"/>
                <w:numId w:val="37"/>
              </w:numPr>
            </w:pPr>
            <w:r w:rsidRPr="00E77397">
              <w:t>If goods are in-scope for AEPCOMM</w:t>
            </w:r>
          </w:p>
          <w:p w14:paraId="716946BB" w14:textId="77777777" w:rsidR="008504B1" w:rsidRDefault="00732BEA" w:rsidP="00623CD6">
            <w:pPr>
              <w:pStyle w:val="ListParagraph"/>
              <w:numPr>
                <w:ilvl w:val="0"/>
                <w:numId w:val="37"/>
              </w:numPr>
            </w:pPr>
            <w:r w:rsidRPr="00E77397">
              <w:t>Applicable import conditions</w:t>
            </w:r>
            <w:r w:rsidR="000750AC" w:rsidRPr="00E77397">
              <w:t xml:space="preserve"> (including if goods are subject </w:t>
            </w:r>
            <w:r w:rsidRPr="00E77397">
              <w:t>BMSB measures)</w:t>
            </w:r>
          </w:p>
        </w:tc>
      </w:tr>
      <w:tr w:rsidR="00A507FB" w14:paraId="48CF6AF6" w14:textId="77777777" w:rsidTr="00612A80">
        <w:tc>
          <w:tcPr>
            <w:tcW w:w="704" w:type="dxa"/>
          </w:tcPr>
          <w:p w14:paraId="0E4FF32C" w14:textId="77777777" w:rsidR="00A507FB" w:rsidRDefault="00A507FB" w:rsidP="00612A80">
            <w:pPr>
              <w:pStyle w:val="ListParagraph"/>
              <w:numPr>
                <w:ilvl w:val="0"/>
                <w:numId w:val="24"/>
              </w:numPr>
            </w:pPr>
          </w:p>
        </w:tc>
        <w:tc>
          <w:tcPr>
            <w:tcW w:w="8312" w:type="dxa"/>
          </w:tcPr>
          <w:p w14:paraId="2C309635" w14:textId="77777777" w:rsidR="00A507FB" w:rsidRDefault="00E44A3C" w:rsidP="00612A80">
            <w:r>
              <w:t xml:space="preserve">Refer to the </w:t>
            </w:r>
            <w:r w:rsidR="00A507FB">
              <w:t xml:space="preserve">Brown marmorated stink bug (BMSB) hitchhiker pests </w:t>
            </w:r>
            <w:r>
              <w:t xml:space="preserve">BICON case to determine if an alternate </w:t>
            </w:r>
            <w:r w:rsidR="00E77397">
              <w:t xml:space="preserve">BMSB </w:t>
            </w:r>
            <w:r w:rsidR="006D58B1">
              <w:t>code is required</w:t>
            </w:r>
          </w:p>
          <w:tbl>
            <w:tblPr>
              <w:tblStyle w:val="TableGrid"/>
              <w:tblW w:w="0" w:type="auto"/>
              <w:tblLook w:val="04A0" w:firstRow="1" w:lastRow="0" w:firstColumn="1" w:lastColumn="0" w:noHBand="0" w:noVBand="1"/>
            </w:tblPr>
            <w:tblGrid>
              <w:gridCol w:w="4043"/>
              <w:gridCol w:w="4043"/>
            </w:tblGrid>
            <w:tr w:rsidR="00A507FB" w:rsidRPr="00E228A8" w14:paraId="09B5F20C" w14:textId="77777777" w:rsidTr="00612A80">
              <w:tc>
                <w:tcPr>
                  <w:tcW w:w="4043" w:type="dxa"/>
                  <w:shd w:val="clear" w:color="auto" w:fill="000000" w:themeFill="text1"/>
                </w:tcPr>
                <w:p w14:paraId="5EFF4412" w14:textId="77777777" w:rsidR="00A507FB" w:rsidRPr="00E228A8" w:rsidRDefault="00A507FB" w:rsidP="00612A80">
                  <w:pPr>
                    <w:rPr>
                      <w:b/>
                      <w:color w:val="FFFFFF" w:themeColor="background1"/>
                    </w:rPr>
                  </w:pPr>
                  <w:r w:rsidRPr="00E228A8">
                    <w:rPr>
                      <w:b/>
                      <w:color w:val="FFFFFF" w:themeColor="background1"/>
                    </w:rPr>
                    <w:t>If</w:t>
                  </w:r>
                </w:p>
              </w:tc>
              <w:tc>
                <w:tcPr>
                  <w:tcW w:w="4043" w:type="dxa"/>
                  <w:shd w:val="clear" w:color="auto" w:fill="000000" w:themeFill="text1"/>
                </w:tcPr>
                <w:p w14:paraId="01E3580F" w14:textId="77777777" w:rsidR="00A507FB" w:rsidRPr="00E228A8" w:rsidRDefault="00A507FB" w:rsidP="00612A80">
                  <w:pPr>
                    <w:rPr>
                      <w:b/>
                      <w:color w:val="FFFFFF" w:themeColor="background1"/>
                    </w:rPr>
                  </w:pPr>
                  <w:r w:rsidRPr="00E228A8">
                    <w:rPr>
                      <w:b/>
                      <w:color w:val="FFFFFF" w:themeColor="background1"/>
                    </w:rPr>
                    <w:t>Then</w:t>
                  </w:r>
                </w:p>
              </w:tc>
            </w:tr>
            <w:tr w:rsidR="008B7223" w14:paraId="71D6EC6B" w14:textId="77777777" w:rsidTr="00612A80">
              <w:tc>
                <w:tcPr>
                  <w:tcW w:w="4043" w:type="dxa"/>
                </w:tcPr>
                <w:p w14:paraId="24136B7D" w14:textId="77777777" w:rsidR="008B7223" w:rsidRDefault="008B7223" w:rsidP="0059446B">
                  <w:r>
                    <w:t xml:space="preserve">The onshore outcome section </w:t>
                  </w:r>
                  <w:proofErr w:type="gramStart"/>
                  <w:r>
                    <w:t>refers back</w:t>
                  </w:r>
                  <w:proofErr w:type="gramEnd"/>
                  <w:r>
                    <w:t xml:space="preserve"> to the standard BICON case</w:t>
                  </w:r>
                </w:p>
              </w:tc>
              <w:tc>
                <w:tcPr>
                  <w:tcW w:w="4043" w:type="dxa"/>
                </w:tcPr>
                <w:p w14:paraId="180F5C91" w14:textId="77777777" w:rsidR="008B7223" w:rsidRDefault="00E77397" w:rsidP="008E16AA">
                  <w:pPr>
                    <w:pStyle w:val="ListBullet"/>
                  </w:pPr>
                  <w:r>
                    <w:t xml:space="preserve">Apply </w:t>
                  </w:r>
                  <w:r w:rsidR="008B7223">
                    <w:t>AEPCOMM code from the standard BICON case</w:t>
                  </w:r>
                  <w:r w:rsidR="005B418C">
                    <w:t xml:space="preserve"> (if appropriate)</w:t>
                  </w:r>
                </w:p>
                <w:p w14:paraId="205ED9D1" w14:textId="77777777" w:rsidR="005B418C" w:rsidRPr="008E16AA" w:rsidRDefault="005B418C" w:rsidP="008E16AA">
                  <w:pPr>
                    <w:pStyle w:val="ListBullet"/>
                    <w:rPr>
                      <w:b/>
                    </w:rPr>
                  </w:pPr>
                  <w:r w:rsidRPr="008E16AA">
                    <w:rPr>
                      <w:b/>
                    </w:rPr>
                    <w:t>End of process</w:t>
                  </w:r>
                </w:p>
              </w:tc>
            </w:tr>
            <w:tr w:rsidR="008B7223" w14:paraId="0A8000DF" w14:textId="77777777" w:rsidTr="00612A80">
              <w:tc>
                <w:tcPr>
                  <w:tcW w:w="4043" w:type="dxa"/>
                </w:tcPr>
                <w:p w14:paraId="5D38C3FC" w14:textId="77777777" w:rsidR="008B7223" w:rsidRDefault="008B7223" w:rsidP="008B7223">
                  <w:r>
                    <w:t>The onshore outcomes section displays an BMSB code</w:t>
                  </w:r>
                </w:p>
              </w:tc>
              <w:tc>
                <w:tcPr>
                  <w:tcW w:w="4043" w:type="dxa"/>
                </w:tcPr>
                <w:p w14:paraId="65C38D8F" w14:textId="77777777" w:rsidR="00F9444F" w:rsidRPr="001D031C" w:rsidRDefault="008B7223" w:rsidP="008E16AA">
                  <w:pPr>
                    <w:pStyle w:val="ListBullet"/>
                  </w:pPr>
                  <w:r>
                    <w:t>Apply this code in place of standard AEPCOMM code</w:t>
                  </w:r>
                  <w:r w:rsidR="00611219">
                    <w:t xml:space="preserve"> (</w:t>
                  </w:r>
                  <w:proofErr w:type="gramStart"/>
                  <w:r w:rsidR="00611219">
                    <w:t>e.g.</w:t>
                  </w:r>
                  <w:proofErr w:type="gramEnd"/>
                  <w:r w:rsidR="00611219">
                    <w:t xml:space="preserve"> BMSBINS instead of INS)</w:t>
                  </w:r>
                </w:p>
                <w:p w14:paraId="1A1AA030" w14:textId="77777777" w:rsidR="008B7223" w:rsidRPr="008E16AA" w:rsidRDefault="008B7223" w:rsidP="008E16AA">
                  <w:pPr>
                    <w:pStyle w:val="ListBullet"/>
                    <w:rPr>
                      <w:b/>
                    </w:rPr>
                  </w:pPr>
                  <w:r w:rsidRPr="008E16AA">
                    <w:rPr>
                      <w:b/>
                    </w:rPr>
                    <w:t>End of process</w:t>
                  </w:r>
                </w:p>
              </w:tc>
            </w:tr>
            <w:tr w:rsidR="008B7223" w14:paraId="5127E9AE" w14:textId="77777777" w:rsidTr="00612A80">
              <w:tc>
                <w:tcPr>
                  <w:tcW w:w="4043" w:type="dxa"/>
                </w:tcPr>
                <w:p w14:paraId="6BAE1DA9" w14:textId="77777777" w:rsidR="008B7223" w:rsidRDefault="008B7223" w:rsidP="008B7223">
                  <w:r>
                    <w:t>The onshore outcomes section does not display AEPCOMM information or provides link to standard BICON cases</w:t>
                  </w:r>
                </w:p>
              </w:tc>
              <w:tc>
                <w:tcPr>
                  <w:tcW w:w="4043" w:type="dxa"/>
                </w:tcPr>
                <w:p w14:paraId="11B4D482" w14:textId="77777777" w:rsidR="008B7223" w:rsidRDefault="005B418C" w:rsidP="008E16AA">
                  <w:pPr>
                    <w:pStyle w:val="ListBullet"/>
                  </w:pPr>
                  <w:r>
                    <w:t>Apply AEPCOMM code from the standard BICON case (if appropriate)</w:t>
                  </w:r>
                </w:p>
                <w:p w14:paraId="6149394B" w14:textId="77777777" w:rsidR="008B7223" w:rsidRPr="008E16AA" w:rsidRDefault="008B7223" w:rsidP="008E16AA">
                  <w:pPr>
                    <w:pStyle w:val="ListBullet"/>
                    <w:rPr>
                      <w:b/>
                    </w:rPr>
                  </w:pPr>
                  <w:r w:rsidRPr="008E16AA">
                    <w:rPr>
                      <w:b/>
                    </w:rPr>
                    <w:t>End of process</w:t>
                  </w:r>
                </w:p>
              </w:tc>
            </w:tr>
          </w:tbl>
          <w:p w14:paraId="033CA696" w14:textId="77777777" w:rsidR="00A507FB" w:rsidRDefault="00A507FB" w:rsidP="00612A80"/>
        </w:tc>
      </w:tr>
    </w:tbl>
    <w:p w14:paraId="58472820" w14:textId="77777777" w:rsidR="00A507FB" w:rsidRDefault="00A507FB" w:rsidP="00A507FB">
      <w:pPr>
        <w:pStyle w:val="ICHeading1"/>
      </w:pPr>
      <w:r>
        <w:t>Case studies</w:t>
      </w:r>
    </w:p>
    <w:p w14:paraId="3CDB2C6A" w14:textId="77777777" w:rsidR="00A507FB" w:rsidRPr="008019C0" w:rsidRDefault="00A507FB" w:rsidP="00A507FB">
      <w:pPr>
        <w:rPr>
          <w:rStyle w:val="Strong"/>
          <w:u w:val="single"/>
        </w:rPr>
      </w:pPr>
      <w:r w:rsidRPr="008019C0">
        <w:rPr>
          <w:rStyle w:val="Strong"/>
          <w:u w:val="single"/>
        </w:rPr>
        <w:t>Case study 1</w:t>
      </w:r>
    </w:p>
    <w:p w14:paraId="3F43C1B7" w14:textId="77777777" w:rsidR="00A507FB" w:rsidRDefault="00A507FB" w:rsidP="00A507FB">
      <w:pPr>
        <w:rPr>
          <w:rStyle w:val="Strong"/>
          <w:b w:val="0"/>
        </w:rPr>
      </w:pPr>
      <w:r w:rsidRPr="005041ED">
        <w:rPr>
          <w:rStyle w:val="Strong"/>
          <w:b w:val="0"/>
        </w:rPr>
        <w:t xml:space="preserve">Rob </w:t>
      </w:r>
      <w:r>
        <w:rPr>
          <w:rStyle w:val="Strong"/>
          <w:b w:val="0"/>
        </w:rPr>
        <w:t>is</w:t>
      </w:r>
      <w:r w:rsidR="00C62744">
        <w:rPr>
          <w:rStyle w:val="Strong"/>
          <w:b w:val="0"/>
        </w:rPr>
        <w:t xml:space="preserve"> an accredited AEPCOMM Customs </w:t>
      </w:r>
      <w:r w:rsidR="00B327F7">
        <w:rPr>
          <w:rStyle w:val="Strong"/>
          <w:b w:val="0"/>
        </w:rPr>
        <w:t>B</w:t>
      </w:r>
      <w:r>
        <w:rPr>
          <w:rStyle w:val="Strong"/>
          <w:b w:val="0"/>
        </w:rPr>
        <w:t xml:space="preserve">roker. His client is importing used agricultural machinery (chapter 84 target high risk) from France as an FCL shipment. </w:t>
      </w:r>
      <w:proofErr w:type="gramStart"/>
      <w:r w:rsidR="00CA7E12">
        <w:rPr>
          <w:rStyle w:val="Strong"/>
          <w:b w:val="0"/>
        </w:rPr>
        <w:t>Additionally</w:t>
      </w:r>
      <w:proofErr w:type="gramEnd"/>
      <w:r w:rsidR="00CA7E12">
        <w:rPr>
          <w:rStyle w:val="Strong"/>
          <w:b w:val="0"/>
        </w:rPr>
        <w:t xml:space="preserve"> t</w:t>
      </w:r>
      <w:r>
        <w:rPr>
          <w:rStyle w:val="Strong"/>
          <w:b w:val="0"/>
        </w:rPr>
        <w:t>he container has not been treated for BMSB and requires onshore treatment.</w:t>
      </w:r>
    </w:p>
    <w:p w14:paraId="256B4FD7" w14:textId="77777777" w:rsidR="00DD2B53" w:rsidRDefault="00A507FB" w:rsidP="00A507FB">
      <w:r>
        <w:t>R</w:t>
      </w:r>
      <w:r w:rsidR="007B2613">
        <w:t xml:space="preserve">ob determines if </w:t>
      </w:r>
      <w:r>
        <w:t>the goods are subject to BMSB by checking</w:t>
      </w:r>
      <w:r w:rsidR="007B2613">
        <w:t xml:space="preserve"> the </w:t>
      </w:r>
      <w:r>
        <w:t xml:space="preserve">information on the </w:t>
      </w:r>
      <w:hyperlink r:id="rId10" w:history="1">
        <w:r w:rsidRPr="00406A14">
          <w:rPr>
            <w:rStyle w:val="Hyperlink"/>
          </w:rPr>
          <w:t>Seasonal measures for Brown marmorated stink bug</w:t>
        </w:r>
      </w:hyperlink>
      <w:r>
        <w:t xml:space="preserve"> webpage. Then he logs onto his BICON AEPCOMM user </w:t>
      </w:r>
      <w:r w:rsidR="00851B77">
        <w:t xml:space="preserve">access </w:t>
      </w:r>
      <w:r>
        <w:t xml:space="preserve">account and </w:t>
      </w:r>
      <w:r w:rsidR="00FD57C9">
        <w:t>refers to the</w:t>
      </w:r>
      <w:r w:rsidR="00CA7E12">
        <w:t xml:space="preserve"> standard BICON case for machinery and equipment. The import conditions indicate the goods are subject to BMSB measures:</w:t>
      </w:r>
    </w:p>
    <w:p w14:paraId="20E2B416" w14:textId="77777777" w:rsidR="00CA7E12" w:rsidRDefault="00CA7E12" w:rsidP="00A507FB">
      <w:r>
        <w:rPr>
          <w:noProof/>
          <w:lang w:eastAsia="en-AU"/>
        </w:rPr>
        <w:drawing>
          <wp:inline distT="0" distB="0" distL="0" distR="0" wp14:anchorId="05CED948" wp14:editId="6B725986">
            <wp:extent cx="5731510" cy="8350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835025"/>
                    </a:xfrm>
                    <a:prstGeom prst="rect">
                      <a:avLst/>
                    </a:prstGeom>
                  </pic:spPr>
                </pic:pic>
              </a:graphicData>
            </a:graphic>
          </wp:inline>
        </w:drawing>
      </w:r>
    </w:p>
    <w:p w14:paraId="342386AF" w14:textId="77777777" w:rsidR="00DD2B53" w:rsidRDefault="00CA7E12" w:rsidP="00A507FB">
      <w:r>
        <w:t>The onshore outcomes section of this BICON case indicate that an inspection is required for the used machinery and provides the AEPCOMM code INS:</w:t>
      </w:r>
    </w:p>
    <w:p w14:paraId="51F2C77B" w14:textId="77777777" w:rsidR="00CA7E12" w:rsidRDefault="00CA7E12" w:rsidP="00A507FB">
      <w:r>
        <w:rPr>
          <w:noProof/>
          <w:lang w:eastAsia="en-AU"/>
        </w:rPr>
        <w:lastRenderedPageBreak/>
        <w:drawing>
          <wp:inline distT="0" distB="0" distL="0" distR="0" wp14:anchorId="1CE156A1" wp14:editId="0BC5162A">
            <wp:extent cx="5731510" cy="196215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962150"/>
                    </a:xfrm>
                    <a:prstGeom prst="rect">
                      <a:avLst/>
                    </a:prstGeom>
                  </pic:spPr>
                </pic:pic>
              </a:graphicData>
            </a:graphic>
          </wp:inline>
        </w:drawing>
      </w:r>
    </w:p>
    <w:p w14:paraId="69DBA6B4" w14:textId="77777777" w:rsidR="00DD2B53" w:rsidRDefault="0076054A" w:rsidP="00A507FB">
      <w:r>
        <w:t xml:space="preserve">Now Rob refers to </w:t>
      </w:r>
      <w:r w:rsidR="00FD57C9">
        <w:t>the BMSB hitchhiker pests BICON case and enters all the relevant information. The onshore outcomes section displays the following:</w:t>
      </w:r>
    </w:p>
    <w:p w14:paraId="2A972C3F" w14:textId="77777777" w:rsidR="00FD57C9" w:rsidRDefault="00FD57C9" w:rsidP="00A507FB">
      <w:r>
        <w:rPr>
          <w:noProof/>
          <w:lang w:eastAsia="en-AU"/>
        </w:rPr>
        <w:drawing>
          <wp:inline distT="0" distB="0" distL="0" distR="0" wp14:anchorId="22EFFB2A" wp14:editId="6B832CAF">
            <wp:extent cx="5731510" cy="286321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863215"/>
                    </a:xfrm>
                    <a:prstGeom prst="rect">
                      <a:avLst/>
                    </a:prstGeom>
                  </pic:spPr>
                </pic:pic>
              </a:graphicData>
            </a:graphic>
          </wp:inline>
        </w:drawing>
      </w:r>
    </w:p>
    <w:p w14:paraId="04893319" w14:textId="77777777" w:rsidR="00A507FB" w:rsidRDefault="00FD57C9" w:rsidP="00EC42F7">
      <w:pPr>
        <w:rPr>
          <w:rStyle w:val="Strong"/>
          <w:b w:val="0"/>
        </w:rPr>
      </w:pPr>
      <w:r>
        <w:t xml:space="preserve">Since the onshore outcomes section of the BMSB BICON case </w:t>
      </w:r>
      <w:r w:rsidR="00643641">
        <w:t>displays a</w:t>
      </w:r>
      <w:r>
        <w:t xml:space="preserve"> BMSB code, Rob applies the code BMSBINS to the line. Rob is then issued with 2 system generated directions: a fumigation and an inspection (as stated on the AEPCOMM notice</w:t>
      </w:r>
      <w:r w:rsidR="00A84039">
        <w:t>)</w:t>
      </w:r>
      <w:r>
        <w:t>.</w:t>
      </w:r>
    </w:p>
    <w:p w14:paraId="1E7A0121" w14:textId="77777777" w:rsidR="00A507FB" w:rsidRDefault="00A507FB" w:rsidP="00A507FB">
      <w:pPr>
        <w:rPr>
          <w:rStyle w:val="Strong"/>
          <w:u w:val="single"/>
        </w:rPr>
      </w:pPr>
    </w:p>
    <w:p w14:paraId="498A078F" w14:textId="77777777" w:rsidR="00A507FB" w:rsidRDefault="00A507FB" w:rsidP="00A507FB">
      <w:r w:rsidRPr="008019C0">
        <w:rPr>
          <w:rStyle w:val="Strong"/>
          <w:u w:val="single"/>
        </w:rPr>
        <w:t>Case study 2</w:t>
      </w:r>
    </w:p>
    <w:p w14:paraId="4F50D81C" w14:textId="77777777" w:rsidR="00310321" w:rsidRDefault="00A507FB" w:rsidP="007D0945">
      <w:r w:rsidRPr="00AE4BDB">
        <w:t>Sally</w:t>
      </w:r>
      <w:r w:rsidRPr="00704CC8">
        <w:t xml:space="preserve"> is</w:t>
      </w:r>
      <w:r w:rsidR="00495DC4">
        <w:t xml:space="preserve"> an accredited AEPCOMM Customs </w:t>
      </w:r>
      <w:r w:rsidR="00B327F7">
        <w:t>B</w:t>
      </w:r>
      <w:r>
        <w:t xml:space="preserve">roker. Her client is </w:t>
      </w:r>
      <w:r w:rsidRPr="00704CC8">
        <w:t>importing a used vehicle</w:t>
      </w:r>
      <w:r>
        <w:t xml:space="preserve"> (chapter 87, target high risk)</w:t>
      </w:r>
      <w:r w:rsidRPr="00704CC8">
        <w:t xml:space="preserve"> </w:t>
      </w:r>
      <w:r>
        <w:t xml:space="preserve">from Italy </w:t>
      </w:r>
      <w:r w:rsidRPr="00704CC8">
        <w:t xml:space="preserve">during BMSB season as an LCL shipment. </w:t>
      </w:r>
    </w:p>
    <w:p w14:paraId="6B7F77DF" w14:textId="77777777" w:rsidR="004F7006" w:rsidRDefault="00676774" w:rsidP="007D0945">
      <w:r>
        <w:rPr>
          <w:rStyle w:val="Strong"/>
          <w:b w:val="0"/>
        </w:rPr>
        <w:t xml:space="preserve">Sally has been in contact with the </w:t>
      </w:r>
      <w:r w:rsidR="00606C51">
        <w:rPr>
          <w:rStyle w:val="Strong"/>
          <w:b w:val="0"/>
        </w:rPr>
        <w:t>M</w:t>
      </w:r>
      <w:r>
        <w:rPr>
          <w:rStyle w:val="Strong"/>
          <w:b w:val="0"/>
        </w:rPr>
        <w:t xml:space="preserve">aster </w:t>
      </w:r>
      <w:r w:rsidR="00606C51">
        <w:rPr>
          <w:rStyle w:val="Strong"/>
          <w:b w:val="0"/>
        </w:rPr>
        <w:t>C</w:t>
      </w:r>
      <w:r>
        <w:rPr>
          <w:rStyle w:val="Strong"/>
          <w:b w:val="0"/>
        </w:rPr>
        <w:t>onsolidator for t</w:t>
      </w:r>
      <w:r w:rsidR="00D406D7">
        <w:rPr>
          <w:rStyle w:val="Strong"/>
          <w:b w:val="0"/>
        </w:rPr>
        <w:t xml:space="preserve">he container </w:t>
      </w:r>
      <w:r>
        <w:rPr>
          <w:rStyle w:val="Strong"/>
          <w:b w:val="0"/>
        </w:rPr>
        <w:t>and knows the</w:t>
      </w:r>
      <w:r w:rsidR="00310321">
        <w:rPr>
          <w:rStyle w:val="Strong"/>
          <w:b w:val="0"/>
        </w:rPr>
        <w:t xml:space="preserve"> treatment will be performed on</w:t>
      </w:r>
      <w:r>
        <w:rPr>
          <w:rStyle w:val="Strong"/>
          <w:b w:val="0"/>
        </w:rPr>
        <w:t>shore at the container level</w:t>
      </w:r>
      <w:r w:rsidR="00B207C6">
        <w:rPr>
          <w:rStyle w:val="Strong"/>
          <w:b w:val="0"/>
        </w:rPr>
        <w:t>.</w:t>
      </w:r>
      <w:r>
        <w:rPr>
          <w:rStyle w:val="Strong"/>
          <w:b w:val="0"/>
        </w:rPr>
        <w:t xml:space="preserve"> Sally verifies this is an acceptable procedure when she refers to </w:t>
      </w:r>
      <w:r w:rsidR="00A408C0">
        <w:t xml:space="preserve">the </w:t>
      </w:r>
      <w:hyperlink r:id="rId14" w:history="1">
        <w:r w:rsidR="003D330F" w:rsidRPr="00406A14">
          <w:rPr>
            <w:rStyle w:val="Hyperlink"/>
          </w:rPr>
          <w:t>Seasonal measures for Brown marmorated stink bug</w:t>
        </w:r>
      </w:hyperlink>
      <w:r w:rsidR="006351FE">
        <w:t xml:space="preserve"> webpage</w:t>
      </w:r>
      <w:r w:rsidR="00310321">
        <w:t xml:space="preserve">, </w:t>
      </w:r>
      <w:r w:rsidR="0015028A">
        <w:t xml:space="preserve">therefore </w:t>
      </w:r>
      <w:r w:rsidR="006351FE">
        <w:t>Sally</w:t>
      </w:r>
      <w:r w:rsidR="00051410">
        <w:t xml:space="preserve"> only needs to consider standard biosecurity risk</w:t>
      </w:r>
      <w:r w:rsidR="006351FE">
        <w:t xml:space="preserve"> for AEPCOMM</w:t>
      </w:r>
      <w:r w:rsidR="003D330F">
        <w:t xml:space="preserve">. </w:t>
      </w:r>
    </w:p>
    <w:p w14:paraId="14268DB7" w14:textId="77777777" w:rsidR="007D0945" w:rsidRDefault="00051410" w:rsidP="007D0945">
      <w:r>
        <w:t>Sally t</w:t>
      </w:r>
      <w:r w:rsidR="003D330F">
        <w:t xml:space="preserve">hen logs onto her BICON AEPCOMM user </w:t>
      </w:r>
      <w:r w:rsidR="00323ABB">
        <w:t xml:space="preserve">access </w:t>
      </w:r>
      <w:r w:rsidR="003D330F">
        <w:t>account and refers to the standard BICON case</w:t>
      </w:r>
      <w:r w:rsidR="007D0945">
        <w:t xml:space="preserve"> for new or used vehicles, </w:t>
      </w:r>
      <w:proofErr w:type="gramStart"/>
      <w:r w:rsidR="007D0945">
        <w:t>aircraft</w:t>
      </w:r>
      <w:proofErr w:type="gramEnd"/>
      <w:r w:rsidR="007D0945">
        <w:t xml:space="preserve"> and parts</w:t>
      </w:r>
      <w:r w:rsidR="003D330F">
        <w:t xml:space="preserve">. </w:t>
      </w:r>
      <w:r w:rsidR="00310321">
        <w:t>T</w:t>
      </w:r>
      <w:r w:rsidR="006351FE">
        <w:t>he</w:t>
      </w:r>
      <w:r w:rsidR="007D0945">
        <w:t xml:space="preserve"> onshore outcomes </w:t>
      </w:r>
      <w:r w:rsidR="009F61B4">
        <w:t>state</w:t>
      </w:r>
      <w:r w:rsidR="007D0945">
        <w:t xml:space="preserve"> that an inspection is required for the </w:t>
      </w:r>
      <w:r w:rsidR="004F7006">
        <w:t>used goods</w:t>
      </w:r>
      <w:r w:rsidR="009F61B4">
        <w:t>:</w:t>
      </w:r>
      <w:r w:rsidR="007D0945">
        <w:t xml:space="preserve"> </w:t>
      </w:r>
    </w:p>
    <w:p w14:paraId="261767F2" w14:textId="77777777" w:rsidR="003D330F" w:rsidRDefault="007D0945" w:rsidP="00A507FB">
      <w:r>
        <w:rPr>
          <w:noProof/>
          <w:lang w:eastAsia="en-AU"/>
        </w:rPr>
        <w:lastRenderedPageBreak/>
        <w:drawing>
          <wp:inline distT="0" distB="0" distL="0" distR="0" wp14:anchorId="225618C8" wp14:editId="5C017703">
            <wp:extent cx="5731510" cy="2006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006600"/>
                    </a:xfrm>
                    <a:prstGeom prst="rect">
                      <a:avLst/>
                    </a:prstGeom>
                  </pic:spPr>
                </pic:pic>
              </a:graphicData>
            </a:graphic>
          </wp:inline>
        </w:drawing>
      </w:r>
    </w:p>
    <w:p w14:paraId="6AFB66CF" w14:textId="77777777" w:rsidR="00643641" w:rsidRDefault="00643641" w:rsidP="00A507FB">
      <w:r>
        <w:t xml:space="preserve">Sally </w:t>
      </w:r>
      <w:r w:rsidR="00324C9E">
        <w:t xml:space="preserve">then </w:t>
      </w:r>
      <w:r>
        <w:t xml:space="preserve">applies the AEPCOMM code INS to the line and she is then issued with </w:t>
      </w:r>
      <w:r w:rsidR="00425898">
        <w:t>a</w:t>
      </w:r>
      <w:r>
        <w:t xml:space="preserve"> cargo direction inspection.</w:t>
      </w:r>
    </w:p>
    <w:p w14:paraId="49A4005F" w14:textId="77777777" w:rsidR="00936F81" w:rsidRDefault="00936F81" w:rsidP="00A507FB">
      <w:pPr>
        <w:rPr>
          <w:b/>
        </w:rPr>
      </w:pPr>
    </w:p>
    <w:p w14:paraId="33AF0904" w14:textId="77777777" w:rsidR="00A507FB" w:rsidRDefault="00A507FB" w:rsidP="00A507FB">
      <w:r w:rsidRPr="00E06B7D">
        <w:rPr>
          <w:b/>
          <w:u w:val="single"/>
        </w:rPr>
        <w:t>Case study 3</w:t>
      </w:r>
    </w:p>
    <w:p w14:paraId="5CF9A363" w14:textId="77777777" w:rsidR="00A507FB" w:rsidRDefault="00A507FB" w:rsidP="00A507FB">
      <w:r>
        <w:rPr>
          <w:rStyle w:val="Strong"/>
          <w:b w:val="0"/>
        </w:rPr>
        <w:t>Mark</w:t>
      </w:r>
      <w:r w:rsidRPr="005041ED">
        <w:rPr>
          <w:rStyle w:val="Strong"/>
          <w:b w:val="0"/>
        </w:rPr>
        <w:t xml:space="preserve"> </w:t>
      </w:r>
      <w:r>
        <w:rPr>
          <w:rStyle w:val="Strong"/>
          <w:b w:val="0"/>
        </w:rPr>
        <w:t xml:space="preserve">is an accredited AEPCOMM Customs Broker. His client is importing untreated sawn timber (chapter 44 target high risk) from </w:t>
      </w:r>
      <w:r w:rsidR="006C11F4">
        <w:rPr>
          <w:rStyle w:val="Strong"/>
          <w:b w:val="0"/>
        </w:rPr>
        <w:t>Spain</w:t>
      </w:r>
      <w:r>
        <w:rPr>
          <w:rStyle w:val="Strong"/>
          <w:b w:val="0"/>
        </w:rPr>
        <w:t xml:space="preserve"> as an FCL shipment. Additionally, t</w:t>
      </w:r>
      <w:r>
        <w:t>he container has not been treated for BMSB.</w:t>
      </w:r>
    </w:p>
    <w:p w14:paraId="6FFDEAFF" w14:textId="77777777" w:rsidR="00A872E2" w:rsidRDefault="00A872E2" w:rsidP="00A872E2">
      <w:r>
        <w:t xml:space="preserve">Mark determines if the goods are subject to BMSB by checking the information on the </w:t>
      </w:r>
      <w:hyperlink r:id="rId16" w:history="1">
        <w:r w:rsidRPr="00406A14">
          <w:rPr>
            <w:rStyle w:val="Hyperlink"/>
          </w:rPr>
          <w:t>Seasonal measures for Brown marmorated stink bug</w:t>
        </w:r>
      </w:hyperlink>
      <w:r>
        <w:t xml:space="preserve"> webpage. Then he logs onto his BICON AEPCOMM user </w:t>
      </w:r>
      <w:r w:rsidR="007C6494">
        <w:t xml:space="preserve">access </w:t>
      </w:r>
      <w:r>
        <w:t>account and refers to the standard BICON case for timber and timber products. The import conditions indicate the goods are subject to BMSB measures. The onshore outcomes section of this BICON case indicate</w:t>
      </w:r>
      <w:r w:rsidR="0066050D">
        <w:t>s</w:t>
      </w:r>
      <w:r>
        <w:t xml:space="preserve"> that a fumigation is required and provides the AEPCOMM FUM:</w:t>
      </w:r>
    </w:p>
    <w:p w14:paraId="7B2D3743" w14:textId="77777777" w:rsidR="00A872E2" w:rsidRDefault="00A872E2" w:rsidP="00A507FB">
      <w:r>
        <w:rPr>
          <w:noProof/>
          <w:lang w:eastAsia="en-AU"/>
        </w:rPr>
        <w:drawing>
          <wp:inline distT="0" distB="0" distL="0" distR="0" wp14:anchorId="3F3F9D6F" wp14:editId="06878205">
            <wp:extent cx="5731510" cy="219075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190750"/>
                    </a:xfrm>
                    <a:prstGeom prst="rect">
                      <a:avLst/>
                    </a:prstGeom>
                  </pic:spPr>
                </pic:pic>
              </a:graphicData>
            </a:graphic>
          </wp:inline>
        </w:drawing>
      </w:r>
    </w:p>
    <w:p w14:paraId="10AE04A5" w14:textId="77777777" w:rsidR="00A507FB" w:rsidRDefault="00A872E2" w:rsidP="007211A0">
      <w:pPr>
        <w:rPr>
          <w:lang w:val="en"/>
        </w:rPr>
      </w:pPr>
      <w:r>
        <w:t>Now Mark refers to the BMSB hitchhiker pests BICON</w:t>
      </w:r>
      <w:r w:rsidR="00441D30">
        <w:t xml:space="preserve"> case</w:t>
      </w:r>
      <w:r>
        <w:t xml:space="preserve"> </w:t>
      </w:r>
      <w:r w:rsidR="00441D30">
        <w:t>and follows the untreated timber pathway</w:t>
      </w:r>
      <w:r>
        <w:t xml:space="preserve">. The onshore outcomes section displays the </w:t>
      </w:r>
      <w:r w:rsidR="00643641">
        <w:t xml:space="preserve">exact same information as for the standard BICON case, indicating the AEPCOMM code FUM. Mark then </w:t>
      </w:r>
      <w:r w:rsidR="00A507FB">
        <w:t xml:space="preserve">applies FUM to the line and </w:t>
      </w:r>
      <w:r w:rsidR="00643641">
        <w:t xml:space="preserve">he </w:t>
      </w:r>
      <w:r w:rsidR="00A507FB">
        <w:t>is then issued with a system</w:t>
      </w:r>
      <w:r w:rsidR="00B327F7">
        <w:t>-</w:t>
      </w:r>
      <w:r w:rsidR="00A507FB">
        <w:t xml:space="preserve">generated Methyl bromide fumigation direction at the rate of </w:t>
      </w:r>
      <w:r w:rsidR="00A507FB" w:rsidRPr="00B8218B">
        <w:rPr>
          <w:lang w:val="en"/>
        </w:rPr>
        <w:t>48gM3 24hr 21C</w:t>
      </w:r>
      <w:r w:rsidR="00A507FB">
        <w:rPr>
          <w:lang w:val="en"/>
        </w:rPr>
        <w:t>. This higher rate would cover both: BMSB and other biosecurity concerns for untreated timber.</w:t>
      </w:r>
    </w:p>
    <w:p w14:paraId="7EF4F8CB" w14:textId="77777777" w:rsidR="000110B4" w:rsidRDefault="000110B4" w:rsidP="000110B4">
      <w:pPr>
        <w:rPr>
          <w:b/>
          <w:u w:val="single"/>
        </w:rPr>
      </w:pPr>
    </w:p>
    <w:p w14:paraId="16F96F32" w14:textId="77777777" w:rsidR="000110B4" w:rsidRDefault="000110B4" w:rsidP="000110B4">
      <w:r w:rsidRPr="00E06B7D">
        <w:rPr>
          <w:b/>
          <w:u w:val="single"/>
        </w:rPr>
        <w:t xml:space="preserve">Case study </w:t>
      </w:r>
      <w:r>
        <w:rPr>
          <w:b/>
          <w:u w:val="single"/>
        </w:rPr>
        <w:t>4</w:t>
      </w:r>
    </w:p>
    <w:p w14:paraId="7A2B96EB" w14:textId="77777777" w:rsidR="000110B4" w:rsidRDefault="00554D3B" w:rsidP="000110B4">
      <w:r>
        <w:rPr>
          <w:rStyle w:val="Strong"/>
          <w:b w:val="0"/>
        </w:rPr>
        <w:t>Chloe</w:t>
      </w:r>
      <w:r w:rsidR="000110B4" w:rsidRPr="005041ED">
        <w:rPr>
          <w:rStyle w:val="Strong"/>
          <w:b w:val="0"/>
        </w:rPr>
        <w:t xml:space="preserve"> </w:t>
      </w:r>
      <w:r w:rsidR="000110B4">
        <w:rPr>
          <w:rStyle w:val="Strong"/>
          <w:b w:val="0"/>
        </w:rPr>
        <w:t>is an accre</w:t>
      </w:r>
      <w:r>
        <w:rPr>
          <w:rStyle w:val="Strong"/>
          <w:b w:val="0"/>
        </w:rPr>
        <w:t>dited AEPCOMM Customs Broker. Her</w:t>
      </w:r>
      <w:r w:rsidR="000110B4">
        <w:rPr>
          <w:rStyle w:val="Strong"/>
          <w:b w:val="0"/>
        </w:rPr>
        <w:t xml:space="preserve"> client is importing </w:t>
      </w:r>
      <w:r>
        <w:rPr>
          <w:rStyle w:val="Strong"/>
          <w:b w:val="0"/>
        </w:rPr>
        <w:t xml:space="preserve">manufactured wooden articles </w:t>
      </w:r>
      <w:r w:rsidR="000110B4">
        <w:rPr>
          <w:rStyle w:val="Strong"/>
          <w:b w:val="0"/>
        </w:rPr>
        <w:t xml:space="preserve">(chapter 44 target high risk) from </w:t>
      </w:r>
      <w:r>
        <w:rPr>
          <w:rStyle w:val="Strong"/>
          <w:b w:val="0"/>
        </w:rPr>
        <w:t>Austria</w:t>
      </w:r>
      <w:r w:rsidR="000110B4">
        <w:rPr>
          <w:rStyle w:val="Strong"/>
          <w:b w:val="0"/>
        </w:rPr>
        <w:t xml:space="preserve"> as an FCL shipment. </w:t>
      </w:r>
      <w:r w:rsidR="00616D7C">
        <w:rPr>
          <w:rStyle w:val="Strong"/>
          <w:b w:val="0"/>
        </w:rPr>
        <w:t xml:space="preserve">The container was treated overseas </w:t>
      </w:r>
      <w:r w:rsidR="00DB761F">
        <w:rPr>
          <w:rStyle w:val="Strong"/>
          <w:b w:val="0"/>
        </w:rPr>
        <w:t xml:space="preserve">with Methyl bromide </w:t>
      </w:r>
      <w:r w:rsidR="00616D7C">
        <w:rPr>
          <w:rStyle w:val="Strong"/>
          <w:b w:val="0"/>
        </w:rPr>
        <w:t xml:space="preserve">by a company on the </w:t>
      </w:r>
      <w:hyperlink r:id="rId18" w:history="1">
        <w:r w:rsidR="00616D7C">
          <w:rPr>
            <w:rStyle w:val="Hyperlink"/>
          </w:rPr>
          <w:t>O</w:t>
        </w:r>
        <w:r w:rsidR="00616D7C" w:rsidRPr="00616D7C">
          <w:rPr>
            <w:rStyle w:val="Hyperlink"/>
          </w:rPr>
          <w:t>ffshore BMSB treatment provider scheme</w:t>
        </w:r>
      </w:hyperlink>
      <w:r w:rsidR="00DB761F">
        <w:rPr>
          <w:rStyle w:val="Strong"/>
          <w:b w:val="0"/>
        </w:rPr>
        <w:t xml:space="preserve"> at </w:t>
      </w:r>
      <w:r w:rsidR="00DB761F">
        <w:rPr>
          <w:rStyle w:val="Strong"/>
          <w:b w:val="0"/>
        </w:rPr>
        <w:lastRenderedPageBreak/>
        <w:t xml:space="preserve">the rate of </w:t>
      </w:r>
      <w:r w:rsidR="005F1CD0">
        <w:rPr>
          <w:rStyle w:val="Strong"/>
          <w:b w:val="0"/>
        </w:rPr>
        <w:t>48g for 24hr at 21C or above</w:t>
      </w:r>
      <w:r w:rsidR="00361B1A">
        <w:rPr>
          <w:rStyle w:val="Strong"/>
          <w:b w:val="0"/>
        </w:rPr>
        <w:t xml:space="preserve">. Chloe is aware </w:t>
      </w:r>
      <w:r w:rsidR="005F1CD0">
        <w:rPr>
          <w:rStyle w:val="Strong"/>
          <w:b w:val="0"/>
        </w:rPr>
        <w:t>the higher fumigation rate addresses both commodity and BMSB risks</w:t>
      </w:r>
      <w:r w:rsidR="00B327F7">
        <w:rPr>
          <w:rStyle w:val="Strong"/>
          <w:b w:val="0"/>
        </w:rPr>
        <w:t xml:space="preserve"> as outlined below</w:t>
      </w:r>
      <w:r w:rsidR="005F1CD0">
        <w:rPr>
          <w:rStyle w:val="Strong"/>
          <w:b w:val="0"/>
        </w:rPr>
        <w:t xml:space="preserve">: </w:t>
      </w:r>
    </w:p>
    <w:p w14:paraId="7549B9B1" w14:textId="77777777" w:rsidR="005D3E3F" w:rsidRDefault="005F1CD0" w:rsidP="000110B4">
      <w:r>
        <w:rPr>
          <w:noProof/>
          <w:lang w:eastAsia="en-AU"/>
        </w:rPr>
        <w:drawing>
          <wp:inline distT="0" distB="0" distL="0" distR="0" wp14:anchorId="1793B35D" wp14:editId="1854BD72">
            <wp:extent cx="4772025" cy="1562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72025" cy="1562100"/>
                    </a:xfrm>
                    <a:prstGeom prst="rect">
                      <a:avLst/>
                    </a:prstGeom>
                  </pic:spPr>
                </pic:pic>
              </a:graphicData>
            </a:graphic>
          </wp:inline>
        </w:drawing>
      </w:r>
    </w:p>
    <w:p w14:paraId="2865B31D" w14:textId="77777777" w:rsidR="000110B4" w:rsidRDefault="005F1CD0" w:rsidP="000110B4">
      <w:r>
        <w:t>Chloe now</w:t>
      </w:r>
      <w:r w:rsidR="000110B4">
        <w:t xml:space="preserve"> logs onto </w:t>
      </w:r>
      <w:r w:rsidR="005C6058">
        <w:t xml:space="preserve">her </w:t>
      </w:r>
      <w:r>
        <w:t xml:space="preserve">BICON account </w:t>
      </w:r>
      <w:r w:rsidR="000110B4">
        <w:t>and refers to the standard BICON case for timber and timber products</w:t>
      </w:r>
      <w:r w:rsidR="00A84D57">
        <w:t xml:space="preserve"> to ensure the consignment meets all requirements.</w:t>
      </w:r>
      <w:r w:rsidR="000110B4">
        <w:t xml:space="preserve"> The onshore outcomes section indicate</w:t>
      </w:r>
      <w:r w:rsidR="00A428EB">
        <w:t>s that goods can be released</w:t>
      </w:r>
      <w:r w:rsidR="00A84D57">
        <w:t xml:space="preserve"> however, it also indicates that if the good</w:t>
      </w:r>
      <w:r w:rsidR="00361B1A">
        <w:t xml:space="preserve">s are subject to BMSB measures </w:t>
      </w:r>
      <w:r w:rsidR="00A84D57">
        <w:t>Chloe needs to refer to the BMSB hitchhiker BICON case to obtain the AEPCOMM code.</w:t>
      </w:r>
    </w:p>
    <w:p w14:paraId="60952418" w14:textId="77777777" w:rsidR="00361B1A" w:rsidRDefault="00361B1A" w:rsidP="000110B4">
      <w:r>
        <w:t xml:space="preserve">Chloe </w:t>
      </w:r>
      <w:r w:rsidR="000110B4">
        <w:t>refers to the BMSB hitchhiker pests BICON case and enters all the relevant information. The onshore outcomes section</w:t>
      </w:r>
      <w:r>
        <w:t xml:space="preserve"> indicates the appropriate AEPCOMM code is BMSBREL:</w:t>
      </w:r>
    </w:p>
    <w:p w14:paraId="54968E46" w14:textId="77777777" w:rsidR="00361B1A" w:rsidRDefault="00361B1A" w:rsidP="000110B4">
      <w:r>
        <w:rPr>
          <w:noProof/>
          <w:lang w:eastAsia="en-AU"/>
        </w:rPr>
        <w:drawing>
          <wp:inline distT="0" distB="0" distL="0" distR="0" wp14:anchorId="05F47CE8" wp14:editId="0F68967E">
            <wp:extent cx="5731510" cy="12636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263650"/>
                    </a:xfrm>
                    <a:prstGeom prst="rect">
                      <a:avLst/>
                    </a:prstGeom>
                  </pic:spPr>
                </pic:pic>
              </a:graphicData>
            </a:graphic>
          </wp:inline>
        </w:drawing>
      </w:r>
    </w:p>
    <w:p w14:paraId="2EDD004D" w14:textId="77777777" w:rsidR="000110B4" w:rsidRPr="00643641" w:rsidRDefault="00361B1A" w:rsidP="000110B4">
      <w:r>
        <w:t>Chloe</w:t>
      </w:r>
      <w:r w:rsidR="000110B4">
        <w:t xml:space="preserve"> then applies </w:t>
      </w:r>
      <w:r>
        <w:t>BMSBREL</w:t>
      </w:r>
      <w:r w:rsidR="000110B4">
        <w:t xml:space="preserve"> to the line and </w:t>
      </w:r>
      <w:r>
        <w:t xml:space="preserve">she </w:t>
      </w:r>
      <w:r w:rsidR="000110B4">
        <w:t xml:space="preserve">is then issued with a system generated </w:t>
      </w:r>
      <w:r w:rsidR="003404B0">
        <w:t>Finalised and releas</w:t>
      </w:r>
      <w:r>
        <w:t>ed direction</w:t>
      </w:r>
      <w:r w:rsidR="000110B4">
        <w:rPr>
          <w:lang w:val="en"/>
        </w:rPr>
        <w:t xml:space="preserve">. </w:t>
      </w:r>
    </w:p>
    <w:p w14:paraId="6F6160E3" w14:textId="77777777" w:rsidR="000110B4" w:rsidRPr="00643641" w:rsidRDefault="000110B4" w:rsidP="007211A0"/>
    <w:sectPr w:rsidR="000110B4" w:rsidRPr="00643641" w:rsidSect="008B540F">
      <w:headerReference w:type="default" r:id="rId21"/>
      <w:footerReference w:type="default" r:id="rId22"/>
      <w:headerReference w:type="first" r:id="rId23"/>
      <w:pgSz w:w="11906" w:h="16838"/>
      <w:pgMar w:top="829" w:right="1440" w:bottom="1440" w:left="144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BE37" w14:textId="77777777" w:rsidR="008B540F" w:rsidRDefault="008B540F">
      <w:r>
        <w:separator/>
      </w:r>
    </w:p>
  </w:endnote>
  <w:endnote w:type="continuationSeparator" w:id="0">
    <w:p w14:paraId="1E7AB919" w14:textId="77777777" w:rsidR="008B540F" w:rsidRDefault="008B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1" w:type="dxa"/>
      <w:tblInd w:w="-1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57C6C"/>
      <w:tblLook w:val="04A0" w:firstRow="1" w:lastRow="0" w:firstColumn="1" w:lastColumn="0" w:noHBand="0" w:noVBand="1"/>
    </w:tblPr>
    <w:tblGrid>
      <w:gridCol w:w="11341"/>
    </w:tblGrid>
    <w:tr w:rsidR="008B540F" w14:paraId="03110026" w14:textId="77777777" w:rsidTr="008B540F">
      <w:trPr>
        <w:trHeight w:val="1275"/>
      </w:trPr>
      <w:tc>
        <w:tcPr>
          <w:tcW w:w="11341" w:type="dxa"/>
          <w:shd w:val="clear" w:color="auto" w:fill="857C6C"/>
        </w:tcPr>
        <w:bookmarkStart w:id="0" w:name="_Hlk49849767"/>
        <w:p w14:paraId="74184ECE" w14:textId="397F6CDF" w:rsidR="008B540F" w:rsidRDefault="008B540F" w:rsidP="008B540F">
          <w:pPr>
            <w:pStyle w:val="Footer"/>
            <w:rPr>
              <w:color w:val="FFFFFF" w:themeColor="background1"/>
              <w:sz w:val="22"/>
              <w:szCs w:val="22"/>
            </w:rPr>
          </w:pPr>
          <w:r w:rsidRPr="008B540F">
            <w:rPr>
              <w:color w:val="FFFFFF" w:themeColor="background1"/>
              <w:sz w:val="22"/>
              <w:szCs w:val="22"/>
            </w:rPr>
            <w:fldChar w:fldCharType="begin"/>
          </w:r>
          <w:r w:rsidRPr="008B540F">
            <w:rPr>
              <w:color w:val="FFFFFF" w:themeColor="background1"/>
              <w:sz w:val="22"/>
              <w:szCs w:val="22"/>
            </w:rPr>
            <w:instrText xml:space="preserve"> HYPERLINK "mailto:AEPsupport@agriculture.gov.au" </w:instrText>
          </w:r>
          <w:r w:rsidRPr="008B540F">
            <w:rPr>
              <w:color w:val="FFFFFF" w:themeColor="background1"/>
              <w:sz w:val="22"/>
              <w:szCs w:val="22"/>
            </w:rPr>
            <w:fldChar w:fldCharType="separate"/>
          </w:r>
          <w:r w:rsidRPr="008B540F">
            <w:rPr>
              <w:color w:val="FFFFFF" w:themeColor="background1"/>
              <w:sz w:val="22"/>
              <w:szCs w:val="22"/>
            </w:rPr>
            <w:t>AEPsupport@agriculture.gov.au</w:t>
          </w:r>
          <w:r w:rsidRPr="008B540F">
            <w:rPr>
              <w:color w:val="FFFFFF" w:themeColor="background1"/>
              <w:sz w:val="22"/>
              <w:szCs w:val="22"/>
            </w:rPr>
            <w:fldChar w:fldCharType="end"/>
          </w:r>
        </w:p>
        <w:p w14:paraId="6018E422" w14:textId="3D9D3934" w:rsidR="008B540F" w:rsidRPr="008B540F" w:rsidRDefault="008B540F" w:rsidP="008B540F">
          <w:pPr>
            <w:pStyle w:val="Footer"/>
            <w:rPr>
              <w:color w:val="FFFFFF" w:themeColor="background1"/>
              <w:sz w:val="22"/>
              <w:szCs w:val="22"/>
            </w:rPr>
          </w:pPr>
          <w:r w:rsidRPr="008B540F">
            <w:rPr>
              <w:color w:val="FFFFFF" w:themeColor="background1"/>
              <w:sz w:val="22"/>
              <w:szCs w:val="22"/>
            </w:rPr>
            <w:tab/>
          </w:r>
          <w:sdt>
            <w:sdtPr>
              <w:rPr>
                <w:b/>
                <w:color w:val="FFFFFF" w:themeColor="background1"/>
                <w:sz w:val="22"/>
                <w:szCs w:val="22"/>
              </w:rPr>
              <w:alias w:val="Title"/>
              <w:id w:val="305365337"/>
              <w:placeholder>
                <w:docPart w:val="02720381C5014A209ECB24562415288D"/>
              </w:placeholder>
              <w:dataBinding w:prefixMappings="xmlns:ns0='http://purl.org/dc/elements/1.1/' xmlns:ns1='http://schemas.openxmlformats.org/package/2006/metadata/core-properties' " w:xpath="/ns1:coreProperties[1]/ns0:title[1]" w:storeItemID="{6C3C8BC8-F283-45AE-878A-BAB7291924A1}"/>
              <w:text/>
            </w:sdtPr>
            <w:sdtEndPr/>
            <w:sdtContent>
              <w:r w:rsidR="00214E53">
                <w:rPr>
                  <w:b/>
                  <w:color w:val="FFFFFF" w:themeColor="background1"/>
                  <w:sz w:val="22"/>
                  <w:szCs w:val="22"/>
                </w:rPr>
                <w:t>Using automatic entry processing for commodities during brown marmorated stink bug season</w:t>
              </w:r>
            </w:sdtContent>
          </w:sdt>
        </w:p>
        <w:p w14:paraId="35F4E31D" w14:textId="13D3D632" w:rsidR="008B540F" w:rsidRPr="008B540F" w:rsidRDefault="008B540F" w:rsidP="008B540F">
          <w:pPr>
            <w:pStyle w:val="Footer"/>
            <w:rPr>
              <w:color w:val="FFFFFF" w:themeColor="background1"/>
              <w:sz w:val="22"/>
              <w:szCs w:val="22"/>
            </w:rPr>
          </w:pPr>
          <w:r w:rsidRPr="008B540F">
            <w:rPr>
              <w:color w:val="FFFFFF" w:themeColor="background1"/>
              <w:sz w:val="22"/>
              <w:szCs w:val="22"/>
            </w:rPr>
            <w:sym w:font="Wingdings" w:char="F028"/>
          </w:r>
          <w:r w:rsidRPr="008B540F">
            <w:rPr>
              <w:color w:val="FFFFFF" w:themeColor="background1"/>
              <w:sz w:val="22"/>
              <w:szCs w:val="22"/>
            </w:rPr>
            <w:t xml:space="preserve"> 1800 900 090</w:t>
          </w:r>
          <w:r w:rsidRPr="008B540F">
            <w:rPr>
              <w:color w:val="FFFFFF" w:themeColor="background1"/>
              <w:sz w:val="22"/>
              <w:szCs w:val="22"/>
            </w:rPr>
            <w:tab/>
            <w:t xml:space="preserve">Page </w:t>
          </w:r>
          <w:r w:rsidRPr="008B540F">
            <w:rPr>
              <w:color w:val="FFFFFF" w:themeColor="background1"/>
              <w:sz w:val="22"/>
              <w:szCs w:val="22"/>
            </w:rPr>
            <w:fldChar w:fldCharType="begin"/>
          </w:r>
          <w:r w:rsidRPr="008B540F">
            <w:rPr>
              <w:color w:val="FFFFFF" w:themeColor="background1"/>
              <w:sz w:val="22"/>
              <w:szCs w:val="22"/>
            </w:rPr>
            <w:instrText xml:space="preserve"> PAGE   \* MERGEFORMAT </w:instrText>
          </w:r>
          <w:r w:rsidRPr="008B540F">
            <w:rPr>
              <w:color w:val="FFFFFF" w:themeColor="background1"/>
              <w:sz w:val="22"/>
              <w:szCs w:val="22"/>
            </w:rPr>
            <w:fldChar w:fldCharType="separate"/>
          </w:r>
          <w:r w:rsidRPr="008B540F">
            <w:rPr>
              <w:noProof/>
              <w:color w:val="FFFFFF" w:themeColor="background1"/>
              <w:sz w:val="22"/>
              <w:szCs w:val="22"/>
            </w:rPr>
            <w:t>2</w:t>
          </w:r>
          <w:r w:rsidRPr="008B540F">
            <w:rPr>
              <w:color w:val="FFFFFF" w:themeColor="background1"/>
              <w:sz w:val="22"/>
              <w:szCs w:val="22"/>
            </w:rPr>
            <w:fldChar w:fldCharType="end"/>
          </w:r>
          <w:r w:rsidRPr="008B540F">
            <w:rPr>
              <w:color w:val="FFFFFF" w:themeColor="background1"/>
              <w:sz w:val="22"/>
              <w:szCs w:val="22"/>
            </w:rPr>
            <w:t xml:space="preserve"> of </w:t>
          </w:r>
          <w:r w:rsidRPr="008B540F">
            <w:rPr>
              <w:noProof/>
              <w:color w:val="FFFFFF" w:themeColor="background1"/>
              <w:sz w:val="22"/>
              <w:szCs w:val="22"/>
            </w:rPr>
            <w:fldChar w:fldCharType="begin"/>
          </w:r>
          <w:r w:rsidRPr="008B540F">
            <w:rPr>
              <w:noProof/>
              <w:color w:val="FFFFFF" w:themeColor="background1"/>
              <w:sz w:val="22"/>
              <w:szCs w:val="22"/>
            </w:rPr>
            <w:instrText xml:space="preserve"> NUMPAGES   \* MERGEFORMAT </w:instrText>
          </w:r>
          <w:r w:rsidRPr="008B540F">
            <w:rPr>
              <w:noProof/>
              <w:color w:val="FFFFFF" w:themeColor="background1"/>
              <w:sz w:val="22"/>
              <w:szCs w:val="22"/>
            </w:rPr>
            <w:fldChar w:fldCharType="separate"/>
          </w:r>
          <w:r w:rsidRPr="008B540F">
            <w:rPr>
              <w:noProof/>
              <w:color w:val="FFFFFF" w:themeColor="background1"/>
              <w:sz w:val="22"/>
              <w:szCs w:val="22"/>
            </w:rPr>
            <w:t>2</w:t>
          </w:r>
          <w:r w:rsidRPr="008B540F">
            <w:rPr>
              <w:noProof/>
              <w:color w:val="FFFFFF" w:themeColor="background1"/>
              <w:sz w:val="22"/>
              <w:szCs w:val="22"/>
            </w:rPr>
            <w:fldChar w:fldCharType="end"/>
          </w:r>
          <w:r w:rsidRPr="008B540F">
            <w:rPr>
              <w:color w:val="FFFFFF" w:themeColor="background1"/>
              <w:sz w:val="22"/>
              <w:szCs w:val="22"/>
            </w:rPr>
            <w:tab/>
          </w:r>
          <w:r w:rsidRPr="008B540F">
            <w:rPr>
              <w:color w:val="FFFFFF" w:themeColor="background1"/>
              <w:sz w:val="22"/>
              <w:szCs w:val="22"/>
            </w:rPr>
            <w:fldChar w:fldCharType="begin"/>
          </w:r>
          <w:r w:rsidRPr="008B540F">
            <w:rPr>
              <w:color w:val="FFFFFF" w:themeColor="background1"/>
              <w:sz w:val="22"/>
              <w:szCs w:val="22"/>
            </w:rPr>
            <w:instrText xml:space="preserve"> DATE  \@ "MMMM yy"  \* MERGEFORMAT </w:instrText>
          </w:r>
          <w:r w:rsidRPr="008B540F">
            <w:rPr>
              <w:color w:val="FFFFFF" w:themeColor="background1"/>
              <w:sz w:val="22"/>
              <w:szCs w:val="22"/>
            </w:rPr>
            <w:fldChar w:fldCharType="separate"/>
          </w:r>
          <w:r w:rsidR="00214E53">
            <w:rPr>
              <w:noProof/>
              <w:color w:val="FFFFFF" w:themeColor="background1"/>
              <w:sz w:val="22"/>
              <w:szCs w:val="22"/>
            </w:rPr>
            <w:t>November 22</w:t>
          </w:r>
          <w:r w:rsidRPr="008B540F">
            <w:rPr>
              <w:color w:val="FFFFFF" w:themeColor="background1"/>
              <w:sz w:val="22"/>
              <w:szCs w:val="22"/>
            </w:rPr>
            <w:fldChar w:fldCharType="end"/>
          </w:r>
        </w:p>
        <w:p w14:paraId="0EB9A58E" w14:textId="77777777" w:rsidR="008B540F" w:rsidRDefault="008B540F" w:rsidP="008B540F">
          <w:pPr>
            <w:pStyle w:val="Footer"/>
          </w:pPr>
        </w:p>
      </w:tc>
    </w:tr>
    <w:bookmarkEnd w:id="0"/>
  </w:tbl>
  <w:p w14:paraId="1BCE9085" w14:textId="1592BD93" w:rsidR="008B540F" w:rsidRPr="008B540F" w:rsidRDefault="008B540F" w:rsidP="008B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21AD1" w14:textId="77777777" w:rsidR="008B540F" w:rsidRDefault="008B540F">
      <w:r>
        <w:separator/>
      </w:r>
    </w:p>
  </w:footnote>
  <w:footnote w:type="continuationSeparator" w:id="0">
    <w:p w14:paraId="3393B115" w14:textId="77777777" w:rsidR="008B540F" w:rsidRDefault="008B5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8941" w14:textId="250D5687" w:rsidR="008B540F" w:rsidRPr="008B540F" w:rsidRDefault="008B540F" w:rsidP="00612A80">
    <w:pPr>
      <w:pStyle w:val="Header"/>
      <w:rPr>
        <w:u w:val="single"/>
      </w:rPr>
    </w:pPr>
    <w:r w:rsidRPr="008B540F">
      <w:rPr>
        <w:u w:val="single"/>
      </w:rPr>
      <w:t xml:space="preserve">Department of Agriculture, </w:t>
    </w:r>
    <w:r w:rsidR="00B82C45">
      <w:rPr>
        <w:u w:val="single"/>
      </w:rPr>
      <w:t>Fisheries and Forestry</w:t>
    </w:r>
  </w:p>
  <w:p w14:paraId="49F08D64" w14:textId="77777777" w:rsidR="008B540F" w:rsidRPr="008B540F" w:rsidRDefault="008B540F">
    <w:pP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83" w:type="dxa"/>
      <w:tblInd w:w="-1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57C6C"/>
      <w:tblLook w:val="04A0" w:firstRow="1" w:lastRow="0" w:firstColumn="1" w:lastColumn="0" w:noHBand="0" w:noVBand="1"/>
    </w:tblPr>
    <w:tblGrid>
      <w:gridCol w:w="11483"/>
    </w:tblGrid>
    <w:tr w:rsidR="008B540F" w14:paraId="5796784D" w14:textId="77777777" w:rsidTr="00612A80">
      <w:trPr>
        <w:trHeight w:val="1413"/>
      </w:trPr>
      <w:tc>
        <w:tcPr>
          <w:tcW w:w="11483" w:type="dxa"/>
          <w:shd w:val="clear" w:color="auto" w:fill="857C6C"/>
        </w:tcPr>
        <w:p w14:paraId="3CB71B13" w14:textId="415C9367" w:rsidR="008B540F" w:rsidRDefault="008B540F" w:rsidP="00612A80">
          <w:r>
            <w:rPr>
              <w:noProof/>
            </w:rPr>
            <w:drawing>
              <wp:inline distT="0" distB="0" distL="0" distR="0" wp14:anchorId="178FAE03" wp14:editId="6D3B011A">
                <wp:extent cx="2413000" cy="701908"/>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3000" cy="701908"/>
                        </a:xfrm>
                        <a:prstGeom prst="rect">
                          <a:avLst/>
                        </a:prstGeom>
                        <a:noFill/>
                        <a:ln>
                          <a:noFill/>
                        </a:ln>
                      </pic:spPr>
                    </pic:pic>
                  </a:graphicData>
                </a:graphic>
              </wp:inline>
            </w:drawing>
          </w:r>
        </w:p>
      </w:tc>
    </w:tr>
  </w:tbl>
  <w:p w14:paraId="2A03A1EC" w14:textId="77777777" w:rsidR="008B540F" w:rsidRDefault="008B5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CC30C0D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20174B"/>
    <w:multiLevelType w:val="hybridMultilevel"/>
    <w:tmpl w:val="AF5604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690E32"/>
    <w:multiLevelType w:val="hybridMultilevel"/>
    <w:tmpl w:val="508EE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5F169D"/>
    <w:multiLevelType w:val="hybridMultilevel"/>
    <w:tmpl w:val="5172F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1C78635F"/>
    <w:multiLevelType w:val="hybridMultilevel"/>
    <w:tmpl w:val="016A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B231EE"/>
    <w:multiLevelType w:val="hybridMultilevel"/>
    <w:tmpl w:val="768C6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1E6A16"/>
    <w:multiLevelType w:val="hybridMultilevel"/>
    <w:tmpl w:val="1640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29C702C5"/>
    <w:multiLevelType w:val="hybridMultilevel"/>
    <w:tmpl w:val="710C4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913599"/>
    <w:multiLevelType w:val="multilevel"/>
    <w:tmpl w:val="E496DBD4"/>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16" w15:restartNumberingAfterBreak="0">
    <w:nsid w:val="2DBC2F3F"/>
    <w:multiLevelType w:val="hybridMultilevel"/>
    <w:tmpl w:val="87741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2425AB"/>
    <w:multiLevelType w:val="multilevel"/>
    <w:tmpl w:val="BC8603C0"/>
    <w:numStyleLink w:val="ListNumbers"/>
  </w:abstractNum>
  <w:abstractNum w:abstractNumId="18" w15:restartNumberingAfterBreak="0">
    <w:nsid w:val="30073ACE"/>
    <w:multiLevelType w:val="multilevel"/>
    <w:tmpl w:val="622C939C"/>
    <w:lvl w:ilvl="0">
      <w:start w:val="1"/>
      <w:numFmt w:val="lowerLetter"/>
      <w:lvlText w:val="%1."/>
      <w:lvlJc w:val="left"/>
      <w:pPr>
        <w:tabs>
          <w:tab w:val="num" w:pos="425"/>
        </w:tabs>
        <w:ind w:left="425" w:hanging="425"/>
      </w:pPr>
      <w:rPr>
        <w:rFonts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310725EF"/>
    <w:multiLevelType w:val="hybridMultilevel"/>
    <w:tmpl w:val="13900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235DD1"/>
    <w:multiLevelType w:val="multilevel"/>
    <w:tmpl w:val="CE066402"/>
    <w:lvl w:ilvl="0">
      <w:start w:val="1"/>
      <w:numFmt w:val="lowerLetter"/>
      <w:lvlText w:val="%1."/>
      <w:lvlJc w:val="left"/>
      <w:pPr>
        <w:tabs>
          <w:tab w:val="num" w:pos="425"/>
        </w:tabs>
        <w:ind w:left="425" w:hanging="425"/>
      </w:pPr>
      <w:rPr>
        <w:rFonts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3A341DE5"/>
    <w:multiLevelType w:val="hybridMultilevel"/>
    <w:tmpl w:val="FD16B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D5C12"/>
    <w:multiLevelType w:val="multilevel"/>
    <w:tmpl w:val="20F2356A"/>
    <w:numStyleLink w:val="Appendix"/>
  </w:abstractNum>
  <w:abstractNum w:abstractNumId="2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491C14"/>
    <w:multiLevelType w:val="hybridMultilevel"/>
    <w:tmpl w:val="E598A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8A0CCC"/>
    <w:multiLevelType w:val="hybridMultilevel"/>
    <w:tmpl w:val="3C6C7E0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1521F8"/>
    <w:multiLevelType w:val="hybridMultilevel"/>
    <w:tmpl w:val="9FBA2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107FEF"/>
    <w:multiLevelType w:val="hybridMultilevel"/>
    <w:tmpl w:val="E496DB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0" w15:restartNumberingAfterBreak="0">
    <w:nsid w:val="5BFD4A9E"/>
    <w:multiLevelType w:val="hybridMultilevel"/>
    <w:tmpl w:val="85A23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703AC8"/>
    <w:multiLevelType w:val="hybridMultilevel"/>
    <w:tmpl w:val="CD4C8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125E07"/>
    <w:multiLevelType w:val="multilevel"/>
    <w:tmpl w:val="CE066402"/>
    <w:lvl w:ilvl="0">
      <w:start w:val="1"/>
      <w:numFmt w:val="lowerLetter"/>
      <w:lvlText w:val="%1."/>
      <w:lvlJc w:val="left"/>
      <w:pPr>
        <w:tabs>
          <w:tab w:val="num" w:pos="425"/>
        </w:tabs>
        <w:ind w:left="425" w:hanging="425"/>
      </w:pPr>
      <w:rPr>
        <w:rFonts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34" w15:restartNumberingAfterBreak="0">
    <w:nsid w:val="68CC2FE2"/>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7442B1"/>
    <w:multiLevelType w:val="multilevel"/>
    <w:tmpl w:val="CE066402"/>
    <w:lvl w:ilvl="0">
      <w:start w:val="1"/>
      <w:numFmt w:val="lowerLetter"/>
      <w:lvlText w:val="%1."/>
      <w:lvlJc w:val="left"/>
      <w:pPr>
        <w:tabs>
          <w:tab w:val="num" w:pos="425"/>
        </w:tabs>
        <w:ind w:left="425" w:hanging="425"/>
      </w:pPr>
      <w:rPr>
        <w:rFonts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3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ED52585"/>
    <w:multiLevelType w:val="hybridMultilevel"/>
    <w:tmpl w:val="0FFC9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8D859A4"/>
    <w:multiLevelType w:val="multilevel"/>
    <w:tmpl w:val="DBF28378"/>
    <w:lvl w:ilvl="0">
      <w:start w:val="1"/>
      <w:numFmt w:val="decimal"/>
      <w:pStyle w:val="ICHeading1"/>
      <w:lvlText w:val="%1."/>
      <w:lvlJc w:val="left"/>
      <w:pPr>
        <w:tabs>
          <w:tab w:val="num" w:pos="1134"/>
        </w:tabs>
        <w:ind w:left="1134" w:hanging="1134"/>
      </w:pPr>
      <w:rPr>
        <w:rFonts w:hint="default"/>
      </w:rPr>
    </w:lvl>
    <w:lvl w:ilvl="1">
      <w:start w:val="1"/>
      <w:numFmt w:val="decimal"/>
      <w:pStyle w:val="ICHeading2"/>
      <w:lvlText w:val="%1.%2"/>
      <w:lvlJc w:val="left"/>
      <w:pPr>
        <w:tabs>
          <w:tab w:val="num" w:pos="1134"/>
        </w:tabs>
        <w:ind w:left="1134" w:hanging="1134"/>
      </w:pPr>
      <w:rPr>
        <w:rFonts w:cs="Times New Roman" w:hint="default"/>
        <w:b w:val="0"/>
        <w:bCs w:val="0"/>
        <w:i w:val="0"/>
        <w:iCs w:val="0"/>
        <w:caps w:val="0"/>
        <w:smallCaps w:val="0"/>
        <w:strike w:val="0"/>
        <w:dstrike w:val="0"/>
        <w:outline w:val="0"/>
        <w:shadow w:val="0"/>
        <w:emboss w:val="0"/>
        <w:imprint w:val="0"/>
        <w:noProof w:val="0"/>
        <w:vanish w:val="0"/>
        <w:kern w:val="0"/>
        <w:position w:val="0"/>
        <w:u w:val="none"/>
        <w:vertAlign w:val="baseline"/>
        <w:em w:val="none"/>
      </w:rPr>
    </w:lvl>
    <w:lvl w:ilvl="2">
      <w:start w:val="1"/>
      <w:numFmt w:val="decimal"/>
      <w:pStyle w:val="ICHeading3"/>
      <w:lvlText w:val="%1.%2.%3"/>
      <w:lvlJc w:val="left"/>
      <w:pPr>
        <w:tabs>
          <w:tab w:val="num" w:pos="1134"/>
        </w:tabs>
        <w:ind w:left="1134" w:hanging="1134"/>
      </w:pPr>
      <w:rPr>
        <w:rFonts w:hint="default"/>
      </w:rPr>
    </w:lvl>
    <w:lvl w:ilvl="3">
      <w:start w:val="1"/>
      <w:numFmt w:val="decimal"/>
      <w:pStyle w:val="ICParaNumberedLvl4"/>
      <w:lvlText w:val="%1.%2.%3.%4"/>
      <w:lvlJc w:val="left"/>
      <w:pPr>
        <w:tabs>
          <w:tab w:val="num" w:pos="2268"/>
        </w:tabs>
        <w:ind w:left="2268" w:hanging="1134"/>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79131289"/>
    <w:multiLevelType w:val="multilevel"/>
    <w:tmpl w:val="CE066402"/>
    <w:lvl w:ilvl="0">
      <w:start w:val="1"/>
      <w:numFmt w:val="lowerLetter"/>
      <w:lvlText w:val="%1."/>
      <w:lvlJc w:val="left"/>
      <w:pPr>
        <w:tabs>
          <w:tab w:val="num" w:pos="425"/>
        </w:tabs>
        <w:ind w:left="425" w:hanging="425"/>
      </w:pPr>
      <w:rPr>
        <w:rFonts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0" w15:restartNumberingAfterBreak="0">
    <w:nsid w:val="7B01383B"/>
    <w:multiLevelType w:val="hybridMultilevel"/>
    <w:tmpl w:val="F82E99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367DC0"/>
    <w:multiLevelType w:val="hybridMultilevel"/>
    <w:tmpl w:val="0C9C0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6111055">
    <w:abstractNumId w:val="28"/>
  </w:num>
  <w:num w:numId="2" w16cid:durableId="1149401740">
    <w:abstractNumId w:val="23"/>
  </w:num>
  <w:num w:numId="3" w16cid:durableId="955212382">
    <w:abstractNumId w:val="8"/>
  </w:num>
  <w:num w:numId="4" w16cid:durableId="801768325">
    <w:abstractNumId w:val="9"/>
  </w:num>
  <w:num w:numId="5" w16cid:durableId="923760610">
    <w:abstractNumId w:val="3"/>
  </w:num>
  <w:num w:numId="6" w16cid:durableId="1723744881">
    <w:abstractNumId w:val="15"/>
  </w:num>
  <w:num w:numId="7" w16cid:durableId="192621623">
    <w:abstractNumId w:val="36"/>
  </w:num>
  <w:num w:numId="8" w16cid:durableId="2020737644">
    <w:abstractNumId w:val="17"/>
  </w:num>
  <w:num w:numId="9" w16cid:durableId="2134785234">
    <w:abstractNumId w:val="29"/>
  </w:num>
  <w:num w:numId="10" w16cid:durableId="1431857420">
    <w:abstractNumId w:val="13"/>
  </w:num>
  <w:num w:numId="11" w16cid:durableId="1073966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0272096">
    <w:abstractNumId w:val="22"/>
  </w:num>
  <w:num w:numId="13" w16cid:durableId="1627855909">
    <w:abstractNumId w:val="31"/>
  </w:num>
  <w:num w:numId="14" w16cid:durableId="1319579826">
    <w:abstractNumId w:val="2"/>
  </w:num>
  <w:num w:numId="15" w16cid:durableId="444539450">
    <w:abstractNumId w:val="1"/>
  </w:num>
  <w:num w:numId="16" w16cid:durableId="277681606">
    <w:abstractNumId w:val="0"/>
  </w:num>
  <w:num w:numId="17" w16cid:durableId="948462998">
    <w:abstractNumId w:val="4"/>
  </w:num>
  <w:num w:numId="18" w16cid:durableId="2013096094">
    <w:abstractNumId w:val="38"/>
  </w:num>
  <w:num w:numId="19" w16cid:durableId="1482575933">
    <w:abstractNumId w:val="26"/>
  </w:num>
  <w:num w:numId="20" w16cid:durableId="571623695">
    <w:abstractNumId w:val="14"/>
  </w:num>
  <w:num w:numId="21" w16cid:durableId="1595434987">
    <w:abstractNumId w:val="37"/>
  </w:num>
  <w:num w:numId="22" w16cid:durableId="162667305">
    <w:abstractNumId w:val="7"/>
  </w:num>
  <w:num w:numId="23" w16cid:durableId="46875894">
    <w:abstractNumId w:val="32"/>
  </w:num>
  <w:num w:numId="24" w16cid:durableId="1952473013">
    <w:abstractNumId w:val="40"/>
  </w:num>
  <w:num w:numId="25" w16cid:durableId="2145734483">
    <w:abstractNumId w:val="24"/>
  </w:num>
  <w:num w:numId="26" w16cid:durableId="618220448">
    <w:abstractNumId w:val="18"/>
  </w:num>
  <w:num w:numId="27" w16cid:durableId="694425375">
    <w:abstractNumId w:val="5"/>
  </w:num>
  <w:num w:numId="28" w16cid:durableId="800341415">
    <w:abstractNumId w:val="20"/>
  </w:num>
  <w:num w:numId="29" w16cid:durableId="454251216">
    <w:abstractNumId w:val="33"/>
  </w:num>
  <w:num w:numId="30" w16cid:durableId="2122914698">
    <w:abstractNumId w:val="39"/>
  </w:num>
  <w:num w:numId="31" w16cid:durableId="429006236">
    <w:abstractNumId w:val="27"/>
  </w:num>
  <w:num w:numId="32" w16cid:durableId="1173257217">
    <w:abstractNumId w:val="35"/>
  </w:num>
  <w:num w:numId="33" w16cid:durableId="950471445">
    <w:abstractNumId w:val="41"/>
  </w:num>
  <w:num w:numId="34" w16cid:durableId="1054892681">
    <w:abstractNumId w:val="19"/>
  </w:num>
  <w:num w:numId="35" w16cid:durableId="1814909653">
    <w:abstractNumId w:val="34"/>
  </w:num>
  <w:num w:numId="36" w16cid:durableId="938636199">
    <w:abstractNumId w:val="12"/>
  </w:num>
  <w:num w:numId="37" w16cid:durableId="1687291320">
    <w:abstractNumId w:val="6"/>
  </w:num>
  <w:num w:numId="38" w16cid:durableId="627245413">
    <w:abstractNumId w:val="10"/>
  </w:num>
  <w:num w:numId="39" w16cid:durableId="362248242">
    <w:abstractNumId w:val="25"/>
  </w:num>
  <w:num w:numId="40" w16cid:durableId="1770347453">
    <w:abstractNumId w:val="30"/>
  </w:num>
  <w:num w:numId="41" w16cid:durableId="6952968">
    <w:abstractNumId w:val="16"/>
  </w:num>
  <w:num w:numId="42" w16cid:durableId="1287002731">
    <w:abstractNumId w:val="11"/>
  </w:num>
  <w:num w:numId="43" w16cid:durableId="160353833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70e8cbef-64ba-40bf-8643-9ad310802c09"/>
  </w:docVars>
  <w:rsids>
    <w:rsidRoot w:val="00B06A32"/>
    <w:rsid w:val="00006D88"/>
    <w:rsid w:val="000110B4"/>
    <w:rsid w:val="0004231C"/>
    <w:rsid w:val="00046BA2"/>
    <w:rsid w:val="00051410"/>
    <w:rsid w:val="00052558"/>
    <w:rsid w:val="0005422C"/>
    <w:rsid w:val="00055024"/>
    <w:rsid w:val="00064DE1"/>
    <w:rsid w:val="000750AC"/>
    <w:rsid w:val="00096FCD"/>
    <w:rsid w:val="000C0994"/>
    <w:rsid w:val="000D68E8"/>
    <w:rsid w:val="000F5517"/>
    <w:rsid w:val="00101178"/>
    <w:rsid w:val="00112461"/>
    <w:rsid w:val="00112F6E"/>
    <w:rsid w:val="00122414"/>
    <w:rsid w:val="00124857"/>
    <w:rsid w:val="00143554"/>
    <w:rsid w:val="0015028A"/>
    <w:rsid w:val="0016132F"/>
    <w:rsid w:val="00162865"/>
    <w:rsid w:val="00165F40"/>
    <w:rsid w:val="00170068"/>
    <w:rsid w:val="0018415B"/>
    <w:rsid w:val="001874CA"/>
    <w:rsid w:val="00187898"/>
    <w:rsid w:val="001A1F64"/>
    <w:rsid w:val="001B4309"/>
    <w:rsid w:val="001C22BF"/>
    <w:rsid w:val="001D031C"/>
    <w:rsid w:val="001D66F1"/>
    <w:rsid w:val="001D6948"/>
    <w:rsid w:val="001E35AA"/>
    <w:rsid w:val="001E586B"/>
    <w:rsid w:val="0020426C"/>
    <w:rsid w:val="00214E53"/>
    <w:rsid w:val="00216281"/>
    <w:rsid w:val="00221B95"/>
    <w:rsid w:val="00224472"/>
    <w:rsid w:val="00232926"/>
    <w:rsid w:val="00234572"/>
    <w:rsid w:val="00244DA1"/>
    <w:rsid w:val="00252DB7"/>
    <w:rsid w:val="002556FE"/>
    <w:rsid w:val="00272C15"/>
    <w:rsid w:val="002814D2"/>
    <w:rsid w:val="00283E6A"/>
    <w:rsid w:val="00285EC0"/>
    <w:rsid w:val="0029416D"/>
    <w:rsid w:val="00296287"/>
    <w:rsid w:val="002A74FF"/>
    <w:rsid w:val="002B03F0"/>
    <w:rsid w:val="002B55D2"/>
    <w:rsid w:val="002C0FEB"/>
    <w:rsid w:val="002D1B8E"/>
    <w:rsid w:val="002F51A2"/>
    <w:rsid w:val="00310321"/>
    <w:rsid w:val="00312372"/>
    <w:rsid w:val="003216E3"/>
    <w:rsid w:val="00323ABB"/>
    <w:rsid w:val="00324C9E"/>
    <w:rsid w:val="003404B0"/>
    <w:rsid w:val="0034587A"/>
    <w:rsid w:val="00354983"/>
    <w:rsid w:val="00360D39"/>
    <w:rsid w:val="00361B1A"/>
    <w:rsid w:val="00373A0D"/>
    <w:rsid w:val="0038059D"/>
    <w:rsid w:val="003815A8"/>
    <w:rsid w:val="00384D31"/>
    <w:rsid w:val="0038529E"/>
    <w:rsid w:val="00390731"/>
    <w:rsid w:val="00393080"/>
    <w:rsid w:val="003A3909"/>
    <w:rsid w:val="003A6E80"/>
    <w:rsid w:val="003D330F"/>
    <w:rsid w:val="003D6E67"/>
    <w:rsid w:val="003E4E09"/>
    <w:rsid w:val="003E5D2C"/>
    <w:rsid w:val="003F4F53"/>
    <w:rsid w:val="00404EEE"/>
    <w:rsid w:val="00405EAD"/>
    <w:rsid w:val="00406A14"/>
    <w:rsid w:val="00425898"/>
    <w:rsid w:val="00441D30"/>
    <w:rsid w:val="00444616"/>
    <w:rsid w:val="004522CA"/>
    <w:rsid w:val="00454A9C"/>
    <w:rsid w:val="00461807"/>
    <w:rsid w:val="00472E56"/>
    <w:rsid w:val="00490BBA"/>
    <w:rsid w:val="00495DC4"/>
    <w:rsid w:val="004A11CC"/>
    <w:rsid w:val="004C2BBA"/>
    <w:rsid w:val="004C43A7"/>
    <w:rsid w:val="004E4C76"/>
    <w:rsid w:val="004F32E5"/>
    <w:rsid w:val="004F6391"/>
    <w:rsid w:val="004F7006"/>
    <w:rsid w:val="00503C09"/>
    <w:rsid w:val="005041ED"/>
    <w:rsid w:val="0051747C"/>
    <w:rsid w:val="005324D4"/>
    <w:rsid w:val="0054747E"/>
    <w:rsid w:val="00554D18"/>
    <w:rsid w:val="00554D3B"/>
    <w:rsid w:val="0055517F"/>
    <w:rsid w:val="0055557D"/>
    <w:rsid w:val="00555FDD"/>
    <w:rsid w:val="0056023D"/>
    <w:rsid w:val="00566FB7"/>
    <w:rsid w:val="0057043E"/>
    <w:rsid w:val="00576BBD"/>
    <w:rsid w:val="00590DB4"/>
    <w:rsid w:val="0059446B"/>
    <w:rsid w:val="00595FC3"/>
    <w:rsid w:val="005A2E92"/>
    <w:rsid w:val="005A7546"/>
    <w:rsid w:val="005B418C"/>
    <w:rsid w:val="005C6058"/>
    <w:rsid w:val="005D3E3F"/>
    <w:rsid w:val="005F1CD0"/>
    <w:rsid w:val="005F3051"/>
    <w:rsid w:val="005F3E43"/>
    <w:rsid w:val="006053AD"/>
    <w:rsid w:val="00606C51"/>
    <w:rsid w:val="0060779C"/>
    <w:rsid w:val="00610794"/>
    <w:rsid w:val="00611219"/>
    <w:rsid w:val="00612A80"/>
    <w:rsid w:val="0061624E"/>
    <w:rsid w:val="00616D7C"/>
    <w:rsid w:val="00623CD6"/>
    <w:rsid w:val="00626E31"/>
    <w:rsid w:val="006351FE"/>
    <w:rsid w:val="00643641"/>
    <w:rsid w:val="006546D4"/>
    <w:rsid w:val="0066050D"/>
    <w:rsid w:val="006654B5"/>
    <w:rsid w:val="00676774"/>
    <w:rsid w:val="0068192F"/>
    <w:rsid w:val="006C11F4"/>
    <w:rsid w:val="006C4EE7"/>
    <w:rsid w:val="006D58B1"/>
    <w:rsid w:val="006D6C70"/>
    <w:rsid w:val="006E43C2"/>
    <w:rsid w:val="006E7AC8"/>
    <w:rsid w:val="006F045F"/>
    <w:rsid w:val="00700B28"/>
    <w:rsid w:val="00704CC8"/>
    <w:rsid w:val="007210F1"/>
    <w:rsid w:val="007211A0"/>
    <w:rsid w:val="00732BEA"/>
    <w:rsid w:val="00734A37"/>
    <w:rsid w:val="0076054A"/>
    <w:rsid w:val="007610DD"/>
    <w:rsid w:val="0076217C"/>
    <w:rsid w:val="007672C4"/>
    <w:rsid w:val="00773151"/>
    <w:rsid w:val="00774674"/>
    <w:rsid w:val="0079218A"/>
    <w:rsid w:val="007A1996"/>
    <w:rsid w:val="007B2613"/>
    <w:rsid w:val="007B7B05"/>
    <w:rsid w:val="007C2C98"/>
    <w:rsid w:val="007C6494"/>
    <w:rsid w:val="007D0945"/>
    <w:rsid w:val="007E3800"/>
    <w:rsid w:val="007E4874"/>
    <w:rsid w:val="008019C0"/>
    <w:rsid w:val="008163BB"/>
    <w:rsid w:val="00822106"/>
    <w:rsid w:val="00834498"/>
    <w:rsid w:val="008504B1"/>
    <w:rsid w:val="00851B77"/>
    <w:rsid w:val="00857E17"/>
    <w:rsid w:val="0086086B"/>
    <w:rsid w:val="0086225C"/>
    <w:rsid w:val="00880FC6"/>
    <w:rsid w:val="008A1DE5"/>
    <w:rsid w:val="008B0D4B"/>
    <w:rsid w:val="008B540F"/>
    <w:rsid w:val="008B7223"/>
    <w:rsid w:val="008C3651"/>
    <w:rsid w:val="008D2DB5"/>
    <w:rsid w:val="008D3E5B"/>
    <w:rsid w:val="008E16AA"/>
    <w:rsid w:val="008F586E"/>
    <w:rsid w:val="008F63B6"/>
    <w:rsid w:val="00905F94"/>
    <w:rsid w:val="009119B7"/>
    <w:rsid w:val="0092068C"/>
    <w:rsid w:val="00936F81"/>
    <w:rsid w:val="00943C36"/>
    <w:rsid w:val="00952ACB"/>
    <w:rsid w:val="00973A97"/>
    <w:rsid w:val="00990729"/>
    <w:rsid w:val="009B42F7"/>
    <w:rsid w:val="009C1279"/>
    <w:rsid w:val="009C6504"/>
    <w:rsid w:val="009E7C5F"/>
    <w:rsid w:val="009F1B37"/>
    <w:rsid w:val="009F2F76"/>
    <w:rsid w:val="009F61B4"/>
    <w:rsid w:val="00A17C64"/>
    <w:rsid w:val="00A356ED"/>
    <w:rsid w:val="00A408C0"/>
    <w:rsid w:val="00A428EB"/>
    <w:rsid w:val="00A436CC"/>
    <w:rsid w:val="00A507FB"/>
    <w:rsid w:val="00A61A87"/>
    <w:rsid w:val="00A6524C"/>
    <w:rsid w:val="00A84039"/>
    <w:rsid w:val="00A84D57"/>
    <w:rsid w:val="00A872E2"/>
    <w:rsid w:val="00A93751"/>
    <w:rsid w:val="00AA4B88"/>
    <w:rsid w:val="00AA785E"/>
    <w:rsid w:val="00AB194E"/>
    <w:rsid w:val="00AC4646"/>
    <w:rsid w:val="00AD2C33"/>
    <w:rsid w:val="00AD6168"/>
    <w:rsid w:val="00AD647E"/>
    <w:rsid w:val="00AD6EE1"/>
    <w:rsid w:val="00AE2344"/>
    <w:rsid w:val="00AE4BDB"/>
    <w:rsid w:val="00AE6349"/>
    <w:rsid w:val="00B06A32"/>
    <w:rsid w:val="00B11D53"/>
    <w:rsid w:val="00B207C6"/>
    <w:rsid w:val="00B21DD7"/>
    <w:rsid w:val="00B240C3"/>
    <w:rsid w:val="00B327F7"/>
    <w:rsid w:val="00B57188"/>
    <w:rsid w:val="00B579EF"/>
    <w:rsid w:val="00B65FDE"/>
    <w:rsid w:val="00B8218B"/>
    <w:rsid w:val="00B82C45"/>
    <w:rsid w:val="00BB2C53"/>
    <w:rsid w:val="00BD1725"/>
    <w:rsid w:val="00BF20DB"/>
    <w:rsid w:val="00C07918"/>
    <w:rsid w:val="00C14F35"/>
    <w:rsid w:val="00C1690D"/>
    <w:rsid w:val="00C309E9"/>
    <w:rsid w:val="00C31ADD"/>
    <w:rsid w:val="00C6046B"/>
    <w:rsid w:val="00C62744"/>
    <w:rsid w:val="00C6304E"/>
    <w:rsid w:val="00C6669A"/>
    <w:rsid w:val="00C77DE6"/>
    <w:rsid w:val="00CA64D3"/>
    <w:rsid w:val="00CA7E12"/>
    <w:rsid w:val="00CC5AFF"/>
    <w:rsid w:val="00D162A3"/>
    <w:rsid w:val="00D30114"/>
    <w:rsid w:val="00D31978"/>
    <w:rsid w:val="00D406D7"/>
    <w:rsid w:val="00D45055"/>
    <w:rsid w:val="00D665FB"/>
    <w:rsid w:val="00DA1E51"/>
    <w:rsid w:val="00DB1512"/>
    <w:rsid w:val="00DB761F"/>
    <w:rsid w:val="00DD2B53"/>
    <w:rsid w:val="00DE34AA"/>
    <w:rsid w:val="00DF72C5"/>
    <w:rsid w:val="00E0364C"/>
    <w:rsid w:val="00E06B7D"/>
    <w:rsid w:val="00E2052A"/>
    <w:rsid w:val="00E21519"/>
    <w:rsid w:val="00E215C8"/>
    <w:rsid w:val="00E228A8"/>
    <w:rsid w:val="00E3214D"/>
    <w:rsid w:val="00E32D93"/>
    <w:rsid w:val="00E44A3C"/>
    <w:rsid w:val="00E50867"/>
    <w:rsid w:val="00E576F8"/>
    <w:rsid w:val="00E6710E"/>
    <w:rsid w:val="00E77397"/>
    <w:rsid w:val="00E86D12"/>
    <w:rsid w:val="00EA198A"/>
    <w:rsid w:val="00EC42F7"/>
    <w:rsid w:val="00F06720"/>
    <w:rsid w:val="00F1165B"/>
    <w:rsid w:val="00F22C50"/>
    <w:rsid w:val="00F410DC"/>
    <w:rsid w:val="00F4769A"/>
    <w:rsid w:val="00F80D08"/>
    <w:rsid w:val="00F80F7F"/>
    <w:rsid w:val="00F81830"/>
    <w:rsid w:val="00F86CD3"/>
    <w:rsid w:val="00F9048B"/>
    <w:rsid w:val="00F937B5"/>
    <w:rsid w:val="00F9444F"/>
    <w:rsid w:val="00FA0206"/>
    <w:rsid w:val="00FA324C"/>
    <w:rsid w:val="00FA339B"/>
    <w:rsid w:val="00FA7CD4"/>
    <w:rsid w:val="00FC0EE6"/>
    <w:rsid w:val="00FC2390"/>
    <w:rsid w:val="00FC2A1F"/>
    <w:rsid w:val="00FD57C9"/>
    <w:rsid w:val="00FF0E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BF2200"/>
  <w15:chartTrackingRefBased/>
  <w15:docId w15:val="{BB3963B4-0984-4432-8A6C-F726C607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32"/>
    <w:pPr>
      <w:spacing w:before="60" w:after="6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112F6E"/>
    <w:pPr>
      <w:keepNext/>
      <w:keepLines/>
      <w:spacing w:before="480" w:after="36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112F6E"/>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6A32"/>
    <w:pPr>
      <w:pBdr>
        <w:bottom w:val="single" w:sz="8" w:space="4" w:color="776F65"/>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B06A32"/>
    <w:rPr>
      <w:rFonts w:asciiTheme="minorHAnsi" w:eastAsiaTheme="majorEastAsia" w:hAnsiTheme="minorHAnsi" w:cstheme="majorBidi"/>
      <w:spacing w:val="5"/>
      <w:kern w:val="28"/>
      <w:sz w:val="52"/>
      <w:szCs w:val="52"/>
      <w:lang w:eastAsia="en-US"/>
    </w:rPr>
  </w:style>
  <w:style w:type="paragraph" w:styleId="ListParagraph">
    <w:name w:val="List Paragraph"/>
    <w:basedOn w:val="Normal"/>
    <w:uiPriority w:val="34"/>
    <w:qFormat/>
    <w:rsid w:val="00B06A32"/>
    <w:pPr>
      <w:ind w:left="720"/>
      <w:contextualSpacing/>
    </w:pPr>
  </w:style>
  <w:style w:type="paragraph" w:customStyle="1" w:styleId="ICHeading1">
    <w:name w:val="IC_Heading1"/>
    <w:basedOn w:val="Normal"/>
    <w:next w:val="Normal"/>
    <w:qFormat/>
    <w:rsid w:val="00112F6E"/>
    <w:pPr>
      <w:keepNext/>
      <w:numPr>
        <w:numId w:val="18"/>
      </w:numPr>
      <w:shd w:val="clear" w:color="auto" w:fill="397A80"/>
      <w:tabs>
        <w:tab w:val="left" w:pos="567"/>
        <w:tab w:val="left" w:pos="1134"/>
      </w:tabs>
      <w:spacing w:before="360" w:after="240" w:line="240" w:lineRule="auto"/>
      <w:ind w:left="567" w:hanging="567"/>
    </w:pPr>
    <w:rPr>
      <w:rFonts w:ascii="Calibri" w:eastAsia="Times New Roman" w:hAnsi="Calibri" w:cs="Times New Roman"/>
      <w:color w:val="F2ECE5"/>
      <w:spacing w:val="4"/>
      <w:sz w:val="32"/>
      <w:szCs w:val="32"/>
    </w:rPr>
  </w:style>
  <w:style w:type="paragraph" w:customStyle="1" w:styleId="ICHeading2">
    <w:name w:val="IC_Heading2"/>
    <w:basedOn w:val="Normal"/>
    <w:next w:val="Normal"/>
    <w:qFormat/>
    <w:rsid w:val="00B06A32"/>
    <w:pPr>
      <w:keepNext/>
      <w:numPr>
        <w:ilvl w:val="1"/>
        <w:numId w:val="18"/>
      </w:numPr>
      <w:spacing w:line="240" w:lineRule="auto"/>
    </w:pPr>
    <w:rPr>
      <w:rFonts w:ascii="Calibri" w:eastAsia="Times New Roman" w:hAnsi="Calibri" w:cs="Times New Roman"/>
      <w:color w:val="397A80"/>
      <w:spacing w:val="4"/>
      <w:sz w:val="28"/>
      <w:szCs w:val="28"/>
    </w:rPr>
  </w:style>
  <w:style w:type="paragraph" w:customStyle="1" w:styleId="ICHeading3">
    <w:name w:val="IC_Heading3"/>
    <w:basedOn w:val="ICHeading2"/>
    <w:next w:val="Normal"/>
    <w:rsid w:val="00B06A32"/>
    <w:pPr>
      <w:numPr>
        <w:ilvl w:val="2"/>
      </w:numPr>
      <w:spacing w:before="240"/>
    </w:pPr>
    <w:rPr>
      <w:sz w:val="24"/>
    </w:rPr>
  </w:style>
  <w:style w:type="paragraph" w:customStyle="1" w:styleId="ICParaNumberedLvl4">
    <w:name w:val="IC_Para_Numbered_Lvl4"/>
    <w:basedOn w:val="Normal"/>
    <w:rsid w:val="00B06A32"/>
    <w:pPr>
      <w:numPr>
        <w:ilvl w:val="3"/>
        <w:numId w:val="18"/>
      </w:numPr>
      <w:spacing w:before="120" w:line="240" w:lineRule="auto"/>
    </w:pPr>
    <w:rPr>
      <w:rFonts w:ascii="Calibri" w:eastAsia="Times New Roman" w:hAnsi="Calibri" w:cs="Times New Roman"/>
      <w:b/>
      <w:color w:val="595959" w:themeColor="text1" w:themeTint="A6"/>
      <w:spacing w:val="4"/>
    </w:rPr>
  </w:style>
  <w:style w:type="character" w:styleId="PlaceholderText">
    <w:name w:val="Placeholder Text"/>
    <w:basedOn w:val="DefaultParagraphFont"/>
    <w:uiPriority w:val="99"/>
    <w:semiHidden/>
    <w:rsid w:val="00B06A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67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import/before/brown-marmorated-stink-bugs" TargetMode="External"/><Relationship Id="rId13" Type="http://schemas.openxmlformats.org/officeDocument/2006/relationships/image" Target="media/image3.png"/><Relationship Id="rId18" Type="http://schemas.openxmlformats.org/officeDocument/2006/relationships/hyperlink" Target="http://www.agriculture.gov.au/import/before/brown-marmorated-stink-bugs/offshore-bmsb-treatment-providers-sche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agriculture.gov.au/import/before/brown-marmorated-stink-bugs"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10" Type="http://schemas.openxmlformats.org/officeDocument/2006/relationships/hyperlink" Target="http://www.agriculture.gov.au/import/before/brown-marmorated-stink-bug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agriculture.gov.au/import/before/brown-marmorated-stink-bugs" TargetMode="External"/><Relationship Id="rId14" Type="http://schemas.openxmlformats.org/officeDocument/2006/relationships/hyperlink" Target="http://www.agriculture.gov.au/import/before/brown-marmorated-stink-bugs"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720381C5014A209ECB24562415288D"/>
        <w:category>
          <w:name w:val="General"/>
          <w:gallery w:val="placeholder"/>
        </w:category>
        <w:types>
          <w:type w:val="bbPlcHdr"/>
        </w:types>
        <w:behaviors>
          <w:behavior w:val="content"/>
        </w:behaviors>
        <w:guid w:val="{FE5C3C5C-BAAB-4E45-8D8B-2898427C72A7}"/>
      </w:docPartPr>
      <w:docPartBody>
        <w:p w:rsidR="00487467" w:rsidRDefault="00487467" w:rsidP="00487467">
          <w:pPr>
            <w:pStyle w:val="02720381C5014A209ECB24562415288D"/>
          </w:pPr>
          <w:r w:rsidRPr="00A8153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67"/>
    <w:rsid w:val="00487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467"/>
    <w:rPr>
      <w:color w:val="808080"/>
    </w:rPr>
  </w:style>
  <w:style w:type="paragraph" w:customStyle="1" w:styleId="02720381C5014A209ECB24562415288D">
    <w:name w:val="02720381C5014A209ECB24562415288D"/>
    <w:rsid w:val="00487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E471F-4872-48DB-AAB1-348D620A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Using automatic entry processing for commodities during brown marmorated stink bug season</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automatic entry processing for commodities during brown marmorated stink bug season</dc:title>
  <dc:subject/>
  <dc:creator>Department of Agriculture, Fisheries and Forestry</dc:creator>
  <cp:keywords/>
  <dc:description/>
  <cp:lastModifiedBy>Nov, Amanda</cp:lastModifiedBy>
  <cp:revision>4</cp:revision>
  <cp:lastPrinted>2015-08-14T05:36:00Z</cp:lastPrinted>
  <dcterms:created xsi:type="dcterms:W3CDTF">2022-11-10T06:42:00Z</dcterms:created>
  <dcterms:modified xsi:type="dcterms:W3CDTF">2022-11-10T06:44:00Z</dcterms:modified>
</cp:coreProperties>
</file>