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8EBA" w14:textId="77777777" w:rsidR="004B5D6C" w:rsidRDefault="004B5D6C" w:rsidP="00712738">
      <w:pPr>
        <w:pStyle w:val="NoSpacing"/>
        <w:rPr>
          <w:sz w:val="32"/>
        </w:rPr>
      </w:pPr>
      <w:r>
        <w:rPr>
          <w:noProof/>
          <w:lang w:eastAsia="zh-CN"/>
        </w:rPr>
        <w:drawing>
          <wp:anchor distT="0" distB="0" distL="114300" distR="114300" simplePos="0" relativeHeight="251660288" behindDoc="1" locked="0" layoutInCell="1" allowOverlap="1" wp14:anchorId="76C746B5" wp14:editId="55F0942D">
            <wp:simplePos x="0" y="0"/>
            <wp:positionH relativeFrom="column">
              <wp:posOffset>-1312545</wp:posOffset>
            </wp:positionH>
            <wp:positionV relativeFrom="paragraph">
              <wp:posOffset>-769620</wp:posOffset>
            </wp:positionV>
            <wp:extent cx="7541895" cy="10668000"/>
            <wp:effectExtent l="0" t="0" r="0" b="0"/>
            <wp:wrapNone/>
            <wp:docPr id="5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89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714A18" w14:textId="77777777" w:rsidR="004B5D6C" w:rsidRDefault="004B5D6C" w:rsidP="004B5D6C">
      <w:pPr>
        <w:ind w:left="-426"/>
      </w:pPr>
    </w:p>
    <w:p w14:paraId="643429FF" w14:textId="77777777" w:rsidR="004B5D6C" w:rsidRDefault="004B5D6C" w:rsidP="004B5D6C">
      <w:pPr>
        <w:ind w:left="-426"/>
      </w:pPr>
    </w:p>
    <w:p w14:paraId="22AD5295" w14:textId="77777777" w:rsidR="00BD785A" w:rsidRDefault="00BD785A" w:rsidP="00BD785A"/>
    <w:p w14:paraId="2695E499" w14:textId="77777777" w:rsidR="000615FA" w:rsidRDefault="000615FA" w:rsidP="00BD785A"/>
    <w:p w14:paraId="54C4B145" w14:textId="77777777" w:rsidR="000615FA" w:rsidRDefault="000615FA" w:rsidP="000615FA">
      <w:pPr>
        <w:ind w:left="-567"/>
        <w:rPr>
          <w:color w:val="auto"/>
        </w:rPr>
      </w:pPr>
    </w:p>
    <w:p w14:paraId="457B9834" w14:textId="1457F340" w:rsidR="000615FA" w:rsidRDefault="000615FA" w:rsidP="005846DE">
      <w:pPr>
        <w:ind w:left="-709"/>
        <w:rPr>
          <w:rFonts w:ascii="Arial" w:hAnsi="Arial" w:cs="Arial"/>
          <w:bCs/>
          <w:color w:val="auto"/>
          <w:sz w:val="28"/>
          <w:szCs w:val="28"/>
        </w:rPr>
      </w:pPr>
      <w:r>
        <w:rPr>
          <w:rFonts w:ascii="Arial" w:hAnsi="Arial" w:cs="Arial"/>
          <w:bCs/>
          <w:color w:val="auto"/>
          <w:sz w:val="28"/>
          <w:szCs w:val="28"/>
        </w:rPr>
        <w:t>FINAL REPORT</w:t>
      </w:r>
      <w:r w:rsidR="005846DE">
        <w:rPr>
          <w:rFonts w:ascii="Arial" w:hAnsi="Arial" w:cs="Arial"/>
          <w:bCs/>
          <w:color w:val="auto"/>
          <w:sz w:val="28"/>
          <w:szCs w:val="28"/>
        </w:rPr>
        <w:t xml:space="preserve">:  </w:t>
      </w:r>
      <w:r>
        <w:rPr>
          <w:rFonts w:ascii="Arial" w:hAnsi="Arial" w:cs="Arial"/>
          <w:bCs/>
          <w:color w:val="auto"/>
          <w:sz w:val="28"/>
          <w:szCs w:val="28"/>
        </w:rPr>
        <w:t xml:space="preserve">FRDC </w:t>
      </w:r>
      <w:r w:rsidRPr="009A70A7">
        <w:rPr>
          <w:rFonts w:ascii="Arial" w:hAnsi="Arial" w:cs="Arial"/>
          <w:bCs/>
          <w:color w:val="auto"/>
          <w:sz w:val="28"/>
          <w:szCs w:val="28"/>
        </w:rPr>
        <w:t>2021-135</w:t>
      </w:r>
    </w:p>
    <w:p w14:paraId="766D35D5" w14:textId="77777777" w:rsidR="005846DE" w:rsidRDefault="005846DE" w:rsidP="009A70A7">
      <w:pPr>
        <w:ind w:left="-709"/>
        <w:rPr>
          <w:rFonts w:ascii="Arial" w:hAnsi="Arial" w:cs="Arial"/>
          <w:bCs/>
          <w:color w:val="auto"/>
          <w:sz w:val="28"/>
          <w:szCs w:val="28"/>
        </w:rPr>
      </w:pPr>
    </w:p>
    <w:p w14:paraId="46D63E46" w14:textId="0D1B9699" w:rsidR="00BD785A" w:rsidRPr="00BD785A" w:rsidRDefault="009A70A7" w:rsidP="009A70A7">
      <w:pPr>
        <w:ind w:left="-709"/>
        <w:rPr>
          <w:rFonts w:ascii="Arial" w:hAnsi="Arial" w:cs="Arial"/>
          <w:bCs/>
          <w:color w:val="auto"/>
          <w:sz w:val="28"/>
          <w:szCs w:val="28"/>
        </w:rPr>
      </w:pPr>
      <w:r w:rsidRPr="009A70A7">
        <w:rPr>
          <w:rFonts w:ascii="Arial" w:hAnsi="Arial" w:cs="Arial"/>
          <w:bCs/>
          <w:color w:val="auto"/>
          <w:sz w:val="28"/>
          <w:szCs w:val="28"/>
        </w:rPr>
        <w:t xml:space="preserve">Technical review to inform </w:t>
      </w:r>
      <w:r w:rsidR="00F60CBC">
        <w:rPr>
          <w:rFonts w:ascii="Arial" w:hAnsi="Arial" w:cs="Arial"/>
          <w:bCs/>
          <w:color w:val="auto"/>
          <w:sz w:val="28"/>
          <w:szCs w:val="28"/>
        </w:rPr>
        <w:t xml:space="preserve">revision </w:t>
      </w:r>
      <w:r w:rsidRPr="009A70A7">
        <w:rPr>
          <w:rFonts w:ascii="Arial" w:hAnsi="Arial" w:cs="Arial"/>
          <w:bCs/>
          <w:color w:val="auto"/>
          <w:sz w:val="28"/>
          <w:szCs w:val="28"/>
        </w:rPr>
        <w:t xml:space="preserve">of the </w:t>
      </w:r>
      <w:r w:rsidR="00774866">
        <w:rPr>
          <w:rFonts w:ascii="Arial" w:hAnsi="Arial" w:cs="Arial"/>
          <w:bCs/>
          <w:color w:val="auto"/>
          <w:sz w:val="28"/>
          <w:szCs w:val="28"/>
        </w:rPr>
        <w:t>“</w:t>
      </w:r>
      <w:r w:rsidRPr="009A70A7">
        <w:rPr>
          <w:rFonts w:ascii="Arial" w:hAnsi="Arial" w:cs="Arial"/>
          <w:bCs/>
          <w:color w:val="auto"/>
          <w:sz w:val="28"/>
          <w:szCs w:val="28"/>
        </w:rPr>
        <w:t>National Guidelines to</w:t>
      </w:r>
      <w:r>
        <w:rPr>
          <w:rFonts w:ascii="Arial" w:hAnsi="Arial" w:cs="Arial"/>
          <w:bCs/>
          <w:color w:val="auto"/>
          <w:sz w:val="28"/>
          <w:szCs w:val="28"/>
        </w:rPr>
        <w:t xml:space="preserve"> </w:t>
      </w:r>
      <w:r w:rsidRPr="009A70A7">
        <w:rPr>
          <w:rFonts w:ascii="Arial" w:hAnsi="Arial" w:cs="Arial"/>
          <w:bCs/>
          <w:color w:val="auto"/>
          <w:sz w:val="28"/>
          <w:szCs w:val="28"/>
        </w:rPr>
        <w:t>Develop Fisheries Harvest Strategies</w:t>
      </w:r>
      <w:r w:rsidR="00774866">
        <w:rPr>
          <w:rFonts w:ascii="Arial" w:hAnsi="Arial" w:cs="Arial"/>
          <w:bCs/>
          <w:color w:val="auto"/>
          <w:sz w:val="28"/>
          <w:szCs w:val="28"/>
        </w:rPr>
        <w:t>”</w:t>
      </w:r>
      <w:r w:rsidRPr="009A70A7">
        <w:rPr>
          <w:rFonts w:ascii="Arial" w:hAnsi="Arial" w:cs="Arial"/>
          <w:bCs/>
          <w:color w:val="auto"/>
          <w:sz w:val="28"/>
          <w:szCs w:val="28"/>
        </w:rPr>
        <w:t xml:space="preserve"> and </w:t>
      </w:r>
      <w:r w:rsidR="00774866">
        <w:rPr>
          <w:rFonts w:ascii="Arial" w:hAnsi="Arial" w:cs="Arial"/>
          <w:bCs/>
          <w:color w:val="auto"/>
          <w:sz w:val="28"/>
          <w:szCs w:val="28"/>
        </w:rPr>
        <w:t>“</w:t>
      </w:r>
      <w:r w:rsidRPr="009A70A7">
        <w:rPr>
          <w:rFonts w:ascii="Arial" w:hAnsi="Arial" w:cs="Arial"/>
          <w:bCs/>
          <w:color w:val="auto"/>
          <w:sz w:val="28"/>
          <w:szCs w:val="28"/>
        </w:rPr>
        <w:t>Commonwealth Fisheries Harvest Strategy Policy</w:t>
      </w:r>
      <w:r w:rsidR="00774866">
        <w:rPr>
          <w:rFonts w:ascii="Arial" w:hAnsi="Arial" w:cs="Arial"/>
          <w:bCs/>
          <w:color w:val="auto"/>
          <w:sz w:val="28"/>
          <w:szCs w:val="28"/>
        </w:rPr>
        <w:t>”</w:t>
      </w:r>
    </w:p>
    <w:p w14:paraId="119E5C69" w14:textId="77777777" w:rsidR="004A11C9" w:rsidRDefault="004A11C9" w:rsidP="004B5D6C">
      <w:pPr>
        <w:spacing w:after="60"/>
        <w:ind w:left="-709" w:right="4348"/>
        <w:rPr>
          <w:rFonts w:ascii="Arial" w:hAnsi="Arial" w:cs="Arial"/>
          <w:bCs/>
          <w:color w:val="auto"/>
          <w:szCs w:val="24"/>
        </w:rPr>
      </w:pPr>
    </w:p>
    <w:p w14:paraId="141207F3" w14:textId="77777777" w:rsidR="004A11C9" w:rsidRDefault="004A11C9" w:rsidP="004B5D6C">
      <w:pPr>
        <w:spacing w:after="60"/>
        <w:ind w:left="-709" w:right="4348"/>
        <w:rPr>
          <w:rFonts w:ascii="Arial" w:hAnsi="Arial" w:cs="Arial"/>
          <w:bCs/>
          <w:color w:val="auto"/>
          <w:szCs w:val="24"/>
        </w:rPr>
      </w:pPr>
    </w:p>
    <w:p w14:paraId="45E4227B" w14:textId="034BF566" w:rsidR="004B5D6C" w:rsidRPr="00BD785A" w:rsidRDefault="004A11C9" w:rsidP="004B5D6C">
      <w:pPr>
        <w:spacing w:after="60"/>
        <w:ind w:left="-709" w:right="4348"/>
        <w:rPr>
          <w:rFonts w:ascii="Arial" w:hAnsi="Arial" w:cs="Arial"/>
          <w:bCs/>
          <w:color w:val="auto"/>
          <w:szCs w:val="24"/>
        </w:rPr>
      </w:pPr>
      <w:r>
        <w:rPr>
          <w:rFonts w:ascii="Arial" w:hAnsi="Arial" w:cs="Arial"/>
          <w:bCs/>
          <w:color w:val="auto"/>
          <w:szCs w:val="24"/>
        </w:rPr>
        <w:t>T</w:t>
      </w:r>
      <w:r w:rsidR="009A5AD4" w:rsidRPr="00BD785A">
        <w:rPr>
          <w:rFonts w:ascii="Arial" w:hAnsi="Arial" w:cs="Arial"/>
          <w:bCs/>
          <w:color w:val="auto"/>
          <w:szCs w:val="24"/>
        </w:rPr>
        <w:t>ony Smith and Caleb Gardner</w:t>
      </w:r>
    </w:p>
    <w:p w14:paraId="5C0B91D0" w14:textId="77777777" w:rsidR="004B5D6C" w:rsidRPr="00BD785A" w:rsidRDefault="004B5D6C" w:rsidP="004B5D6C">
      <w:pPr>
        <w:spacing w:after="60"/>
        <w:ind w:left="-709"/>
        <w:rPr>
          <w:color w:val="auto"/>
          <w:szCs w:val="24"/>
        </w:rPr>
      </w:pPr>
    </w:p>
    <w:p w14:paraId="42E5BD31" w14:textId="77777777" w:rsidR="004B5D6C" w:rsidRPr="00BD785A" w:rsidRDefault="004B5D6C" w:rsidP="004B5D6C">
      <w:pPr>
        <w:spacing w:after="60"/>
        <w:ind w:left="-709"/>
        <w:rPr>
          <w:color w:val="auto"/>
          <w:szCs w:val="24"/>
        </w:rPr>
      </w:pPr>
    </w:p>
    <w:p w14:paraId="0297D879" w14:textId="77777777" w:rsidR="004B5D6C" w:rsidRPr="00BD785A" w:rsidRDefault="004B5D6C" w:rsidP="004B5D6C">
      <w:pPr>
        <w:spacing w:after="60"/>
        <w:ind w:left="-709"/>
        <w:rPr>
          <w:color w:val="auto"/>
          <w:szCs w:val="24"/>
        </w:rPr>
      </w:pPr>
    </w:p>
    <w:p w14:paraId="16583B01" w14:textId="2AEF6FDE" w:rsidR="004B5D6C" w:rsidRPr="00BD785A" w:rsidRDefault="009A5AD4" w:rsidP="004B5D6C">
      <w:pPr>
        <w:pStyle w:val="TitlePageAuthors"/>
        <w:ind w:left="-709"/>
        <w:jc w:val="left"/>
        <w:rPr>
          <w:bCs/>
          <w:color w:val="auto"/>
          <w:sz w:val="24"/>
          <w:szCs w:val="24"/>
        </w:rPr>
      </w:pPr>
      <w:r w:rsidRPr="00BD785A">
        <w:rPr>
          <w:bCs/>
          <w:color w:val="auto"/>
          <w:sz w:val="24"/>
          <w:szCs w:val="24"/>
        </w:rPr>
        <w:t>January 2024</w:t>
      </w:r>
    </w:p>
    <w:p w14:paraId="51DC4CD0" w14:textId="77777777" w:rsidR="004B5D6C" w:rsidRDefault="004B5D6C" w:rsidP="004B5D6C">
      <w:pPr>
        <w:pStyle w:val="TitlePageDate"/>
        <w:ind w:left="-426"/>
        <w:jc w:val="left"/>
        <w:rPr>
          <w:color w:val="auto"/>
        </w:rPr>
      </w:pPr>
    </w:p>
    <w:p w14:paraId="0B7BA1EE" w14:textId="77777777" w:rsidR="004B5D6C" w:rsidRPr="001A3453" w:rsidRDefault="004B5D6C" w:rsidP="004B5D6C">
      <w:pPr>
        <w:pStyle w:val="TitlePageDate"/>
        <w:ind w:left="-426"/>
        <w:jc w:val="left"/>
        <w:rPr>
          <w:color w:val="auto"/>
        </w:rPr>
      </w:pPr>
    </w:p>
    <w:p w14:paraId="20FFDD30" w14:textId="77777777" w:rsidR="004B5D6C" w:rsidRPr="001A3453" w:rsidRDefault="004B5D6C" w:rsidP="004B5D6C">
      <w:pPr>
        <w:pStyle w:val="TitlePageDate"/>
        <w:ind w:left="-426"/>
        <w:jc w:val="left"/>
        <w:rPr>
          <w:color w:val="auto"/>
        </w:rPr>
      </w:pPr>
    </w:p>
    <w:p w14:paraId="12D536FC" w14:textId="77777777" w:rsidR="004B5D6C" w:rsidRDefault="004B5D6C" w:rsidP="004B5D6C">
      <w:pPr>
        <w:ind w:left="-426"/>
      </w:pPr>
    </w:p>
    <w:p w14:paraId="18AB0C09" w14:textId="77777777" w:rsidR="004B5D6C" w:rsidRDefault="004B5D6C" w:rsidP="004B5D6C">
      <w:pPr>
        <w:spacing w:before="120" w:after="120"/>
        <w:rPr>
          <w:b/>
          <w:sz w:val="32"/>
        </w:rPr>
        <w:sectPr w:rsidR="004B5D6C">
          <w:headerReference w:type="default" r:id="rId9"/>
          <w:footerReference w:type="default" r:id="rId10"/>
          <w:pgSz w:w="11907" w:h="16840" w:code="9"/>
          <w:pgMar w:top="1440" w:right="1440" w:bottom="1440" w:left="1440" w:header="720" w:footer="720" w:gutter="567"/>
          <w:pgNumType w:fmt="lowerRoman" w:start="1"/>
          <w:cols w:space="720"/>
        </w:sectPr>
      </w:pPr>
    </w:p>
    <w:p w14:paraId="74F9685E" w14:textId="77777777" w:rsidR="004B5D6C" w:rsidRDefault="004B5D6C" w:rsidP="004B5D6C">
      <w:pPr>
        <w:spacing w:before="120" w:after="120"/>
      </w:pPr>
    </w:p>
    <w:p w14:paraId="1F25D9B5" w14:textId="77777777" w:rsidR="004B5D6C" w:rsidRDefault="004B5D6C" w:rsidP="004B5D6C">
      <w:pPr>
        <w:spacing w:before="120" w:after="120"/>
      </w:pPr>
    </w:p>
    <w:p w14:paraId="0A1DBC77" w14:textId="77777777" w:rsidR="004B5D6C" w:rsidRDefault="004B5D6C" w:rsidP="004B5D6C">
      <w:pPr>
        <w:spacing w:after="0" w:line="240" w:lineRule="atLeast"/>
        <w:rPr>
          <w:sz w:val="23"/>
          <w:szCs w:val="23"/>
        </w:rPr>
      </w:pPr>
      <w:r w:rsidRPr="00C22ECA">
        <w:rPr>
          <w:sz w:val="23"/>
          <w:szCs w:val="23"/>
        </w:rPr>
        <w:t xml:space="preserve">Institute for Marine and Antarctic Studies, University of Tasmania, </w:t>
      </w:r>
      <w:r>
        <w:rPr>
          <w:sz w:val="23"/>
          <w:szCs w:val="23"/>
        </w:rPr>
        <w:t>Private Bag</w:t>
      </w:r>
      <w:r w:rsidRPr="00C22ECA">
        <w:rPr>
          <w:sz w:val="23"/>
          <w:szCs w:val="23"/>
        </w:rPr>
        <w:t xml:space="preserve"> 49,  </w:t>
      </w:r>
    </w:p>
    <w:p w14:paraId="31D3CE30" w14:textId="77777777" w:rsidR="004B5D6C" w:rsidRPr="00C22ECA" w:rsidRDefault="004B5D6C" w:rsidP="004B5D6C">
      <w:pPr>
        <w:spacing w:line="240" w:lineRule="atLeast"/>
        <w:rPr>
          <w:sz w:val="23"/>
          <w:szCs w:val="23"/>
        </w:rPr>
      </w:pPr>
      <w:r w:rsidRPr="00C22ECA">
        <w:rPr>
          <w:sz w:val="23"/>
          <w:szCs w:val="23"/>
        </w:rPr>
        <w:t>Hobart TAS 7001</w:t>
      </w:r>
    </w:p>
    <w:p w14:paraId="7BBD897E" w14:textId="77777777" w:rsidR="004B5D6C" w:rsidRPr="00C22ECA" w:rsidRDefault="004B5D6C" w:rsidP="004B5D6C">
      <w:pPr>
        <w:tabs>
          <w:tab w:val="left" w:pos="709"/>
        </w:tabs>
        <w:autoSpaceDE w:val="0"/>
        <w:autoSpaceDN w:val="0"/>
        <w:adjustRightInd w:val="0"/>
        <w:spacing w:after="0" w:line="276" w:lineRule="auto"/>
        <w:rPr>
          <w:sz w:val="23"/>
          <w:szCs w:val="23"/>
        </w:rPr>
      </w:pPr>
      <w:r w:rsidRPr="00C22ECA">
        <w:rPr>
          <w:sz w:val="23"/>
          <w:szCs w:val="23"/>
        </w:rPr>
        <w:t xml:space="preserve">Enquires should be directed to: </w:t>
      </w:r>
    </w:p>
    <w:p w14:paraId="3150985E" w14:textId="2D752A26" w:rsidR="004B5D6C" w:rsidRDefault="00BD785A" w:rsidP="00FB2988">
      <w:pPr>
        <w:tabs>
          <w:tab w:val="left" w:pos="709"/>
        </w:tabs>
        <w:autoSpaceDE w:val="0"/>
        <w:autoSpaceDN w:val="0"/>
        <w:adjustRightInd w:val="0"/>
        <w:spacing w:after="0" w:line="276" w:lineRule="auto"/>
        <w:rPr>
          <w:sz w:val="23"/>
          <w:szCs w:val="23"/>
        </w:rPr>
      </w:pPr>
      <w:r>
        <w:rPr>
          <w:sz w:val="23"/>
          <w:szCs w:val="23"/>
        </w:rPr>
        <w:t xml:space="preserve">Prof. Caleb Gardner </w:t>
      </w:r>
    </w:p>
    <w:p w14:paraId="4C24DDD8" w14:textId="685968E0" w:rsidR="00563049" w:rsidRPr="00C22ECA" w:rsidRDefault="00563049" w:rsidP="00FB2988">
      <w:pPr>
        <w:tabs>
          <w:tab w:val="left" w:pos="709"/>
        </w:tabs>
        <w:autoSpaceDE w:val="0"/>
        <w:autoSpaceDN w:val="0"/>
        <w:adjustRightInd w:val="0"/>
        <w:spacing w:after="0" w:line="276" w:lineRule="auto"/>
        <w:rPr>
          <w:sz w:val="23"/>
          <w:szCs w:val="23"/>
        </w:rPr>
      </w:pPr>
      <w:r>
        <w:rPr>
          <w:sz w:val="23"/>
          <w:szCs w:val="23"/>
        </w:rPr>
        <w:t>Caleb.Gardner@utas.edu.au</w:t>
      </w:r>
    </w:p>
    <w:p w14:paraId="7BF20FB5" w14:textId="77777777" w:rsidR="004B5D6C" w:rsidRPr="00C22ECA" w:rsidRDefault="004B5D6C" w:rsidP="004B5D6C">
      <w:pPr>
        <w:tabs>
          <w:tab w:val="left" w:pos="709"/>
        </w:tabs>
        <w:autoSpaceDE w:val="0"/>
        <w:autoSpaceDN w:val="0"/>
        <w:adjustRightInd w:val="0"/>
        <w:spacing w:after="0" w:line="276" w:lineRule="auto"/>
        <w:rPr>
          <w:sz w:val="23"/>
          <w:szCs w:val="23"/>
        </w:rPr>
      </w:pPr>
      <w:r w:rsidRPr="00C22ECA">
        <w:rPr>
          <w:sz w:val="23"/>
          <w:szCs w:val="23"/>
        </w:rPr>
        <w:t xml:space="preserve">Institute for Marine and Antarctic Studies </w:t>
      </w:r>
    </w:p>
    <w:p w14:paraId="1051907D" w14:textId="77777777" w:rsidR="004B5D6C" w:rsidRPr="00C22ECA" w:rsidRDefault="004B5D6C" w:rsidP="004B5D6C">
      <w:pPr>
        <w:tabs>
          <w:tab w:val="left" w:pos="709"/>
        </w:tabs>
        <w:autoSpaceDE w:val="0"/>
        <w:autoSpaceDN w:val="0"/>
        <w:adjustRightInd w:val="0"/>
        <w:spacing w:after="0" w:line="276" w:lineRule="auto"/>
        <w:rPr>
          <w:sz w:val="23"/>
          <w:szCs w:val="23"/>
        </w:rPr>
      </w:pPr>
      <w:r w:rsidRPr="00C22ECA">
        <w:rPr>
          <w:sz w:val="23"/>
          <w:szCs w:val="23"/>
        </w:rPr>
        <w:t xml:space="preserve">University of Tasmania </w:t>
      </w:r>
    </w:p>
    <w:p w14:paraId="2420B718" w14:textId="77777777" w:rsidR="004B5D6C" w:rsidRPr="00C22ECA" w:rsidRDefault="004B5D6C" w:rsidP="004B5D6C">
      <w:pPr>
        <w:tabs>
          <w:tab w:val="left" w:pos="709"/>
        </w:tabs>
        <w:autoSpaceDE w:val="0"/>
        <w:autoSpaceDN w:val="0"/>
        <w:adjustRightInd w:val="0"/>
        <w:spacing w:after="0" w:line="276" w:lineRule="auto"/>
        <w:rPr>
          <w:sz w:val="23"/>
          <w:szCs w:val="23"/>
        </w:rPr>
      </w:pPr>
      <w:r w:rsidRPr="00C22ECA">
        <w:rPr>
          <w:sz w:val="23"/>
          <w:szCs w:val="23"/>
        </w:rPr>
        <w:t xml:space="preserve">Private Bag 49, Hobart, Tasmania 7001, Australia </w:t>
      </w:r>
    </w:p>
    <w:p w14:paraId="161CE997" w14:textId="77777777" w:rsidR="004B5D6C" w:rsidRPr="00C22ECA" w:rsidRDefault="00FB2988" w:rsidP="004B5D6C">
      <w:pPr>
        <w:tabs>
          <w:tab w:val="left" w:pos="709"/>
        </w:tabs>
        <w:autoSpaceDE w:val="0"/>
        <w:autoSpaceDN w:val="0"/>
        <w:adjustRightInd w:val="0"/>
        <w:spacing w:after="0" w:line="276" w:lineRule="auto"/>
        <w:rPr>
          <w:sz w:val="23"/>
          <w:szCs w:val="23"/>
        </w:rPr>
      </w:pPr>
      <w:r>
        <w:rPr>
          <w:sz w:val="23"/>
          <w:szCs w:val="23"/>
        </w:rPr>
        <w:t>Email address</w:t>
      </w:r>
    </w:p>
    <w:p w14:paraId="6E39FF79" w14:textId="77777777" w:rsidR="004B5D6C" w:rsidRPr="00C22ECA" w:rsidRDefault="00FB2988" w:rsidP="004B5D6C">
      <w:pPr>
        <w:tabs>
          <w:tab w:val="left" w:pos="709"/>
        </w:tabs>
        <w:autoSpaceDE w:val="0"/>
        <w:autoSpaceDN w:val="0"/>
        <w:adjustRightInd w:val="0"/>
        <w:spacing w:after="0" w:line="276" w:lineRule="auto"/>
        <w:rPr>
          <w:sz w:val="23"/>
          <w:szCs w:val="23"/>
        </w:rPr>
      </w:pPr>
      <w:r>
        <w:rPr>
          <w:sz w:val="23"/>
          <w:szCs w:val="23"/>
        </w:rPr>
        <w:t>Ph. (03) 6227 727</w:t>
      </w:r>
      <w:r w:rsidR="004B5D6C" w:rsidRPr="00C22ECA">
        <w:rPr>
          <w:sz w:val="23"/>
          <w:szCs w:val="23"/>
        </w:rPr>
        <w:br/>
        <w:t>Fax (03) 6227 8035</w:t>
      </w:r>
    </w:p>
    <w:p w14:paraId="420AB8F2" w14:textId="77777777" w:rsidR="004B5D6C" w:rsidRDefault="004B5D6C" w:rsidP="004B5D6C">
      <w:pPr>
        <w:tabs>
          <w:tab w:val="left" w:pos="709"/>
        </w:tabs>
        <w:spacing w:before="120" w:after="120"/>
        <w:rPr>
          <w:sz w:val="23"/>
          <w:szCs w:val="23"/>
        </w:rPr>
      </w:pPr>
    </w:p>
    <w:p w14:paraId="3065FCA6" w14:textId="77777777" w:rsidR="004B5D6C" w:rsidRDefault="004B5D6C" w:rsidP="004B5D6C">
      <w:pPr>
        <w:tabs>
          <w:tab w:val="left" w:pos="709"/>
        </w:tabs>
        <w:spacing w:before="120" w:after="120"/>
        <w:rPr>
          <w:sz w:val="23"/>
          <w:szCs w:val="23"/>
        </w:rPr>
      </w:pPr>
    </w:p>
    <w:p w14:paraId="539A32E3" w14:textId="77777777" w:rsidR="004B5D6C" w:rsidRDefault="004B5D6C" w:rsidP="004B5D6C">
      <w:pPr>
        <w:tabs>
          <w:tab w:val="left" w:pos="709"/>
        </w:tabs>
        <w:spacing w:before="120" w:after="120"/>
        <w:rPr>
          <w:sz w:val="23"/>
          <w:szCs w:val="23"/>
        </w:rPr>
      </w:pPr>
    </w:p>
    <w:p w14:paraId="385637A9" w14:textId="77777777" w:rsidR="00F60CBC" w:rsidRDefault="00F60CBC" w:rsidP="004B5D6C">
      <w:pPr>
        <w:tabs>
          <w:tab w:val="left" w:pos="709"/>
        </w:tabs>
        <w:spacing w:before="120" w:after="120"/>
        <w:rPr>
          <w:sz w:val="23"/>
          <w:szCs w:val="23"/>
        </w:rPr>
      </w:pPr>
    </w:p>
    <w:p w14:paraId="0EF3EBB4" w14:textId="77777777" w:rsidR="00F60CBC" w:rsidRDefault="00F60CBC" w:rsidP="004B5D6C">
      <w:pPr>
        <w:tabs>
          <w:tab w:val="left" w:pos="709"/>
        </w:tabs>
        <w:spacing w:before="120" w:after="120"/>
        <w:rPr>
          <w:sz w:val="23"/>
          <w:szCs w:val="23"/>
        </w:rPr>
      </w:pPr>
    </w:p>
    <w:p w14:paraId="045B673A" w14:textId="77777777" w:rsidR="00F60CBC" w:rsidRDefault="00F60CBC" w:rsidP="004B5D6C">
      <w:pPr>
        <w:tabs>
          <w:tab w:val="left" w:pos="709"/>
        </w:tabs>
        <w:spacing w:before="120" w:after="120"/>
        <w:rPr>
          <w:sz w:val="23"/>
          <w:szCs w:val="23"/>
        </w:rPr>
      </w:pPr>
    </w:p>
    <w:p w14:paraId="60290D09" w14:textId="77777777" w:rsidR="00F60CBC" w:rsidRDefault="00F60CBC" w:rsidP="004B5D6C">
      <w:pPr>
        <w:tabs>
          <w:tab w:val="left" w:pos="709"/>
        </w:tabs>
        <w:spacing w:before="120" w:after="120"/>
        <w:rPr>
          <w:sz w:val="23"/>
          <w:szCs w:val="23"/>
        </w:rPr>
      </w:pPr>
    </w:p>
    <w:p w14:paraId="6A072CFA" w14:textId="77777777" w:rsidR="00F60CBC" w:rsidRDefault="00F60CBC" w:rsidP="004B5D6C">
      <w:pPr>
        <w:tabs>
          <w:tab w:val="left" w:pos="709"/>
        </w:tabs>
        <w:spacing w:before="120" w:after="120"/>
        <w:rPr>
          <w:sz w:val="23"/>
          <w:szCs w:val="23"/>
        </w:rPr>
      </w:pPr>
    </w:p>
    <w:p w14:paraId="568CBCFC" w14:textId="77777777" w:rsidR="00F60CBC" w:rsidRDefault="00F60CBC" w:rsidP="004B5D6C">
      <w:pPr>
        <w:tabs>
          <w:tab w:val="left" w:pos="709"/>
        </w:tabs>
        <w:spacing w:before="120" w:after="120"/>
        <w:rPr>
          <w:sz w:val="23"/>
          <w:szCs w:val="23"/>
        </w:rPr>
      </w:pPr>
    </w:p>
    <w:p w14:paraId="1F322B7A" w14:textId="77777777" w:rsidR="00F60CBC" w:rsidRDefault="00F60CBC" w:rsidP="004B5D6C">
      <w:pPr>
        <w:tabs>
          <w:tab w:val="left" w:pos="709"/>
        </w:tabs>
        <w:spacing w:before="120" w:after="120"/>
        <w:rPr>
          <w:sz w:val="23"/>
          <w:szCs w:val="23"/>
        </w:rPr>
      </w:pPr>
    </w:p>
    <w:p w14:paraId="2BF3D43B" w14:textId="77777777" w:rsidR="00F60CBC" w:rsidRDefault="00F60CBC" w:rsidP="004B5D6C">
      <w:pPr>
        <w:tabs>
          <w:tab w:val="left" w:pos="709"/>
        </w:tabs>
        <w:spacing w:before="120" w:after="120"/>
        <w:rPr>
          <w:sz w:val="23"/>
          <w:szCs w:val="23"/>
        </w:rPr>
      </w:pPr>
    </w:p>
    <w:p w14:paraId="5A796404" w14:textId="77777777" w:rsidR="00F60CBC" w:rsidRDefault="00F60CBC" w:rsidP="004B5D6C">
      <w:pPr>
        <w:tabs>
          <w:tab w:val="left" w:pos="709"/>
        </w:tabs>
        <w:spacing w:before="120" w:after="120"/>
        <w:rPr>
          <w:sz w:val="23"/>
          <w:szCs w:val="23"/>
        </w:rPr>
      </w:pPr>
    </w:p>
    <w:p w14:paraId="103A7655" w14:textId="77777777" w:rsidR="00F60CBC" w:rsidRPr="00C22ECA" w:rsidRDefault="00F60CBC" w:rsidP="004B5D6C">
      <w:pPr>
        <w:tabs>
          <w:tab w:val="left" w:pos="709"/>
        </w:tabs>
        <w:spacing w:before="120" w:after="120"/>
        <w:rPr>
          <w:sz w:val="23"/>
          <w:szCs w:val="23"/>
        </w:rPr>
      </w:pPr>
    </w:p>
    <w:p w14:paraId="5D9F0C59" w14:textId="77777777" w:rsidR="004B5D6C" w:rsidRPr="00C22ECA" w:rsidRDefault="004B5D6C" w:rsidP="004B5D6C">
      <w:pPr>
        <w:pStyle w:val="yourname"/>
        <w:tabs>
          <w:tab w:val="left" w:pos="709"/>
        </w:tabs>
        <w:jc w:val="left"/>
        <w:rPr>
          <w:sz w:val="23"/>
          <w:szCs w:val="23"/>
        </w:rPr>
      </w:pPr>
      <w:r w:rsidRPr="00C22ECA">
        <w:rPr>
          <w:sz w:val="23"/>
          <w:szCs w:val="23"/>
        </w:rPr>
        <w:t>The authors do not warrant that the information in this document is free from errors or omissions. The authors do not accept any form of liability, be it contractual, tortious, or otherwise, for the contents of this document or for any consequences arising from its use or any reliance placed upon it. The information, opinions and advice contained in this document may not relate, or be relevant, to a reader’s particular circumstance. Opinions expressed by the authors are the individual opinions expressed by those persons and are not necessarily those of the Institute for Marine and Antarctic Studies (IMAS) or the University of Tasmania (</w:t>
      </w:r>
      <w:proofErr w:type="spellStart"/>
      <w:r w:rsidRPr="00C22ECA">
        <w:rPr>
          <w:sz w:val="23"/>
          <w:szCs w:val="23"/>
        </w:rPr>
        <w:t>UTas</w:t>
      </w:r>
      <w:proofErr w:type="spellEnd"/>
      <w:r w:rsidRPr="00C22ECA">
        <w:rPr>
          <w:sz w:val="23"/>
          <w:szCs w:val="23"/>
        </w:rPr>
        <w:t>).</w:t>
      </w:r>
    </w:p>
    <w:p w14:paraId="1B284013" w14:textId="44483110" w:rsidR="004B5D6C" w:rsidRPr="00C22ECA" w:rsidRDefault="004B5D6C" w:rsidP="004B5D6C">
      <w:pPr>
        <w:pStyle w:val="BodyText"/>
        <w:tabs>
          <w:tab w:val="left" w:pos="709"/>
        </w:tabs>
        <w:rPr>
          <w:i/>
        </w:rPr>
      </w:pPr>
      <w:r w:rsidRPr="00C22ECA">
        <w:rPr>
          <w:i/>
        </w:rPr>
        <w:sym w:font="Symbol" w:char="F0D3"/>
      </w:r>
      <w:r w:rsidRPr="00C22ECA">
        <w:rPr>
          <w:i/>
        </w:rPr>
        <w:t xml:space="preserve"> The Institute for Marine and Antarctic Studies, University of Tasmania 2</w:t>
      </w:r>
      <w:r w:rsidR="001D4C99">
        <w:rPr>
          <w:i/>
        </w:rPr>
        <w:t>0</w:t>
      </w:r>
      <w:r w:rsidR="00C417F8">
        <w:rPr>
          <w:i/>
        </w:rPr>
        <w:t>24</w:t>
      </w:r>
      <w:r w:rsidRPr="00C22ECA">
        <w:rPr>
          <w:i/>
        </w:rPr>
        <w:t xml:space="preserve">.  </w:t>
      </w:r>
    </w:p>
    <w:p w14:paraId="722EE64D" w14:textId="77777777" w:rsidR="004B5D6C" w:rsidRPr="00C22ECA" w:rsidRDefault="004B5D6C" w:rsidP="004B5D6C">
      <w:pPr>
        <w:pStyle w:val="BodyText"/>
        <w:tabs>
          <w:tab w:val="left" w:pos="709"/>
        </w:tabs>
        <w:rPr>
          <w:i/>
        </w:rPr>
      </w:pPr>
    </w:p>
    <w:p w14:paraId="0C460A2B" w14:textId="77777777" w:rsidR="004B5D6C" w:rsidRPr="00DE01E6" w:rsidRDefault="004B5D6C" w:rsidP="004B5D6C">
      <w:pPr>
        <w:spacing w:line="240" w:lineRule="atLeast"/>
        <w:rPr>
          <w:sz w:val="23"/>
          <w:szCs w:val="23"/>
        </w:rPr>
      </w:pPr>
      <w:r w:rsidRPr="00C22ECA">
        <w:rPr>
          <w:sz w:val="23"/>
          <w:szCs w:val="23"/>
        </w:rPr>
        <w:t xml:space="preserve">Copyright protects this publication.  Except for purposes permitted by the Copyright Act, reproduction by whatever means is prohibited without the prior written permission of the Institute for Marine and Antarctic Studies. </w:t>
      </w:r>
    </w:p>
    <w:p w14:paraId="2FE02860" w14:textId="77777777" w:rsidR="00C417F8" w:rsidRDefault="00C417F8" w:rsidP="00C417F8">
      <w:pPr>
        <w:pStyle w:val="reporttitle1"/>
        <w:jc w:val="left"/>
        <w:sectPr w:rsidR="00C417F8" w:rsidSect="00C417F8">
          <w:headerReference w:type="default" r:id="rId11"/>
          <w:footerReference w:type="default" r:id="rId12"/>
          <w:pgSz w:w="11907" w:h="16840" w:code="9"/>
          <w:pgMar w:top="1440" w:right="1440" w:bottom="1440" w:left="1440" w:header="720" w:footer="720" w:gutter="567"/>
          <w:pgNumType w:fmt="lowerRoman" w:start="1"/>
          <w:cols w:space="720"/>
        </w:sectPr>
      </w:pPr>
    </w:p>
    <w:p w14:paraId="4579B940" w14:textId="77777777" w:rsidR="00C417F8" w:rsidRDefault="00C417F8" w:rsidP="00C417F8">
      <w:pPr>
        <w:pStyle w:val="Heading1"/>
      </w:pPr>
    </w:p>
    <w:p w14:paraId="3506FC12" w14:textId="77777777" w:rsidR="00AA2DC9" w:rsidRDefault="00AA2DC9" w:rsidP="00AA2DC9">
      <w:pPr>
        <w:pStyle w:val="Heading1"/>
      </w:pPr>
      <w:bookmarkStart w:id="0" w:name="_Toc157595669"/>
      <w:r>
        <w:t>Executive Summary</w:t>
      </w:r>
      <w:bookmarkEnd w:id="0"/>
    </w:p>
    <w:p w14:paraId="6800FF5A" w14:textId="7D3DA3C5" w:rsidR="00AA2DC9" w:rsidRPr="00CF6CF4" w:rsidRDefault="00AA2DC9" w:rsidP="00AA2DC9">
      <w:pPr>
        <w:rPr>
          <w:rFonts w:asciiTheme="minorHAnsi" w:hAnsiTheme="minorHAnsi" w:cstheme="minorHAnsi"/>
          <w:sz w:val="22"/>
          <w:szCs w:val="22"/>
        </w:rPr>
      </w:pPr>
      <w:r w:rsidRPr="00CF6CF4">
        <w:rPr>
          <w:rFonts w:asciiTheme="minorHAnsi" w:hAnsiTheme="minorHAnsi" w:cstheme="minorHAnsi"/>
          <w:sz w:val="22"/>
          <w:szCs w:val="22"/>
        </w:rPr>
        <w:t xml:space="preserve">This technical review considers recent research and experience (national and international) in the design and implementation of harvest strategies and offers recommendations for revisions to the current (2018) Commonwealth Harvest Strategy Policy and Guidelines. The review </w:t>
      </w:r>
      <w:r w:rsidR="00A62B7E">
        <w:rPr>
          <w:rFonts w:asciiTheme="minorHAnsi" w:hAnsiTheme="minorHAnsi" w:cstheme="minorHAnsi"/>
          <w:sz w:val="22"/>
          <w:szCs w:val="22"/>
        </w:rPr>
        <w:t>examines</w:t>
      </w:r>
      <w:r w:rsidRPr="00CF6CF4">
        <w:rPr>
          <w:rFonts w:asciiTheme="minorHAnsi" w:hAnsiTheme="minorHAnsi" w:cstheme="minorHAnsi"/>
          <w:sz w:val="22"/>
          <w:szCs w:val="22"/>
        </w:rPr>
        <w:t xml:space="preserve"> major challenges to harvest strategies – shifting baselines, economic targets, increasing spatial restrictions on fishing, and the complexities and costs of managing multispecies fisheries.</w:t>
      </w:r>
    </w:p>
    <w:p w14:paraId="0950FE1C" w14:textId="77777777" w:rsidR="00AA2DC9" w:rsidRPr="00CF6CF4" w:rsidRDefault="00AA2DC9" w:rsidP="00AA2DC9">
      <w:pPr>
        <w:rPr>
          <w:rFonts w:asciiTheme="minorHAnsi" w:hAnsiTheme="minorHAnsi" w:cstheme="minorHAnsi"/>
          <w:sz w:val="22"/>
          <w:szCs w:val="22"/>
        </w:rPr>
      </w:pPr>
      <w:r w:rsidRPr="00CF6CF4">
        <w:rPr>
          <w:rFonts w:asciiTheme="minorHAnsi" w:hAnsiTheme="minorHAnsi" w:cstheme="minorHAnsi"/>
          <w:sz w:val="22"/>
          <w:szCs w:val="22"/>
        </w:rPr>
        <w:t>Detailed recommendations may be found in the body of the report, but key points for Policy consideration include:</w:t>
      </w:r>
    </w:p>
    <w:p w14:paraId="0331268E" w14:textId="77777777" w:rsidR="00AA2DC9" w:rsidRPr="00CF6CF4" w:rsidRDefault="00AA2DC9" w:rsidP="00AA2DC9">
      <w:pPr>
        <w:pStyle w:val="ListParagraph"/>
        <w:numPr>
          <w:ilvl w:val="0"/>
          <w:numId w:val="21"/>
        </w:numPr>
        <w:rPr>
          <w:rFonts w:cstheme="minorHAnsi"/>
        </w:rPr>
      </w:pPr>
      <w:r w:rsidRPr="00CF6CF4">
        <w:rPr>
          <w:rFonts w:cstheme="minorHAnsi"/>
        </w:rPr>
        <w:t>Whether it is time to shift away from an economic target focused on commercial fishing operators, to consider a more stable “default” biomass target, suggested to be around 50% of unfished biomass. This simplifies target setting and recognises that management of Commonwealth fisheries embraces a range of objectives and interacts increasingly with other users of the marine environment, including the need to harmonise harvest strategies for resources shared with fisheries managed by the States and Territory.</w:t>
      </w:r>
    </w:p>
    <w:p w14:paraId="0FA0D9C6" w14:textId="77777777" w:rsidR="00AA2DC9" w:rsidRPr="00CF6CF4" w:rsidRDefault="00AA2DC9" w:rsidP="00AA2DC9">
      <w:pPr>
        <w:pStyle w:val="ListParagraph"/>
        <w:numPr>
          <w:ilvl w:val="0"/>
          <w:numId w:val="21"/>
        </w:numPr>
        <w:rPr>
          <w:rFonts w:cstheme="minorHAnsi"/>
        </w:rPr>
      </w:pPr>
      <w:r w:rsidRPr="00CF6CF4">
        <w:rPr>
          <w:rFonts w:cstheme="minorHAnsi"/>
        </w:rPr>
        <w:t>Increasing evidence of shifting baselines for marine populations including many fished species calls into question a fundamental premise of harvest strategy policy (the concept of a value for unfished biomass) and requires a considered policy response, including the prospect of altering biomass targets and limits in harvest control rules, in some circumstances at least. This also has implications for stock status classification and the issue of non-recovering stocks.</w:t>
      </w:r>
    </w:p>
    <w:p w14:paraId="28CF3FA6" w14:textId="77777777" w:rsidR="00AA2DC9" w:rsidRPr="00CF6CF4" w:rsidRDefault="00AA2DC9" w:rsidP="00AA2DC9">
      <w:pPr>
        <w:pStyle w:val="ListParagraph"/>
        <w:numPr>
          <w:ilvl w:val="0"/>
          <w:numId w:val="21"/>
        </w:numPr>
        <w:rPr>
          <w:rFonts w:cstheme="minorHAnsi"/>
        </w:rPr>
      </w:pPr>
      <w:r w:rsidRPr="00CF6CF4">
        <w:rPr>
          <w:rFonts w:cstheme="minorHAnsi"/>
        </w:rPr>
        <w:t xml:space="preserve">Various problems leading to deterioration in the quality and quantity of data available for status determination, including shifting baselines, changes in spatial access, and cost pressures, lead to the need for a reconsideration of the evidence required for assessing stock status. Where robust methods such as management strategy evaluation show that </w:t>
      </w:r>
      <w:proofErr w:type="gramStart"/>
      <w:r w:rsidRPr="00CF6CF4">
        <w:rPr>
          <w:rFonts w:cstheme="minorHAnsi"/>
        </w:rPr>
        <w:t>particular stocks</w:t>
      </w:r>
      <w:proofErr w:type="gramEnd"/>
      <w:r w:rsidRPr="00CF6CF4">
        <w:rPr>
          <w:rFonts w:cstheme="minorHAnsi"/>
        </w:rPr>
        <w:t xml:space="preserve"> should be maintained well above limit reference levels under application of a given harvest strategy, should that be sufficient to classify the status of such stocks as “sustainable”, at least for some period of time?</w:t>
      </w:r>
    </w:p>
    <w:p w14:paraId="31C98F0F" w14:textId="77777777" w:rsidR="00AA2DC9" w:rsidRPr="00CF6CF4" w:rsidRDefault="00AA2DC9" w:rsidP="00AA2DC9">
      <w:pPr>
        <w:rPr>
          <w:rFonts w:asciiTheme="minorHAnsi" w:hAnsiTheme="minorHAnsi" w:cstheme="minorHAnsi"/>
          <w:sz w:val="22"/>
          <w:szCs w:val="22"/>
        </w:rPr>
      </w:pPr>
      <w:r w:rsidRPr="00CF6CF4">
        <w:rPr>
          <w:rFonts w:asciiTheme="minorHAnsi" w:hAnsiTheme="minorHAnsi" w:cstheme="minorHAnsi"/>
          <w:sz w:val="22"/>
          <w:szCs w:val="22"/>
        </w:rPr>
        <w:t>Key points for consideration of changes to Guidelines include:</w:t>
      </w:r>
    </w:p>
    <w:p w14:paraId="1C81FE6E" w14:textId="77777777" w:rsidR="00AA2DC9" w:rsidRPr="00CF6CF4" w:rsidRDefault="00AA2DC9" w:rsidP="00AA2DC9">
      <w:pPr>
        <w:pStyle w:val="ListParagraph"/>
        <w:numPr>
          <w:ilvl w:val="0"/>
          <w:numId w:val="22"/>
        </w:numPr>
        <w:rPr>
          <w:rFonts w:cstheme="minorHAnsi"/>
        </w:rPr>
      </w:pPr>
      <w:r w:rsidRPr="00CF6CF4">
        <w:rPr>
          <w:rFonts w:cstheme="minorHAnsi"/>
        </w:rPr>
        <w:t>The need for standards of evidence to determine changes to reference points under changing environmental conditions, with an interim approach requiring assessments to report status both with and without environmental factors considered.</w:t>
      </w:r>
    </w:p>
    <w:p w14:paraId="420A7C7B" w14:textId="77777777" w:rsidR="00AA2DC9" w:rsidRPr="00CF6CF4" w:rsidRDefault="00AA2DC9" w:rsidP="00AA2DC9">
      <w:pPr>
        <w:pStyle w:val="ListParagraph"/>
        <w:numPr>
          <w:ilvl w:val="0"/>
          <w:numId w:val="22"/>
        </w:numPr>
        <w:rPr>
          <w:rFonts w:cstheme="minorHAnsi"/>
        </w:rPr>
      </w:pPr>
      <w:r w:rsidRPr="00CF6CF4">
        <w:rPr>
          <w:rFonts w:cstheme="minorHAnsi"/>
        </w:rPr>
        <w:t xml:space="preserve">The need for ongoing monitoring and reporting of economic performance, even if economic targets are no longer the sole consideration. </w:t>
      </w:r>
    </w:p>
    <w:p w14:paraId="27564F34" w14:textId="77777777" w:rsidR="00AA2DC9" w:rsidRPr="00CF6CF4" w:rsidRDefault="00AA2DC9" w:rsidP="00AA2DC9">
      <w:pPr>
        <w:pStyle w:val="ListParagraph"/>
        <w:numPr>
          <w:ilvl w:val="0"/>
          <w:numId w:val="22"/>
        </w:numPr>
        <w:rPr>
          <w:rFonts w:cstheme="minorHAnsi"/>
        </w:rPr>
      </w:pPr>
      <w:r w:rsidRPr="00CF6CF4">
        <w:rPr>
          <w:rFonts w:cstheme="minorHAnsi"/>
        </w:rPr>
        <w:t>Specification of the data requirements and analytical tools available to assess the impact of changing spatial access to fishing grounds.</w:t>
      </w:r>
    </w:p>
    <w:p w14:paraId="35295389" w14:textId="77777777" w:rsidR="00AA2DC9" w:rsidRPr="00CF6CF4" w:rsidRDefault="00AA2DC9" w:rsidP="00AA2DC9">
      <w:pPr>
        <w:pStyle w:val="ListParagraph"/>
        <w:numPr>
          <w:ilvl w:val="0"/>
          <w:numId w:val="22"/>
        </w:numPr>
        <w:rPr>
          <w:rFonts w:cstheme="minorHAnsi"/>
        </w:rPr>
      </w:pPr>
      <w:r w:rsidRPr="00CF6CF4">
        <w:rPr>
          <w:rFonts w:cstheme="minorHAnsi"/>
        </w:rPr>
        <w:t>Additional guidance on approaches to multispecies harvest strategies.</w:t>
      </w:r>
    </w:p>
    <w:p w14:paraId="0D7679DA" w14:textId="77777777" w:rsidR="00AA2DC9" w:rsidRPr="00CF6CF4" w:rsidRDefault="00AA2DC9" w:rsidP="00AA2DC9">
      <w:pPr>
        <w:pStyle w:val="ListParagraph"/>
        <w:numPr>
          <w:ilvl w:val="0"/>
          <w:numId w:val="22"/>
        </w:numPr>
        <w:rPr>
          <w:rFonts w:cstheme="minorHAnsi"/>
        </w:rPr>
      </w:pPr>
      <w:r w:rsidRPr="00CF6CF4">
        <w:rPr>
          <w:rFonts w:cstheme="minorHAnsi"/>
        </w:rPr>
        <w:t>The Guidelines need to achieve the right balance between clarification of policy, general guidance, and more specific information regarding tools and methods.</w:t>
      </w:r>
    </w:p>
    <w:p w14:paraId="152D53D3" w14:textId="77777777" w:rsidR="00AA2DC9" w:rsidRPr="00CF6CF4" w:rsidRDefault="00AA2DC9" w:rsidP="00AA2DC9">
      <w:pPr>
        <w:pStyle w:val="ListParagraph"/>
        <w:numPr>
          <w:ilvl w:val="0"/>
          <w:numId w:val="22"/>
        </w:numPr>
        <w:rPr>
          <w:rFonts w:cstheme="minorHAnsi"/>
        </w:rPr>
      </w:pPr>
      <w:r w:rsidRPr="00CF6CF4">
        <w:rPr>
          <w:rFonts w:cstheme="minorHAnsi"/>
        </w:rPr>
        <w:t xml:space="preserve">The Guidelines must confirm to the objectives of relevant fisheries legislation, especially the Fisheries Management Act 1991. </w:t>
      </w:r>
    </w:p>
    <w:p w14:paraId="06F57EE7" w14:textId="77777777" w:rsidR="00AA2DC9" w:rsidRPr="00CF6CF4" w:rsidRDefault="00AA2DC9" w:rsidP="00AA2DC9">
      <w:pPr>
        <w:rPr>
          <w:rFonts w:asciiTheme="minorHAnsi" w:hAnsiTheme="minorHAnsi" w:cstheme="minorHAnsi"/>
          <w:sz w:val="22"/>
          <w:szCs w:val="22"/>
        </w:rPr>
      </w:pPr>
      <w:r w:rsidRPr="00CF6CF4">
        <w:rPr>
          <w:rFonts w:asciiTheme="minorHAnsi" w:hAnsiTheme="minorHAnsi" w:cstheme="minorHAnsi"/>
          <w:sz w:val="22"/>
          <w:szCs w:val="22"/>
        </w:rPr>
        <w:lastRenderedPageBreak/>
        <w:t>Additional policy considerations, outside the strict remit of Harvest Strategy Policy, but affecting its successful implementation, include:</w:t>
      </w:r>
    </w:p>
    <w:p w14:paraId="13120EB5" w14:textId="77777777" w:rsidR="00AA2DC9" w:rsidRPr="00CF6CF4" w:rsidRDefault="00AA2DC9" w:rsidP="00AA2DC9">
      <w:pPr>
        <w:pStyle w:val="ListParagraph"/>
        <w:numPr>
          <w:ilvl w:val="0"/>
          <w:numId w:val="23"/>
        </w:numPr>
        <w:rPr>
          <w:rFonts w:cstheme="minorHAnsi"/>
        </w:rPr>
      </w:pPr>
      <w:r w:rsidRPr="00CF6CF4">
        <w:rPr>
          <w:rFonts w:cstheme="minorHAnsi"/>
        </w:rPr>
        <w:t>The need to harmonise any changes to status reporting arising from consideration of climate and other environmental (non-fishing) effects with standards and definitions in the EPBC Act, including definitions of conservation status and application to species recovery strategies.</w:t>
      </w:r>
    </w:p>
    <w:p w14:paraId="36CADE5E" w14:textId="77777777" w:rsidR="00AA2DC9" w:rsidRPr="00CF6CF4" w:rsidRDefault="00AA2DC9" w:rsidP="00AA2DC9">
      <w:pPr>
        <w:pStyle w:val="ListParagraph"/>
        <w:numPr>
          <w:ilvl w:val="0"/>
          <w:numId w:val="23"/>
        </w:numPr>
        <w:rPr>
          <w:rFonts w:cstheme="minorHAnsi"/>
        </w:rPr>
      </w:pPr>
      <w:r w:rsidRPr="00CF6CF4">
        <w:rPr>
          <w:rFonts w:cstheme="minorHAnsi"/>
        </w:rPr>
        <w:t>The benefits of a more consistent national approach to harvest strategy policy and guidance, including the issue of consistent biomass targets.</w:t>
      </w:r>
    </w:p>
    <w:p w14:paraId="1FC180DC" w14:textId="77777777" w:rsidR="00AA2DC9" w:rsidRPr="00CF6CF4" w:rsidRDefault="00AA2DC9" w:rsidP="00AA2DC9">
      <w:pPr>
        <w:pStyle w:val="ListParagraph"/>
        <w:numPr>
          <w:ilvl w:val="0"/>
          <w:numId w:val="23"/>
        </w:numPr>
        <w:rPr>
          <w:rFonts w:cstheme="minorHAnsi"/>
        </w:rPr>
      </w:pPr>
      <w:r w:rsidRPr="00CF6CF4">
        <w:rPr>
          <w:rFonts w:cstheme="minorHAnsi"/>
        </w:rPr>
        <w:t xml:space="preserve">The need for collective responsibility across sectors and users of the marine environment to support and enable ongoing monitoring, including a whole of government approach to cost sharing. </w:t>
      </w:r>
    </w:p>
    <w:p w14:paraId="6D6DCEC9" w14:textId="60EA07D9" w:rsidR="00AA2DC9" w:rsidRDefault="00AA2DC9">
      <w:pPr>
        <w:keepLines w:val="0"/>
        <w:spacing w:after="160" w:line="259" w:lineRule="auto"/>
      </w:pPr>
      <w:r>
        <w:br w:type="page"/>
      </w:r>
    </w:p>
    <w:sdt>
      <w:sdtPr>
        <w:rPr>
          <w:rFonts w:asciiTheme="minorHAnsi" w:eastAsia="Times New Roman" w:hAnsiTheme="minorHAnsi" w:cstheme="minorHAnsi"/>
          <w:color w:val="000000"/>
          <w:sz w:val="22"/>
          <w:szCs w:val="22"/>
          <w:lang w:val="en-AU"/>
        </w:rPr>
        <w:id w:val="-1066253557"/>
        <w:docPartObj>
          <w:docPartGallery w:val="Table of Contents"/>
          <w:docPartUnique/>
        </w:docPartObj>
      </w:sdtPr>
      <w:sdtEndPr>
        <w:rPr>
          <w:b/>
          <w:bCs/>
          <w:noProof/>
        </w:rPr>
      </w:sdtEndPr>
      <w:sdtContent>
        <w:p w14:paraId="523EE210" w14:textId="0116BC12" w:rsidR="00AA2DC9" w:rsidRPr="00D85252" w:rsidRDefault="00AA2DC9">
          <w:pPr>
            <w:pStyle w:val="TOCHeading"/>
            <w:rPr>
              <w:rFonts w:asciiTheme="minorHAnsi" w:hAnsiTheme="minorHAnsi" w:cstheme="minorHAnsi"/>
              <w:sz w:val="22"/>
              <w:szCs w:val="22"/>
            </w:rPr>
          </w:pPr>
          <w:r w:rsidRPr="00D85252">
            <w:rPr>
              <w:rFonts w:asciiTheme="minorHAnsi" w:hAnsiTheme="minorHAnsi" w:cstheme="minorHAnsi"/>
              <w:sz w:val="22"/>
              <w:szCs w:val="22"/>
            </w:rPr>
            <w:t>Contents</w:t>
          </w:r>
        </w:p>
        <w:p w14:paraId="46B7E5EE" w14:textId="3B8ED9C1" w:rsidR="00A46D3A" w:rsidRPr="00D85252" w:rsidRDefault="00AA2DC9">
          <w:pPr>
            <w:pStyle w:val="TOC1"/>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r w:rsidRPr="00D85252">
            <w:rPr>
              <w:rFonts w:asciiTheme="minorHAnsi" w:hAnsiTheme="minorHAnsi" w:cstheme="minorHAnsi"/>
              <w:sz w:val="22"/>
              <w:szCs w:val="22"/>
            </w:rPr>
            <w:fldChar w:fldCharType="begin"/>
          </w:r>
          <w:r w:rsidRPr="00D85252">
            <w:rPr>
              <w:rFonts w:asciiTheme="minorHAnsi" w:hAnsiTheme="minorHAnsi" w:cstheme="minorHAnsi"/>
              <w:sz w:val="22"/>
              <w:szCs w:val="22"/>
            </w:rPr>
            <w:instrText xml:space="preserve"> TOC \o "1-3" \h \z \u </w:instrText>
          </w:r>
          <w:r w:rsidRPr="00D85252">
            <w:rPr>
              <w:rFonts w:asciiTheme="minorHAnsi" w:hAnsiTheme="minorHAnsi" w:cstheme="minorHAnsi"/>
              <w:sz w:val="22"/>
              <w:szCs w:val="22"/>
            </w:rPr>
            <w:fldChar w:fldCharType="separate"/>
          </w:r>
          <w:hyperlink w:anchor="_Toc157595669" w:history="1">
            <w:r w:rsidR="00A46D3A" w:rsidRPr="00D85252">
              <w:rPr>
                <w:rStyle w:val="Hyperlink"/>
                <w:rFonts w:asciiTheme="minorHAnsi" w:hAnsiTheme="minorHAnsi" w:cstheme="minorHAnsi"/>
                <w:noProof/>
                <w:sz w:val="22"/>
                <w:szCs w:val="22"/>
              </w:rPr>
              <w:t>Executive Summary</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_Toc157595669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2</w:t>
            </w:r>
            <w:r w:rsidR="00A46D3A" w:rsidRPr="00D85252">
              <w:rPr>
                <w:rFonts w:asciiTheme="minorHAnsi" w:hAnsiTheme="minorHAnsi" w:cstheme="minorHAnsi"/>
                <w:noProof/>
                <w:webHidden/>
                <w:sz w:val="22"/>
                <w:szCs w:val="22"/>
              </w:rPr>
              <w:fldChar w:fldCharType="end"/>
            </w:r>
          </w:hyperlink>
        </w:p>
        <w:p w14:paraId="17FCB095" w14:textId="4CA03852" w:rsidR="00A46D3A" w:rsidRPr="00D85252" w:rsidRDefault="00F117F3">
          <w:pPr>
            <w:pStyle w:val="TOC1"/>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70" w:history="1">
            <w:r w:rsidR="00A46D3A" w:rsidRPr="00D85252">
              <w:rPr>
                <w:rStyle w:val="Hyperlink"/>
                <w:rFonts w:asciiTheme="minorHAnsi" w:hAnsiTheme="minorHAnsi" w:cstheme="minorHAnsi"/>
                <w:noProof/>
                <w:sz w:val="22"/>
                <w:szCs w:val="22"/>
              </w:rPr>
              <w:t>Background</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_Toc157595670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5</w:t>
            </w:r>
            <w:r w:rsidR="00A46D3A" w:rsidRPr="00D85252">
              <w:rPr>
                <w:rFonts w:asciiTheme="minorHAnsi" w:hAnsiTheme="minorHAnsi" w:cstheme="minorHAnsi"/>
                <w:noProof/>
                <w:webHidden/>
                <w:sz w:val="22"/>
                <w:szCs w:val="22"/>
              </w:rPr>
              <w:fldChar w:fldCharType="end"/>
            </w:r>
          </w:hyperlink>
        </w:p>
        <w:p w14:paraId="540F04CB" w14:textId="6B740BF3" w:rsidR="00A46D3A" w:rsidRPr="00D85252" w:rsidRDefault="00F117F3">
          <w:pPr>
            <w:pStyle w:val="TOC1"/>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71" w:history="1">
            <w:r w:rsidR="00A46D3A" w:rsidRPr="00D85252">
              <w:rPr>
                <w:rStyle w:val="Hyperlink"/>
                <w:rFonts w:asciiTheme="minorHAnsi" w:hAnsiTheme="minorHAnsi" w:cstheme="minorHAnsi"/>
                <w:noProof/>
                <w:sz w:val="22"/>
                <w:szCs w:val="22"/>
              </w:rPr>
              <w:t>Key Issues</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_Toc157595671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6</w:t>
            </w:r>
            <w:r w:rsidR="00A46D3A" w:rsidRPr="00D85252">
              <w:rPr>
                <w:rFonts w:asciiTheme="minorHAnsi" w:hAnsiTheme="minorHAnsi" w:cstheme="minorHAnsi"/>
                <w:noProof/>
                <w:webHidden/>
                <w:sz w:val="22"/>
                <w:szCs w:val="22"/>
              </w:rPr>
              <w:fldChar w:fldCharType="end"/>
            </w:r>
          </w:hyperlink>
        </w:p>
        <w:p w14:paraId="5F37B038" w14:textId="0D6CCF14" w:rsidR="00A46D3A" w:rsidRPr="00D85252" w:rsidRDefault="00F117F3">
          <w:pPr>
            <w:pStyle w:val="TOC2"/>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72" w:history="1">
            <w:r w:rsidR="00A46D3A" w:rsidRPr="00D85252">
              <w:rPr>
                <w:rStyle w:val="Hyperlink"/>
                <w:rFonts w:asciiTheme="minorHAnsi" w:hAnsiTheme="minorHAnsi" w:cstheme="minorHAnsi"/>
                <w:noProof/>
                <w:sz w:val="22"/>
                <w:szCs w:val="22"/>
              </w:rPr>
              <w:t>Shifting baselines</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_Toc157595672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6</w:t>
            </w:r>
            <w:r w:rsidR="00A46D3A" w:rsidRPr="00D85252">
              <w:rPr>
                <w:rFonts w:asciiTheme="minorHAnsi" w:hAnsiTheme="minorHAnsi" w:cstheme="minorHAnsi"/>
                <w:noProof/>
                <w:webHidden/>
                <w:sz w:val="22"/>
                <w:szCs w:val="22"/>
              </w:rPr>
              <w:fldChar w:fldCharType="end"/>
            </w:r>
          </w:hyperlink>
        </w:p>
        <w:p w14:paraId="76703154" w14:textId="1328EB9B" w:rsidR="00A46D3A" w:rsidRPr="00D85252" w:rsidRDefault="00F117F3">
          <w:pPr>
            <w:pStyle w:val="TOC2"/>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73" w:history="1">
            <w:r w:rsidR="00A46D3A" w:rsidRPr="00D85252">
              <w:rPr>
                <w:rStyle w:val="Hyperlink"/>
                <w:rFonts w:asciiTheme="minorHAnsi" w:hAnsiTheme="minorHAnsi" w:cstheme="minorHAnsi"/>
                <w:noProof/>
                <w:sz w:val="22"/>
                <w:szCs w:val="22"/>
              </w:rPr>
              <w:t>MEY and biomass targets</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_Toc157595673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8</w:t>
            </w:r>
            <w:r w:rsidR="00A46D3A" w:rsidRPr="00D85252">
              <w:rPr>
                <w:rFonts w:asciiTheme="minorHAnsi" w:hAnsiTheme="minorHAnsi" w:cstheme="minorHAnsi"/>
                <w:noProof/>
                <w:webHidden/>
                <w:sz w:val="22"/>
                <w:szCs w:val="22"/>
              </w:rPr>
              <w:fldChar w:fldCharType="end"/>
            </w:r>
          </w:hyperlink>
        </w:p>
        <w:p w14:paraId="49214D50" w14:textId="632D9F5E" w:rsidR="00A46D3A" w:rsidRPr="00D85252" w:rsidRDefault="00F117F3">
          <w:pPr>
            <w:pStyle w:val="TOC2"/>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74" w:history="1">
            <w:r w:rsidR="00A46D3A" w:rsidRPr="00D85252">
              <w:rPr>
                <w:rStyle w:val="Hyperlink"/>
                <w:rFonts w:asciiTheme="minorHAnsi" w:hAnsiTheme="minorHAnsi" w:cstheme="minorHAnsi"/>
                <w:noProof/>
                <w:sz w:val="22"/>
                <w:szCs w:val="22"/>
              </w:rPr>
              <w:t>Spatial squeeze</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_Toc157595674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11</w:t>
            </w:r>
            <w:r w:rsidR="00A46D3A" w:rsidRPr="00D85252">
              <w:rPr>
                <w:rFonts w:asciiTheme="minorHAnsi" w:hAnsiTheme="minorHAnsi" w:cstheme="minorHAnsi"/>
                <w:noProof/>
                <w:webHidden/>
                <w:sz w:val="22"/>
                <w:szCs w:val="22"/>
              </w:rPr>
              <w:fldChar w:fldCharType="end"/>
            </w:r>
          </w:hyperlink>
        </w:p>
        <w:p w14:paraId="1D9FE230" w14:textId="26FA086A" w:rsidR="00A46D3A" w:rsidRPr="00D85252" w:rsidRDefault="00F117F3">
          <w:pPr>
            <w:pStyle w:val="TOC2"/>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75" w:history="1">
            <w:r w:rsidR="00A46D3A" w:rsidRPr="00D85252">
              <w:rPr>
                <w:rStyle w:val="Hyperlink"/>
                <w:rFonts w:asciiTheme="minorHAnsi" w:hAnsiTheme="minorHAnsi" w:cstheme="minorHAnsi"/>
                <w:noProof/>
                <w:sz w:val="22"/>
                <w:szCs w:val="22"/>
              </w:rPr>
              <w:t>Multi-species fisheries</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_Toc157595675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13</w:t>
            </w:r>
            <w:r w:rsidR="00A46D3A" w:rsidRPr="00D85252">
              <w:rPr>
                <w:rFonts w:asciiTheme="minorHAnsi" w:hAnsiTheme="minorHAnsi" w:cstheme="minorHAnsi"/>
                <w:noProof/>
                <w:webHidden/>
                <w:sz w:val="22"/>
                <w:szCs w:val="22"/>
              </w:rPr>
              <w:fldChar w:fldCharType="end"/>
            </w:r>
          </w:hyperlink>
        </w:p>
        <w:p w14:paraId="19B50309" w14:textId="5DF09273" w:rsidR="00A46D3A" w:rsidRPr="00D85252" w:rsidRDefault="00F117F3">
          <w:pPr>
            <w:pStyle w:val="TOC1"/>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76" w:history="1">
            <w:r w:rsidR="00A46D3A" w:rsidRPr="00D85252">
              <w:rPr>
                <w:rStyle w:val="Hyperlink"/>
                <w:rFonts w:asciiTheme="minorHAnsi" w:hAnsiTheme="minorHAnsi" w:cstheme="minorHAnsi"/>
                <w:noProof/>
                <w:sz w:val="22"/>
                <w:szCs w:val="22"/>
              </w:rPr>
              <w:t>Summary of Recommendations</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_Toc157595676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14</w:t>
            </w:r>
            <w:r w:rsidR="00A46D3A" w:rsidRPr="00D85252">
              <w:rPr>
                <w:rFonts w:asciiTheme="minorHAnsi" w:hAnsiTheme="minorHAnsi" w:cstheme="minorHAnsi"/>
                <w:noProof/>
                <w:webHidden/>
                <w:sz w:val="22"/>
                <w:szCs w:val="22"/>
              </w:rPr>
              <w:fldChar w:fldCharType="end"/>
            </w:r>
          </w:hyperlink>
        </w:p>
        <w:p w14:paraId="50424191" w14:textId="391613F9" w:rsidR="00A46D3A" w:rsidRPr="00D85252" w:rsidRDefault="00F117F3">
          <w:pPr>
            <w:pStyle w:val="TOC2"/>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77" w:history="1">
            <w:r w:rsidR="00A46D3A" w:rsidRPr="00D85252">
              <w:rPr>
                <w:rStyle w:val="Hyperlink"/>
                <w:rFonts w:asciiTheme="minorHAnsi" w:hAnsiTheme="minorHAnsi" w:cstheme="minorHAnsi"/>
                <w:noProof/>
                <w:sz w:val="22"/>
                <w:szCs w:val="22"/>
              </w:rPr>
              <w:t>Harvest Strategy Policy</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_Toc157595677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14</w:t>
            </w:r>
            <w:r w:rsidR="00A46D3A" w:rsidRPr="00D85252">
              <w:rPr>
                <w:rFonts w:asciiTheme="minorHAnsi" w:hAnsiTheme="minorHAnsi" w:cstheme="minorHAnsi"/>
                <w:noProof/>
                <w:webHidden/>
                <w:sz w:val="22"/>
                <w:szCs w:val="22"/>
              </w:rPr>
              <w:fldChar w:fldCharType="end"/>
            </w:r>
          </w:hyperlink>
        </w:p>
        <w:p w14:paraId="18DA3497" w14:textId="3B874FA9" w:rsidR="00A46D3A" w:rsidRPr="00D85252" w:rsidRDefault="00F117F3">
          <w:pPr>
            <w:pStyle w:val="TOC2"/>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78" w:history="1">
            <w:r w:rsidR="00A46D3A" w:rsidRPr="00D85252">
              <w:rPr>
                <w:rStyle w:val="Hyperlink"/>
                <w:rFonts w:asciiTheme="minorHAnsi" w:hAnsiTheme="minorHAnsi" w:cstheme="minorHAnsi"/>
                <w:noProof/>
                <w:sz w:val="22"/>
                <w:szCs w:val="22"/>
              </w:rPr>
              <w:t>Harvest Strategy Guidelines</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_Toc157595678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14</w:t>
            </w:r>
            <w:r w:rsidR="00A46D3A" w:rsidRPr="00D85252">
              <w:rPr>
                <w:rFonts w:asciiTheme="minorHAnsi" w:hAnsiTheme="minorHAnsi" w:cstheme="minorHAnsi"/>
                <w:noProof/>
                <w:webHidden/>
                <w:sz w:val="22"/>
                <w:szCs w:val="22"/>
              </w:rPr>
              <w:fldChar w:fldCharType="end"/>
            </w:r>
          </w:hyperlink>
        </w:p>
        <w:p w14:paraId="06204154" w14:textId="336F0F49" w:rsidR="00A46D3A" w:rsidRPr="00D85252" w:rsidRDefault="00F117F3">
          <w:pPr>
            <w:pStyle w:val="TOC2"/>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79" w:history="1">
            <w:r w:rsidR="00A46D3A" w:rsidRPr="00D85252">
              <w:rPr>
                <w:rStyle w:val="Hyperlink"/>
                <w:rFonts w:asciiTheme="minorHAnsi" w:hAnsiTheme="minorHAnsi" w:cstheme="minorHAnsi"/>
                <w:noProof/>
                <w:sz w:val="22"/>
                <w:szCs w:val="22"/>
              </w:rPr>
              <w:t>Other Considerations</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_Toc157595679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16</w:t>
            </w:r>
            <w:r w:rsidR="00A46D3A" w:rsidRPr="00D85252">
              <w:rPr>
                <w:rFonts w:asciiTheme="minorHAnsi" w:hAnsiTheme="minorHAnsi" w:cstheme="minorHAnsi"/>
                <w:noProof/>
                <w:webHidden/>
                <w:sz w:val="22"/>
                <w:szCs w:val="22"/>
              </w:rPr>
              <w:fldChar w:fldCharType="end"/>
            </w:r>
          </w:hyperlink>
        </w:p>
        <w:p w14:paraId="1E76D709" w14:textId="08A26AE5" w:rsidR="00A46D3A" w:rsidRPr="00D85252" w:rsidRDefault="00F117F3">
          <w:pPr>
            <w:pStyle w:val="TOC1"/>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80" w:history="1">
            <w:r w:rsidR="00A46D3A" w:rsidRPr="00D85252">
              <w:rPr>
                <w:rStyle w:val="Hyperlink"/>
                <w:rFonts w:asciiTheme="minorHAnsi" w:hAnsiTheme="minorHAnsi" w:cstheme="minorHAnsi"/>
                <w:noProof/>
                <w:sz w:val="22"/>
                <w:szCs w:val="22"/>
              </w:rPr>
              <w:t>References and Source Material</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_Toc157595680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17</w:t>
            </w:r>
            <w:r w:rsidR="00A46D3A" w:rsidRPr="00D85252">
              <w:rPr>
                <w:rFonts w:asciiTheme="minorHAnsi" w:hAnsiTheme="minorHAnsi" w:cstheme="minorHAnsi"/>
                <w:noProof/>
                <w:webHidden/>
                <w:sz w:val="22"/>
                <w:szCs w:val="22"/>
              </w:rPr>
              <w:fldChar w:fldCharType="end"/>
            </w:r>
          </w:hyperlink>
        </w:p>
        <w:p w14:paraId="50242B7E" w14:textId="3CD65191" w:rsidR="00A46D3A" w:rsidRPr="00D85252" w:rsidRDefault="00F117F3">
          <w:pPr>
            <w:pStyle w:val="TOC1"/>
            <w:tabs>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81" w:history="1">
            <w:r w:rsidR="00A46D3A" w:rsidRPr="00D85252">
              <w:rPr>
                <w:rStyle w:val="Hyperlink"/>
                <w:rFonts w:asciiTheme="minorHAnsi" w:hAnsiTheme="minorHAnsi" w:cstheme="minorHAnsi"/>
                <w:noProof/>
                <w:sz w:val="22"/>
                <w:szCs w:val="22"/>
              </w:rPr>
              <w:t>Acknowledgements</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_Toc157595681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18</w:t>
            </w:r>
            <w:r w:rsidR="00A46D3A" w:rsidRPr="00D85252">
              <w:rPr>
                <w:rFonts w:asciiTheme="minorHAnsi" w:hAnsiTheme="minorHAnsi" w:cstheme="minorHAnsi"/>
                <w:noProof/>
                <w:webHidden/>
                <w:sz w:val="22"/>
                <w:szCs w:val="22"/>
              </w:rPr>
              <w:fldChar w:fldCharType="end"/>
            </w:r>
          </w:hyperlink>
        </w:p>
        <w:p w14:paraId="16A55598" w14:textId="06B7EB40" w:rsidR="00A46D3A" w:rsidRPr="00D85252" w:rsidRDefault="00F117F3">
          <w:pPr>
            <w:pStyle w:val="TOC1"/>
            <w:tabs>
              <w:tab w:val="left" w:pos="1440"/>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82" w:history="1">
            <w:r w:rsidR="00A46D3A" w:rsidRPr="00D85252">
              <w:rPr>
                <w:rStyle w:val="Hyperlink"/>
                <w:rFonts w:asciiTheme="minorHAnsi" w:hAnsiTheme="minorHAnsi" w:cstheme="minorHAnsi"/>
                <w:noProof/>
                <w:sz w:val="22"/>
                <w:szCs w:val="22"/>
              </w:rPr>
              <w:t>Appendix 1</w:t>
            </w:r>
            <w:r w:rsidR="00A46D3A" w:rsidRPr="00D85252">
              <w:rPr>
                <w:rFonts w:asciiTheme="minorHAnsi" w:eastAsiaTheme="minorEastAsia" w:hAnsiTheme="minorHAnsi" w:cstheme="minorHAnsi"/>
                <w:noProof/>
                <w:color w:val="auto"/>
                <w:kern w:val="2"/>
                <w:sz w:val="22"/>
                <w:szCs w:val="22"/>
                <w:lang w:eastAsia="en-AU"/>
                <w14:ligatures w14:val="standardContextual"/>
              </w:rPr>
              <w:tab/>
            </w:r>
            <w:r w:rsidR="00A46D3A" w:rsidRPr="00D85252">
              <w:rPr>
                <w:rStyle w:val="Hyperlink"/>
                <w:rFonts w:asciiTheme="minorHAnsi" w:hAnsiTheme="minorHAnsi" w:cstheme="minorHAnsi"/>
                <w:noProof/>
                <w:sz w:val="22"/>
                <w:szCs w:val="22"/>
              </w:rPr>
              <w:t>Consumer surplus</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_Toc157595682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19</w:t>
            </w:r>
            <w:r w:rsidR="00A46D3A" w:rsidRPr="00D85252">
              <w:rPr>
                <w:rFonts w:asciiTheme="minorHAnsi" w:hAnsiTheme="minorHAnsi" w:cstheme="minorHAnsi"/>
                <w:noProof/>
                <w:webHidden/>
                <w:sz w:val="22"/>
                <w:szCs w:val="22"/>
              </w:rPr>
              <w:fldChar w:fldCharType="end"/>
            </w:r>
          </w:hyperlink>
        </w:p>
        <w:p w14:paraId="5FD1735F" w14:textId="2277F506" w:rsidR="00A46D3A" w:rsidRPr="00D85252" w:rsidRDefault="00F117F3">
          <w:pPr>
            <w:pStyle w:val="TOC1"/>
            <w:tabs>
              <w:tab w:val="left" w:pos="1440"/>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83" w:history="1">
            <w:r w:rsidR="00A46D3A" w:rsidRPr="00D85252">
              <w:rPr>
                <w:rStyle w:val="Hyperlink"/>
                <w:rFonts w:asciiTheme="minorHAnsi" w:hAnsiTheme="minorHAnsi" w:cstheme="minorHAnsi"/>
                <w:noProof/>
                <w:sz w:val="22"/>
                <w:szCs w:val="22"/>
              </w:rPr>
              <w:t xml:space="preserve">Appendix 2 </w:t>
            </w:r>
            <w:r w:rsidR="00A46D3A" w:rsidRPr="00D85252">
              <w:rPr>
                <w:rFonts w:asciiTheme="minorHAnsi" w:eastAsiaTheme="minorEastAsia" w:hAnsiTheme="minorHAnsi" w:cstheme="minorHAnsi"/>
                <w:noProof/>
                <w:color w:val="auto"/>
                <w:kern w:val="2"/>
                <w:sz w:val="22"/>
                <w:szCs w:val="22"/>
                <w:lang w:eastAsia="en-AU"/>
                <w14:ligatures w14:val="standardContextual"/>
              </w:rPr>
              <w:tab/>
            </w:r>
            <w:r w:rsidR="00A46D3A" w:rsidRPr="00D85252">
              <w:rPr>
                <w:rStyle w:val="Hyperlink"/>
                <w:rFonts w:asciiTheme="minorHAnsi" w:hAnsiTheme="minorHAnsi" w:cstheme="minorHAnsi"/>
                <w:noProof/>
                <w:sz w:val="22"/>
                <w:szCs w:val="22"/>
              </w:rPr>
              <w:t>Discussion paper – June 2023</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_Toc157595683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23</w:t>
            </w:r>
            <w:r w:rsidR="00A46D3A" w:rsidRPr="00D85252">
              <w:rPr>
                <w:rFonts w:asciiTheme="minorHAnsi" w:hAnsiTheme="minorHAnsi" w:cstheme="minorHAnsi"/>
                <w:noProof/>
                <w:webHidden/>
                <w:sz w:val="22"/>
                <w:szCs w:val="22"/>
              </w:rPr>
              <w:fldChar w:fldCharType="end"/>
            </w:r>
          </w:hyperlink>
        </w:p>
        <w:p w14:paraId="0143E479" w14:textId="620D4BF9" w:rsidR="00A46D3A" w:rsidRPr="00D85252" w:rsidRDefault="00F117F3">
          <w:pPr>
            <w:pStyle w:val="TOC1"/>
            <w:tabs>
              <w:tab w:val="left" w:pos="1440"/>
              <w:tab w:val="right" w:leader="dot" w:pos="9016"/>
            </w:tabs>
            <w:rPr>
              <w:rFonts w:asciiTheme="minorHAnsi" w:eastAsiaTheme="minorEastAsia" w:hAnsiTheme="minorHAnsi" w:cstheme="minorHAnsi"/>
              <w:noProof/>
              <w:color w:val="auto"/>
              <w:kern w:val="2"/>
              <w:sz w:val="22"/>
              <w:szCs w:val="22"/>
              <w:lang w:eastAsia="en-AU"/>
              <w14:ligatures w14:val="standardContextual"/>
            </w:rPr>
          </w:pPr>
          <w:hyperlink w:anchor="_Toc157595684" w:history="1">
            <w:r w:rsidR="00A46D3A" w:rsidRPr="00D85252">
              <w:rPr>
                <w:rStyle w:val="Hyperlink"/>
                <w:rFonts w:asciiTheme="minorHAnsi" w:hAnsiTheme="minorHAnsi" w:cstheme="minorHAnsi"/>
                <w:noProof/>
                <w:sz w:val="22"/>
                <w:szCs w:val="22"/>
              </w:rPr>
              <w:t>Appendix 3</w:t>
            </w:r>
            <w:r w:rsidR="00A46D3A" w:rsidRPr="00D85252">
              <w:rPr>
                <w:rFonts w:asciiTheme="minorHAnsi" w:eastAsiaTheme="minorEastAsia" w:hAnsiTheme="minorHAnsi" w:cstheme="minorHAnsi"/>
                <w:noProof/>
                <w:color w:val="auto"/>
                <w:kern w:val="2"/>
                <w:sz w:val="22"/>
                <w:szCs w:val="22"/>
                <w:lang w:eastAsia="en-AU"/>
                <w14:ligatures w14:val="standardContextual"/>
              </w:rPr>
              <w:tab/>
            </w:r>
            <w:r w:rsidR="00A46D3A" w:rsidRPr="00D85252">
              <w:rPr>
                <w:rStyle w:val="Hyperlink"/>
                <w:rFonts w:asciiTheme="minorHAnsi" w:hAnsiTheme="minorHAnsi" w:cstheme="minorHAnsi"/>
                <w:noProof/>
                <w:sz w:val="22"/>
                <w:szCs w:val="22"/>
              </w:rPr>
              <w:t>Additional topics</w:t>
            </w:r>
            <w:r w:rsidR="00A46D3A" w:rsidRPr="00D85252">
              <w:rPr>
                <w:rFonts w:asciiTheme="minorHAnsi" w:hAnsiTheme="minorHAnsi" w:cstheme="minorHAnsi"/>
                <w:noProof/>
                <w:webHidden/>
                <w:sz w:val="22"/>
                <w:szCs w:val="22"/>
              </w:rPr>
              <w:tab/>
            </w:r>
            <w:r w:rsidR="00A46D3A" w:rsidRPr="00D85252">
              <w:rPr>
                <w:rFonts w:asciiTheme="minorHAnsi" w:hAnsiTheme="minorHAnsi" w:cstheme="minorHAnsi"/>
                <w:noProof/>
                <w:webHidden/>
                <w:sz w:val="22"/>
                <w:szCs w:val="22"/>
              </w:rPr>
              <w:fldChar w:fldCharType="begin"/>
            </w:r>
            <w:r w:rsidR="00A46D3A" w:rsidRPr="00D85252">
              <w:rPr>
                <w:rFonts w:asciiTheme="minorHAnsi" w:hAnsiTheme="minorHAnsi" w:cstheme="minorHAnsi"/>
                <w:noProof/>
                <w:webHidden/>
                <w:sz w:val="22"/>
                <w:szCs w:val="22"/>
              </w:rPr>
              <w:instrText xml:space="preserve"> PAGEREF _Toc157595684 \h </w:instrText>
            </w:r>
            <w:r w:rsidR="00A46D3A" w:rsidRPr="00D85252">
              <w:rPr>
                <w:rFonts w:asciiTheme="minorHAnsi" w:hAnsiTheme="minorHAnsi" w:cstheme="minorHAnsi"/>
                <w:noProof/>
                <w:webHidden/>
                <w:sz w:val="22"/>
                <w:szCs w:val="22"/>
              </w:rPr>
            </w:r>
            <w:r w:rsidR="00A46D3A" w:rsidRPr="00D85252">
              <w:rPr>
                <w:rFonts w:asciiTheme="minorHAnsi" w:hAnsiTheme="minorHAnsi" w:cstheme="minorHAnsi"/>
                <w:noProof/>
                <w:webHidden/>
                <w:sz w:val="22"/>
                <w:szCs w:val="22"/>
              </w:rPr>
              <w:fldChar w:fldCharType="separate"/>
            </w:r>
            <w:r w:rsidR="003259FF">
              <w:rPr>
                <w:rFonts w:asciiTheme="minorHAnsi" w:hAnsiTheme="minorHAnsi" w:cstheme="minorHAnsi"/>
                <w:noProof/>
                <w:webHidden/>
                <w:sz w:val="22"/>
                <w:szCs w:val="22"/>
              </w:rPr>
              <w:t>40</w:t>
            </w:r>
            <w:r w:rsidR="00A46D3A" w:rsidRPr="00D85252">
              <w:rPr>
                <w:rFonts w:asciiTheme="minorHAnsi" w:hAnsiTheme="minorHAnsi" w:cstheme="minorHAnsi"/>
                <w:noProof/>
                <w:webHidden/>
                <w:sz w:val="22"/>
                <w:szCs w:val="22"/>
              </w:rPr>
              <w:fldChar w:fldCharType="end"/>
            </w:r>
          </w:hyperlink>
        </w:p>
        <w:p w14:paraId="51736364" w14:textId="24A0AB15" w:rsidR="00AA2DC9" w:rsidRPr="00D85252" w:rsidRDefault="00AA2DC9">
          <w:pPr>
            <w:rPr>
              <w:rFonts w:asciiTheme="minorHAnsi" w:hAnsiTheme="minorHAnsi" w:cstheme="minorHAnsi"/>
              <w:sz w:val="22"/>
              <w:szCs w:val="22"/>
            </w:rPr>
          </w:pPr>
          <w:r w:rsidRPr="00D85252">
            <w:rPr>
              <w:rFonts w:asciiTheme="minorHAnsi" w:hAnsiTheme="minorHAnsi" w:cstheme="minorHAnsi"/>
              <w:b/>
              <w:bCs/>
              <w:noProof/>
              <w:sz w:val="22"/>
              <w:szCs w:val="22"/>
            </w:rPr>
            <w:fldChar w:fldCharType="end"/>
          </w:r>
        </w:p>
      </w:sdtContent>
    </w:sdt>
    <w:p w14:paraId="0D3C02AA" w14:textId="293870E0" w:rsidR="00AA2DC9" w:rsidRPr="00D85252" w:rsidRDefault="00AA2DC9">
      <w:pPr>
        <w:keepLines w:val="0"/>
        <w:spacing w:after="160" w:line="259" w:lineRule="auto"/>
        <w:rPr>
          <w:rFonts w:asciiTheme="minorHAnsi" w:hAnsiTheme="minorHAnsi" w:cstheme="minorHAnsi"/>
          <w:sz w:val="22"/>
          <w:szCs w:val="22"/>
        </w:rPr>
      </w:pPr>
      <w:r w:rsidRPr="00D85252">
        <w:rPr>
          <w:rFonts w:asciiTheme="minorHAnsi" w:hAnsiTheme="minorHAnsi" w:cstheme="minorHAnsi"/>
          <w:sz w:val="22"/>
          <w:szCs w:val="22"/>
        </w:rPr>
        <w:br w:type="page"/>
      </w:r>
    </w:p>
    <w:p w14:paraId="5D79410D" w14:textId="77777777" w:rsidR="00AA2DC9" w:rsidRDefault="00AA2DC9" w:rsidP="00AA2DC9">
      <w:pPr>
        <w:pStyle w:val="Heading1"/>
      </w:pPr>
      <w:bookmarkStart w:id="1" w:name="_Toc157595670"/>
      <w:r>
        <w:lastRenderedPageBreak/>
        <w:t>Background</w:t>
      </w:r>
      <w:bookmarkEnd w:id="1"/>
    </w:p>
    <w:p w14:paraId="0FC1745B"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The Commonwealth Fisheries Harvest Strategy Policy and Guidelines were first released in 2007 with a second edition released in 2018 (hereafter referred to as the 2018 Policy and Guidelines). The 2018 edition noted that the policy would be reviewed after five years.</w:t>
      </w:r>
    </w:p>
    <w:p w14:paraId="0B99785D"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This report provides a technical review of recent and developing research relevant to harvest strategies (both in Australia and overseas) to inform the 2023 review. It identifies information, methods and approaches that could inform potential improvements to the 2018 Policy and Guidelines and identifies specific recommendations for improvement. </w:t>
      </w:r>
    </w:p>
    <w:p w14:paraId="19AB4F32"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As a first stage in this review, a discussion paper was provided in June 2023 that focused on new and relevant research, primarily in the published scientific literature. This Discussion Paper is included as Appendix 2 in this report. In the current report, this information from the scientific literature has been supplemented by information from recent workshops and webinars, discussion papers on relevant topics, and direct discussions with a range of experts, including experience arising from practical implementation of the 2018 Policy and Guidelines. This additional source material is listed at the end of this report.</w:t>
      </w:r>
    </w:p>
    <w:p w14:paraId="5C09E89C"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This review has also been informed by the identification of some important emerging challenges to fishery management more generally, and to harvest strategy </w:t>
      </w:r>
      <w:proofErr w:type="gramStart"/>
      <w:r w:rsidRPr="00AE0136">
        <w:rPr>
          <w:rFonts w:asciiTheme="minorHAnsi" w:hAnsiTheme="minorHAnsi" w:cstheme="minorHAnsi"/>
          <w:sz w:val="22"/>
          <w:szCs w:val="22"/>
        </w:rPr>
        <w:t>implementation in particular</w:t>
      </w:r>
      <w:proofErr w:type="gramEnd"/>
      <w:r w:rsidRPr="00AE0136">
        <w:rPr>
          <w:rFonts w:asciiTheme="minorHAnsi" w:hAnsiTheme="minorHAnsi" w:cstheme="minorHAnsi"/>
          <w:sz w:val="22"/>
          <w:szCs w:val="22"/>
        </w:rPr>
        <w:t>. Key challenges include:</w:t>
      </w:r>
    </w:p>
    <w:p w14:paraId="032D9266" w14:textId="77777777" w:rsidR="00AA2DC9" w:rsidRPr="00AE0136" w:rsidRDefault="00AA2DC9" w:rsidP="00AA2DC9">
      <w:pPr>
        <w:pStyle w:val="ListParagraph"/>
        <w:numPr>
          <w:ilvl w:val="0"/>
          <w:numId w:val="15"/>
        </w:numPr>
        <w:rPr>
          <w:rFonts w:cstheme="minorHAnsi"/>
        </w:rPr>
      </w:pPr>
      <w:r w:rsidRPr="00AE0136">
        <w:rPr>
          <w:rFonts w:cstheme="minorHAnsi"/>
        </w:rPr>
        <w:t>The impact of shifting baselines, due to climate change and other drivers, on fundamental aspects of harvest strategy implementation,</w:t>
      </w:r>
    </w:p>
    <w:p w14:paraId="065611D9" w14:textId="77777777" w:rsidR="00AA2DC9" w:rsidRPr="00AE0136" w:rsidRDefault="00AA2DC9" w:rsidP="00AA2DC9">
      <w:pPr>
        <w:pStyle w:val="ListParagraph"/>
        <w:numPr>
          <w:ilvl w:val="0"/>
          <w:numId w:val="15"/>
        </w:numPr>
        <w:rPr>
          <w:rFonts w:cstheme="minorHAnsi"/>
        </w:rPr>
      </w:pPr>
      <w:r w:rsidRPr="00AE0136">
        <w:rPr>
          <w:rFonts w:cstheme="minorHAnsi"/>
        </w:rPr>
        <w:t>A variety of concerns about interpretation and implementation of the Policy’s maximum economic yield target,</w:t>
      </w:r>
    </w:p>
    <w:p w14:paraId="2EF76D8E" w14:textId="77777777" w:rsidR="00AA2DC9" w:rsidRPr="00AE0136" w:rsidRDefault="00AA2DC9" w:rsidP="00AA2DC9">
      <w:pPr>
        <w:pStyle w:val="ListParagraph"/>
        <w:numPr>
          <w:ilvl w:val="0"/>
          <w:numId w:val="15"/>
        </w:numPr>
        <w:rPr>
          <w:rFonts w:cstheme="minorHAnsi"/>
        </w:rPr>
      </w:pPr>
      <w:r w:rsidRPr="00AE0136">
        <w:rPr>
          <w:rFonts w:cstheme="minorHAnsi"/>
        </w:rPr>
        <w:t>The impacts of increasing spatial restrictions, from various sources, on commercial fishing, with flow on effects to monitoring, stock assessment and harvest strategy design and implementation, and</w:t>
      </w:r>
    </w:p>
    <w:p w14:paraId="6532A223" w14:textId="77777777" w:rsidR="00AA2DC9" w:rsidRPr="00AE0136" w:rsidRDefault="00AA2DC9" w:rsidP="00AA2DC9">
      <w:pPr>
        <w:pStyle w:val="ListParagraph"/>
        <w:numPr>
          <w:ilvl w:val="0"/>
          <w:numId w:val="15"/>
        </w:numPr>
        <w:rPr>
          <w:rFonts w:cstheme="minorHAnsi"/>
        </w:rPr>
      </w:pPr>
      <w:r w:rsidRPr="00AE0136">
        <w:rPr>
          <w:rFonts w:cstheme="minorHAnsi"/>
        </w:rPr>
        <w:t>Ongoing difficulties in managing multi-species fisheries including the issue of non-recovering species.</w:t>
      </w:r>
    </w:p>
    <w:p w14:paraId="62830732"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The report is structured around these four key issues, where there seem to be clear implications for policy and/or guidelines. Information on additional (minor) topics is in Appendix 3.</w:t>
      </w:r>
    </w:p>
    <w:p w14:paraId="57B7EFAA"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The report concludes with comments on some broader issues that lie outside the scope of harvest strategy policy but nonetheless impinge on it and limit its effective delivery.</w:t>
      </w:r>
    </w:p>
    <w:p w14:paraId="4672392E" w14:textId="77777777" w:rsidR="00AA2DC9" w:rsidRPr="00AE0136" w:rsidRDefault="00AA2DC9" w:rsidP="00AA2DC9">
      <w:pPr>
        <w:rPr>
          <w:rFonts w:asciiTheme="minorHAnsi" w:hAnsiTheme="minorHAnsi" w:cstheme="minorHAnsi"/>
          <w:sz w:val="22"/>
          <w:szCs w:val="22"/>
        </w:rPr>
      </w:pPr>
    </w:p>
    <w:p w14:paraId="73164F15" w14:textId="77777777" w:rsidR="00AE0136" w:rsidRDefault="00AE0136">
      <w:pPr>
        <w:keepLines w:val="0"/>
        <w:spacing w:after="160" w:line="259" w:lineRule="auto"/>
        <w:rPr>
          <w:rFonts w:asciiTheme="majorHAnsi" w:eastAsiaTheme="majorEastAsia" w:hAnsiTheme="majorHAnsi" w:cstheme="majorBidi"/>
          <w:color w:val="2E74B5" w:themeColor="accent1" w:themeShade="BF"/>
          <w:sz w:val="32"/>
          <w:szCs w:val="32"/>
        </w:rPr>
      </w:pPr>
      <w:bookmarkStart w:id="2" w:name="_Toc157595671"/>
      <w:r>
        <w:br w:type="page"/>
      </w:r>
    </w:p>
    <w:p w14:paraId="27086D2F" w14:textId="68B4971E" w:rsidR="00AA2DC9" w:rsidRDefault="00AA2DC9" w:rsidP="00AA2DC9">
      <w:pPr>
        <w:pStyle w:val="Heading1"/>
      </w:pPr>
      <w:r>
        <w:lastRenderedPageBreak/>
        <w:t>Key Issues</w:t>
      </w:r>
      <w:bookmarkEnd w:id="2"/>
    </w:p>
    <w:p w14:paraId="095164E4" w14:textId="77777777" w:rsidR="00AA2DC9" w:rsidRDefault="00AA2DC9" w:rsidP="00AA2DC9"/>
    <w:p w14:paraId="129836E1" w14:textId="77777777" w:rsidR="00AA2DC9" w:rsidRDefault="00AA2DC9" w:rsidP="00AA2DC9">
      <w:pPr>
        <w:pStyle w:val="Heading2"/>
      </w:pPr>
      <w:bookmarkStart w:id="3" w:name="_Toc157595672"/>
      <w:r>
        <w:t>Shifting baselines</w:t>
      </w:r>
      <w:bookmarkEnd w:id="3"/>
    </w:p>
    <w:p w14:paraId="747E041E"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The most significant challenge and barrier to implementation of the Policy are the rapid changes occurring in Australia’s ocean environments and ecosystems. These are currently being driven by ocean warming and other manifestations of climate change, but other factors, such as recovery of many marine mammal populations, are also driving change. </w:t>
      </w:r>
    </w:p>
    <w:p w14:paraId="2170DD73"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These changes matter because the implementation of the Commonwealth Harvest Strategy Policy is premised on a stable value of unfished biomass, often equated with pre-fishing biomass, and referred to as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0</w:t>
      </w:r>
      <w:r w:rsidRPr="00AE0136">
        <w:rPr>
          <w:rFonts w:asciiTheme="minorHAnsi" w:hAnsiTheme="minorHAnsi" w:cstheme="minorHAnsi"/>
          <w:sz w:val="22"/>
          <w:szCs w:val="22"/>
        </w:rPr>
        <w:t>. This quantity enters the harvest strategy in numerous ways:</w:t>
      </w:r>
    </w:p>
    <w:p w14:paraId="01EC43A5" w14:textId="77777777" w:rsidR="00AA2DC9" w:rsidRPr="00AE0136" w:rsidRDefault="00AA2DC9" w:rsidP="00AA2DC9">
      <w:pPr>
        <w:pStyle w:val="ListParagraph"/>
        <w:numPr>
          <w:ilvl w:val="0"/>
          <w:numId w:val="11"/>
        </w:numPr>
        <w:rPr>
          <w:rFonts w:cstheme="minorHAnsi"/>
        </w:rPr>
      </w:pPr>
      <w:r w:rsidRPr="00AE0136">
        <w:rPr>
          <w:rFonts w:cstheme="minorHAnsi"/>
        </w:rPr>
        <w:t xml:space="preserve">The proxy for the limit reference point is set at 20% of </w:t>
      </w:r>
      <w:r w:rsidRPr="00AE0136">
        <w:rPr>
          <w:rFonts w:cstheme="minorHAnsi"/>
          <w:i/>
          <w:iCs/>
        </w:rPr>
        <w:t>B</w:t>
      </w:r>
      <w:r w:rsidRPr="00AE0136">
        <w:rPr>
          <w:rFonts w:cstheme="minorHAnsi"/>
          <w:i/>
          <w:iCs/>
          <w:vertAlign w:val="subscript"/>
        </w:rPr>
        <w:t>0</w:t>
      </w:r>
      <w:r w:rsidRPr="00AE0136">
        <w:rPr>
          <w:rFonts w:cstheme="minorHAnsi"/>
        </w:rPr>
        <w:t xml:space="preserve"> which also defines the depletion level corresponding to the category of overfished.</w:t>
      </w:r>
    </w:p>
    <w:p w14:paraId="5FEBD3A0" w14:textId="77777777" w:rsidR="00AA2DC9" w:rsidRPr="00AE0136" w:rsidRDefault="00AA2DC9" w:rsidP="00AA2DC9">
      <w:pPr>
        <w:pStyle w:val="ListParagraph"/>
        <w:numPr>
          <w:ilvl w:val="0"/>
          <w:numId w:val="11"/>
        </w:numPr>
        <w:rPr>
          <w:rFonts w:cstheme="minorHAnsi"/>
        </w:rPr>
      </w:pPr>
      <w:r w:rsidRPr="00AE0136">
        <w:rPr>
          <w:rFonts w:cstheme="minorHAnsi"/>
        </w:rPr>
        <w:t xml:space="preserve">The proxy for the biomass to achieve maximum sustainable yield, </w:t>
      </w:r>
      <w:r w:rsidRPr="00AE0136">
        <w:rPr>
          <w:rFonts w:cstheme="minorHAnsi"/>
          <w:i/>
          <w:iCs/>
        </w:rPr>
        <w:t>B</w:t>
      </w:r>
      <w:r w:rsidRPr="00AE0136">
        <w:rPr>
          <w:rFonts w:cstheme="minorHAnsi"/>
          <w:i/>
          <w:iCs/>
          <w:vertAlign w:val="subscript"/>
        </w:rPr>
        <w:t>MSY</w:t>
      </w:r>
      <w:r w:rsidRPr="00AE0136">
        <w:rPr>
          <w:rFonts w:cstheme="minorHAnsi"/>
        </w:rPr>
        <w:t xml:space="preserve"> is set at 40% of </w:t>
      </w:r>
      <w:r w:rsidRPr="00AE0136">
        <w:rPr>
          <w:rFonts w:cstheme="minorHAnsi"/>
          <w:i/>
          <w:iCs/>
        </w:rPr>
        <w:t>B</w:t>
      </w:r>
      <w:r w:rsidRPr="00AE0136">
        <w:rPr>
          <w:rFonts w:cstheme="minorHAnsi"/>
          <w:i/>
          <w:iCs/>
          <w:vertAlign w:val="subscript"/>
        </w:rPr>
        <w:t>0</w:t>
      </w:r>
    </w:p>
    <w:p w14:paraId="7522944A" w14:textId="77777777" w:rsidR="00AA2DC9" w:rsidRPr="00AE0136" w:rsidRDefault="00AA2DC9" w:rsidP="00AA2DC9">
      <w:pPr>
        <w:pStyle w:val="ListParagraph"/>
        <w:numPr>
          <w:ilvl w:val="0"/>
          <w:numId w:val="11"/>
        </w:numPr>
        <w:rPr>
          <w:rFonts w:cstheme="minorHAnsi"/>
        </w:rPr>
      </w:pPr>
      <w:r w:rsidRPr="00AE0136">
        <w:rPr>
          <w:rFonts w:cstheme="minorHAnsi"/>
        </w:rPr>
        <w:t xml:space="preserve">The proxy for the target reference point, </w:t>
      </w:r>
      <w:r w:rsidRPr="00AE0136">
        <w:rPr>
          <w:rFonts w:cstheme="minorHAnsi"/>
          <w:i/>
          <w:iCs/>
        </w:rPr>
        <w:t>B</w:t>
      </w:r>
      <w:r w:rsidRPr="00AE0136">
        <w:rPr>
          <w:rFonts w:cstheme="minorHAnsi"/>
          <w:i/>
          <w:iCs/>
          <w:vertAlign w:val="subscript"/>
        </w:rPr>
        <w:t>MEY</w:t>
      </w:r>
      <w:r w:rsidRPr="00AE0136">
        <w:rPr>
          <w:rFonts w:cstheme="minorHAnsi"/>
        </w:rPr>
        <w:t xml:space="preserve">, is set at 48% of </w:t>
      </w:r>
      <w:r w:rsidRPr="00AE0136">
        <w:rPr>
          <w:rFonts w:cstheme="minorHAnsi"/>
          <w:i/>
          <w:iCs/>
        </w:rPr>
        <w:t>B</w:t>
      </w:r>
      <w:r w:rsidRPr="00AE0136">
        <w:rPr>
          <w:rFonts w:cstheme="minorHAnsi"/>
          <w:i/>
          <w:iCs/>
          <w:vertAlign w:val="subscript"/>
        </w:rPr>
        <w:t>0</w:t>
      </w:r>
    </w:p>
    <w:p w14:paraId="4A9FD2B1" w14:textId="77777777" w:rsidR="00AA2DC9" w:rsidRPr="00AE0136" w:rsidRDefault="00AA2DC9" w:rsidP="00AA2DC9">
      <w:pPr>
        <w:pStyle w:val="ListParagraph"/>
        <w:numPr>
          <w:ilvl w:val="0"/>
          <w:numId w:val="11"/>
        </w:numPr>
        <w:rPr>
          <w:rFonts w:cstheme="minorHAnsi"/>
        </w:rPr>
      </w:pPr>
      <w:r w:rsidRPr="00AE0136">
        <w:rPr>
          <w:rFonts w:cstheme="minorHAnsi"/>
        </w:rPr>
        <w:t xml:space="preserve">The standard “hockey stick” harvest control rule is defined in relation to current depletion which is expressed as </w:t>
      </w:r>
      <w:proofErr w:type="spellStart"/>
      <w:r w:rsidRPr="00AE0136">
        <w:rPr>
          <w:rFonts w:cstheme="minorHAnsi"/>
          <w:i/>
          <w:iCs/>
        </w:rPr>
        <w:t>Bcurrent</w:t>
      </w:r>
      <w:proofErr w:type="spellEnd"/>
      <w:r w:rsidRPr="00AE0136">
        <w:rPr>
          <w:rFonts w:cstheme="minorHAnsi"/>
        </w:rPr>
        <w:t xml:space="preserve"> /</w:t>
      </w:r>
      <w:r w:rsidRPr="00AE0136">
        <w:rPr>
          <w:rFonts w:cstheme="minorHAnsi"/>
          <w:i/>
          <w:iCs/>
        </w:rPr>
        <w:t xml:space="preserve"> B</w:t>
      </w:r>
      <w:r w:rsidRPr="00AE0136">
        <w:rPr>
          <w:rFonts w:cstheme="minorHAnsi"/>
          <w:i/>
          <w:iCs/>
          <w:vertAlign w:val="subscript"/>
        </w:rPr>
        <w:t>0</w:t>
      </w:r>
    </w:p>
    <w:p w14:paraId="7062BB39" w14:textId="77777777" w:rsidR="00AA2DC9" w:rsidRPr="00AE0136" w:rsidRDefault="00AA2DC9" w:rsidP="00AA2DC9">
      <w:pPr>
        <w:pStyle w:val="ListParagraph"/>
        <w:numPr>
          <w:ilvl w:val="0"/>
          <w:numId w:val="11"/>
        </w:numPr>
        <w:rPr>
          <w:rFonts w:cstheme="minorHAnsi"/>
        </w:rPr>
      </w:pPr>
      <w:r w:rsidRPr="00AE0136">
        <w:rPr>
          <w:rFonts w:cstheme="minorHAnsi"/>
        </w:rPr>
        <w:t xml:space="preserve">Rebuilding of overfished stocks requires plans to recover stocks to levels defined in relation to </w:t>
      </w:r>
      <w:r w:rsidRPr="00AE0136">
        <w:rPr>
          <w:rFonts w:cstheme="minorHAnsi"/>
          <w:i/>
          <w:iCs/>
        </w:rPr>
        <w:t>B</w:t>
      </w:r>
      <w:r w:rsidRPr="00AE0136">
        <w:rPr>
          <w:rFonts w:cstheme="minorHAnsi"/>
          <w:i/>
          <w:iCs/>
          <w:vertAlign w:val="subscript"/>
        </w:rPr>
        <w:t xml:space="preserve">0 </w:t>
      </w:r>
    </w:p>
    <w:p w14:paraId="16B55B44"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Even where biomass cannot be estimated directly, data limited assessment methods still attempt to estimate stock status relative to an unfished reference level. Current depletion is also used to determine when an exploited species can be considered for conservation-dependent listing under the EPBC Act.</w:t>
      </w:r>
    </w:p>
    <w:p w14:paraId="467B065C"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The 2018 Policy acknowledges that climate change and other factors can affect the productivity of stocks and suggests that fisheries should “seek to account for that variability when developing and implementing harvest strategies” (Section 3.3). The 2018 Guidelines include a chapter (Chapter 7) on variability, regime shift and climate change, including application to harvest strategy design. </w:t>
      </w:r>
    </w:p>
    <w:p w14:paraId="78AFDC46"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As the Discussion Paper (Appendix 2) notes, how to both measure and accommodate shifting baselines in harvest strategies is one of the most active areas of recent research on harvest strategies. Key recent papers include Bessell-Browne et al. (2022) and </w:t>
      </w:r>
      <w:proofErr w:type="spellStart"/>
      <w:r w:rsidRPr="00AE0136">
        <w:rPr>
          <w:rFonts w:asciiTheme="minorHAnsi" w:hAnsiTheme="minorHAnsi" w:cstheme="minorHAnsi"/>
          <w:sz w:val="22"/>
          <w:szCs w:val="22"/>
        </w:rPr>
        <w:t>Szuwalski</w:t>
      </w:r>
      <w:proofErr w:type="spellEnd"/>
      <w:r w:rsidRPr="00AE0136">
        <w:rPr>
          <w:rFonts w:asciiTheme="minorHAnsi" w:hAnsiTheme="minorHAnsi" w:cstheme="minorHAnsi"/>
          <w:sz w:val="22"/>
          <w:szCs w:val="22"/>
        </w:rPr>
        <w:t xml:space="preserve"> et al. (2023), both of which document clear instances of shifting baselines while also warning about too readily adopting redefined limits and targets in harvest strategy implementation. This is mainly because of the risk that stock declines caused by fishing may be misinterpreted as environmentally driven changes.</w:t>
      </w:r>
    </w:p>
    <w:p w14:paraId="0DA25601"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lastRenderedPageBreak/>
        <w:t xml:space="preserve">A current major Australian research project on the topic (Penney et al. in prep.) describes, </w:t>
      </w:r>
      <w:proofErr w:type="gramStart"/>
      <w:r w:rsidRPr="00AE0136">
        <w:rPr>
          <w:rFonts w:asciiTheme="minorHAnsi" w:hAnsiTheme="minorHAnsi" w:cstheme="minorHAnsi"/>
          <w:sz w:val="22"/>
          <w:szCs w:val="22"/>
        </w:rPr>
        <w:t>develops</w:t>
      </w:r>
      <w:proofErr w:type="gramEnd"/>
      <w:r w:rsidRPr="00AE0136">
        <w:rPr>
          <w:rFonts w:asciiTheme="minorHAnsi" w:hAnsiTheme="minorHAnsi" w:cstheme="minorHAnsi"/>
          <w:sz w:val="22"/>
          <w:szCs w:val="22"/>
        </w:rPr>
        <w:t xml:space="preserve"> and implements a range of methods and tools to detect and explore the relative impacts of fishing and changing environmental conditions on stock abundance and trajectories, mostly applicable only to Tier 1 assessments requiring annual age-composition data to estimate annual recruitment. Evidence points to a wide range in fishing and non-fishing (environmental) effects across different stocks. Some stocks have clearly been driven by the latter, with important implications for recovery strategies, and indeed for classification of overfished resources. The study also used management strategy evaluation (MSE) to test a range of approaches for incorporating shifting baselines (dynamic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0</w:t>
      </w:r>
      <w:r w:rsidRPr="00AE0136">
        <w:rPr>
          <w:rFonts w:asciiTheme="minorHAnsi" w:hAnsiTheme="minorHAnsi" w:cstheme="minorHAnsi"/>
          <w:sz w:val="22"/>
          <w:szCs w:val="22"/>
        </w:rPr>
        <w:t>) in harvest strategies. Results show that application of dynamic reference points and harvest control rules can increase catches slightly and reduce the likelihood of fishery closures. The study concludes that whether to adopt static or dynamic harvest strategies in the face of shifting baselines is a management and policy choice. Results from the study can help inform that choice.</w:t>
      </w:r>
    </w:p>
    <w:p w14:paraId="27CA1F7C"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A recent workshop (Smith et al. 2023) brought together experience from around the world on approaches to dealing with climate change for harvest strategies. There is plenty of evidence accumulating for effects of climate on fish stocks (both positive and negative</w:t>
      </w:r>
      <w:proofErr w:type="gramStart"/>
      <w:r w:rsidRPr="00AE0136">
        <w:rPr>
          <w:rFonts w:asciiTheme="minorHAnsi" w:hAnsiTheme="minorHAnsi" w:cstheme="minorHAnsi"/>
          <w:sz w:val="22"/>
          <w:szCs w:val="22"/>
        </w:rPr>
        <w:t>)</w:t>
      </w:r>
      <w:proofErr w:type="gramEnd"/>
      <w:r w:rsidRPr="00AE0136">
        <w:rPr>
          <w:rFonts w:asciiTheme="minorHAnsi" w:hAnsiTheme="minorHAnsi" w:cstheme="minorHAnsi"/>
          <w:sz w:val="22"/>
          <w:szCs w:val="22"/>
        </w:rPr>
        <w:t xml:space="preserve"> but management systems and protocols have generally been slow to respond. The workshop could not identify any internationally agreed approach or best practice for taking direct account of climate change impacts in harvest strategies. Emerging best practice for science and reporting involves presenting stock assessment advice for two scenarios – with and without dynamic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 xml:space="preserve">0 </w:t>
      </w:r>
      <w:r w:rsidRPr="00AE0136">
        <w:rPr>
          <w:rFonts w:asciiTheme="minorHAnsi" w:hAnsiTheme="minorHAnsi" w:cstheme="minorHAnsi"/>
          <w:sz w:val="22"/>
          <w:szCs w:val="22"/>
        </w:rPr>
        <w:t xml:space="preserve">and reference points.   </w:t>
      </w:r>
    </w:p>
    <w:p w14:paraId="10269797"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An even more recent workshop presented and discussed a draft framework for integrating climate impacts and risk into harvest strategies (AFMA 2023). The draft framework discussed at the workshop proposes a three-step process involving 1) assessing the climate risk to a species based on best available evidence; 2) considering whether the stock assessment or harvest strategy already accounts for climate change effects, or if the TAC/E or management arrangements are already sufficiently precautionary; and if not 3) considering additional precautionary mechanisms. This framework is currently under consideration by the AFMA Commission. </w:t>
      </w:r>
    </w:p>
    <w:p w14:paraId="33923088" w14:textId="77777777" w:rsidR="00AA2DC9" w:rsidRPr="00AE0136" w:rsidRDefault="00AA2DC9" w:rsidP="00AA2DC9">
      <w:pPr>
        <w:rPr>
          <w:rFonts w:asciiTheme="minorHAnsi" w:hAnsiTheme="minorHAnsi" w:cstheme="minorHAnsi"/>
          <w:b/>
          <w:bCs/>
          <w:sz w:val="22"/>
          <w:szCs w:val="22"/>
        </w:rPr>
      </w:pPr>
      <w:r w:rsidRPr="00AE0136">
        <w:rPr>
          <w:rFonts w:asciiTheme="minorHAnsi" w:hAnsiTheme="minorHAnsi" w:cstheme="minorHAnsi"/>
          <w:b/>
          <w:bCs/>
          <w:sz w:val="22"/>
          <w:szCs w:val="22"/>
        </w:rPr>
        <w:t>Implications for the Policy and Guidelines</w:t>
      </w:r>
    </w:p>
    <w:p w14:paraId="0A5C9F7C"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The issue of shifting baselines is currently the biggest challenge facing harvest strategy policy and implementation because it directly affects the whole current basis for stock status representation and classification, including the definition of overfished. There is increasing and very clear evidence that the productivity and abundance of many key commercial species, and indeed whole marine ecosystems, are in a process of rapid change. While an international consensus on the correct management response to this challenge has yet to emerge, the issue cannot be ignored and requires policy direction.</w:t>
      </w:r>
    </w:p>
    <w:p w14:paraId="1E5F15DD"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The Policy needs to recognise explicitly that baselines are changing for many species and that harvest strategies should adapt accordingly, with certain provisos in place. On the vexed issue of limit reference points (LRPs), and in cases where </w:t>
      </w:r>
      <w:proofErr w:type="gramStart"/>
      <w:r w:rsidRPr="00AE0136">
        <w:rPr>
          <w:rFonts w:asciiTheme="minorHAnsi" w:hAnsiTheme="minorHAnsi" w:cstheme="minorHAnsi"/>
          <w:sz w:val="22"/>
          <w:szCs w:val="22"/>
        </w:rPr>
        <w:t>it is clear that declines</w:t>
      </w:r>
      <w:proofErr w:type="gramEnd"/>
      <w:r w:rsidRPr="00AE0136">
        <w:rPr>
          <w:rFonts w:asciiTheme="minorHAnsi" w:hAnsiTheme="minorHAnsi" w:cstheme="minorHAnsi"/>
          <w:sz w:val="22"/>
          <w:szCs w:val="22"/>
        </w:rPr>
        <w:t xml:space="preserve"> are largely driven by non-fishing factors, reductions in LRPs are appropriate in some circumstances, though a floor should be set on the changes allowed to the LRP in the harvest control rule. These considerations should be guided by the MSE results available soon in the final report of the Penney et al. study. The Guidelines should spell out the standard of evidence required to support changes to reference points, noting the methods that are now available to distinguish between impacts from fishing and impacts from environmental factors (refer to Penney et al. 2023). This distinction is more challenging when fishery impacts are indirect, for example where fishing gear affects recruitment by interacting with habitat.  </w:t>
      </w:r>
    </w:p>
    <w:p w14:paraId="40D69381"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lastRenderedPageBreak/>
        <w:t xml:space="preserve">The Guidelines should also recognise and accommodate the AFMA framework for integrating climate impacts into harvest strategies, assuming that framework is endorsed by the AFMA Commission. This framework is important because it also covers data limited stocks that are not amenable to the methods for estimating dynamic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0</w:t>
      </w:r>
      <w:r w:rsidRPr="00AE0136">
        <w:rPr>
          <w:rFonts w:asciiTheme="minorHAnsi" w:hAnsiTheme="minorHAnsi" w:cstheme="minorHAnsi"/>
          <w:sz w:val="22"/>
          <w:szCs w:val="22"/>
        </w:rPr>
        <w:t xml:space="preserve"> that can be applied to many data rich stocks. </w:t>
      </w:r>
    </w:p>
    <w:p w14:paraId="02E59C00"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These considerations also apply to non-recovering stocks. Particularly in cases where stock recovery plans have been in place and properly implemented for many years with no evidence of recovery, reviews should be undertaken to determine if environmental factors may be contributing partly or largely to the failure to recover. Consideration should be given to adding an additional category of “environmentally determined” to stock status classification.</w:t>
      </w:r>
    </w:p>
    <w:p w14:paraId="3D9E6133" w14:textId="77777777" w:rsidR="00AA2DC9" w:rsidRDefault="00AA2DC9" w:rsidP="00AA2DC9"/>
    <w:p w14:paraId="0003BA06" w14:textId="77777777" w:rsidR="00AA2DC9" w:rsidRDefault="00AA2DC9" w:rsidP="00AA2DC9">
      <w:pPr>
        <w:pStyle w:val="Heading2"/>
      </w:pPr>
      <w:bookmarkStart w:id="4" w:name="_Toc157595673"/>
      <w:r>
        <w:t>MEY and biomass targets</w:t>
      </w:r>
      <w:bookmarkEnd w:id="4"/>
    </w:p>
    <w:p w14:paraId="2A043027"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A target of maximising economic returns has been built into Commonwealth fisheries legislation since 1991 and into harvest strategy policy since 2007. Chapter 2 in the 2018 Policy defines the objective of the policy as the ecologically sustainable and profitable use of fishery resources, where the latter is interpreted in the Strategy (section 2.1) as implementing harvest strategies that “maximise net economic returns to the Australian community from management of Australian fisheries”.  This wording comes directly from the objectives of the Fisheries Management Act 1991 and has been interpreted in the harvest strategy policy to mean a target of maximum economic yield (MEY) for commercial fishers.   The interpretation in the 2018 policy has a different focus than the wording of the Act because:</w:t>
      </w:r>
    </w:p>
    <w:p w14:paraId="7DB815F1" w14:textId="77777777" w:rsidR="00AA2DC9" w:rsidRPr="00AE0136" w:rsidRDefault="00AA2DC9" w:rsidP="00AA2DC9">
      <w:pPr>
        <w:pStyle w:val="ListParagraph"/>
        <w:numPr>
          <w:ilvl w:val="0"/>
          <w:numId w:val="26"/>
        </w:numPr>
        <w:rPr>
          <w:rFonts w:cstheme="minorHAnsi"/>
        </w:rPr>
      </w:pPr>
      <w:r w:rsidRPr="00AE0136">
        <w:rPr>
          <w:rFonts w:cstheme="minorHAnsi"/>
        </w:rPr>
        <w:t>The Act refers to economic returns to the community, which implies benefits to both consumers and producers, whereas the MEY targets in the policy are limited to fishers only.</w:t>
      </w:r>
    </w:p>
    <w:p w14:paraId="1A2EBB0C" w14:textId="77777777" w:rsidR="00AA2DC9" w:rsidRPr="00AE0136" w:rsidRDefault="00AA2DC9" w:rsidP="00AA2DC9">
      <w:pPr>
        <w:pStyle w:val="ListParagraph"/>
        <w:numPr>
          <w:ilvl w:val="0"/>
          <w:numId w:val="26"/>
        </w:numPr>
        <w:rPr>
          <w:rFonts w:cstheme="minorHAnsi"/>
        </w:rPr>
      </w:pPr>
      <w:r w:rsidRPr="00AE0136">
        <w:rPr>
          <w:rFonts w:cstheme="minorHAnsi"/>
        </w:rPr>
        <w:t xml:space="preserve">The Act specifies returns to the Australian community whereas the policy is silent on where economic returns flow.  </w:t>
      </w:r>
    </w:p>
    <w:p w14:paraId="0DCA7A3A" w14:textId="77777777" w:rsidR="00AA2DC9" w:rsidRPr="00AE0136" w:rsidRDefault="00AA2DC9" w:rsidP="00AA2DC9">
      <w:pPr>
        <w:pStyle w:val="ListParagraph"/>
        <w:numPr>
          <w:ilvl w:val="0"/>
          <w:numId w:val="26"/>
        </w:numPr>
        <w:rPr>
          <w:rFonts w:cstheme="minorHAnsi"/>
        </w:rPr>
      </w:pPr>
      <w:r w:rsidRPr="00AE0136">
        <w:rPr>
          <w:rFonts w:cstheme="minorHAnsi"/>
        </w:rPr>
        <w:t>Economic yield is a formal economic concept and may not necessarily capture what the legislators intended by “economic returns”</w:t>
      </w:r>
      <w:r w:rsidRPr="00AE0136">
        <w:rPr>
          <w:rStyle w:val="FootnoteReference"/>
          <w:rFonts w:cstheme="minorHAnsi"/>
        </w:rPr>
        <w:footnoteReference w:id="1"/>
      </w:r>
      <w:r w:rsidRPr="00AE0136">
        <w:rPr>
          <w:rFonts w:cstheme="minorHAnsi"/>
        </w:rPr>
        <w:t xml:space="preserve">.  </w:t>
      </w:r>
    </w:p>
    <w:p w14:paraId="2BBFC5C2"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The 2018 Harvest Strategy Policy has attempted to operationalise maximising economic returns by maintaining key commercial fish stocks “on average, at the required target biomass to produce maximum economic yield from the fishery”. In section 3.6 of the Policy, this involves setting the target reference point at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the proxy for which is 48% of unfished biomass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48</w:t>
      </w:r>
      <w:r w:rsidRPr="00AE0136">
        <w:rPr>
          <w:rFonts w:asciiTheme="minorHAnsi" w:hAnsiTheme="minorHAnsi" w:cstheme="minorHAnsi"/>
          <w:sz w:val="22"/>
          <w:szCs w:val="22"/>
        </w:rPr>
        <w:t xml:space="preserve">) or 1.2 times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MSY</w:t>
      </w:r>
      <w:r w:rsidRPr="00AE0136">
        <w:rPr>
          <w:rFonts w:asciiTheme="minorHAnsi" w:hAnsiTheme="minorHAnsi" w:cstheme="minorHAnsi"/>
          <w:sz w:val="22"/>
          <w:szCs w:val="22"/>
        </w:rPr>
        <w:t>, in cases where the latter can be estimated directly.</w:t>
      </w:r>
    </w:p>
    <w:p w14:paraId="77127046"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Several theoretical and practical problems have arisen that require reconsideration of this target as interpreted in the 2018 policy. These problems include:</w:t>
      </w:r>
    </w:p>
    <w:p w14:paraId="196A349A" w14:textId="77777777" w:rsidR="00AA2DC9" w:rsidRPr="00AE0136" w:rsidRDefault="00AA2DC9" w:rsidP="00AA2DC9">
      <w:pPr>
        <w:pStyle w:val="ListParagraph"/>
        <w:numPr>
          <w:ilvl w:val="0"/>
          <w:numId w:val="12"/>
        </w:numPr>
        <w:rPr>
          <w:rFonts w:cstheme="minorHAnsi"/>
        </w:rPr>
      </w:pPr>
      <w:r w:rsidRPr="00AE0136">
        <w:rPr>
          <w:rFonts w:cstheme="minorHAnsi"/>
          <w:i/>
          <w:iCs/>
        </w:rPr>
        <w:t>B</w:t>
      </w:r>
      <w:r w:rsidRPr="00AE0136">
        <w:rPr>
          <w:rFonts w:cstheme="minorHAnsi"/>
          <w:i/>
          <w:iCs/>
          <w:vertAlign w:val="subscript"/>
        </w:rPr>
        <w:t>MEY</w:t>
      </w:r>
      <w:r w:rsidRPr="00AE0136">
        <w:rPr>
          <w:rFonts w:cstheme="minorHAnsi"/>
        </w:rPr>
        <w:t xml:space="preserve"> is difficult to estimate.</w:t>
      </w:r>
    </w:p>
    <w:p w14:paraId="1A70C580" w14:textId="77777777" w:rsidR="00AA2DC9" w:rsidRPr="00AE0136" w:rsidRDefault="00AA2DC9" w:rsidP="00AA2DC9">
      <w:pPr>
        <w:pStyle w:val="ListParagraph"/>
        <w:numPr>
          <w:ilvl w:val="0"/>
          <w:numId w:val="12"/>
        </w:numPr>
        <w:rPr>
          <w:rFonts w:cstheme="minorHAnsi"/>
        </w:rPr>
      </w:pPr>
      <w:r w:rsidRPr="00AE0136">
        <w:rPr>
          <w:rFonts w:cstheme="minorHAnsi"/>
          <w:i/>
          <w:iCs/>
        </w:rPr>
        <w:t>B</w:t>
      </w:r>
      <w:r w:rsidRPr="00AE0136">
        <w:rPr>
          <w:rFonts w:cstheme="minorHAnsi"/>
          <w:i/>
          <w:iCs/>
          <w:vertAlign w:val="subscript"/>
        </w:rPr>
        <w:t>MEY</w:t>
      </w:r>
      <w:r w:rsidRPr="00AE0136">
        <w:rPr>
          <w:rFonts w:cstheme="minorHAnsi"/>
        </w:rPr>
        <w:t xml:space="preserve"> can be highly variable.</w:t>
      </w:r>
    </w:p>
    <w:p w14:paraId="735572E6" w14:textId="77777777" w:rsidR="00AA2DC9" w:rsidRPr="00AE0136" w:rsidRDefault="00AA2DC9" w:rsidP="00AA2DC9">
      <w:pPr>
        <w:pStyle w:val="ListParagraph"/>
        <w:numPr>
          <w:ilvl w:val="0"/>
          <w:numId w:val="12"/>
        </w:numPr>
        <w:rPr>
          <w:rFonts w:cstheme="minorHAnsi"/>
        </w:rPr>
      </w:pPr>
      <w:r w:rsidRPr="00AE0136">
        <w:rPr>
          <w:rFonts w:cstheme="minorHAnsi"/>
        </w:rPr>
        <w:t xml:space="preserve">Proxies for </w:t>
      </w:r>
      <w:r w:rsidRPr="00AE0136">
        <w:rPr>
          <w:rFonts w:cstheme="minorHAnsi"/>
          <w:i/>
          <w:iCs/>
        </w:rPr>
        <w:t>B</w:t>
      </w:r>
      <w:r w:rsidRPr="00AE0136">
        <w:rPr>
          <w:rFonts w:cstheme="minorHAnsi"/>
          <w:i/>
          <w:iCs/>
          <w:vertAlign w:val="subscript"/>
        </w:rPr>
        <w:t>MEY</w:t>
      </w:r>
      <w:r w:rsidRPr="00AE0136">
        <w:rPr>
          <w:rFonts w:cstheme="minorHAnsi"/>
        </w:rPr>
        <w:t xml:space="preserve"> do not appear to be robust.</w:t>
      </w:r>
    </w:p>
    <w:p w14:paraId="3025D29F" w14:textId="77777777" w:rsidR="00AA2DC9" w:rsidRPr="00AE0136" w:rsidRDefault="00AA2DC9" w:rsidP="00AA2DC9">
      <w:pPr>
        <w:pStyle w:val="ListParagraph"/>
        <w:numPr>
          <w:ilvl w:val="0"/>
          <w:numId w:val="12"/>
        </w:numPr>
        <w:rPr>
          <w:rFonts w:cstheme="minorHAnsi"/>
        </w:rPr>
      </w:pPr>
      <w:r w:rsidRPr="00AE0136">
        <w:rPr>
          <w:rFonts w:cstheme="minorHAnsi"/>
          <w:i/>
          <w:iCs/>
        </w:rPr>
        <w:t>B</w:t>
      </w:r>
      <w:r w:rsidRPr="00AE0136">
        <w:rPr>
          <w:rFonts w:cstheme="minorHAnsi"/>
          <w:i/>
          <w:iCs/>
          <w:vertAlign w:val="subscript"/>
        </w:rPr>
        <w:t>MEY</w:t>
      </w:r>
      <w:r w:rsidRPr="00AE0136">
        <w:rPr>
          <w:rFonts w:cstheme="minorHAnsi"/>
        </w:rPr>
        <w:t xml:space="preserve"> depends on other factors affecting economic performance. </w:t>
      </w:r>
    </w:p>
    <w:p w14:paraId="360DFB59" w14:textId="77777777" w:rsidR="00AA2DC9" w:rsidRPr="00AE0136" w:rsidRDefault="00AA2DC9" w:rsidP="00AA2DC9">
      <w:pPr>
        <w:pStyle w:val="ListParagraph"/>
        <w:numPr>
          <w:ilvl w:val="0"/>
          <w:numId w:val="12"/>
        </w:numPr>
        <w:rPr>
          <w:rFonts w:cstheme="minorHAnsi"/>
        </w:rPr>
      </w:pPr>
      <w:r w:rsidRPr="00AE0136">
        <w:rPr>
          <w:rFonts w:cstheme="minorHAnsi"/>
        </w:rPr>
        <w:lastRenderedPageBreak/>
        <w:t xml:space="preserve">Other Australian jurisdictions do not use </w:t>
      </w:r>
      <w:r w:rsidRPr="00AE0136">
        <w:rPr>
          <w:rFonts w:cstheme="minorHAnsi"/>
          <w:i/>
          <w:iCs/>
        </w:rPr>
        <w:t>B</w:t>
      </w:r>
      <w:r w:rsidRPr="00AE0136">
        <w:rPr>
          <w:rFonts w:cstheme="minorHAnsi"/>
          <w:i/>
          <w:iCs/>
          <w:vertAlign w:val="subscript"/>
        </w:rPr>
        <w:t>MEY</w:t>
      </w:r>
      <w:r w:rsidRPr="00AE0136">
        <w:rPr>
          <w:rFonts w:cstheme="minorHAnsi"/>
        </w:rPr>
        <w:t xml:space="preserve"> as a target in policy (although it’s applied for several individual fisheries). </w:t>
      </w:r>
    </w:p>
    <w:p w14:paraId="51705A26" w14:textId="77777777" w:rsidR="00AA2DC9" w:rsidRPr="00AE0136" w:rsidRDefault="00AA2DC9" w:rsidP="00AA2DC9">
      <w:pPr>
        <w:pStyle w:val="ListParagraph"/>
        <w:numPr>
          <w:ilvl w:val="0"/>
          <w:numId w:val="12"/>
        </w:numPr>
        <w:rPr>
          <w:rFonts w:cstheme="minorHAnsi"/>
        </w:rPr>
      </w:pPr>
      <w:r w:rsidRPr="00AE0136">
        <w:rPr>
          <w:rFonts w:cstheme="minorHAnsi"/>
          <w:i/>
          <w:iCs/>
        </w:rPr>
        <w:t>B</w:t>
      </w:r>
      <w:r w:rsidRPr="00AE0136">
        <w:rPr>
          <w:rFonts w:cstheme="minorHAnsi"/>
          <w:i/>
          <w:iCs/>
          <w:vertAlign w:val="subscript"/>
        </w:rPr>
        <w:t>MEY</w:t>
      </w:r>
      <w:r w:rsidRPr="00AE0136">
        <w:rPr>
          <w:rFonts w:cstheme="minorHAnsi"/>
        </w:rPr>
        <w:t xml:space="preserve"> for commercial fishers ignores other objectives, sectors, and aspects of the public interest.</w:t>
      </w:r>
    </w:p>
    <w:p w14:paraId="7D533120" w14:textId="77777777" w:rsid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Expanding on these points:</w:t>
      </w:r>
    </w:p>
    <w:p w14:paraId="3EB90BBF" w14:textId="5AB8C465" w:rsidR="00AA2DC9" w:rsidRPr="00AE0136" w:rsidRDefault="00AA2DC9" w:rsidP="00AE0136">
      <w:pPr>
        <w:keepLines w:val="0"/>
        <w:rPr>
          <w:rFonts w:asciiTheme="minorHAnsi" w:hAnsiTheme="minorHAnsi" w:cstheme="minorHAnsi"/>
          <w:sz w:val="22"/>
          <w:szCs w:val="22"/>
        </w:rPr>
      </w:pPr>
      <w:r w:rsidRPr="00AE0136">
        <w:rPr>
          <w:rFonts w:asciiTheme="minorHAnsi" w:hAnsiTheme="minorHAnsi" w:cstheme="minorHAnsi"/>
          <w:sz w:val="22"/>
          <w:szCs w:val="22"/>
        </w:rPr>
        <w:t xml:space="preserve">Calculation of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for an individual fishery requires a bioeconomic model of the fishery that includes both the stock dynamics and the economic factors driving profitability, including the price of fish, fixed and variable costs of fishing, and implicit costs such as the unpaid labour of owner-operators. For multi-species fisheries, this also involves a model describing the technical interactions across stocks. Methods to model such situations are described in the 2018 Guidelines, but in practice only one Commonwealth-managed fishery uses a fully dynamic bioeconomic model to determine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and to set harvest controls within the harvest strategy – for tiger prawn stocks in the Northern Prawn Fishery.  </w:t>
      </w:r>
    </w:p>
    <w:p w14:paraId="5C0479DF"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Recent attempts to develop a bioeconomic model of parts of the multi-species SESSF (Pascoe et al. 2023) have produced results that are both surprising and yet to be implemented. Virtually all fisheries managed by AFMA default to the proxy for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in the Policy. </w:t>
      </w:r>
    </w:p>
    <w:p w14:paraId="32C457E6"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Fluctuations in prices and costs of production can significantly alter the value for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Such fluctuations have been evident in recent years arising from disruptions due to Covid, trade disputes and regional wars, affecting prices and costs of fishing (particularly fuel costs). Although individual fishing firms will respond to fluctuations in business conditions as they must, having an inherently fluctuating target in a harvest control rule is likely to exacerbate problems. </w:t>
      </w:r>
    </w:p>
    <w:p w14:paraId="316CDE02"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The proxy value for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in the Policy is 48% of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0</w:t>
      </w:r>
      <w:r w:rsidRPr="00AE0136">
        <w:rPr>
          <w:rFonts w:asciiTheme="minorHAnsi" w:hAnsiTheme="minorHAnsi" w:cstheme="minorHAnsi"/>
          <w:sz w:val="22"/>
          <w:szCs w:val="22"/>
        </w:rPr>
        <w:t xml:space="preserve"> (denoted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48</w:t>
      </w:r>
      <w:r w:rsidRPr="00AE0136">
        <w:rPr>
          <w:rFonts w:asciiTheme="minorHAnsi" w:hAnsiTheme="minorHAnsi" w:cstheme="minorHAnsi"/>
          <w:sz w:val="22"/>
          <w:szCs w:val="22"/>
        </w:rPr>
        <w:t xml:space="preserve">) and, as noted above, has been widely adopted. This rather precise value derives from an assumption that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MSY</w:t>
      </w:r>
      <w:r w:rsidRPr="00AE0136">
        <w:rPr>
          <w:rFonts w:asciiTheme="minorHAnsi" w:hAnsiTheme="minorHAnsi" w:cstheme="minorHAnsi"/>
          <w:sz w:val="22"/>
          <w:szCs w:val="22"/>
        </w:rPr>
        <w:t xml:space="preserve"> is approximately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40</w:t>
      </w:r>
      <w:r w:rsidRPr="00AE0136">
        <w:rPr>
          <w:rFonts w:asciiTheme="minorHAnsi" w:hAnsiTheme="minorHAnsi" w:cstheme="minorHAnsi"/>
          <w:sz w:val="22"/>
          <w:szCs w:val="22"/>
        </w:rPr>
        <w:t xml:space="preserve">, and that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is 1.2 times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MSY</w:t>
      </w:r>
      <w:r w:rsidRPr="00AE0136">
        <w:rPr>
          <w:rFonts w:asciiTheme="minorHAnsi" w:hAnsiTheme="minorHAnsi" w:cstheme="minorHAnsi"/>
          <w:sz w:val="22"/>
          <w:szCs w:val="22"/>
        </w:rPr>
        <w:t xml:space="preserve">. The basis for the “1.2 times” is not clear. Punt et al. (2013) investigated default ranges for both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MSY</w:t>
      </w:r>
      <w:r w:rsidRPr="00AE0136">
        <w:rPr>
          <w:rFonts w:asciiTheme="minorHAnsi" w:hAnsiTheme="minorHAnsi" w:cstheme="minorHAnsi"/>
          <w:sz w:val="22"/>
          <w:szCs w:val="22"/>
        </w:rPr>
        <w:t xml:space="preserve"> and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across a variety of situations and found that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MSY</w:t>
      </w:r>
      <w:r w:rsidRPr="00AE0136">
        <w:rPr>
          <w:rFonts w:asciiTheme="minorHAnsi" w:hAnsiTheme="minorHAnsi" w:cstheme="minorHAnsi"/>
          <w:sz w:val="22"/>
          <w:szCs w:val="22"/>
        </w:rPr>
        <w:t xml:space="preserve"> was generally in the range of 35-40% of unfished levels, </w:t>
      </w:r>
      <w:r w:rsidRPr="001925BA">
        <w:rPr>
          <w:rFonts w:asciiTheme="minorHAnsi" w:hAnsiTheme="minorHAnsi" w:cstheme="minorHAnsi"/>
          <w:sz w:val="22"/>
          <w:szCs w:val="22"/>
          <w:highlight w:val="yellow"/>
        </w:rPr>
        <w:t xml:space="preserve">while </w:t>
      </w:r>
      <w:r w:rsidRPr="001925BA">
        <w:rPr>
          <w:rFonts w:asciiTheme="minorHAnsi" w:hAnsiTheme="minorHAnsi" w:cstheme="minorHAnsi"/>
          <w:i/>
          <w:iCs/>
          <w:sz w:val="22"/>
          <w:szCs w:val="22"/>
          <w:highlight w:val="yellow"/>
        </w:rPr>
        <w:t>B</w:t>
      </w:r>
      <w:r w:rsidRPr="001925BA">
        <w:rPr>
          <w:rFonts w:asciiTheme="minorHAnsi" w:hAnsiTheme="minorHAnsi" w:cstheme="minorHAnsi"/>
          <w:i/>
          <w:iCs/>
          <w:sz w:val="22"/>
          <w:szCs w:val="22"/>
          <w:highlight w:val="yellow"/>
          <w:vertAlign w:val="subscript"/>
        </w:rPr>
        <w:t>MEY</w:t>
      </w:r>
      <w:r w:rsidRPr="001925BA">
        <w:rPr>
          <w:rFonts w:asciiTheme="minorHAnsi" w:hAnsiTheme="minorHAnsi" w:cstheme="minorHAnsi"/>
          <w:sz w:val="22"/>
          <w:szCs w:val="22"/>
          <w:highlight w:val="yellow"/>
        </w:rPr>
        <w:t xml:space="preserve"> was in the range of 50-60%.</w:t>
      </w:r>
      <w:r w:rsidRPr="00AE0136">
        <w:rPr>
          <w:rFonts w:asciiTheme="minorHAnsi" w:hAnsiTheme="minorHAnsi" w:cstheme="minorHAnsi"/>
          <w:sz w:val="22"/>
          <w:szCs w:val="22"/>
        </w:rPr>
        <w:t xml:space="preserve"> Investigating values for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in a multi-species fishery, Pascoe et al. (2023) found values much higher than the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48</w:t>
      </w:r>
      <w:r w:rsidRPr="00AE0136">
        <w:rPr>
          <w:rFonts w:asciiTheme="minorHAnsi" w:hAnsiTheme="minorHAnsi" w:cstheme="minorHAnsi"/>
          <w:sz w:val="22"/>
          <w:szCs w:val="22"/>
        </w:rPr>
        <w:t xml:space="preserve"> default used in the Policy. </w:t>
      </w:r>
    </w:p>
    <w:p w14:paraId="388DC932"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The economic performance of a fishery is determined by factors other than just the target biomass of the stock. For example, the Pascoe et al. (2023) study also found that the fleet structure for the SESSF is very far from optimal technical efficiency (economically). This should not be the case given that ITQs have been in place for over 30 years and economic theory says that autonomous adjustment to an optimal fleet structure should have occurred. This is not uncommon in Australian fisheries and can occur from a variety of reasons, including stock issues (e.g. TACs have not been binding) or quota market dynamics being driven by factors other than technical efficiency (</w:t>
      </w:r>
      <w:proofErr w:type="spellStart"/>
      <w:r w:rsidRPr="00AE0136">
        <w:rPr>
          <w:rFonts w:asciiTheme="minorHAnsi" w:hAnsiTheme="minorHAnsi" w:cstheme="minorHAnsi"/>
          <w:sz w:val="22"/>
          <w:szCs w:val="22"/>
        </w:rPr>
        <w:t>e.g</w:t>
      </w:r>
      <w:proofErr w:type="spellEnd"/>
      <w:r w:rsidRPr="00AE0136">
        <w:rPr>
          <w:rFonts w:asciiTheme="minorHAnsi" w:hAnsiTheme="minorHAnsi" w:cstheme="minorHAnsi"/>
          <w:sz w:val="22"/>
          <w:szCs w:val="22"/>
        </w:rPr>
        <w:t xml:space="preserve"> access to capital or the desire to control processing market share; Rust et al. 2017). The non-optimal fleet structure may partly account for the results for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found in the Pascoe et al. study. Economically optimal biomass will also be affected by many other factors, including some of the issues associated with spatial restrictions discussed in the next section of this report. </w:t>
      </w:r>
    </w:p>
    <w:p w14:paraId="326C4E2B"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lastRenderedPageBreak/>
        <w:t xml:space="preserve">Although not a primary consideration, it is interesting to note that Commonwealth-managed fisheries in Australia seem to be the only jurisdiction that has adopted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for commercial fishers as a general target in their policy. This is perhaps understandable because almost all Commonwealth-managed fisheries are effectively single sector fisheries, involving primarily commercial fishing, though that is starting to change as outlined further below. All the State and Territory jurisdictions in Australia manage multi-sector fisheries, and most international jurisdictions still have MSY as a target. </w:t>
      </w:r>
      <w:r w:rsidRPr="001925BA">
        <w:rPr>
          <w:rFonts w:asciiTheme="minorHAnsi" w:hAnsiTheme="minorHAnsi" w:cstheme="minorHAnsi"/>
          <w:sz w:val="22"/>
          <w:szCs w:val="22"/>
          <w:highlight w:val="yellow"/>
        </w:rPr>
        <w:t>As noted further below, having a different target to other jurisdictions poses issues for managing shared resources.</w:t>
      </w:r>
    </w:p>
    <w:p w14:paraId="7FFF9AA3"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The most compelling reason for considering a change to the policy on biomass targets in harvest strategies for Commonwealth-managed fisheries arises from consideration of multiple objectives. The Commonwealth Policy is premised on an economic target (interpreted and applied as commercial economic performance) and an ecological limit. However, these are not the only objectives that need consideration, as discussed in more detail in the section of the Discussion Paper headed “Selecting targets and limits” (Appendix 2). Other factors to consider include:</w:t>
      </w:r>
    </w:p>
    <w:p w14:paraId="0BDC6950" w14:textId="77777777" w:rsidR="00AA2DC9" w:rsidRPr="00AE0136" w:rsidRDefault="00AA2DC9" w:rsidP="00AA2DC9">
      <w:pPr>
        <w:pStyle w:val="ListParagraph"/>
        <w:numPr>
          <w:ilvl w:val="0"/>
          <w:numId w:val="13"/>
        </w:numPr>
        <w:rPr>
          <w:rFonts w:cstheme="minorHAnsi"/>
        </w:rPr>
      </w:pPr>
      <w:r w:rsidRPr="00AE0136">
        <w:rPr>
          <w:rFonts w:cstheme="minorHAnsi"/>
        </w:rPr>
        <w:t>Consumer surplus.</w:t>
      </w:r>
    </w:p>
    <w:p w14:paraId="21C0CC8D" w14:textId="77777777" w:rsidR="00AA2DC9" w:rsidRPr="00AE0136" w:rsidRDefault="00AA2DC9" w:rsidP="00AA2DC9">
      <w:pPr>
        <w:pStyle w:val="ListParagraph"/>
        <w:numPr>
          <w:ilvl w:val="0"/>
          <w:numId w:val="13"/>
        </w:numPr>
        <w:rPr>
          <w:rFonts w:cstheme="minorHAnsi"/>
        </w:rPr>
      </w:pPr>
      <w:r w:rsidRPr="00AE0136">
        <w:rPr>
          <w:rFonts w:cstheme="minorHAnsi"/>
        </w:rPr>
        <w:t>Employment.</w:t>
      </w:r>
    </w:p>
    <w:p w14:paraId="7C73F052" w14:textId="77777777" w:rsidR="00AA2DC9" w:rsidRPr="00AE0136" w:rsidRDefault="00AA2DC9" w:rsidP="00AA2DC9">
      <w:pPr>
        <w:pStyle w:val="ListParagraph"/>
        <w:numPr>
          <w:ilvl w:val="0"/>
          <w:numId w:val="13"/>
        </w:numPr>
        <w:rPr>
          <w:rFonts w:cstheme="minorHAnsi"/>
        </w:rPr>
      </w:pPr>
      <w:r w:rsidRPr="00AE0136">
        <w:rPr>
          <w:rFonts w:cstheme="minorHAnsi"/>
        </w:rPr>
        <w:t>Recreational and cultural fishing benefits and interests.</w:t>
      </w:r>
    </w:p>
    <w:p w14:paraId="06D7755A" w14:textId="77777777" w:rsidR="00AA2DC9" w:rsidRPr="00AE0136" w:rsidRDefault="00AA2DC9" w:rsidP="00AA2DC9">
      <w:pPr>
        <w:pStyle w:val="ListParagraph"/>
        <w:numPr>
          <w:ilvl w:val="0"/>
          <w:numId w:val="13"/>
        </w:numPr>
        <w:rPr>
          <w:rFonts w:cstheme="minorHAnsi"/>
        </w:rPr>
      </w:pPr>
      <w:r w:rsidRPr="00AE0136">
        <w:rPr>
          <w:rFonts w:cstheme="minorHAnsi"/>
        </w:rPr>
        <w:t>Various environmental benefits, including greenhouse gas emissions and reduced ecosystem impacts.</w:t>
      </w:r>
    </w:p>
    <w:p w14:paraId="12BD9F0B" w14:textId="77777777" w:rsidR="00AA2DC9" w:rsidRPr="00AE0136" w:rsidRDefault="00AA2DC9" w:rsidP="00AA2DC9">
      <w:pPr>
        <w:pStyle w:val="ListParagraph"/>
        <w:numPr>
          <w:ilvl w:val="0"/>
          <w:numId w:val="13"/>
        </w:numPr>
        <w:rPr>
          <w:rFonts w:cstheme="minorHAnsi"/>
        </w:rPr>
      </w:pPr>
      <w:r w:rsidRPr="00AE0136">
        <w:rPr>
          <w:rFonts w:cstheme="minorHAnsi"/>
        </w:rPr>
        <w:t>Governance and risk benefits.</w:t>
      </w:r>
    </w:p>
    <w:p w14:paraId="0F8B15F5"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Of these factors, only consumer and employment benefits are likely to improve with a biomass target below commercial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These both benefit from higher catch and effort levels resulting in likely lower prices, associated with a target closer to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MSY</w:t>
      </w:r>
      <w:r w:rsidRPr="00AE0136">
        <w:rPr>
          <w:rFonts w:asciiTheme="minorHAnsi" w:hAnsiTheme="minorHAnsi" w:cstheme="minorHAnsi"/>
          <w:sz w:val="22"/>
          <w:szCs w:val="22"/>
        </w:rPr>
        <w:t xml:space="preserve"> (see a more detailed explanation of consumer surplus in Appendix 1). For the reasons outlined in the Discussion Paper, the other factors are likely to be associated with biomass targets above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or at least above the current default value for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of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48</w:t>
      </w:r>
      <w:r w:rsidRPr="00AE0136">
        <w:rPr>
          <w:rFonts w:asciiTheme="minorHAnsi" w:hAnsiTheme="minorHAnsi" w:cstheme="minorHAnsi"/>
          <w:sz w:val="22"/>
          <w:szCs w:val="22"/>
        </w:rPr>
        <w:t xml:space="preserve">. </w:t>
      </w:r>
    </w:p>
    <w:p w14:paraId="65D60AE1" w14:textId="77777777" w:rsidR="00AA2DC9" w:rsidRPr="00AE0136" w:rsidRDefault="00AA2DC9" w:rsidP="00AA2DC9">
      <w:pPr>
        <w:rPr>
          <w:rFonts w:asciiTheme="minorHAnsi" w:hAnsiTheme="minorHAnsi" w:cstheme="minorHAnsi"/>
          <w:b/>
          <w:bCs/>
          <w:sz w:val="22"/>
          <w:szCs w:val="22"/>
        </w:rPr>
      </w:pPr>
      <w:r w:rsidRPr="00AE0136">
        <w:rPr>
          <w:rFonts w:asciiTheme="minorHAnsi" w:hAnsiTheme="minorHAnsi" w:cstheme="minorHAnsi"/>
          <w:b/>
          <w:bCs/>
          <w:sz w:val="22"/>
          <w:szCs w:val="22"/>
        </w:rPr>
        <w:t>Implications for the Policy and Guidelines</w:t>
      </w:r>
    </w:p>
    <w:p w14:paraId="5F6C4063" w14:textId="77777777"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The choice of a biomass target is fundamental to harvest strategy policy. The current target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takes the legislative objective of “maximising economic returns to the Australian community” and has a commercial producer focus </w:t>
      </w:r>
      <w:proofErr w:type="gramStart"/>
      <w:r w:rsidRPr="00AE0136">
        <w:rPr>
          <w:rFonts w:asciiTheme="minorHAnsi" w:hAnsiTheme="minorHAnsi" w:cstheme="minorHAnsi"/>
          <w:sz w:val="22"/>
          <w:szCs w:val="22"/>
        </w:rPr>
        <w:t>in</w:t>
      </w:r>
      <w:proofErr w:type="gramEnd"/>
      <w:r w:rsidRPr="00AE0136">
        <w:rPr>
          <w:rFonts w:asciiTheme="minorHAnsi" w:hAnsiTheme="minorHAnsi" w:cstheme="minorHAnsi"/>
          <w:sz w:val="22"/>
          <w:szCs w:val="22"/>
        </w:rPr>
        <w:t xml:space="preserve"> policy objectives for Commonwealth-managed fisheries. Some aspects of this primary commercial fishing focus are starting to change, with strategies by AFMA to engage more with recreational and particularly indigenous cultural fishing interests. In addition, the more recent development of harvest strategy policies in Australian States and Territories and their steady implementation has brought into prominence the issue of harvest strategy coordination for shared stocks and resources. Having different biomass targets for the same stock in different jurisdictions results in de facto re-allocation of resources between jurisdictions, so an agreed target is vital. Biomass targets vary across jurisdictions, with, for example, Queensland adopting a default 60% target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60</w:t>
      </w:r>
      <w:r w:rsidRPr="00AE0136">
        <w:rPr>
          <w:rFonts w:asciiTheme="minorHAnsi" w:hAnsiTheme="minorHAnsi" w:cstheme="minorHAnsi"/>
          <w:sz w:val="22"/>
          <w:szCs w:val="22"/>
        </w:rPr>
        <w:t xml:space="preserve">), which was driven in part by recognising that recreational fishing utility is maximised at higher biomass levels than for commercial fishers. Other jurisdictions do not specify </w:t>
      </w:r>
      <w:proofErr w:type="gramStart"/>
      <w:r w:rsidRPr="00AE0136">
        <w:rPr>
          <w:rFonts w:asciiTheme="minorHAnsi" w:hAnsiTheme="minorHAnsi" w:cstheme="minorHAnsi"/>
          <w:sz w:val="22"/>
          <w:szCs w:val="22"/>
        </w:rPr>
        <w:t>particular targets</w:t>
      </w:r>
      <w:proofErr w:type="gramEnd"/>
      <w:r w:rsidRPr="00AE0136">
        <w:rPr>
          <w:rFonts w:asciiTheme="minorHAnsi" w:hAnsiTheme="minorHAnsi" w:cstheme="minorHAnsi"/>
          <w:sz w:val="22"/>
          <w:szCs w:val="22"/>
        </w:rPr>
        <w:t xml:space="preserve"> in policy, but recent approaches in South Australia and New South Wales seem to favour a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50</w:t>
      </w:r>
      <w:r w:rsidRPr="00AE0136">
        <w:rPr>
          <w:rFonts w:asciiTheme="minorHAnsi" w:hAnsiTheme="minorHAnsi" w:cstheme="minorHAnsi"/>
          <w:sz w:val="22"/>
          <w:szCs w:val="22"/>
        </w:rPr>
        <w:t xml:space="preserve"> target for some fisheries, reflecting interests across diverse sectors. </w:t>
      </w:r>
    </w:p>
    <w:p w14:paraId="048609FF" w14:textId="77777777" w:rsid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lastRenderedPageBreak/>
        <w:t xml:space="preserve">In considering multiple objectives, </w:t>
      </w:r>
      <w:proofErr w:type="gramStart"/>
      <w:r w:rsidRPr="00AE0136">
        <w:rPr>
          <w:rFonts w:asciiTheme="minorHAnsi" w:hAnsiTheme="minorHAnsi" w:cstheme="minorHAnsi"/>
          <w:sz w:val="22"/>
          <w:szCs w:val="22"/>
        </w:rPr>
        <w:t>sectors</w:t>
      </w:r>
      <w:proofErr w:type="gramEnd"/>
      <w:r w:rsidRPr="00AE0136">
        <w:rPr>
          <w:rFonts w:asciiTheme="minorHAnsi" w:hAnsiTheme="minorHAnsi" w:cstheme="minorHAnsi"/>
          <w:sz w:val="22"/>
          <w:szCs w:val="22"/>
        </w:rPr>
        <w:t xml:space="preserve"> and interests (including public interest), trade-offs are inevitable in selecting a biomass target for a particular stock, but it is important to emphasise that for any given stock a single target should be defined for the purposes of harvest strategy implementation. Having said that, a sole focus on MEY for commercial fishers as a target may not serve the interests of Commonwealth fisheries management going forward, and it may be more useful to refer to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TARG</w:t>
      </w:r>
      <w:r w:rsidRPr="00AE0136">
        <w:rPr>
          <w:rFonts w:asciiTheme="minorHAnsi" w:hAnsiTheme="minorHAnsi" w:cstheme="minorHAnsi"/>
          <w:sz w:val="22"/>
          <w:szCs w:val="22"/>
        </w:rPr>
        <w:t xml:space="preserve"> as the generic target, rather than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w:t>
      </w:r>
    </w:p>
    <w:p w14:paraId="56EF1052" w14:textId="483DA79A" w:rsidR="00AA2DC9" w:rsidRPr="00AE0136" w:rsidRDefault="00AA2DC9" w:rsidP="00AA2DC9">
      <w:pPr>
        <w:rPr>
          <w:rFonts w:asciiTheme="minorHAnsi" w:hAnsiTheme="minorHAnsi" w:cstheme="minorHAnsi"/>
          <w:sz w:val="22"/>
          <w:szCs w:val="22"/>
        </w:rPr>
      </w:pPr>
      <w:r w:rsidRPr="00AE0136">
        <w:rPr>
          <w:rFonts w:asciiTheme="minorHAnsi" w:hAnsiTheme="minorHAnsi" w:cstheme="minorHAnsi"/>
          <w:sz w:val="22"/>
          <w:szCs w:val="22"/>
        </w:rPr>
        <w:t xml:space="preserve">While the trade-offs involved </w:t>
      </w:r>
      <w:r w:rsidR="00677657">
        <w:rPr>
          <w:rFonts w:asciiTheme="minorHAnsi" w:hAnsiTheme="minorHAnsi" w:cstheme="minorHAnsi"/>
          <w:sz w:val="22"/>
          <w:szCs w:val="22"/>
        </w:rPr>
        <w:t xml:space="preserve">in selecting a </w:t>
      </w:r>
      <w:r w:rsidR="00677657" w:rsidRPr="00AE0136">
        <w:rPr>
          <w:rFonts w:asciiTheme="minorHAnsi" w:hAnsiTheme="minorHAnsi" w:cstheme="minorHAnsi"/>
          <w:i/>
          <w:iCs/>
          <w:sz w:val="22"/>
          <w:szCs w:val="22"/>
        </w:rPr>
        <w:t>B</w:t>
      </w:r>
      <w:r w:rsidR="00677657" w:rsidRPr="00AE0136">
        <w:rPr>
          <w:rFonts w:asciiTheme="minorHAnsi" w:hAnsiTheme="minorHAnsi" w:cstheme="minorHAnsi"/>
          <w:i/>
          <w:iCs/>
          <w:sz w:val="22"/>
          <w:szCs w:val="22"/>
          <w:vertAlign w:val="subscript"/>
        </w:rPr>
        <w:t>TARG</w:t>
      </w:r>
      <w:r w:rsidR="00677657" w:rsidRPr="00AE0136">
        <w:rPr>
          <w:rFonts w:asciiTheme="minorHAnsi" w:hAnsiTheme="minorHAnsi" w:cstheme="minorHAnsi"/>
          <w:sz w:val="22"/>
          <w:szCs w:val="22"/>
        </w:rPr>
        <w:t xml:space="preserve"> </w:t>
      </w:r>
      <w:r w:rsidRPr="00AE0136">
        <w:rPr>
          <w:rFonts w:asciiTheme="minorHAnsi" w:hAnsiTheme="minorHAnsi" w:cstheme="minorHAnsi"/>
          <w:sz w:val="22"/>
          <w:szCs w:val="22"/>
        </w:rPr>
        <w:t xml:space="preserve">will vary from fishery to fishery, it may also be advantageous to define a default biomass target level within the Policy, with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 xml:space="preserve">50 </w:t>
      </w:r>
      <w:r w:rsidRPr="00AE0136">
        <w:rPr>
          <w:rFonts w:asciiTheme="minorHAnsi" w:hAnsiTheme="minorHAnsi" w:cstheme="minorHAnsi"/>
          <w:sz w:val="22"/>
          <w:szCs w:val="22"/>
        </w:rPr>
        <w:t xml:space="preserve">as a suggested starting point for discussion. The Guidelines should make clear that variations to the default can be considered in individual cases, reflecting the </w:t>
      </w:r>
      <w:proofErr w:type="gramStart"/>
      <w:r w:rsidRPr="00AE0136">
        <w:rPr>
          <w:rFonts w:asciiTheme="minorHAnsi" w:hAnsiTheme="minorHAnsi" w:cstheme="minorHAnsi"/>
          <w:sz w:val="22"/>
          <w:szCs w:val="22"/>
        </w:rPr>
        <w:t>particular objectives</w:t>
      </w:r>
      <w:proofErr w:type="gramEnd"/>
      <w:r w:rsidRPr="00AE0136">
        <w:rPr>
          <w:rFonts w:asciiTheme="minorHAnsi" w:hAnsiTheme="minorHAnsi" w:cstheme="minorHAnsi"/>
          <w:sz w:val="22"/>
          <w:szCs w:val="22"/>
        </w:rPr>
        <w:t xml:space="preserve"> and interests of the fishery in question. The Guidelines can also outline approaches to evaluating the trade-offs involved in selecting a suitable target, such as the use of MSE.  Expanding the scope of the </w:t>
      </w:r>
      <w:proofErr w:type="gramStart"/>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 xml:space="preserve">TARG  </w:t>
      </w:r>
      <w:r w:rsidRPr="00AE0136">
        <w:rPr>
          <w:rFonts w:asciiTheme="minorHAnsi" w:hAnsiTheme="minorHAnsi" w:cstheme="minorHAnsi"/>
          <w:sz w:val="22"/>
          <w:szCs w:val="22"/>
        </w:rPr>
        <w:t>to</w:t>
      </w:r>
      <w:proofErr w:type="gramEnd"/>
      <w:r w:rsidRPr="00AE0136">
        <w:rPr>
          <w:rFonts w:asciiTheme="minorHAnsi" w:hAnsiTheme="minorHAnsi" w:cstheme="minorHAnsi"/>
          <w:sz w:val="22"/>
          <w:szCs w:val="22"/>
        </w:rPr>
        <w:t xml:space="preserve"> include more than commercial fisher economic yield would be a change in policy but does not create a conflict with the legislation, because “economic returns to the Australian community” includes benefits to other users.   </w:t>
      </w:r>
      <w:r w:rsidR="00677657">
        <w:rPr>
          <w:rFonts w:asciiTheme="minorHAnsi" w:hAnsiTheme="minorHAnsi" w:cstheme="minorHAnsi"/>
          <w:sz w:val="22"/>
          <w:szCs w:val="22"/>
        </w:rPr>
        <w:t xml:space="preserve"> </w:t>
      </w:r>
    </w:p>
    <w:p w14:paraId="2C520B62" w14:textId="77777777" w:rsidR="00AA2DC9" w:rsidRPr="00AE0136" w:rsidRDefault="00AA2DC9" w:rsidP="00D85252">
      <w:pPr>
        <w:keepLines w:val="0"/>
        <w:rPr>
          <w:rFonts w:asciiTheme="minorHAnsi" w:hAnsiTheme="minorHAnsi" w:cstheme="minorHAnsi"/>
          <w:sz w:val="22"/>
          <w:szCs w:val="22"/>
        </w:rPr>
      </w:pPr>
      <w:r w:rsidRPr="00AE0136">
        <w:rPr>
          <w:rFonts w:asciiTheme="minorHAnsi" w:hAnsiTheme="minorHAnsi" w:cstheme="minorHAnsi"/>
          <w:sz w:val="22"/>
          <w:szCs w:val="22"/>
        </w:rPr>
        <w:t xml:space="preserve">The approach of referring to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TARG</w:t>
      </w:r>
      <w:r w:rsidRPr="00AE0136">
        <w:rPr>
          <w:rFonts w:asciiTheme="minorHAnsi" w:hAnsiTheme="minorHAnsi" w:cstheme="minorHAnsi"/>
          <w:sz w:val="22"/>
          <w:szCs w:val="22"/>
        </w:rPr>
        <w:t xml:space="preserve"> as the generic target, rather than commercial fisher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would be particularly valuable if a national consensus could be reached on common standards for targets in harvest strategy policy (with additional benefits for national reporting through mechanisms such as SAFS). Even without such consensus, there would be benefits to having a clearly defined default target biomass in the Commonwealth Harvest Strategy Policy which avoids the vagaries and uncertainties associated with </w:t>
      </w:r>
      <w:r w:rsidRPr="00AE0136">
        <w:rPr>
          <w:rFonts w:asciiTheme="minorHAnsi" w:hAnsiTheme="minorHAnsi" w:cstheme="minorHAnsi"/>
          <w:i/>
          <w:iCs/>
          <w:sz w:val="22"/>
          <w:szCs w:val="22"/>
        </w:rPr>
        <w:t>B</w:t>
      </w:r>
      <w:r w:rsidRPr="00AE0136">
        <w:rPr>
          <w:rFonts w:asciiTheme="minorHAnsi" w:hAnsiTheme="minorHAnsi" w:cstheme="minorHAnsi"/>
          <w:i/>
          <w:iCs/>
          <w:sz w:val="22"/>
          <w:szCs w:val="22"/>
          <w:vertAlign w:val="subscript"/>
        </w:rPr>
        <w:t>MEY</w:t>
      </w:r>
      <w:r w:rsidRPr="00AE0136">
        <w:rPr>
          <w:rFonts w:asciiTheme="minorHAnsi" w:hAnsiTheme="minorHAnsi" w:cstheme="minorHAnsi"/>
          <w:sz w:val="22"/>
          <w:szCs w:val="22"/>
        </w:rPr>
        <w:t xml:space="preserve">, as outlined above. AFMA and ABARES could and should continue to report on the economic performance of Commonwealth-managed commercial fisheries through measures like NER (net economic returns), as is already the case.  This was supported by the Economic Working Group who have also noted the need for expanding this reporting to economic outcomes to the Australian community given this explicit objective in the legislation.  </w:t>
      </w:r>
    </w:p>
    <w:p w14:paraId="628B7029" w14:textId="77777777" w:rsidR="00AA2DC9" w:rsidRDefault="00AA2DC9" w:rsidP="00AA2DC9"/>
    <w:p w14:paraId="1A5AD2A0" w14:textId="77777777" w:rsidR="00AA2DC9" w:rsidRDefault="00AA2DC9" w:rsidP="00AA2DC9">
      <w:pPr>
        <w:pStyle w:val="Heading2"/>
      </w:pPr>
      <w:bookmarkStart w:id="5" w:name="_Toc157595674"/>
      <w:r>
        <w:t>Spatial squeeze</w:t>
      </w:r>
      <w:bookmarkEnd w:id="5"/>
    </w:p>
    <w:p w14:paraId="294F1606"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Spatial restrictions on fishing and changing access to fishing grounds remain important considerations for commercial fishing, with flow-on effects to harvest strategies. Not least of these flow-on effects are disruptions to stock assessments (Field et al. 2006). Changing the spatial distribution of fishing can affect almost all aspects of stock assessments, including catch rates (CPUE) and the size and age structure of the catch, and can even cause problems for fishery independent surveys if the area closed to fishing is also closed to surveys. </w:t>
      </w:r>
    </w:p>
    <w:p w14:paraId="5A0CAC1C"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Fishing grounds can be closed or restricted for several reasons. These include the declaration of marine reserves (particularly IUCN category 1 and 2 reserves), areas closed by fishery managers to protect habitat or bycatch species including protected and endangered species, and areas closed due to competing uses such as marine cables, </w:t>
      </w:r>
      <w:proofErr w:type="gramStart"/>
      <w:r w:rsidRPr="00D85252">
        <w:rPr>
          <w:rFonts w:asciiTheme="minorHAnsi" w:hAnsiTheme="minorHAnsi" w:cstheme="minorHAnsi"/>
          <w:sz w:val="22"/>
          <w:szCs w:val="22"/>
        </w:rPr>
        <w:t>oil</w:t>
      </w:r>
      <w:proofErr w:type="gramEnd"/>
      <w:r w:rsidRPr="00D85252">
        <w:rPr>
          <w:rFonts w:asciiTheme="minorHAnsi" w:hAnsiTheme="minorHAnsi" w:cstheme="minorHAnsi"/>
          <w:sz w:val="22"/>
          <w:szCs w:val="22"/>
        </w:rPr>
        <w:t xml:space="preserve"> and mineral extraction, and, increasingly, offshore wind farms. A key issue with most of these competing uses is that the only sector with a long-term commitment to monitoring marine living resources is the fishery sector, where much of the cost of monitoring is born by the commercial fishing industry. Especially where historical fishing grounds are closed for reasons other than fishery management, there needs to be shared accountability across sectors and users and shared costs for ongoing monitoring and assessment.</w:t>
      </w:r>
    </w:p>
    <w:p w14:paraId="33339666"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 xml:space="preserve">The assessment of stock status, fundamental to harvest strategies as well as conservation management, is made more complex by having parts of the population that are unfished. The costs and benefits of such closures have been explored to some extent for marine reserves (Hilborn et al. </w:t>
      </w:r>
      <w:r w:rsidRPr="00D85252">
        <w:rPr>
          <w:rFonts w:asciiTheme="minorHAnsi" w:hAnsiTheme="minorHAnsi" w:cstheme="minorHAnsi"/>
          <w:sz w:val="22"/>
          <w:szCs w:val="22"/>
        </w:rPr>
        <w:lastRenderedPageBreak/>
        <w:t>2006, Ovando et al. 2021) but the data and tools to undertake such analyses are limited and generally not available in Australia. Such analyses require spatially resolved models which are rare for Tier 1 assessments, and generally non-existent for more data-limited situations. Some uses of the marine environment, such as windfarms, create new structures which can act as substrate and habitat for marine communities and benefit some fish, but the devil can be in the detail (Werner et al. 2024) and in general, uncertainty is high about the impacts of most closures on stock status. Tools to assist in marine spatial planning for multiple uses exist (</w:t>
      </w:r>
      <w:proofErr w:type="spellStart"/>
      <w:r w:rsidRPr="00D85252">
        <w:rPr>
          <w:rFonts w:asciiTheme="minorHAnsi" w:hAnsiTheme="minorHAnsi" w:cstheme="minorHAnsi"/>
          <w:sz w:val="22"/>
          <w:szCs w:val="22"/>
        </w:rPr>
        <w:t>Rassweiler</w:t>
      </w:r>
      <w:proofErr w:type="spellEnd"/>
      <w:r w:rsidRPr="00D85252">
        <w:rPr>
          <w:rFonts w:asciiTheme="minorHAnsi" w:hAnsiTheme="minorHAnsi" w:cstheme="minorHAnsi"/>
          <w:sz w:val="22"/>
          <w:szCs w:val="22"/>
        </w:rPr>
        <w:t xml:space="preserve"> et al. 2014, Hammar et al. 2020) but have seen limited application in Australia. </w:t>
      </w:r>
    </w:p>
    <w:p w14:paraId="5D1D93EE"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One area of tool development where Australia is well-served is in ecosystem models of the marine environment. Models such as Atlantis, which are spatially resolved and can deal with multiple pressures and uses, have been used to assess the impacts of spatial closures, and spatial management more generally, for some Australian fisheries.  Marine reserves are often proposed as valuable to provide baseline information on stocks in the absence of fishing.  For this to be true, adequate data collection must occur and be available for fishery assessments.  There is currently very little usage of marine reserve monitoring data for informing fisheries management but there is sampling in some commonwealth MPAs that may contribute (Hayes et al., 2019).   </w:t>
      </w:r>
    </w:p>
    <w:p w14:paraId="52C0F93C" w14:textId="77777777" w:rsidR="00AA2DC9" w:rsidRPr="00D85252" w:rsidRDefault="00AA2DC9" w:rsidP="00AA2DC9">
      <w:pPr>
        <w:rPr>
          <w:rFonts w:asciiTheme="minorHAnsi" w:hAnsiTheme="minorHAnsi" w:cstheme="minorHAnsi"/>
          <w:sz w:val="22"/>
          <w:szCs w:val="22"/>
        </w:rPr>
      </w:pPr>
    </w:p>
    <w:p w14:paraId="50266297" w14:textId="77777777" w:rsidR="00AA2DC9" w:rsidRPr="00D85252" w:rsidRDefault="00AA2DC9" w:rsidP="00AA2DC9">
      <w:pPr>
        <w:rPr>
          <w:rFonts w:asciiTheme="minorHAnsi" w:hAnsiTheme="minorHAnsi" w:cstheme="minorHAnsi"/>
          <w:b/>
          <w:bCs/>
          <w:sz w:val="22"/>
          <w:szCs w:val="22"/>
        </w:rPr>
      </w:pPr>
      <w:r w:rsidRPr="00D85252">
        <w:rPr>
          <w:rFonts w:asciiTheme="minorHAnsi" w:hAnsiTheme="minorHAnsi" w:cstheme="minorHAnsi"/>
          <w:b/>
          <w:bCs/>
          <w:sz w:val="22"/>
          <w:szCs w:val="22"/>
        </w:rPr>
        <w:t>Implications for the Policy and Guidelines</w:t>
      </w:r>
    </w:p>
    <w:p w14:paraId="6BA114FE"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 xml:space="preserve">The current policy and guidelines already deal with issues around spatial management and highlight the need to assess the impacts of (changing) spatial restrictions on the performance of harvest strategies. A significant new issue that has emerged since 2018 has been the development of wind farms in offshore areas and the spatial exclusion zones that apply to them. </w:t>
      </w:r>
    </w:p>
    <w:p w14:paraId="1DAF41D2"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The Guidelines could be improved in two ways. The first is to better document the complexities in assessing the impacts of spatial restrictions on both stock abundance and the performance of harvest strategies, as discussed above. The second is to point to some of the tools that are available to assess the impacts, including ecosystem models such as Atlantis, GIS tools (to the extent they exist), and spatial models and analyses for fishery resources. Further development and application of such tools is essential and FRDC can play an ongoing role in this area.</w:t>
      </w:r>
    </w:p>
    <w:p w14:paraId="677CDE58"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This area of policy interacts strongly with other areas of government responsibility, including marine conservation (through the EPBC Act and the implementation of marine reserves), marine offshore energy production, and other areas of marine use. Australia lacks a comprehensive framework for marine spatial planning, but agreements and arrangements between sectors and branches of government can improve coordination. Ongoing monitoring of fishery resources in areas closed to fishing is of vital interest to fisheries and the implementation of harvest strategy policy, and equitable cost-sharing arrangements are required.</w:t>
      </w:r>
    </w:p>
    <w:p w14:paraId="3C6AB3A1" w14:textId="77777777" w:rsidR="00AA2DC9" w:rsidRPr="00D85252" w:rsidRDefault="00AA2DC9" w:rsidP="00AA2DC9">
      <w:pPr>
        <w:rPr>
          <w:rFonts w:asciiTheme="minorHAnsi" w:hAnsiTheme="minorHAnsi" w:cstheme="minorHAnsi"/>
          <w:sz w:val="22"/>
          <w:szCs w:val="22"/>
        </w:rPr>
      </w:pPr>
    </w:p>
    <w:p w14:paraId="0A42BBD5" w14:textId="77777777" w:rsidR="00D85252" w:rsidRDefault="00D85252">
      <w:pPr>
        <w:keepLines w:val="0"/>
        <w:spacing w:after="160" w:line="259" w:lineRule="auto"/>
        <w:rPr>
          <w:rFonts w:asciiTheme="majorHAnsi" w:eastAsiaTheme="majorEastAsia" w:hAnsiTheme="majorHAnsi" w:cstheme="majorBidi"/>
          <w:color w:val="2E74B5" w:themeColor="accent1" w:themeShade="BF"/>
          <w:sz w:val="26"/>
          <w:szCs w:val="26"/>
        </w:rPr>
      </w:pPr>
      <w:bookmarkStart w:id="6" w:name="_Toc157595675"/>
      <w:r>
        <w:br w:type="page"/>
      </w:r>
    </w:p>
    <w:p w14:paraId="647A0346" w14:textId="5F1380D8" w:rsidR="00AA2DC9" w:rsidRDefault="00AA2DC9" w:rsidP="00AA2DC9">
      <w:pPr>
        <w:pStyle w:val="Heading2"/>
      </w:pPr>
      <w:r>
        <w:lastRenderedPageBreak/>
        <w:t>Multi-species fisheries</w:t>
      </w:r>
      <w:bookmarkEnd w:id="6"/>
    </w:p>
    <w:p w14:paraId="37DC81D3"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 xml:space="preserve">The challenges of multispecies fisheries for harvest strategy design and implementation are not directly addressed in the existing Policy or Guidelines, although there is mention of multispecies maximum economic yield (MMEY) and two of the harvest strategy examples in the Guidelines deal with multispecies fisheries. </w:t>
      </w:r>
    </w:p>
    <w:p w14:paraId="216D5CFD"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 xml:space="preserve">The harvest strategy for the multispecies Southern and Eastern Scalefish and Shark Fishery (SESSF) has been amended several times since its inception in 2005 but is still proving to be problematic. Apart from the multispecies challenge of implementing harvest strategies for each of 30 quota-managed stocks, this fishery is also dealing with most of the other issues raised in this review, including shifting baselines, problems with economic performance, and frequent changes to spatial access, particularly for the trawl fishery. This has made it the focus of a good deal of recent research, with a current FRDC supported project developing and testing a specifically multispecies harvest strategy for the fishery (Little et al. 2023). This project has formally investigated a suite of possible multispecies harvest strategies, including a “pretty good multispecies yield” (PGMSY) approach, multispecies MEY, a trigger species approach, and an indicator species approach previously developed by Newman et al. (2018) in Western Australia. The performance of these approaches is being tested using two different types of operating model – a multispecies metier model, and the Atlantis ecosystem model. </w:t>
      </w:r>
    </w:p>
    <w:p w14:paraId="7B950782"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 xml:space="preserve">AFMA has implemented a process to consider and build on the results of this research, with a first stakeholder workshop held in October 2023 (Corrie et al. 2024). A significant challenge and driver for the research and for implementation of a new harvest strategy for the SESSF is to manage the costs of monitoring, </w:t>
      </w:r>
      <w:proofErr w:type="gramStart"/>
      <w:r w:rsidRPr="00D85252">
        <w:rPr>
          <w:rFonts w:asciiTheme="minorHAnsi" w:hAnsiTheme="minorHAnsi" w:cstheme="minorHAnsi"/>
          <w:sz w:val="22"/>
          <w:szCs w:val="22"/>
        </w:rPr>
        <w:t>assessment</w:t>
      </w:r>
      <w:proofErr w:type="gramEnd"/>
      <w:r w:rsidRPr="00D85252">
        <w:rPr>
          <w:rFonts w:asciiTheme="minorHAnsi" w:hAnsiTheme="minorHAnsi" w:cstheme="minorHAnsi"/>
          <w:sz w:val="22"/>
          <w:szCs w:val="22"/>
        </w:rPr>
        <w:t xml:space="preserve"> and management commensurate with the value of the fishery. The harvest strategy finally adopted may well involve elements of several of the approaches tested.</w:t>
      </w:r>
    </w:p>
    <w:p w14:paraId="1F4E0FDF"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The multispecies section in Appendix 2 of this report contains further information on recent research on multispecies harvest strategies.</w:t>
      </w:r>
    </w:p>
    <w:p w14:paraId="10C3AB6A" w14:textId="77777777" w:rsidR="00AA2DC9" w:rsidRPr="00D85252" w:rsidRDefault="00AA2DC9" w:rsidP="00D85252">
      <w:pPr>
        <w:keepLines w:val="0"/>
        <w:rPr>
          <w:rFonts w:asciiTheme="minorHAnsi" w:hAnsiTheme="minorHAnsi" w:cstheme="minorHAnsi"/>
          <w:b/>
          <w:bCs/>
          <w:sz w:val="22"/>
          <w:szCs w:val="22"/>
        </w:rPr>
      </w:pPr>
      <w:r w:rsidRPr="00D85252">
        <w:rPr>
          <w:rFonts w:asciiTheme="minorHAnsi" w:hAnsiTheme="minorHAnsi" w:cstheme="minorHAnsi"/>
          <w:b/>
          <w:bCs/>
          <w:sz w:val="22"/>
          <w:szCs w:val="22"/>
        </w:rPr>
        <w:t>Implications for the Policy and Guidelines</w:t>
      </w:r>
    </w:p>
    <w:p w14:paraId="3D93CD56"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 xml:space="preserve">Multispecies and multi-stock fisheries pose </w:t>
      </w:r>
      <w:proofErr w:type="gramStart"/>
      <w:r w:rsidRPr="00D85252">
        <w:rPr>
          <w:rFonts w:asciiTheme="minorHAnsi" w:hAnsiTheme="minorHAnsi" w:cstheme="minorHAnsi"/>
          <w:sz w:val="22"/>
          <w:szCs w:val="22"/>
        </w:rPr>
        <w:t>particular issues</w:t>
      </w:r>
      <w:proofErr w:type="gramEnd"/>
      <w:r w:rsidRPr="00D85252">
        <w:rPr>
          <w:rFonts w:asciiTheme="minorHAnsi" w:hAnsiTheme="minorHAnsi" w:cstheme="minorHAnsi"/>
          <w:sz w:val="22"/>
          <w:szCs w:val="22"/>
        </w:rPr>
        <w:t xml:space="preserve"> for harvest strategy implementation and deserve further attention, particularly in the revised Guidelines. The focus should be on providing options and advice about alternative tools and approaches. Recent research and harvest strategy evaluation in the SESSF could be used as a case study. The current Guidelines only mention multispecies MEY, which may not be the best option for many multispecies fisheries.</w:t>
      </w:r>
    </w:p>
    <w:p w14:paraId="6A392F30"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A further consideration involves multispecies harvest strategies actively monitoring and assessing fewer species and stocks. For fisheries such as the SESSF, this would only be implemented if the robustness of such a strategy had been clearly demonstrated by methods such as management strategy evaluation (MSE). A policy question arising is what status classification to adopt for stocks that are not routinely assessed, but for which (MSE) evidence exists that the harvest strategy adopted would maintain such stocks well above limit reference levels. For such stocks, how often should some level of empirical verification be demonstrated and what form should that take?</w:t>
      </w:r>
    </w:p>
    <w:p w14:paraId="2ED42133" w14:textId="77777777" w:rsidR="00AA2DC9" w:rsidRPr="00D85252" w:rsidRDefault="00AA2DC9" w:rsidP="00D85252">
      <w:pPr>
        <w:keepLines w:val="0"/>
        <w:rPr>
          <w:rFonts w:asciiTheme="minorHAnsi" w:hAnsiTheme="minorHAnsi" w:cstheme="minorHAnsi"/>
          <w:sz w:val="22"/>
          <w:szCs w:val="22"/>
        </w:rPr>
      </w:pPr>
    </w:p>
    <w:p w14:paraId="732806C2" w14:textId="77777777" w:rsidR="00D85252" w:rsidRDefault="00D85252">
      <w:pPr>
        <w:keepLines w:val="0"/>
        <w:spacing w:after="160" w:line="259" w:lineRule="auto"/>
        <w:rPr>
          <w:rFonts w:asciiTheme="majorHAnsi" w:eastAsiaTheme="majorEastAsia" w:hAnsiTheme="majorHAnsi" w:cstheme="majorBidi"/>
          <w:color w:val="2E74B5" w:themeColor="accent1" w:themeShade="BF"/>
          <w:sz w:val="32"/>
          <w:szCs w:val="32"/>
        </w:rPr>
      </w:pPr>
      <w:bookmarkStart w:id="7" w:name="_Toc157595676"/>
      <w:r>
        <w:br w:type="page"/>
      </w:r>
    </w:p>
    <w:p w14:paraId="1B0A766C" w14:textId="3D2C9A4B" w:rsidR="00AA2DC9" w:rsidRDefault="00AA2DC9" w:rsidP="00AA2DC9">
      <w:pPr>
        <w:pStyle w:val="Heading1"/>
      </w:pPr>
      <w:r>
        <w:lastRenderedPageBreak/>
        <w:t>Summary of Recommendations</w:t>
      </w:r>
      <w:bookmarkEnd w:id="7"/>
    </w:p>
    <w:p w14:paraId="7B6DDF5A" w14:textId="77777777" w:rsidR="00AA2DC9" w:rsidRDefault="00AA2DC9" w:rsidP="00AA2DC9"/>
    <w:p w14:paraId="411E82E5" w14:textId="77777777" w:rsidR="00AA2DC9" w:rsidRDefault="00AA2DC9" w:rsidP="00AA2DC9">
      <w:pPr>
        <w:pStyle w:val="Heading2"/>
      </w:pPr>
      <w:bookmarkStart w:id="8" w:name="_Toc157595677"/>
      <w:r>
        <w:t>Harvest Strategy Policy</w:t>
      </w:r>
      <w:bookmarkEnd w:id="8"/>
    </w:p>
    <w:p w14:paraId="4A906721"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This review has identified several topics and issues for Policy consideration.</w:t>
      </w:r>
    </w:p>
    <w:p w14:paraId="20D131F6"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Regarding shifting baselines:</w:t>
      </w:r>
    </w:p>
    <w:p w14:paraId="14765D19" w14:textId="77777777" w:rsidR="00AA2DC9" w:rsidRPr="00D85252" w:rsidRDefault="00AA2DC9" w:rsidP="00AA2DC9">
      <w:pPr>
        <w:pStyle w:val="ListParagraph"/>
        <w:numPr>
          <w:ilvl w:val="0"/>
          <w:numId w:val="18"/>
        </w:numPr>
        <w:rPr>
          <w:rFonts w:cstheme="minorHAnsi"/>
        </w:rPr>
      </w:pPr>
      <w:r w:rsidRPr="00D85252">
        <w:rPr>
          <w:rFonts w:cstheme="minorHAnsi"/>
        </w:rPr>
        <w:t>The Policy should recognise explicitly that baselines such as unfished biomass are changing for many species and that harvest strategies should adapt accordingly, with certain provisos.</w:t>
      </w:r>
    </w:p>
    <w:p w14:paraId="1BDE3A70" w14:textId="77777777" w:rsidR="00AA2DC9" w:rsidRPr="00D85252" w:rsidRDefault="00AA2DC9" w:rsidP="00AA2DC9">
      <w:pPr>
        <w:pStyle w:val="ListParagraph"/>
        <w:numPr>
          <w:ilvl w:val="0"/>
          <w:numId w:val="18"/>
        </w:numPr>
        <w:rPr>
          <w:rFonts w:cstheme="minorHAnsi"/>
        </w:rPr>
      </w:pPr>
      <w:r w:rsidRPr="00D85252">
        <w:rPr>
          <w:rFonts w:cstheme="minorHAnsi"/>
        </w:rPr>
        <w:t xml:space="preserve">Where </w:t>
      </w:r>
      <w:proofErr w:type="gramStart"/>
      <w:r w:rsidRPr="00D85252">
        <w:rPr>
          <w:rFonts w:cstheme="minorHAnsi"/>
        </w:rPr>
        <w:t>it is clear that baselines</w:t>
      </w:r>
      <w:proofErr w:type="gramEnd"/>
      <w:r w:rsidRPr="00D85252">
        <w:rPr>
          <w:rFonts w:cstheme="minorHAnsi"/>
        </w:rPr>
        <w:t xml:space="preserve"> have shifted due to changed environmental conditions, biomass target and limit reference points should be adjusted, with a floor set on changes to LRPs in harvest control rules.</w:t>
      </w:r>
    </w:p>
    <w:p w14:paraId="37749090" w14:textId="77777777" w:rsidR="00AA2DC9" w:rsidRPr="00D85252" w:rsidRDefault="00AA2DC9" w:rsidP="00AA2DC9">
      <w:pPr>
        <w:pStyle w:val="ListParagraph"/>
        <w:numPr>
          <w:ilvl w:val="0"/>
          <w:numId w:val="18"/>
        </w:numPr>
        <w:rPr>
          <w:rFonts w:cstheme="minorHAnsi"/>
        </w:rPr>
      </w:pPr>
      <w:r w:rsidRPr="00D85252">
        <w:rPr>
          <w:rFonts w:cstheme="minorHAnsi"/>
        </w:rPr>
        <w:t>Consideration should be given to an additional category of “environmentally determined” for stock status classification, with flow-on implications for stock recovery strategies.</w:t>
      </w:r>
    </w:p>
    <w:p w14:paraId="0DDAAECB"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Regarding biomass targets:</w:t>
      </w:r>
    </w:p>
    <w:p w14:paraId="6A0A30CB"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Regarding standards of evidence for stock status determination:</w:t>
      </w:r>
    </w:p>
    <w:p w14:paraId="23FEC6E5" w14:textId="77777777" w:rsidR="00AA2DC9" w:rsidRPr="00D85252" w:rsidRDefault="00AA2DC9" w:rsidP="00AA2DC9">
      <w:pPr>
        <w:pStyle w:val="ListParagraph"/>
        <w:numPr>
          <w:ilvl w:val="0"/>
          <w:numId w:val="20"/>
        </w:numPr>
        <w:rPr>
          <w:rFonts w:cstheme="minorHAnsi"/>
        </w:rPr>
      </w:pPr>
      <w:r w:rsidRPr="00D85252">
        <w:rPr>
          <w:rFonts w:cstheme="minorHAnsi"/>
        </w:rPr>
        <w:t xml:space="preserve">The Policy could recommend additional evidence to support stock status determination, over and above various conventional stock assessment methods. </w:t>
      </w:r>
      <w:proofErr w:type="gramStart"/>
      <w:r w:rsidRPr="00D85252">
        <w:rPr>
          <w:rFonts w:cstheme="minorHAnsi"/>
        </w:rPr>
        <w:t>In particular, where</w:t>
      </w:r>
      <w:proofErr w:type="gramEnd"/>
      <w:r w:rsidRPr="00D85252">
        <w:rPr>
          <w:rFonts w:cstheme="minorHAnsi"/>
        </w:rPr>
        <w:t xml:space="preserve"> MSE has determined that a stock should be maintained at levels well above limit reference points under application of the harvest strategy, this could be sufficient to determine a “sustainable” stock classification, for some period of time to be determined, even in the absence of more conventional stock assessment information.</w:t>
      </w:r>
    </w:p>
    <w:p w14:paraId="00210F4B" w14:textId="77777777" w:rsidR="00AA2DC9" w:rsidRDefault="00AA2DC9" w:rsidP="00AA2DC9"/>
    <w:p w14:paraId="0F546A65" w14:textId="77777777" w:rsidR="00AA2DC9" w:rsidRDefault="00AA2DC9" w:rsidP="00AA2DC9">
      <w:pPr>
        <w:pStyle w:val="Heading2"/>
      </w:pPr>
      <w:bookmarkStart w:id="9" w:name="_Toc157595678"/>
      <w:r>
        <w:t>Harvest Strategy Guidelines</w:t>
      </w:r>
      <w:bookmarkEnd w:id="9"/>
    </w:p>
    <w:p w14:paraId="3482565F"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The review has also identified several topics and issues for revisions to the Guidelines:</w:t>
      </w:r>
    </w:p>
    <w:p w14:paraId="07384CC5"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Regarding shifting baselines:</w:t>
      </w:r>
    </w:p>
    <w:p w14:paraId="15E5C77C" w14:textId="77777777" w:rsidR="00AA2DC9" w:rsidRPr="00D85252" w:rsidRDefault="00AA2DC9" w:rsidP="00D85252">
      <w:pPr>
        <w:pStyle w:val="ListParagraph"/>
        <w:numPr>
          <w:ilvl w:val="0"/>
          <w:numId w:val="19"/>
        </w:numPr>
        <w:rPr>
          <w:rFonts w:cstheme="minorHAnsi"/>
        </w:rPr>
      </w:pPr>
      <w:r w:rsidRPr="00D85252">
        <w:rPr>
          <w:rFonts w:cstheme="minorHAnsi"/>
        </w:rPr>
        <w:t>The Guidelines should spell out the standards of evidence required to consider changes to target and limit reference points attributable to changed environmental conditions, noting the methods that are now available for such attribution.</w:t>
      </w:r>
    </w:p>
    <w:p w14:paraId="2B229014" w14:textId="77777777" w:rsidR="00AA2DC9" w:rsidRPr="00D85252" w:rsidRDefault="00AA2DC9" w:rsidP="00D85252">
      <w:pPr>
        <w:pStyle w:val="ListParagraph"/>
        <w:numPr>
          <w:ilvl w:val="0"/>
          <w:numId w:val="19"/>
        </w:numPr>
        <w:rPr>
          <w:rFonts w:cstheme="minorHAnsi"/>
        </w:rPr>
      </w:pPr>
      <w:r w:rsidRPr="00D85252">
        <w:rPr>
          <w:rFonts w:cstheme="minorHAnsi"/>
        </w:rPr>
        <w:t>The Guidelines should be modified to accommodate the emerging AFMA framework for integrating climate impacts into harvest strategies.</w:t>
      </w:r>
    </w:p>
    <w:p w14:paraId="67FE134C" w14:textId="77777777" w:rsidR="00AA2DC9" w:rsidRPr="00D85252" w:rsidRDefault="00AA2DC9" w:rsidP="00D85252">
      <w:pPr>
        <w:pStyle w:val="ListParagraph"/>
        <w:numPr>
          <w:ilvl w:val="0"/>
          <w:numId w:val="19"/>
        </w:numPr>
        <w:rPr>
          <w:rFonts w:cstheme="minorHAnsi"/>
        </w:rPr>
      </w:pPr>
      <w:r w:rsidRPr="00D85252">
        <w:rPr>
          <w:rFonts w:cstheme="minorHAnsi"/>
        </w:rPr>
        <w:t>The Guidelines should specify that an interim standard for stock assessment reporting could consist of status assessment with and without considering climate and environmental effects.</w:t>
      </w:r>
    </w:p>
    <w:p w14:paraId="1937481E"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Regarding biomass targets:</w:t>
      </w:r>
    </w:p>
    <w:p w14:paraId="78D663E3" w14:textId="77777777" w:rsidR="00AA2DC9" w:rsidRPr="00D85252" w:rsidRDefault="00AA2DC9" w:rsidP="00D85252">
      <w:pPr>
        <w:pStyle w:val="ListParagraph"/>
        <w:numPr>
          <w:ilvl w:val="0"/>
          <w:numId w:val="19"/>
        </w:numPr>
        <w:rPr>
          <w:rFonts w:cstheme="minorHAnsi"/>
        </w:rPr>
      </w:pPr>
      <w:r w:rsidRPr="00D85252">
        <w:rPr>
          <w:rFonts w:cstheme="minorHAnsi"/>
        </w:rPr>
        <w:t>The Guidelines should make clear that variations to the default value for B</w:t>
      </w:r>
      <w:r w:rsidRPr="00D85252">
        <w:rPr>
          <w:rFonts w:cstheme="minorHAnsi"/>
          <w:vertAlign w:val="subscript"/>
        </w:rPr>
        <w:t xml:space="preserve">TARG </w:t>
      </w:r>
      <w:r w:rsidRPr="00D85252">
        <w:rPr>
          <w:rFonts w:cstheme="minorHAnsi"/>
        </w:rPr>
        <w:t xml:space="preserve">can be considered in individual cases and should reflect the </w:t>
      </w:r>
      <w:proofErr w:type="gramStart"/>
      <w:r w:rsidRPr="00D85252">
        <w:rPr>
          <w:rFonts w:cstheme="minorHAnsi"/>
        </w:rPr>
        <w:t>particular objectives</w:t>
      </w:r>
      <w:proofErr w:type="gramEnd"/>
      <w:r w:rsidRPr="00D85252">
        <w:rPr>
          <w:rFonts w:cstheme="minorHAnsi"/>
        </w:rPr>
        <w:t xml:space="preserve"> and interests of the fishery in question, including harmonizing targets for shared stocks.</w:t>
      </w:r>
    </w:p>
    <w:p w14:paraId="53C2F61F" w14:textId="77777777" w:rsidR="00AA2DC9" w:rsidRPr="00D85252" w:rsidRDefault="00AA2DC9" w:rsidP="00D85252">
      <w:pPr>
        <w:pStyle w:val="ListParagraph"/>
        <w:numPr>
          <w:ilvl w:val="0"/>
          <w:numId w:val="19"/>
        </w:numPr>
        <w:rPr>
          <w:rFonts w:cstheme="minorHAnsi"/>
        </w:rPr>
      </w:pPr>
      <w:r w:rsidRPr="00D85252">
        <w:rPr>
          <w:rFonts w:cstheme="minorHAnsi"/>
        </w:rPr>
        <w:lastRenderedPageBreak/>
        <w:t>The Guidelines should outline approaches to evaluating trade-offs in selecting a suitable target, such as the use of MSE, and indicate the tools available for such analyses.</w:t>
      </w:r>
    </w:p>
    <w:p w14:paraId="7968EA6F" w14:textId="77777777" w:rsidR="00AA2DC9" w:rsidRPr="00D85252" w:rsidRDefault="00AA2DC9" w:rsidP="00D85252">
      <w:pPr>
        <w:pStyle w:val="ListParagraph"/>
        <w:numPr>
          <w:ilvl w:val="0"/>
          <w:numId w:val="19"/>
        </w:numPr>
        <w:rPr>
          <w:rFonts w:cstheme="minorHAnsi"/>
        </w:rPr>
      </w:pPr>
      <w:r w:rsidRPr="00D85252">
        <w:rPr>
          <w:rFonts w:cstheme="minorHAnsi"/>
        </w:rPr>
        <w:t>The Guidelines should emphasise that, notwithstanding a move away from B</w:t>
      </w:r>
      <w:r w:rsidRPr="00D85252">
        <w:rPr>
          <w:rFonts w:cstheme="minorHAnsi"/>
          <w:vertAlign w:val="subscript"/>
        </w:rPr>
        <w:t>MEY</w:t>
      </w:r>
      <w:r w:rsidRPr="00D85252">
        <w:rPr>
          <w:rFonts w:cstheme="minorHAnsi"/>
        </w:rPr>
        <w:t xml:space="preserve"> as the explicit and sole target, the economic performance of the fishery is a key performance measure of the success of a harvest strategy and should continue to be monitored and reported.  Consideration should be given to making this reporting cover “economic returns to the Australian community” broader than commercial producer surplus.  </w:t>
      </w:r>
    </w:p>
    <w:p w14:paraId="48F6A919"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Regarding spatial management:</w:t>
      </w:r>
    </w:p>
    <w:p w14:paraId="39C1F8D4" w14:textId="77777777" w:rsidR="00AA2DC9" w:rsidRPr="00D85252" w:rsidRDefault="00AA2DC9" w:rsidP="00D85252">
      <w:pPr>
        <w:pStyle w:val="ListParagraph"/>
        <w:numPr>
          <w:ilvl w:val="0"/>
          <w:numId w:val="19"/>
        </w:numPr>
        <w:rPr>
          <w:rFonts w:cstheme="minorHAnsi"/>
        </w:rPr>
      </w:pPr>
      <w:r w:rsidRPr="00D85252">
        <w:rPr>
          <w:rFonts w:cstheme="minorHAnsi"/>
        </w:rPr>
        <w:t>The Guidelines should emphasise the complexities in assessing the impacts of changes to spatial management and spatial access to fishing grounds.</w:t>
      </w:r>
    </w:p>
    <w:p w14:paraId="6173A133" w14:textId="77777777" w:rsidR="00AA2DC9" w:rsidRPr="00D85252" w:rsidRDefault="00AA2DC9" w:rsidP="00D85252">
      <w:pPr>
        <w:pStyle w:val="ListParagraph"/>
        <w:numPr>
          <w:ilvl w:val="0"/>
          <w:numId w:val="19"/>
        </w:numPr>
        <w:rPr>
          <w:rFonts w:cstheme="minorHAnsi"/>
        </w:rPr>
      </w:pPr>
      <w:r w:rsidRPr="00D85252">
        <w:rPr>
          <w:rFonts w:cstheme="minorHAnsi"/>
        </w:rPr>
        <w:t>The Guidelines should indicate the types of analytical tools available and suitable to assess spatial impacts and the data requirements for their use.</w:t>
      </w:r>
    </w:p>
    <w:p w14:paraId="2BFC069B"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Regarding multispecies fisheries:</w:t>
      </w:r>
    </w:p>
    <w:p w14:paraId="7E96436B" w14:textId="77777777" w:rsidR="00AA2DC9" w:rsidRPr="00D85252" w:rsidRDefault="00AA2DC9" w:rsidP="00D85252">
      <w:pPr>
        <w:pStyle w:val="ListParagraph"/>
        <w:numPr>
          <w:ilvl w:val="0"/>
          <w:numId w:val="19"/>
        </w:numPr>
        <w:rPr>
          <w:rFonts w:cstheme="minorHAnsi"/>
        </w:rPr>
      </w:pPr>
      <w:r w:rsidRPr="00D85252">
        <w:rPr>
          <w:rFonts w:cstheme="minorHAnsi"/>
        </w:rPr>
        <w:t>Additional guidance is required for multispecies fisheries, including current and emerging options for multispecies harvest strategies and the tools available to assess their performance.</w:t>
      </w:r>
    </w:p>
    <w:p w14:paraId="65A55B47"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Regarding additional topics (see Appendix 3):</w:t>
      </w:r>
    </w:p>
    <w:p w14:paraId="13AB92EE" w14:textId="77777777" w:rsidR="00AA2DC9" w:rsidRPr="00D85252" w:rsidRDefault="00AA2DC9" w:rsidP="00D85252">
      <w:pPr>
        <w:pStyle w:val="ListParagraph"/>
        <w:numPr>
          <w:ilvl w:val="0"/>
          <w:numId w:val="19"/>
        </w:numPr>
        <w:rPr>
          <w:rFonts w:cstheme="minorHAnsi"/>
        </w:rPr>
      </w:pPr>
      <w:r w:rsidRPr="00D85252">
        <w:rPr>
          <w:rFonts w:cstheme="minorHAnsi"/>
        </w:rPr>
        <w:t>Guidance is required on the application of exceptional circumstances that would involve stepping outside the strict application of the harvest control rules in a particular year.</w:t>
      </w:r>
    </w:p>
    <w:p w14:paraId="383069A9" w14:textId="77777777" w:rsidR="00AA2DC9" w:rsidRPr="00D85252" w:rsidRDefault="00AA2DC9" w:rsidP="00D85252">
      <w:pPr>
        <w:pStyle w:val="ListParagraph"/>
        <w:numPr>
          <w:ilvl w:val="0"/>
          <w:numId w:val="19"/>
        </w:numPr>
        <w:rPr>
          <w:rFonts w:cstheme="minorHAnsi"/>
        </w:rPr>
      </w:pPr>
      <w:r w:rsidRPr="00D85252">
        <w:rPr>
          <w:rFonts w:cstheme="minorHAnsi"/>
        </w:rPr>
        <w:t>The Guidelines should provide further clarification on the appropriate use of buffers for risk mitigation.</w:t>
      </w:r>
    </w:p>
    <w:p w14:paraId="345250E3" w14:textId="77777777" w:rsidR="00AA2DC9" w:rsidRPr="00D85252" w:rsidRDefault="00AA2DC9" w:rsidP="00D85252">
      <w:pPr>
        <w:pStyle w:val="ListParagraph"/>
        <w:numPr>
          <w:ilvl w:val="0"/>
          <w:numId w:val="19"/>
        </w:numPr>
        <w:rPr>
          <w:rFonts w:cstheme="minorHAnsi"/>
        </w:rPr>
      </w:pPr>
      <w:r w:rsidRPr="00D85252">
        <w:rPr>
          <w:rFonts w:cstheme="minorHAnsi"/>
        </w:rPr>
        <w:t>The default value for B</w:t>
      </w:r>
      <w:r w:rsidRPr="00D85252">
        <w:rPr>
          <w:rFonts w:cstheme="minorHAnsi"/>
          <w:vertAlign w:val="subscript"/>
        </w:rPr>
        <w:t>MSY</w:t>
      </w:r>
      <w:r w:rsidRPr="00D85252">
        <w:rPr>
          <w:rFonts w:cstheme="minorHAnsi"/>
        </w:rPr>
        <w:t xml:space="preserve"> (B</w:t>
      </w:r>
      <w:r w:rsidRPr="00D85252">
        <w:rPr>
          <w:rFonts w:cstheme="minorHAnsi"/>
          <w:vertAlign w:val="subscript"/>
        </w:rPr>
        <w:t>40</w:t>
      </w:r>
      <w:r w:rsidRPr="00D85252">
        <w:rPr>
          <w:rFonts w:cstheme="minorHAnsi"/>
        </w:rPr>
        <w:t>) should be used in almost all circumstances unless there is clear evidence about stock recruitment “steepness” from a Tier 1 stock assessment model.</w:t>
      </w:r>
    </w:p>
    <w:p w14:paraId="54F5DBCC" w14:textId="77777777" w:rsidR="00AA2DC9" w:rsidRPr="00D85252" w:rsidRDefault="00AA2DC9" w:rsidP="00D85252">
      <w:pPr>
        <w:keepLines w:val="0"/>
        <w:rPr>
          <w:rFonts w:asciiTheme="minorHAnsi" w:hAnsiTheme="minorHAnsi" w:cstheme="minorHAnsi"/>
          <w:sz w:val="22"/>
          <w:szCs w:val="22"/>
        </w:rPr>
      </w:pPr>
      <w:r w:rsidRPr="00D85252">
        <w:rPr>
          <w:rFonts w:asciiTheme="minorHAnsi" w:hAnsiTheme="minorHAnsi" w:cstheme="minorHAnsi"/>
          <w:sz w:val="22"/>
          <w:szCs w:val="22"/>
        </w:rPr>
        <w:t>More generally, there should be a greater focus in the Guidelines on identifying tools and methods for analysis, together with their data needs and the appropriate circumstances for their application and use. In redrafting the Guidelines, consideration should be given to their purpose - clarification of policy, general guidance, or a more specific how to guide (or a combination of these).</w:t>
      </w:r>
    </w:p>
    <w:p w14:paraId="76FDF7F3" w14:textId="77777777" w:rsidR="00AA2DC9" w:rsidRDefault="00AA2DC9" w:rsidP="00AA2DC9"/>
    <w:p w14:paraId="52ED0CF3" w14:textId="77777777" w:rsidR="00D85252" w:rsidRDefault="00D85252">
      <w:pPr>
        <w:keepLines w:val="0"/>
        <w:spacing w:after="160" w:line="259" w:lineRule="auto"/>
        <w:rPr>
          <w:rFonts w:asciiTheme="majorHAnsi" w:eastAsiaTheme="majorEastAsia" w:hAnsiTheme="majorHAnsi" w:cstheme="majorBidi"/>
          <w:color w:val="2E74B5" w:themeColor="accent1" w:themeShade="BF"/>
          <w:sz w:val="26"/>
          <w:szCs w:val="26"/>
        </w:rPr>
      </w:pPr>
      <w:bookmarkStart w:id="10" w:name="_Toc157595679"/>
      <w:r>
        <w:br w:type="page"/>
      </w:r>
    </w:p>
    <w:p w14:paraId="081E1320" w14:textId="5AB7A976" w:rsidR="00AA2DC9" w:rsidRDefault="00AA2DC9" w:rsidP="00AA2DC9">
      <w:pPr>
        <w:pStyle w:val="Heading2"/>
      </w:pPr>
      <w:r>
        <w:lastRenderedPageBreak/>
        <w:t>Other Considerations</w:t>
      </w:r>
      <w:bookmarkEnd w:id="10"/>
    </w:p>
    <w:p w14:paraId="04D07132"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Three issues arose </w:t>
      </w:r>
      <w:proofErr w:type="gramStart"/>
      <w:r w:rsidRPr="00D85252">
        <w:rPr>
          <w:rFonts w:asciiTheme="minorHAnsi" w:hAnsiTheme="minorHAnsi" w:cstheme="minorHAnsi"/>
          <w:sz w:val="22"/>
          <w:szCs w:val="22"/>
        </w:rPr>
        <w:t>in the course of</w:t>
      </w:r>
      <w:proofErr w:type="gramEnd"/>
      <w:r w:rsidRPr="00D85252">
        <w:rPr>
          <w:rFonts w:asciiTheme="minorHAnsi" w:hAnsiTheme="minorHAnsi" w:cstheme="minorHAnsi"/>
          <w:sz w:val="22"/>
          <w:szCs w:val="22"/>
        </w:rPr>
        <w:t xml:space="preserve"> this review that, strictly speaking, sit outside the remit of harvest strategy policy and guidelines, but nonetheless affect their implementation and success. These are listed here and discussed briefly:</w:t>
      </w:r>
    </w:p>
    <w:p w14:paraId="4B9331FA" w14:textId="77777777" w:rsidR="00AA2DC9" w:rsidRPr="00D85252" w:rsidRDefault="00AA2DC9" w:rsidP="00AA2DC9">
      <w:pPr>
        <w:ind w:left="360"/>
        <w:rPr>
          <w:rFonts w:asciiTheme="minorHAnsi" w:hAnsiTheme="minorHAnsi" w:cstheme="minorHAnsi"/>
          <w:sz w:val="22"/>
          <w:szCs w:val="22"/>
        </w:rPr>
      </w:pPr>
      <w:r w:rsidRPr="00D85252">
        <w:rPr>
          <w:rFonts w:asciiTheme="minorHAnsi" w:hAnsiTheme="minorHAnsi" w:cstheme="minorHAnsi"/>
          <w:sz w:val="22"/>
          <w:szCs w:val="22"/>
        </w:rPr>
        <w:t>EPBC harmonization for conservation dependent status</w:t>
      </w:r>
    </w:p>
    <w:p w14:paraId="68F1211B" w14:textId="77777777" w:rsidR="00AA2DC9" w:rsidRPr="00D85252" w:rsidRDefault="00AA2DC9" w:rsidP="00AA2DC9">
      <w:pPr>
        <w:pStyle w:val="ListParagraph"/>
        <w:numPr>
          <w:ilvl w:val="0"/>
          <w:numId w:val="17"/>
        </w:numPr>
        <w:rPr>
          <w:rFonts w:cstheme="minorHAnsi"/>
        </w:rPr>
      </w:pPr>
      <w:r w:rsidRPr="00D85252">
        <w:rPr>
          <w:rFonts w:cstheme="minorHAnsi"/>
        </w:rPr>
        <w:t>The approach adopted for stock status determination in the Commonwealth Harvest Strategy Policy and that adopted in the EPBC Act to determine conservation status of fished stocks need to be in alignment and follow agreed approaches. A challenge is to maintain the agreement when considering the implications of shifting baselines, particularly due to climate impacts. Mounting evidence of environmental factors determining failure of some stocks to recover to above “static” biomass limit reference levels (Fulton et al. 2023) need to be considered and agreed across Commonwealth government departments. The kinds of evidence (standards of proof) required to establish such findings and their use in recovery plans also need to be agreed.</w:t>
      </w:r>
    </w:p>
    <w:p w14:paraId="058FE81F" w14:textId="77777777" w:rsidR="00AA2DC9" w:rsidRPr="00D85252" w:rsidRDefault="00AA2DC9" w:rsidP="00AA2DC9">
      <w:pPr>
        <w:ind w:left="360"/>
        <w:rPr>
          <w:rFonts w:asciiTheme="minorHAnsi" w:hAnsiTheme="minorHAnsi" w:cstheme="minorHAnsi"/>
          <w:sz w:val="22"/>
          <w:szCs w:val="22"/>
        </w:rPr>
      </w:pPr>
      <w:r w:rsidRPr="00D85252">
        <w:rPr>
          <w:rFonts w:asciiTheme="minorHAnsi" w:hAnsiTheme="minorHAnsi" w:cstheme="minorHAnsi"/>
          <w:sz w:val="22"/>
          <w:szCs w:val="22"/>
        </w:rPr>
        <w:t>National approaches and standards for harvest strategies</w:t>
      </w:r>
    </w:p>
    <w:p w14:paraId="7CC8A288" w14:textId="77777777" w:rsidR="00AA2DC9" w:rsidRPr="00D85252" w:rsidRDefault="00AA2DC9" w:rsidP="00AA2DC9">
      <w:pPr>
        <w:pStyle w:val="ListParagraph"/>
        <w:numPr>
          <w:ilvl w:val="0"/>
          <w:numId w:val="17"/>
        </w:numPr>
        <w:rPr>
          <w:rFonts w:cstheme="minorHAnsi"/>
        </w:rPr>
      </w:pPr>
      <w:r w:rsidRPr="00D85252">
        <w:rPr>
          <w:rFonts w:cstheme="minorHAnsi"/>
        </w:rPr>
        <w:t>There are currently nationally agreed guidelines for harvest strategies and nationally agreed standards for stock status reporting, but no national agreement on harvest strategy policy or on targets for stocks. Lack of agreement on stock biomass targets</w:t>
      </w:r>
      <w:proofErr w:type="gramStart"/>
      <w:r w:rsidRPr="00D85252">
        <w:rPr>
          <w:rFonts w:cstheme="minorHAnsi"/>
        </w:rPr>
        <w:t>, in particular, has</w:t>
      </w:r>
      <w:proofErr w:type="gramEnd"/>
      <w:r w:rsidRPr="00D85252">
        <w:rPr>
          <w:rFonts w:cstheme="minorHAnsi"/>
        </w:rPr>
        <w:t xml:space="preserve"> important implications for harvest strategies where stocks are shared across jurisdictions. As discussed above, failure to agree management objectives and targets for shared stocks leads to de facto reallocation of resources between jurisdictions and fleets. The importance of agreement on targets needs to be emphasised in the national harvest strategy guidelines and, ideally, common standards for stock status reporting with respect to targets also agreed in the Status of Australian Fish Stocks (SAFS) process.</w:t>
      </w:r>
    </w:p>
    <w:p w14:paraId="3810413B" w14:textId="77777777" w:rsidR="00AA2DC9" w:rsidRPr="00D85252" w:rsidRDefault="00AA2DC9" w:rsidP="00AA2DC9">
      <w:pPr>
        <w:ind w:left="360"/>
        <w:rPr>
          <w:rFonts w:asciiTheme="minorHAnsi" w:hAnsiTheme="minorHAnsi" w:cstheme="minorHAnsi"/>
          <w:sz w:val="22"/>
          <w:szCs w:val="22"/>
        </w:rPr>
      </w:pPr>
      <w:r w:rsidRPr="00D85252">
        <w:rPr>
          <w:rFonts w:asciiTheme="minorHAnsi" w:hAnsiTheme="minorHAnsi" w:cstheme="minorHAnsi"/>
          <w:sz w:val="22"/>
          <w:szCs w:val="22"/>
        </w:rPr>
        <w:t>Harmonizing policy and sharing costs across sectors and users of the marine environment</w:t>
      </w:r>
    </w:p>
    <w:p w14:paraId="62A337CB" w14:textId="77777777" w:rsidR="00AA2DC9" w:rsidRPr="00D85252" w:rsidRDefault="00AA2DC9" w:rsidP="00AA2DC9">
      <w:pPr>
        <w:pStyle w:val="ListParagraph"/>
        <w:numPr>
          <w:ilvl w:val="0"/>
          <w:numId w:val="17"/>
        </w:numPr>
        <w:rPr>
          <w:rFonts w:cstheme="minorHAnsi"/>
        </w:rPr>
      </w:pPr>
      <w:r w:rsidRPr="00D85252">
        <w:rPr>
          <w:rFonts w:cstheme="minorHAnsi"/>
        </w:rPr>
        <w:t>As noted above in the section on spatial management, other users and uses of the marine environment are increasingly impinging on historical fishing grounds, resulting in changed patterns of fishing and in many cases, a degradation of the data used to assess stock status, with important flow-on effects on harvest strategies. The loss of fishery-relevant data and information from areas closed to fishing is of particular importance and the fisheries department needs to secure agreements with other (Commonwealth) departments and agencies about monitoring and sharing the costs of monitoring, so that the fishing industry does not alone bear the costs of the degradation of information.</w:t>
      </w:r>
    </w:p>
    <w:p w14:paraId="2AA04BE7" w14:textId="77777777" w:rsidR="00AA2DC9" w:rsidRDefault="00AA2DC9" w:rsidP="00AA2DC9">
      <w:pPr>
        <w:rPr>
          <w:rFonts w:asciiTheme="majorHAnsi" w:eastAsiaTheme="majorEastAsia" w:hAnsiTheme="majorHAnsi" w:cstheme="majorBidi"/>
          <w:color w:val="2E74B5" w:themeColor="accent1" w:themeShade="BF"/>
          <w:sz w:val="32"/>
          <w:szCs w:val="32"/>
        </w:rPr>
      </w:pPr>
      <w:r>
        <w:br w:type="page"/>
      </w:r>
    </w:p>
    <w:p w14:paraId="628C98A2" w14:textId="77777777" w:rsidR="00AA2DC9" w:rsidRDefault="00AA2DC9" w:rsidP="00AA2DC9">
      <w:pPr>
        <w:pStyle w:val="Heading1"/>
      </w:pPr>
      <w:bookmarkStart w:id="11" w:name="_Toc157595680"/>
      <w:r>
        <w:lastRenderedPageBreak/>
        <w:t>References and Source Material</w:t>
      </w:r>
      <w:bookmarkEnd w:id="11"/>
    </w:p>
    <w:p w14:paraId="46C87623" w14:textId="77777777" w:rsidR="00AA2DC9" w:rsidRDefault="00AA2DC9" w:rsidP="00AA2DC9"/>
    <w:p w14:paraId="1368FD27"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See also references in the Discussion Paper at Appendix 2.</w:t>
      </w:r>
    </w:p>
    <w:p w14:paraId="3DC46BE1" w14:textId="77777777" w:rsidR="00AA2DC9" w:rsidRPr="00D85252" w:rsidRDefault="00AA2DC9" w:rsidP="00AA2DC9">
      <w:pPr>
        <w:rPr>
          <w:rFonts w:asciiTheme="minorHAnsi" w:hAnsiTheme="minorHAnsi" w:cstheme="minorHAnsi"/>
          <w:b/>
          <w:bCs/>
          <w:sz w:val="22"/>
          <w:szCs w:val="22"/>
        </w:rPr>
      </w:pPr>
      <w:r w:rsidRPr="00D85252">
        <w:rPr>
          <w:rFonts w:asciiTheme="minorHAnsi" w:hAnsiTheme="minorHAnsi" w:cstheme="minorHAnsi"/>
          <w:b/>
          <w:bCs/>
          <w:sz w:val="22"/>
          <w:szCs w:val="22"/>
        </w:rPr>
        <w:t>General</w:t>
      </w:r>
    </w:p>
    <w:p w14:paraId="336B5EBF"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FRDC Harvest Strategy Webinar, December 2023</w:t>
      </w:r>
    </w:p>
    <w:p w14:paraId="391E8E38"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Smith, DC 2023. Exploring risks facing wild-catch Commonwealth-managed fisheries – a discussion paper. November 2023. </w:t>
      </w:r>
    </w:p>
    <w:p w14:paraId="6442C319" w14:textId="77777777" w:rsidR="00AA2DC9" w:rsidRPr="00D85252" w:rsidRDefault="00AA2DC9" w:rsidP="00AA2DC9">
      <w:pPr>
        <w:rPr>
          <w:rFonts w:asciiTheme="minorHAnsi" w:hAnsiTheme="minorHAnsi" w:cstheme="minorHAnsi"/>
          <w:b/>
          <w:bCs/>
          <w:sz w:val="22"/>
          <w:szCs w:val="22"/>
        </w:rPr>
      </w:pPr>
      <w:r w:rsidRPr="00D85252">
        <w:rPr>
          <w:rFonts w:asciiTheme="minorHAnsi" w:hAnsiTheme="minorHAnsi" w:cstheme="minorHAnsi"/>
          <w:b/>
          <w:bCs/>
          <w:sz w:val="22"/>
          <w:szCs w:val="22"/>
        </w:rPr>
        <w:t>Climate</w:t>
      </w:r>
    </w:p>
    <w:p w14:paraId="70437E3B"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AFMA 2023. Integrating climate impacts and risk into TAC/E setting: A draft climate risk framework for AFMA fisheries. Unpublished workshop discussion paper, Australian Fisheries Management Authority, October 2023.</w:t>
      </w:r>
    </w:p>
    <w:p w14:paraId="684E89B4"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Bessell-Browne, P et al. 2022. The effects of implementing a ‘dynamic Bo’ harvest control rule in Australia’s Southern and Eastern Scalefish and Shark Fishery. Fisheries Research, 252: 106306</w:t>
      </w:r>
    </w:p>
    <w:p w14:paraId="2805AA5D"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Fulton, EA et al. 2023. Modelling perspective on the climate footprint in south east Australian marine waters and fisheries. ICES Journal of Marine Science, doi.org/10.1093/</w:t>
      </w:r>
      <w:proofErr w:type="spellStart"/>
      <w:r w:rsidRPr="00D85252">
        <w:rPr>
          <w:rFonts w:asciiTheme="minorHAnsi" w:hAnsiTheme="minorHAnsi" w:cstheme="minorHAnsi"/>
          <w:sz w:val="22"/>
          <w:szCs w:val="22"/>
        </w:rPr>
        <w:t>icesjms</w:t>
      </w:r>
      <w:proofErr w:type="spellEnd"/>
      <w:r w:rsidRPr="00D85252">
        <w:rPr>
          <w:rFonts w:asciiTheme="minorHAnsi" w:hAnsiTheme="minorHAnsi" w:cstheme="minorHAnsi"/>
          <w:sz w:val="22"/>
          <w:szCs w:val="22"/>
        </w:rPr>
        <w:t>/fsad185</w:t>
      </w:r>
    </w:p>
    <w:p w14:paraId="7C6581CE" w14:textId="77777777" w:rsidR="00AA2DC9" w:rsidRPr="00D85252" w:rsidRDefault="00AA2DC9" w:rsidP="00AA2DC9">
      <w:pPr>
        <w:rPr>
          <w:rFonts w:asciiTheme="minorHAnsi" w:hAnsiTheme="minorHAnsi" w:cstheme="minorHAnsi"/>
          <w:color w:val="222222"/>
          <w:sz w:val="22"/>
          <w:szCs w:val="22"/>
          <w:shd w:val="clear" w:color="auto" w:fill="FFFFFF"/>
        </w:rPr>
      </w:pPr>
      <w:r w:rsidRPr="00D85252">
        <w:rPr>
          <w:rFonts w:asciiTheme="minorHAnsi" w:hAnsiTheme="minorHAnsi" w:cstheme="minorHAnsi"/>
          <w:color w:val="222222"/>
          <w:sz w:val="22"/>
          <w:szCs w:val="22"/>
          <w:shd w:val="clear" w:color="auto" w:fill="FFFFFF"/>
        </w:rPr>
        <w:t xml:space="preserve">Penney AJ, Bessell-Browne P, Tuck GN, Blamey-Crous L, Klaer N, </w:t>
      </w:r>
      <w:proofErr w:type="spellStart"/>
      <w:r w:rsidRPr="00D85252">
        <w:rPr>
          <w:rFonts w:asciiTheme="minorHAnsi" w:hAnsiTheme="minorHAnsi" w:cstheme="minorHAnsi"/>
          <w:color w:val="222222"/>
          <w:sz w:val="22"/>
          <w:szCs w:val="22"/>
          <w:shd w:val="clear" w:color="auto" w:fill="FFFFFF"/>
        </w:rPr>
        <w:t>Plagányi</w:t>
      </w:r>
      <w:proofErr w:type="spellEnd"/>
      <w:r w:rsidRPr="00D85252">
        <w:rPr>
          <w:rFonts w:asciiTheme="minorHAnsi" w:hAnsiTheme="minorHAnsi" w:cstheme="minorHAnsi"/>
          <w:color w:val="222222"/>
          <w:sz w:val="22"/>
          <w:szCs w:val="22"/>
          <w:shd w:val="clear" w:color="auto" w:fill="FFFFFF"/>
        </w:rPr>
        <w:t xml:space="preserve"> E, Burch P, Little LR, Curin-Osorio S, Punt AE (in prep). Implementation of dynamic reference points and harvest strategies to account for environmentally driven changes in productivity in Australian fisheries. FRDC Project 2019-036. </w:t>
      </w:r>
    </w:p>
    <w:p w14:paraId="5D31BBBD"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Smith, DC, Fulton, EA and Punt, AE. 2023. Implications of climate change on harvest strategies. Workshop Report. Australian Fisheries Management Authority, October 2023.</w:t>
      </w:r>
    </w:p>
    <w:p w14:paraId="57FC1DE5" w14:textId="77777777" w:rsidR="00AA2DC9" w:rsidRPr="00D85252" w:rsidRDefault="00AA2DC9" w:rsidP="00AA2DC9">
      <w:pPr>
        <w:rPr>
          <w:rFonts w:asciiTheme="minorHAnsi" w:hAnsiTheme="minorHAnsi" w:cstheme="minorHAnsi"/>
          <w:sz w:val="22"/>
          <w:szCs w:val="22"/>
        </w:rPr>
      </w:pPr>
      <w:proofErr w:type="spellStart"/>
      <w:r w:rsidRPr="00D85252">
        <w:rPr>
          <w:rFonts w:asciiTheme="minorHAnsi" w:hAnsiTheme="minorHAnsi" w:cstheme="minorHAnsi"/>
          <w:sz w:val="22"/>
          <w:szCs w:val="22"/>
        </w:rPr>
        <w:t>Szuwalski</w:t>
      </w:r>
      <w:proofErr w:type="spellEnd"/>
      <w:r w:rsidRPr="00D85252">
        <w:rPr>
          <w:rFonts w:asciiTheme="minorHAnsi" w:hAnsiTheme="minorHAnsi" w:cstheme="minorHAnsi"/>
          <w:sz w:val="22"/>
          <w:szCs w:val="22"/>
        </w:rPr>
        <w:t xml:space="preserve">, CS et al. 2023. Unintended consequences of climate-adaptive fisheries management targets. Fish and Fisheries, </w:t>
      </w:r>
      <w:proofErr w:type="spellStart"/>
      <w:r w:rsidRPr="00D85252">
        <w:rPr>
          <w:rFonts w:asciiTheme="minorHAnsi" w:hAnsiTheme="minorHAnsi" w:cstheme="minorHAnsi"/>
          <w:sz w:val="22"/>
          <w:szCs w:val="22"/>
        </w:rPr>
        <w:t>doi</w:t>
      </w:r>
      <w:proofErr w:type="spellEnd"/>
      <w:r w:rsidRPr="00D85252">
        <w:rPr>
          <w:rFonts w:asciiTheme="minorHAnsi" w:hAnsiTheme="minorHAnsi" w:cstheme="minorHAnsi"/>
          <w:sz w:val="22"/>
          <w:szCs w:val="22"/>
        </w:rPr>
        <w:t>: 10.1111/faf.12737</w:t>
      </w:r>
    </w:p>
    <w:p w14:paraId="7E13CB08" w14:textId="77777777" w:rsidR="00AA2DC9" w:rsidRPr="00D85252" w:rsidRDefault="00AA2DC9" w:rsidP="00AA2DC9">
      <w:pPr>
        <w:rPr>
          <w:rFonts w:asciiTheme="minorHAnsi" w:hAnsiTheme="minorHAnsi" w:cstheme="minorHAnsi"/>
          <w:b/>
          <w:bCs/>
          <w:sz w:val="22"/>
          <w:szCs w:val="22"/>
        </w:rPr>
      </w:pPr>
      <w:r w:rsidRPr="00D85252">
        <w:rPr>
          <w:rFonts w:asciiTheme="minorHAnsi" w:hAnsiTheme="minorHAnsi" w:cstheme="minorHAnsi"/>
          <w:b/>
          <w:bCs/>
          <w:sz w:val="22"/>
          <w:szCs w:val="22"/>
        </w:rPr>
        <w:t>MEY and targets</w:t>
      </w:r>
    </w:p>
    <w:p w14:paraId="5860E0E0"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McShane, P et al. 2021. Resource access and allocation.</w:t>
      </w:r>
      <w:r w:rsidRPr="00D85252">
        <w:rPr>
          <w:rFonts w:asciiTheme="minorHAnsi" w:hAnsiTheme="minorHAnsi" w:cstheme="minorHAnsi"/>
          <w:sz w:val="22"/>
          <w:szCs w:val="22"/>
        </w:rPr>
        <w:tab/>
        <w:t>Marine Policy, 132: 104702</w:t>
      </w:r>
    </w:p>
    <w:p w14:paraId="179FCBAB"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Pascoe, S et al. 2019. Developing harvest strategies to achieve ecological, </w:t>
      </w:r>
      <w:proofErr w:type="gramStart"/>
      <w:r w:rsidRPr="00D85252">
        <w:rPr>
          <w:rFonts w:asciiTheme="minorHAnsi" w:hAnsiTheme="minorHAnsi" w:cstheme="minorHAnsi"/>
          <w:sz w:val="22"/>
          <w:szCs w:val="22"/>
        </w:rPr>
        <w:t>economic</w:t>
      </w:r>
      <w:proofErr w:type="gramEnd"/>
      <w:r w:rsidRPr="00D85252">
        <w:rPr>
          <w:rFonts w:asciiTheme="minorHAnsi" w:hAnsiTheme="minorHAnsi" w:cstheme="minorHAnsi"/>
          <w:sz w:val="22"/>
          <w:szCs w:val="22"/>
        </w:rPr>
        <w:t xml:space="preserve"> and social sustainability in multi-sector fisheries. Sustainability, 11: 644, doi:10.3390/su1030644 </w:t>
      </w:r>
      <w:r w:rsidRPr="00D85252">
        <w:rPr>
          <w:rFonts w:asciiTheme="minorHAnsi" w:hAnsiTheme="minorHAnsi" w:cstheme="minorHAnsi"/>
          <w:sz w:val="22"/>
          <w:szCs w:val="22"/>
        </w:rPr>
        <w:tab/>
      </w:r>
    </w:p>
    <w:p w14:paraId="68550DE0"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Pascoe, S. et al. 2020. Effectiveness of harvest strategies in achieving multiple management objectives in a multispecies fishery. Australian Journal of Agricultural and Resource Economics, 59: 1-24. </w:t>
      </w:r>
      <w:r w:rsidRPr="00D85252">
        <w:rPr>
          <w:rFonts w:asciiTheme="minorHAnsi" w:hAnsiTheme="minorHAnsi" w:cstheme="minorHAnsi"/>
          <w:sz w:val="22"/>
          <w:szCs w:val="22"/>
        </w:rPr>
        <w:tab/>
      </w:r>
    </w:p>
    <w:p w14:paraId="22023167"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Pascoe, S et al. 2023. Estimating economic-based target reference points for key species in multi-species multi-metier fisheries. Can. J. Fish. </w:t>
      </w:r>
      <w:proofErr w:type="spellStart"/>
      <w:r w:rsidRPr="00D85252">
        <w:rPr>
          <w:rFonts w:asciiTheme="minorHAnsi" w:hAnsiTheme="minorHAnsi" w:cstheme="minorHAnsi"/>
          <w:sz w:val="22"/>
          <w:szCs w:val="22"/>
        </w:rPr>
        <w:t>Aquat</w:t>
      </w:r>
      <w:proofErr w:type="spellEnd"/>
      <w:r w:rsidRPr="00D85252">
        <w:rPr>
          <w:rFonts w:asciiTheme="minorHAnsi" w:hAnsiTheme="minorHAnsi" w:cstheme="minorHAnsi"/>
          <w:sz w:val="22"/>
          <w:szCs w:val="22"/>
        </w:rPr>
        <w:t>. Sci. 80: 732-746.</w:t>
      </w:r>
    </w:p>
    <w:p w14:paraId="492E0CE4"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Punt, AE et al. 2013. Selecting relative abundance proxies for </w:t>
      </w:r>
      <w:r w:rsidRPr="00D85252">
        <w:rPr>
          <w:rFonts w:asciiTheme="minorHAnsi" w:hAnsiTheme="minorHAnsi" w:cstheme="minorHAnsi"/>
          <w:i/>
          <w:iCs/>
          <w:sz w:val="22"/>
          <w:szCs w:val="22"/>
        </w:rPr>
        <w:t>B</w:t>
      </w:r>
      <w:r w:rsidRPr="00D85252">
        <w:rPr>
          <w:rFonts w:asciiTheme="minorHAnsi" w:hAnsiTheme="minorHAnsi" w:cstheme="minorHAnsi"/>
          <w:sz w:val="22"/>
          <w:szCs w:val="22"/>
          <w:vertAlign w:val="subscript"/>
        </w:rPr>
        <w:t>MSY</w:t>
      </w:r>
      <w:r w:rsidRPr="00D85252">
        <w:rPr>
          <w:rFonts w:asciiTheme="minorHAnsi" w:hAnsiTheme="minorHAnsi" w:cstheme="minorHAnsi"/>
          <w:sz w:val="22"/>
          <w:szCs w:val="22"/>
        </w:rPr>
        <w:t xml:space="preserve"> and </w:t>
      </w:r>
      <w:r w:rsidRPr="00D85252">
        <w:rPr>
          <w:rFonts w:asciiTheme="minorHAnsi" w:hAnsiTheme="minorHAnsi" w:cstheme="minorHAnsi"/>
          <w:i/>
          <w:iCs/>
          <w:sz w:val="22"/>
          <w:szCs w:val="22"/>
        </w:rPr>
        <w:t>B</w:t>
      </w:r>
      <w:r w:rsidRPr="00D85252">
        <w:rPr>
          <w:rFonts w:asciiTheme="minorHAnsi" w:hAnsiTheme="minorHAnsi" w:cstheme="minorHAnsi"/>
          <w:sz w:val="22"/>
          <w:szCs w:val="22"/>
          <w:vertAlign w:val="subscript"/>
        </w:rPr>
        <w:t>MEY</w:t>
      </w:r>
      <w:r w:rsidRPr="00D85252">
        <w:rPr>
          <w:rFonts w:asciiTheme="minorHAnsi" w:hAnsiTheme="minorHAnsi" w:cstheme="minorHAnsi"/>
          <w:sz w:val="22"/>
          <w:szCs w:val="22"/>
        </w:rPr>
        <w:t xml:space="preserve">. ICES Journal of Marine Science, </w:t>
      </w:r>
      <w:proofErr w:type="spellStart"/>
      <w:r w:rsidRPr="00D85252">
        <w:rPr>
          <w:rFonts w:asciiTheme="minorHAnsi" w:hAnsiTheme="minorHAnsi" w:cstheme="minorHAnsi"/>
          <w:sz w:val="22"/>
          <w:szCs w:val="22"/>
        </w:rPr>
        <w:t>doi</w:t>
      </w:r>
      <w:proofErr w:type="spellEnd"/>
      <w:r w:rsidRPr="00D85252">
        <w:rPr>
          <w:rFonts w:asciiTheme="minorHAnsi" w:hAnsiTheme="minorHAnsi" w:cstheme="minorHAnsi"/>
          <w:sz w:val="22"/>
          <w:szCs w:val="22"/>
        </w:rPr>
        <w:t>. 10.1093/</w:t>
      </w:r>
      <w:proofErr w:type="spellStart"/>
      <w:r w:rsidRPr="00D85252">
        <w:rPr>
          <w:rFonts w:asciiTheme="minorHAnsi" w:hAnsiTheme="minorHAnsi" w:cstheme="minorHAnsi"/>
          <w:sz w:val="22"/>
          <w:szCs w:val="22"/>
        </w:rPr>
        <w:t>icesjms</w:t>
      </w:r>
      <w:proofErr w:type="spellEnd"/>
      <w:r w:rsidRPr="00D85252">
        <w:rPr>
          <w:rFonts w:asciiTheme="minorHAnsi" w:hAnsiTheme="minorHAnsi" w:cstheme="minorHAnsi"/>
          <w:sz w:val="22"/>
          <w:szCs w:val="22"/>
        </w:rPr>
        <w:t>/fst162</w:t>
      </w:r>
    </w:p>
    <w:p w14:paraId="06B163D1"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lastRenderedPageBreak/>
        <w:t>Rust, S. et al., 2017 Excess capacity and efficiency in the quota managed Tasmanian Rock Lobster Fishery, Marine Policy, 76, 55-62.</w:t>
      </w:r>
    </w:p>
    <w:p w14:paraId="5E4F0C5C" w14:textId="77777777" w:rsidR="00AA2DC9" w:rsidRPr="00D85252" w:rsidRDefault="00AA2DC9" w:rsidP="00AA2DC9">
      <w:pPr>
        <w:rPr>
          <w:rFonts w:asciiTheme="minorHAnsi" w:hAnsiTheme="minorHAnsi" w:cstheme="minorHAnsi"/>
          <w:b/>
          <w:bCs/>
          <w:sz w:val="22"/>
          <w:szCs w:val="22"/>
        </w:rPr>
      </w:pPr>
      <w:r w:rsidRPr="00D85252">
        <w:rPr>
          <w:rFonts w:asciiTheme="minorHAnsi" w:hAnsiTheme="minorHAnsi" w:cstheme="minorHAnsi"/>
          <w:b/>
          <w:bCs/>
          <w:sz w:val="22"/>
          <w:szCs w:val="22"/>
        </w:rPr>
        <w:t>Spatial squeeze</w:t>
      </w:r>
    </w:p>
    <w:p w14:paraId="199A118C"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Field, JC et al. 2006. Does MPA mean ‘Major Problem for Assessments’? Considering the consequences of place-based management systems. Fish and Fisheries, 7: 284-302</w:t>
      </w:r>
    </w:p>
    <w:p w14:paraId="469FDF75" w14:textId="77777777" w:rsidR="00AA2DC9" w:rsidRPr="00D85252" w:rsidRDefault="00AA2DC9" w:rsidP="00097C91">
      <w:pPr>
        <w:rPr>
          <w:rFonts w:asciiTheme="minorHAnsi" w:hAnsiTheme="minorHAnsi" w:cstheme="minorHAnsi"/>
          <w:sz w:val="22"/>
          <w:szCs w:val="22"/>
        </w:rPr>
      </w:pPr>
      <w:r w:rsidRPr="00D85252">
        <w:rPr>
          <w:rFonts w:asciiTheme="minorHAnsi" w:hAnsiTheme="minorHAnsi" w:cstheme="minorHAnsi"/>
          <w:sz w:val="22"/>
          <w:szCs w:val="22"/>
        </w:rPr>
        <w:t>Hammar, L et al. 2020. Cumulative impact assessment of ecosystem-based marine spatial planning. Science of the Total Environment, 734: 139024</w:t>
      </w:r>
    </w:p>
    <w:p w14:paraId="7E4C5CCC" w14:textId="77777777" w:rsidR="00AA2DC9" w:rsidRPr="00D85252" w:rsidRDefault="00AA2DC9" w:rsidP="00097C91">
      <w:pPr>
        <w:rPr>
          <w:rFonts w:asciiTheme="minorHAnsi" w:hAnsiTheme="minorHAnsi" w:cstheme="minorHAnsi"/>
          <w:color w:val="auto"/>
          <w:sz w:val="22"/>
          <w:szCs w:val="22"/>
        </w:rPr>
      </w:pPr>
      <w:r w:rsidRPr="00D85252">
        <w:rPr>
          <w:rFonts w:asciiTheme="minorHAnsi" w:eastAsiaTheme="minorHAnsi" w:hAnsiTheme="minorHAnsi" w:cstheme="minorHAnsi"/>
          <w:color w:val="auto"/>
          <w:sz w:val="22"/>
          <w:szCs w:val="22"/>
        </w:rPr>
        <w:t xml:space="preserve">Hayes, KR et al. 2019. Designing monitoring programs for marine protected areas within an </w:t>
      </w:r>
      <w:proofErr w:type="gramStart"/>
      <w:r w:rsidRPr="00D85252">
        <w:rPr>
          <w:rFonts w:asciiTheme="minorHAnsi" w:eastAsiaTheme="minorHAnsi" w:hAnsiTheme="minorHAnsi" w:cstheme="minorHAnsi"/>
          <w:color w:val="auto"/>
          <w:sz w:val="22"/>
          <w:szCs w:val="22"/>
        </w:rPr>
        <w:t>evidence based</w:t>
      </w:r>
      <w:proofErr w:type="gramEnd"/>
      <w:r w:rsidRPr="00D85252">
        <w:rPr>
          <w:rFonts w:asciiTheme="minorHAnsi" w:eastAsiaTheme="minorHAnsi" w:hAnsiTheme="minorHAnsi" w:cstheme="minorHAnsi"/>
          <w:color w:val="auto"/>
          <w:sz w:val="22"/>
          <w:szCs w:val="22"/>
        </w:rPr>
        <w:t xml:space="preserve"> decision making paradigm. Frontiers in Marine Science 6. </w:t>
      </w:r>
      <w:r w:rsidRPr="00D85252">
        <w:rPr>
          <w:rFonts w:asciiTheme="minorHAnsi" w:hAnsiTheme="minorHAnsi" w:cstheme="minorHAnsi"/>
          <w:color w:val="auto"/>
          <w:sz w:val="22"/>
          <w:szCs w:val="22"/>
        </w:rPr>
        <w:t>DOI:10.3389/fmars.2019.00746</w:t>
      </w:r>
    </w:p>
    <w:p w14:paraId="1FEEEF6F" w14:textId="77777777" w:rsidR="00AA2DC9" w:rsidRPr="00D85252" w:rsidRDefault="00AA2DC9" w:rsidP="00097C91">
      <w:pPr>
        <w:rPr>
          <w:rFonts w:asciiTheme="minorHAnsi" w:hAnsiTheme="minorHAnsi" w:cstheme="minorHAnsi"/>
          <w:sz w:val="22"/>
          <w:szCs w:val="22"/>
        </w:rPr>
      </w:pPr>
      <w:r w:rsidRPr="00D85252">
        <w:rPr>
          <w:rFonts w:asciiTheme="minorHAnsi" w:hAnsiTheme="minorHAnsi" w:cstheme="minorHAnsi"/>
          <w:sz w:val="22"/>
          <w:szCs w:val="22"/>
        </w:rPr>
        <w:t xml:space="preserve">Hilborn, R et al. 2006. Integrating marine protected areas with catch regulation. Can. J. Fish. </w:t>
      </w:r>
      <w:proofErr w:type="spellStart"/>
      <w:r w:rsidRPr="00D85252">
        <w:rPr>
          <w:rFonts w:asciiTheme="minorHAnsi" w:hAnsiTheme="minorHAnsi" w:cstheme="minorHAnsi"/>
          <w:sz w:val="22"/>
          <w:szCs w:val="22"/>
        </w:rPr>
        <w:t>Aquat</w:t>
      </w:r>
      <w:proofErr w:type="spellEnd"/>
      <w:r w:rsidRPr="00D85252">
        <w:rPr>
          <w:rFonts w:asciiTheme="minorHAnsi" w:hAnsiTheme="minorHAnsi" w:cstheme="minorHAnsi"/>
          <w:sz w:val="22"/>
          <w:szCs w:val="22"/>
        </w:rPr>
        <w:t>. Sci. 63: 642-649</w:t>
      </w:r>
    </w:p>
    <w:p w14:paraId="2C643F34"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Ovando, D et al. 2020. Assessing the population-level conservation effects of marine protected areas. Conservation Biology, doi:10.1111/cobi.13782</w:t>
      </w:r>
    </w:p>
    <w:p w14:paraId="1CD98B7B" w14:textId="77777777" w:rsidR="00AA2DC9" w:rsidRPr="00D85252" w:rsidRDefault="00AA2DC9" w:rsidP="00AA2DC9">
      <w:pPr>
        <w:rPr>
          <w:rFonts w:asciiTheme="minorHAnsi" w:hAnsiTheme="minorHAnsi" w:cstheme="minorHAnsi"/>
          <w:sz w:val="22"/>
          <w:szCs w:val="22"/>
        </w:rPr>
      </w:pPr>
      <w:proofErr w:type="spellStart"/>
      <w:r w:rsidRPr="00D85252">
        <w:rPr>
          <w:rFonts w:asciiTheme="minorHAnsi" w:hAnsiTheme="minorHAnsi" w:cstheme="minorHAnsi"/>
          <w:sz w:val="22"/>
          <w:szCs w:val="22"/>
        </w:rPr>
        <w:t>Rassweiler</w:t>
      </w:r>
      <w:proofErr w:type="spellEnd"/>
      <w:r w:rsidRPr="00D85252">
        <w:rPr>
          <w:rFonts w:asciiTheme="minorHAnsi" w:hAnsiTheme="minorHAnsi" w:cstheme="minorHAnsi"/>
          <w:sz w:val="22"/>
          <w:szCs w:val="22"/>
        </w:rPr>
        <w:t>, A et al. 2014. Integrating scientific guidance into marine spatial planning. Proc. R. Soc. B, 281: 20132252</w:t>
      </w:r>
    </w:p>
    <w:p w14:paraId="60C89C23"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Werner, KM et al. 2024. Offshore wind farm foundations as artificial reefs: The devil is in the detail. Fisheries Research, 272: 106937</w:t>
      </w:r>
    </w:p>
    <w:p w14:paraId="0B1ADC3C" w14:textId="77777777" w:rsidR="00AA2DC9" w:rsidRPr="00D85252" w:rsidRDefault="00AA2DC9" w:rsidP="00AA2DC9">
      <w:pPr>
        <w:rPr>
          <w:rFonts w:asciiTheme="minorHAnsi" w:hAnsiTheme="minorHAnsi" w:cstheme="minorHAnsi"/>
          <w:b/>
          <w:bCs/>
          <w:sz w:val="22"/>
          <w:szCs w:val="22"/>
        </w:rPr>
      </w:pPr>
      <w:r w:rsidRPr="00D85252">
        <w:rPr>
          <w:rFonts w:asciiTheme="minorHAnsi" w:hAnsiTheme="minorHAnsi" w:cstheme="minorHAnsi"/>
          <w:b/>
          <w:bCs/>
          <w:sz w:val="22"/>
          <w:szCs w:val="22"/>
        </w:rPr>
        <w:t>Multispecies harvest strategies</w:t>
      </w:r>
    </w:p>
    <w:p w14:paraId="207FA465"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Corrie, D, Little, R, Punt, A, Fulton, B and Pascoe, S. 2024. Implementing a multi-species harvest strategy for the Southern and Eastern Scalefish and Shark Fishery (SESSF): Operationalising the preferred harvest strategy. Draft Workshop Report, Australian Fisheries Management Authority, January 2024.</w:t>
      </w:r>
    </w:p>
    <w:p w14:paraId="5BD26BD0"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Little, LR et al. 2023. Developing and testing a multi-species harvest strategy for the SESSF. FRDC Project 2018/040. </w:t>
      </w:r>
    </w:p>
    <w:p w14:paraId="327F0273"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Newman, SJ et al. 2018. A risk assessment and prioritization approach to the selection of indicator species for the assessment of multi-species, multi-gear, multi-sector fishery resources. Marine Policy, 88: 11-22. </w:t>
      </w:r>
    </w:p>
    <w:p w14:paraId="4D8DC13B" w14:textId="77777777" w:rsidR="00AA2DC9" w:rsidRDefault="00AA2DC9" w:rsidP="00AA2DC9">
      <w:pPr>
        <w:rPr>
          <w:rFonts w:cstheme="minorHAnsi"/>
        </w:rPr>
      </w:pPr>
    </w:p>
    <w:p w14:paraId="523ACAE6" w14:textId="77777777" w:rsidR="00AA2DC9" w:rsidRDefault="00AA2DC9" w:rsidP="00AA2DC9">
      <w:pPr>
        <w:pStyle w:val="Heading1"/>
      </w:pPr>
      <w:bookmarkStart w:id="12" w:name="_Toc157595681"/>
      <w:r>
        <w:t>Acknowledgements</w:t>
      </w:r>
      <w:bookmarkEnd w:id="12"/>
    </w:p>
    <w:p w14:paraId="3486CAEC"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This review has benefited from discussions with many colleagues as well as the involvement of the authors in the recent workshops and meetings listed in the source material. Special mention should be made of the benefit derived from discussions on key topics with David Smith, Beth Fulton, Rich Little, Pia Bessell-Browne, Alice McDonald, Dan Corrie, Andrew </w:t>
      </w:r>
      <w:proofErr w:type="gramStart"/>
      <w:r w:rsidRPr="00D85252">
        <w:rPr>
          <w:rFonts w:asciiTheme="minorHAnsi" w:hAnsiTheme="minorHAnsi" w:cstheme="minorHAnsi"/>
          <w:sz w:val="22"/>
          <w:szCs w:val="22"/>
        </w:rPr>
        <w:t>Penney</w:t>
      </w:r>
      <w:proofErr w:type="gramEnd"/>
      <w:r w:rsidRPr="00D85252">
        <w:rPr>
          <w:rFonts w:asciiTheme="minorHAnsi" w:hAnsiTheme="minorHAnsi" w:cstheme="minorHAnsi"/>
          <w:sz w:val="22"/>
          <w:szCs w:val="22"/>
        </w:rPr>
        <w:t xml:space="preserve"> and Keith Sainsbury. Helpful advice and guidance were provided by George Day and his team at DAFF. Kate </w:t>
      </w:r>
      <w:proofErr w:type="spellStart"/>
      <w:r w:rsidRPr="00D85252">
        <w:rPr>
          <w:rFonts w:asciiTheme="minorHAnsi" w:hAnsiTheme="minorHAnsi" w:cstheme="minorHAnsi"/>
          <w:sz w:val="22"/>
          <w:szCs w:val="22"/>
        </w:rPr>
        <w:t>Ollerhead</w:t>
      </w:r>
      <w:proofErr w:type="spellEnd"/>
      <w:r w:rsidRPr="00D85252">
        <w:rPr>
          <w:rFonts w:asciiTheme="minorHAnsi" w:hAnsiTheme="minorHAnsi" w:cstheme="minorHAnsi"/>
          <w:sz w:val="22"/>
          <w:szCs w:val="22"/>
        </w:rPr>
        <w:t xml:space="preserve"> </w:t>
      </w:r>
      <w:proofErr w:type="gramStart"/>
      <w:r w:rsidRPr="00D85252">
        <w:rPr>
          <w:rFonts w:asciiTheme="minorHAnsi" w:hAnsiTheme="minorHAnsi" w:cstheme="minorHAnsi"/>
          <w:sz w:val="22"/>
          <w:szCs w:val="22"/>
        </w:rPr>
        <w:t>provided assistance</w:t>
      </w:r>
      <w:proofErr w:type="gramEnd"/>
      <w:r w:rsidRPr="00D85252">
        <w:rPr>
          <w:rFonts w:asciiTheme="minorHAnsi" w:hAnsiTheme="minorHAnsi" w:cstheme="minorHAnsi"/>
          <w:sz w:val="22"/>
          <w:szCs w:val="22"/>
        </w:rPr>
        <w:t xml:space="preserve"> with literature searches and helped draft sections of the discussion paper at Appendix 2.</w:t>
      </w:r>
    </w:p>
    <w:p w14:paraId="322392C2" w14:textId="77777777" w:rsidR="00AA2DC9" w:rsidRDefault="00AA2DC9" w:rsidP="00AA2DC9">
      <w:pPr>
        <w:rPr>
          <w:rFonts w:asciiTheme="majorHAnsi" w:eastAsiaTheme="majorEastAsia" w:hAnsiTheme="majorHAnsi" w:cstheme="majorBidi"/>
          <w:color w:val="2E74B5" w:themeColor="accent1" w:themeShade="BF"/>
          <w:sz w:val="32"/>
          <w:szCs w:val="32"/>
        </w:rPr>
      </w:pPr>
      <w:r>
        <w:br w:type="page"/>
      </w:r>
    </w:p>
    <w:p w14:paraId="19C1D9D8" w14:textId="77777777" w:rsidR="00AA2DC9" w:rsidRDefault="00AA2DC9" w:rsidP="00AA2DC9">
      <w:pPr>
        <w:pStyle w:val="Heading1"/>
      </w:pPr>
      <w:bookmarkStart w:id="13" w:name="_Toc157595682"/>
      <w:r>
        <w:lastRenderedPageBreak/>
        <w:t>Appendix 1</w:t>
      </w:r>
      <w:r>
        <w:tab/>
        <w:t>Consumer surplus</w:t>
      </w:r>
      <w:bookmarkEnd w:id="13"/>
    </w:p>
    <w:p w14:paraId="6881E46E" w14:textId="77777777" w:rsidR="00D85252" w:rsidRDefault="00D85252" w:rsidP="00097C91"/>
    <w:p w14:paraId="6CE29104" w14:textId="18E6C78B" w:rsidR="00AA2DC9" w:rsidRPr="00D85252" w:rsidRDefault="00AA2DC9" w:rsidP="00097C91">
      <w:pPr>
        <w:rPr>
          <w:rFonts w:asciiTheme="minorHAnsi" w:hAnsiTheme="minorHAnsi" w:cstheme="minorHAnsi"/>
          <w:i/>
          <w:iCs/>
          <w:sz w:val="22"/>
          <w:szCs w:val="22"/>
        </w:rPr>
      </w:pPr>
      <w:r w:rsidRPr="00D85252">
        <w:rPr>
          <w:rFonts w:asciiTheme="minorHAnsi" w:hAnsiTheme="minorHAnsi" w:cstheme="minorHAnsi"/>
          <w:i/>
          <w:iCs/>
          <w:sz w:val="22"/>
          <w:szCs w:val="22"/>
        </w:rPr>
        <w:t>Producer surplus, consumer surplus….and how these are controlled by government decisions with fisheries management objectives and catch settings.</w:t>
      </w:r>
    </w:p>
    <w:p w14:paraId="65A94D9B"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This appendix explains the concept of “producer surplus” which is used in the report in the discussion of the MEY biomass target.  The 2018 policy interprets the legislative objective of “maximising economic returns” to mean that a B</w:t>
      </w:r>
      <w:r w:rsidRPr="00D85252">
        <w:rPr>
          <w:rFonts w:asciiTheme="minorHAnsi" w:hAnsiTheme="minorHAnsi" w:cstheme="minorHAnsi"/>
          <w:sz w:val="22"/>
          <w:szCs w:val="22"/>
          <w:vertAlign w:val="subscript"/>
        </w:rPr>
        <w:t>MEY</w:t>
      </w:r>
      <w:r w:rsidRPr="00D85252">
        <w:rPr>
          <w:rFonts w:asciiTheme="minorHAnsi" w:hAnsiTheme="minorHAnsi" w:cstheme="minorHAnsi"/>
          <w:sz w:val="22"/>
          <w:szCs w:val="22"/>
        </w:rPr>
        <w:t xml:space="preserve"> target should be pursued.  This interpretation of B</w:t>
      </w:r>
      <w:r w:rsidRPr="00D85252">
        <w:rPr>
          <w:rFonts w:asciiTheme="minorHAnsi" w:hAnsiTheme="minorHAnsi" w:cstheme="minorHAnsi"/>
          <w:sz w:val="22"/>
          <w:szCs w:val="22"/>
          <w:vertAlign w:val="subscript"/>
        </w:rPr>
        <w:t>MEY</w:t>
      </w:r>
      <w:r w:rsidRPr="00D85252">
        <w:rPr>
          <w:rFonts w:asciiTheme="minorHAnsi" w:hAnsiTheme="minorHAnsi" w:cstheme="minorHAnsi"/>
          <w:sz w:val="22"/>
          <w:szCs w:val="22"/>
        </w:rPr>
        <w:t xml:space="preserve"> was limited to producers only and this appendix explains that there are other ways to interpret that objective.  </w:t>
      </w:r>
    </w:p>
    <w:p w14:paraId="2B13298C"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The supply-demand relationship is well known for goods like fish that are traded in markets.  If price is higher </w:t>
      </w:r>
      <w:proofErr w:type="spellStart"/>
      <w:r w:rsidRPr="00D85252">
        <w:rPr>
          <w:rFonts w:asciiTheme="minorHAnsi" w:hAnsiTheme="minorHAnsi" w:cstheme="minorHAnsi"/>
          <w:sz w:val="22"/>
          <w:szCs w:val="22"/>
        </w:rPr>
        <w:t>then</w:t>
      </w:r>
      <w:proofErr w:type="spellEnd"/>
      <w:r w:rsidRPr="00D85252">
        <w:rPr>
          <w:rFonts w:asciiTheme="minorHAnsi" w:hAnsiTheme="minorHAnsi" w:cstheme="minorHAnsi"/>
          <w:sz w:val="22"/>
          <w:szCs w:val="22"/>
        </w:rPr>
        <w:t xml:space="preserve"> producers will increase production.   If price is lower, then more will be consumed.  If the good is traded in an open, competitive market then the amount produced / consumed will be at the intersection of these two competing curves representing a market equilibrium.  So, in the example below, X fish will be supplied/consumed at price Y. </w:t>
      </w:r>
    </w:p>
    <w:p w14:paraId="192DAB77"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Australian commercial fisheries with non-binding TACs are close to being competitive open markets with supply driven by markets rather than regulations.  </w:t>
      </w:r>
    </w:p>
    <w:p w14:paraId="0817B246" w14:textId="77777777" w:rsidR="00AA2DC9" w:rsidRDefault="00AA2DC9" w:rsidP="00AA2DC9">
      <w:r>
        <w:rPr>
          <w:noProof/>
        </w:rPr>
        <mc:AlternateContent>
          <mc:Choice Requires="wpg">
            <w:drawing>
              <wp:inline distT="0" distB="0" distL="0" distR="0" wp14:anchorId="08E5DDB3" wp14:editId="7576C10A">
                <wp:extent cx="4572000" cy="2743200"/>
                <wp:effectExtent l="0" t="0" r="0" b="0"/>
                <wp:docPr id="15" name="Group 14">
                  <a:extLst xmlns:a="http://schemas.openxmlformats.org/drawingml/2006/main">
                    <a:ext uri="{FF2B5EF4-FFF2-40B4-BE49-F238E27FC236}">
                      <a16:creationId xmlns:a16="http://schemas.microsoft.com/office/drawing/2014/main" id="{CE8C4766-3FF0-A265-23D8-769164515045}"/>
                    </a:ext>
                  </a:extLst>
                </wp:docPr>
                <wp:cNvGraphicFramePr/>
                <a:graphic xmlns:a="http://schemas.openxmlformats.org/drawingml/2006/main">
                  <a:graphicData uri="http://schemas.microsoft.com/office/word/2010/wordprocessingGroup">
                    <wpg:wgp>
                      <wpg:cNvGrpSpPr/>
                      <wpg:grpSpPr>
                        <a:xfrm>
                          <a:off x="0" y="0"/>
                          <a:ext cx="4572000" cy="2743200"/>
                          <a:chOff x="0" y="0"/>
                          <a:chExt cx="4572000" cy="2743200"/>
                        </a:xfrm>
                      </wpg:grpSpPr>
                      <wpg:grpSp>
                        <wpg:cNvPr id="169804333" name="Group 169804333">
                          <a:extLst>
                            <a:ext uri="{FF2B5EF4-FFF2-40B4-BE49-F238E27FC236}">
                              <a16:creationId xmlns:a16="http://schemas.microsoft.com/office/drawing/2014/main" id="{69B12AFC-EDE1-3151-5E54-22FCE3D7E33B}"/>
                            </a:ext>
                          </a:extLst>
                        </wpg:cNvPr>
                        <wpg:cNvGrpSpPr/>
                        <wpg:grpSpPr>
                          <a:xfrm>
                            <a:off x="0" y="0"/>
                            <a:ext cx="4572000" cy="2743200"/>
                            <a:chOff x="0" y="0"/>
                            <a:chExt cx="4572000" cy="2743200"/>
                          </a:xfrm>
                        </wpg:grpSpPr>
                        <wpg:graphicFrame>
                          <wpg:cNvPr id="338811567" name="Chart 338811567">
                            <a:extLst>
                              <a:ext uri="{FF2B5EF4-FFF2-40B4-BE49-F238E27FC236}">
                                <a16:creationId xmlns:a16="http://schemas.microsoft.com/office/drawing/2014/main" id="{D9E5DFA3-747F-5BB0-6374-3753B44E2ADB}"/>
                              </a:ext>
                            </a:extLst>
                          </wpg:cNvPr>
                          <wpg:cNvFrPr/>
                          <wpg:xfrm>
                            <a:off x="0" y="0"/>
                            <a:ext cx="4572000" cy="2743200"/>
                          </wpg:xfrm>
                          <a:graphic>
                            <a:graphicData uri="http://schemas.openxmlformats.org/drawingml/2006/chart">
                              <c:chart xmlns:c="http://schemas.openxmlformats.org/drawingml/2006/chart" xmlns:r="http://schemas.openxmlformats.org/officeDocument/2006/relationships" r:id="rId13"/>
                            </a:graphicData>
                          </a:graphic>
                        </wpg:graphicFrame>
                        <wps:wsp>
                          <wps:cNvPr id="1684355255" name="Straight Arrow Connector 1684355255">
                            <a:extLst>
                              <a:ext uri="{FF2B5EF4-FFF2-40B4-BE49-F238E27FC236}">
                                <a16:creationId xmlns:a16="http://schemas.microsoft.com/office/drawing/2014/main" id="{C2F21CE6-E08F-5CC4-A9D7-EE6FE23026E5}"/>
                              </a:ext>
                            </a:extLst>
                          </wps:cNvPr>
                          <wps:cNvCnPr/>
                          <wps:spPr>
                            <a:xfrm>
                              <a:off x="3611880" y="1459230"/>
                              <a:ext cx="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797727082" name="Group 1797727082">
                          <a:extLst>
                            <a:ext uri="{FF2B5EF4-FFF2-40B4-BE49-F238E27FC236}">
                              <a16:creationId xmlns:a16="http://schemas.microsoft.com/office/drawing/2014/main" id="{835A5BA8-00D2-D5C4-AD94-8DA63BC0546C}"/>
                            </a:ext>
                          </a:extLst>
                        </wpg:cNvPr>
                        <wpg:cNvGrpSpPr/>
                        <wpg:grpSpPr>
                          <a:xfrm>
                            <a:off x="129540" y="1184910"/>
                            <a:ext cx="3669030" cy="1386840"/>
                            <a:chOff x="129540" y="1184910"/>
                            <a:chExt cx="3669030" cy="1386840"/>
                          </a:xfrm>
                        </wpg:grpSpPr>
                        <wps:wsp>
                          <wps:cNvPr id="625336038" name="Straight Arrow Connector 625336038">
                            <a:extLst>
                              <a:ext uri="{FF2B5EF4-FFF2-40B4-BE49-F238E27FC236}">
                                <a16:creationId xmlns:a16="http://schemas.microsoft.com/office/drawing/2014/main" id="{A1F2DF95-98C7-7DE9-3610-C1B9EBA9225E}"/>
                              </a:ext>
                            </a:extLst>
                          </wps:cNvPr>
                          <wps:cNvCnPr/>
                          <wps:spPr>
                            <a:xfrm flipH="1" flipV="1">
                              <a:off x="480060" y="1329690"/>
                              <a:ext cx="2910840" cy="60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41879182" name="TextBox 11">
                            <a:extLst>
                              <a:ext uri="{FF2B5EF4-FFF2-40B4-BE49-F238E27FC236}">
                                <a16:creationId xmlns:a16="http://schemas.microsoft.com/office/drawing/2014/main" id="{40584C9B-E195-57B6-9AFC-636C95B8A7E5}"/>
                              </a:ext>
                            </a:extLst>
                          </wps:cNvPr>
                          <wps:cNvSpPr txBox="1"/>
                          <wps:spPr>
                            <a:xfrm>
                              <a:off x="3505200" y="2152650"/>
                              <a:ext cx="293370" cy="4191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1BC1CD1" w14:textId="77777777" w:rsidR="00AA2DC9" w:rsidRDefault="00AA2DC9" w:rsidP="00AA2DC9">
                                <w:pPr>
                                  <w:rPr>
                                    <w:rFonts w:hAnsi="Calibri"/>
                                    <w:color w:val="000000" w:themeColor="text1"/>
                                  </w:rPr>
                                </w:pPr>
                                <w:r>
                                  <w:rPr>
                                    <w:rFonts w:hAnsi="Calibri"/>
                                    <w:color w:val="000000" w:themeColor="text1"/>
                                  </w:rPr>
                                  <w:t>X</w:t>
                                </w:r>
                              </w:p>
                            </w:txbxContent>
                          </wps:txbx>
                          <wps:bodyPr wrap="none" rtlCol="0" anchor="t">
                            <a:spAutoFit/>
                          </wps:bodyPr>
                        </wps:wsp>
                        <wps:wsp>
                          <wps:cNvPr id="2071016619" name="TextBox 12">
                            <a:extLst>
                              <a:ext uri="{FF2B5EF4-FFF2-40B4-BE49-F238E27FC236}">
                                <a16:creationId xmlns:a16="http://schemas.microsoft.com/office/drawing/2014/main" id="{43767A2C-A7F7-44AC-8C76-F4794C5EE06E}"/>
                              </a:ext>
                            </a:extLst>
                          </wps:cNvPr>
                          <wps:cNvSpPr txBox="1"/>
                          <wps:spPr>
                            <a:xfrm>
                              <a:off x="129540" y="1184910"/>
                              <a:ext cx="293370" cy="4191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871BD55" w14:textId="77777777" w:rsidR="00AA2DC9" w:rsidRDefault="00AA2DC9" w:rsidP="00AA2DC9">
                                <w:pPr>
                                  <w:rPr>
                                    <w:rFonts w:hAnsi="Calibri"/>
                                    <w:color w:val="000000" w:themeColor="text1"/>
                                  </w:rPr>
                                </w:pPr>
                                <w:r>
                                  <w:rPr>
                                    <w:rFonts w:hAnsi="Calibri"/>
                                    <w:color w:val="000000" w:themeColor="text1"/>
                                  </w:rPr>
                                  <w:t>Y</w:t>
                                </w:r>
                              </w:p>
                            </w:txbxContent>
                          </wps:txbx>
                          <wps:bodyPr wrap="none" rtlCol="0" anchor="t">
                            <a:spAutoFit/>
                          </wps:bodyPr>
                        </wps:wsp>
                      </wpg:grpSp>
                    </wpg:wgp>
                  </a:graphicData>
                </a:graphic>
              </wp:inline>
            </w:drawing>
          </mc:Choice>
          <mc:Fallback>
            <w:pict>
              <v:group w14:anchorId="08E5DDB3" id="Group 14" o:spid="_x0000_s1026" style="width:5in;height:3in;mso-position-horizontal-relative:char;mso-position-vertical-relative:line" coordsize="45720,2743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">
                <v:group id="Group 169804333" o:spid="_x0000_s1027" style="position:absolute;width:45720;height:27432" coordsize="457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38811567" o:spid="_x0000_s1028" type="#_x0000_t75" style="position:absolute;width:45720;height:27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">
                    <v:imagedata r:id="rId14" o:title=""/>
                    <o:lock v:ext="edit" aspectratio="f"/>
                  </v:shape>
                  <v:shapetype id="_x0000_t32" coordsize="21600,21600" o:spt="32" o:oned="t" path="m,l21600,21600e" filled="f">
                    <v:path arrowok="t" fillok="f" o:connecttype="none"/>
                    <o:lock v:ext="edit" shapetype="t"/>
                  </v:shapetype>
                  <v:shape id="Straight Arrow Connector 1684355255" o:spid="_x0000_s1029" type="#_x0000_t32" style="position:absolute;left:36118;top:14592;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" strokecolor="#5b9bd5 [3204]" strokeweight=".5pt">
                    <v:stroke endarrow="block" joinstyle="miter"/>
                  </v:shape>
                </v:group>
                <v:group id="Group 1797727082" o:spid="_x0000_s1030" style="position:absolute;left:1295;top:11849;width:36690;height:13868" coordorigin="1295,11849" coordsize="36690,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">
                  <v:shape id="Straight Arrow Connector 625336038" o:spid="_x0000_s1031" type="#_x0000_t32" style="position:absolute;left:4800;top:13296;width:29109;height:6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" strokecolor="#5b9bd5 [3204]" strokeweight=".5pt">
                    <v:stroke endarrow="block" joinstyle="miter"/>
                  </v:shape>
                  <v:shapetype id="_x0000_t202" coordsize="21600,21600" o:spt="202" path="m,l,21600r21600,l21600,xe">
                    <v:stroke joinstyle="miter"/>
                    <v:path gradientshapeok="t" o:connecttype="rect"/>
                  </v:shapetype>
                  <v:shape id="TextBox 11" o:spid="_x0000_s1032" type="#_x0000_t202" style="position:absolute;left:35052;top:21526;width:2933;height:4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" filled="f" stroked="f">
                    <v:textbox style="mso-fit-shape-to-text:t">
                      <w:txbxContent>
                        <w:p w14:paraId="41BC1CD1" w14:textId="77777777" w:rsidR="00AA2DC9" w:rsidRDefault="00AA2DC9" w:rsidP="00AA2DC9">
                          <w:pPr>
                            <w:rPr>
                              <w:rFonts w:hAnsi="Calibri"/>
                              <w:color w:val="000000" w:themeColor="text1"/>
                            </w:rPr>
                          </w:pPr>
                          <w:r>
                            <w:rPr>
                              <w:rFonts w:hAnsi="Calibri"/>
                              <w:color w:val="000000" w:themeColor="text1"/>
                            </w:rPr>
                            <w:t>X</w:t>
                          </w:r>
                        </w:p>
                      </w:txbxContent>
                    </v:textbox>
                  </v:shape>
                  <v:shape id="TextBox 12" o:spid="_x0000_s1033" type="#_x0000_t202" style="position:absolute;left:1295;top:11849;width:2934;height:4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" filled="f" stroked="f">
                    <v:textbox style="mso-fit-shape-to-text:t">
                      <w:txbxContent>
                        <w:p w14:paraId="6871BD55" w14:textId="77777777" w:rsidR="00AA2DC9" w:rsidRDefault="00AA2DC9" w:rsidP="00AA2DC9">
                          <w:pPr>
                            <w:rPr>
                              <w:rFonts w:hAnsi="Calibri"/>
                              <w:color w:val="000000" w:themeColor="text1"/>
                            </w:rPr>
                          </w:pPr>
                          <w:r>
                            <w:rPr>
                              <w:rFonts w:hAnsi="Calibri"/>
                              <w:color w:val="000000" w:themeColor="text1"/>
                            </w:rPr>
                            <w:t>Y</w:t>
                          </w:r>
                        </w:p>
                      </w:txbxContent>
                    </v:textbox>
                  </v:shape>
                </v:group>
                <w10:anchorlock/>
              </v:group>
            </w:pict>
          </mc:Fallback>
        </mc:AlternateContent>
      </w:r>
      <w:r w:rsidRPr="0069213B">
        <w:t xml:space="preserve"> </w:t>
      </w:r>
    </w:p>
    <w:p w14:paraId="101EEA32" w14:textId="77777777" w:rsidR="00AA2DC9" w:rsidRDefault="00AA2DC9" w:rsidP="00AA2DC9"/>
    <w:p w14:paraId="0D0B2D93"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People have a consumer surplus when the price they pay for a product or service is less than the price they're willing to pay. It's a measure of the additional benefit that consumers receive because they're paying less for something than what they were willing to pay.   For example, if someone heads to the market to buy a fish and are willing to pay $20, but then find the market price is $15, they have a consumer surplus of $5.</w:t>
      </w:r>
    </w:p>
    <w:p w14:paraId="00E016BB" w14:textId="77777777"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An open competitive market has many different buyers and sellers with different willingness to pay/receive.  Some people buying fish in an open market will have a high consumer surplus while others receive little.  Some people would have a negative consumer surplus at the equilibrium price, so they don’t make a purchase.  </w:t>
      </w:r>
    </w:p>
    <w:p w14:paraId="2FD4AB7F" w14:textId="77777777" w:rsidR="00AA2DC9" w:rsidRDefault="00AA2DC9" w:rsidP="00AA2DC9">
      <w:r w:rsidRPr="00D85252">
        <w:rPr>
          <w:rFonts w:asciiTheme="minorHAnsi" w:hAnsiTheme="minorHAnsi" w:cstheme="minorHAnsi"/>
          <w:sz w:val="22"/>
          <w:szCs w:val="22"/>
        </w:rPr>
        <w:lastRenderedPageBreak/>
        <w:t>In the figure below, the yellow triangle represents the combined consumer surplus of all the people willing to buy fish at the equilibrium market price (Y).  The blue triangle is the combined producer surplus of all the fishers who would be willing to supply fish at the equilibrium price “Y”.</w:t>
      </w:r>
      <w:r>
        <w:t xml:space="preserve">    </w:t>
      </w:r>
    </w:p>
    <w:p w14:paraId="0CC3FD62" w14:textId="77777777" w:rsidR="00AA2DC9" w:rsidRDefault="00AA2DC9" w:rsidP="00AA2DC9">
      <w:r>
        <w:rPr>
          <w:noProof/>
        </w:rPr>
        <w:drawing>
          <wp:inline distT="0" distB="0" distL="0" distR="0" wp14:anchorId="67D8927E" wp14:editId="7A78E155">
            <wp:extent cx="4572635" cy="2743200"/>
            <wp:effectExtent l="0" t="0" r="0" b="0"/>
            <wp:docPr id="1481913488" name="Picture 3" descr="A diagram of a supply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13488" name="Picture 3" descr="A diagram of a supply 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55DC5A33" w14:textId="180BE70A"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 xml:space="preserve">A consumer surplus means that goods are priced lower than what many consumers would be willing to pay. This is often the result of competition, technological progress, and producer efficiency. In general, </w:t>
      </w:r>
      <w:proofErr w:type="gramStart"/>
      <w:r w:rsidRPr="00D85252">
        <w:rPr>
          <w:rFonts w:asciiTheme="minorHAnsi" w:hAnsiTheme="minorHAnsi" w:cstheme="minorHAnsi"/>
          <w:sz w:val="22"/>
          <w:szCs w:val="22"/>
        </w:rPr>
        <w:t>all of</w:t>
      </w:r>
      <w:proofErr w:type="gramEnd"/>
      <w:r w:rsidRPr="00D85252">
        <w:rPr>
          <w:rFonts w:asciiTheme="minorHAnsi" w:hAnsiTheme="minorHAnsi" w:cstheme="minorHAnsi"/>
          <w:sz w:val="22"/>
          <w:szCs w:val="22"/>
        </w:rPr>
        <w:t xml:space="preserve"> these things are considered to be "good" for promoting economic growth and prosperity.  Governments usually try to increase consumer surplus with regulations around competition and trade.   Consumer surplus </w:t>
      </w:r>
      <w:r w:rsidR="002B6A47">
        <w:rPr>
          <w:rFonts w:asciiTheme="minorHAnsi" w:hAnsiTheme="minorHAnsi" w:cstheme="minorHAnsi"/>
          <w:sz w:val="22"/>
          <w:szCs w:val="22"/>
        </w:rPr>
        <w:t xml:space="preserve">from commercial fishing </w:t>
      </w:r>
      <w:r w:rsidRPr="00D85252">
        <w:rPr>
          <w:rFonts w:asciiTheme="minorHAnsi" w:hAnsiTheme="minorHAnsi" w:cstheme="minorHAnsi"/>
          <w:sz w:val="22"/>
          <w:szCs w:val="22"/>
        </w:rPr>
        <w:t xml:space="preserve">is an “economic return to the community”. </w:t>
      </w:r>
    </w:p>
    <w:p w14:paraId="017D4490" w14:textId="35822994" w:rsidR="00AA2DC9" w:rsidRPr="00D85252" w:rsidRDefault="00AA2DC9" w:rsidP="00AA2DC9">
      <w:pPr>
        <w:rPr>
          <w:rFonts w:asciiTheme="minorHAnsi" w:hAnsiTheme="minorHAnsi" w:cstheme="minorHAnsi"/>
          <w:sz w:val="22"/>
          <w:szCs w:val="22"/>
        </w:rPr>
      </w:pPr>
      <w:r w:rsidRPr="00D85252">
        <w:rPr>
          <w:rFonts w:asciiTheme="minorHAnsi" w:hAnsiTheme="minorHAnsi" w:cstheme="minorHAnsi"/>
          <w:sz w:val="22"/>
          <w:szCs w:val="22"/>
        </w:rPr>
        <w:t>Many Australian fisheries have their catch regulated by the government, not markets, because of the need to manage stocks</w:t>
      </w:r>
      <w:r w:rsidR="00F917C7">
        <w:rPr>
          <w:rFonts w:asciiTheme="minorHAnsi" w:hAnsiTheme="minorHAnsi" w:cstheme="minorHAnsi"/>
          <w:sz w:val="22"/>
          <w:szCs w:val="22"/>
        </w:rPr>
        <w:t>.  F</w:t>
      </w:r>
      <w:r w:rsidRPr="00D85252">
        <w:rPr>
          <w:rFonts w:asciiTheme="minorHAnsi" w:hAnsiTheme="minorHAnsi" w:cstheme="minorHAnsi"/>
          <w:sz w:val="22"/>
          <w:szCs w:val="22"/>
        </w:rPr>
        <w:t>or example</w:t>
      </w:r>
      <w:r w:rsidR="000A3E5D">
        <w:rPr>
          <w:rFonts w:asciiTheme="minorHAnsi" w:hAnsiTheme="minorHAnsi" w:cstheme="minorHAnsi"/>
          <w:sz w:val="22"/>
          <w:szCs w:val="22"/>
        </w:rPr>
        <w:t>,</w:t>
      </w:r>
      <w:r w:rsidRPr="00D85252">
        <w:rPr>
          <w:rFonts w:asciiTheme="minorHAnsi" w:hAnsiTheme="minorHAnsi" w:cstheme="minorHAnsi"/>
          <w:sz w:val="22"/>
          <w:szCs w:val="22"/>
        </w:rPr>
        <w:t xml:space="preserve"> to </w:t>
      </w:r>
      <w:r w:rsidR="00F917C7">
        <w:rPr>
          <w:rFonts w:asciiTheme="minorHAnsi" w:hAnsiTheme="minorHAnsi" w:cstheme="minorHAnsi"/>
          <w:sz w:val="22"/>
          <w:szCs w:val="22"/>
        </w:rPr>
        <w:t xml:space="preserve">keep stocks above a limit reference point to protect </w:t>
      </w:r>
      <w:r w:rsidR="000A3E5D">
        <w:rPr>
          <w:rFonts w:asciiTheme="minorHAnsi" w:hAnsiTheme="minorHAnsi" w:cstheme="minorHAnsi"/>
          <w:sz w:val="22"/>
          <w:szCs w:val="22"/>
        </w:rPr>
        <w:t xml:space="preserve">recruitment sustainability, or to </w:t>
      </w:r>
      <w:r w:rsidRPr="00D85252">
        <w:rPr>
          <w:rFonts w:asciiTheme="minorHAnsi" w:hAnsiTheme="minorHAnsi" w:cstheme="minorHAnsi"/>
          <w:sz w:val="22"/>
          <w:szCs w:val="22"/>
        </w:rPr>
        <w:t xml:space="preserve">prevent undesirable ecological impact.   TACs are an obvious example of regulation that </w:t>
      </w:r>
      <w:r w:rsidR="000A3E5D">
        <w:rPr>
          <w:rFonts w:asciiTheme="minorHAnsi" w:hAnsiTheme="minorHAnsi" w:cstheme="minorHAnsi"/>
          <w:sz w:val="22"/>
          <w:szCs w:val="22"/>
        </w:rPr>
        <w:t>reduces</w:t>
      </w:r>
      <w:r w:rsidRPr="00D85252">
        <w:rPr>
          <w:rFonts w:asciiTheme="minorHAnsi" w:hAnsiTheme="minorHAnsi" w:cstheme="minorHAnsi"/>
          <w:sz w:val="22"/>
          <w:szCs w:val="22"/>
        </w:rPr>
        <w:t xml:space="preserve"> supply, but limited entry and input controls are also relevant.  Reducing supply with regulation (from X to X’) increases price (from Y to Y’).  This reduces consumer surplus and increases producer surplus.  Although governments usually aim to increase consumer surplus, reducing supply is considered acceptable in fisheries where there’s an obligation to protect the stock or environment.  </w:t>
      </w:r>
    </w:p>
    <w:p w14:paraId="3DBC0501" w14:textId="77777777" w:rsidR="00AA2DC9" w:rsidRDefault="00AA2DC9" w:rsidP="00AA2DC9"/>
    <w:p w14:paraId="7118D625" w14:textId="77777777" w:rsidR="00AA2DC9" w:rsidRDefault="00AA2DC9" w:rsidP="00AA2DC9">
      <w:r w:rsidRPr="00CB5C9D">
        <w:rPr>
          <w:noProof/>
        </w:rPr>
        <w:lastRenderedPageBreak/>
        <w:drawing>
          <wp:inline distT="0" distB="0" distL="0" distR="0" wp14:anchorId="0A6979DC" wp14:editId="0B74A9B1">
            <wp:extent cx="4699044" cy="2705100"/>
            <wp:effectExtent l="0" t="0" r="6350" b="0"/>
            <wp:docPr id="1262768092" name="Picture 1" descr="A diagram of a supply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68092" name="Picture 1" descr="A diagram of a supply line&#10;&#10;Description automatically generated"/>
                    <pic:cNvPicPr/>
                  </pic:nvPicPr>
                  <pic:blipFill>
                    <a:blip r:embed="rId16"/>
                    <a:stretch>
                      <a:fillRect/>
                    </a:stretch>
                  </pic:blipFill>
                  <pic:spPr>
                    <a:xfrm>
                      <a:off x="0" y="0"/>
                      <a:ext cx="4707081" cy="2709727"/>
                    </a:xfrm>
                    <a:prstGeom prst="rect">
                      <a:avLst/>
                    </a:prstGeom>
                  </pic:spPr>
                </pic:pic>
              </a:graphicData>
            </a:graphic>
          </wp:inline>
        </w:drawing>
      </w:r>
    </w:p>
    <w:p w14:paraId="60DC4C7D" w14:textId="77777777" w:rsidR="00AA2DC9" w:rsidRDefault="00AA2DC9" w:rsidP="00AA2DC9"/>
    <w:p w14:paraId="7E6F4BC5" w14:textId="5B4FB48E" w:rsidR="00AA2DC9" w:rsidRPr="007817AB" w:rsidRDefault="00AA2DC9" w:rsidP="00AA2DC9">
      <w:pPr>
        <w:rPr>
          <w:rFonts w:asciiTheme="minorHAnsi" w:hAnsiTheme="minorHAnsi" w:cstheme="minorHAnsi"/>
          <w:sz w:val="22"/>
          <w:szCs w:val="22"/>
        </w:rPr>
      </w:pPr>
      <w:r w:rsidRPr="007817AB">
        <w:rPr>
          <w:rFonts w:asciiTheme="minorHAnsi" w:hAnsiTheme="minorHAnsi" w:cstheme="minorHAnsi"/>
          <w:sz w:val="22"/>
          <w:szCs w:val="22"/>
        </w:rPr>
        <w:t xml:space="preserve">Fisheries management often goes beyond simply targeting sustainable stocks and adjusts supply because of </w:t>
      </w:r>
      <w:r w:rsidR="005A1322">
        <w:rPr>
          <w:rFonts w:asciiTheme="minorHAnsi" w:hAnsiTheme="minorHAnsi" w:cstheme="minorHAnsi"/>
          <w:sz w:val="22"/>
          <w:szCs w:val="22"/>
        </w:rPr>
        <w:t>economic objectives</w:t>
      </w:r>
      <w:r w:rsidRPr="007817AB">
        <w:rPr>
          <w:rFonts w:asciiTheme="minorHAnsi" w:hAnsiTheme="minorHAnsi" w:cstheme="minorHAnsi"/>
          <w:sz w:val="22"/>
          <w:szCs w:val="22"/>
        </w:rPr>
        <w:t xml:space="preserve">.  When managers apply targets of maximum economic yield focused on producer profits, they reduce catch to target higher biomass than would be needed for sustainability objectives alone (from X’ to X’’).  Price for fish increases (from Y’ to Y’’), which leads to more economic yield (producer surplus) for commercial fishing operations, but less economic yield (consumer surplus) for buyers of seafood.  </w:t>
      </w:r>
    </w:p>
    <w:p w14:paraId="0EBAC825" w14:textId="77777777" w:rsidR="00AA2DC9" w:rsidRDefault="00AA2DC9" w:rsidP="00AA2DC9">
      <w:r>
        <w:t xml:space="preserve"> </w:t>
      </w:r>
    </w:p>
    <w:p w14:paraId="2E9CE56C" w14:textId="77777777" w:rsidR="00AA2DC9" w:rsidRDefault="00AA2DC9" w:rsidP="00AA2DC9">
      <w:r w:rsidRPr="0075085C">
        <w:rPr>
          <w:noProof/>
        </w:rPr>
        <w:drawing>
          <wp:inline distT="0" distB="0" distL="0" distR="0" wp14:anchorId="159EAAB1" wp14:editId="03071568">
            <wp:extent cx="4733665" cy="2784293"/>
            <wp:effectExtent l="0" t="0" r="0" b="0"/>
            <wp:docPr id="2046921640" name="Picture 1" descr="A diagram of a supply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21640" name="Picture 1" descr="A diagram of a supply line&#10;&#10;Description automatically generated"/>
                    <pic:cNvPicPr/>
                  </pic:nvPicPr>
                  <pic:blipFill>
                    <a:blip r:embed="rId17"/>
                    <a:stretch>
                      <a:fillRect/>
                    </a:stretch>
                  </pic:blipFill>
                  <pic:spPr>
                    <a:xfrm>
                      <a:off x="0" y="0"/>
                      <a:ext cx="4748858" cy="2793229"/>
                    </a:xfrm>
                    <a:prstGeom prst="rect">
                      <a:avLst/>
                    </a:prstGeom>
                  </pic:spPr>
                </pic:pic>
              </a:graphicData>
            </a:graphic>
          </wp:inline>
        </w:drawing>
      </w:r>
    </w:p>
    <w:p w14:paraId="541A19A1" w14:textId="77777777" w:rsidR="00AA2DC9" w:rsidRPr="001144E9" w:rsidRDefault="00AA2DC9" w:rsidP="00AA2DC9">
      <w:pPr>
        <w:rPr>
          <w:rFonts w:asciiTheme="minorHAnsi" w:hAnsiTheme="minorHAnsi" w:cstheme="minorHAnsi"/>
          <w:sz w:val="22"/>
          <w:szCs w:val="22"/>
        </w:rPr>
      </w:pPr>
      <w:r w:rsidRPr="001144E9">
        <w:rPr>
          <w:rFonts w:asciiTheme="minorHAnsi" w:hAnsiTheme="minorHAnsi" w:cstheme="minorHAnsi"/>
          <w:sz w:val="22"/>
          <w:szCs w:val="22"/>
        </w:rPr>
        <w:t>These diagrams are obviously highly generalised but illustrate that: (</w:t>
      </w:r>
      <w:proofErr w:type="spellStart"/>
      <w:r w:rsidRPr="001144E9">
        <w:rPr>
          <w:rFonts w:asciiTheme="minorHAnsi" w:hAnsiTheme="minorHAnsi" w:cstheme="minorHAnsi"/>
          <w:sz w:val="22"/>
          <w:szCs w:val="22"/>
        </w:rPr>
        <w:t>i</w:t>
      </w:r>
      <w:proofErr w:type="spellEnd"/>
      <w:r w:rsidRPr="001144E9">
        <w:rPr>
          <w:rFonts w:asciiTheme="minorHAnsi" w:hAnsiTheme="minorHAnsi" w:cstheme="minorHAnsi"/>
          <w:sz w:val="22"/>
          <w:szCs w:val="22"/>
        </w:rPr>
        <w:t xml:space="preserve">) economic benefit for the community from fisheries includes both consumer and producer surplus; and (ii) management choices that increase producer surplus usually do this at the expense of consumer surplus.   Managers that aim to increase economic benefit to the community need to consider both consumer and producer surplus and the way they interact will vary from fishery to fishery.  Important factors are whether the seafood is exported and how the producer surplus flows into the economy,  </w:t>
      </w:r>
    </w:p>
    <w:p w14:paraId="08561493" w14:textId="77777777" w:rsidR="00AA2DC9" w:rsidRDefault="00AA2DC9" w:rsidP="00AA2DC9">
      <w:pPr>
        <w:rPr>
          <w:rFonts w:asciiTheme="minorHAnsi" w:hAnsiTheme="minorHAnsi" w:cstheme="minorHAnsi"/>
          <w:sz w:val="22"/>
          <w:szCs w:val="22"/>
        </w:rPr>
      </w:pPr>
      <w:r w:rsidRPr="001144E9">
        <w:rPr>
          <w:rFonts w:asciiTheme="minorHAnsi" w:hAnsiTheme="minorHAnsi" w:cstheme="minorHAnsi"/>
          <w:sz w:val="22"/>
          <w:szCs w:val="22"/>
        </w:rPr>
        <w:lastRenderedPageBreak/>
        <w:t xml:space="preserve">These concepts were explored in Australia’s most important fishery for Australian consumers, the Australian Southern and Eastern Scalefish and Shark Fishery (SESSF).  Briton et al. (2023) noted that the current management system is designed to maximise producer surplus but that this comes at a social cost for crew members and fish consumers.  If managers preferred to target economic benefit to the community rather than producers, then systems such as the eco-viability (also known as “co-viability”) are available and are used elsewhere, especially France.  These include consideration of the trade-off between producer and consumer surplus.  </w:t>
      </w:r>
    </w:p>
    <w:p w14:paraId="69601222" w14:textId="77777777" w:rsidR="00AA2DC9" w:rsidRPr="00C8015D" w:rsidRDefault="00AA2DC9" w:rsidP="00AA2DC9">
      <w:pPr>
        <w:rPr>
          <w:rFonts w:asciiTheme="minorHAnsi" w:hAnsiTheme="minorHAnsi" w:cstheme="minorHAnsi"/>
          <w:b/>
          <w:bCs/>
          <w:sz w:val="22"/>
          <w:szCs w:val="22"/>
        </w:rPr>
      </w:pPr>
      <w:r w:rsidRPr="00C8015D">
        <w:rPr>
          <w:rFonts w:asciiTheme="minorHAnsi" w:hAnsiTheme="minorHAnsi" w:cstheme="minorHAnsi"/>
          <w:b/>
          <w:bCs/>
          <w:sz w:val="22"/>
          <w:szCs w:val="22"/>
        </w:rPr>
        <w:t>Reference</w:t>
      </w:r>
    </w:p>
    <w:p w14:paraId="25A48E2D" w14:textId="102731ED"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Briton F., Thebaud, O., Macher, C., Gardner, C., and Little, L.R. (2023). </w:t>
      </w:r>
      <w:r w:rsidR="00C8015D" w:rsidRPr="00C8015D">
        <w:rPr>
          <w:rFonts w:asciiTheme="minorHAnsi" w:eastAsia="Arial" w:hAnsiTheme="minorHAnsi" w:cstheme="minorHAnsi"/>
          <w:sz w:val="22"/>
          <w:szCs w:val="22"/>
        </w:rPr>
        <w:t xml:space="preserve">Managing biological, </w:t>
      </w:r>
      <w:proofErr w:type="gramStart"/>
      <w:r w:rsidR="00C8015D" w:rsidRPr="00C8015D">
        <w:rPr>
          <w:rFonts w:asciiTheme="minorHAnsi" w:eastAsia="Arial" w:hAnsiTheme="minorHAnsi" w:cstheme="minorHAnsi"/>
          <w:sz w:val="22"/>
          <w:szCs w:val="22"/>
        </w:rPr>
        <w:t>economic</w:t>
      </w:r>
      <w:proofErr w:type="gramEnd"/>
      <w:r w:rsidR="00C8015D" w:rsidRPr="00C8015D">
        <w:rPr>
          <w:rFonts w:asciiTheme="minorHAnsi" w:eastAsia="Arial" w:hAnsiTheme="minorHAnsi" w:cstheme="minorHAnsi"/>
          <w:sz w:val="22"/>
          <w:szCs w:val="22"/>
        </w:rPr>
        <w:t xml:space="preserve"> and social trade-offs in the Australian Southern and Eastern Scalefish and Shark Fishery. </w:t>
      </w:r>
      <w:r w:rsidRPr="00C8015D">
        <w:rPr>
          <w:rFonts w:asciiTheme="minorHAnsi" w:hAnsiTheme="minorHAnsi" w:cstheme="minorHAnsi"/>
          <w:sz w:val="22"/>
          <w:szCs w:val="22"/>
        </w:rPr>
        <w:t>Marine and Freshwater Research, doi:10.1071/MF23024</w:t>
      </w:r>
      <w:r w:rsidRPr="00C8015D">
        <w:rPr>
          <w:rFonts w:asciiTheme="minorHAnsi" w:hAnsiTheme="minorHAnsi" w:cstheme="minorHAnsi"/>
          <w:sz w:val="22"/>
          <w:szCs w:val="22"/>
        </w:rPr>
        <w:cr/>
      </w:r>
    </w:p>
    <w:p w14:paraId="34EF166F" w14:textId="77777777" w:rsidR="00AA2DC9" w:rsidRDefault="00AA2DC9" w:rsidP="00AA2DC9">
      <w:pPr>
        <w:rPr>
          <w:rFonts w:asciiTheme="majorHAnsi" w:eastAsiaTheme="majorEastAsia" w:hAnsiTheme="majorHAnsi" w:cstheme="majorBidi"/>
          <w:color w:val="2E74B5" w:themeColor="accent1" w:themeShade="BF"/>
          <w:sz w:val="32"/>
          <w:szCs w:val="32"/>
        </w:rPr>
      </w:pPr>
      <w:r>
        <w:t xml:space="preserve"> </w:t>
      </w:r>
      <w:r>
        <w:br w:type="page"/>
      </w:r>
    </w:p>
    <w:p w14:paraId="533C821B" w14:textId="77777777" w:rsidR="00AA2DC9" w:rsidRDefault="00AA2DC9" w:rsidP="00AA2DC9">
      <w:pPr>
        <w:pStyle w:val="Heading1"/>
      </w:pPr>
      <w:bookmarkStart w:id="14" w:name="_Toc157595683"/>
      <w:r>
        <w:lastRenderedPageBreak/>
        <w:t xml:space="preserve">Appendix 2 </w:t>
      </w:r>
      <w:r>
        <w:tab/>
        <w:t>Discussion paper – June 2023</w:t>
      </w:r>
      <w:bookmarkEnd w:id="14"/>
    </w:p>
    <w:p w14:paraId="53582138" w14:textId="77777777" w:rsidR="00AA2DC9" w:rsidRDefault="00AA2DC9" w:rsidP="00AA2DC9">
      <w:pPr>
        <w:pStyle w:val="Heading1"/>
      </w:pPr>
    </w:p>
    <w:p w14:paraId="76FF5242" w14:textId="77777777" w:rsidR="00AA2DC9" w:rsidRPr="00C8015D" w:rsidRDefault="00AA2DC9" w:rsidP="00AA2DC9">
      <w:pPr>
        <w:rPr>
          <w:rFonts w:asciiTheme="minorHAnsi" w:hAnsiTheme="minorHAnsi" w:cstheme="minorHAnsi"/>
          <w:sz w:val="28"/>
          <w:szCs w:val="28"/>
        </w:rPr>
      </w:pPr>
      <w:r w:rsidRPr="00C8015D">
        <w:rPr>
          <w:rFonts w:asciiTheme="minorHAnsi" w:hAnsiTheme="minorHAnsi" w:cstheme="minorHAnsi"/>
          <w:sz w:val="28"/>
          <w:szCs w:val="28"/>
        </w:rPr>
        <w:t>Review of Commonwealth harvest strategy policy and guidelines 2023: discussion paper</w:t>
      </w:r>
    </w:p>
    <w:p w14:paraId="3C03A3EA"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Tony Smith, Caleb Gardner, Kate </w:t>
      </w:r>
      <w:proofErr w:type="spellStart"/>
      <w:r w:rsidRPr="00C8015D">
        <w:rPr>
          <w:rFonts w:asciiTheme="minorHAnsi" w:hAnsiTheme="minorHAnsi" w:cstheme="minorHAnsi"/>
          <w:sz w:val="22"/>
          <w:szCs w:val="22"/>
        </w:rPr>
        <w:t>Ollerhead</w:t>
      </w:r>
      <w:proofErr w:type="spellEnd"/>
    </w:p>
    <w:p w14:paraId="72B41E3F"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June 2023</w:t>
      </w:r>
    </w:p>
    <w:p w14:paraId="02F959B7" w14:textId="77777777" w:rsidR="00AA2DC9" w:rsidRPr="00C8015D" w:rsidRDefault="00AA2DC9" w:rsidP="00AA2DC9">
      <w:pPr>
        <w:rPr>
          <w:rFonts w:asciiTheme="minorHAnsi" w:hAnsiTheme="minorHAnsi" w:cstheme="minorHAnsi"/>
          <w:b/>
          <w:bCs/>
          <w:sz w:val="22"/>
          <w:szCs w:val="22"/>
        </w:rPr>
      </w:pPr>
      <w:r w:rsidRPr="00C8015D">
        <w:rPr>
          <w:rFonts w:asciiTheme="minorHAnsi" w:hAnsiTheme="minorHAnsi" w:cstheme="minorHAnsi"/>
          <w:b/>
          <w:bCs/>
          <w:sz w:val="22"/>
          <w:szCs w:val="22"/>
        </w:rPr>
        <w:t>Introduction</w:t>
      </w:r>
    </w:p>
    <w:p w14:paraId="32F37AA7"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A harvest strategy is a fishery management tool that provides a clear and agreed decision framework to achieve defined objectives for fish stocks that are harvested </w:t>
      </w:r>
      <w:proofErr w:type="gramStart"/>
      <w:r w:rsidRPr="00C8015D">
        <w:rPr>
          <w:rFonts w:asciiTheme="minorHAnsi" w:hAnsiTheme="minorHAnsi" w:cstheme="minorHAnsi"/>
          <w:sz w:val="22"/>
          <w:szCs w:val="22"/>
        </w:rPr>
        <w:t>in a given</w:t>
      </w:r>
      <w:proofErr w:type="gramEnd"/>
      <w:r w:rsidRPr="00C8015D">
        <w:rPr>
          <w:rFonts w:asciiTheme="minorHAnsi" w:hAnsiTheme="minorHAnsi" w:cstheme="minorHAnsi"/>
          <w:sz w:val="22"/>
          <w:szCs w:val="22"/>
        </w:rPr>
        <w:t xml:space="preserve"> fishery. Key elements of a harvest strategy include processes for monitoring and assessing the biological and economic conditions of the stock, measured against fishery-specific reference levels, coupled with pre-agreed rules (harvest control rules or decision rules) for controlling fishing levels according to the </w:t>
      </w:r>
      <w:proofErr w:type="gramStart"/>
      <w:r w:rsidRPr="00C8015D">
        <w:rPr>
          <w:rFonts w:asciiTheme="minorHAnsi" w:hAnsiTheme="minorHAnsi" w:cstheme="minorHAnsi"/>
          <w:sz w:val="22"/>
          <w:szCs w:val="22"/>
        </w:rPr>
        <w:t>current status</w:t>
      </w:r>
      <w:proofErr w:type="gramEnd"/>
      <w:r w:rsidRPr="00C8015D">
        <w:rPr>
          <w:rFonts w:asciiTheme="minorHAnsi" w:hAnsiTheme="minorHAnsi" w:cstheme="minorHAnsi"/>
          <w:sz w:val="22"/>
          <w:szCs w:val="22"/>
        </w:rPr>
        <w:t xml:space="preserve"> of the stock. </w:t>
      </w:r>
    </w:p>
    <w:p w14:paraId="41B522D9"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Harvest strategies are regarded internationally as the gold standard for effective stock management, with international agencies such as the Food and Agriculture Organisation of the UN and the Marine Stewardship Council deeming them best practice, and their use has been formally adopted in the European Union and by many countries such as the US, Canada, New </w:t>
      </w:r>
      <w:proofErr w:type="gramStart"/>
      <w:r w:rsidRPr="00C8015D">
        <w:rPr>
          <w:rFonts w:asciiTheme="minorHAnsi" w:hAnsiTheme="minorHAnsi" w:cstheme="minorHAnsi"/>
          <w:sz w:val="22"/>
          <w:szCs w:val="22"/>
        </w:rPr>
        <w:t>Zealand</w:t>
      </w:r>
      <w:proofErr w:type="gramEnd"/>
      <w:r w:rsidRPr="00C8015D">
        <w:rPr>
          <w:rFonts w:asciiTheme="minorHAnsi" w:hAnsiTheme="minorHAnsi" w:cstheme="minorHAnsi"/>
          <w:sz w:val="22"/>
          <w:szCs w:val="22"/>
        </w:rPr>
        <w:t xml:space="preserve"> and South Africa.</w:t>
      </w:r>
    </w:p>
    <w:p w14:paraId="5D06C8EE"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In Australia, harvest strategies were first adopted for Commonwealth-managed fisheries in 2007 with the release of the </w:t>
      </w:r>
      <w:r w:rsidRPr="00C8015D">
        <w:rPr>
          <w:rFonts w:asciiTheme="minorHAnsi" w:hAnsiTheme="minorHAnsi" w:cstheme="minorHAnsi"/>
          <w:i/>
          <w:iCs/>
          <w:sz w:val="22"/>
          <w:szCs w:val="22"/>
        </w:rPr>
        <w:t>Commonwealth Fisheries Harvest Strategy Policy and Guidelines</w:t>
      </w:r>
      <w:r w:rsidRPr="00C8015D">
        <w:rPr>
          <w:rFonts w:asciiTheme="minorHAnsi" w:hAnsiTheme="minorHAnsi" w:cstheme="minorHAnsi"/>
          <w:sz w:val="22"/>
          <w:szCs w:val="22"/>
        </w:rPr>
        <w:t>. National guidelines for developing harvest strategies were developed in 2014 and subsequently most Australian State and Territory governments have also adopted formal harvest strategy policies. The Commonwealth policy and guidelines were updated in 2018 and are now the subject of a review in 2023. This discussion paper provides input to the 2023 review.</w:t>
      </w:r>
    </w:p>
    <w:p w14:paraId="68573417"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Since 2007, formal harvest strategies have been adopted for all Commonwealth-managed fisheries, with many fisheries having been through more than one iteration of harvest strategy development and implementation. Collectively, these fisheries vary greatly in scale, </w:t>
      </w:r>
      <w:proofErr w:type="gramStart"/>
      <w:r w:rsidRPr="00C8015D">
        <w:rPr>
          <w:rFonts w:asciiTheme="minorHAnsi" w:hAnsiTheme="minorHAnsi" w:cstheme="minorHAnsi"/>
          <w:sz w:val="22"/>
          <w:szCs w:val="22"/>
        </w:rPr>
        <w:t>value</w:t>
      </w:r>
      <w:proofErr w:type="gramEnd"/>
      <w:r w:rsidRPr="00C8015D">
        <w:rPr>
          <w:rFonts w:asciiTheme="minorHAnsi" w:hAnsiTheme="minorHAnsi" w:cstheme="minorHAnsi"/>
          <w:sz w:val="22"/>
          <w:szCs w:val="22"/>
        </w:rPr>
        <w:t xml:space="preserve"> and complexity, so that the Commonwealth has developed considerable experience and expertise in designing and implementing harvest strategies for a diverse range of fisheries. Much of this experience has already been captured in the 2018 update to the policy and guidelines, with the guidelines in particular providing advice on a wide range of topics relevant to harvest strategy implementation. Nevertheless, the policy landscape and external drivers continue to evolve and change, so that the context for this review includes some emerging key challenges:</w:t>
      </w:r>
    </w:p>
    <w:p w14:paraId="74764A31" w14:textId="77777777" w:rsidR="00AA2DC9" w:rsidRPr="00C8015D" w:rsidRDefault="00AA2DC9" w:rsidP="00AA2DC9">
      <w:pPr>
        <w:pStyle w:val="ListParagraph"/>
        <w:numPr>
          <w:ilvl w:val="0"/>
          <w:numId w:val="28"/>
        </w:numPr>
        <w:rPr>
          <w:rFonts w:cstheme="minorHAnsi"/>
        </w:rPr>
      </w:pPr>
      <w:r w:rsidRPr="00C8015D">
        <w:rPr>
          <w:rFonts w:cstheme="minorHAnsi"/>
        </w:rPr>
        <w:t>Shocks to both the biological systems (such as marine heatwaves) and to markets (trade disputes, disruptions due to Covid)</w:t>
      </w:r>
    </w:p>
    <w:p w14:paraId="790932F5" w14:textId="77777777" w:rsidR="00AA2DC9" w:rsidRPr="00C8015D" w:rsidRDefault="00AA2DC9" w:rsidP="00AA2DC9">
      <w:pPr>
        <w:pStyle w:val="ListParagraph"/>
        <w:numPr>
          <w:ilvl w:val="0"/>
          <w:numId w:val="28"/>
        </w:numPr>
        <w:rPr>
          <w:rFonts w:cstheme="minorHAnsi"/>
        </w:rPr>
      </w:pPr>
      <w:r w:rsidRPr="00C8015D">
        <w:rPr>
          <w:rFonts w:cstheme="minorHAnsi"/>
        </w:rPr>
        <w:t>Longer term changes to marine ecosystems and species through global warming</w:t>
      </w:r>
    </w:p>
    <w:p w14:paraId="70F4D644" w14:textId="77777777" w:rsidR="00AA2DC9" w:rsidRPr="00C8015D" w:rsidRDefault="00AA2DC9" w:rsidP="00AA2DC9">
      <w:pPr>
        <w:pStyle w:val="ListParagraph"/>
        <w:numPr>
          <w:ilvl w:val="0"/>
          <w:numId w:val="28"/>
        </w:numPr>
        <w:rPr>
          <w:rFonts w:cstheme="minorHAnsi"/>
        </w:rPr>
      </w:pPr>
      <w:r w:rsidRPr="00C8015D">
        <w:rPr>
          <w:rFonts w:cstheme="minorHAnsi"/>
        </w:rPr>
        <w:t>Changing social expectations about resource management</w:t>
      </w:r>
    </w:p>
    <w:p w14:paraId="7BCCD2E1" w14:textId="77777777" w:rsidR="00AA2DC9" w:rsidRPr="00C8015D" w:rsidRDefault="00AA2DC9" w:rsidP="00AA2DC9">
      <w:pPr>
        <w:pStyle w:val="ListParagraph"/>
        <w:numPr>
          <w:ilvl w:val="0"/>
          <w:numId w:val="28"/>
        </w:numPr>
        <w:rPr>
          <w:rFonts w:cstheme="minorHAnsi"/>
        </w:rPr>
      </w:pPr>
      <w:r w:rsidRPr="00C8015D">
        <w:rPr>
          <w:rFonts w:cstheme="minorHAnsi"/>
        </w:rPr>
        <w:t>Increasing competition for resource access and sharing marine spaces</w:t>
      </w:r>
    </w:p>
    <w:p w14:paraId="7BC2FC64" w14:textId="77777777" w:rsidR="00AA2DC9" w:rsidRPr="00C8015D" w:rsidRDefault="00AA2DC9" w:rsidP="00AA2DC9">
      <w:pPr>
        <w:pStyle w:val="ListParagraph"/>
        <w:numPr>
          <w:ilvl w:val="0"/>
          <w:numId w:val="28"/>
        </w:numPr>
        <w:rPr>
          <w:rFonts w:cstheme="minorHAnsi"/>
        </w:rPr>
      </w:pPr>
      <w:r w:rsidRPr="00C8015D">
        <w:rPr>
          <w:rFonts w:cstheme="minorHAnsi"/>
        </w:rPr>
        <w:t>Increasing demands on fisheries management despite fixed or reducing budgets</w:t>
      </w:r>
    </w:p>
    <w:p w14:paraId="025995DF" w14:textId="77777777" w:rsidR="00AA2DC9" w:rsidRPr="00C8015D" w:rsidRDefault="00AA2DC9" w:rsidP="00AA2DC9">
      <w:pPr>
        <w:pStyle w:val="ListParagraph"/>
        <w:numPr>
          <w:ilvl w:val="0"/>
          <w:numId w:val="28"/>
        </w:numPr>
        <w:rPr>
          <w:rFonts w:cstheme="minorHAnsi"/>
        </w:rPr>
      </w:pPr>
      <w:r w:rsidRPr="00C8015D">
        <w:rPr>
          <w:rFonts w:cstheme="minorHAnsi"/>
        </w:rPr>
        <w:t>Decreasing data quality for key inputs to stock assessment and management.</w:t>
      </w:r>
    </w:p>
    <w:p w14:paraId="41D74422"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lastRenderedPageBreak/>
        <w:t xml:space="preserve">This discussion paper considers the impacts of these and other challenges on a set of topics of relevance to harvest strategies. Most of the issues covered here are already mentioned in the 2018 policy and guidelines, but new research and ongoing management experience (including where harvest strategies are not working) need to be considered. Not all topics covered in the existing guidelines are discussed here. </w:t>
      </w:r>
    </w:p>
    <w:p w14:paraId="7A5DA810" w14:textId="77777777" w:rsidR="00AA2DC9" w:rsidRPr="00C8015D" w:rsidRDefault="00AA2DC9" w:rsidP="00AA2DC9">
      <w:pPr>
        <w:rPr>
          <w:rFonts w:asciiTheme="minorHAnsi" w:hAnsiTheme="minorHAnsi" w:cstheme="minorHAnsi"/>
          <w:b/>
          <w:bCs/>
          <w:sz w:val="22"/>
          <w:szCs w:val="22"/>
        </w:rPr>
      </w:pPr>
      <w:r w:rsidRPr="00C8015D">
        <w:rPr>
          <w:rFonts w:asciiTheme="minorHAnsi" w:hAnsiTheme="minorHAnsi" w:cstheme="minorHAnsi"/>
          <w:b/>
          <w:bCs/>
          <w:sz w:val="22"/>
          <w:szCs w:val="22"/>
        </w:rPr>
        <w:t>Selecting targets and limits</w:t>
      </w:r>
    </w:p>
    <w:p w14:paraId="76056B3D"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Target and limit reference points are fundamental to the design and implementation of harvest strategies and feature very prominently in the current policy and guidelines. Reference points serve two related but separate functions in a harvest strategy. First, they help define the operational objectives of a harvest strategy by specifying the values of an indicator that correspond to the achievement of a management objective. Second, they serve to define aspects of a harvest control rule, such as target exploitation rates or biomass depletion limits beyond which targeted fishing must cease. </w:t>
      </w:r>
    </w:p>
    <w:p w14:paraId="48F0060F"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In general, limit reference points correspond to conservation or sustainability objectives (biological objectives) for a harvest strategy, while target reference points correspond to economic (or sometime social) objectives. Across management jurisdictions in Australia, there is widespread agreement about limit reference points. These correspond to the definitions of overfishing in the national Status of Australian Fish Stocks classification scheme </w:t>
      </w:r>
      <w:proofErr w:type="gramStart"/>
      <w:r w:rsidRPr="00C8015D">
        <w:rPr>
          <w:rFonts w:asciiTheme="minorHAnsi" w:hAnsiTheme="minorHAnsi" w:cstheme="minorHAnsi"/>
          <w:sz w:val="22"/>
          <w:szCs w:val="22"/>
        </w:rPr>
        <w:t>and also</w:t>
      </w:r>
      <w:proofErr w:type="gramEnd"/>
      <w:r w:rsidRPr="00C8015D">
        <w:rPr>
          <w:rFonts w:asciiTheme="minorHAnsi" w:hAnsiTheme="minorHAnsi" w:cstheme="minorHAnsi"/>
          <w:sz w:val="22"/>
          <w:szCs w:val="22"/>
        </w:rPr>
        <w:t xml:space="preserve"> to definitions in international fishery certification schemes such as the Marine Stewardship Council (MSC). There is also a considerable body of science underpinning the selection of limit reference points. A widely used default for a biomass limit reference point B</w:t>
      </w:r>
      <w:r w:rsidRPr="00C8015D">
        <w:rPr>
          <w:rFonts w:asciiTheme="minorHAnsi" w:hAnsiTheme="minorHAnsi" w:cstheme="minorHAnsi"/>
          <w:sz w:val="22"/>
          <w:szCs w:val="22"/>
          <w:vertAlign w:val="subscript"/>
        </w:rPr>
        <w:t>LIM</w:t>
      </w:r>
      <w:r w:rsidRPr="00C8015D">
        <w:rPr>
          <w:rFonts w:asciiTheme="minorHAnsi" w:hAnsiTheme="minorHAnsi" w:cstheme="minorHAnsi"/>
          <w:sz w:val="22"/>
          <w:szCs w:val="22"/>
        </w:rPr>
        <w:t xml:space="preserve"> is 20% of unfished biomass (Smith and Smart, 2022). This is the proxy value recommended in the current Commonwealth harvest strategy policy.  Stocks below this level are considered to have unacceptable risk of recruitment overfishing.  </w:t>
      </w:r>
    </w:p>
    <w:p w14:paraId="3B2553E0"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The objectives for fisheries and the suitable values for target reference points (TRPs) are much more complex and disputed across management jurisdictions in Australia. The current Commonwealth policy objective is quite clear – the objective is to achieve maximum economic returns to the Australian community from fishing a resource. This has been operationalised to maximum economic yield (MEY) for producers with the biomass that achieves producer MEY (B</w:t>
      </w:r>
      <w:r w:rsidRPr="00C8015D">
        <w:rPr>
          <w:rFonts w:asciiTheme="minorHAnsi" w:hAnsiTheme="minorHAnsi" w:cstheme="minorHAnsi"/>
          <w:sz w:val="22"/>
          <w:szCs w:val="22"/>
          <w:vertAlign w:val="subscript"/>
        </w:rPr>
        <w:t>MEY</w:t>
      </w:r>
      <w:r w:rsidRPr="00C8015D">
        <w:rPr>
          <w:rFonts w:asciiTheme="minorHAnsi" w:hAnsiTheme="minorHAnsi" w:cstheme="minorHAnsi"/>
          <w:sz w:val="22"/>
          <w:szCs w:val="22"/>
        </w:rPr>
        <w:t>) being the default target reference point. In practice, few fisheries have developed the bioeconomic models and analyses to estimate B</w:t>
      </w:r>
      <w:r w:rsidRPr="00C8015D">
        <w:rPr>
          <w:rFonts w:asciiTheme="minorHAnsi" w:hAnsiTheme="minorHAnsi" w:cstheme="minorHAnsi"/>
          <w:sz w:val="22"/>
          <w:szCs w:val="22"/>
          <w:vertAlign w:val="subscript"/>
        </w:rPr>
        <w:t>MEY</w:t>
      </w:r>
      <w:r w:rsidRPr="00C8015D">
        <w:rPr>
          <w:rFonts w:asciiTheme="minorHAnsi" w:hAnsiTheme="minorHAnsi" w:cstheme="minorHAnsi"/>
          <w:sz w:val="22"/>
          <w:szCs w:val="22"/>
        </w:rPr>
        <w:t xml:space="preserve"> precisely (and in any case it can fluctuate widely under variations in prices and costs), so a proxy value is recommended in the policy, with B</w:t>
      </w:r>
      <w:r w:rsidRPr="00C8015D">
        <w:rPr>
          <w:rFonts w:asciiTheme="minorHAnsi" w:hAnsiTheme="minorHAnsi" w:cstheme="minorHAnsi"/>
          <w:sz w:val="22"/>
          <w:szCs w:val="22"/>
          <w:vertAlign w:val="subscript"/>
        </w:rPr>
        <w:t>MEY</w:t>
      </w:r>
      <w:r w:rsidRPr="00C8015D">
        <w:rPr>
          <w:rFonts w:asciiTheme="minorHAnsi" w:hAnsiTheme="minorHAnsi" w:cstheme="minorHAnsi"/>
          <w:sz w:val="22"/>
          <w:szCs w:val="22"/>
        </w:rPr>
        <w:t xml:space="preserve"> set at 20% above B</w:t>
      </w:r>
      <w:r w:rsidRPr="00C8015D">
        <w:rPr>
          <w:rFonts w:asciiTheme="minorHAnsi" w:hAnsiTheme="minorHAnsi" w:cstheme="minorHAnsi"/>
          <w:sz w:val="22"/>
          <w:szCs w:val="22"/>
          <w:vertAlign w:val="subscript"/>
        </w:rPr>
        <w:t>MSY</w:t>
      </w:r>
      <w:r w:rsidRPr="00C8015D">
        <w:rPr>
          <w:rFonts w:asciiTheme="minorHAnsi" w:hAnsiTheme="minorHAnsi" w:cstheme="minorHAnsi"/>
          <w:sz w:val="22"/>
          <w:szCs w:val="22"/>
        </w:rPr>
        <w:t xml:space="preserve"> (the biomass that achieves maximum sustainable yield). Again, there are few fisheries that can estimate B</w:t>
      </w:r>
      <w:r w:rsidRPr="00C8015D">
        <w:rPr>
          <w:rFonts w:asciiTheme="minorHAnsi" w:hAnsiTheme="minorHAnsi" w:cstheme="minorHAnsi"/>
          <w:sz w:val="22"/>
          <w:szCs w:val="22"/>
          <w:vertAlign w:val="subscript"/>
        </w:rPr>
        <w:t>MSY</w:t>
      </w:r>
      <w:r w:rsidRPr="00C8015D">
        <w:rPr>
          <w:rFonts w:asciiTheme="minorHAnsi" w:hAnsiTheme="minorHAnsi" w:cstheme="minorHAnsi"/>
          <w:sz w:val="22"/>
          <w:szCs w:val="22"/>
        </w:rPr>
        <w:t xml:space="preserve"> precisely, so default values are set at 40%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for BMSY and 48%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for B</w:t>
      </w:r>
      <w:r w:rsidRPr="00C8015D">
        <w:rPr>
          <w:rFonts w:asciiTheme="minorHAnsi" w:hAnsiTheme="minorHAnsi" w:cstheme="minorHAnsi"/>
          <w:sz w:val="22"/>
          <w:szCs w:val="22"/>
          <w:vertAlign w:val="subscript"/>
        </w:rPr>
        <w:t>MEY</w:t>
      </w:r>
      <w:r w:rsidRPr="00C8015D">
        <w:rPr>
          <w:rFonts w:asciiTheme="minorHAnsi" w:hAnsiTheme="minorHAnsi" w:cstheme="minorHAnsi"/>
          <w:sz w:val="22"/>
          <w:szCs w:val="22"/>
        </w:rPr>
        <w:t>. The target fishing mortality rate F</w:t>
      </w:r>
      <w:r w:rsidRPr="00C8015D">
        <w:rPr>
          <w:rFonts w:asciiTheme="minorHAnsi" w:hAnsiTheme="minorHAnsi" w:cstheme="minorHAnsi"/>
          <w:sz w:val="22"/>
          <w:szCs w:val="22"/>
          <w:vertAlign w:val="subscript"/>
        </w:rPr>
        <w:t>TARG</w:t>
      </w:r>
      <w:r w:rsidRPr="00C8015D">
        <w:rPr>
          <w:rFonts w:asciiTheme="minorHAnsi" w:hAnsiTheme="minorHAnsi" w:cstheme="minorHAnsi"/>
          <w:sz w:val="22"/>
          <w:szCs w:val="22"/>
        </w:rPr>
        <w:t xml:space="preserve"> is set at the value F</w:t>
      </w:r>
      <w:r w:rsidRPr="00C8015D">
        <w:rPr>
          <w:rFonts w:asciiTheme="minorHAnsi" w:hAnsiTheme="minorHAnsi" w:cstheme="minorHAnsi"/>
          <w:sz w:val="22"/>
          <w:szCs w:val="22"/>
          <w:vertAlign w:val="subscript"/>
        </w:rPr>
        <w:t>MEY</w:t>
      </w:r>
      <w:r w:rsidRPr="00C8015D">
        <w:rPr>
          <w:rFonts w:asciiTheme="minorHAnsi" w:hAnsiTheme="minorHAnsi" w:cstheme="minorHAnsi"/>
          <w:sz w:val="22"/>
          <w:szCs w:val="22"/>
        </w:rPr>
        <w:t xml:space="preserve"> that achieves B</w:t>
      </w:r>
      <w:r w:rsidRPr="00C8015D">
        <w:rPr>
          <w:rFonts w:asciiTheme="minorHAnsi" w:hAnsiTheme="minorHAnsi" w:cstheme="minorHAnsi"/>
          <w:sz w:val="22"/>
          <w:szCs w:val="22"/>
          <w:vertAlign w:val="subscript"/>
        </w:rPr>
        <w:t>MEY</w:t>
      </w:r>
      <w:r w:rsidRPr="00C8015D">
        <w:rPr>
          <w:rFonts w:asciiTheme="minorHAnsi" w:hAnsiTheme="minorHAnsi" w:cstheme="minorHAnsi"/>
          <w:sz w:val="22"/>
          <w:szCs w:val="22"/>
        </w:rPr>
        <w:t>.</w:t>
      </w:r>
    </w:p>
    <w:p w14:paraId="220F9DD4"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The current harvest strategy guidelines provide a lot of advice on how to operationalise and achieve MEY for producers, including for multispecies fisheries (see also later section on multispecies fisheries). Most Commonwealth-managed fisheries are largely commercial fisheries, so having a well-defined economic target makes sense. However, societal expectations about fishery management are changing, and there is growing recognition that maximising economic benefit to the Australian community requires consideration broader than producer profit. Among these are the following considerations:</w:t>
      </w:r>
    </w:p>
    <w:p w14:paraId="4C26A59B" w14:textId="77777777" w:rsidR="00AA2DC9" w:rsidRPr="00C8015D" w:rsidRDefault="00AA2DC9" w:rsidP="00AA2DC9">
      <w:pPr>
        <w:pStyle w:val="ListParagraph"/>
        <w:numPr>
          <w:ilvl w:val="0"/>
          <w:numId w:val="30"/>
        </w:numPr>
        <w:rPr>
          <w:rFonts w:cstheme="minorHAnsi"/>
        </w:rPr>
      </w:pPr>
      <w:r w:rsidRPr="00C8015D">
        <w:rPr>
          <w:rFonts w:cstheme="minorHAnsi"/>
        </w:rPr>
        <w:t xml:space="preserve">Consumer surplus: Economic Yield to the community from a fishery includes both producer surplus and consumer surplus although usually only the producer surplus is measured and considered in Australian fisheries management.  When fisheries management sets catch to maximise economic yield to producers only, it means that catch (supply of seafood) is </w:t>
      </w:r>
      <w:r w:rsidRPr="00C8015D">
        <w:rPr>
          <w:rFonts w:cstheme="minorHAnsi"/>
        </w:rPr>
        <w:lastRenderedPageBreak/>
        <w:t>reduced relative to the level that would maximise community benefit (both consumer and producer surplus).  The shift in benefit from consumers to producers is greatest when there is a strong price effect from lower supply.  So, a target reference point that includes both consumer and producer surplus will be closer to B</w:t>
      </w:r>
      <w:r w:rsidRPr="00C8015D">
        <w:rPr>
          <w:rFonts w:cstheme="minorHAnsi"/>
          <w:vertAlign w:val="subscript"/>
        </w:rPr>
        <w:t>MSY</w:t>
      </w:r>
      <w:r w:rsidRPr="00C8015D">
        <w:rPr>
          <w:rFonts w:cstheme="minorHAnsi"/>
        </w:rPr>
        <w:t xml:space="preserve"> and below the B</w:t>
      </w:r>
      <w:r w:rsidRPr="00C8015D">
        <w:rPr>
          <w:rFonts w:cstheme="minorHAnsi"/>
          <w:vertAlign w:val="subscript"/>
        </w:rPr>
        <w:t>MEY</w:t>
      </w:r>
      <w:r w:rsidRPr="00C8015D">
        <w:rPr>
          <w:rFonts w:cstheme="minorHAnsi"/>
        </w:rPr>
        <w:t xml:space="preserve"> levels typically adopted in Australia (Pascoe et al., 2018).  </w:t>
      </w:r>
    </w:p>
    <w:p w14:paraId="01AC121D" w14:textId="77777777" w:rsidR="00AA2DC9" w:rsidRPr="00C8015D" w:rsidRDefault="00AA2DC9" w:rsidP="00AA2DC9">
      <w:pPr>
        <w:pStyle w:val="ListParagraph"/>
        <w:rPr>
          <w:rFonts w:cstheme="minorHAnsi"/>
        </w:rPr>
      </w:pPr>
    </w:p>
    <w:p w14:paraId="413F9E1A" w14:textId="77777777" w:rsidR="00AA2DC9" w:rsidRPr="00C8015D" w:rsidRDefault="00AA2DC9" w:rsidP="00C8015D">
      <w:pPr>
        <w:pStyle w:val="ListParagraph"/>
        <w:numPr>
          <w:ilvl w:val="0"/>
          <w:numId w:val="30"/>
        </w:numPr>
        <w:ind w:left="714" w:hanging="357"/>
        <w:rPr>
          <w:rFonts w:cstheme="minorHAnsi"/>
        </w:rPr>
      </w:pPr>
      <w:r w:rsidRPr="00C8015D">
        <w:rPr>
          <w:rFonts w:cstheme="minorHAnsi"/>
        </w:rPr>
        <w:t>Greenhouse benefits: With global and national focus on mitigating global warming and its consequences, reducing greenhouse emissions for key industries is in the spotlight. These considerations have a bearing, not only on the types of fishing gear and vessels used, but also on the overall amount of fishing effort expended in catching fish. A recent paper discusses the greenhouse gas emission consequences of selecting different reference points and provides a measure of the fuel use per unit of catch (Hornborg and Smith, 2020). The message is clear – higher biomass reference points (achieved with less fishing effort) have greenhouse benefits (Farmery et al., 2013).</w:t>
      </w:r>
    </w:p>
    <w:p w14:paraId="40A134CC" w14:textId="77777777" w:rsidR="00AA2DC9" w:rsidRPr="00C8015D" w:rsidRDefault="00AA2DC9" w:rsidP="00AA2DC9">
      <w:pPr>
        <w:pStyle w:val="ListParagraph"/>
        <w:rPr>
          <w:rFonts w:cstheme="minorHAnsi"/>
        </w:rPr>
      </w:pPr>
    </w:p>
    <w:p w14:paraId="03734F6E" w14:textId="77777777" w:rsidR="00AA2DC9" w:rsidRPr="00C8015D" w:rsidRDefault="00AA2DC9" w:rsidP="00AA2DC9">
      <w:pPr>
        <w:pStyle w:val="ListParagraph"/>
        <w:numPr>
          <w:ilvl w:val="0"/>
          <w:numId w:val="30"/>
        </w:numPr>
        <w:rPr>
          <w:rFonts w:cstheme="minorHAnsi"/>
        </w:rPr>
      </w:pPr>
      <w:r w:rsidRPr="00C8015D">
        <w:rPr>
          <w:rFonts w:cstheme="minorHAnsi"/>
        </w:rPr>
        <w:t>Ecosystem benefits: Fishing has ecological impacts beyond the catch of target species. These impacts are diverse, affecting populations, communities, habitats and sometimes the structure of ecosystems. While there are trade-offs involved, the impacts are often related directly to the amount of effort applied. Higher biomass targets correspond to less effort and lower ecological impacts. Pascoe et al (2018) explored including the non-market value of bycatch in calculation of community MEY from a fishery.  Unsurprisingly, this led to an estimate of lower MEY catch / higher B</w:t>
      </w:r>
      <w:r w:rsidRPr="00C8015D">
        <w:rPr>
          <w:rFonts w:cstheme="minorHAnsi"/>
          <w:vertAlign w:val="subscript"/>
        </w:rPr>
        <w:t>MEY</w:t>
      </w:r>
      <w:r w:rsidRPr="00C8015D">
        <w:rPr>
          <w:rFonts w:cstheme="minorHAnsi"/>
        </w:rPr>
        <w:t xml:space="preserve"> than if only producer surplus was considered.  The main point was that limiting MEY calculations to producer benefits only does not maximise economic benefit for the community.  </w:t>
      </w:r>
    </w:p>
    <w:p w14:paraId="79BACFDA" w14:textId="77777777" w:rsidR="00AA2DC9" w:rsidRPr="00C8015D" w:rsidRDefault="00AA2DC9" w:rsidP="00AA2DC9">
      <w:pPr>
        <w:pStyle w:val="ListParagraph"/>
        <w:rPr>
          <w:rFonts w:cstheme="minorHAnsi"/>
        </w:rPr>
      </w:pPr>
    </w:p>
    <w:p w14:paraId="0EC4D46F" w14:textId="77777777" w:rsidR="00AA2DC9" w:rsidRPr="00C8015D" w:rsidRDefault="00AA2DC9" w:rsidP="00AA2DC9">
      <w:pPr>
        <w:pStyle w:val="ListParagraph"/>
        <w:numPr>
          <w:ilvl w:val="0"/>
          <w:numId w:val="30"/>
        </w:numPr>
        <w:rPr>
          <w:rFonts w:cstheme="minorHAnsi"/>
        </w:rPr>
      </w:pPr>
      <w:r w:rsidRPr="00C8015D">
        <w:rPr>
          <w:rFonts w:cstheme="minorHAnsi"/>
        </w:rPr>
        <w:t xml:space="preserve">Recreational and cultural benefits: This is another situation where the traditional limited approach to focusing on commercial producer benefit only in calculating MEY may reduce economic benefits to the wider community.  Both recreational and indigenous cultural fishers receive non-market economic benefits from harvesting fish and their target biomass level is likely higher than for commercial producers. For recreational fishers, the probability of catching a “trophy” fish is higher at higher biomass, while indigenous fishers will generally benefit from higher biomass targets because fish will be more accessible to shore-based fishing. Both cultural and recreational fishers tend to be less efficient than commercial fishers which means they tend to benefit more from lower catch/higher biomass than a commercial fisher.  See also the section on multi-sector fisheries below.  </w:t>
      </w:r>
    </w:p>
    <w:p w14:paraId="30167214" w14:textId="77777777" w:rsidR="00AA2DC9" w:rsidRPr="00C8015D" w:rsidRDefault="00AA2DC9" w:rsidP="00AA2DC9">
      <w:pPr>
        <w:pStyle w:val="ListParagraph"/>
        <w:rPr>
          <w:rFonts w:cstheme="minorHAnsi"/>
        </w:rPr>
      </w:pPr>
    </w:p>
    <w:p w14:paraId="1EDED292" w14:textId="3EF86480" w:rsidR="00C8015D" w:rsidRPr="00C8015D" w:rsidRDefault="00AA2DC9" w:rsidP="00C8015D">
      <w:pPr>
        <w:pStyle w:val="ListParagraph"/>
        <w:numPr>
          <w:ilvl w:val="0"/>
          <w:numId w:val="30"/>
        </w:numPr>
        <w:ind w:left="714" w:hanging="357"/>
        <w:contextualSpacing w:val="0"/>
        <w:rPr>
          <w:rFonts w:cstheme="minorHAnsi"/>
        </w:rPr>
      </w:pPr>
      <w:r w:rsidRPr="00C8015D">
        <w:rPr>
          <w:rFonts w:cstheme="minorHAnsi"/>
        </w:rPr>
        <w:t>Governance benefits: Ask any fishery manager whether they would rather be managing a depleted or a healthy resource! Fish stocks at higher biomass levels require less management intervention, often less intensive monitoring, less frequent assessment, and overall, less contention and lower management costs.</w:t>
      </w:r>
    </w:p>
    <w:p w14:paraId="0951A64E" w14:textId="77777777" w:rsidR="00AA2DC9" w:rsidRPr="00C8015D" w:rsidRDefault="00AA2DC9" w:rsidP="00C8015D">
      <w:pPr>
        <w:pStyle w:val="ListParagraph"/>
        <w:numPr>
          <w:ilvl w:val="0"/>
          <w:numId w:val="30"/>
        </w:numPr>
        <w:spacing w:before="160"/>
        <w:ind w:left="714" w:hanging="357"/>
        <w:rPr>
          <w:rFonts w:cstheme="minorHAnsi"/>
        </w:rPr>
      </w:pPr>
      <w:r w:rsidRPr="00C8015D">
        <w:rPr>
          <w:rFonts w:cstheme="minorHAnsi"/>
        </w:rPr>
        <w:t xml:space="preserve">Dynamic operating environments and tolerance of risk:  The productivity of fisheries changes through time both because of climate change </w:t>
      </w:r>
      <w:proofErr w:type="gramStart"/>
      <w:r w:rsidRPr="00C8015D">
        <w:rPr>
          <w:rFonts w:cstheme="minorHAnsi"/>
        </w:rPr>
        <w:t>and also</w:t>
      </w:r>
      <w:proofErr w:type="gramEnd"/>
      <w:r w:rsidRPr="00C8015D">
        <w:rPr>
          <w:rFonts w:cstheme="minorHAnsi"/>
        </w:rPr>
        <w:t xml:space="preserve"> due to normal interannual fluctuations in recruitment and other drivers of population dynamics.  The economic environment of fisheries is also dynamics due to changing costs and prices.  These contribute to an uncertain operating environment for management and a buffer of a larger stock level can assist in reducing the risk of current catches impacting future production. </w:t>
      </w:r>
    </w:p>
    <w:p w14:paraId="1C65AD9E" w14:textId="77777777" w:rsidR="00AA2DC9" w:rsidRPr="00C8015D" w:rsidRDefault="00AA2DC9" w:rsidP="00AA2DC9">
      <w:pPr>
        <w:rPr>
          <w:rFonts w:asciiTheme="minorHAnsi" w:hAnsiTheme="minorHAnsi" w:cstheme="minorHAnsi"/>
          <w:sz w:val="22"/>
          <w:szCs w:val="22"/>
        </w:rPr>
      </w:pPr>
    </w:p>
    <w:p w14:paraId="03C2517B" w14:textId="77777777" w:rsidR="00AA2DC9" w:rsidRPr="00C8015D" w:rsidRDefault="00AA2DC9" w:rsidP="00AA2DC9">
      <w:pPr>
        <w:rPr>
          <w:rFonts w:asciiTheme="minorHAnsi" w:hAnsiTheme="minorHAnsi" w:cstheme="minorHAnsi"/>
          <w:sz w:val="22"/>
          <w:szCs w:val="22"/>
        </w:rPr>
      </w:pPr>
    </w:p>
    <w:p w14:paraId="50BC8F4F" w14:textId="77777777" w:rsidR="00AA2DC9" w:rsidRPr="00C8015D" w:rsidRDefault="00AA2DC9" w:rsidP="00AA2DC9">
      <w:pPr>
        <w:rPr>
          <w:rFonts w:asciiTheme="minorHAnsi" w:hAnsiTheme="minorHAnsi" w:cstheme="minorHAnsi"/>
          <w:sz w:val="22"/>
          <w:szCs w:val="22"/>
        </w:rPr>
      </w:pPr>
    </w:p>
    <w:p w14:paraId="6CD2A94E" w14:textId="77777777" w:rsidR="00AA2DC9" w:rsidRPr="00C8015D" w:rsidRDefault="00AA2DC9" w:rsidP="00AA2DC9">
      <w:pPr>
        <w:rPr>
          <w:rFonts w:asciiTheme="minorHAnsi" w:hAnsiTheme="minorHAnsi" w:cstheme="minorHAnsi"/>
          <w:sz w:val="22"/>
          <w:szCs w:val="22"/>
        </w:rPr>
      </w:pPr>
    </w:p>
    <w:p w14:paraId="68B60CD8" w14:textId="77777777" w:rsidR="00AA2DC9" w:rsidRPr="00C8015D" w:rsidRDefault="00AA2DC9" w:rsidP="00C8015D">
      <w:pPr>
        <w:jc w:val="center"/>
        <w:rPr>
          <w:rFonts w:asciiTheme="minorHAnsi" w:hAnsiTheme="minorHAnsi" w:cstheme="minorHAnsi"/>
          <w:sz w:val="22"/>
          <w:szCs w:val="22"/>
        </w:rPr>
      </w:pPr>
      <w:r w:rsidRPr="00C8015D">
        <w:rPr>
          <w:rFonts w:asciiTheme="minorHAnsi" w:hAnsiTheme="minorHAnsi" w:cstheme="minorHAnsi"/>
          <w:noProof/>
          <w:sz w:val="22"/>
          <w:szCs w:val="22"/>
        </w:rPr>
        <w:drawing>
          <wp:inline distT="0" distB="0" distL="0" distR="0" wp14:anchorId="41CCE6BC" wp14:editId="6CBC9DBA">
            <wp:extent cx="4919980" cy="3542030"/>
            <wp:effectExtent l="0" t="0" r="0" b="1270"/>
            <wp:docPr id="1353604530" name="Picture 1" descr="A graph with black circl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04530" name="Picture 1" descr="A graph with black circles and arrow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9980" cy="3542030"/>
                    </a:xfrm>
                    <a:prstGeom prst="rect">
                      <a:avLst/>
                    </a:prstGeom>
                    <a:noFill/>
                  </pic:spPr>
                </pic:pic>
              </a:graphicData>
            </a:graphic>
          </wp:inline>
        </w:drawing>
      </w:r>
    </w:p>
    <w:p w14:paraId="46C33CC7" w14:textId="77777777" w:rsidR="00AA2DC9" w:rsidRPr="00C8015D" w:rsidRDefault="00AA2DC9" w:rsidP="00AA2DC9">
      <w:pPr>
        <w:rPr>
          <w:rFonts w:asciiTheme="minorHAnsi" w:hAnsiTheme="minorHAnsi" w:cstheme="minorHAnsi"/>
          <w:i/>
          <w:iCs/>
          <w:sz w:val="22"/>
          <w:szCs w:val="22"/>
        </w:rPr>
      </w:pPr>
      <w:r w:rsidRPr="00C8015D">
        <w:rPr>
          <w:rFonts w:asciiTheme="minorHAnsi" w:hAnsiTheme="minorHAnsi" w:cstheme="minorHAnsi"/>
          <w:b/>
          <w:bCs/>
          <w:i/>
          <w:iCs/>
          <w:sz w:val="22"/>
          <w:szCs w:val="22"/>
        </w:rPr>
        <w:t>Figure 1.</w:t>
      </w:r>
      <w:r w:rsidRPr="00C8015D">
        <w:rPr>
          <w:rFonts w:asciiTheme="minorHAnsi" w:hAnsiTheme="minorHAnsi" w:cstheme="minorHAnsi"/>
          <w:i/>
          <w:iCs/>
          <w:sz w:val="22"/>
          <w:szCs w:val="22"/>
        </w:rPr>
        <w:t xml:space="preserve">  B</w:t>
      </w:r>
      <w:r w:rsidRPr="00C8015D">
        <w:rPr>
          <w:rFonts w:asciiTheme="minorHAnsi" w:hAnsiTheme="minorHAnsi" w:cstheme="minorHAnsi"/>
          <w:i/>
          <w:iCs/>
          <w:sz w:val="22"/>
          <w:szCs w:val="22"/>
          <w:vertAlign w:val="subscript"/>
        </w:rPr>
        <w:t>TARG</w:t>
      </w:r>
      <w:r w:rsidRPr="00C8015D">
        <w:rPr>
          <w:rFonts w:asciiTheme="minorHAnsi" w:hAnsiTheme="minorHAnsi" w:cstheme="minorHAnsi"/>
          <w:i/>
          <w:iCs/>
          <w:sz w:val="22"/>
          <w:szCs w:val="22"/>
        </w:rPr>
        <w:t xml:space="preserve"> for commercial producers is higher than B</w:t>
      </w:r>
      <w:r w:rsidRPr="00C8015D">
        <w:rPr>
          <w:rFonts w:asciiTheme="minorHAnsi" w:hAnsiTheme="minorHAnsi" w:cstheme="minorHAnsi"/>
          <w:i/>
          <w:iCs/>
          <w:sz w:val="22"/>
          <w:szCs w:val="22"/>
          <w:vertAlign w:val="subscript"/>
        </w:rPr>
        <w:t>MSY</w:t>
      </w:r>
      <w:r w:rsidRPr="00C8015D">
        <w:rPr>
          <w:rFonts w:asciiTheme="minorHAnsi" w:hAnsiTheme="minorHAnsi" w:cstheme="minorHAnsi"/>
          <w:i/>
          <w:iCs/>
          <w:sz w:val="22"/>
          <w:szCs w:val="22"/>
        </w:rPr>
        <w:t xml:space="preserve"> in practice for Australian fisheries and equates approximately to B</w:t>
      </w:r>
      <w:r w:rsidRPr="00C8015D">
        <w:rPr>
          <w:rFonts w:asciiTheme="minorHAnsi" w:hAnsiTheme="minorHAnsi" w:cstheme="minorHAnsi"/>
          <w:i/>
          <w:iCs/>
          <w:sz w:val="22"/>
          <w:szCs w:val="22"/>
          <w:vertAlign w:val="subscript"/>
        </w:rPr>
        <w:t>MEY</w:t>
      </w:r>
      <w:r w:rsidRPr="00C8015D">
        <w:rPr>
          <w:rFonts w:asciiTheme="minorHAnsi" w:hAnsiTheme="minorHAnsi" w:cstheme="minorHAnsi"/>
          <w:i/>
          <w:iCs/>
          <w:sz w:val="22"/>
          <w:szCs w:val="22"/>
        </w:rPr>
        <w:t>.  B</w:t>
      </w:r>
      <w:r w:rsidRPr="00C8015D">
        <w:rPr>
          <w:rFonts w:asciiTheme="minorHAnsi" w:hAnsiTheme="minorHAnsi" w:cstheme="minorHAnsi"/>
          <w:i/>
          <w:iCs/>
          <w:sz w:val="22"/>
          <w:szCs w:val="22"/>
          <w:vertAlign w:val="subscript"/>
        </w:rPr>
        <w:t>TARG</w:t>
      </w:r>
      <w:r w:rsidRPr="00C8015D">
        <w:rPr>
          <w:rFonts w:asciiTheme="minorHAnsi" w:hAnsiTheme="minorHAnsi" w:cstheme="minorHAnsi"/>
          <w:i/>
          <w:iCs/>
          <w:sz w:val="22"/>
          <w:szCs w:val="22"/>
        </w:rPr>
        <w:t xml:space="preserve"> for recreational and cultural fishers will be higher again, in general, because they typically gain greater benefit from stocks with lower exploitation rates and higher biomass, improving catch rates and access.   B</w:t>
      </w:r>
      <w:r w:rsidRPr="00C8015D">
        <w:rPr>
          <w:rFonts w:asciiTheme="minorHAnsi" w:hAnsiTheme="minorHAnsi" w:cstheme="minorHAnsi"/>
          <w:i/>
          <w:iCs/>
          <w:sz w:val="22"/>
          <w:szCs w:val="22"/>
          <w:vertAlign w:val="subscript"/>
        </w:rPr>
        <w:t>TARG</w:t>
      </w:r>
      <w:r w:rsidRPr="00C8015D">
        <w:rPr>
          <w:rFonts w:asciiTheme="minorHAnsi" w:hAnsiTheme="minorHAnsi" w:cstheme="minorHAnsi"/>
          <w:i/>
          <w:iCs/>
          <w:sz w:val="22"/>
          <w:szCs w:val="22"/>
        </w:rPr>
        <w:t xml:space="preserve"> will vary if it includes benefits and externalities to the community rather than commercial producers only.  Consideration of the economic benefit of “consumer surplus” would typically lead to strategies of higher catch and B</w:t>
      </w:r>
      <w:r w:rsidRPr="00C8015D">
        <w:rPr>
          <w:rFonts w:asciiTheme="minorHAnsi" w:hAnsiTheme="minorHAnsi" w:cstheme="minorHAnsi"/>
          <w:i/>
          <w:iCs/>
          <w:sz w:val="22"/>
          <w:szCs w:val="22"/>
          <w:vertAlign w:val="subscript"/>
        </w:rPr>
        <w:t>TARG</w:t>
      </w:r>
      <w:r w:rsidRPr="00C8015D">
        <w:rPr>
          <w:rFonts w:asciiTheme="minorHAnsi" w:hAnsiTheme="minorHAnsi" w:cstheme="minorHAnsi"/>
          <w:i/>
          <w:iCs/>
          <w:sz w:val="22"/>
          <w:szCs w:val="22"/>
        </w:rPr>
        <w:t xml:space="preserve"> </w:t>
      </w:r>
      <w:r w:rsidRPr="00C8015D">
        <w:rPr>
          <w:rFonts w:asciiTheme="minorHAnsi" w:hAnsiTheme="minorHAnsi" w:cstheme="minorHAnsi"/>
          <w:sz w:val="22"/>
          <w:szCs w:val="22"/>
        </w:rPr>
        <w:t xml:space="preserve">below </w:t>
      </w:r>
      <w:r w:rsidRPr="00C8015D">
        <w:rPr>
          <w:rFonts w:asciiTheme="minorHAnsi" w:hAnsiTheme="minorHAnsi" w:cstheme="minorHAnsi"/>
          <w:i/>
          <w:iCs/>
          <w:sz w:val="22"/>
          <w:szCs w:val="22"/>
        </w:rPr>
        <w:t>B</w:t>
      </w:r>
      <w:r w:rsidRPr="00C8015D">
        <w:rPr>
          <w:rFonts w:asciiTheme="minorHAnsi" w:hAnsiTheme="minorHAnsi" w:cstheme="minorHAnsi"/>
          <w:i/>
          <w:iCs/>
          <w:sz w:val="22"/>
          <w:szCs w:val="22"/>
          <w:vertAlign w:val="subscript"/>
        </w:rPr>
        <w:t>MEY</w:t>
      </w:r>
      <w:r w:rsidRPr="00C8015D">
        <w:rPr>
          <w:rFonts w:asciiTheme="minorHAnsi" w:hAnsiTheme="minorHAnsi" w:cstheme="minorHAnsi"/>
          <w:i/>
          <w:iCs/>
          <w:sz w:val="22"/>
          <w:szCs w:val="22"/>
        </w:rPr>
        <w:t>.  Inclusion of environmental externalities such as bycatch would also lead to higher B</w:t>
      </w:r>
      <w:r w:rsidRPr="00C8015D">
        <w:rPr>
          <w:rFonts w:asciiTheme="minorHAnsi" w:hAnsiTheme="minorHAnsi" w:cstheme="minorHAnsi"/>
          <w:i/>
          <w:iCs/>
          <w:sz w:val="22"/>
          <w:szCs w:val="22"/>
          <w:vertAlign w:val="subscript"/>
        </w:rPr>
        <w:t>TARG</w:t>
      </w:r>
      <w:r w:rsidRPr="00C8015D">
        <w:rPr>
          <w:rFonts w:asciiTheme="minorHAnsi" w:hAnsiTheme="minorHAnsi" w:cstheme="minorHAnsi"/>
          <w:i/>
          <w:iCs/>
          <w:sz w:val="22"/>
          <w:szCs w:val="22"/>
        </w:rPr>
        <w:t>.  Risk of unexpected stock impacts from catch settings in harvest strategies is reduced where the target is greater than B</w:t>
      </w:r>
      <w:r w:rsidRPr="00C8015D">
        <w:rPr>
          <w:rFonts w:asciiTheme="minorHAnsi" w:hAnsiTheme="minorHAnsi" w:cstheme="minorHAnsi"/>
          <w:i/>
          <w:iCs/>
          <w:sz w:val="22"/>
          <w:szCs w:val="22"/>
          <w:vertAlign w:val="subscript"/>
        </w:rPr>
        <w:t>MEY</w:t>
      </w:r>
      <w:r w:rsidRPr="00C8015D">
        <w:rPr>
          <w:rFonts w:asciiTheme="minorHAnsi" w:hAnsiTheme="minorHAnsi" w:cstheme="minorHAnsi"/>
          <w:i/>
          <w:iCs/>
          <w:sz w:val="22"/>
          <w:szCs w:val="22"/>
        </w:rPr>
        <w:t xml:space="preserve"> for commercial producers.   </w:t>
      </w:r>
    </w:p>
    <w:p w14:paraId="4AFF89AA" w14:textId="77777777" w:rsidR="00AA2DC9" w:rsidRPr="00C8015D" w:rsidRDefault="00AA2DC9" w:rsidP="00AA2DC9">
      <w:pPr>
        <w:rPr>
          <w:rFonts w:asciiTheme="minorHAnsi" w:hAnsiTheme="minorHAnsi" w:cstheme="minorHAnsi"/>
          <w:sz w:val="22"/>
          <w:szCs w:val="22"/>
        </w:rPr>
      </w:pPr>
    </w:p>
    <w:p w14:paraId="485123C3" w14:textId="77777777" w:rsidR="00AA2DC9" w:rsidRPr="00C8015D" w:rsidRDefault="00AA2DC9" w:rsidP="00AA2DC9">
      <w:pPr>
        <w:rPr>
          <w:rFonts w:asciiTheme="minorHAnsi" w:hAnsiTheme="minorHAnsi" w:cstheme="minorHAnsi"/>
          <w:sz w:val="22"/>
          <w:szCs w:val="22"/>
        </w:rPr>
      </w:pPr>
      <w:proofErr w:type="gramStart"/>
      <w:r w:rsidRPr="00C8015D">
        <w:rPr>
          <w:rFonts w:asciiTheme="minorHAnsi" w:hAnsiTheme="minorHAnsi" w:cstheme="minorHAnsi"/>
          <w:sz w:val="22"/>
          <w:szCs w:val="22"/>
        </w:rPr>
        <w:t>With the exception of</w:t>
      </w:r>
      <w:proofErr w:type="gramEnd"/>
      <w:r w:rsidRPr="00C8015D">
        <w:rPr>
          <w:rFonts w:asciiTheme="minorHAnsi" w:hAnsiTheme="minorHAnsi" w:cstheme="minorHAnsi"/>
          <w:sz w:val="22"/>
          <w:szCs w:val="22"/>
        </w:rPr>
        <w:t xml:space="preserve"> consumer benefits, all these considerations point in the direction of higher biomass targets. Even for consumers, there is no benefit in fishing the stock below B</w:t>
      </w:r>
      <w:r w:rsidRPr="00C8015D">
        <w:rPr>
          <w:rFonts w:asciiTheme="minorHAnsi" w:hAnsiTheme="minorHAnsi" w:cstheme="minorHAnsi"/>
          <w:sz w:val="22"/>
          <w:szCs w:val="22"/>
          <w:vertAlign w:val="subscript"/>
        </w:rPr>
        <w:t>MSY</w:t>
      </w:r>
      <w:r w:rsidRPr="00C8015D">
        <w:rPr>
          <w:rFonts w:asciiTheme="minorHAnsi" w:hAnsiTheme="minorHAnsi" w:cstheme="minorHAnsi"/>
          <w:sz w:val="22"/>
          <w:szCs w:val="22"/>
        </w:rPr>
        <w:t>. For the other considerations, a suitable target biomass or proxy will be higher than estimated for commercial B</w:t>
      </w:r>
      <w:r w:rsidRPr="00C8015D">
        <w:rPr>
          <w:rFonts w:asciiTheme="minorHAnsi" w:hAnsiTheme="minorHAnsi" w:cstheme="minorHAnsi"/>
          <w:sz w:val="22"/>
          <w:szCs w:val="22"/>
          <w:vertAlign w:val="subscript"/>
        </w:rPr>
        <w:t>MEY</w:t>
      </w:r>
      <w:r w:rsidRPr="00C8015D">
        <w:rPr>
          <w:rFonts w:asciiTheme="minorHAnsi" w:hAnsiTheme="minorHAnsi" w:cstheme="minorHAnsi"/>
          <w:sz w:val="22"/>
          <w:szCs w:val="22"/>
        </w:rPr>
        <w:t xml:space="preserve">. It is likely to vary case by case and there will be trade-offs. The point is to consider these wider objectives and to weigh up the trade-offs explicitly. </w:t>
      </w:r>
    </w:p>
    <w:p w14:paraId="6BD5C3FB" w14:textId="77777777" w:rsidR="00AA2DC9" w:rsidRPr="00C8015D" w:rsidRDefault="00AA2DC9" w:rsidP="00C8015D">
      <w:pPr>
        <w:keepLines w:val="0"/>
        <w:rPr>
          <w:rFonts w:asciiTheme="minorHAnsi" w:hAnsiTheme="minorHAnsi" w:cstheme="minorHAnsi"/>
          <w:sz w:val="22"/>
          <w:szCs w:val="22"/>
        </w:rPr>
      </w:pPr>
      <w:r w:rsidRPr="00C8015D">
        <w:rPr>
          <w:rFonts w:asciiTheme="minorHAnsi" w:hAnsiTheme="minorHAnsi" w:cstheme="minorHAnsi"/>
          <w:sz w:val="22"/>
          <w:szCs w:val="22"/>
        </w:rPr>
        <w:t xml:space="preserve">A further consideration in selecting targets is what to do about stocks that are shared across jurisdictions (nationally or internationally). For stocks whose management is shared with States or Territories, the ideal is to have a common harvest strategy. This would require common reference points and identical harvest control rules. For most shared resources, allocation agreements have </w:t>
      </w:r>
      <w:r w:rsidRPr="00C8015D">
        <w:rPr>
          <w:rFonts w:asciiTheme="minorHAnsi" w:hAnsiTheme="minorHAnsi" w:cstheme="minorHAnsi"/>
          <w:sz w:val="22"/>
          <w:szCs w:val="22"/>
        </w:rPr>
        <w:lastRenderedPageBreak/>
        <w:t>been reached between jurisdictions (and usually between sectors within jurisdictions). However, differences in harvest strategies between jurisdictions, such as different targets or different harvest control rules, would result in different management responses in response to the same stock status, leading to changes in relative allocations over time. Most states have adopted their own harvest strategy policies and guidelines, and there are some notable differences between them (e.g., Queensland has adopted a default biomass target of 60%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In general, jurisdictions that, for whatever reason, have adopted more conservative targets (higher biomass targets) will be at a disadvantage relative to those with less conservative targets. This situation is becoming more problematic as more jurisdictions implement harvest strategies. Discussion and resolution of the issue seems warranted at a national level.</w:t>
      </w:r>
    </w:p>
    <w:p w14:paraId="787FECF3" w14:textId="77777777" w:rsidR="00AA2DC9" w:rsidRPr="00C8015D" w:rsidRDefault="00AA2DC9" w:rsidP="00AA2DC9">
      <w:pPr>
        <w:rPr>
          <w:rFonts w:asciiTheme="minorHAnsi" w:hAnsiTheme="minorHAnsi" w:cstheme="minorHAnsi"/>
          <w:i/>
          <w:iCs/>
          <w:sz w:val="22"/>
          <w:szCs w:val="22"/>
        </w:rPr>
      </w:pPr>
      <w:r w:rsidRPr="00C8015D">
        <w:rPr>
          <w:rFonts w:asciiTheme="minorHAnsi" w:hAnsiTheme="minorHAnsi" w:cstheme="minorHAnsi"/>
          <w:i/>
          <w:iCs/>
          <w:sz w:val="22"/>
          <w:szCs w:val="22"/>
        </w:rPr>
        <w:t>Questions to consider / information request:</w:t>
      </w:r>
    </w:p>
    <w:p w14:paraId="5EB20C55" w14:textId="77777777" w:rsidR="00AA2DC9" w:rsidRPr="00C8015D" w:rsidRDefault="00AA2DC9" w:rsidP="00AA2DC9">
      <w:pPr>
        <w:pStyle w:val="ListParagraph"/>
        <w:numPr>
          <w:ilvl w:val="0"/>
          <w:numId w:val="31"/>
        </w:numPr>
        <w:rPr>
          <w:rFonts w:cstheme="minorHAnsi"/>
        </w:rPr>
      </w:pPr>
      <w:r w:rsidRPr="00C8015D">
        <w:rPr>
          <w:rFonts w:cstheme="minorHAnsi"/>
        </w:rPr>
        <w:t>Should the harvest strategy policy be modified to include objectives broader than commercial MEY?</w:t>
      </w:r>
    </w:p>
    <w:p w14:paraId="6F8FF291" w14:textId="77777777" w:rsidR="00AA2DC9" w:rsidRPr="00C8015D" w:rsidRDefault="00AA2DC9" w:rsidP="00AA2DC9">
      <w:pPr>
        <w:pStyle w:val="ListParagraph"/>
        <w:numPr>
          <w:ilvl w:val="0"/>
          <w:numId w:val="31"/>
        </w:numPr>
        <w:rPr>
          <w:rFonts w:cstheme="minorHAnsi"/>
        </w:rPr>
      </w:pPr>
      <w:r w:rsidRPr="00C8015D">
        <w:rPr>
          <w:rFonts w:cstheme="minorHAnsi"/>
        </w:rPr>
        <w:t>Is there a need for common standards and approaches to harvest strategy limits and targets across jurisdictions, particularly for shared resources?</w:t>
      </w:r>
    </w:p>
    <w:p w14:paraId="00598EC7" w14:textId="77777777" w:rsidR="00AA2DC9" w:rsidRPr="00C8015D" w:rsidRDefault="00AA2DC9" w:rsidP="00AA2DC9">
      <w:pPr>
        <w:rPr>
          <w:rFonts w:asciiTheme="minorHAnsi" w:hAnsiTheme="minorHAnsi" w:cstheme="minorHAnsi"/>
          <w:sz w:val="22"/>
          <w:szCs w:val="22"/>
        </w:rPr>
      </w:pPr>
    </w:p>
    <w:p w14:paraId="06C72391" w14:textId="77777777" w:rsidR="00AA2DC9" w:rsidRPr="00C8015D" w:rsidRDefault="00AA2DC9" w:rsidP="00AA2DC9">
      <w:pPr>
        <w:rPr>
          <w:rFonts w:asciiTheme="minorHAnsi" w:hAnsiTheme="minorHAnsi" w:cstheme="minorHAnsi"/>
          <w:b/>
          <w:bCs/>
          <w:sz w:val="22"/>
          <w:szCs w:val="22"/>
        </w:rPr>
      </w:pPr>
      <w:r w:rsidRPr="00C8015D">
        <w:rPr>
          <w:rFonts w:asciiTheme="minorHAnsi" w:hAnsiTheme="minorHAnsi" w:cstheme="minorHAnsi"/>
          <w:b/>
          <w:bCs/>
          <w:sz w:val="22"/>
          <w:szCs w:val="22"/>
        </w:rPr>
        <w:t>Shifting baselines</w:t>
      </w:r>
    </w:p>
    <w:p w14:paraId="20AC18CB"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Stock assessments typically measure the status (abundance or biomass) of a stock relative to its unfished or pre-fishing level. This is often expressed as a depletion level – the current level of the stock relative to its unfished level, expressed as a percentage. As discussed in the previous section, this is used to define reference levels such as a target (e.g., 48%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as a proxy for commercial B</w:t>
      </w:r>
      <w:r w:rsidRPr="00C8015D">
        <w:rPr>
          <w:rFonts w:asciiTheme="minorHAnsi" w:hAnsiTheme="minorHAnsi" w:cstheme="minorHAnsi"/>
          <w:sz w:val="22"/>
          <w:szCs w:val="22"/>
          <w:vertAlign w:val="subscript"/>
        </w:rPr>
        <w:t>MEY</w:t>
      </w:r>
      <w:r w:rsidRPr="00C8015D">
        <w:rPr>
          <w:rFonts w:asciiTheme="minorHAnsi" w:hAnsiTheme="minorHAnsi" w:cstheme="minorHAnsi"/>
          <w:sz w:val="22"/>
          <w:szCs w:val="22"/>
        </w:rPr>
        <w:t>) where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is unfished biomass. Similarly, limit reference points for biomass are expressed as a depletion level (20% of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These are simple concepts and widely used in fisheries assessment and management, including in harvest strategies.</w:t>
      </w:r>
    </w:p>
    <w:p w14:paraId="053FDE8F"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A difficulty arises when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itself varies over time. The productivity and abundance of a species is influenced by the properties of the ecosystem in which it exists, and ecosystems change. For example, the marine ecosystems of southern Australia were already highly modified by sealing and whaling in the 19</w:t>
      </w:r>
      <w:r w:rsidRPr="00C8015D">
        <w:rPr>
          <w:rFonts w:asciiTheme="minorHAnsi" w:hAnsiTheme="minorHAnsi" w:cstheme="minorHAnsi"/>
          <w:sz w:val="22"/>
          <w:szCs w:val="22"/>
          <w:vertAlign w:val="superscript"/>
        </w:rPr>
        <w:t>th</w:t>
      </w:r>
      <w:r w:rsidRPr="00C8015D">
        <w:rPr>
          <w:rFonts w:asciiTheme="minorHAnsi" w:hAnsiTheme="minorHAnsi" w:cstheme="minorHAnsi"/>
          <w:sz w:val="22"/>
          <w:szCs w:val="22"/>
        </w:rPr>
        <w:t xml:space="preserve"> century, well before most present-day fisheries developed. The recovery of these species is now changing these ecosystems again, not necessarily back to how they were. Changes in ecosystems cause fluctuations in the abundance of a species even in the absence of fishing. If these changes are merely random in nature, and equally up and down, then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can be thought of as an average unfished level. However, larger, longer term, and/or unidirectional changes in system productivity can cause larger impacts on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(and hence perceptions of depletion) and need to be accounted for.</w:t>
      </w:r>
    </w:p>
    <w:p w14:paraId="7E49CEBA"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There is mounting evidence that global warming is having dramatic impacts on ocean ecosystems, including in Australia (</w:t>
      </w:r>
      <w:proofErr w:type="spellStart"/>
      <w:r w:rsidRPr="00C8015D">
        <w:rPr>
          <w:rFonts w:asciiTheme="minorHAnsi" w:hAnsiTheme="minorHAnsi" w:cstheme="minorHAnsi"/>
          <w:sz w:val="22"/>
          <w:szCs w:val="22"/>
        </w:rPr>
        <w:t>Barange</w:t>
      </w:r>
      <w:proofErr w:type="spellEnd"/>
      <w:r w:rsidRPr="00C8015D">
        <w:rPr>
          <w:rFonts w:asciiTheme="minorHAnsi" w:hAnsiTheme="minorHAnsi" w:cstheme="minorHAnsi"/>
          <w:sz w:val="22"/>
          <w:szCs w:val="22"/>
        </w:rPr>
        <w:t xml:space="preserve"> et al., 2018). These changes are impacting harvested species in several ways:</w:t>
      </w:r>
    </w:p>
    <w:p w14:paraId="708CB5A8" w14:textId="77777777" w:rsidR="00AA2DC9" w:rsidRPr="00C8015D" w:rsidRDefault="00AA2DC9" w:rsidP="00AA2DC9">
      <w:pPr>
        <w:pStyle w:val="ListParagraph"/>
        <w:numPr>
          <w:ilvl w:val="0"/>
          <w:numId w:val="29"/>
        </w:numPr>
        <w:rPr>
          <w:rFonts w:cstheme="minorHAnsi"/>
        </w:rPr>
      </w:pPr>
      <w:r w:rsidRPr="00C8015D">
        <w:rPr>
          <w:rFonts w:cstheme="minorHAnsi"/>
        </w:rPr>
        <w:t>Shifting spatial distributions</w:t>
      </w:r>
    </w:p>
    <w:p w14:paraId="6121EED5" w14:textId="77777777" w:rsidR="00AA2DC9" w:rsidRPr="00C8015D" w:rsidRDefault="00AA2DC9" w:rsidP="00AA2DC9">
      <w:pPr>
        <w:pStyle w:val="ListParagraph"/>
        <w:numPr>
          <w:ilvl w:val="0"/>
          <w:numId w:val="29"/>
        </w:numPr>
        <w:rPr>
          <w:rFonts w:cstheme="minorHAnsi"/>
        </w:rPr>
      </w:pPr>
      <w:r w:rsidRPr="00C8015D">
        <w:rPr>
          <w:rFonts w:cstheme="minorHAnsi"/>
        </w:rPr>
        <w:t>Changes in B</w:t>
      </w:r>
      <w:r w:rsidRPr="00C8015D">
        <w:rPr>
          <w:rFonts w:cstheme="minorHAnsi"/>
          <w:vertAlign w:val="subscript"/>
        </w:rPr>
        <w:t>0</w:t>
      </w:r>
    </w:p>
    <w:p w14:paraId="6DD44482" w14:textId="77777777" w:rsidR="00AA2DC9" w:rsidRPr="00C8015D" w:rsidRDefault="00AA2DC9" w:rsidP="00AA2DC9">
      <w:pPr>
        <w:pStyle w:val="ListParagraph"/>
        <w:numPr>
          <w:ilvl w:val="0"/>
          <w:numId w:val="29"/>
        </w:numPr>
        <w:rPr>
          <w:rFonts w:cstheme="minorHAnsi"/>
        </w:rPr>
      </w:pPr>
      <w:r w:rsidRPr="00C8015D">
        <w:rPr>
          <w:rFonts w:cstheme="minorHAnsi"/>
        </w:rPr>
        <w:t>Changes in productivity (impacting F</w:t>
      </w:r>
      <w:r w:rsidRPr="00C8015D">
        <w:rPr>
          <w:rFonts w:cstheme="minorHAnsi"/>
          <w:vertAlign w:val="subscript"/>
        </w:rPr>
        <w:t>TARG</w:t>
      </w:r>
      <w:r w:rsidRPr="00C8015D">
        <w:rPr>
          <w:rFonts w:cstheme="minorHAnsi"/>
        </w:rPr>
        <w:t>)</w:t>
      </w:r>
    </w:p>
    <w:p w14:paraId="035514FC"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lastRenderedPageBreak/>
        <w:t xml:space="preserve">These impacts and their consequences have been the focus of scientific research over the past decade or more, with a lot of new evidence and analysis emerging since the last update of the harvest strategy policy and guidelines in 2018. </w:t>
      </w:r>
    </w:p>
    <w:p w14:paraId="7212AE6F"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There is mounting evidence of shifts in spatial distribution of populations and species, particularly along the eastern and western coasts of Australia (Gervais et al., 2020). A common trend is a southward shift in distributions, associated with warmer ocean temperatures shifting further south. These changes have implications for both resource access and jurisdictional arrangements. As populations shift south, access to the resource can be diminished or lost entirely for fishers in more northerly areas, while fishers in the south may gain access to resources not previously available. These changes can also affect assessments of resource status, due to contrasting trends in abundance in different parts of the range. Similarly, resources that are mainly managed by one jurisdiction may increase in importance for another jurisdiction. All these changes have important implications for harvest strategies, particularly for shared resources.</w:t>
      </w:r>
    </w:p>
    <w:p w14:paraId="51BABC94"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Ocean warming is not only affecting the spatial distribution of species, but also their abundance. Some of these impacts can be rapid and dramatic, such as the effects of marine heatwaves. Harvest strategies need to be flexible enough to respond appropriately to such changes. Other changes due to ocean warming may be more gradual but also more long-lasting. The effects of such changes on population abundance may be direct (physiological) or mediated through broader changes in ocean ecosystems, including impacts on ocean currents (dispersal and settlement), food supply and habitat. These changes can result in large changes in both abundance (unfished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as well as population productivity (through changes in growth, natural mortality and/or recruitment), sometimes positive but often negative. </w:t>
      </w:r>
    </w:p>
    <w:p w14:paraId="03E16C09"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Considerable scientific research has been directed at this issue of shifting baselines, particularly in the past five years (Bryndum-Buchholz et al., 2021; Holsman et al., 2019; Link et al., 2021). Mostly it has considered changes in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rather than changes in </w:t>
      </w:r>
      <w:proofErr w:type="gramStart"/>
      <w:r w:rsidRPr="00C8015D">
        <w:rPr>
          <w:rFonts w:asciiTheme="minorHAnsi" w:hAnsiTheme="minorHAnsi" w:cstheme="minorHAnsi"/>
          <w:sz w:val="22"/>
          <w:szCs w:val="22"/>
        </w:rPr>
        <w:t>productivity, because</w:t>
      </w:r>
      <w:proofErr w:type="gramEnd"/>
      <w:r w:rsidRPr="00C8015D">
        <w:rPr>
          <w:rFonts w:asciiTheme="minorHAnsi" w:hAnsiTheme="minorHAnsi" w:cstheme="minorHAnsi"/>
          <w:sz w:val="22"/>
          <w:szCs w:val="22"/>
        </w:rPr>
        <w:t xml:space="preserve"> this is easier to detect and measure. One way to detect such changes is to allow for “dynamic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where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is estimated each year as the biomass which would occur in that year in the absence of fishing, given current conditions. This contrasts with the more usual approach of estimating a “static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corresponding to the biomass which existed prior to the commencement of fishing (so at a fixed point back in time, which will vary from stock to stock depending on the history of fishing). There is mounting evidence for </w:t>
      </w:r>
      <w:proofErr w:type="gramStart"/>
      <w:r w:rsidRPr="00C8015D">
        <w:rPr>
          <w:rFonts w:asciiTheme="minorHAnsi" w:hAnsiTheme="minorHAnsi" w:cstheme="minorHAnsi"/>
          <w:sz w:val="22"/>
          <w:szCs w:val="22"/>
        </w:rPr>
        <w:t>a number of</w:t>
      </w:r>
      <w:proofErr w:type="gramEnd"/>
      <w:r w:rsidRPr="00C8015D">
        <w:rPr>
          <w:rFonts w:asciiTheme="minorHAnsi" w:hAnsiTheme="minorHAnsi" w:cstheme="minorHAnsi"/>
          <w:sz w:val="22"/>
          <w:szCs w:val="22"/>
        </w:rPr>
        <w:t xml:space="preserve"> Australian fish stocks that dynamic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has changed considerably over time, and for some stocks has shown a declining trend, possibly associated with ocean warming or other changes to the ecosystem. </w:t>
      </w:r>
    </w:p>
    <w:p w14:paraId="79FA48D1"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The implications of dynamic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for harvest strategies can be profound and require careful consideration. The current Commonwealth harvest strategy policy and guidelines define proxies for both target and limit reference points relative to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If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is static or fixed, these limits (B</w:t>
      </w:r>
      <w:r w:rsidRPr="00C8015D">
        <w:rPr>
          <w:rFonts w:asciiTheme="minorHAnsi" w:hAnsiTheme="minorHAnsi" w:cstheme="minorHAnsi"/>
          <w:sz w:val="22"/>
          <w:szCs w:val="22"/>
          <w:vertAlign w:val="subscript"/>
        </w:rPr>
        <w:t>LIM</w:t>
      </w:r>
      <w:r w:rsidRPr="00C8015D">
        <w:rPr>
          <w:rFonts w:asciiTheme="minorHAnsi" w:hAnsiTheme="minorHAnsi" w:cstheme="minorHAnsi"/>
          <w:sz w:val="22"/>
          <w:szCs w:val="22"/>
        </w:rPr>
        <w:t>) or targets (B</w:t>
      </w:r>
      <w:r w:rsidRPr="00C8015D">
        <w:rPr>
          <w:rFonts w:asciiTheme="minorHAnsi" w:hAnsiTheme="minorHAnsi" w:cstheme="minorHAnsi"/>
          <w:sz w:val="22"/>
          <w:szCs w:val="22"/>
          <w:vertAlign w:val="subscript"/>
        </w:rPr>
        <w:t>TARG</w:t>
      </w:r>
      <w:r w:rsidRPr="00C8015D">
        <w:rPr>
          <w:rFonts w:asciiTheme="minorHAnsi" w:hAnsiTheme="minorHAnsi" w:cstheme="minorHAnsi"/>
          <w:sz w:val="22"/>
          <w:szCs w:val="22"/>
        </w:rPr>
        <w:t xml:space="preserve"> or B</w:t>
      </w:r>
      <w:r w:rsidRPr="00C8015D">
        <w:rPr>
          <w:rFonts w:asciiTheme="minorHAnsi" w:hAnsiTheme="minorHAnsi" w:cstheme="minorHAnsi"/>
          <w:sz w:val="22"/>
          <w:szCs w:val="22"/>
          <w:vertAlign w:val="subscript"/>
        </w:rPr>
        <w:t>MEY</w:t>
      </w:r>
      <w:r w:rsidRPr="00C8015D">
        <w:rPr>
          <w:rFonts w:asciiTheme="minorHAnsi" w:hAnsiTheme="minorHAnsi" w:cstheme="minorHAnsi"/>
          <w:sz w:val="22"/>
          <w:szCs w:val="22"/>
        </w:rPr>
        <w:t>) are also fixed, and the response of the harvest control rule to changes in abundance will not change over time. However, if a dynamic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is used to define these reference points, the biomass targets and limits will themselves change over time, and in the case of declining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the reference points will also be shifted to lower levels of biomass. If the harvest control rules also change with the changes in reference point, the result would be to continue to fish the stock as it declines, with higher catches than would occur if a static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approach was used. </w:t>
      </w:r>
    </w:p>
    <w:p w14:paraId="11C878EF" w14:textId="77777777" w:rsidR="00AA2DC9" w:rsidRPr="00C8015D" w:rsidRDefault="00AA2DC9" w:rsidP="00C8015D">
      <w:pPr>
        <w:keepLines w:val="0"/>
        <w:rPr>
          <w:rFonts w:asciiTheme="minorHAnsi" w:hAnsiTheme="minorHAnsi" w:cstheme="minorHAnsi"/>
          <w:sz w:val="22"/>
          <w:szCs w:val="22"/>
        </w:rPr>
      </w:pPr>
      <w:r w:rsidRPr="00C8015D">
        <w:rPr>
          <w:rFonts w:asciiTheme="minorHAnsi" w:hAnsiTheme="minorHAnsi" w:cstheme="minorHAnsi"/>
          <w:sz w:val="22"/>
          <w:szCs w:val="22"/>
        </w:rPr>
        <w:t>Several scientific papers have pointed out the potential risks of adopting such a dynamic approach to reference points and harvest control rules (</w:t>
      </w:r>
      <w:proofErr w:type="spellStart"/>
      <w:r w:rsidRPr="00C8015D">
        <w:rPr>
          <w:rFonts w:asciiTheme="minorHAnsi" w:hAnsiTheme="minorHAnsi" w:cstheme="minorHAnsi"/>
          <w:sz w:val="22"/>
          <w:szCs w:val="22"/>
        </w:rPr>
        <w:t>Szuwalski</w:t>
      </w:r>
      <w:proofErr w:type="spellEnd"/>
      <w:r w:rsidRPr="00C8015D">
        <w:rPr>
          <w:rFonts w:asciiTheme="minorHAnsi" w:hAnsiTheme="minorHAnsi" w:cstheme="minorHAnsi"/>
          <w:sz w:val="22"/>
          <w:szCs w:val="22"/>
        </w:rPr>
        <w:t xml:space="preserve"> et al., 2023; Thompson et al., 2021; Travers-</w:t>
      </w:r>
      <w:proofErr w:type="spellStart"/>
      <w:r w:rsidRPr="00C8015D">
        <w:rPr>
          <w:rFonts w:asciiTheme="minorHAnsi" w:hAnsiTheme="minorHAnsi" w:cstheme="minorHAnsi"/>
          <w:sz w:val="22"/>
          <w:szCs w:val="22"/>
        </w:rPr>
        <w:t>Trolet</w:t>
      </w:r>
      <w:proofErr w:type="spellEnd"/>
      <w:r w:rsidRPr="00C8015D">
        <w:rPr>
          <w:rFonts w:asciiTheme="minorHAnsi" w:hAnsiTheme="minorHAnsi" w:cstheme="minorHAnsi"/>
          <w:sz w:val="22"/>
          <w:szCs w:val="22"/>
        </w:rPr>
        <w:t xml:space="preserve"> et al., 2020). Some have advocated sticking to the static approach, but this is based only on consideration of changes to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If productivity is also declining, the other important part of a harvest </w:t>
      </w:r>
      <w:r w:rsidRPr="00C8015D">
        <w:rPr>
          <w:rFonts w:asciiTheme="minorHAnsi" w:hAnsiTheme="minorHAnsi" w:cstheme="minorHAnsi"/>
          <w:sz w:val="22"/>
          <w:szCs w:val="22"/>
        </w:rPr>
        <w:lastRenderedPageBreak/>
        <w:t>control rule, the target fishing mortality rate or F</w:t>
      </w:r>
      <w:r w:rsidRPr="00C8015D">
        <w:rPr>
          <w:rFonts w:asciiTheme="minorHAnsi" w:hAnsiTheme="minorHAnsi" w:cstheme="minorHAnsi"/>
          <w:sz w:val="22"/>
          <w:szCs w:val="22"/>
          <w:vertAlign w:val="subscript"/>
        </w:rPr>
        <w:t>TARG</w:t>
      </w:r>
      <w:r w:rsidRPr="00C8015D">
        <w:rPr>
          <w:rFonts w:asciiTheme="minorHAnsi" w:hAnsiTheme="minorHAnsi" w:cstheme="minorHAnsi"/>
          <w:sz w:val="22"/>
          <w:szCs w:val="22"/>
        </w:rPr>
        <w:t xml:space="preserve"> (proxy F</w:t>
      </w:r>
      <w:r w:rsidRPr="00C8015D">
        <w:rPr>
          <w:rFonts w:asciiTheme="minorHAnsi" w:hAnsiTheme="minorHAnsi" w:cstheme="minorHAnsi"/>
          <w:sz w:val="22"/>
          <w:szCs w:val="22"/>
          <w:vertAlign w:val="subscript"/>
        </w:rPr>
        <w:t>MEY</w:t>
      </w:r>
      <w:r w:rsidRPr="00C8015D">
        <w:rPr>
          <w:rFonts w:asciiTheme="minorHAnsi" w:hAnsiTheme="minorHAnsi" w:cstheme="minorHAnsi"/>
          <w:sz w:val="22"/>
          <w:szCs w:val="22"/>
        </w:rPr>
        <w:t xml:space="preserve"> for Commonwealth fisheries) may also change, and sticking with a fixed rule may lead to overfishing due to an inappropriately high fishing mortality rate. A major research project is considering these issues (Penney et al, in prep) and is due to report quite soon, so more information and guidance on these issues should be available shortly. One possibility being explored in this work is to limit the reduction in the limit biomass reference point to half the static equivalent, with corresponding limits on changes in the form of the harvest control rule (Bessel-Brown et al., 2022). The consequences of changes in productivity are also being investigated.</w:t>
      </w:r>
    </w:p>
    <w:p w14:paraId="2DA20F68" w14:textId="77777777" w:rsidR="00AA2DC9" w:rsidRPr="00C8015D" w:rsidRDefault="00AA2DC9" w:rsidP="00AA2DC9">
      <w:pPr>
        <w:rPr>
          <w:rFonts w:asciiTheme="minorHAnsi" w:hAnsiTheme="minorHAnsi" w:cstheme="minorHAnsi"/>
          <w:i/>
          <w:iCs/>
          <w:sz w:val="22"/>
          <w:szCs w:val="22"/>
        </w:rPr>
      </w:pPr>
      <w:r w:rsidRPr="00C8015D">
        <w:rPr>
          <w:rFonts w:asciiTheme="minorHAnsi" w:hAnsiTheme="minorHAnsi" w:cstheme="minorHAnsi"/>
          <w:i/>
          <w:iCs/>
          <w:sz w:val="22"/>
          <w:szCs w:val="22"/>
        </w:rPr>
        <w:t>Questions to consider / information request:</w:t>
      </w:r>
    </w:p>
    <w:p w14:paraId="3D35CCE4" w14:textId="77777777" w:rsidR="00AA2DC9" w:rsidRPr="00C8015D" w:rsidRDefault="00AA2DC9" w:rsidP="00AA2DC9">
      <w:pPr>
        <w:pStyle w:val="ListParagraph"/>
        <w:numPr>
          <w:ilvl w:val="0"/>
          <w:numId w:val="32"/>
        </w:numPr>
        <w:rPr>
          <w:rFonts w:cstheme="minorHAnsi"/>
        </w:rPr>
      </w:pPr>
      <w:r w:rsidRPr="00C8015D">
        <w:rPr>
          <w:rFonts w:cstheme="minorHAnsi"/>
        </w:rPr>
        <w:t>Should reference points be changed in response to changes in productivity or unfished biomass?</w:t>
      </w:r>
    </w:p>
    <w:p w14:paraId="540224F0" w14:textId="77777777" w:rsidR="00AA2DC9" w:rsidRPr="00C8015D" w:rsidRDefault="00AA2DC9" w:rsidP="00AA2DC9">
      <w:pPr>
        <w:pStyle w:val="ListParagraph"/>
        <w:numPr>
          <w:ilvl w:val="0"/>
          <w:numId w:val="32"/>
        </w:numPr>
        <w:rPr>
          <w:rFonts w:cstheme="minorHAnsi"/>
        </w:rPr>
      </w:pPr>
      <w:r w:rsidRPr="00C8015D">
        <w:rPr>
          <w:rFonts w:cstheme="minorHAnsi"/>
        </w:rPr>
        <w:t>What evidence should be required to consider making such changes?</w:t>
      </w:r>
    </w:p>
    <w:p w14:paraId="714FEA6B" w14:textId="77777777" w:rsidR="00AA2DC9" w:rsidRPr="00C8015D" w:rsidRDefault="00AA2DC9" w:rsidP="00AA2DC9">
      <w:pPr>
        <w:rPr>
          <w:rFonts w:asciiTheme="minorHAnsi" w:hAnsiTheme="minorHAnsi" w:cstheme="minorHAnsi"/>
          <w:sz w:val="22"/>
          <w:szCs w:val="22"/>
        </w:rPr>
      </w:pPr>
    </w:p>
    <w:p w14:paraId="21E105E8" w14:textId="77777777" w:rsidR="00AA2DC9" w:rsidRPr="00C8015D" w:rsidRDefault="00AA2DC9" w:rsidP="00AA2DC9">
      <w:pPr>
        <w:rPr>
          <w:rFonts w:asciiTheme="minorHAnsi" w:hAnsiTheme="minorHAnsi" w:cstheme="minorHAnsi"/>
          <w:b/>
          <w:bCs/>
          <w:sz w:val="22"/>
          <w:szCs w:val="22"/>
        </w:rPr>
      </w:pPr>
      <w:r w:rsidRPr="00C8015D">
        <w:rPr>
          <w:rFonts w:asciiTheme="minorHAnsi" w:hAnsiTheme="minorHAnsi" w:cstheme="minorHAnsi"/>
          <w:b/>
          <w:bCs/>
          <w:sz w:val="22"/>
          <w:szCs w:val="22"/>
        </w:rPr>
        <w:t>Multi-species fisheries and EBFM</w:t>
      </w:r>
    </w:p>
    <w:p w14:paraId="50AC52A6"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Fisheries that target or catch many species pose </w:t>
      </w:r>
      <w:proofErr w:type="gramStart"/>
      <w:r w:rsidRPr="00C8015D">
        <w:rPr>
          <w:rFonts w:asciiTheme="minorHAnsi" w:hAnsiTheme="minorHAnsi" w:cstheme="minorHAnsi"/>
          <w:sz w:val="22"/>
          <w:szCs w:val="22"/>
        </w:rPr>
        <w:t>particular issues</w:t>
      </w:r>
      <w:proofErr w:type="gramEnd"/>
      <w:r w:rsidRPr="00C8015D">
        <w:rPr>
          <w:rFonts w:asciiTheme="minorHAnsi" w:hAnsiTheme="minorHAnsi" w:cstheme="minorHAnsi"/>
          <w:sz w:val="22"/>
          <w:szCs w:val="22"/>
        </w:rPr>
        <w:t xml:space="preserve"> and challenges for harvest strategy design and implementation. The 2018 guidelines already deal with some of these issues, including providing advice on how to achieve multispecies MEY. The current policy recognises that not all stocks in a multispecies fishery can be harvested simultaneously at “optimal” levels, and that some (less productive or more catchable) stocks may be maintained at biomass levels lower than either (single species) MEY or MSY, provided that all stocks are maintained above limit reference point levels of biomass. The existing harvest strategy policy applies to all retained species, while a complementary bycatch policy applies to species that are caught and discarded.</w:t>
      </w:r>
    </w:p>
    <w:p w14:paraId="7DEB7B13"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Harvest strategies were originally developed as a single species management tool and continue to be applied in that way in most instances. The status of an individual stock is assessed, stock-specific reference points are developed, stock-specific harvest control rules are applied, and stock-specific management actions determined (catch controls such as quotas or various forms of input controls). Some variation in targets is allowed, based on the notion of ‘pretty good yield” which recognises that the peak in yield curves as a function of biomass tend to be </w:t>
      </w:r>
      <w:proofErr w:type="gramStart"/>
      <w:r w:rsidRPr="00C8015D">
        <w:rPr>
          <w:rFonts w:asciiTheme="minorHAnsi" w:hAnsiTheme="minorHAnsi" w:cstheme="minorHAnsi"/>
          <w:sz w:val="22"/>
          <w:szCs w:val="22"/>
        </w:rPr>
        <w:t>fairly flat</w:t>
      </w:r>
      <w:proofErr w:type="gramEnd"/>
      <w:r w:rsidRPr="00C8015D">
        <w:rPr>
          <w:rFonts w:asciiTheme="minorHAnsi" w:hAnsiTheme="minorHAnsi" w:cstheme="minorHAnsi"/>
          <w:sz w:val="22"/>
          <w:szCs w:val="22"/>
        </w:rPr>
        <w:t xml:space="preserve">, so that similar yields can be obtained over a range of stock sizes (ref). This concept has been extended to “pretty good multispecies yield” (Rindorf et al., 2017). </w:t>
      </w:r>
    </w:p>
    <w:p w14:paraId="4DDD80C3"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A multiple single-species approach to harvest strategies, while widely applied, has several drawbacks. Not least of these is that very species-diverse fisheries require a lot of stock assessments as each stock is, in a sense, managed separately. Issues also arise with “choke” species, where catches from stocks that are not overfished are constrained by the status of stocks that are overfished. Another issue is that changes over time in the primary species targeted can confound interpretation of catch rates and greatly increase the uncertainty about stock status.</w:t>
      </w:r>
    </w:p>
    <w:p w14:paraId="45A1923B" w14:textId="77777777" w:rsidR="00AA2DC9" w:rsidRPr="00C8015D" w:rsidRDefault="00AA2DC9" w:rsidP="00C8015D">
      <w:pPr>
        <w:keepLines w:val="0"/>
        <w:rPr>
          <w:rFonts w:asciiTheme="minorHAnsi" w:hAnsiTheme="minorHAnsi" w:cstheme="minorHAnsi"/>
          <w:sz w:val="22"/>
          <w:szCs w:val="22"/>
        </w:rPr>
      </w:pPr>
      <w:r w:rsidRPr="00C8015D">
        <w:rPr>
          <w:rFonts w:asciiTheme="minorHAnsi" w:hAnsiTheme="minorHAnsi" w:cstheme="minorHAnsi"/>
          <w:sz w:val="22"/>
          <w:szCs w:val="22"/>
        </w:rPr>
        <w:t>Such issues have led to a search for alternatives to the standard approach. One approach, using MICE (models of intermediate complexity for ecosystems) has been applied in several fisheries (</w:t>
      </w:r>
      <w:proofErr w:type="spellStart"/>
      <w:r w:rsidRPr="00C8015D">
        <w:rPr>
          <w:rFonts w:asciiTheme="minorHAnsi" w:hAnsiTheme="minorHAnsi" w:cstheme="minorHAnsi"/>
          <w:sz w:val="22"/>
          <w:szCs w:val="22"/>
        </w:rPr>
        <w:t>Plaganyi</w:t>
      </w:r>
      <w:proofErr w:type="spellEnd"/>
      <w:r w:rsidRPr="00C8015D">
        <w:rPr>
          <w:rFonts w:asciiTheme="minorHAnsi" w:hAnsiTheme="minorHAnsi" w:cstheme="minorHAnsi"/>
          <w:sz w:val="22"/>
          <w:szCs w:val="22"/>
        </w:rPr>
        <w:t xml:space="preserve"> et al., 2014). Another approach considers a “balanced” approach to harvesting species across an ecosystem (Zhou et al., 2019). A third approach, adopted for several fisheries in Western Australia, is referred to as the “indicator species” approach (Newman et al., 2018). This has been applied to the assessment and management of multi-species, multi-gear and multi-sector fisheries and uses a risk assessment and prioritisation approach to select indicator species that are then the </w:t>
      </w:r>
      <w:r w:rsidRPr="00C8015D">
        <w:rPr>
          <w:rFonts w:asciiTheme="minorHAnsi" w:hAnsiTheme="minorHAnsi" w:cstheme="minorHAnsi"/>
          <w:sz w:val="22"/>
          <w:szCs w:val="22"/>
        </w:rPr>
        <w:lastRenderedPageBreak/>
        <w:t xml:space="preserve">focus of more targeted assessment and management. By selecting indicator species that are most vulnerable to the fishery (due to low productivity and/or high catchability), the assumption is that the status of other less vulnerable species will be assured if the indicator species is maintained at appropriate stock levels. The selection of indicator species is determined not only by inherent vulnerability, but also by management importance, including commercial value as well as social and cultural significance. The possibility of applying this approach is currently under investigation for the Commonwealth Southern and Eastern Scalefish and Shark Fishery (Sainsbury and Fulton, 2023). </w:t>
      </w:r>
    </w:p>
    <w:p w14:paraId="6273AFA8"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Recent scientific literature also points to ways in which ecosystem considerations can start to be incorporated into harvest strategy design. This would help support the Commonwealth commitment to ecosystem-based fisheries management (EBFM) which is addressed separately to harvest strategy policy. EBFM is currently addressed through the Australian Government’s ecological risk assessment and ecological risk management framework, with bycatch managed under the Bycatch Policy. </w:t>
      </w:r>
    </w:p>
    <w:p w14:paraId="0B26B227"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There are several ways in which harvest strategy policy could link operationally to these broader ecosystem considerations. One way is to extend the indicator species approach outlined above to include a selection of “ecologically important” species. These might include keystone species, low trophic level species, habitat-defining species, or TEPS (threatened, </w:t>
      </w:r>
      <w:proofErr w:type="gramStart"/>
      <w:r w:rsidRPr="00C8015D">
        <w:rPr>
          <w:rFonts w:asciiTheme="minorHAnsi" w:hAnsiTheme="minorHAnsi" w:cstheme="minorHAnsi"/>
          <w:sz w:val="22"/>
          <w:szCs w:val="22"/>
        </w:rPr>
        <w:t>endangered</w:t>
      </w:r>
      <w:proofErr w:type="gramEnd"/>
      <w:r w:rsidRPr="00C8015D">
        <w:rPr>
          <w:rFonts w:asciiTheme="minorHAnsi" w:hAnsiTheme="minorHAnsi" w:cstheme="minorHAnsi"/>
          <w:sz w:val="22"/>
          <w:szCs w:val="22"/>
        </w:rPr>
        <w:t xml:space="preserve"> and protected species). For example, low trophic level or “forage” species are already considered and treated separately in the Marine Stewardship Council standard, with higher target biomass levels required for key low trophic level stocks, in recognition of their importance as food for other species in marine ecosystems (MSC, 2022). The EU is starting to adopt ecosystem considerations in some single species harvest strategies (Howell et al., 2021), while the North Pacific Fishery Management Council in the US, is trialling ways to incorporate ecosystem considerations into harvest strategy advice (Dorn and Zador, 2020). Several jurisdictions overseas have also adopted “ecosystem caps” where total removals from an ecosystem are limited, even if single species assessments and harvest strategies indicate that more could be taken (Holsman et al., 2020). An important consideration concerns the sorts of ecosystems and ecological communities that decision makers wish to maintain, in relation to overall harvest rates and the economic and other benefits of fishing (Fulton et al., 2022). </w:t>
      </w:r>
    </w:p>
    <w:p w14:paraId="503C048A" w14:textId="77777777" w:rsidR="00AA2DC9" w:rsidRPr="00C8015D" w:rsidRDefault="00AA2DC9" w:rsidP="00AA2DC9">
      <w:pPr>
        <w:rPr>
          <w:rFonts w:asciiTheme="minorHAnsi" w:hAnsiTheme="minorHAnsi" w:cstheme="minorHAnsi"/>
          <w:i/>
          <w:iCs/>
          <w:sz w:val="22"/>
          <w:szCs w:val="22"/>
        </w:rPr>
      </w:pPr>
      <w:r w:rsidRPr="00C8015D">
        <w:rPr>
          <w:rFonts w:asciiTheme="minorHAnsi" w:hAnsiTheme="minorHAnsi" w:cstheme="minorHAnsi"/>
          <w:i/>
          <w:iCs/>
          <w:sz w:val="22"/>
          <w:szCs w:val="22"/>
        </w:rPr>
        <w:t xml:space="preserve">Questions to consider / information request: </w:t>
      </w:r>
    </w:p>
    <w:p w14:paraId="2986F6A7" w14:textId="77777777" w:rsidR="00AA2DC9" w:rsidRPr="00C8015D" w:rsidRDefault="00AA2DC9" w:rsidP="00AA2DC9">
      <w:pPr>
        <w:pStyle w:val="ListParagraph"/>
        <w:numPr>
          <w:ilvl w:val="0"/>
          <w:numId w:val="33"/>
        </w:numPr>
        <w:rPr>
          <w:rFonts w:cstheme="minorHAnsi"/>
        </w:rPr>
      </w:pPr>
      <w:r w:rsidRPr="00C8015D">
        <w:rPr>
          <w:rFonts w:cstheme="minorHAnsi"/>
        </w:rPr>
        <w:t>Should the guidelines be expanded to include new approaches to harvest strategies for multispecies fisheries, such as the indicator species approach or the balanced harvest approach?</w:t>
      </w:r>
    </w:p>
    <w:p w14:paraId="39B13A50" w14:textId="77777777" w:rsidR="00AA2DC9" w:rsidRPr="00C8015D" w:rsidRDefault="00AA2DC9" w:rsidP="00AA2DC9">
      <w:pPr>
        <w:pStyle w:val="ListParagraph"/>
        <w:numPr>
          <w:ilvl w:val="0"/>
          <w:numId w:val="33"/>
        </w:numPr>
        <w:rPr>
          <w:rFonts w:cstheme="minorHAnsi"/>
        </w:rPr>
      </w:pPr>
      <w:r w:rsidRPr="00C8015D">
        <w:rPr>
          <w:rFonts w:cstheme="minorHAnsi"/>
        </w:rPr>
        <w:t>To what extent can considerations arising from ecosystem-based fisheries management be incorporated directly into harvest strategies? Or should harvest strategies remain principally a strategy for stock management?</w:t>
      </w:r>
    </w:p>
    <w:p w14:paraId="5F16DA24" w14:textId="77777777" w:rsidR="00AA2DC9" w:rsidRPr="00C8015D" w:rsidRDefault="00AA2DC9" w:rsidP="00AA2DC9">
      <w:pPr>
        <w:rPr>
          <w:rFonts w:asciiTheme="minorHAnsi" w:hAnsiTheme="minorHAnsi" w:cstheme="minorHAnsi"/>
          <w:sz w:val="22"/>
          <w:szCs w:val="22"/>
        </w:rPr>
      </w:pPr>
    </w:p>
    <w:p w14:paraId="0ABB7112" w14:textId="77777777" w:rsidR="00AA2DC9" w:rsidRPr="00C8015D" w:rsidRDefault="00AA2DC9" w:rsidP="00AA2DC9">
      <w:pPr>
        <w:rPr>
          <w:rFonts w:asciiTheme="minorHAnsi" w:hAnsiTheme="minorHAnsi" w:cstheme="minorHAnsi"/>
          <w:b/>
          <w:bCs/>
          <w:sz w:val="22"/>
          <w:szCs w:val="22"/>
        </w:rPr>
      </w:pPr>
      <w:r w:rsidRPr="00C8015D">
        <w:rPr>
          <w:rFonts w:asciiTheme="minorHAnsi" w:hAnsiTheme="minorHAnsi" w:cstheme="minorHAnsi"/>
          <w:b/>
          <w:bCs/>
          <w:sz w:val="22"/>
          <w:szCs w:val="22"/>
        </w:rPr>
        <w:t>Multi-sector fisheries</w:t>
      </w:r>
    </w:p>
    <w:p w14:paraId="53ED78C9"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Multi-sector fisheries are those where part of the catch is taken by non-commercial fishers, in particular recreational fishers, charter fishers, and/or indigenous fishers following cultural fishing practices. (Indigenous fishers may also be commercial or recreational fishers). The term is not meant to refer to multi-gear fisheries, although these are sometimes referred to as sectors (e.g., the trawl sector, the line sector).</w:t>
      </w:r>
    </w:p>
    <w:p w14:paraId="583F882A" w14:textId="77777777" w:rsidR="00AA2DC9" w:rsidRPr="00C8015D" w:rsidRDefault="00AA2DC9" w:rsidP="00C8015D">
      <w:pPr>
        <w:keepLines w:val="0"/>
        <w:rPr>
          <w:rFonts w:asciiTheme="minorHAnsi" w:hAnsiTheme="minorHAnsi" w:cstheme="minorHAnsi"/>
          <w:sz w:val="22"/>
          <w:szCs w:val="22"/>
        </w:rPr>
      </w:pPr>
      <w:r w:rsidRPr="00C8015D">
        <w:rPr>
          <w:rFonts w:asciiTheme="minorHAnsi" w:hAnsiTheme="minorHAnsi" w:cstheme="minorHAnsi"/>
          <w:sz w:val="22"/>
          <w:szCs w:val="22"/>
        </w:rPr>
        <w:lastRenderedPageBreak/>
        <w:t>Most Commonwealth-managed fisheries do not have a large recreational or cultural component, but these sectors do constitute a component of the catch for some stocks. Take from sport fishing can be a significant factor for some fisheries targeting large pelagic species, and the Commonwealth has already adopted specific arrangements for quantifying and managing the recreational take of Southern Bluefin Tuna. A question that arises where there is a significant non-commercial take is how to account for the catch from these sectors in harvest strategies. If the level of catch is high enough (as a proportion of the total catch), these sectors may even have their own harvest strategies including harvest control rules. As with multi-jurisdiction fisheries, the challenge of managing for different users goes beyond just apportioning catch.  There is also the question of compatibility of reference points and harvest control rules, including the challenge of reconciling how to manage if BMEY is different for the different sectors.</w:t>
      </w:r>
    </w:p>
    <w:p w14:paraId="1857A899"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Considering recreational fishing first, a challenge in almost all cases is how to estimate the catch taken. This problem is being addressed through initiatives like the national recreational fishing surveys, and several State jurisdictions are also developing their own surveys and protocols. A second problem is in regulating recreational fishing mortality. Fishery managers have developed a range of tools to try to regulate recreational catch, including bag limits, boat limits and size limits, as well as closed areas and seasons. Recent research suggests that some of these measures may not be very effective, including “output” controls such as bag limits (</w:t>
      </w:r>
      <w:proofErr w:type="spellStart"/>
      <w:r w:rsidRPr="00C8015D">
        <w:rPr>
          <w:rFonts w:asciiTheme="minorHAnsi" w:hAnsiTheme="minorHAnsi" w:cstheme="minorHAnsi"/>
          <w:sz w:val="22"/>
          <w:szCs w:val="22"/>
        </w:rPr>
        <w:t>Ochwada</w:t>
      </w:r>
      <w:proofErr w:type="spellEnd"/>
      <w:r w:rsidRPr="00C8015D">
        <w:rPr>
          <w:rFonts w:asciiTheme="minorHAnsi" w:hAnsiTheme="minorHAnsi" w:cstheme="minorHAnsi"/>
          <w:sz w:val="22"/>
          <w:szCs w:val="22"/>
        </w:rPr>
        <w:t xml:space="preserve">-Doyle et al., 2023). The basic problem is that in most cases there are no effective controls on overall fishing effort. To date, most recreational fishing controls have been applied in a reactive manner, and the development of harvest strategies for recreational fishing is still in its infancy. Where harvest strategies have been developed for multi-sector fisheries, in most instances these have only applied to the commercial component, with estimates of recreational catch “taken off the top” of annual estimates of sustainable catch. This can lead over time to large changes in the allocation of catch between sectors, often to the detriment of commercial fishers, so that equity issues can arise. The Western Australian government has tried to address this issue in developing harvest strategies for mixed sector and multi-species fisheries (Fletcher et al., 2016).  </w:t>
      </w:r>
    </w:p>
    <w:p w14:paraId="75EBBA4A"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Estimating economic yield from the recreational sector is another challenge but needs to be considered if the objective for management is to maximise benefit broader than the commercial sector.  Recreational economic yield is analogous to commercial economic yield in that it is benefit minus costs – it is not measured by recreational expenditure.  Benefit in the case of non-commercial fishery harvests is the non-market utility of recreational fishing which can include factors such as consumption benefit and enjoyment of the activity. Recreational economic yield from fishing behaves differently from commercial fishing in two important ways.  The first is that there is far greater variation between individual recreational fishers.  We can see that some individual recreational fishers get far greater utility than others </w:t>
      </w:r>
      <w:proofErr w:type="gramStart"/>
      <w:r w:rsidRPr="00C8015D">
        <w:rPr>
          <w:rFonts w:asciiTheme="minorHAnsi" w:hAnsiTheme="minorHAnsi" w:cstheme="minorHAnsi"/>
          <w:sz w:val="22"/>
          <w:szCs w:val="22"/>
        </w:rPr>
        <w:t>by the way that</w:t>
      </w:r>
      <w:proofErr w:type="gramEnd"/>
      <w:r w:rsidRPr="00C8015D">
        <w:rPr>
          <w:rFonts w:asciiTheme="minorHAnsi" w:hAnsiTheme="minorHAnsi" w:cstheme="minorHAnsi"/>
          <w:sz w:val="22"/>
          <w:szCs w:val="22"/>
        </w:rPr>
        <w:t xml:space="preserve"> participation responds to catch rate.  Managers need to consider the fishers on the margin who don’t gain utility and won’t participate if catch rates are low.  This is a loss of community economic benefit.  Another difference from commercial fishers is the diminishing marginal utility from higher daily catch of recreational fishers.  Put simply, a commercial fisher typically receives the same market price from the last fish they catch as the first.  However, a recreational fisher gains most utility (think “excitement”) from the first fish caught and this utility diminishes with each additional fish they land on the trip.  It’s possible to make general observations on recreational fisheries without doing surveys to estimate recreational economic yield.  The factors described above mean that recreational B</w:t>
      </w:r>
      <w:r w:rsidRPr="00C8015D">
        <w:rPr>
          <w:rFonts w:asciiTheme="minorHAnsi" w:hAnsiTheme="minorHAnsi" w:cstheme="minorHAnsi"/>
          <w:sz w:val="22"/>
          <w:szCs w:val="22"/>
          <w:vertAlign w:val="subscript"/>
        </w:rPr>
        <w:t xml:space="preserve">MEY </w:t>
      </w:r>
      <w:r w:rsidRPr="00C8015D">
        <w:rPr>
          <w:rFonts w:asciiTheme="minorHAnsi" w:hAnsiTheme="minorHAnsi" w:cstheme="minorHAnsi"/>
          <w:sz w:val="22"/>
          <w:szCs w:val="22"/>
        </w:rPr>
        <w:t>can be assumed to be higher than commercial B</w:t>
      </w:r>
      <w:r w:rsidRPr="00C8015D">
        <w:rPr>
          <w:rFonts w:asciiTheme="minorHAnsi" w:hAnsiTheme="minorHAnsi" w:cstheme="minorHAnsi"/>
          <w:sz w:val="22"/>
          <w:szCs w:val="22"/>
          <w:vertAlign w:val="subscript"/>
        </w:rPr>
        <w:t>MEY</w:t>
      </w:r>
      <w:r w:rsidRPr="00C8015D">
        <w:rPr>
          <w:rFonts w:asciiTheme="minorHAnsi" w:hAnsiTheme="minorHAnsi" w:cstheme="minorHAnsi"/>
          <w:sz w:val="22"/>
          <w:szCs w:val="22"/>
        </w:rPr>
        <w:t xml:space="preserve"> (and target F lower) because higher biomass means more fishers participating, higher strike rate, and reduced risk of a no-catch-day for the less experienced fishers on the margin.  </w:t>
      </w:r>
    </w:p>
    <w:p w14:paraId="6F569860"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lastRenderedPageBreak/>
        <w:t>Trying to estimate indigenous cultural fishing catch and economic values for use in harvest strategies is even more difficult than recreational fishing. Several States are developing policies and strategies in this area, and a current FRDC-funded project is attempting to develop a harvest strategy framework for cultural fishing in New South Wales. Generally, the way in which non-commercial sectors are considered and managed in harvest strategy policies has important implications for allocation and equity between sectors (Barclay et al., 2023). As with recreational fishing, in the absence of empirical estimates, it can be assumed that B</w:t>
      </w:r>
      <w:r w:rsidRPr="00C8015D">
        <w:rPr>
          <w:rFonts w:asciiTheme="minorHAnsi" w:hAnsiTheme="minorHAnsi" w:cstheme="minorHAnsi"/>
          <w:sz w:val="22"/>
          <w:szCs w:val="22"/>
          <w:vertAlign w:val="subscript"/>
        </w:rPr>
        <w:t xml:space="preserve">MEY </w:t>
      </w:r>
      <w:r w:rsidRPr="00C8015D">
        <w:rPr>
          <w:rFonts w:asciiTheme="minorHAnsi" w:hAnsiTheme="minorHAnsi" w:cstheme="minorHAnsi"/>
          <w:sz w:val="22"/>
          <w:szCs w:val="22"/>
        </w:rPr>
        <w:t xml:space="preserve">for cultural fishing will be higher than for commercial fishing.  This is because of lower efficiency of cultural fishing effort and the non-use value from stocks that are closer to their natural state.  </w:t>
      </w:r>
    </w:p>
    <w:p w14:paraId="68207F80"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Approaches exist to estimate the economic and social benefits of non-commercial fishing and incorporate them into harvest strategy development for multi-sector fisheries (Dowling et al., 2020; Pascoe et al., 2019). However, most fisheries lack the data and models to undertake such analyses.</w:t>
      </w:r>
    </w:p>
    <w:p w14:paraId="3CA2BBAF" w14:textId="77777777" w:rsidR="00AA2DC9" w:rsidRPr="00C8015D" w:rsidRDefault="00AA2DC9" w:rsidP="00AA2DC9">
      <w:pPr>
        <w:rPr>
          <w:rFonts w:asciiTheme="minorHAnsi" w:hAnsiTheme="minorHAnsi" w:cstheme="minorHAnsi"/>
          <w:i/>
          <w:iCs/>
          <w:sz w:val="22"/>
          <w:szCs w:val="22"/>
        </w:rPr>
      </w:pPr>
      <w:r w:rsidRPr="00C8015D">
        <w:rPr>
          <w:rFonts w:asciiTheme="minorHAnsi" w:hAnsiTheme="minorHAnsi" w:cstheme="minorHAnsi"/>
          <w:i/>
          <w:iCs/>
          <w:sz w:val="22"/>
          <w:szCs w:val="22"/>
        </w:rPr>
        <w:t>Questions to consider / information request:</w:t>
      </w:r>
    </w:p>
    <w:p w14:paraId="4A070243" w14:textId="77777777" w:rsidR="00AA2DC9" w:rsidRPr="00C8015D" w:rsidRDefault="00AA2DC9" w:rsidP="00AA2DC9">
      <w:pPr>
        <w:pStyle w:val="ListParagraph"/>
        <w:numPr>
          <w:ilvl w:val="0"/>
          <w:numId w:val="34"/>
        </w:numPr>
        <w:rPr>
          <w:rFonts w:cstheme="minorHAnsi"/>
        </w:rPr>
      </w:pPr>
      <w:r w:rsidRPr="00C8015D">
        <w:rPr>
          <w:rFonts w:cstheme="minorHAnsi"/>
        </w:rPr>
        <w:t>Should harvest control rules for recreational and/or indigenous cultural fishing be incorporated in Commonwealth fisheries harvest strategies? If so, how?</w:t>
      </w:r>
    </w:p>
    <w:p w14:paraId="09EEAE71" w14:textId="77777777" w:rsidR="00AA2DC9" w:rsidRPr="00C8015D" w:rsidRDefault="00AA2DC9" w:rsidP="00AA2DC9">
      <w:pPr>
        <w:pStyle w:val="ListParagraph"/>
        <w:numPr>
          <w:ilvl w:val="0"/>
          <w:numId w:val="34"/>
        </w:numPr>
        <w:rPr>
          <w:rFonts w:cstheme="minorHAnsi"/>
        </w:rPr>
      </w:pPr>
      <w:r w:rsidRPr="00C8015D">
        <w:rPr>
          <w:rFonts w:cstheme="minorHAnsi"/>
        </w:rPr>
        <w:t>Should target reference points be altered (increased for the biomass TRP) to reflect the objectives and interests of non-commercial sectors?</w:t>
      </w:r>
    </w:p>
    <w:p w14:paraId="6E9E6B61" w14:textId="77777777" w:rsidR="00C8015D" w:rsidRDefault="00C8015D" w:rsidP="00AA2DC9">
      <w:pPr>
        <w:rPr>
          <w:rFonts w:asciiTheme="minorHAnsi" w:hAnsiTheme="minorHAnsi" w:cstheme="minorHAnsi"/>
          <w:sz w:val="22"/>
          <w:szCs w:val="22"/>
        </w:rPr>
      </w:pPr>
    </w:p>
    <w:p w14:paraId="30F87744" w14:textId="4FAE5923" w:rsidR="00AA2DC9" w:rsidRPr="00C8015D" w:rsidRDefault="00AA2DC9" w:rsidP="00AA2DC9">
      <w:pPr>
        <w:rPr>
          <w:rFonts w:asciiTheme="minorHAnsi" w:hAnsiTheme="minorHAnsi" w:cstheme="minorHAnsi"/>
          <w:b/>
          <w:bCs/>
          <w:sz w:val="22"/>
          <w:szCs w:val="22"/>
        </w:rPr>
      </w:pPr>
      <w:r w:rsidRPr="00C8015D">
        <w:rPr>
          <w:rFonts w:asciiTheme="minorHAnsi" w:hAnsiTheme="minorHAnsi" w:cstheme="minorHAnsi"/>
          <w:b/>
          <w:bCs/>
          <w:sz w:val="22"/>
          <w:szCs w:val="22"/>
        </w:rPr>
        <w:t>Uncertainty and risk</w:t>
      </w:r>
    </w:p>
    <w:p w14:paraId="47043E80"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Uncertainty and risk are ubiquitous in fisheries assessment and management. Proper harvest strategy design involves clear recognition of the uncertainties and strategies to manage the resulting risks. The risks in this case are failure to meet management objectives and targets. Explicit levels of acceptable risk are defined in the policy in relation to probabilities of falling below (biomass) limit reference points. </w:t>
      </w:r>
    </w:p>
    <w:p w14:paraId="08DE8354"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Sources of uncertainty are many. Formal approaches to stock assessment involve fitting population models to data. Data are often “noisy” (variable), and, of more concern, frequently biased. Sometimes entire categories of data are missing or extremely limited (for example, catches from recreational fisheries, although this situation is starting to improve). Models involve assumptions and the assumptions may not hold. (See for example the section on shifting baselines above). Fishery-dependent data such as catch per unit effort from logbooks may not reflect changes in the population being assessed, while fishery-independent data (from scientific surveys), though likely less biased, are expensive to collect. Of current concern is the general reduction in the quality, </w:t>
      </w:r>
      <w:proofErr w:type="gramStart"/>
      <w:r w:rsidRPr="00C8015D">
        <w:rPr>
          <w:rFonts w:asciiTheme="minorHAnsi" w:hAnsiTheme="minorHAnsi" w:cstheme="minorHAnsi"/>
          <w:sz w:val="22"/>
          <w:szCs w:val="22"/>
        </w:rPr>
        <w:t>quantity</w:t>
      </w:r>
      <w:proofErr w:type="gramEnd"/>
      <w:r w:rsidRPr="00C8015D">
        <w:rPr>
          <w:rFonts w:asciiTheme="minorHAnsi" w:hAnsiTheme="minorHAnsi" w:cstheme="minorHAnsi"/>
          <w:sz w:val="22"/>
          <w:szCs w:val="22"/>
        </w:rPr>
        <w:t xml:space="preserve"> and types of data available to assess stock status, often due to budgetary constraints. Fisheries management in Australia has also moved from applying harvest strategies to only their data-rich fisheries towards also including more data-poor fisheries.  This has resulted in many assessments becoming increasingly uncertain over time.</w:t>
      </w:r>
    </w:p>
    <w:p w14:paraId="5B60E449" w14:textId="77777777" w:rsidR="00AA2DC9" w:rsidRPr="00C8015D" w:rsidRDefault="00AA2DC9" w:rsidP="00C8015D">
      <w:pPr>
        <w:keepLines w:val="0"/>
        <w:rPr>
          <w:rFonts w:asciiTheme="minorHAnsi" w:hAnsiTheme="minorHAnsi" w:cstheme="minorHAnsi"/>
          <w:sz w:val="22"/>
          <w:szCs w:val="22"/>
        </w:rPr>
      </w:pPr>
      <w:r w:rsidRPr="00C8015D">
        <w:rPr>
          <w:rFonts w:asciiTheme="minorHAnsi" w:hAnsiTheme="minorHAnsi" w:cstheme="minorHAnsi"/>
          <w:sz w:val="22"/>
          <w:szCs w:val="22"/>
        </w:rPr>
        <w:t xml:space="preserve">Not all stocks have the data (or sometimes the resources) to assess stock status using quantitative models statistically fitted to time series of data. There has been growth over the past decade or more in methods for so-called data-limited assessments, and these methods are now used to assess </w:t>
      </w:r>
      <w:proofErr w:type="gramStart"/>
      <w:r w:rsidRPr="00C8015D">
        <w:rPr>
          <w:rFonts w:asciiTheme="minorHAnsi" w:hAnsiTheme="minorHAnsi" w:cstheme="minorHAnsi"/>
          <w:sz w:val="22"/>
          <w:szCs w:val="22"/>
        </w:rPr>
        <w:t>a number of</w:t>
      </w:r>
      <w:proofErr w:type="gramEnd"/>
      <w:r w:rsidRPr="00C8015D">
        <w:rPr>
          <w:rFonts w:asciiTheme="minorHAnsi" w:hAnsiTheme="minorHAnsi" w:cstheme="minorHAnsi"/>
          <w:sz w:val="22"/>
          <w:szCs w:val="22"/>
        </w:rPr>
        <w:t xml:space="preserve"> stocks in Commonwealth managed fisheries. While this has enabled the application of harvest strategy policy to fisheries that could not otherwise have done so, a particular problem with these methods is that the uncertainty in the assessment (the uncertainty about stock status) is very </w:t>
      </w:r>
      <w:r w:rsidRPr="00C8015D">
        <w:rPr>
          <w:rFonts w:asciiTheme="minorHAnsi" w:hAnsiTheme="minorHAnsi" w:cstheme="minorHAnsi"/>
          <w:sz w:val="22"/>
          <w:szCs w:val="22"/>
        </w:rPr>
        <w:lastRenderedPageBreak/>
        <w:t>hard to determine and quantify. Even for the statistical quantitative models used where the data allow, experience has shown that uncertainty is often underestimated.</w:t>
      </w:r>
    </w:p>
    <w:p w14:paraId="2F22BC42"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Uncertainty about stock status is perhaps the most important source of uncertainty in applying harvest strategies, but other sources of uncertainty are also important. Economic data and models are required to address and meet the MEY objective but both data and models are similarly afflicted by uncertainty. For example, the past five years have seen a series of shocks to both costs and prices, associated with external events such as trade disputes with China, impacts from Covid restrictions, and the war in Ukraine affecting energy costs. The proxy for commercial B</w:t>
      </w:r>
      <w:r w:rsidRPr="00C8015D">
        <w:rPr>
          <w:rFonts w:asciiTheme="minorHAnsi" w:hAnsiTheme="minorHAnsi" w:cstheme="minorHAnsi"/>
          <w:sz w:val="22"/>
          <w:szCs w:val="22"/>
          <w:vertAlign w:val="subscript"/>
        </w:rPr>
        <w:t>MEY</w:t>
      </w:r>
      <w:r w:rsidRPr="00C8015D">
        <w:rPr>
          <w:rFonts w:asciiTheme="minorHAnsi" w:hAnsiTheme="minorHAnsi" w:cstheme="minorHAnsi"/>
          <w:sz w:val="22"/>
          <w:szCs w:val="22"/>
        </w:rPr>
        <w:t xml:space="preserve"> (1.2 times B</w:t>
      </w:r>
      <w:r w:rsidRPr="00C8015D">
        <w:rPr>
          <w:rFonts w:asciiTheme="minorHAnsi" w:hAnsiTheme="minorHAnsi" w:cstheme="minorHAnsi"/>
          <w:sz w:val="22"/>
          <w:szCs w:val="22"/>
          <w:vertAlign w:val="subscript"/>
        </w:rPr>
        <w:t>MSY</w:t>
      </w:r>
      <w:r w:rsidRPr="00C8015D">
        <w:rPr>
          <w:rFonts w:asciiTheme="minorHAnsi" w:hAnsiTheme="minorHAnsi" w:cstheme="minorHAnsi"/>
          <w:sz w:val="22"/>
          <w:szCs w:val="22"/>
        </w:rPr>
        <w:t xml:space="preserve">) is highly uncertain, and a recent study suggests may be well off the mark (Pascoe et al., 2023). Non-market values of non-commercial sectors may be more stable through time but have the challenge of the need for dedicated surveys to estimate costs and benefits.  </w:t>
      </w:r>
    </w:p>
    <w:p w14:paraId="629CED7E"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The performance of a harvest strategy in meeting its objectives is related to the way in which all three key elements of a harvest strategy work together – monitoring, </w:t>
      </w:r>
      <w:proofErr w:type="gramStart"/>
      <w:r w:rsidRPr="00C8015D">
        <w:rPr>
          <w:rFonts w:asciiTheme="minorHAnsi" w:hAnsiTheme="minorHAnsi" w:cstheme="minorHAnsi"/>
          <w:sz w:val="22"/>
          <w:szCs w:val="22"/>
        </w:rPr>
        <w:t>assessment</w:t>
      </w:r>
      <w:proofErr w:type="gramEnd"/>
      <w:r w:rsidRPr="00C8015D">
        <w:rPr>
          <w:rFonts w:asciiTheme="minorHAnsi" w:hAnsiTheme="minorHAnsi" w:cstheme="minorHAnsi"/>
          <w:sz w:val="22"/>
          <w:szCs w:val="22"/>
        </w:rPr>
        <w:t xml:space="preserve"> and the harvest control rule. The policy is explicit that harvest strategies should be formally tested to assess whether they are highly likely to meet the objectives of the policy and suggests using methods such as management strategy evaluation (MSE) to undertake such testing. MSE is a simulation-based approach that in principle can be used to assess the robustness of a harvest strategy to uncertainty in each of the elements discussed. MSE is indeed a useful tool for this purpose and can help identify and eliminate combinations that will not meet the objectives. </w:t>
      </w:r>
    </w:p>
    <w:p w14:paraId="394FD97C"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As with any method, there are some constraints to consider in using MSE. The first is that it is resource intensive and requires analysts with high level quantitative skills as well as very good communication skills. These are often the same analysts and scientists undertaking (quantitative) stock assessments to implement the harvest strategies, so that a resource/time constrain often comes into play. A second constraint is in the choice of “operating model” (the simulation model used to evaluate the performance of the harvest strategy). While a relatively simple operating model may be sufficient for a simple single species fishery, more complicated models are required for multispecies fisheries, </w:t>
      </w:r>
      <w:proofErr w:type="gramStart"/>
      <w:r w:rsidRPr="00C8015D">
        <w:rPr>
          <w:rFonts w:asciiTheme="minorHAnsi" w:hAnsiTheme="minorHAnsi" w:cstheme="minorHAnsi"/>
          <w:sz w:val="22"/>
          <w:szCs w:val="22"/>
        </w:rPr>
        <w:t>and also</w:t>
      </w:r>
      <w:proofErr w:type="gramEnd"/>
      <w:r w:rsidRPr="00C8015D">
        <w:rPr>
          <w:rFonts w:asciiTheme="minorHAnsi" w:hAnsiTheme="minorHAnsi" w:cstheme="minorHAnsi"/>
          <w:sz w:val="22"/>
          <w:szCs w:val="22"/>
        </w:rPr>
        <w:t xml:space="preserve"> to consider the broader ecological implications of harvest. The broader the focus, the more uncertainties need to be considered. Fortunately, Australia is quite advanced in development and application of prospective operating models, including multispecies models, ecosystem models, bioeconomic models, as well as coupled social-ecological models for fishery and marine systems (Little et al., 2023; Fulton et al., 2011; Pascoe et al., 2020; </w:t>
      </w:r>
      <w:proofErr w:type="spellStart"/>
      <w:r w:rsidRPr="00C8015D">
        <w:rPr>
          <w:rFonts w:asciiTheme="minorHAnsi" w:hAnsiTheme="minorHAnsi" w:cstheme="minorHAnsi"/>
          <w:sz w:val="22"/>
          <w:szCs w:val="22"/>
        </w:rPr>
        <w:t>Plaganyi</w:t>
      </w:r>
      <w:proofErr w:type="spellEnd"/>
      <w:r w:rsidRPr="00C8015D">
        <w:rPr>
          <w:rFonts w:asciiTheme="minorHAnsi" w:hAnsiTheme="minorHAnsi" w:cstheme="minorHAnsi"/>
          <w:sz w:val="22"/>
          <w:szCs w:val="22"/>
        </w:rPr>
        <w:t xml:space="preserve"> et al., 2014). More use could be made of this capacity and capability.</w:t>
      </w:r>
    </w:p>
    <w:p w14:paraId="4757344D"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As already noted, the current Commonwealth harvest strategy policy has adopted an explicitly risk based approach to harvest strategy design and implementation. This has given rise to the risk-catch-cost framework which is well described in the current guidelines. This concept outlines a trade-off where higher catches can be achieved at a given level of risk by investing in data, </w:t>
      </w:r>
      <w:proofErr w:type="gramStart"/>
      <w:r w:rsidRPr="00C8015D">
        <w:rPr>
          <w:rFonts w:asciiTheme="minorHAnsi" w:hAnsiTheme="minorHAnsi" w:cstheme="minorHAnsi"/>
          <w:sz w:val="22"/>
          <w:szCs w:val="22"/>
        </w:rPr>
        <w:t>assessment</w:t>
      </w:r>
      <w:proofErr w:type="gramEnd"/>
      <w:r w:rsidRPr="00C8015D">
        <w:rPr>
          <w:rFonts w:asciiTheme="minorHAnsi" w:hAnsiTheme="minorHAnsi" w:cstheme="minorHAnsi"/>
          <w:sz w:val="22"/>
          <w:szCs w:val="22"/>
        </w:rPr>
        <w:t xml:space="preserve"> and management to get the most out of harvesting a resource. However, the same level of risk could also be achieved by a much lower investment that would require a correspondingly lower level of catch. This approach to risk equivalence has been applied in various ways to harvest strategy design, including the development of tier-based harvest strategy frameworks. MSE has been used extensively to calibrate risk equivalence between tiers, spanning data rich to data poor situations and resources (Fulton et al., 2016; Fischer et al., 2023). </w:t>
      </w:r>
    </w:p>
    <w:p w14:paraId="777E4809" w14:textId="77777777" w:rsidR="00AA2DC9" w:rsidRPr="00C8015D" w:rsidRDefault="00AA2DC9" w:rsidP="00C8015D">
      <w:pPr>
        <w:keepLines w:val="0"/>
        <w:rPr>
          <w:rFonts w:asciiTheme="minorHAnsi" w:hAnsiTheme="minorHAnsi" w:cstheme="minorHAnsi"/>
          <w:sz w:val="22"/>
          <w:szCs w:val="22"/>
        </w:rPr>
      </w:pPr>
      <w:r w:rsidRPr="00C8015D">
        <w:rPr>
          <w:rFonts w:asciiTheme="minorHAnsi" w:hAnsiTheme="minorHAnsi" w:cstheme="minorHAnsi"/>
          <w:sz w:val="22"/>
          <w:szCs w:val="22"/>
        </w:rPr>
        <w:t xml:space="preserve">In practice, maintaining risk equivalence across tiers corresponding to a range of levels of data quality and quantity requires explicit methods to address uncertainty and implement precaution. One method in common use is to apply precautionary buffers to the “advice” arising from application of a harvest control rule (e.g., a quota recommendation), depending on the tier being </w:t>
      </w:r>
      <w:r w:rsidRPr="00C8015D">
        <w:rPr>
          <w:rFonts w:asciiTheme="minorHAnsi" w:hAnsiTheme="minorHAnsi" w:cstheme="minorHAnsi"/>
          <w:sz w:val="22"/>
          <w:szCs w:val="22"/>
        </w:rPr>
        <w:lastRenderedPageBreak/>
        <w:t>used. Another approach (not currently used) could be to adjust the limit and target reference points used in the harvest control rule, depending on the tier. A third approach, used in some US fisheries, is to discount the catch recommendation according to the uncertainty about either current biomass or the target fishing mortality rate arising from the stock assessment (Privitera-Johnson and Punt, 2020). This approach has not been adopted in Australia to date. It can be shown to work quite well where statistically based quantitative stock assessments are in use. However, as noted earlier, a problem arises where less quantitative or even qualitative (weight of evidence) assessments are used, where it is generally impossible to quantify the uncertainties involved.</w:t>
      </w:r>
    </w:p>
    <w:p w14:paraId="5202BCEF" w14:textId="54DE8903"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Concerns have been expressed that the principles of risk equivalence and application of the risk-catch-cost trade-off are not always consistently or correctly applied in current applications of tier-based harvest strategies in (some) Commonwealth fisheries. This seems to be an area where further guidance and attention is required.</w:t>
      </w:r>
    </w:p>
    <w:p w14:paraId="4E16F324" w14:textId="77777777" w:rsidR="00AA2DC9" w:rsidRPr="00C8015D" w:rsidRDefault="00AA2DC9" w:rsidP="00AA2DC9">
      <w:pPr>
        <w:rPr>
          <w:rFonts w:asciiTheme="minorHAnsi" w:hAnsiTheme="minorHAnsi" w:cstheme="minorHAnsi"/>
          <w:i/>
          <w:iCs/>
          <w:sz w:val="22"/>
          <w:szCs w:val="22"/>
        </w:rPr>
      </w:pPr>
      <w:r w:rsidRPr="00C8015D">
        <w:rPr>
          <w:rFonts w:asciiTheme="minorHAnsi" w:hAnsiTheme="minorHAnsi" w:cstheme="minorHAnsi"/>
          <w:i/>
          <w:iCs/>
          <w:sz w:val="22"/>
          <w:szCs w:val="22"/>
        </w:rPr>
        <w:t>Questions to consider / information request:</w:t>
      </w:r>
    </w:p>
    <w:p w14:paraId="617A8F82" w14:textId="77777777" w:rsidR="00AA2DC9" w:rsidRPr="00C8015D" w:rsidRDefault="00AA2DC9" w:rsidP="00AA2DC9">
      <w:pPr>
        <w:pStyle w:val="ListParagraph"/>
        <w:numPr>
          <w:ilvl w:val="0"/>
          <w:numId w:val="35"/>
        </w:numPr>
        <w:rPr>
          <w:rFonts w:cstheme="minorHAnsi"/>
        </w:rPr>
      </w:pPr>
      <w:r w:rsidRPr="00C8015D">
        <w:rPr>
          <w:rFonts w:cstheme="minorHAnsi"/>
        </w:rPr>
        <w:t>Is stronger guidance or direction required on how to take account of uncertainty and apply the precautionary approach more consistently in the Commonwealth harvest strategy policy and/or guidelines?</w:t>
      </w:r>
    </w:p>
    <w:p w14:paraId="35E0497D" w14:textId="77777777" w:rsidR="00AA2DC9" w:rsidRPr="00C8015D" w:rsidRDefault="00AA2DC9" w:rsidP="00AA2DC9">
      <w:pPr>
        <w:pStyle w:val="ListParagraph"/>
        <w:numPr>
          <w:ilvl w:val="0"/>
          <w:numId w:val="35"/>
        </w:numPr>
        <w:rPr>
          <w:rFonts w:cstheme="minorHAnsi"/>
        </w:rPr>
      </w:pPr>
      <w:r w:rsidRPr="00C8015D">
        <w:rPr>
          <w:rFonts w:cstheme="minorHAnsi"/>
        </w:rPr>
        <w:t>What is the right balance in deployment of scarce resources between (tactical) stock assessment versus (strategic) management strategy evaluation?</w:t>
      </w:r>
    </w:p>
    <w:p w14:paraId="010A8B26" w14:textId="77777777" w:rsidR="00AA2DC9" w:rsidRPr="00C8015D" w:rsidRDefault="00AA2DC9" w:rsidP="00AA2DC9">
      <w:pPr>
        <w:rPr>
          <w:rFonts w:asciiTheme="minorHAnsi" w:hAnsiTheme="minorHAnsi" w:cstheme="minorHAnsi"/>
          <w:sz w:val="22"/>
          <w:szCs w:val="22"/>
        </w:rPr>
      </w:pPr>
    </w:p>
    <w:p w14:paraId="0C88DFCA" w14:textId="77777777" w:rsidR="00AA2DC9" w:rsidRPr="00C8015D" w:rsidRDefault="00AA2DC9" w:rsidP="00AA2DC9">
      <w:pPr>
        <w:rPr>
          <w:rFonts w:asciiTheme="minorHAnsi" w:hAnsiTheme="minorHAnsi" w:cstheme="minorHAnsi"/>
          <w:b/>
          <w:bCs/>
          <w:sz w:val="22"/>
          <w:szCs w:val="22"/>
        </w:rPr>
      </w:pPr>
      <w:r w:rsidRPr="00C8015D">
        <w:rPr>
          <w:rFonts w:asciiTheme="minorHAnsi" w:hAnsiTheme="minorHAnsi" w:cstheme="minorHAnsi"/>
          <w:b/>
          <w:bCs/>
          <w:sz w:val="22"/>
          <w:szCs w:val="22"/>
        </w:rPr>
        <w:t>Special topics</w:t>
      </w:r>
    </w:p>
    <w:p w14:paraId="79FDF796" w14:textId="77777777" w:rsidR="00AA2DC9" w:rsidRPr="00C8015D" w:rsidRDefault="00AA2DC9" w:rsidP="00AA2DC9">
      <w:pPr>
        <w:rPr>
          <w:rFonts w:asciiTheme="minorHAnsi" w:hAnsiTheme="minorHAnsi" w:cstheme="minorHAnsi"/>
          <w:i/>
          <w:iCs/>
          <w:sz w:val="22"/>
          <w:szCs w:val="22"/>
        </w:rPr>
      </w:pPr>
      <w:r w:rsidRPr="00C8015D">
        <w:rPr>
          <w:rFonts w:asciiTheme="minorHAnsi" w:hAnsiTheme="minorHAnsi" w:cstheme="minorHAnsi"/>
          <w:i/>
          <w:iCs/>
          <w:sz w:val="22"/>
          <w:szCs w:val="22"/>
        </w:rPr>
        <w:t>Close kin mark recapture</w:t>
      </w:r>
    </w:p>
    <w:p w14:paraId="1F102B78"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CKMR is a recently developed tool that can provide a direct (absolute) estimate of stock abundance (</w:t>
      </w:r>
      <w:proofErr w:type="spellStart"/>
      <w:r w:rsidRPr="00C8015D">
        <w:rPr>
          <w:rFonts w:asciiTheme="minorHAnsi" w:hAnsiTheme="minorHAnsi" w:cstheme="minorHAnsi"/>
          <w:sz w:val="22"/>
          <w:szCs w:val="22"/>
        </w:rPr>
        <w:t>Bravington</w:t>
      </w:r>
      <w:proofErr w:type="spellEnd"/>
      <w:r w:rsidRPr="00C8015D">
        <w:rPr>
          <w:rFonts w:asciiTheme="minorHAnsi" w:hAnsiTheme="minorHAnsi" w:cstheme="minorHAnsi"/>
          <w:sz w:val="22"/>
          <w:szCs w:val="22"/>
        </w:rPr>
        <w:t xml:space="preserve"> et al., 2016; </w:t>
      </w:r>
      <w:proofErr w:type="spellStart"/>
      <w:r w:rsidRPr="00C8015D">
        <w:rPr>
          <w:rFonts w:asciiTheme="minorHAnsi" w:hAnsiTheme="minorHAnsi" w:cstheme="minorHAnsi"/>
          <w:sz w:val="22"/>
          <w:szCs w:val="22"/>
        </w:rPr>
        <w:t>Trenkel</w:t>
      </w:r>
      <w:proofErr w:type="spellEnd"/>
      <w:r w:rsidRPr="00C8015D">
        <w:rPr>
          <w:rFonts w:asciiTheme="minorHAnsi" w:hAnsiTheme="minorHAnsi" w:cstheme="minorHAnsi"/>
          <w:sz w:val="22"/>
          <w:szCs w:val="22"/>
        </w:rPr>
        <w:t xml:space="preserve"> et al., 2022). It has already been applied to several Commonwealth-managed stocks (southern bluefin tuna, school shark) and shows promise for other stocks that are otherwise difficult to assess. It offers promise as the quality of other sources of data on trends in abundance, particularly fishery-dependent data such as CPUE, deteriorate over time (see earlier section on uncertainty and risk).</w:t>
      </w:r>
    </w:p>
    <w:p w14:paraId="4A60611A"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CKMR is not without its drawbacks, however. The initial costs to develop the genetic basis of the method for each species can be high, though once developed, the costs for ongoing application have decreased considerably. Of possibly greater concern is the ability to collect the samples needed to apply the method, particularly for depleted stocks where targeting is avoided, or for stocks that reside mostly in areas closed to fishing. </w:t>
      </w:r>
    </w:p>
    <w:p w14:paraId="6E79F95C"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A specific concern that has been raised is the problem of estimating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where CKMR estimates form the main basis for assessing current abundance. This issue arose in the school shark example, where the stock estimates from CKMR were inconsistent with those obtained from previous analyses (Thomson et al., 2020). A suggested resolution of the inconsistency was that whole sub-populations of the stock had been eliminated, fundamentally changing the measure of unfished biomass. The issue for the harvest strategy is that, in its current form, it relies on an estimate of depletion relative to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to feed into the harvest control rule.</w:t>
      </w:r>
    </w:p>
    <w:p w14:paraId="5860333C" w14:textId="77777777" w:rsidR="00AA2DC9" w:rsidRPr="00C8015D" w:rsidRDefault="00AA2DC9" w:rsidP="00C8015D">
      <w:pPr>
        <w:keepLines w:val="0"/>
        <w:rPr>
          <w:rFonts w:asciiTheme="minorHAnsi" w:hAnsiTheme="minorHAnsi" w:cstheme="minorHAnsi"/>
          <w:sz w:val="22"/>
          <w:szCs w:val="22"/>
        </w:rPr>
      </w:pPr>
      <w:r w:rsidRPr="00C8015D">
        <w:rPr>
          <w:rFonts w:asciiTheme="minorHAnsi" w:hAnsiTheme="minorHAnsi" w:cstheme="minorHAnsi"/>
          <w:sz w:val="22"/>
          <w:szCs w:val="22"/>
        </w:rPr>
        <w:t>It is not yet clear how commonly this issue may arise. Moreover, as discussed in the earlier section on shifting baselines, the issue of non-stationarity in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is a more general one that needs to be </w:t>
      </w:r>
      <w:r w:rsidRPr="00C8015D">
        <w:rPr>
          <w:rFonts w:asciiTheme="minorHAnsi" w:hAnsiTheme="minorHAnsi" w:cstheme="minorHAnsi"/>
          <w:sz w:val="22"/>
          <w:szCs w:val="22"/>
        </w:rPr>
        <w:lastRenderedPageBreak/>
        <w:t>addressed. A new research project is examining this issue, specifically regarding CKMR. In the meantime, estimates from CKMR can be used as an additional input into quantitative stock assessments, and may gradually replace other indicators such as CPUE over time. If there really is major uncertainty about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a suitably precautionary fixed fishing mortality rate can be applied to the most recent estimate of abundance from CKMR.</w:t>
      </w:r>
    </w:p>
    <w:p w14:paraId="2735D8FE" w14:textId="77777777" w:rsidR="00AA2DC9" w:rsidRPr="00C8015D" w:rsidRDefault="00AA2DC9" w:rsidP="00AA2DC9">
      <w:pPr>
        <w:rPr>
          <w:rFonts w:asciiTheme="minorHAnsi" w:hAnsiTheme="minorHAnsi" w:cstheme="minorHAnsi"/>
          <w:i/>
          <w:iCs/>
          <w:sz w:val="22"/>
          <w:szCs w:val="22"/>
        </w:rPr>
      </w:pPr>
      <w:r w:rsidRPr="00C8015D">
        <w:rPr>
          <w:rFonts w:asciiTheme="minorHAnsi" w:hAnsiTheme="minorHAnsi" w:cstheme="minorHAnsi"/>
          <w:i/>
          <w:iCs/>
          <w:sz w:val="22"/>
          <w:szCs w:val="22"/>
        </w:rPr>
        <w:t>Non-recovering stocks</w:t>
      </w:r>
    </w:p>
    <w:p w14:paraId="57D23FF2"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The current harvest strategy policy seeks to maintain stocks at or around target levels and actively avoid the stock falling below the (biomass) limit reference point. Where stocks do fall below BLIM, fishing mortality is set to zero in the harvest control rule, and other management arrangements constituting a formal recovery strategy are set in place. </w:t>
      </w:r>
    </w:p>
    <w:p w14:paraId="37EBFF2E"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Harvest strategies have now been implemented in most Commonwealth-managed fisheries since 2007. In most instances they have succeeded in preventing overfishing, and in enabling the recovery of previously overfished stocks, but there have been some exceptions. Several examples are to be found in the Southern and Eastern Scalefish and Shark Fishery (SESSF). The problem with school shark has already been mentioned. Another example is eastern gemfish, the stock of which collapsed in the late 1980s (well prior to the implementation of formal harvest strategies, though strict measures were brought in at the time to limit catches and try to recover the stock). Given the low level of the stock and the avoidance of targeting, there is considerable uncertainty about the ongoing status of eastern gemfish, but it seems clear that it has failed to recover in the past thirty or more years. The reasons for this are not clear – possibly a combination of changes in the ecosystem, more recent changes in ocean temperatures, and possibly ongoing low levels of incidental fishing mortality that are sufficient to prevent recovery. It is quite possible that the stock would not recover to a level above its previous limit reference level, even if all fishing mortality ceased. On the positive side, the eastern stock of orange </w:t>
      </w:r>
      <w:proofErr w:type="spellStart"/>
      <w:r w:rsidRPr="00C8015D">
        <w:rPr>
          <w:rFonts w:asciiTheme="minorHAnsi" w:hAnsiTheme="minorHAnsi" w:cstheme="minorHAnsi"/>
          <w:sz w:val="22"/>
          <w:szCs w:val="22"/>
        </w:rPr>
        <w:t>roughy</w:t>
      </w:r>
      <w:proofErr w:type="spellEnd"/>
      <w:r w:rsidRPr="00C8015D">
        <w:rPr>
          <w:rFonts w:asciiTheme="minorHAnsi" w:hAnsiTheme="minorHAnsi" w:cstheme="minorHAnsi"/>
          <w:sz w:val="22"/>
          <w:szCs w:val="22"/>
        </w:rPr>
        <w:t xml:space="preserve"> has recovered to well above its limit reference level under application of the harvest strategy and a specific recovery plan. </w:t>
      </w:r>
    </w:p>
    <w:p w14:paraId="73A96080"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The eastern gemfish example raises the question of how the harvest strategy policy should deal with non-recovering stocks. The EPBC Act requires that efforts at recovery should continue until recovery occurs, but in some instances, recovery may not be possible.</w:t>
      </w:r>
    </w:p>
    <w:p w14:paraId="3430731D" w14:textId="77777777" w:rsidR="00AA2DC9" w:rsidRPr="00C8015D" w:rsidRDefault="00AA2DC9" w:rsidP="00AA2DC9">
      <w:pPr>
        <w:rPr>
          <w:rFonts w:asciiTheme="minorHAnsi" w:hAnsiTheme="minorHAnsi" w:cstheme="minorHAnsi"/>
          <w:i/>
          <w:iCs/>
          <w:sz w:val="22"/>
          <w:szCs w:val="22"/>
        </w:rPr>
      </w:pPr>
      <w:r w:rsidRPr="00C8015D">
        <w:rPr>
          <w:rFonts w:asciiTheme="minorHAnsi" w:hAnsiTheme="minorHAnsi" w:cstheme="minorHAnsi"/>
          <w:i/>
          <w:iCs/>
          <w:sz w:val="22"/>
          <w:szCs w:val="22"/>
        </w:rPr>
        <w:t>Questions to consider / information request:</w:t>
      </w:r>
    </w:p>
    <w:p w14:paraId="41BCE884" w14:textId="77777777" w:rsidR="00AA2DC9" w:rsidRPr="00C8015D" w:rsidRDefault="00AA2DC9" w:rsidP="00AA2DC9">
      <w:pPr>
        <w:pStyle w:val="ListParagraph"/>
        <w:numPr>
          <w:ilvl w:val="0"/>
          <w:numId w:val="37"/>
        </w:numPr>
        <w:rPr>
          <w:rFonts w:cstheme="minorHAnsi"/>
        </w:rPr>
      </w:pPr>
      <w:r w:rsidRPr="00C8015D">
        <w:rPr>
          <w:rFonts w:cstheme="minorHAnsi"/>
        </w:rPr>
        <w:t>Should there be a “statute of limitations” for non-recovering species?</w:t>
      </w:r>
    </w:p>
    <w:p w14:paraId="7A0D27D9" w14:textId="77777777" w:rsidR="00AA2DC9" w:rsidRPr="00C8015D" w:rsidRDefault="00AA2DC9" w:rsidP="00AA2DC9">
      <w:pPr>
        <w:rPr>
          <w:rFonts w:asciiTheme="minorHAnsi" w:hAnsiTheme="minorHAnsi" w:cstheme="minorHAnsi"/>
          <w:i/>
          <w:iCs/>
          <w:sz w:val="22"/>
          <w:szCs w:val="22"/>
        </w:rPr>
      </w:pPr>
      <w:r w:rsidRPr="00C8015D">
        <w:rPr>
          <w:rFonts w:asciiTheme="minorHAnsi" w:hAnsiTheme="minorHAnsi" w:cstheme="minorHAnsi"/>
          <w:i/>
          <w:iCs/>
          <w:sz w:val="22"/>
          <w:szCs w:val="22"/>
        </w:rPr>
        <w:t>Spatial management</w:t>
      </w:r>
    </w:p>
    <w:p w14:paraId="65BE9CDA"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Spatial structuring of fisheries occurs in the biology of the fish, in fishing effort (e.g. factors affecting accessibility), and in management controls both related to the fishery (e.g. spatial closures) or external (e.g. marine parks and other exclusions).  </w:t>
      </w:r>
    </w:p>
    <w:p w14:paraId="5C943C1F"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Harvest strategies often account for spatial issues by dividing the fishery into regions with the fishery performance tracked separately for each region.  There is a trade-off in managing spatial issues with smaller spatial division suffering from less data and confidence in assessments, plus greater difficulty in implementing management of catch.</w:t>
      </w:r>
    </w:p>
    <w:p w14:paraId="3DD364CD" w14:textId="77777777" w:rsidR="00AA2DC9" w:rsidRPr="00C8015D" w:rsidRDefault="00AA2DC9" w:rsidP="00C8015D">
      <w:pPr>
        <w:keepLines w:val="0"/>
        <w:rPr>
          <w:rFonts w:asciiTheme="minorHAnsi" w:hAnsiTheme="minorHAnsi" w:cstheme="minorHAnsi"/>
          <w:sz w:val="22"/>
          <w:szCs w:val="22"/>
        </w:rPr>
      </w:pPr>
      <w:r w:rsidRPr="00C8015D">
        <w:rPr>
          <w:rFonts w:asciiTheme="minorHAnsi" w:hAnsiTheme="minorHAnsi" w:cstheme="minorHAnsi"/>
          <w:sz w:val="22"/>
          <w:szCs w:val="22"/>
        </w:rPr>
        <w:t xml:space="preserve">Commonwealth fisheries interact with large spatial closures for some gear types, especially bottom trawl, plus marine parks including no-take areas.  These introduce problems in the harvest strategy, including how the stock in closed areas is included in the assessment of the stock, </w:t>
      </w:r>
      <w:proofErr w:type="gramStart"/>
      <w:r w:rsidRPr="00C8015D">
        <w:rPr>
          <w:rFonts w:asciiTheme="minorHAnsi" w:hAnsiTheme="minorHAnsi" w:cstheme="minorHAnsi"/>
          <w:sz w:val="22"/>
          <w:szCs w:val="22"/>
        </w:rPr>
        <w:t>and also</w:t>
      </w:r>
      <w:proofErr w:type="gramEnd"/>
      <w:r w:rsidRPr="00C8015D">
        <w:rPr>
          <w:rFonts w:asciiTheme="minorHAnsi" w:hAnsiTheme="minorHAnsi" w:cstheme="minorHAnsi"/>
          <w:sz w:val="22"/>
          <w:szCs w:val="22"/>
        </w:rPr>
        <w:t xml:space="preserve"> in the choice of appropriate reference points (Field et al., 2006; </w:t>
      </w:r>
      <w:proofErr w:type="spellStart"/>
      <w:r w:rsidRPr="00C8015D">
        <w:rPr>
          <w:rFonts w:asciiTheme="minorHAnsi" w:hAnsiTheme="minorHAnsi" w:cstheme="minorHAnsi"/>
          <w:sz w:val="22"/>
          <w:szCs w:val="22"/>
        </w:rPr>
        <w:t>Pincin</w:t>
      </w:r>
      <w:proofErr w:type="spellEnd"/>
      <w:r w:rsidRPr="00C8015D">
        <w:rPr>
          <w:rFonts w:asciiTheme="minorHAnsi" w:hAnsiTheme="minorHAnsi" w:cstheme="minorHAnsi"/>
          <w:sz w:val="22"/>
          <w:szCs w:val="22"/>
        </w:rPr>
        <w:t xml:space="preserve"> and Wilberg, 2012).  Stock in areas </w:t>
      </w:r>
      <w:r w:rsidRPr="00C8015D">
        <w:rPr>
          <w:rFonts w:asciiTheme="minorHAnsi" w:hAnsiTheme="minorHAnsi" w:cstheme="minorHAnsi"/>
          <w:sz w:val="22"/>
          <w:szCs w:val="22"/>
        </w:rPr>
        <w:lastRenderedPageBreak/>
        <w:t xml:space="preserve">closed to fishing is generally more relevant to limit reference points because LRPs are associated with management objectives of avoiding recruitment overfishing.  In contrast, stock in no-fish areas is less relevant to TRPs where these are explicitly linked to objectives of maximising economic benefit as per the Commonwealth.  This is because economic yield is maximised by balancing the revenue (catch) against the cost of fishing (driven by catch rate), and the stock in closed areas provides no catch rate benefit.  </w:t>
      </w:r>
    </w:p>
    <w:p w14:paraId="71CEE9C1"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Closed areas have been proposed as useful reference sites where empirical information can be obtained on density at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and comparisons made with fished areas to provide simple estimates of depletion in data poor fisheries (Wilson et al., 2010).  However, Edgar et al (2014) noted that many marine parks have limited value for informing fisheries management because the stocks inside don’t represent density at B</w:t>
      </w:r>
      <w:r w:rsidRPr="00C8015D">
        <w:rPr>
          <w:rFonts w:asciiTheme="minorHAnsi" w:hAnsiTheme="minorHAnsi" w:cstheme="minorHAnsi"/>
          <w:sz w:val="22"/>
          <w:szCs w:val="22"/>
          <w:vertAlign w:val="subscript"/>
        </w:rPr>
        <w:t>0</w:t>
      </w:r>
      <w:r w:rsidRPr="00C8015D">
        <w:rPr>
          <w:rFonts w:asciiTheme="minorHAnsi" w:hAnsiTheme="minorHAnsi" w:cstheme="minorHAnsi"/>
          <w:sz w:val="22"/>
          <w:szCs w:val="22"/>
        </w:rPr>
        <w:t xml:space="preserve"> due to fish movement, illegal fishing, and different habitat types.  </w:t>
      </w:r>
    </w:p>
    <w:p w14:paraId="29EA96C9"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Spatial structuring in populations can lead to localised depletion and, effectively, to loss of access to the resource for some fishers (commercial, recreational, indigenous) because of place-based fishing. Mobile species can exhibit the "basin theory" of populations, whereby a depleting resource first disappears at the margins of the distribution, which is another argument for higher biomass targets.</w:t>
      </w:r>
    </w:p>
    <w:p w14:paraId="5ECCA47D" w14:textId="77777777" w:rsidR="00AA2DC9" w:rsidRPr="00C8015D" w:rsidRDefault="00AA2DC9" w:rsidP="00AA2DC9">
      <w:pPr>
        <w:rPr>
          <w:rFonts w:asciiTheme="minorHAnsi" w:hAnsiTheme="minorHAnsi" w:cstheme="minorHAnsi"/>
          <w:i/>
          <w:iCs/>
          <w:sz w:val="22"/>
          <w:szCs w:val="22"/>
        </w:rPr>
      </w:pPr>
      <w:r w:rsidRPr="00C8015D">
        <w:rPr>
          <w:rFonts w:asciiTheme="minorHAnsi" w:hAnsiTheme="minorHAnsi" w:cstheme="minorHAnsi"/>
          <w:i/>
          <w:iCs/>
          <w:sz w:val="22"/>
          <w:szCs w:val="22"/>
        </w:rPr>
        <w:t>Questions to consider / information request:</w:t>
      </w:r>
    </w:p>
    <w:p w14:paraId="6BCF38FB" w14:textId="77777777" w:rsidR="00AA2DC9" w:rsidRPr="00C8015D" w:rsidRDefault="00AA2DC9" w:rsidP="00AA2DC9">
      <w:pPr>
        <w:pStyle w:val="ListParagraph"/>
        <w:numPr>
          <w:ilvl w:val="0"/>
          <w:numId w:val="37"/>
        </w:numPr>
        <w:rPr>
          <w:rFonts w:cstheme="minorHAnsi"/>
        </w:rPr>
      </w:pPr>
      <w:r w:rsidRPr="00C8015D">
        <w:rPr>
          <w:rFonts w:cstheme="minorHAnsi"/>
        </w:rPr>
        <w:t xml:space="preserve">Does the policy need any specific components on treatment of stock in unfished areas, especially closed </w:t>
      </w:r>
      <w:proofErr w:type="gramStart"/>
      <w:r w:rsidRPr="00C8015D">
        <w:rPr>
          <w:rFonts w:cstheme="minorHAnsi"/>
        </w:rPr>
        <w:t>areas</w:t>
      </w:r>
      <w:proofErr w:type="gramEnd"/>
      <w:r w:rsidRPr="00C8015D">
        <w:rPr>
          <w:rFonts w:cstheme="minorHAnsi"/>
        </w:rPr>
        <w:t xml:space="preserve"> and marine parks?</w:t>
      </w:r>
    </w:p>
    <w:p w14:paraId="07C9F2C4" w14:textId="77777777" w:rsidR="00AA2DC9" w:rsidRPr="00C8015D" w:rsidRDefault="00AA2DC9" w:rsidP="00AA2DC9">
      <w:pPr>
        <w:pStyle w:val="ListParagraph"/>
        <w:numPr>
          <w:ilvl w:val="0"/>
          <w:numId w:val="37"/>
        </w:numPr>
        <w:rPr>
          <w:rFonts w:cstheme="minorHAnsi"/>
        </w:rPr>
      </w:pPr>
      <w:r w:rsidRPr="00C8015D">
        <w:rPr>
          <w:rFonts w:cstheme="minorHAnsi"/>
        </w:rPr>
        <w:t xml:space="preserve">Does the use of reference points drawn from the whole spatial area of the fishery misrepresent the status and performance relative to targets in the places where it matters most for users of the resource?     </w:t>
      </w:r>
    </w:p>
    <w:p w14:paraId="69730D29" w14:textId="77777777" w:rsidR="00AA2DC9" w:rsidRPr="00C8015D" w:rsidRDefault="00AA2DC9" w:rsidP="00AA2DC9">
      <w:pPr>
        <w:rPr>
          <w:rFonts w:asciiTheme="minorHAnsi" w:hAnsiTheme="minorHAnsi" w:cstheme="minorHAnsi"/>
          <w:i/>
          <w:iCs/>
          <w:sz w:val="22"/>
          <w:szCs w:val="22"/>
        </w:rPr>
      </w:pPr>
    </w:p>
    <w:p w14:paraId="7DCCD46D" w14:textId="77777777" w:rsidR="00AA2DC9" w:rsidRPr="00C8015D" w:rsidRDefault="00AA2DC9" w:rsidP="00AA2DC9">
      <w:pPr>
        <w:rPr>
          <w:rFonts w:asciiTheme="minorHAnsi" w:hAnsiTheme="minorHAnsi" w:cstheme="minorHAnsi"/>
          <w:b/>
          <w:bCs/>
          <w:sz w:val="22"/>
          <w:szCs w:val="22"/>
        </w:rPr>
      </w:pPr>
      <w:r w:rsidRPr="00C8015D">
        <w:rPr>
          <w:rFonts w:asciiTheme="minorHAnsi" w:hAnsiTheme="minorHAnsi" w:cstheme="minorHAnsi"/>
          <w:b/>
          <w:bCs/>
          <w:sz w:val="22"/>
          <w:szCs w:val="22"/>
        </w:rPr>
        <w:t>Key points and questions for consultation</w:t>
      </w:r>
    </w:p>
    <w:p w14:paraId="7BD307AE"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What is the right balance between flexibility and prescription in the harvest strategy policy and guidelines?</w:t>
      </w:r>
    </w:p>
    <w:p w14:paraId="69DA8FCD"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What is the resolution to apparently “irresolvable” issues such as non-recovering species (noting the constraints imposed by the necessity to meet EPBC requirements and standards)?</w:t>
      </w:r>
    </w:p>
    <w:p w14:paraId="00CB9367"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Is there a need for stronger guidance on precaution?</w:t>
      </w:r>
    </w:p>
    <w:p w14:paraId="1CE2876C"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Is there need for a broader approach to defining targets under changing social expectations?</w:t>
      </w:r>
    </w:p>
    <w:p w14:paraId="39720C22"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Should the harvest strategy policy be kept simple and single stock focused, or should it embrace elements (or all) of EBFM?</w:t>
      </w:r>
    </w:p>
    <w:p w14:paraId="674847C8"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Note that some fisheries tick all the (difficult) boxes? (multi-species, multi-sector, multi-gear, multi-jurisdiction, ocean warming hotspot). Is there a better/simpler way to manage these fisheries?</w:t>
      </w:r>
    </w:p>
    <w:p w14:paraId="5AF6BA7E"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Is there a need for common standards and approaches for shared resources? Does Australia need national standards for harvest strategies, at least for shared resources?</w:t>
      </w:r>
    </w:p>
    <w:p w14:paraId="465D50C2"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How can the policy and practice be more realistic about the cost constraints in the risk-cost-catch trade-off?</w:t>
      </w:r>
    </w:p>
    <w:p w14:paraId="04F00C47" w14:textId="77777777" w:rsidR="00AA2DC9" w:rsidRPr="00C8015D" w:rsidRDefault="00AA2DC9" w:rsidP="00AA2DC9">
      <w:pPr>
        <w:rPr>
          <w:rFonts w:asciiTheme="minorHAnsi" w:hAnsiTheme="minorHAnsi" w:cstheme="minorHAnsi"/>
          <w:sz w:val="22"/>
          <w:szCs w:val="22"/>
        </w:rPr>
      </w:pPr>
    </w:p>
    <w:p w14:paraId="0813C58E" w14:textId="77777777" w:rsidR="00AA2DC9" w:rsidRPr="00C8015D" w:rsidRDefault="00AA2DC9" w:rsidP="00AA2DC9">
      <w:pPr>
        <w:rPr>
          <w:rFonts w:asciiTheme="minorHAnsi" w:hAnsiTheme="minorHAnsi" w:cstheme="minorHAnsi"/>
          <w:b/>
          <w:bCs/>
          <w:sz w:val="22"/>
          <w:szCs w:val="22"/>
        </w:rPr>
      </w:pPr>
      <w:r w:rsidRPr="00C8015D">
        <w:rPr>
          <w:rFonts w:asciiTheme="minorHAnsi" w:hAnsiTheme="minorHAnsi" w:cstheme="minorHAnsi"/>
          <w:b/>
          <w:bCs/>
          <w:sz w:val="22"/>
          <w:szCs w:val="22"/>
        </w:rPr>
        <w:t>References</w:t>
      </w:r>
    </w:p>
    <w:p w14:paraId="798E902E" w14:textId="77777777" w:rsidR="00AA2DC9" w:rsidRPr="00C8015D" w:rsidRDefault="00AA2DC9" w:rsidP="00AA2DC9">
      <w:pPr>
        <w:rPr>
          <w:rFonts w:asciiTheme="minorHAnsi" w:hAnsiTheme="minorHAnsi" w:cstheme="minorHAnsi"/>
          <w:sz w:val="22"/>
          <w:szCs w:val="22"/>
        </w:rPr>
      </w:pPr>
      <w:proofErr w:type="spellStart"/>
      <w:r w:rsidRPr="00C8015D">
        <w:rPr>
          <w:rFonts w:asciiTheme="minorHAnsi" w:hAnsiTheme="minorHAnsi" w:cstheme="minorHAnsi"/>
          <w:sz w:val="22"/>
          <w:szCs w:val="22"/>
        </w:rPr>
        <w:t>Barange</w:t>
      </w:r>
      <w:proofErr w:type="spellEnd"/>
      <w:r w:rsidRPr="00C8015D">
        <w:rPr>
          <w:rFonts w:asciiTheme="minorHAnsi" w:hAnsiTheme="minorHAnsi" w:cstheme="minorHAnsi"/>
          <w:sz w:val="22"/>
          <w:szCs w:val="22"/>
        </w:rPr>
        <w:t xml:space="preserve">, M. et al. 2018. Impacts of climate change on fisheries and aquaculture: Synthesis of current knowledge, </w:t>
      </w:r>
      <w:proofErr w:type="gramStart"/>
      <w:r w:rsidRPr="00C8015D">
        <w:rPr>
          <w:rFonts w:asciiTheme="minorHAnsi" w:hAnsiTheme="minorHAnsi" w:cstheme="minorHAnsi"/>
          <w:sz w:val="22"/>
          <w:szCs w:val="22"/>
        </w:rPr>
        <w:t>adaptation</w:t>
      </w:r>
      <w:proofErr w:type="gramEnd"/>
      <w:r w:rsidRPr="00C8015D">
        <w:rPr>
          <w:rFonts w:asciiTheme="minorHAnsi" w:hAnsiTheme="minorHAnsi" w:cstheme="minorHAnsi"/>
          <w:sz w:val="22"/>
          <w:szCs w:val="22"/>
        </w:rPr>
        <w:t xml:space="preserve"> and mitigation options. FAO Fisheries and Aquaculture Technical Paper 627. FAO, Rome. 628pp. </w:t>
      </w:r>
      <w:r w:rsidRPr="00C8015D">
        <w:rPr>
          <w:rFonts w:asciiTheme="minorHAnsi" w:hAnsiTheme="minorHAnsi" w:cstheme="minorHAnsi"/>
          <w:sz w:val="22"/>
          <w:szCs w:val="22"/>
        </w:rPr>
        <w:tab/>
      </w:r>
    </w:p>
    <w:p w14:paraId="6D3E2C5E"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Barclay, K.M. et al. 2023. Social harvest control rules for sustainable fisheries. Fish and Fisheries, </w:t>
      </w:r>
      <w:proofErr w:type="spellStart"/>
      <w:r w:rsidRPr="00C8015D">
        <w:rPr>
          <w:rFonts w:asciiTheme="minorHAnsi" w:hAnsiTheme="minorHAnsi" w:cstheme="minorHAnsi"/>
          <w:sz w:val="22"/>
          <w:szCs w:val="22"/>
        </w:rPr>
        <w:t>doi</w:t>
      </w:r>
      <w:proofErr w:type="spellEnd"/>
      <w:r w:rsidRPr="00C8015D">
        <w:rPr>
          <w:rFonts w:asciiTheme="minorHAnsi" w:hAnsiTheme="minorHAnsi" w:cstheme="minorHAnsi"/>
          <w:sz w:val="22"/>
          <w:szCs w:val="22"/>
        </w:rPr>
        <w:t>: 10.1111/faf.12769</w:t>
      </w:r>
    </w:p>
    <w:p w14:paraId="05391580"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Bessel-Brown, P. et al. 2022. The effects of implementing a ‘dynamic Bo’ harvest control rule in Australia’s Southern and Eastern Scalefish and Shark Fishery. Fisheries Research, 252: 106306</w:t>
      </w:r>
      <w:r w:rsidRPr="00C8015D">
        <w:rPr>
          <w:rFonts w:asciiTheme="minorHAnsi" w:hAnsiTheme="minorHAnsi" w:cstheme="minorHAnsi"/>
          <w:sz w:val="22"/>
          <w:szCs w:val="22"/>
        </w:rPr>
        <w:tab/>
      </w:r>
    </w:p>
    <w:p w14:paraId="79FA9302" w14:textId="77777777" w:rsidR="00AA2DC9" w:rsidRPr="00C8015D" w:rsidRDefault="00AA2DC9" w:rsidP="00AA2DC9">
      <w:pPr>
        <w:rPr>
          <w:rFonts w:asciiTheme="minorHAnsi" w:hAnsiTheme="minorHAnsi" w:cstheme="minorHAnsi"/>
          <w:sz w:val="22"/>
          <w:szCs w:val="22"/>
        </w:rPr>
      </w:pPr>
      <w:proofErr w:type="spellStart"/>
      <w:r w:rsidRPr="00C8015D">
        <w:rPr>
          <w:rFonts w:asciiTheme="minorHAnsi" w:hAnsiTheme="minorHAnsi" w:cstheme="minorHAnsi"/>
          <w:sz w:val="22"/>
          <w:szCs w:val="22"/>
        </w:rPr>
        <w:t>Bravington</w:t>
      </w:r>
      <w:proofErr w:type="spellEnd"/>
      <w:r w:rsidRPr="00C8015D">
        <w:rPr>
          <w:rFonts w:asciiTheme="minorHAnsi" w:hAnsiTheme="minorHAnsi" w:cstheme="minorHAnsi"/>
          <w:sz w:val="22"/>
          <w:szCs w:val="22"/>
        </w:rPr>
        <w:t xml:space="preserve">, M.V. et al. 2016. Close-kin mark recapture. Statistical Science, 31: 259-274. </w:t>
      </w:r>
      <w:r w:rsidRPr="00C8015D">
        <w:rPr>
          <w:rFonts w:asciiTheme="minorHAnsi" w:hAnsiTheme="minorHAnsi" w:cstheme="minorHAnsi"/>
          <w:sz w:val="22"/>
          <w:szCs w:val="22"/>
        </w:rPr>
        <w:tab/>
      </w:r>
    </w:p>
    <w:p w14:paraId="1CE6A6D2" w14:textId="12C5297D"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Bryndum-Buchholz, A., Tittensor, D.P. and Lotze, H.K. 2021. The status of climate adaptation in fisheries management: policy, </w:t>
      </w:r>
      <w:proofErr w:type="gramStart"/>
      <w:r w:rsidRPr="00C8015D">
        <w:rPr>
          <w:rFonts w:asciiTheme="minorHAnsi" w:hAnsiTheme="minorHAnsi" w:cstheme="minorHAnsi"/>
          <w:sz w:val="22"/>
          <w:szCs w:val="22"/>
        </w:rPr>
        <w:t>legislation</w:t>
      </w:r>
      <w:proofErr w:type="gramEnd"/>
      <w:r w:rsidRPr="00C8015D">
        <w:rPr>
          <w:rFonts w:asciiTheme="minorHAnsi" w:hAnsiTheme="minorHAnsi" w:cstheme="minorHAnsi"/>
          <w:sz w:val="22"/>
          <w:szCs w:val="22"/>
        </w:rPr>
        <w:t xml:space="preserve"> and implementation. Fish and Fisheries, 22: 1248-1273.</w:t>
      </w:r>
    </w:p>
    <w:p w14:paraId="579A79C4"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Dorn, M.W. and Zador, S.G. 2020. A risk table to address concerns external to stock assessments when developing fisheries harvest recommendations. Ecosystem Health and Sustainability, 6(1): 1-11.</w:t>
      </w:r>
      <w:r w:rsidRPr="00C8015D">
        <w:rPr>
          <w:rFonts w:asciiTheme="minorHAnsi" w:hAnsiTheme="minorHAnsi" w:cstheme="minorHAnsi"/>
          <w:sz w:val="22"/>
          <w:szCs w:val="22"/>
        </w:rPr>
        <w:tab/>
      </w:r>
    </w:p>
    <w:p w14:paraId="5C3E25E0"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Dowling N.A. et al. 2020. Optimising harvest strategies over multiple objectives and stakeholder preferences. Ecological Modelling, 425: 109243</w:t>
      </w:r>
      <w:r w:rsidRPr="00C8015D">
        <w:rPr>
          <w:rFonts w:asciiTheme="minorHAnsi" w:hAnsiTheme="minorHAnsi" w:cstheme="minorHAnsi"/>
          <w:sz w:val="22"/>
          <w:szCs w:val="22"/>
        </w:rPr>
        <w:tab/>
      </w:r>
    </w:p>
    <w:p w14:paraId="573FDBC3" w14:textId="77777777" w:rsidR="00AA2DC9" w:rsidRPr="00C8015D" w:rsidRDefault="00AA2DC9" w:rsidP="00AA2DC9">
      <w:pPr>
        <w:pStyle w:val="EndNoteBibliography"/>
        <w:numPr>
          <w:ilvl w:val="0"/>
          <w:numId w:val="0"/>
        </w:numPr>
        <w:spacing w:after="0"/>
        <w:rPr>
          <w:rFonts w:asciiTheme="minorHAnsi" w:hAnsiTheme="minorHAnsi" w:cstheme="minorHAnsi"/>
          <w:sz w:val="22"/>
          <w:szCs w:val="22"/>
        </w:rPr>
      </w:pPr>
      <w:r w:rsidRPr="00C8015D">
        <w:rPr>
          <w:rFonts w:asciiTheme="minorHAnsi" w:hAnsiTheme="minorHAnsi" w:cstheme="minorHAnsi"/>
          <w:sz w:val="22"/>
          <w:szCs w:val="22"/>
        </w:rPr>
        <w:t>Edgar, G.J., et al. 2014. Global conservation outcomes depend on marine protected areas with five key features. Nature 506, 216-220.</w:t>
      </w:r>
    </w:p>
    <w:p w14:paraId="47DEBC6E" w14:textId="77777777" w:rsidR="00AA2DC9" w:rsidRPr="00C8015D" w:rsidRDefault="00AA2DC9" w:rsidP="00AA2DC9">
      <w:pPr>
        <w:pStyle w:val="EndNoteBibliography"/>
        <w:numPr>
          <w:ilvl w:val="0"/>
          <w:numId w:val="0"/>
        </w:numPr>
        <w:spacing w:after="0"/>
        <w:rPr>
          <w:rFonts w:asciiTheme="minorHAnsi" w:hAnsiTheme="minorHAnsi" w:cstheme="minorHAnsi"/>
          <w:sz w:val="22"/>
          <w:szCs w:val="22"/>
        </w:rPr>
      </w:pPr>
    </w:p>
    <w:p w14:paraId="46EF93B7"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Field, J. C., Punt, A. E., Methot, R. D., &amp; Thomson, C. J. (2006). Does MPA mean 'major problem for assessments'? considering the consequences of place-based management systems. Fish and Fisheries, 7(4), 284-302.</w:t>
      </w:r>
      <w:r w:rsidRPr="00C8015D">
        <w:rPr>
          <w:rFonts w:asciiTheme="minorHAnsi" w:hAnsiTheme="minorHAnsi" w:cstheme="minorHAnsi"/>
          <w:sz w:val="22"/>
          <w:szCs w:val="22"/>
        </w:rPr>
        <w:tab/>
      </w:r>
      <w:r w:rsidRPr="00C8015D">
        <w:rPr>
          <w:rFonts w:asciiTheme="minorHAnsi" w:hAnsiTheme="minorHAnsi" w:cstheme="minorHAnsi"/>
          <w:sz w:val="22"/>
          <w:szCs w:val="22"/>
        </w:rPr>
        <w:tab/>
      </w:r>
      <w:r w:rsidRPr="00C8015D">
        <w:rPr>
          <w:rFonts w:asciiTheme="minorHAnsi" w:hAnsiTheme="minorHAnsi" w:cstheme="minorHAnsi"/>
          <w:sz w:val="22"/>
          <w:szCs w:val="22"/>
        </w:rPr>
        <w:tab/>
      </w:r>
    </w:p>
    <w:p w14:paraId="70029F75"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Farmery, A.K. et al. 2013. Managing fisheries for environmental performance: the effects of marine resource decision-making on the footprint of seafood. Journal of Cleaner Production, 64: 368-376.</w:t>
      </w:r>
    </w:p>
    <w:p w14:paraId="2FAC2C63"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Fischer, S.H. et al. 2023. Risk equivalence in data-limited and data-rich fisheries management: An example based on the ICES advice framework. Fish and Fisheries, 24: 231-247. </w:t>
      </w:r>
      <w:r w:rsidRPr="00C8015D">
        <w:rPr>
          <w:rFonts w:asciiTheme="minorHAnsi" w:hAnsiTheme="minorHAnsi" w:cstheme="minorHAnsi"/>
          <w:sz w:val="22"/>
          <w:szCs w:val="22"/>
        </w:rPr>
        <w:tab/>
      </w:r>
    </w:p>
    <w:p w14:paraId="7B2FA68E"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Fletcher, W.J. et al. 2016. Refinements to harvest strategies to enable effective implementation of Ecosystem-Based Fisheries Management for the multi-sector, multi-species fisheries of Western Australia. Fisheries Research, doi.org/10.1016/j.fishres.2016.04.014 </w:t>
      </w:r>
    </w:p>
    <w:p w14:paraId="6E15988F"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Fulton, E.A. et al. 2011. Lessons in modelling and management of marine ecosystems: the Atlantis experience. Fish and Fisheries, 12: 171-188. </w:t>
      </w:r>
    </w:p>
    <w:p w14:paraId="4D8A9345"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Fulton, E.A. et al. 2016. Developing risk equivalent data-rich and data-limited harvest strategies. Fisheries Research, 183: 574-587. </w:t>
      </w:r>
      <w:r w:rsidRPr="00C8015D">
        <w:rPr>
          <w:rFonts w:asciiTheme="minorHAnsi" w:hAnsiTheme="minorHAnsi" w:cstheme="minorHAnsi"/>
          <w:sz w:val="22"/>
          <w:szCs w:val="22"/>
        </w:rPr>
        <w:tab/>
      </w:r>
    </w:p>
    <w:p w14:paraId="58409881"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Fulton, E.A. et al. 2022. Shifting baselines and deciding on the desirable form of multispecies maximum sustainable yield. ICES Journal of Marine Science, doi:10.1093/</w:t>
      </w:r>
      <w:proofErr w:type="spellStart"/>
      <w:r w:rsidRPr="00C8015D">
        <w:rPr>
          <w:rFonts w:asciiTheme="minorHAnsi" w:hAnsiTheme="minorHAnsi" w:cstheme="minorHAnsi"/>
          <w:sz w:val="22"/>
          <w:szCs w:val="22"/>
        </w:rPr>
        <w:t>icesjms</w:t>
      </w:r>
      <w:proofErr w:type="spellEnd"/>
      <w:r w:rsidRPr="00C8015D">
        <w:rPr>
          <w:rFonts w:asciiTheme="minorHAnsi" w:hAnsiTheme="minorHAnsi" w:cstheme="minorHAnsi"/>
          <w:sz w:val="22"/>
          <w:szCs w:val="22"/>
        </w:rPr>
        <w:t>/fsac150</w:t>
      </w:r>
      <w:r w:rsidRPr="00C8015D">
        <w:rPr>
          <w:rFonts w:asciiTheme="minorHAnsi" w:hAnsiTheme="minorHAnsi" w:cstheme="minorHAnsi"/>
          <w:sz w:val="22"/>
          <w:szCs w:val="22"/>
        </w:rPr>
        <w:tab/>
      </w:r>
    </w:p>
    <w:p w14:paraId="41276FEB"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lastRenderedPageBreak/>
        <w:t xml:space="preserve">Gervais, C.R. et al. 2020. Species on the move around the Australian coastline: A continental-scale review of climate-driven species redistribution in marine systems. Global Change Biology, 27: 3200-3217. </w:t>
      </w:r>
    </w:p>
    <w:p w14:paraId="20FD6928"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Holsman, K.K. et al. 2019. Towards climate resiliency in fisheries management. ICES Journal of Marine Science, 76: 1368-1378. </w:t>
      </w:r>
      <w:r w:rsidRPr="00C8015D">
        <w:rPr>
          <w:rFonts w:asciiTheme="minorHAnsi" w:hAnsiTheme="minorHAnsi" w:cstheme="minorHAnsi"/>
          <w:sz w:val="22"/>
          <w:szCs w:val="22"/>
        </w:rPr>
        <w:tab/>
      </w:r>
    </w:p>
    <w:p w14:paraId="34B7F4C1"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Holsman, K.K. et al. 2020. Ecosystem-based fisheries management forestalls climate-driven collapse. Nature Communications 11: 4579 doi.org/10/1038/s41467-020-18300-3</w:t>
      </w:r>
    </w:p>
    <w:p w14:paraId="1035660F"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Hornborg, S. and A.D.M. Smith 2020. Fisheries for the future: greenhouse gas emission consequences of different fishery reference points. ICES Journal of Marine Science, </w:t>
      </w:r>
      <w:proofErr w:type="spellStart"/>
      <w:r w:rsidRPr="00C8015D">
        <w:rPr>
          <w:rFonts w:asciiTheme="minorHAnsi" w:hAnsiTheme="minorHAnsi" w:cstheme="minorHAnsi"/>
          <w:sz w:val="22"/>
          <w:szCs w:val="22"/>
        </w:rPr>
        <w:t>doi</w:t>
      </w:r>
      <w:proofErr w:type="spellEnd"/>
      <w:r w:rsidRPr="00C8015D">
        <w:rPr>
          <w:rFonts w:asciiTheme="minorHAnsi" w:hAnsiTheme="minorHAnsi" w:cstheme="minorHAnsi"/>
          <w:sz w:val="22"/>
          <w:szCs w:val="22"/>
        </w:rPr>
        <w:t>: 10.1093/</w:t>
      </w:r>
      <w:proofErr w:type="spellStart"/>
      <w:r w:rsidRPr="00C8015D">
        <w:rPr>
          <w:rFonts w:asciiTheme="minorHAnsi" w:hAnsiTheme="minorHAnsi" w:cstheme="minorHAnsi"/>
          <w:sz w:val="22"/>
          <w:szCs w:val="22"/>
        </w:rPr>
        <w:t>icesjms</w:t>
      </w:r>
      <w:proofErr w:type="spellEnd"/>
      <w:r w:rsidRPr="00C8015D">
        <w:rPr>
          <w:rFonts w:asciiTheme="minorHAnsi" w:hAnsiTheme="minorHAnsi" w:cstheme="minorHAnsi"/>
          <w:sz w:val="22"/>
          <w:szCs w:val="22"/>
        </w:rPr>
        <w:t xml:space="preserve">/fsaa077 </w:t>
      </w:r>
      <w:r w:rsidRPr="00C8015D">
        <w:rPr>
          <w:rFonts w:asciiTheme="minorHAnsi" w:hAnsiTheme="minorHAnsi" w:cstheme="minorHAnsi"/>
          <w:sz w:val="22"/>
          <w:szCs w:val="22"/>
        </w:rPr>
        <w:tab/>
      </w:r>
    </w:p>
    <w:p w14:paraId="6B990E09"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Howell, D. et al. 2021. Combining ecosystem and single-species modelling to provide ecosystem-based fisheries management advice within current management systems. Frontiers in Marine Science, 7: 607831. Doi: 10.3389/fmars.2020.607831 </w:t>
      </w:r>
      <w:r w:rsidRPr="00C8015D">
        <w:rPr>
          <w:rFonts w:asciiTheme="minorHAnsi" w:hAnsiTheme="minorHAnsi" w:cstheme="minorHAnsi"/>
          <w:sz w:val="22"/>
          <w:szCs w:val="22"/>
        </w:rPr>
        <w:tab/>
      </w:r>
    </w:p>
    <w:p w14:paraId="69BC5F23"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Link, J.S. et al. 2021. Proposed business rules to incorporate climate-induced changes in fisheries management. ICES Journal of Marine Science, 78: 3562-3580.</w:t>
      </w:r>
      <w:r w:rsidRPr="00C8015D">
        <w:rPr>
          <w:rFonts w:asciiTheme="minorHAnsi" w:hAnsiTheme="minorHAnsi" w:cstheme="minorHAnsi"/>
          <w:sz w:val="22"/>
          <w:szCs w:val="22"/>
        </w:rPr>
        <w:tab/>
      </w:r>
    </w:p>
    <w:p w14:paraId="7A9AA2E5"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Little, L.R. et al. 2023. Developing and testing a multi-species harvest strategy for the SESSF. Report to FRDC Project 2018/040. </w:t>
      </w:r>
    </w:p>
    <w:p w14:paraId="19681B96"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MSC 2022. The MSC Fisheries Standard and Guidance V3.0. </w:t>
      </w:r>
    </w:p>
    <w:p w14:paraId="49F70EA7"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Newman, S.J. et al. 2018. A risk assessment and prioritization approach to the selection of indicator species for the assessment of multi-species, multi-gear, multi-sector fishery resources. Marine Policy, 88: 11-22.</w:t>
      </w:r>
      <w:r w:rsidRPr="00C8015D">
        <w:rPr>
          <w:rFonts w:asciiTheme="minorHAnsi" w:hAnsiTheme="minorHAnsi" w:cstheme="minorHAnsi"/>
          <w:sz w:val="22"/>
          <w:szCs w:val="22"/>
        </w:rPr>
        <w:tab/>
      </w:r>
    </w:p>
    <w:p w14:paraId="25F9E93F" w14:textId="77777777" w:rsidR="00AA2DC9" w:rsidRPr="00C8015D" w:rsidRDefault="00AA2DC9" w:rsidP="00AA2DC9">
      <w:pPr>
        <w:rPr>
          <w:rFonts w:asciiTheme="minorHAnsi" w:hAnsiTheme="minorHAnsi" w:cstheme="minorHAnsi"/>
          <w:sz w:val="22"/>
          <w:szCs w:val="22"/>
        </w:rPr>
      </w:pPr>
      <w:proofErr w:type="spellStart"/>
      <w:r w:rsidRPr="00C8015D">
        <w:rPr>
          <w:rFonts w:asciiTheme="minorHAnsi" w:hAnsiTheme="minorHAnsi" w:cstheme="minorHAnsi"/>
          <w:sz w:val="22"/>
          <w:szCs w:val="22"/>
        </w:rPr>
        <w:t>Ochwada</w:t>
      </w:r>
      <w:proofErr w:type="spellEnd"/>
      <w:r w:rsidRPr="00C8015D">
        <w:rPr>
          <w:rFonts w:asciiTheme="minorHAnsi" w:hAnsiTheme="minorHAnsi" w:cstheme="minorHAnsi"/>
          <w:sz w:val="22"/>
          <w:szCs w:val="22"/>
        </w:rPr>
        <w:t>-Doyle, F. et al. 2023. Quantifying the potential impact of reducing recreational harvest limits on the catch of a key marine species using off-site angler survey data. ICES Journal of Marine Science, 80: 295-307. Doi:10.1093/</w:t>
      </w:r>
      <w:proofErr w:type="spellStart"/>
      <w:r w:rsidRPr="00C8015D">
        <w:rPr>
          <w:rFonts w:asciiTheme="minorHAnsi" w:hAnsiTheme="minorHAnsi" w:cstheme="minorHAnsi"/>
          <w:sz w:val="22"/>
          <w:szCs w:val="22"/>
        </w:rPr>
        <w:t>icesjms</w:t>
      </w:r>
      <w:proofErr w:type="spellEnd"/>
      <w:r w:rsidRPr="00C8015D">
        <w:rPr>
          <w:rFonts w:asciiTheme="minorHAnsi" w:hAnsiTheme="minorHAnsi" w:cstheme="minorHAnsi"/>
          <w:sz w:val="22"/>
          <w:szCs w:val="22"/>
        </w:rPr>
        <w:t xml:space="preserve">/fsac232 </w:t>
      </w:r>
      <w:r w:rsidRPr="00C8015D">
        <w:rPr>
          <w:rFonts w:asciiTheme="minorHAnsi" w:hAnsiTheme="minorHAnsi" w:cstheme="minorHAnsi"/>
          <w:sz w:val="22"/>
          <w:szCs w:val="22"/>
        </w:rPr>
        <w:tab/>
      </w:r>
    </w:p>
    <w:p w14:paraId="7F75E1C9"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Pascoe, S., Hutton, T. and Hoshino, E. 2018. Offsetting externalities in estimating MEY in multispecies fisheries. Ecological Economics, 146: 304-311.</w:t>
      </w:r>
      <w:r w:rsidRPr="00C8015D">
        <w:rPr>
          <w:rFonts w:asciiTheme="minorHAnsi" w:hAnsiTheme="minorHAnsi" w:cstheme="minorHAnsi"/>
          <w:sz w:val="22"/>
          <w:szCs w:val="22"/>
        </w:rPr>
        <w:tab/>
      </w:r>
    </w:p>
    <w:p w14:paraId="6863DC4B"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Pascoe, S. et al. 2019. Developing harvest strategies to achieve ecological, </w:t>
      </w:r>
      <w:proofErr w:type="gramStart"/>
      <w:r w:rsidRPr="00C8015D">
        <w:rPr>
          <w:rFonts w:asciiTheme="minorHAnsi" w:hAnsiTheme="minorHAnsi" w:cstheme="minorHAnsi"/>
          <w:sz w:val="22"/>
          <w:szCs w:val="22"/>
        </w:rPr>
        <w:t>economic</w:t>
      </w:r>
      <w:proofErr w:type="gramEnd"/>
      <w:r w:rsidRPr="00C8015D">
        <w:rPr>
          <w:rFonts w:asciiTheme="minorHAnsi" w:hAnsiTheme="minorHAnsi" w:cstheme="minorHAnsi"/>
          <w:sz w:val="22"/>
          <w:szCs w:val="22"/>
        </w:rPr>
        <w:t xml:space="preserve"> and social sustainability in multi-sector fisheries. Sustainability, 11: 644, doi:10.3390/su1030644 </w:t>
      </w:r>
      <w:r w:rsidRPr="00C8015D">
        <w:rPr>
          <w:rFonts w:asciiTheme="minorHAnsi" w:hAnsiTheme="minorHAnsi" w:cstheme="minorHAnsi"/>
          <w:sz w:val="22"/>
          <w:szCs w:val="22"/>
        </w:rPr>
        <w:tab/>
      </w:r>
    </w:p>
    <w:p w14:paraId="5A072840"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Pascoe, S. et al. 2020. Effectiveness of harvest strategies in achieving multiple management objectives in a multispecies fishery. Australian Journal of Agricultural and Resource Economics, 59: 1-24. </w:t>
      </w:r>
      <w:r w:rsidRPr="00C8015D">
        <w:rPr>
          <w:rFonts w:asciiTheme="minorHAnsi" w:hAnsiTheme="minorHAnsi" w:cstheme="minorHAnsi"/>
          <w:sz w:val="22"/>
          <w:szCs w:val="22"/>
        </w:rPr>
        <w:tab/>
      </w:r>
    </w:p>
    <w:p w14:paraId="5F9FF484"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Pascoe, S., et al. 2023. Estimating economic-based target reference points for key species in multi-species multi-metier fisheries. Can. J. Fish. </w:t>
      </w:r>
      <w:proofErr w:type="spellStart"/>
      <w:r w:rsidRPr="00C8015D">
        <w:rPr>
          <w:rFonts w:asciiTheme="minorHAnsi" w:hAnsiTheme="minorHAnsi" w:cstheme="minorHAnsi"/>
          <w:sz w:val="22"/>
          <w:szCs w:val="22"/>
        </w:rPr>
        <w:t>Aquat</w:t>
      </w:r>
      <w:proofErr w:type="spellEnd"/>
      <w:r w:rsidRPr="00C8015D">
        <w:rPr>
          <w:rFonts w:asciiTheme="minorHAnsi" w:hAnsiTheme="minorHAnsi" w:cstheme="minorHAnsi"/>
          <w:sz w:val="22"/>
          <w:szCs w:val="22"/>
        </w:rPr>
        <w:t xml:space="preserve">. Sci. 80: 732-746. </w:t>
      </w:r>
      <w:r w:rsidRPr="00C8015D">
        <w:rPr>
          <w:rFonts w:asciiTheme="minorHAnsi" w:hAnsiTheme="minorHAnsi" w:cstheme="minorHAnsi"/>
          <w:sz w:val="22"/>
          <w:szCs w:val="22"/>
        </w:rPr>
        <w:tab/>
      </w:r>
    </w:p>
    <w:p w14:paraId="167460EB" w14:textId="77777777" w:rsidR="00AA2DC9" w:rsidRPr="00C8015D" w:rsidRDefault="00AA2DC9" w:rsidP="00AA2DC9">
      <w:pPr>
        <w:rPr>
          <w:rFonts w:asciiTheme="minorHAnsi" w:hAnsiTheme="minorHAnsi" w:cstheme="minorHAnsi"/>
          <w:color w:val="222222"/>
          <w:sz w:val="22"/>
          <w:szCs w:val="22"/>
          <w:shd w:val="clear" w:color="auto" w:fill="FFFFFF"/>
        </w:rPr>
      </w:pPr>
      <w:r w:rsidRPr="00C8015D">
        <w:rPr>
          <w:rFonts w:asciiTheme="minorHAnsi" w:hAnsiTheme="minorHAnsi" w:cstheme="minorHAnsi"/>
          <w:color w:val="222222"/>
          <w:sz w:val="22"/>
          <w:szCs w:val="22"/>
          <w:shd w:val="clear" w:color="auto" w:fill="FFFFFF"/>
        </w:rPr>
        <w:t xml:space="preserve">Penney AJ, Bessell-Browne P, Tuck GN, Blamey-Crous L, Klaer N, </w:t>
      </w:r>
      <w:proofErr w:type="spellStart"/>
      <w:r w:rsidRPr="00C8015D">
        <w:rPr>
          <w:rFonts w:asciiTheme="minorHAnsi" w:hAnsiTheme="minorHAnsi" w:cstheme="minorHAnsi"/>
          <w:color w:val="222222"/>
          <w:sz w:val="22"/>
          <w:szCs w:val="22"/>
          <w:shd w:val="clear" w:color="auto" w:fill="FFFFFF"/>
        </w:rPr>
        <w:t>Plagányi</w:t>
      </w:r>
      <w:proofErr w:type="spellEnd"/>
      <w:r w:rsidRPr="00C8015D">
        <w:rPr>
          <w:rFonts w:asciiTheme="minorHAnsi" w:hAnsiTheme="minorHAnsi" w:cstheme="minorHAnsi"/>
          <w:color w:val="222222"/>
          <w:sz w:val="22"/>
          <w:szCs w:val="22"/>
          <w:shd w:val="clear" w:color="auto" w:fill="FFFFFF"/>
        </w:rPr>
        <w:t xml:space="preserve"> E, Burch P, Little LR, Curin-Osorio S, Punt AE (in prep). Implementation of dynamic reference points and harvest strategies to account for environmentally driven changes in productivity in Australian fisheries. FRDC Project 2019-036. </w:t>
      </w:r>
    </w:p>
    <w:p w14:paraId="09B6DF9B" w14:textId="77777777" w:rsidR="00AA2DC9" w:rsidRPr="00C8015D" w:rsidRDefault="00AA2DC9" w:rsidP="00AA2DC9">
      <w:pPr>
        <w:rPr>
          <w:rFonts w:asciiTheme="minorHAnsi" w:hAnsiTheme="minorHAnsi" w:cstheme="minorHAnsi"/>
          <w:color w:val="222222"/>
          <w:sz w:val="22"/>
          <w:szCs w:val="22"/>
          <w:shd w:val="clear" w:color="auto" w:fill="FFFFFF"/>
        </w:rPr>
      </w:pPr>
      <w:proofErr w:type="spellStart"/>
      <w:r w:rsidRPr="00C8015D">
        <w:rPr>
          <w:rFonts w:asciiTheme="minorHAnsi" w:hAnsiTheme="minorHAnsi" w:cstheme="minorHAnsi"/>
          <w:color w:val="222222"/>
          <w:sz w:val="22"/>
          <w:szCs w:val="22"/>
          <w:shd w:val="clear" w:color="auto" w:fill="FFFFFF"/>
        </w:rPr>
        <w:lastRenderedPageBreak/>
        <w:t>Pincin</w:t>
      </w:r>
      <w:proofErr w:type="spellEnd"/>
      <w:r w:rsidRPr="00C8015D">
        <w:rPr>
          <w:rFonts w:asciiTheme="minorHAnsi" w:hAnsiTheme="minorHAnsi" w:cstheme="minorHAnsi"/>
          <w:color w:val="222222"/>
          <w:sz w:val="22"/>
          <w:szCs w:val="22"/>
          <w:shd w:val="clear" w:color="auto" w:fill="FFFFFF"/>
        </w:rPr>
        <w:t>, J. S. and Wilberg, M. J. 2012. Surplus production model accuracy in populations affected by a No‐Take marine protected area. Marine and Coastal Fisheries, 4(1): 511-525.</w:t>
      </w:r>
    </w:p>
    <w:p w14:paraId="47ACF4AE" w14:textId="77777777" w:rsidR="00AA2DC9" w:rsidRPr="00C8015D" w:rsidRDefault="00AA2DC9" w:rsidP="00AA2DC9">
      <w:pPr>
        <w:rPr>
          <w:rFonts w:asciiTheme="minorHAnsi" w:hAnsiTheme="minorHAnsi" w:cstheme="minorHAnsi"/>
          <w:sz w:val="22"/>
          <w:szCs w:val="22"/>
        </w:rPr>
      </w:pPr>
      <w:proofErr w:type="spellStart"/>
      <w:r w:rsidRPr="00C8015D">
        <w:rPr>
          <w:rFonts w:asciiTheme="minorHAnsi" w:hAnsiTheme="minorHAnsi" w:cstheme="minorHAnsi"/>
          <w:sz w:val="22"/>
          <w:szCs w:val="22"/>
        </w:rPr>
        <w:t>Plaganyi</w:t>
      </w:r>
      <w:proofErr w:type="spellEnd"/>
      <w:r w:rsidRPr="00C8015D">
        <w:rPr>
          <w:rFonts w:asciiTheme="minorHAnsi" w:hAnsiTheme="minorHAnsi" w:cstheme="minorHAnsi"/>
          <w:sz w:val="22"/>
          <w:szCs w:val="22"/>
        </w:rPr>
        <w:t xml:space="preserve">, E.E. et al. 2014. Multispecies fisheries management and conservation: tactical applications using models of intermediate complexity. Fish and Fisheries, 15: 1-22. </w:t>
      </w:r>
      <w:r w:rsidRPr="00C8015D">
        <w:rPr>
          <w:rFonts w:asciiTheme="minorHAnsi" w:hAnsiTheme="minorHAnsi" w:cstheme="minorHAnsi"/>
          <w:sz w:val="22"/>
          <w:szCs w:val="22"/>
        </w:rPr>
        <w:tab/>
      </w:r>
    </w:p>
    <w:p w14:paraId="513399F7"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Privitera-Johnson, K.M. and A.E. Punt 2020. Leveraging scientific uncertainty in fisheries management for estimating among-assessment variation in overfishing limits. ICES Journal of Marine Science, 77(2): 515-526.</w:t>
      </w:r>
    </w:p>
    <w:p w14:paraId="43A68201"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Rindorf, A. et al. 2017. Food for thought: pretty good multispecies yield. ICES Journal of Marine Science, 74(2): 475-486.</w:t>
      </w:r>
      <w:r w:rsidRPr="00C8015D">
        <w:rPr>
          <w:rFonts w:asciiTheme="minorHAnsi" w:hAnsiTheme="minorHAnsi" w:cstheme="minorHAnsi"/>
          <w:sz w:val="22"/>
          <w:szCs w:val="22"/>
        </w:rPr>
        <w:tab/>
      </w:r>
      <w:r w:rsidRPr="00C8015D">
        <w:rPr>
          <w:rFonts w:asciiTheme="minorHAnsi" w:hAnsiTheme="minorHAnsi" w:cstheme="minorHAnsi"/>
          <w:sz w:val="22"/>
          <w:szCs w:val="22"/>
        </w:rPr>
        <w:tab/>
      </w:r>
    </w:p>
    <w:p w14:paraId="65D64211"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Sainsbury, K. and Fulton, B. 2023. The indicator species (IS) harvest strategy for multispecies fisheries. Report to FRDC Project 2018/040 </w:t>
      </w:r>
    </w:p>
    <w:p w14:paraId="67B180FB"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Smith, D.C. and Smart, J. 2022. Harvest strategies and reference points: a review of current practices. Report to PIRSA.</w:t>
      </w:r>
    </w:p>
    <w:p w14:paraId="1FAE1239" w14:textId="77777777" w:rsidR="00AA2DC9" w:rsidRPr="00C8015D" w:rsidRDefault="00AA2DC9" w:rsidP="00AA2DC9">
      <w:pPr>
        <w:rPr>
          <w:rFonts w:asciiTheme="minorHAnsi" w:hAnsiTheme="minorHAnsi" w:cstheme="minorHAnsi"/>
          <w:sz w:val="22"/>
          <w:szCs w:val="22"/>
        </w:rPr>
      </w:pPr>
      <w:proofErr w:type="spellStart"/>
      <w:r w:rsidRPr="00C8015D">
        <w:rPr>
          <w:rFonts w:asciiTheme="minorHAnsi" w:hAnsiTheme="minorHAnsi" w:cstheme="minorHAnsi"/>
          <w:sz w:val="22"/>
          <w:szCs w:val="22"/>
        </w:rPr>
        <w:t>Szuwalski</w:t>
      </w:r>
      <w:proofErr w:type="spellEnd"/>
      <w:r w:rsidRPr="00C8015D">
        <w:rPr>
          <w:rFonts w:asciiTheme="minorHAnsi" w:hAnsiTheme="minorHAnsi" w:cstheme="minorHAnsi"/>
          <w:sz w:val="22"/>
          <w:szCs w:val="22"/>
        </w:rPr>
        <w:t xml:space="preserve">, C.S. et al. 2023. Unintended consequences of climate-adaptive fisheries management targets. Fish and Fisheries, </w:t>
      </w:r>
      <w:proofErr w:type="spellStart"/>
      <w:r w:rsidRPr="00C8015D">
        <w:rPr>
          <w:rFonts w:asciiTheme="minorHAnsi" w:hAnsiTheme="minorHAnsi" w:cstheme="minorHAnsi"/>
          <w:sz w:val="22"/>
          <w:szCs w:val="22"/>
        </w:rPr>
        <w:t>doi</w:t>
      </w:r>
      <w:proofErr w:type="spellEnd"/>
      <w:r w:rsidRPr="00C8015D">
        <w:rPr>
          <w:rFonts w:asciiTheme="minorHAnsi" w:hAnsiTheme="minorHAnsi" w:cstheme="minorHAnsi"/>
          <w:sz w:val="22"/>
          <w:szCs w:val="22"/>
        </w:rPr>
        <w:t xml:space="preserve">: 10.1111/faf.12737 </w:t>
      </w:r>
      <w:r w:rsidRPr="00C8015D">
        <w:rPr>
          <w:rFonts w:asciiTheme="minorHAnsi" w:hAnsiTheme="minorHAnsi" w:cstheme="minorHAnsi"/>
          <w:sz w:val="22"/>
          <w:szCs w:val="22"/>
        </w:rPr>
        <w:tab/>
      </w:r>
    </w:p>
    <w:p w14:paraId="73FDE3E7"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Thompson, L.M. et al. 2021. Responding to ecosystem transformation: resist, accept or direct? Fisheries, 46: 8-21.</w:t>
      </w:r>
      <w:r w:rsidRPr="00C8015D">
        <w:rPr>
          <w:rFonts w:asciiTheme="minorHAnsi" w:hAnsiTheme="minorHAnsi" w:cstheme="minorHAnsi"/>
          <w:sz w:val="22"/>
          <w:szCs w:val="22"/>
        </w:rPr>
        <w:tab/>
      </w:r>
      <w:r w:rsidRPr="00C8015D">
        <w:rPr>
          <w:rFonts w:asciiTheme="minorHAnsi" w:hAnsiTheme="minorHAnsi" w:cstheme="minorHAnsi"/>
          <w:sz w:val="22"/>
          <w:szCs w:val="22"/>
        </w:rPr>
        <w:tab/>
      </w:r>
    </w:p>
    <w:p w14:paraId="6E1D14E5"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Thomson et al. 2020. Close kin mark recapture for school shark in the SESSF. FRDC 2014/024 Final Report.</w:t>
      </w:r>
    </w:p>
    <w:p w14:paraId="6CB77852"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Travers-</w:t>
      </w:r>
      <w:proofErr w:type="spellStart"/>
      <w:r w:rsidRPr="00C8015D">
        <w:rPr>
          <w:rFonts w:asciiTheme="minorHAnsi" w:hAnsiTheme="minorHAnsi" w:cstheme="minorHAnsi"/>
          <w:sz w:val="22"/>
          <w:szCs w:val="22"/>
        </w:rPr>
        <w:t>Trolet</w:t>
      </w:r>
      <w:proofErr w:type="spellEnd"/>
      <w:r w:rsidRPr="00C8015D">
        <w:rPr>
          <w:rFonts w:asciiTheme="minorHAnsi" w:hAnsiTheme="minorHAnsi" w:cstheme="minorHAnsi"/>
          <w:sz w:val="22"/>
          <w:szCs w:val="22"/>
        </w:rPr>
        <w:t>, M. et al. 2020. The risky decrease of fishing reference points under climate change. Frontiers in Marine Science, 7: 568232.</w:t>
      </w:r>
      <w:r w:rsidRPr="00C8015D">
        <w:rPr>
          <w:rFonts w:asciiTheme="minorHAnsi" w:hAnsiTheme="minorHAnsi" w:cstheme="minorHAnsi"/>
          <w:sz w:val="22"/>
          <w:szCs w:val="22"/>
        </w:rPr>
        <w:tab/>
      </w:r>
      <w:r w:rsidRPr="00C8015D">
        <w:rPr>
          <w:rFonts w:asciiTheme="minorHAnsi" w:hAnsiTheme="minorHAnsi" w:cstheme="minorHAnsi"/>
          <w:sz w:val="22"/>
          <w:szCs w:val="22"/>
        </w:rPr>
        <w:tab/>
      </w:r>
    </w:p>
    <w:p w14:paraId="558FC79E" w14:textId="77777777" w:rsidR="00AA2DC9" w:rsidRPr="00C8015D" w:rsidRDefault="00AA2DC9" w:rsidP="00AA2DC9">
      <w:pPr>
        <w:widowControl w:val="0"/>
        <w:tabs>
          <w:tab w:val="left" w:pos="135"/>
        </w:tabs>
        <w:autoSpaceDE w:val="0"/>
        <w:autoSpaceDN w:val="0"/>
        <w:adjustRightInd w:val="0"/>
        <w:rPr>
          <w:rFonts w:asciiTheme="minorHAnsi" w:hAnsiTheme="minorHAnsi" w:cstheme="minorHAnsi"/>
          <w:sz w:val="22"/>
          <w:szCs w:val="22"/>
        </w:rPr>
      </w:pPr>
      <w:proofErr w:type="spellStart"/>
      <w:r w:rsidRPr="00C8015D">
        <w:rPr>
          <w:rFonts w:asciiTheme="minorHAnsi" w:hAnsiTheme="minorHAnsi" w:cstheme="minorHAnsi"/>
          <w:sz w:val="22"/>
          <w:szCs w:val="22"/>
        </w:rPr>
        <w:t>Trenkel</w:t>
      </w:r>
      <w:proofErr w:type="spellEnd"/>
      <w:r w:rsidRPr="00C8015D">
        <w:rPr>
          <w:rFonts w:asciiTheme="minorHAnsi" w:hAnsiTheme="minorHAnsi" w:cstheme="minorHAnsi"/>
          <w:sz w:val="22"/>
          <w:szCs w:val="22"/>
        </w:rPr>
        <w:t xml:space="preserve"> V.M. et al. 2022. Close-kin mark–recapture abundance estimation: practical insights and lessons learned, ICES Journal of Marine</w:t>
      </w:r>
      <w:r w:rsidRPr="00C8015D">
        <w:rPr>
          <w:rFonts w:asciiTheme="minorHAnsi" w:hAnsiTheme="minorHAnsi" w:cstheme="minorHAnsi"/>
          <w:i/>
          <w:iCs/>
          <w:sz w:val="22"/>
          <w:szCs w:val="22"/>
        </w:rPr>
        <w:t xml:space="preserve"> </w:t>
      </w:r>
      <w:r w:rsidRPr="00C8015D">
        <w:rPr>
          <w:rFonts w:asciiTheme="minorHAnsi" w:hAnsiTheme="minorHAnsi" w:cstheme="minorHAnsi"/>
          <w:sz w:val="22"/>
          <w:szCs w:val="22"/>
        </w:rPr>
        <w:t>Science, fsac002, </w:t>
      </w:r>
      <w:hyperlink r:id="rId19" w:history="1">
        <w:r w:rsidRPr="00C8015D">
          <w:rPr>
            <w:rStyle w:val="Hyperlink"/>
            <w:rFonts w:asciiTheme="minorHAnsi" w:hAnsiTheme="minorHAnsi" w:cstheme="minorHAnsi"/>
            <w:sz w:val="22"/>
            <w:szCs w:val="22"/>
          </w:rPr>
          <w:t>https://doi.org/10.1093/icesjms/fsac002</w:t>
        </w:r>
      </w:hyperlink>
      <w:r w:rsidRPr="00C8015D">
        <w:rPr>
          <w:rFonts w:asciiTheme="minorHAnsi" w:hAnsiTheme="minorHAnsi" w:cstheme="minorHAnsi"/>
          <w:sz w:val="22"/>
          <w:szCs w:val="22"/>
        </w:rPr>
        <w:t xml:space="preserve"> </w:t>
      </w:r>
    </w:p>
    <w:p w14:paraId="07E9CC8C" w14:textId="77777777" w:rsidR="00AA2DC9" w:rsidRPr="00C8015D" w:rsidRDefault="00AA2DC9" w:rsidP="00AA2DC9">
      <w:pPr>
        <w:widowControl w:val="0"/>
        <w:tabs>
          <w:tab w:val="left" w:pos="135"/>
        </w:tabs>
        <w:autoSpaceDE w:val="0"/>
        <w:autoSpaceDN w:val="0"/>
        <w:adjustRightInd w:val="0"/>
        <w:rPr>
          <w:rFonts w:asciiTheme="minorHAnsi" w:hAnsiTheme="minorHAnsi" w:cstheme="minorHAnsi"/>
          <w:sz w:val="22"/>
          <w:szCs w:val="22"/>
        </w:rPr>
      </w:pPr>
      <w:r w:rsidRPr="00C8015D">
        <w:rPr>
          <w:rFonts w:asciiTheme="minorHAnsi" w:hAnsiTheme="minorHAnsi" w:cstheme="minorHAnsi"/>
          <w:sz w:val="22"/>
          <w:szCs w:val="22"/>
          <w:shd w:val="clear" w:color="auto" w:fill="FFFFFF"/>
        </w:rPr>
        <w:t>Wilson, J. R., Prince, J. D., &amp; Lenihan, H. S. (2010). A management strategy for sedentary nearshore species that uses marine protected areas as a reference.</w:t>
      </w:r>
      <w:r w:rsidRPr="00C8015D">
        <w:rPr>
          <w:rFonts w:asciiTheme="minorHAnsi" w:hAnsiTheme="minorHAnsi" w:cstheme="minorHAnsi"/>
          <w:i/>
          <w:iCs/>
          <w:sz w:val="22"/>
          <w:szCs w:val="22"/>
          <w:shd w:val="clear" w:color="auto" w:fill="FFFFFF"/>
        </w:rPr>
        <w:t> </w:t>
      </w:r>
      <w:r w:rsidRPr="00C8015D">
        <w:rPr>
          <w:rFonts w:asciiTheme="minorHAnsi" w:hAnsiTheme="minorHAnsi" w:cstheme="minorHAnsi"/>
          <w:sz w:val="22"/>
          <w:szCs w:val="22"/>
          <w:shd w:val="clear" w:color="auto" w:fill="FFFFFF"/>
        </w:rPr>
        <w:t>Marine and Coastal Fisheries,</w:t>
      </w:r>
      <w:r w:rsidRPr="00C8015D">
        <w:rPr>
          <w:rFonts w:asciiTheme="minorHAnsi" w:hAnsiTheme="minorHAnsi" w:cstheme="minorHAnsi"/>
          <w:i/>
          <w:iCs/>
          <w:sz w:val="22"/>
          <w:szCs w:val="22"/>
          <w:shd w:val="clear" w:color="auto" w:fill="FFFFFF"/>
        </w:rPr>
        <w:t> 2</w:t>
      </w:r>
      <w:r w:rsidRPr="00C8015D">
        <w:rPr>
          <w:rFonts w:asciiTheme="minorHAnsi" w:hAnsiTheme="minorHAnsi" w:cstheme="minorHAnsi"/>
          <w:sz w:val="22"/>
          <w:szCs w:val="22"/>
          <w:shd w:val="clear" w:color="auto" w:fill="FFFFFF"/>
        </w:rPr>
        <w:t>(1): 14-27.</w:t>
      </w:r>
    </w:p>
    <w:p w14:paraId="2F58C9A9"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Zhou, S. et al. 2019. Balanced harvest: concepts, policies, evidence, and management implications. Reviews in Fish Biology and Fisheries, 29: 711-733.</w:t>
      </w:r>
      <w:r w:rsidRPr="00C8015D">
        <w:rPr>
          <w:rFonts w:asciiTheme="minorHAnsi" w:hAnsiTheme="minorHAnsi" w:cstheme="minorHAnsi"/>
          <w:sz w:val="22"/>
          <w:szCs w:val="22"/>
        </w:rPr>
        <w:tab/>
      </w:r>
    </w:p>
    <w:p w14:paraId="7C3D3813" w14:textId="77777777" w:rsidR="00AA2DC9" w:rsidRDefault="00AA2DC9" w:rsidP="00AA2DC9">
      <w:pPr>
        <w:rPr>
          <w:rFonts w:asciiTheme="majorHAnsi" w:eastAsiaTheme="majorEastAsia" w:hAnsiTheme="majorHAnsi" w:cstheme="minorHAnsi"/>
          <w:color w:val="2E74B5" w:themeColor="accent1" w:themeShade="BF"/>
          <w:sz w:val="32"/>
          <w:szCs w:val="32"/>
        </w:rPr>
      </w:pPr>
      <w:r>
        <w:rPr>
          <w:rFonts w:cstheme="minorHAnsi"/>
        </w:rPr>
        <w:br w:type="page"/>
      </w:r>
    </w:p>
    <w:p w14:paraId="539D2F61" w14:textId="77777777" w:rsidR="00AA2DC9" w:rsidRDefault="00AA2DC9" w:rsidP="00AA2DC9">
      <w:pPr>
        <w:pStyle w:val="Heading1"/>
      </w:pPr>
      <w:bookmarkStart w:id="15" w:name="_Toc157595684"/>
      <w:r>
        <w:lastRenderedPageBreak/>
        <w:t>Appendix 3</w:t>
      </w:r>
      <w:r>
        <w:tab/>
        <w:t>Additional topics</w:t>
      </w:r>
      <w:bookmarkEnd w:id="15"/>
    </w:p>
    <w:p w14:paraId="502F8D74" w14:textId="77777777" w:rsidR="00AA2DC9" w:rsidRDefault="00AA2DC9" w:rsidP="00AA2DC9"/>
    <w:p w14:paraId="4B528696" w14:textId="77777777" w:rsidR="00AA2DC9" w:rsidRPr="00C8015D" w:rsidRDefault="00AA2DC9" w:rsidP="00AA2DC9">
      <w:pPr>
        <w:rPr>
          <w:rFonts w:asciiTheme="minorHAnsi" w:hAnsiTheme="minorHAnsi" w:cstheme="minorHAnsi"/>
          <w:sz w:val="22"/>
          <w:szCs w:val="22"/>
        </w:rPr>
      </w:pPr>
      <w:r w:rsidRPr="00C8015D">
        <w:rPr>
          <w:rFonts w:asciiTheme="minorHAnsi" w:hAnsiTheme="minorHAnsi" w:cstheme="minorHAnsi"/>
          <w:sz w:val="22"/>
          <w:szCs w:val="22"/>
        </w:rPr>
        <w:t xml:space="preserve">Several more specific points were noted </w:t>
      </w:r>
      <w:proofErr w:type="gramStart"/>
      <w:r w:rsidRPr="00C8015D">
        <w:rPr>
          <w:rFonts w:asciiTheme="minorHAnsi" w:hAnsiTheme="minorHAnsi" w:cstheme="minorHAnsi"/>
          <w:sz w:val="22"/>
          <w:szCs w:val="22"/>
        </w:rPr>
        <w:t>in the course of</w:t>
      </w:r>
      <w:proofErr w:type="gramEnd"/>
      <w:r w:rsidRPr="00C8015D">
        <w:rPr>
          <w:rFonts w:asciiTheme="minorHAnsi" w:hAnsiTheme="minorHAnsi" w:cstheme="minorHAnsi"/>
          <w:sz w:val="22"/>
          <w:szCs w:val="22"/>
        </w:rPr>
        <w:t xml:space="preserve"> this review, particularly concerning the current guidelines:</w:t>
      </w:r>
    </w:p>
    <w:p w14:paraId="38021477" w14:textId="77777777" w:rsidR="00AA2DC9" w:rsidRPr="00C8015D" w:rsidRDefault="00AA2DC9" w:rsidP="00AA2DC9">
      <w:pPr>
        <w:ind w:left="360"/>
        <w:rPr>
          <w:rFonts w:asciiTheme="minorHAnsi" w:hAnsiTheme="minorHAnsi" w:cstheme="minorHAnsi"/>
          <w:sz w:val="22"/>
          <w:szCs w:val="22"/>
        </w:rPr>
      </w:pPr>
      <w:r w:rsidRPr="00C8015D">
        <w:rPr>
          <w:rFonts w:asciiTheme="minorHAnsi" w:hAnsiTheme="minorHAnsi" w:cstheme="minorHAnsi"/>
          <w:sz w:val="22"/>
          <w:szCs w:val="22"/>
        </w:rPr>
        <w:t>Exceptional circumstances</w:t>
      </w:r>
    </w:p>
    <w:p w14:paraId="42D7E941" w14:textId="77777777" w:rsidR="00AA2DC9" w:rsidRPr="00C8015D" w:rsidRDefault="00AA2DC9" w:rsidP="00AA2DC9">
      <w:pPr>
        <w:pStyle w:val="ListParagraph"/>
        <w:numPr>
          <w:ilvl w:val="0"/>
          <w:numId w:val="17"/>
        </w:numPr>
        <w:rPr>
          <w:rFonts w:cstheme="minorHAnsi"/>
        </w:rPr>
      </w:pPr>
      <w:r w:rsidRPr="00C8015D">
        <w:rPr>
          <w:rFonts w:cstheme="minorHAnsi"/>
        </w:rPr>
        <w:t>Disruptions to markets and supply chains due to Covid and international trade disputes have required consideration of exceptional circumstances for several harvest strategies over the past five years. Guidance on the appropriate use of exceptional circumstances is required.</w:t>
      </w:r>
    </w:p>
    <w:p w14:paraId="701C3C26" w14:textId="77777777" w:rsidR="00AA2DC9" w:rsidRPr="00C8015D" w:rsidRDefault="00AA2DC9" w:rsidP="00AA2DC9">
      <w:pPr>
        <w:ind w:left="360"/>
        <w:rPr>
          <w:rFonts w:asciiTheme="minorHAnsi" w:hAnsiTheme="minorHAnsi" w:cstheme="minorHAnsi"/>
          <w:sz w:val="22"/>
          <w:szCs w:val="22"/>
        </w:rPr>
      </w:pPr>
      <w:r w:rsidRPr="00C8015D">
        <w:rPr>
          <w:rFonts w:asciiTheme="minorHAnsi" w:hAnsiTheme="minorHAnsi" w:cstheme="minorHAnsi"/>
          <w:sz w:val="22"/>
          <w:szCs w:val="22"/>
        </w:rPr>
        <w:t>Buffers and risk mitigation</w:t>
      </w:r>
    </w:p>
    <w:p w14:paraId="063C8055" w14:textId="77777777" w:rsidR="00AA2DC9" w:rsidRPr="00C8015D" w:rsidRDefault="00AA2DC9" w:rsidP="00AA2DC9">
      <w:pPr>
        <w:pStyle w:val="ListParagraph"/>
        <w:numPr>
          <w:ilvl w:val="0"/>
          <w:numId w:val="17"/>
        </w:numPr>
        <w:rPr>
          <w:rFonts w:cstheme="minorHAnsi"/>
        </w:rPr>
      </w:pPr>
      <w:r w:rsidRPr="00C8015D">
        <w:rPr>
          <w:rFonts w:cstheme="minorHAnsi"/>
        </w:rPr>
        <w:t>The use of buffers for risk mitigation is mentioned in several parts of the guidance but care needs to be taken about multiple use of buffers. Buffers can be used in different ways, including by setting more precautionary reference points, by discounting RBCs depending on levels of uncertainty in stock status, or by increasing buffers as the time since the last stock assessment increases (time buffers). Further clarification on the appropriate use of buffers for risk mitigation would be a useful addition to the guidelines.</w:t>
      </w:r>
    </w:p>
    <w:p w14:paraId="5A14008A" w14:textId="77777777" w:rsidR="00AA2DC9" w:rsidRPr="00C8015D" w:rsidRDefault="00AA2DC9" w:rsidP="00AA2DC9">
      <w:pPr>
        <w:ind w:left="360"/>
        <w:rPr>
          <w:rFonts w:asciiTheme="minorHAnsi" w:hAnsiTheme="minorHAnsi" w:cstheme="minorHAnsi"/>
          <w:sz w:val="22"/>
          <w:szCs w:val="22"/>
        </w:rPr>
      </w:pPr>
      <w:r w:rsidRPr="00C8015D">
        <w:rPr>
          <w:rFonts w:asciiTheme="minorHAnsi" w:hAnsiTheme="minorHAnsi" w:cstheme="minorHAnsi"/>
          <w:sz w:val="22"/>
          <w:szCs w:val="22"/>
        </w:rPr>
        <w:t>Calculating B</w:t>
      </w:r>
      <w:r w:rsidRPr="00C8015D">
        <w:rPr>
          <w:rFonts w:asciiTheme="minorHAnsi" w:hAnsiTheme="minorHAnsi" w:cstheme="minorHAnsi"/>
          <w:sz w:val="22"/>
          <w:szCs w:val="22"/>
          <w:vertAlign w:val="subscript"/>
        </w:rPr>
        <w:t>MSY</w:t>
      </w:r>
      <w:r w:rsidRPr="00C8015D">
        <w:rPr>
          <w:rFonts w:asciiTheme="minorHAnsi" w:hAnsiTheme="minorHAnsi" w:cstheme="minorHAnsi"/>
          <w:sz w:val="22"/>
          <w:szCs w:val="22"/>
        </w:rPr>
        <w:t xml:space="preserve"> (request from DAFF) </w:t>
      </w:r>
    </w:p>
    <w:p w14:paraId="4C6588CC" w14:textId="77777777" w:rsidR="00AA2DC9" w:rsidRPr="00C8015D" w:rsidRDefault="00AA2DC9" w:rsidP="00AA2DC9">
      <w:pPr>
        <w:pStyle w:val="ListParagraph"/>
        <w:numPr>
          <w:ilvl w:val="0"/>
          <w:numId w:val="17"/>
        </w:numPr>
        <w:rPr>
          <w:rFonts w:cstheme="minorHAnsi"/>
        </w:rPr>
      </w:pPr>
      <w:r w:rsidRPr="00C8015D">
        <w:rPr>
          <w:rFonts w:cstheme="minorHAnsi"/>
        </w:rPr>
        <w:t>The proxy for B</w:t>
      </w:r>
      <w:r w:rsidRPr="00C8015D">
        <w:rPr>
          <w:rFonts w:cstheme="minorHAnsi"/>
          <w:vertAlign w:val="subscript"/>
        </w:rPr>
        <w:t>MSY</w:t>
      </w:r>
      <w:r w:rsidRPr="00C8015D">
        <w:rPr>
          <w:rFonts w:cstheme="minorHAnsi"/>
        </w:rPr>
        <w:t xml:space="preserve"> is 40% of unfished biomass, to be used where “B</w:t>
      </w:r>
      <w:r w:rsidRPr="00C8015D">
        <w:rPr>
          <w:rFonts w:cstheme="minorHAnsi"/>
          <w:vertAlign w:val="subscript"/>
        </w:rPr>
        <w:t>MSY</w:t>
      </w:r>
      <w:r w:rsidRPr="00C8015D">
        <w:rPr>
          <w:rFonts w:cstheme="minorHAnsi"/>
        </w:rPr>
        <w:t xml:space="preserve"> is unknown or poorly estimated”. In practice, the default value is used in most instances and the department has asked for guidance on the circumstances under which B</w:t>
      </w:r>
      <w:r w:rsidRPr="00C8015D">
        <w:rPr>
          <w:rFonts w:cstheme="minorHAnsi"/>
          <w:vertAlign w:val="subscript"/>
        </w:rPr>
        <w:t>MSY</w:t>
      </w:r>
      <w:r w:rsidRPr="00C8015D">
        <w:rPr>
          <w:rFonts w:cstheme="minorHAnsi"/>
        </w:rPr>
        <w:t xml:space="preserve"> should be estimated directly. B</w:t>
      </w:r>
      <w:r w:rsidRPr="00C8015D">
        <w:rPr>
          <w:rFonts w:cstheme="minorHAnsi"/>
          <w:vertAlign w:val="subscript"/>
        </w:rPr>
        <w:t>MSY</w:t>
      </w:r>
      <w:r w:rsidRPr="00C8015D">
        <w:rPr>
          <w:rFonts w:cstheme="minorHAnsi"/>
        </w:rPr>
        <w:t xml:space="preserve"> is only well estimated where information is available on the “steepness” parameter in the stock recruitment relationship used in the stock assessment. High levels of steepness, approaching 1, correspond to lower levels of B</w:t>
      </w:r>
      <w:r w:rsidRPr="00C8015D">
        <w:rPr>
          <w:rFonts w:cstheme="minorHAnsi"/>
          <w:vertAlign w:val="subscript"/>
        </w:rPr>
        <w:t>MSY</w:t>
      </w:r>
      <w:r w:rsidRPr="00C8015D">
        <w:rPr>
          <w:rFonts w:cstheme="minorHAnsi"/>
        </w:rPr>
        <w:t>, with levels as low as B</w:t>
      </w:r>
      <w:r w:rsidRPr="00C8015D">
        <w:rPr>
          <w:rFonts w:cstheme="minorHAnsi"/>
          <w:vertAlign w:val="subscript"/>
        </w:rPr>
        <w:t>20</w:t>
      </w:r>
      <w:r w:rsidRPr="00C8015D">
        <w:rPr>
          <w:rFonts w:cstheme="minorHAnsi"/>
        </w:rPr>
        <w:t xml:space="preserve"> (the default limit reference level) possible for very high levels of steepness. Steepness itself is only well estimated if the stock has been severely overfished in the past, and when reliable data from such periods of overfishing has been available. Such circumstances are rare. In practice, it is best to use the default value for B</w:t>
      </w:r>
      <w:r w:rsidRPr="00C8015D">
        <w:rPr>
          <w:rFonts w:cstheme="minorHAnsi"/>
          <w:vertAlign w:val="subscript"/>
        </w:rPr>
        <w:t>MSY</w:t>
      </w:r>
      <w:r w:rsidRPr="00C8015D">
        <w:rPr>
          <w:rFonts w:cstheme="minorHAnsi"/>
        </w:rPr>
        <w:t xml:space="preserve"> in almost all instances, and values of B</w:t>
      </w:r>
      <w:r w:rsidRPr="00C8015D">
        <w:rPr>
          <w:rFonts w:cstheme="minorHAnsi"/>
          <w:vertAlign w:val="subscript"/>
        </w:rPr>
        <w:t>MSY</w:t>
      </w:r>
      <w:r w:rsidRPr="00C8015D">
        <w:rPr>
          <w:rFonts w:cstheme="minorHAnsi"/>
        </w:rPr>
        <w:t xml:space="preserve"> below B</w:t>
      </w:r>
      <w:r w:rsidRPr="00C8015D">
        <w:rPr>
          <w:rFonts w:cstheme="minorHAnsi"/>
          <w:vertAlign w:val="subscript"/>
        </w:rPr>
        <w:t>30</w:t>
      </w:r>
      <w:r w:rsidRPr="00C8015D">
        <w:rPr>
          <w:rFonts w:cstheme="minorHAnsi"/>
        </w:rPr>
        <w:t xml:space="preserve"> should not be used.</w:t>
      </w:r>
    </w:p>
    <w:p w14:paraId="6E3DCBB4" w14:textId="77777777" w:rsidR="00AA2DC9" w:rsidRPr="00C8015D" w:rsidRDefault="00AA2DC9" w:rsidP="00AA2DC9">
      <w:pPr>
        <w:ind w:left="360"/>
        <w:rPr>
          <w:rFonts w:asciiTheme="minorHAnsi" w:hAnsiTheme="minorHAnsi" w:cstheme="minorHAnsi"/>
          <w:sz w:val="22"/>
          <w:szCs w:val="22"/>
        </w:rPr>
      </w:pPr>
      <w:r w:rsidRPr="00C8015D">
        <w:rPr>
          <w:rFonts w:asciiTheme="minorHAnsi" w:hAnsiTheme="minorHAnsi" w:cstheme="minorHAnsi"/>
          <w:sz w:val="22"/>
          <w:szCs w:val="22"/>
        </w:rPr>
        <w:t>Tier level for catch only stock assessment methods</w:t>
      </w:r>
    </w:p>
    <w:p w14:paraId="53BCB12D" w14:textId="77777777" w:rsidR="00AA2DC9" w:rsidRPr="00C8015D" w:rsidRDefault="00AA2DC9" w:rsidP="00AA2DC9">
      <w:pPr>
        <w:pStyle w:val="ListParagraph"/>
        <w:numPr>
          <w:ilvl w:val="0"/>
          <w:numId w:val="17"/>
        </w:numPr>
        <w:rPr>
          <w:rFonts w:cstheme="minorHAnsi"/>
        </w:rPr>
      </w:pPr>
      <w:r w:rsidRPr="00C8015D">
        <w:rPr>
          <w:rFonts w:cstheme="minorHAnsi"/>
        </w:rPr>
        <w:t xml:space="preserve">Table B2 in the 2018 Guidelines (p64) recommends the use of catch only methods at Tier 3. This is an inappropriate method to recommend at this Tier level as these methods are highly uncertain about depletion and are not responsive to recent changes in catch levels. At best, such methods might be considered at about Tiers 7 or 8 in this scheme. </w:t>
      </w:r>
    </w:p>
    <w:p w14:paraId="53D6E01A" w14:textId="77777777" w:rsidR="001D4C99" w:rsidRPr="00C8015D" w:rsidRDefault="001D4C99" w:rsidP="001D4C99">
      <w:pPr>
        <w:pStyle w:val="Heading1"/>
        <w:rPr>
          <w:rFonts w:asciiTheme="minorHAnsi" w:hAnsiTheme="minorHAnsi" w:cstheme="minorHAnsi"/>
          <w:sz w:val="22"/>
          <w:szCs w:val="22"/>
        </w:rPr>
      </w:pPr>
    </w:p>
    <w:sectPr w:rsidR="001D4C99" w:rsidRPr="00C8015D" w:rsidSect="00D8525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EACCB" w14:textId="77777777" w:rsidR="00433F03" w:rsidRDefault="00FB2988">
      <w:pPr>
        <w:spacing w:after="0"/>
      </w:pPr>
      <w:r>
        <w:separator/>
      </w:r>
    </w:p>
  </w:endnote>
  <w:endnote w:type="continuationSeparator" w:id="0">
    <w:p w14:paraId="263BDE4D" w14:textId="77777777" w:rsidR="00433F03" w:rsidRDefault="00FB2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E97E" w14:textId="77777777" w:rsidR="003259FF" w:rsidRDefault="003259FF">
    <w:pPr>
      <w:pStyle w:val="Footer"/>
      <w:jc w:val="right"/>
      <w:rPr>
        <w:i/>
        <w:iC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889291"/>
      <w:docPartObj>
        <w:docPartGallery w:val="Page Numbers (Bottom of Page)"/>
        <w:docPartUnique/>
      </w:docPartObj>
    </w:sdtPr>
    <w:sdtEndPr>
      <w:rPr>
        <w:noProof/>
      </w:rPr>
    </w:sdtEndPr>
    <w:sdtContent>
      <w:p w14:paraId="0C3E2EEC" w14:textId="28AEB215" w:rsidR="00D85252" w:rsidRDefault="00D85252">
        <w:pPr>
          <w:pStyle w:val="Footer"/>
          <w:jc w:val="center"/>
        </w:pPr>
        <w:r w:rsidRPr="00D85252">
          <w:rPr>
            <w:rFonts w:asciiTheme="minorHAnsi" w:hAnsiTheme="minorHAnsi" w:cstheme="minorHAnsi"/>
            <w:sz w:val="22"/>
            <w:szCs w:val="22"/>
          </w:rPr>
          <w:fldChar w:fldCharType="begin"/>
        </w:r>
        <w:r w:rsidRPr="00D85252">
          <w:rPr>
            <w:rFonts w:asciiTheme="minorHAnsi" w:hAnsiTheme="minorHAnsi" w:cstheme="minorHAnsi"/>
            <w:sz w:val="22"/>
            <w:szCs w:val="22"/>
          </w:rPr>
          <w:instrText xml:space="preserve"> PAGE   \* MERGEFORMAT </w:instrText>
        </w:r>
        <w:r w:rsidRPr="00D85252">
          <w:rPr>
            <w:rFonts w:asciiTheme="minorHAnsi" w:hAnsiTheme="minorHAnsi" w:cstheme="minorHAnsi"/>
            <w:sz w:val="22"/>
            <w:szCs w:val="22"/>
          </w:rPr>
          <w:fldChar w:fldCharType="separate"/>
        </w:r>
        <w:r w:rsidRPr="00D85252">
          <w:rPr>
            <w:rFonts w:asciiTheme="minorHAnsi" w:hAnsiTheme="minorHAnsi" w:cstheme="minorHAnsi"/>
            <w:noProof/>
            <w:sz w:val="22"/>
            <w:szCs w:val="22"/>
          </w:rPr>
          <w:t>2</w:t>
        </w:r>
        <w:r w:rsidRPr="00D85252">
          <w:rPr>
            <w:rFonts w:asciiTheme="minorHAnsi" w:hAnsiTheme="minorHAnsi" w:cstheme="minorHAnsi"/>
            <w:noProof/>
            <w:sz w:val="22"/>
            <w:szCs w:val="22"/>
          </w:rPr>
          <w:fldChar w:fldCharType="end"/>
        </w:r>
      </w:p>
    </w:sdtContent>
  </w:sdt>
  <w:p w14:paraId="01D179BE" w14:textId="77777777" w:rsidR="00C417F8" w:rsidRDefault="00C417F8">
    <w:pPr>
      <w:pStyle w:val="Footer"/>
      <w:jc w:val="right"/>
      <w:rPr>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5718" w14:textId="77777777" w:rsidR="00433F03" w:rsidRDefault="00FB2988">
      <w:pPr>
        <w:spacing w:after="0"/>
      </w:pPr>
      <w:r>
        <w:separator/>
      </w:r>
    </w:p>
  </w:footnote>
  <w:footnote w:type="continuationSeparator" w:id="0">
    <w:p w14:paraId="5E013DFF" w14:textId="77777777" w:rsidR="00433F03" w:rsidRDefault="00FB2988">
      <w:pPr>
        <w:spacing w:after="0"/>
      </w:pPr>
      <w:r>
        <w:continuationSeparator/>
      </w:r>
    </w:p>
  </w:footnote>
  <w:footnote w:id="1">
    <w:p w14:paraId="1AFBDAD7" w14:textId="77777777" w:rsidR="00AA2DC9" w:rsidRDefault="00AA2DC9" w:rsidP="00AA2DC9">
      <w:pPr>
        <w:pStyle w:val="FootnoteText"/>
      </w:pPr>
      <w:r>
        <w:rPr>
          <w:rStyle w:val="FootnoteReference"/>
        </w:rPr>
        <w:footnoteRef/>
      </w:r>
      <w:r>
        <w:t xml:space="preserve"> MEY of commercial fishers has been interpreted in the 2018 policy to mean the </w:t>
      </w:r>
      <w:r w:rsidRPr="00F60D28">
        <w:t>surplus</w:t>
      </w:r>
      <w:r>
        <w:t xml:space="preserve"> of commercial fishing operations (see Appendix 1) </w:t>
      </w:r>
      <w:r w:rsidRPr="00F60D28">
        <w:t>after deducting explicit costs (</w:t>
      </w:r>
      <w:r>
        <w:t xml:space="preserve">e.g. </w:t>
      </w:r>
      <w:r w:rsidRPr="005A150D">
        <w:t>labour</w:t>
      </w:r>
      <w:r w:rsidRPr="00F60D28">
        <w:t xml:space="preserve">, </w:t>
      </w:r>
      <w:r>
        <w:t>fuel</w:t>
      </w:r>
      <w:r w:rsidRPr="00F60D28">
        <w:t>, etc.) and implicit costs (</w:t>
      </w:r>
      <w:r>
        <w:t>l</w:t>
      </w:r>
      <w:r w:rsidRPr="00F60D28">
        <w:t>ost time</w:t>
      </w:r>
      <w:r>
        <w:t xml:space="preserve">, opportunities, </w:t>
      </w:r>
      <w:r w:rsidRPr="00F60D28">
        <w:t xml:space="preserve">etc.) from the </w:t>
      </w:r>
      <w:r>
        <w:t>gross value of landed product</w:t>
      </w:r>
      <w:r w:rsidRPr="00F60D28">
        <w:t>.</w:t>
      </w:r>
      <w:r>
        <w:t xml:space="preserve">  This may be a more narrow, academic interpretation than intended by the phrase “economic return” used in legislation.  For example, MEY in the 2018 policy treats employment (labour) as a cost that should be minimised, whereas employment is often considered an economic benefit in popular discussion of economic return to communities.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444D" w14:textId="77777777" w:rsidR="003259FF" w:rsidRDefault="003259F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1C27" w14:textId="77777777" w:rsidR="00C417F8" w:rsidRDefault="00C417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14A7"/>
    <w:multiLevelType w:val="hybridMultilevel"/>
    <w:tmpl w:val="DA20AD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1060D"/>
    <w:multiLevelType w:val="hybridMultilevel"/>
    <w:tmpl w:val="C17AE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C26D0E"/>
    <w:multiLevelType w:val="hybridMultilevel"/>
    <w:tmpl w:val="E2F69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BE26F3"/>
    <w:multiLevelType w:val="hybridMultilevel"/>
    <w:tmpl w:val="FC6678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255EFE"/>
    <w:multiLevelType w:val="hybridMultilevel"/>
    <w:tmpl w:val="1C901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2B5A3E"/>
    <w:multiLevelType w:val="hybridMultilevel"/>
    <w:tmpl w:val="73502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E8387E"/>
    <w:multiLevelType w:val="hybridMultilevel"/>
    <w:tmpl w:val="0EC01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A578B4"/>
    <w:multiLevelType w:val="hybridMultilevel"/>
    <w:tmpl w:val="E90C24A2"/>
    <w:lvl w:ilvl="0" w:tplc="21E24DB8">
      <w:start w:val="1"/>
      <w:numFmt w:val="bullet"/>
      <w:pStyle w:val="EndNoteBibliography"/>
      <w:lvlText w:val=""/>
      <w:lvlJc w:val="left"/>
      <w:pPr>
        <w:ind w:left="1014" w:hanging="360"/>
      </w:pPr>
      <w:rPr>
        <w:rFonts w:ascii="Symbol" w:hAnsi="Symbol" w:hint="default"/>
      </w:rPr>
    </w:lvl>
    <w:lvl w:ilvl="1" w:tplc="0C090003">
      <w:start w:val="1"/>
      <w:numFmt w:val="bullet"/>
      <w:lvlText w:val="o"/>
      <w:lvlJc w:val="left"/>
      <w:pPr>
        <w:ind w:left="1734" w:hanging="360"/>
      </w:pPr>
      <w:rPr>
        <w:rFonts w:ascii="Courier New" w:hAnsi="Courier New" w:cs="Courier New" w:hint="default"/>
      </w:rPr>
    </w:lvl>
    <w:lvl w:ilvl="2" w:tplc="0C090005" w:tentative="1">
      <w:start w:val="1"/>
      <w:numFmt w:val="bullet"/>
      <w:lvlText w:val=""/>
      <w:lvlJc w:val="left"/>
      <w:pPr>
        <w:ind w:left="2454" w:hanging="360"/>
      </w:pPr>
      <w:rPr>
        <w:rFonts w:ascii="Wingdings" w:hAnsi="Wingdings" w:hint="default"/>
      </w:rPr>
    </w:lvl>
    <w:lvl w:ilvl="3" w:tplc="0C090001" w:tentative="1">
      <w:start w:val="1"/>
      <w:numFmt w:val="bullet"/>
      <w:lvlText w:val=""/>
      <w:lvlJc w:val="left"/>
      <w:pPr>
        <w:ind w:left="3174" w:hanging="360"/>
      </w:pPr>
      <w:rPr>
        <w:rFonts w:ascii="Symbol" w:hAnsi="Symbol" w:hint="default"/>
      </w:rPr>
    </w:lvl>
    <w:lvl w:ilvl="4" w:tplc="0C090003" w:tentative="1">
      <w:start w:val="1"/>
      <w:numFmt w:val="bullet"/>
      <w:lvlText w:val="o"/>
      <w:lvlJc w:val="left"/>
      <w:pPr>
        <w:ind w:left="3894" w:hanging="360"/>
      </w:pPr>
      <w:rPr>
        <w:rFonts w:ascii="Courier New" w:hAnsi="Courier New" w:cs="Courier New" w:hint="default"/>
      </w:rPr>
    </w:lvl>
    <w:lvl w:ilvl="5" w:tplc="0C090005" w:tentative="1">
      <w:start w:val="1"/>
      <w:numFmt w:val="bullet"/>
      <w:lvlText w:val=""/>
      <w:lvlJc w:val="left"/>
      <w:pPr>
        <w:ind w:left="4614" w:hanging="360"/>
      </w:pPr>
      <w:rPr>
        <w:rFonts w:ascii="Wingdings" w:hAnsi="Wingdings" w:hint="default"/>
      </w:rPr>
    </w:lvl>
    <w:lvl w:ilvl="6" w:tplc="0C090001" w:tentative="1">
      <w:start w:val="1"/>
      <w:numFmt w:val="bullet"/>
      <w:lvlText w:val=""/>
      <w:lvlJc w:val="left"/>
      <w:pPr>
        <w:ind w:left="5334" w:hanging="360"/>
      </w:pPr>
      <w:rPr>
        <w:rFonts w:ascii="Symbol" w:hAnsi="Symbol" w:hint="default"/>
      </w:rPr>
    </w:lvl>
    <w:lvl w:ilvl="7" w:tplc="0C090003" w:tentative="1">
      <w:start w:val="1"/>
      <w:numFmt w:val="bullet"/>
      <w:lvlText w:val="o"/>
      <w:lvlJc w:val="left"/>
      <w:pPr>
        <w:ind w:left="6054" w:hanging="360"/>
      </w:pPr>
      <w:rPr>
        <w:rFonts w:ascii="Courier New" w:hAnsi="Courier New" w:cs="Courier New" w:hint="default"/>
      </w:rPr>
    </w:lvl>
    <w:lvl w:ilvl="8" w:tplc="0C090005" w:tentative="1">
      <w:start w:val="1"/>
      <w:numFmt w:val="bullet"/>
      <w:lvlText w:val=""/>
      <w:lvlJc w:val="left"/>
      <w:pPr>
        <w:ind w:left="6774" w:hanging="360"/>
      </w:pPr>
      <w:rPr>
        <w:rFonts w:ascii="Wingdings" w:hAnsi="Wingdings" w:hint="default"/>
      </w:rPr>
    </w:lvl>
  </w:abstractNum>
  <w:abstractNum w:abstractNumId="8" w15:restartNumberingAfterBreak="0">
    <w:nsid w:val="1F9675E0"/>
    <w:multiLevelType w:val="hybridMultilevel"/>
    <w:tmpl w:val="E0409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2659D7"/>
    <w:multiLevelType w:val="hybridMultilevel"/>
    <w:tmpl w:val="E4BA530A"/>
    <w:lvl w:ilvl="0" w:tplc="8F8A26F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E2255B"/>
    <w:multiLevelType w:val="hybridMultilevel"/>
    <w:tmpl w:val="970C0BA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1C53C2"/>
    <w:multiLevelType w:val="hybridMultilevel"/>
    <w:tmpl w:val="B484D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D335C8"/>
    <w:multiLevelType w:val="hybridMultilevel"/>
    <w:tmpl w:val="CE4A93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2D3F37"/>
    <w:multiLevelType w:val="hybridMultilevel"/>
    <w:tmpl w:val="AD9AA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537E5F"/>
    <w:multiLevelType w:val="hybridMultilevel"/>
    <w:tmpl w:val="C2247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AC251C"/>
    <w:multiLevelType w:val="hybridMultilevel"/>
    <w:tmpl w:val="ABFC5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3767EC"/>
    <w:multiLevelType w:val="hybridMultilevel"/>
    <w:tmpl w:val="16C4D8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7C24FA"/>
    <w:multiLevelType w:val="hybridMultilevel"/>
    <w:tmpl w:val="99DCF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37285F"/>
    <w:multiLevelType w:val="hybridMultilevel"/>
    <w:tmpl w:val="FD60FAE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41BB6686"/>
    <w:multiLevelType w:val="hybridMultilevel"/>
    <w:tmpl w:val="ED847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A36219"/>
    <w:multiLevelType w:val="hybridMultilevel"/>
    <w:tmpl w:val="6AEA0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366755"/>
    <w:multiLevelType w:val="hybridMultilevel"/>
    <w:tmpl w:val="F7A2A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E07686"/>
    <w:multiLevelType w:val="hybridMultilevel"/>
    <w:tmpl w:val="30302ADE"/>
    <w:lvl w:ilvl="0" w:tplc="3566EF3A">
      <w:start w:val="3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EC7E07"/>
    <w:multiLevelType w:val="hybridMultilevel"/>
    <w:tmpl w:val="3732F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35432E"/>
    <w:multiLevelType w:val="hybridMultilevel"/>
    <w:tmpl w:val="DEBEA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3F2C28"/>
    <w:multiLevelType w:val="hybridMultilevel"/>
    <w:tmpl w:val="49BAB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EB756E"/>
    <w:multiLevelType w:val="hybridMultilevel"/>
    <w:tmpl w:val="4184B3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72677BB"/>
    <w:multiLevelType w:val="hybridMultilevel"/>
    <w:tmpl w:val="1A244782"/>
    <w:lvl w:ilvl="0" w:tplc="18F6151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5373EF"/>
    <w:multiLevelType w:val="hybridMultilevel"/>
    <w:tmpl w:val="BF70D00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9" w15:restartNumberingAfterBreak="0">
    <w:nsid w:val="6D3300CC"/>
    <w:multiLevelType w:val="hybridMultilevel"/>
    <w:tmpl w:val="EE32A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0746E1"/>
    <w:multiLevelType w:val="hybridMultilevel"/>
    <w:tmpl w:val="AEC425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4620E6"/>
    <w:multiLevelType w:val="multilevel"/>
    <w:tmpl w:val="B080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3D19A3"/>
    <w:multiLevelType w:val="hybridMultilevel"/>
    <w:tmpl w:val="D58AC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720C9F"/>
    <w:multiLevelType w:val="hybridMultilevel"/>
    <w:tmpl w:val="A148B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DC0F4C"/>
    <w:multiLevelType w:val="hybridMultilevel"/>
    <w:tmpl w:val="194E1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8C1BB6"/>
    <w:multiLevelType w:val="hybridMultilevel"/>
    <w:tmpl w:val="1DD006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584417"/>
    <w:multiLevelType w:val="hybridMultilevel"/>
    <w:tmpl w:val="CE866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12902">
    <w:abstractNumId w:val="35"/>
  </w:num>
  <w:num w:numId="2" w16cid:durableId="391275988">
    <w:abstractNumId w:val="18"/>
  </w:num>
  <w:num w:numId="3" w16cid:durableId="578831692">
    <w:abstractNumId w:val="30"/>
  </w:num>
  <w:num w:numId="4" w16cid:durableId="2138909562">
    <w:abstractNumId w:val="28"/>
  </w:num>
  <w:num w:numId="5" w16cid:durableId="891580525">
    <w:abstractNumId w:val="17"/>
  </w:num>
  <w:num w:numId="6" w16cid:durableId="1546411572">
    <w:abstractNumId w:val="36"/>
  </w:num>
  <w:num w:numId="7" w16cid:durableId="300617680">
    <w:abstractNumId w:val="5"/>
  </w:num>
  <w:num w:numId="8" w16cid:durableId="401220221">
    <w:abstractNumId w:val="32"/>
  </w:num>
  <w:num w:numId="9" w16cid:durableId="1900246254">
    <w:abstractNumId w:val="22"/>
  </w:num>
  <w:num w:numId="10" w16cid:durableId="1530754473">
    <w:abstractNumId w:val="34"/>
  </w:num>
  <w:num w:numId="11" w16cid:durableId="765999405">
    <w:abstractNumId w:val="15"/>
  </w:num>
  <w:num w:numId="12" w16cid:durableId="1259875681">
    <w:abstractNumId w:val="3"/>
  </w:num>
  <w:num w:numId="13" w16cid:durableId="1257902399">
    <w:abstractNumId w:val="21"/>
  </w:num>
  <w:num w:numId="14" w16cid:durableId="457140458">
    <w:abstractNumId w:val="14"/>
  </w:num>
  <w:num w:numId="15" w16cid:durableId="910191020">
    <w:abstractNumId w:val="20"/>
  </w:num>
  <w:num w:numId="16" w16cid:durableId="183793445">
    <w:abstractNumId w:val="6"/>
  </w:num>
  <w:num w:numId="17" w16cid:durableId="304942863">
    <w:abstractNumId w:val="26"/>
  </w:num>
  <w:num w:numId="18" w16cid:durableId="1155143212">
    <w:abstractNumId w:val="23"/>
  </w:num>
  <w:num w:numId="19" w16cid:durableId="732653792">
    <w:abstractNumId w:val="11"/>
  </w:num>
  <w:num w:numId="20" w16cid:durableId="25447631">
    <w:abstractNumId w:val="24"/>
  </w:num>
  <w:num w:numId="21" w16cid:durableId="1442845761">
    <w:abstractNumId w:val="16"/>
  </w:num>
  <w:num w:numId="22" w16cid:durableId="1082800705">
    <w:abstractNumId w:val="0"/>
  </w:num>
  <w:num w:numId="23" w16cid:durableId="1816336839">
    <w:abstractNumId w:val="12"/>
  </w:num>
  <w:num w:numId="24" w16cid:durableId="1696690263">
    <w:abstractNumId w:val="27"/>
  </w:num>
  <w:num w:numId="25" w16cid:durableId="1133862693">
    <w:abstractNumId w:val="9"/>
  </w:num>
  <w:num w:numId="26" w16cid:durableId="1562642190">
    <w:abstractNumId w:val="10"/>
  </w:num>
  <w:num w:numId="27" w16cid:durableId="645621446">
    <w:abstractNumId w:val="31"/>
  </w:num>
  <w:num w:numId="28" w16cid:durableId="2138522698">
    <w:abstractNumId w:val="1"/>
  </w:num>
  <w:num w:numId="29" w16cid:durableId="1745449605">
    <w:abstractNumId w:val="13"/>
  </w:num>
  <w:num w:numId="30" w16cid:durableId="1998730025">
    <w:abstractNumId w:val="33"/>
  </w:num>
  <w:num w:numId="31" w16cid:durableId="1395204037">
    <w:abstractNumId w:val="2"/>
  </w:num>
  <w:num w:numId="32" w16cid:durableId="215626009">
    <w:abstractNumId w:val="19"/>
  </w:num>
  <w:num w:numId="33" w16cid:durableId="40595130">
    <w:abstractNumId w:val="4"/>
  </w:num>
  <w:num w:numId="34" w16cid:durableId="220404874">
    <w:abstractNumId w:val="8"/>
  </w:num>
  <w:num w:numId="35" w16cid:durableId="1083912250">
    <w:abstractNumId w:val="25"/>
  </w:num>
  <w:num w:numId="36" w16cid:durableId="1786849596">
    <w:abstractNumId w:val="7"/>
  </w:num>
  <w:num w:numId="37" w16cid:durableId="6408115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6C"/>
    <w:rsid w:val="00054C7D"/>
    <w:rsid w:val="000615FA"/>
    <w:rsid w:val="00097C91"/>
    <w:rsid w:val="000A3E5D"/>
    <w:rsid w:val="001144E9"/>
    <w:rsid w:val="001925BA"/>
    <w:rsid w:val="001D4C99"/>
    <w:rsid w:val="002B6A47"/>
    <w:rsid w:val="002E5813"/>
    <w:rsid w:val="003259FF"/>
    <w:rsid w:val="003737A7"/>
    <w:rsid w:val="00433F03"/>
    <w:rsid w:val="004A11C9"/>
    <w:rsid w:val="004B5D6C"/>
    <w:rsid w:val="00563049"/>
    <w:rsid w:val="00564248"/>
    <w:rsid w:val="005846DE"/>
    <w:rsid w:val="005A1322"/>
    <w:rsid w:val="00677657"/>
    <w:rsid w:val="00697FEE"/>
    <w:rsid w:val="00712738"/>
    <w:rsid w:val="00761120"/>
    <w:rsid w:val="00774866"/>
    <w:rsid w:val="007817AB"/>
    <w:rsid w:val="009A5AD4"/>
    <w:rsid w:val="009A70A7"/>
    <w:rsid w:val="00A46D3A"/>
    <w:rsid w:val="00A62B7E"/>
    <w:rsid w:val="00AA2DC9"/>
    <w:rsid w:val="00AE0136"/>
    <w:rsid w:val="00BA73F9"/>
    <w:rsid w:val="00BD785A"/>
    <w:rsid w:val="00C04DD6"/>
    <w:rsid w:val="00C417F8"/>
    <w:rsid w:val="00C75601"/>
    <w:rsid w:val="00C8015D"/>
    <w:rsid w:val="00CF6CF4"/>
    <w:rsid w:val="00D85252"/>
    <w:rsid w:val="00DC079F"/>
    <w:rsid w:val="00F117F3"/>
    <w:rsid w:val="00F60CBC"/>
    <w:rsid w:val="00F917C7"/>
    <w:rsid w:val="00FA61FE"/>
    <w:rsid w:val="00FB2988"/>
    <w:rsid w:val="00FF170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A3411"/>
  <w15:chartTrackingRefBased/>
  <w15:docId w15:val="{AAF33372-19EF-4BA1-95BE-EDA91516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6C"/>
    <w:pPr>
      <w:keepLines/>
      <w:spacing w:after="240" w:line="240" w:lineRule="auto"/>
    </w:pPr>
    <w:rPr>
      <w:rFonts w:ascii="Times New Roman" w:eastAsia="Times New Roman" w:hAnsi="Times New Roman" w:cs="Times New Roman"/>
      <w:color w:val="000000"/>
      <w:sz w:val="24"/>
      <w:szCs w:val="20"/>
      <w:lang w:eastAsia="en-US"/>
    </w:rPr>
  </w:style>
  <w:style w:type="paragraph" w:styleId="Heading1">
    <w:name w:val="heading 1"/>
    <w:basedOn w:val="Normal"/>
    <w:next w:val="Normal"/>
    <w:link w:val="Heading1Char"/>
    <w:uiPriority w:val="9"/>
    <w:qFormat/>
    <w:rsid w:val="001D4C99"/>
    <w:pPr>
      <w:keepNext/>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4C99"/>
    <w:pPr>
      <w:keepNext/>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1">
    <w:name w:val="report title 1"/>
    <w:basedOn w:val="Normal"/>
    <w:rsid w:val="004B5D6C"/>
    <w:pPr>
      <w:spacing w:before="480" w:after="480"/>
      <w:jc w:val="center"/>
    </w:pPr>
    <w:rPr>
      <w:sz w:val="40"/>
    </w:rPr>
  </w:style>
  <w:style w:type="paragraph" w:customStyle="1" w:styleId="yourname">
    <w:name w:val="your name"/>
    <w:basedOn w:val="Normal"/>
    <w:rsid w:val="004B5D6C"/>
    <w:pPr>
      <w:spacing w:after="480"/>
      <w:jc w:val="center"/>
    </w:pPr>
  </w:style>
  <w:style w:type="paragraph" w:styleId="Header">
    <w:name w:val="header"/>
    <w:basedOn w:val="Normal"/>
    <w:link w:val="HeaderChar"/>
    <w:uiPriority w:val="99"/>
    <w:rsid w:val="004B5D6C"/>
    <w:pPr>
      <w:tabs>
        <w:tab w:val="center" w:pos="4320"/>
        <w:tab w:val="right" w:pos="8640"/>
      </w:tabs>
    </w:pPr>
  </w:style>
  <w:style w:type="character" w:customStyle="1" w:styleId="HeaderChar">
    <w:name w:val="Header Char"/>
    <w:basedOn w:val="DefaultParagraphFont"/>
    <w:link w:val="Header"/>
    <w:uiPriority w:val="99"/>
    <w:rsid w:val="004B5D6C"/>
    <w:rPr>
      <w:rFonts w:ascii="Times New Roman" w:eastAsia="Times New Roman" w:hAnsi="Times New Roman" w:cs="Times New Roman"/>
      <w:color w:val="000000"/>
      <w:sz w:val="24"/>
      <w:szCs w:val="20"/>
      <w:lang w:eastAsia="en-US"/>
    </w:rPr>
  </w:style>
  <w:style w:type="paragraph" w:styleId="Footer">
    <w:name w:val="footer"/>
    <w:basedOn w:val="Normal"/>
    <w:link w:val="FooterChar"/>
    <w:uiPriority w:val="99"/>
    <w:rsid w:val="004B5D6C"/>
    <w:pPr>
      <w:tabs>
        <w:tab w:val="center" w:pos="4320"/>
        <w:tab w:val="right" w:pos="8640"/>
      </w:tabs>
    </w:pPr>
  </w:style>
  <w:style w:type="character" w:customStyle="1" w:styleId="FooterChar">
    <w:name w:val="Footer Char"/>
    <w:basedOn w:val="DefaultParagraphFont"/>
    <w:link w:val="Footer"/>
    <w:uiPriority w:val="99"/>
    <w:rsid w:val="004B5D6C"/>
    <w:rPr>
      <w:rFonts w:ascii="Times New Roman" w:eastAsia="Times New Roman" w:hAnsi="Times New Roman" w:cs="Times New Roman"/>
      <w:color w:val="000000"/>
      <w:sz w:val="24"/>
      <w:szCs w:val="20"/>
      <w:lang w:eastAsia="en-US"/>
    </w:rPr>
  </w:style>
  <w:style w:type="paragraph" w:styleId="BodyText">
    <w:name w:val="Body Text"/>
    <w:basedOn w:val="Normal"/>
    <w:link w:val="BodyTextChar"/>
    <w:rsid w:val="004B5D6C"/>
    <w:pPr>
      <w:keepLines w:val="0"/>
      <w:spacing w:after="0"/>
    </w:pPr>
    <w:rPr>
      <w:color w:val="auto"/>
    </w:rPr>
  </w:style>
  <w:style w:type="character" w:customStyle="1" w:styleId="BodyTextChar">
    <w:name w:val="Body Text Char"/>
    <w:basedOn w:val="DefaultParagraphFont"/>
    <w:link w:val="BodyText"/>
    <w:rsid w:val="004B5D6C"/>
    <w:rPr>
      <w:rFonts w:ascii="Times New Roman" w:eastAsia="Times New Roman" w:hAnsi="Times New Roman" w:cs="Times New Roman"/>
      <w:sz w:val="24"/>
      <w:szCs w:val="20"/>
      <w:lang w:eastAsia="en-US"/>
    </w:rPr>
  </w:style>
  <w:style w:type="paragraph" w:customStyle="1" w:styleId="TitlePageAuthors">
    <w:name w:val="TitlePage_Authors"/>
    <w:basedOn w:val="Normal"/>
    <w:rsid w:val="004B5D6C"/>
    <w:pPr>
      <w:keepLines w:val="0"/>
      <w:suppressAutoHyphens/>
      <w:spacing w:after="220"/>
      <w:jc w:val="center"/>
    </w:pPr>
    <w:rPr>
      <w:rFonts w:ascii="Arial" w:eastAsia="PMingLiU" w:hAnsi="Arial"/>
      <w:sz w:val="20"/>
    </w:rPr>
  </w:style>
  <w:style w:type="paragraph" w:customStyle="1" w:styleId="TitlePageDate">
    <w:name w:val="TitlePage_Date"/>
    <w:basedOn w:val="Normal"/>
    <w:rsid w:val="004B5D6C"/>
    <w:pPr>
      <w:keepLines w:val="0"/>
      <w:suppressAutoHyphens/>
      <w:spacing w:after="0"/>
      <w:jc w:val="center"/>
    </w:pPr>
    <w:rPr>
      <w:rFonts w:ascii="Arial" w:eastAsia="PMingLiU" w:hAnsi="Arial"/>
      <w:sz w:val="20"/>
    </w:rPr>
  </w:style>
  <w:style w:type="paragraph" w:styleId="BalloonText">
    <w:name w:val="Balloon Text"/>
    <w:basedOn w:val="Normal"/>
    <w:link w:val="BalloonTextChar"/>
    <w:uiPriority w:val="99"/>
    <w:semiHidden/>
    <w:unhideWhenUsed/>
    <w:rsid w:val="001D4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C99"/>
    <w:rPr>
      <w:rFonts w:ascii="Segoe UI" w:eastAsia="Times New Roman" w:hAnsi="Segoe UI" w:cs="Segoe UI"/>
      <w:color w:val="000000"/>
      <w:sz w:val="18"/>
      <w:szCs w:val="18"/>
      <w:lang w:eastAsia="en-US"/>
    </w:rPr>
  </w:style>
  <w:style w:type="character" w:customStyle="1" w:styleId="Heading1Char">
    <w:name w:val="Heading 1 Char"/>
    <w:basedOn w:val="DefaultParagraphFont"/>
    <w:link w:val="Heading1"/>
    <w:uiPriority w:val="9"/>
    <w:rsid w:val="001D4C99"/>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1D4C99"/>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39"/>
    <w:rsid w:val="001D4C9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C99"/>
    <w:pPr>
      <w:keepLines w:val="0"/>
      <w:spacing w:after="160" w:line="259" w:lineRule="auto"/>
      <w:ind w:left="720"/>
      <w:contextualSpacing/>
    </w:pPr>
    <w:rPr>
      <w:rFonts w:asciiTheme="minorHAnsi" w:eastAsiaTheme="minorHAnsi" w:hAnsiTheme="minorHAnsi" w:cstheme="minorBidi"/>
      <w:color w:val="auto"/>
      <w:sz w:val="22"/>
      <w:szCs w:val="22"/>
    </w:rPr>
  </w:style>
  <w:style w:type="character" w:styleId="CommentReference">
    <w:name w:val="annotation reference"/>
    <w:basedOn w:val="DefaultParagraphFont"/>
    <w:uiPriority w:val="99"/>
    <w:semiHidden/>
    <w:unhideWhenUsed/>
    <w:rsid w:val="001D4C99"/>
    <w:rPr>
      <w:sz w:val="16"/>
      <w:szCs w:val="16"/>
    </w:rPr>
  </w:style>
  <w:style w:type="paragraph" w:styleId="CommentText">
    <w:name w:val="annotation text"/>
    <w:basedOn w:val="Normal"/>
    <w:link w:val="CommentTextChar"/>
    <w:uiPriority w:val="99"/>
    <w:unhideWhenUsed/>
    <w:rsid w:val="001D4C99"/>
    <w:pPr>
      <w:keepLines w:val="0"/>
      <w:spacing w:after="160"/>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1D4C99"/>
    <w:rPr>
      <w:rFonts w:eastAsiaTheme="minorHAnsi"/>
      <w:sz w:val="20"/>
      <w:szCs w:val="20"/>
      <w:lang w:eastAsia="en-US"/>
    </w:rPr>
  </w:style>
  <w:style w:type="paragraph" w:styleId="NoSpacing">
    <w:name w:val="No Spacing"/>
    <w:uiPriority w:val="1"/>
    <w:qFormat/>
    <w:rsid w:val="00712738"/>
    <w:pPr>
      <w:keepLines/>
      <w:spacing w:after="0" w:line="240" w:lineRule="auto"/>
    </w:pPr>
    <w:rPr>
      <w:rFonts w:ascii="Times New Roman" w:eastAsia="Times New Roman" w:hAnsi="Times New Roman" w:cs="Times New Roman"/>
      <w:color w:val="000000"/>
      <w:sz w:val="24"/>
      <w:szCs w:val="20"/>
      <w:lang w:eastAsia="en-US"/>
    </w:rPr>
  </w:style>
  <w:style w:type="paragraph" w:styleId="Revision">
    <w:name w:val="Revision"/>
    <w:hidden/>
    <w:uiPriority w:val="99"/>
    <w:semiHidden/>
    <w:rsid w:val="00AA2DC9"/>
    <w:pPr>
      <w:spacing w:after="0" w:line="240" w:lineRule="auto"/>
    </w:pPr>
    <w:rPr>
      <w:rFonts w:eastAsiaTheme="minorHAns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AA2DC9"/>
    <w:rPr>
      <w:b/>
      <w:bCs/>
      <w:kern w:val="2"/>
      <w14:ligatures w14:val="standardContextual"/>
    </w:rPr>
  </w:style>
  <w:style w:type="character" w:customStyle="1" w:styleId="CommentSubjectChar">
    <w:name w:val="Comment Subject Char"/>
    <w:basedOn w:val="CommentTextChar"/>
    <w:link w:val="CommentSubject"/>
    <w:uiPriority w:val="99"/>
    <w:semiHidden/>
    <w:rsid w:val="00AA2DC9"/>
    <w:rPr>
      <w:rFonts w:eastAsiaTheme="minorHAnsi"/>
      <w:b/>
      <w:bCs/>
      <w:kern w:val="2"/>
      <w:sz w:val="20"/>
      <w:szCs w:val="20"/>
      <w:lang w:eastAsia="en-US"/>
      <w14:ligatures w14:val="standardContextual"/>
    </w:rPr>
  </w:style>
  <w:style w:type="paragraph" w:styleId="FootnoteText">
    <w:name w:val="footnote text"/>
    <w:basedOn w:val="Normal"/>
    <w:link w:val="FootnoteTextChar"/>
    <w:uiPriority w:val="99"/>
    <w:semiHidden/>
    <w:unhideWhenUsed/>
    <w:rsid w:val="00AA2DC9"/>
    <w:pPr>
      <w:keepLines w:val="0"/>
      <w:spacing w:after="0"/>
    </w:pPr>
    <w:rPr>
      <w:rFonts w:asciiTheme="minorHAnsi" w:eastAsiaTheme="minorHAnsi" w:hAnsiTheme="minorHAnsi" w:cstheme="minorBidi"/>
      <w:color w:val="auto"/>
      <w:kern w:val="2"/>
      <w:sz w:val="20"/>
      <w14:ligatures w14:val="standardContextual"/>
    </w:rPr>
  </w:style>
  <w:style w:type="character" w:customStyle="1" w:styleId="FootnoteTextChar">
    <w:name w:val="Footnote Text Char"/>
    <w:basedOn w:val="DefaultParagraphFont"/>
    <w:link w:val="FootnoteText"/>
    <w:uiPriority w:val="99"/>
    <w:semiHidden/>
    <w:rsid w:val="00AA2DC9"/>
    <w:rPr>
      <w:rFonts w:eastAsiaTheme="minorHAnsi"/>
      <w:kern w:val="2"/>
      <w:sz w:val="20"/>
      <w:szCs w:val="20"/>
      <w:lang w:eastAsia="en-US"/>
      <w14:ligatures w14:val="standardContextual"/>
    </w:rPr>
  </w:style>
  <w:style w:type="character" w:styleId="FootnoteReference">
    <w:name w:val="footnote reference"/>
    <w:basedOn w:val="DefaultParagraphFont"/>
    <w:uiPriority w:val="99"/>
    <w:semiHidden/>
    <w:unhideWhenUsed/>
    <w:rsid w:val="00AA2DC9"/>
    <w:rPr>
      <w:vertAlign w:val="superscript"/>
    </w:rPr>
  </w:style>
  <w:style w:type="character" w:styleId="Hyperlink">
    <w:name w:val="Hyperlink"/>
    <w:basedOn w:val="DefaultParagraphFont"/>
    <w:uiPriority w:val="99"/>
    <w:unhideWhenUsed/>
    <w:rsid w:val="00AA2DC9"/>
    <w:rPr>
      <w:color w:val="0000FF"/>
      <w:u w:val="single"/>
    </w:rPr>
  </w:style>
  <w:style w:type="paragraph" w:customStyle="1" w:styleId="nova-legacy-e-listitem">
    <w:name w:val="nova-legacy-e-list__item"/>
    <w:basedOn w:val="Normal"/>
    <w:rsid w:val="00AA2DC9"/>
    <w:pPr>
      <w:keepLines w:val="0"/>
      <w:spacing w:before="100" w:beforeAutospacing="1" w:after="100" w:afterAutospacing="1"/>
    </w:pPr>
    <w:rPr>
      <w:color w:val="auto"/>
      <w:szCs w:val="24"/>
      <w:lang w:eastAsia="en-AU"/>
    </w:rPr>
  </w:style>
  <w:style w:type="paragraph" w:customStyle="1" w:styleId="EndNoteBibliography">
    <w:name w:val="EndNote Bibliography"/>
    <w:basedOn w:val="Normal"/>
    <w:link w:val="EndNoteBibliographyChar"/>
    <w:rsid w:val="00AA2DC9"/>
    <w:pPr>
      <w:keepLines w:val="0"/>
      <w:numPr>
        <w:numId w:val="36"/>
      </w:numPr>
      <w:spacing w:after="160"/>
      <w:jc w:val="both"/>
    </w:pPr>
    <w:rPr>
      <w:rFonts w:eastAsiaTheme="minorHAnsi"/>
      <w:noProof/>
      <w:color w:val="auto"/>
      <w:kern w:val="2"/>
      <w:szCs w:val="24"/>
      <w:lang w:val="en-US"/>
      <w14:ligatures w14:val="standardContextual"/>
    </w:rPr>
  </w:style>
  <w:style w:type="character" w:customStyle="1" w:styleId="EndNoteBibliographyChar">
    <w:name w:val="EndNote Bibliography Char"/>
    <w:basedOn w:val="DefaultParagraphFont"/>
    <w:link w:val="EndNoteBibliography"/>
    <w:rsid w:val="00AA2DC9"/>
    <w:rPr>
      <w:rFonts w:ascii="Times New Roman" w:eastAsiaTheme="minorHAnsi" w:hAnsi="Times New Roman" w:cs="Times New Roman"/>
      <w:noProof/>
      <w:kern w:val="2"/>
      <w:sz w:val="24"/>
      <w:szCs w:val="24"/>
      <w:lang w:val="en-US" w:eastAsia="en-US"/>
      <w14:ligatures w14:val="standardContextual"/>
    </w:rPr>
  </w:style>
  <w:style w:type="paragraph" w:styleId="TOCHeading">
    <w:name w:val="TOC Heading"/>
    <w:basedOn w:val="Heading1"/>
    <w:next w:val="Normal"/>
    <w:uiPriority w:val="39"/>
    <w:unhideWhenUsed/>
    <w:qFormat/>
    <w:rsid w:val="00AA2DC9"/>
    <w:pPr>
      <w:outlineLvl w:val="9"/>
    </w:pPr>
    <w:rPr>
      <w:lang w:val="en-US"/>
    </w:rPr>
  </w:style>
  <w:style w:type="paragraph" w:styleId="TOC1">
    <w:name w:val="toc 1"/>
    <w:basedOn w:val="Normal"/>
    <w:next w:val="Normal"/>
    <w:autoRedefine/>
    <w:uiPriority w:val="39"/>
    <w:unhideWhenUsed/>
    <w:rsid w:val="00AA2DC9"/>
    <w:pPr>
      <w:spacing w:after="100"/>
    </w:pPr>
  </w:style>
  <w:style w:type="paragraph" w:styleId="TOC2">
    <w:name w:val="toc 2"/>
    <w:basedOn w:val="Normal"/>
    <w:next w:val="Normal"/>
    <w:autoRedefine/>
    <w:uiPriority w:val="39"/>
    <w:unhideWhenUsed/>
    <w:rsid w:val="00AA2DC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s://doi.org/10.1093/icesjms/fsac00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universitytasmania-my.sharepoint.com/personal/caleb_gardner_utas_edu_au/Documents/HS%20FRDC%20project/PLot%20discussion%20ppa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supply</a:t>
            </a:r>
            <a:r>
              <a:rPr lang="en-AU" baseline="0"/>
              <a:t> and demand in an open market </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835870516185477E-2"/>
          <c:y val="0.17171296296296296"/>
          <c:w val="0.86475240594925629"/>
          <c:h val="0.6103546952464276"/>
        </c:manualLayout>
      </c:layout>
      <c:scatterChart>
        <c:scatterStyle val="lineMarker"/>
        <c:varyColors val="0"/>
        <c:ser>
          <c:idx val="0"/>
          <c:order val="0"/>
          <c:tx>
            <c:strRef>
              <c:f>'[PLot discussion ppaer.xlsx]consumer surplus'!$E$4</c:f>
              <c:strCache>
                <c:ptCount val="1"/>
                <c:pt idx="0">
                  <c:v>Supply</c:v>
                </c:pt>
              </c:strCache>
            </c:strRef>
          </c:tx>
          <c:spPr>
            <a:ln w="19050" cap="rnd">
              <a:solidFill>
                <a:schemeClr val="accent1"/>
              </a:solidFill>
              <a:round/>
            </a:ln>
            <a:effectLst/>
          </c:spPr>
          <c:marker>
            <c:symbol val="none"/>
          </c:marker>
          <c:xVal>
            <c:numRef>
              <c:f>'[PLot discussion ppaer.xlsx]consumer surplus'!$D$5:$D$13</c:f>
              <c:numCache>
                <c:formatCode>General</c:formatCode>
                <c:ptCount val="9"/>
                <c:pt idx="0">
                  <c:v>0</c:v>
                </c:pt>
                <c:pt idx="1">
                  <c:v>1</c:v>
                </c:pt>
                <c:pt idx="2">
                  <c:v>2</c:v>
                </c:pt>
                <c:pt idx="3">
                  <c:v>3</c:v>
                </c:pt>
                <c:pt idx="4">
                  <c:v>4</c:v>
                </c:pt>
                <c:pt idx="5">
                  <c:v>5</c:v>
                </c:pt>
                <c:pt idx="6">
                  <c:v>6</c:v>
                </c:pt>
                <c:pt idx="7">
                  <c:v>7</c:v>
                </c:pt>
                <c:pt idx="8">
                  <c:v>8</c:v>
                </c:pt>
              </c:numCache>
            </c:numRef>
          </c:xVal>
          <c:yVal>
            <c:numRef>
              <c:f>'[PLot discussion ppaer.xlsx]consumer surplus'!$E$5:$E$13</c:f>
              <c:numCache>
                <c:formatCode>General</c:formatCode>
                <c:ptCount val="9"/>
                <c:pt idx="0">
                  <c:v>0</c:v>
                </c:pt>
                <c:pt idx="1">
                  <c:v>1</c:v>
                </c:pt>
                <c:pt idx="2">
                  <c:v>2</c:v>
                </c:pt>
                <c:pt idx="3">
                  <c:v>3</c:v>
                </c:pt>
                <c:pt idx="4">
                  <c:v>4</c:v>
                </c:pt>
                <c:pt idx="5">
                  <c:v>5</c:v>
                </c:pt>
                <c:pt idx="6">
                  <c:v>6</c:v>
                </c:pt>
                <c:pt idx="7">
                  <c:v>7</c:v>
                </c:pt>
                <c:pt idx="8">
                  <c:v>8</c:v>
                </c:pt>
              </c:numCache>
            </c:numRef>
          </c:yVal>
          <c:smooth val="0"/>
          <c:extLst>
            <c:ext xmlns:c16="http://schemas.microsoft.com/office/drawing/2014/chart" uri="{C3380CC4-5D6E-409C-BE32-E72D297353CC}">
              <c16:uniqueId val="{00000000-226D-4695-92F2-B6C5FC74831E}"/>
            </c:ext>
          </c:extLst>
        </c:ser>
        <c:ser>
          <c:idx val="1"/>
          <c:order val="1"/>
          <c:tx>
            <c:strRef>
              <c:f>'[PLot discussion ppaer.xlsx]consumer surplus'!$F$4</c:f>
              <c:strCache>
                <c:ptCount val="1"/>
                <c:pt idx="0">
                  <c:v>Demand</c:v>
                </c:pt>
              </c:strCache>
            </c:strRef>
          </c:tx>
          <c:spPr>
            <a:ln w="19050" cap="rnd">
              <a:solidFill>
                <a:schemeClr val="accent2"/>
              </a:solidFill>
              <a:round/>
            </a:ln>
            <a:effectLst/>
          </c:spPr>
          <c:marker>
            <c:symbol val="none"/>
          </c:marker>
          <c:xVal>
            <c:numRef>
              <c:f>'[PLot discussion ppaer.xlsx]consumer surplus'!$D$5:$D$13</c:f>
              <c:numCache>
                <c:formatCode>General</c:formatCode>
                <c:ptCount val="9"/>
                <c:pt idx="0">
                  <c:v>0</c:v>
                </c:pt>
                <c:pt idx="1">
                  <c:v>1</c:v>
                </c:pt>
                <c:pt idx="2">
                  <c:v>2</c:v>
                </c:pt>
                <c:pt idx="3">
                  <c:v>3</c:v>
                </c:pt>
                <c:pt idx="4">
                  <c:v>4</c:v>
                </c:pt>
                <c:pt idx="5">
                  <c:v>5</c:v>
                </c:pt>
                <c:pt idx="6">
                  <c:v>6</c:v>
                </c:pt>
                <c:pt idx="7">
                  <c:v>7</c:v>
                </c:pt>
                <c:pt idx="8">
                  <c:v>8</c:v>
                </c:pt>
              </c:numCache>
            </c:numRef>
          </c:xVal>
          <c:yVal>
            <c:numRef>
              <c:f>'[PLot discussion ppaer.xlsx]consumer surplus'!$F$5:$F$13</c:f>
              <c:numCache>
                <c:formatCode>General</c:formatCode>
                <c:ptCount val="9"/>
                <c:pt idx="0">
                  <c:v>8</c:v>
                </c:pt>
                <c:pt idx="1">
                  <c:v>7</c:v>
                </c:pt>
                <c:pt idx="2">
                  <c:v>6</c:v>
                </c:pt>
                <c:pt idx="3">
                  <c:v>5</c:v>
                </c:pt>
                <c:pt idx="4">
                  <c:v>4</c:v>
                </c:pt>
                <c:pt idx="5">
                  <c:v>3</c:v>
                </c:pt>
                <c:pt idx="6">
                  <c:v>2</c:v>
                </c:pt>
                <c:pt idx="7">
                  <c:v>1</c:v>
                </c:pt>
                <c:pt idx="8">
                  <c:v>0</c:v>
                </c:pt>
              </c:numCache>
            </c:numRef>
          </c:yVal>
          <c:smooth val="0"/>
          <c:extLst>
            <c:ext xmlns:c16="http://schemas.microsoft.com/office/drawing/2014/chart" uri="{C3380CC4-5D6E-409C-BE32-E72D297353CC}">
              <c16:uniqueId val="{00000001-226D-4695-92F2-B6C5FC74831E}"/>
            </c:ext>
          </c:extLst>
        </c:ser>
        <c:dLbls>
          <c:showLegendKey val="0"/>
          <c:showVal val="0"/>
          <c:showCatName val="0"/>
          <c:showSerName val="0"/>
          <c:showPercent val="0"/>
          <c:showBubbleSize val="0"/>
        </c:dLbls>
        <c:axId val="1979531040"/>
        <c:axId val="1802156736"/>
      </c:scatterChart>
      <c:valAx>
        <c:axId val="1979531040"/>
        <c:scaling>
          <c:orientation val="minMax"/>
          <c:max val="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Quantity</a:t>
                </a:r>
              </a:p>
            </c:rich>
          </c:tx>
          <c:layout>
            <c:manualLayout>
              <c:xMode val="edge"/>
              <c:yMode val="edge"/>
              <c:x val="0.83691535433070874"/>
              <c:y val="0.800586176727908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one"/>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2156736"/>
        <c:crosses val="autoZero"/>
        <c:crossBetween val="midCat"/>
      </c:valAx>
      <c:valAx>
        <c:axId val="180215673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AU" sz="1200"/>
                  <a:t>Price</a:t>
                </a:r>
              </a:p>
            </c:rich>
          </c:tx>
          <c:layout>
            <c:manualLayout>
              <c:xMode val="edge"/>
              <c:yMode val="edge"/>
              <c:x val="3.3900262467191598E-2"/>
              <c:y val="0.1339504957713619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one"/>
        <c:spPr>
          <a:noFill/>
          <a:ln w="9525" cap="flat" cmpd="sng" algn="ctr">
            <a:solidFill>
              <a:schemeClr val="tx1">
                <a:lumMod val="25000"/>
                <a:lumOff val="75000"/>
                <a:alpha val="98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9531040"/>
        <c:crosses val="autoZero"/>
        <c:crossBetween val="midCat"/>
      </c:valAx>
      <c:spPr>
        <a:noFill/>
        <a:ln>
          <a:noFill/>
        </a:ln>
        <a:effectLst/>
      </c:spPr>
    </c:plotArea>
    <c:legend>
      <c:legendPos val="b"/>
      <c:layout>
        <c:manualLayout>
          <c:xMode val="edge"/>
          <c:yMode val="edge"/>
          <c:x val="0.33484426946631674"/>
          <c:y val="0.88752004957713615"/>
          <c:w val="0.38586701662292217"/>
          <c:h val="8.933180227471565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DA900-5783-462C-BD57-7F4106EE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41</Pages>
  <Words>16759</Words>
  <Characters>95532</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University of Tasmania</Company>
  <LinksUpToDate>false</LinksUpToDate>
  <CharactersWithSpaces>112067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Lyle</dc:creator>
  <cp:keywords/>
  <dc:description/>
  <cp:lastModifiedBy>Finn, Kelly</cp:lastModifiedBy>
  <cp:revision>3</cp:revision>
  <dcterms:created xsi:type="dcterms:W3CDTF">2024-02-02T02:57:00Z</dcterms:created>
  <dcterms:modified xsi:type="dcterms:W3CDTF">2024-02-15T06:08:00Z</dcterms:modified>
</cp:coreProperties>
</file>