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11CE" w14:textId="77777777" w:rsidR="00715914" w:rsidRPr="00927002" w:rsidRDefault="00DA186E" w:rsidP="00B05CF4">
      <w:pPr>
        <w:rPr>
          <w:sz w:val="28"/>
        </w:rPr>
      </w:pPr>
      <w:r w:rsidRPr="00927002">
        <w:rPr>
          <w:noProof/>
          <w:lang w:eastAsia="en-AU"/>
        </w:rPr>
        <w:drawing>
          <wp:inline distT="0" distB="0" distL="0" distR="0" wp14:anchorId="422048AD" wp14:editId="6B90EE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EC7B5" w14:textId="77777777" w:rsidR="00715914" w:rsidRPr="00927002" w:rsidRDefault="00715914" w:rsidP="00715914">
      <w:pPr>
        <w:rPr>
          <w:sz w:val="19"/>
        </w:rPr>
      </w:pPr>
    </w:p>
    <w:p w14:paraId="2B202340" w14:textId="77777777" w:rsidR="00715914" w:rsidRPr="00927002" w:rsidRDefault="00082DBB" w:rsidP="00715914">
      <w:pPr>
        <w:pStyle w:val="ShortT"/>
      </w:pPr>
      <w:r w:rsidRPr="00927002">
        <w:t>Public Service (Terms and Conditi</w:t>
      </w:r>
      <w:r w:rsidR="00C2067E" w:rsidRPr="00927002">
        <w:t>ons of Employment) (Biosecurity and Veterinarian</w:t>
      </w:r>
      <w:r w:rsidR="00B15F50" w:rsidRPr="00927002">
        <w:t xml:space="preserve"> Employees</w:t>
      </w:r>
      <w:r w:rsidRPr="00927002">
        <w:t xml:space="preserve">) </w:t>
      </w:r>
      <w:r w:rsidR="00237EDB" w:rsidRPr="00927002">
        <w:t>Determination</w:t>
      </w:r>
      <w:r w:rsidR="00927002" w:rsidRPr="00927002">
        <w:t> </w:t>
      </w:r>
      <w:r w:rsidR="00237EDB" w:rsidRPr="00927002">
        <w:t>2</w:t>
      </w:r>
      <w:r w:rsidRPr="00927002">
        <w:t>020</w:t>
      </w:r>
    </w:p>
    <w:p w14:paraId="0AF52672" w14:textId="77777777" w:rsidR="00082DBB" w:rsidRPr="00927002" w:rsidRDefault="00082DBB" w:rsidP="00542DE8">
      <w:pPr>
        <w:pStyle w:val="SignCoverPageStart"/>
        <w:rPr>
          <w:szCs w:val="22"/>
        </w:rPr>
      </w:pPr>
      <w:r w:rsidRPr="00927002">
        <w:rPr>
          <w:szCs w:val="22"/>
        </w:rPr>
        <w:t>I, Greg Hunt, Minister Assisting the Prime Minister for the Public Service and Cabinet, make the following determination.</w:t>
      </w:r>
    </w:p>
    <w:p w14:paraId="79D08EDF" w14:textId="77777777" w:rsidR="00082DBB" w:rsidRPr="00927002" w:rsidRDefault="00082DBB" w:rsidP="00542DE8">
      <w:pPr>
        <w:keepNext/>
        <w:spacing w:before="300" w:line="240" w:lineRule="atLeast"/>
        <w:ind w:right="397"/>
        <w:jc w:val="both"/>
        <w:rPr>
          <w:szCs w:val="22"/>
        </w:rPr>
      </w:pPr>
      <w:r w:rsidRPr="00927002">
        <w:rPr>
          <w:szCs w:val="22"/>
        </w:rPr>
        <w:t>Dated</w:t>
      </w:r>
      <w:r w:rsidR="008D3CC9">
        <w:rPr>
          <w:szCs w:val="22"/>
        </w:rPr>
        <w:t xml:space="preserve"> 30 January </w:t>
      </w:r>
      <w:r w:rsidRPr="00927002">
        <w:rPr>
          <w:szCs w:val="22"/>
        </w:rPr>
        <w:fldChar w:fldCharType="begin"/>
      </w:r>
      <w:r w:rsidRPr="00927002">
        <w:rPr>
          <w:szCs w:val="22"/>
        </w:rPr>
        <w:instrText xml:space="preserve"> DOCPROPERTY  DateMade </w:instrText>
      </w:r>
      <w:r w:rsidRPr="00927002">
        <w:rPr>
          <w:szCs w:val="22"/>
        </w:rPr>
        <w:fldChar w:fldCharType="separate"/>
      </w:r>
      <w:r w:rsidR="00822ECB">
        <w:rPr>
          <w:szCs w:val="22"/>
        </w:rPr>
        <w:t>2020</w:t>
      </w:r>
      <w:r w:rsidRPr="00927002">
        <w:rPr>
          <w:szCs w:val="22"/>
        </w:rPr>
        <w:fldChar w:fldCharType="end"/>
      </w:r>
    </w:p>
    <w:p w14:paraId="5105E856" w14:textId="77777777" w:rsidR="00082DBB" w:rsidRPr="00927002" w:rsidRDefault="00082DBB" w:rsidP="00542D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27002">
        <w:rPr>
          <w:szCs w:val="22"/>
        </w:rPr>
        <w:t>Greg Hunt</w:t>
      </w:r>
    </w:p>
    <w:p w14:paraId="6AAF17A9" w14:textId="77777777" w:rsidR="00082DBB" w:rsidRPr="00927002" w:rsidRDefault="00082DBB" w:rsidP="00542DE8">
      <w:pPr>
        <w:pStyle w:val="SignCoverPageEnd"/>
        <w:rPr>
          <w:szCs w:val="22"/>
        </w:rPr>
      </w:pPr>
      <w:r w:rsidRPr="00927002">
        <w:rPr>
          <w:szCs w:val="22"/>
        </w:rPr>
        <w:t>Minister Assisting the Prime Minister for the Public Service and Cabinet</w:t>
      </w:r>
    </w:p>
    <w:p w14:paraId="5A2BA83A" w14:textId="77777777" w:rsidR="00082DBB" w:rsidRPr="00927002" w:rsidRDefault="00082DBB" w:rsidP="00542DE8"/>
    <w:p w14:paraId="57E1A03F" w14:textId="77777777" w:rsidR="00715914" w:rsidRPr="00EB7EF9" w:rsidRDefault="00715914" w:rsidP="00715914">
      <w:pPr>
        <w:pStyle w:val="Header"/>
        <w:tabs>
          <w:tab w:val="clear" w:pos="4150"/>
          <w:tab w:val="clear" w:pos="8307"/>
        </w:tabs>
      </w:pPr>
      <w:r w:rsidRPr="00EB7EF9">
        <w:rPr>
          <w:rStyle w:val="CharChapNo"/>
        </w:rPr>
        <w:t xml:space="preserve"> </w:t>
      </w:r>
      <w:r w:rsidRPr="00EB7EF9">
        <w:rPr>
          <w:rStyle w:val="CharChapText"/>
        </w:rPr>
        <w:t xml:space="preserve"> </w:t>
      </w:r>
    </w:p>
    <w:p w14:paraId="05CD6F4D" w14:textId="77777777" w:rsidR="00715914" w:rsidRPr="00EB7EF9" w:rsidRDefault="00715914" w:rsidP="00715914">
      <w:pPr>
        <w:pStyle w:val="Header"/>
        <w:tabs>
          <w:tab w:val="clear" w:pos="4150"/>
          <w:tab w:val="clear" w:pos="8307"/>
        </w:tabs>
      </w:pPr>
      <w:r w:rsidRPr="00EB7EF9">
        <w:rPr>
          <w:rStyle w:val="CharPartNo"/>
        </w:rPr>
        <w:t xml:space="preserve"> </w:t>
      </w:r>
      <w:r w:rsidRPr="00EB7EF9">
        <w:rPr>
          <w:rStyle w:val="CharPartText"/>
        </w:rPr>
        <w:t xml:space="preserve"> </w:t>
      </w:r>
    </w:p>
    <w:p w14:paraId="35338B5B" w14:textId="77777777" w:rsidR="00715914" w:rsidRPr="00EB7EF9" w:rsidRDefault="00715914" w:rsidP="00715914">
      <w:pPr>
        <w:pStyle w:val="Header"/>
        <w:tabs>
          <w:tab w:val="clear" w:pos="4150"/>
          <w:tab w:val="clear" w:pos="8307"/>
        </w:tabs>
      </w:pPr>
      <w:r w:rsidRPr="00EB7EF9">
        <w:rPr>
          <w:rStyle w:val="CharDivNo"/>
        </w:rPr>
        <w:t xml:space="preserve"> </w:t>
      </w:r>
      <w:r w:rsidRPr="00EB7EF9">
        <w:rPr>
          <w:rStyle w:val="CharDivText"/>
        </w:rPr>
        <w:t xml:space="preserve"> </w:t>
      </w:r>
    </w:p>
    <w:p w14:paraId="1575E63F" w14:textId="77777777" w:rsidR="00715914" w:rsidRPr="00927002" w:rsidRDefault="00715914" w:rsidP="00715914">
      <w:pPr>
        <w:sectPr w:rsidR="00715914" w:rsidRPr="00927002" w:rsidSect="002036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0EBD9A" w14:textId="77777777" w:rsidR="00F67BCA" w:rsidRPr="00927002" w:rsidRDefault="00715914" w:rsidP="00927002">
      <w:pPr>
        <w:rPr>
          <w:sz w:val="36"/>
        </w:rPr>
      </w:pPr>
      <w:r w:rsidRPr="00927002">
        <w:rPr>
          <w:sz w:val="36"/>
        </w:rPr>
        <w:lastRenderedPageBreak/>
        <w:t>Contents</w:t>
      </w:r>
    </w:p>
    <w:p w14:paraId="3B8C980F" w14:textId="77777777" w:rsidR="00D16CEF" w:rsidRPr="00927002" w:rsidRDefault="00D16CE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7002">
        <w:fldChar w:fldCharType="begin"/>
      </w:r>
      <w:r w:rsidRPr="00927002">
        <w:instrText xml:space="preserve"> TOC \o "1</w:instrText>
      </w:r>
      <w:r w:rsidR="001868E5">
        <w:noBreakHyphen/>
      </w:r>
      <w:r w:rsidRPr="00927002">
        <w:instrText xml:space="preserve">9" </w:instrText>
      </w:r>
      <w:r w:rsidRPr="00927002">
        <w:fldChar w:fldCharType="separate"/>
      </w:r>
      <w:r w:rsidRPr="00927002">
        <w:rPr>
          <w:noProof/>
        </w:rPr>
        <w:t>Part</w:t>
      </w:r>
      <w:r w:rsidR="00927002" w:rsidRPr="00927002">
        <w:rPr>
          <w:noProof/>
        </w:rPr>
        <w:t> </w:t>
      </w:r>
      <w:r w:rsidRPr="00927002">
        <w:rPr>
          <w:noProof/>
        </w:rPr>
        <w:t>1—Preliminary</w:t>
      </w:r>
      <w:r w:rsidRPr="00927002">
        <w:rPr>
          <w:b w:val="0"/>
          <w:noProof/>
          <w:sz w:val="18"/>
        </w:rPr>
        <w:tab/>
      </w:r>
      <w:r w:rsidRPr="00927002">
        <w:rPr>
          <w:b w:val="0"/>
          <w:noProof/>
          <w:sz w:val="18"/>
        </w:rPr>
        <w:fldChar w:fldCharType="begin"/>
      </w:r>
      <w:r w:rsidRPr="00927002">
        <w:rPr>
          <w:b w:val="0"/>
          <w:noProof/>
          <w:sz w:val="18"/>
        </w:rPr>
        <w:instrText xml:space="preserve"> PAGEREF _Toc31206266 \h </w:instrText>
      </w:r>
      <w:r w:rsidRPr="00927002">
        <w:rPr>
          <w:b w:val="0"/>
          <w:noProof/>
          <w:sz w:val="18"/>
        </w:rPr>
      </w:r>
      <w:r w:rsidRPr="00927002">
        <w:rPr>
          <w:b w:val="0"/>
          <w:noProof/>
          <w:sz w:val="18"/>
        </w:rPr>
        <w:fldChar w:fldCharType="separate"/>
      </w:r>
      <w:r w:rsidR="00822ECB">
        <w:rPr>
          <w:b w:val="0"/>
          <w:noProof/>
          <w:sz w:val="18"/>
        </w:rPr>
        <w:t>1</w:t>
      </w:r>
      <w:r w:rsidRPr="00927002">
        <w:rPr>
          <w:b w:val="0"/>
          <w:noProof/>
          <w:sz w:val="18"/>
        </w:rPr>
        <w:fldChar w:fldCharType="end"/>
      </w:r>
    </w:p>
    <w:p w14:paraId="1BB24C7F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1</w:t>
      </w:r>
      <w:r w:rsidRPr="00927002">
        <w:rPr>
          <w:noProof/>
        </w:rPr>
        <w:tab/>
        <w:t>Name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_Toc31206267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</w:t>
      </w:r>
      <w:r w:rsidRPr="00927002">
        <w:rPr>
          <w:noProof/>
        </w:rPr>
        <w:fldChar w:fldCharType="end"/>
      </w:r>
    </w:p>
    <w:p w14:paraId="222D5DD5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2</w:t>
      </w:r>
      <w:r w:rsidRPr="00927002">
        <w:rPr>
          <w:noProof/>
        </w:rPr>
        <w:tab/>
        <w:t>Commencement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_Toc31206268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</w:t>
      </w:r>
      <w:r w:rsidRPr="00927002">
        <w:rPr>
          <w:noProof/>
        </w:rPr>
        <w:fldChar w:fldCharType="end"/>
      </w:r>
    </w:p>
    <w:p w14:paraId="417588F9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3</w:t>
      </w:r>
      <w:r w:rsidRPr="00927002">
        <w:rPr>
          <w:noProof/>
        </w:rPr>
        <w:tab/>
        <w:t>Authority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_Toc31206269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</w:t>
      </w:r>
      <w:r w:rsidRPr="00927002">
        <w:rPr>
          <w:noProof/>
        </w:rPr>
        <w:fldChar w:fldCharType="end"/>
      </w:r>
    </w:p>
    <w:p w14:paraId="55149511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4</w:t>
      </w:r>
      <w:r w:rsidRPr="00927002">
        <w:rPr>
          <w:noProof/>
        </w:rPr>
        <w:tab/>
        <w:t>Definitions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_Toc31206270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</w:t>
      </w:r>
      <w:r w:rsidRPr="00927002">
        <w:rPr>
          <w:noProof/>
        </w:rPr>
        <w:fldChar w:fldCharType="end"/>
      </w:r>
    </w:p>
    <w:p w14:paraId="11A79A80" w14:textId="77777777" w:rsidR="00D16CEF" w:rsidRPr="00927002" w:rsidRDefault="00D16CE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7002">
        <w:rPr>
          <w:noProof/>
        </w:rPr>
        <w:t>Part</w:t>
      </w:r>
      <w:r w:rsidR="00927002" w:rsidRPr="00927002">
        <w:rPr>
          <w:noProof/>
        </w:rPr>
        <w:t> </w:t>
      </w:r>
      <w:r w:rsidRPr="00927002">
        <w:rPr>
          <w:noProof/>
        </w:rPr>
        <w:t>2—Biosecurity employees</w:t>
      </w:r>
      <w:r w:rsidRPr="00927002">
        <w:rPr>
          <w:b w:val="0"/>
          <w:noProof/>
          <w:sz w:val="18"/>
        </w:rPr>
        <w:tab/>
      </w:r>
      <w:r w:rsidRPr="00927002">
        <w:rPr>
          <w:b w:val="0"/>
          <w:noProof/>
          <w:sz w:val="18"/>
        </w:rPr>
        <w:fldChar w:fldCharType="begin"/>
      </w:r>
      <w:r w:rsidRPr="00927002">
        <w:rPr>
          <w:b w:val="0"/>
          <w:noProof/>
          <w:sz w:val="18"/>
        </w:rPr>
        <w:instrText xml:space="preserve"> PAGEREF _Toc31206271 \h </w:instrText>
      </w:r>
      <w:r w:rsidRPr="00927002">
        <w:rPr>
          <w:b w:val="0"/>
          <w:noProof/>
          <w:sz w:val="18"/>
        </w:rPr>
      </w:r>
      <w:r w:rsidRPr="00927002">
        <w:rPr>
          <w:b w:val="0"/>
          <w:noProof/>
          <w:sz w:val="18"/>
        </w:rPr>
        <w:fldChar w:fldCharType="separate"/>
      </w:r>
      <w:r w:rsidR="00822ECB">
        <w:rPr>
          <w:b w:val="0"/>
          <w:noProof/>
          <w:sz w:val="18"/>
        </w:rPr>
        <w:t>3</w:t>
      </w:r>
      <w:r w:rsidRPr="00927002">
        <w:rPr>
          <w:b w:val="0"/>
          <w:noProof/>
          <w:sz w:val="18"/>
        </w:rPr>
        <w:fldChar w:fldCharType="end"/>
      </w:r>
    </w:p>
    <w:p w14:paraId="65DED480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5</w:t>
      </w:r>
      <w:r w:rsidRPr="00927002">
        <w:rPr>
          <w:noProof/>
        </w:rPr>
        <w:tab/>
        <w:t>Application of this Part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_Toc31206272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3</w:t>
      </w:r>
      <w:r w:rsidRPr="00927002">
        <w:rPr>
          <w:noProof/>
        </w:rPr>
        <w:fldChar w:fldCharType="end"/>
      </w:r>
    </w:p>
    <w:p w14:paraId="308B0E97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6</w:t>
      </w:r>
      <w:r w:rsidRPr="00927002">
        <w:rPr>
          <w:noProof/>
        </w:rPr>
        <w:tab/>
        <w:t>When this Part ceases to apply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_Toc31206273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3</w:t>
      </w:r>
      <w:r w:rsidRPr="00927002">
        <w:rPr>
          <w:noProof/>
        </w:rPr>
        <w:fldChar w:fldCharType="end"/>
      </w:r>
    </w:p>
    <w:p w14:paraId="61BB7365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7</w:t>
      </w:r>
      <w:r w:rsidRPr="00927002">
        <w:rPr>
          <w:noProof/>
        </w:rPr>
        <w:tab/>
        <w:t>Terms and conditions of employment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_Toc31206274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3</w:t>
      </w:r>
      <w:r w:rsidRPr="00927002">
        <w:rPr>
          <w:noProof/>
        </w:rPr>
        <w:fldChar w:fldCharType="end"/>
      </w:r>
    </w:p>
    <w:p w14:paraId="6F46E0E6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8</w:t>
      </w:r>
      <w:r w:rsidRPr="00927002">
        <w:rPr>
          <w:noProof/>
        </w:rPr>
        <w:tab/>
        <w:t>DEE (Biosecurity) Agreement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_Toc31206275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3</w:t>
      </w:r>
      <w:r w:rsidRPr="00927002">
        <w:rPr>
          <w:noProof/>
        </w:rPr>
        <w:fldChar w:fldCharType="end"/>
      </w:r>
    </w:p>
    <w:p w14:paraId="0D2ED763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9</w:t>
      </w:r>
      <w:r w:rsidRPr="00927002">
        <w:rPr>
          <w:noProof/>
        </w:rPr>
        <w:tab/>
        <w:t>Procedure for dealing with disputes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_Toc31206276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9</w:t>
      </w:r>
      <w:r w:rsidRPr="00927002">
        <w:rPr>
          <w:noProof/>
        </w:rPr>
        <w:fldChar w:fldCharType="end"/>
      </w:r>
    </w:p>
    <w:p w14:paraId="59099FF2" w14:textId="77777777" w:rsidR="00D16CEF" w:rsidRPr="00927002" w:rsidRDefault="00D16CE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7002">
        <w:rPr>
          <w:noProof/>
        </w:rPr>
        <w:t>Part</w:t>
      </w:r>
      <w:r w:rsidR="00927002" w:rsidRPr="00927002">
        <w:rPr>
          <w:noProof/>
        </w:rPr>
        <w:t> </w:t>
      </w:r>
      <w:r w:rsidRPr="00927002">
        <w:rPr>
          <w:noProof/>
        </w:rPr>
        <w:t>3—Veterinarian employees who are not biosecurity employees</w:t>
      </w:r>
      <w:r w:rsidRPr="00927002">
        <w:rPr>
          <w:b w:val="0"/>
          <w:noProof/>
          <w:sz w:val="18"/>
        </w:rPr>
        <w:tab/>
      </w:r>
      <w:r w:rsidRPr="00927002">
        <w:rPr>
          <w:b w:val="0"/>
          <w:noProof/>
          <w:sz w:val="18"/>
        </w:rPr>
        <w:fldChar w:fldCharType="begin"/>
      </w:r>
      <w:r w:rsidRPr="00927002">
        <w:rPr>
          <w:b w:val="0"/>
          <w:noProof/>
          <w:sz w:val="18"/>
        </w:rPr>
        <w:instrText xml:space="preserve"> PAGEREF _Toc31206277 \h </w:instrText>
      </w:r>
      <w:r w:rsidRPr="00927002">
        <w:rPr>
          <w:b w:val="0"/>
          <w:noProof/>
          <w:sz w:val="18"/>
        </w:rPr>
      </w:r>
      <w:r w:rsidRPr="00927002">
        <w:rPr>
          <w:b w:val="0"/>
          <w:noProof/>
          <w:sz w:val="18"/>
        </w:rPr>
        <w:fldChar w:fldCharType="separate"/>
      </w:r>
      <w:r w:rsidR="00822ECB">
        <w:rPr>
          <w:b w:val="0"/>
          <w:noProof/>
          <w:sz w:val="18"/>
        </w:rPr>
        <w:t>10</w:t>
      </w:r>
      <w:r w:rsidRPr="00927002">
        <w:rPr>
          <w:b w:val="0"/>
          <w:noProof/>
          <w:sz w:val="18"/>
        </w:rPr>
        <w:fldChar w:fldCharType="end"/>
      </w:r>
    </w:p>
    <w:p w14:paraId="6149DC7B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10</w:t>
      </w:r>
      <w:r w:rsidRPr="00927002">
        <w:rPr>
          <w:noProof/>
        </w:rPr>
        <w:tab/>
        <w:t>Application of this Part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_Toc31206278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10</w:t>
      </w:r>
      <w:r w:rsidRPr="00927002">
        <w:rPr>
          <w:noProof/>
        </w:rPr>
        <w:fldChar w:fldCharType="end"/>
      </w:r>
    </w:p>
    <w:p w14:paraId="699C4528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11</w:t>
      </w:r>
      <w:r w:rsidRPr="00927002">
        <w:rPr>
          <w:noProof/>
        </w:rPr>
        <w:tab/>
        <w:t>When this Part ceases to apply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_Toc31206279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10</w:t>
      </w:r>
      <w:r w:rsidRPr="00927002">
        <w:rPr>
          <w:noProof/>
        </w:rPr>
        <w:fldChar w:fldCharType="end"/>
      </w:r>
    </w:p>
    <w:p w14:paraId="2B15EDA5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12</w:t>
      </w:r>
      <w:r w:rsidRPr="00927002">
        <w:rPr>
          <w:noProof/>
        </w:rPr>
        <w:tab/>
        <w:t>Terms and conditions of employment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_Toc31206280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10</w:t>
      </w:r>
      <w:r w:rsidRPr="00927002">
        <w:rPr>
          <w:noProof/>
        </w:rPr>
        <w:fldChar w:fldCharType="end"/>
      </w:r>
    </w:p>
    <w:p w14:paraId="034A8BD1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13</w:t>
      </w:r>
      <w:r w:rsidRPr="00927002">
        <w:rPr>
          <w:noProof/>
        </w:rPr>
        <w:tab/>
        <w:t>DEE (Veterinarian) Agreement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_Toc31206281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10</w:t>
      </w:r>
      <w:r w:rsidRPr="00927002">
        <w:rPr>
          <w:noProof/>
        </w:rPr>
        <w:fldChar w:fldCharType="end"/>
      </w:r>
    </w:p>
    <w:p w14:paraId="5DE27F3B" w14:textId="77777777" w:rsidR="00D16CEF" w:rsidRPr="00927002" w:rsidRDefault="00D16C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7002">
        <w:rPr>
          <w:noProof/>
        </w:rPr>
        <w:t>14</w:t>
      </w:r>
      <w:r w:rsidRPr="00927002">
        <w:rPr>
          <w:noProof/>
        </w:rPr>
        <w:tab/>
        <w:t>Procedure for dealing with disputes</w:t>
      </w:r>
      <w:r w:rsidRPr="00927002">
        <w:rPr>
          <w:noProof/>
        </w:rPr>
        <w:tab/>
      </w:r>
      <w:r w:rsidRPr="00927002">
        <w:rPr>
          <w:noProof/>
        </w:rPr>
        <w:fldChar w:fldCharType="begin"/>
      </w:r>
      <w:r w:rsidRPr="00927002">
        <w:rPr>
          <w:noProof/>
        </w:rPr>
        <w:instrText xml:space="preserve"> PAGEREF _Toc31206282 \h </w:instrText>
      </w:r>
      <w:r w:rsidRPr="00927002">
        <w:rPr>
          <w:noProof/>
        </w:rPr>
      </w:r>
      <w:r w:rsidRPr="00927002">
        <w:rPr>
          <w:noProof/>
        </w:rPr>
        <w:fldChar w:fldCharType="separate"/>
      </w:r>
      <w:r w:rsidR="00822ECB">
        <w:rPr>
          <w:noProof/>
        </w:rPr>
        <w:t>13</w:t>
      </w:r>
      <w:r w:rsidRPr="00927002">
        <w:rPr>
          <w:noProof/>
        </w:rPr>
        <w:fldChar w:fldCharType="end"/>
      </w:r>
    </w:p>
    <w:p w14:paraId="5537DE04" w14:textId="77777777" w:rsidR="00670EA1" w:rsidRPr="00927002" w:rsidRDefault="00D16CEF" w:rsidP="00715914">
      <w:r w:rsidRPr="00927002">
        <w:fldChar w:fldCharType="end"/>
      </w:r>
    </w:p>
    <w:p w14:paraId="5B4D194A" w14:textId="77777777" w:rsidR="00670EA1" w:rsidRPr="00927002" w:rsidRDefault="00670EA1" w:rsidP="00715914">
      <w:pPr>
        <w:sectPr w:rsidR="00670EA1" w:rsidRPr="00927002" w:rsidSect="002036B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D023EB" w14:textId="77777777" w:rsidR="001C5133" w:rsidRPr="00927002" w:rsidRDefault="00237EDB" w:rsidP="001C5133">
      <w:pPr>
        <w:pStyle w:val="ActHead2"/>
        <w:pageBreakBefore/>
      </w:pPr>
      <w:bookmarkStart w:id="0" w:name="_Toc31206266"/>
      <w:r w:rsidRPr="00EB7EF9">
        <w:rPr>
          <w:rStyle w:val="CharPartNo"/>
        </w:rPr>
        <w:lastRenderedPageBreak/>
        <w:t>Part</w:t>
      </w:r>
      <w:r w:rsidR="00927002" w:rsidRPr="00EB7EF9">
        <w:rPr>
          <w:rStyle w:val="CharPartNo"/>
        </w:rPr>
        <w:t> </w:t>
      </w:r>
      <w:r w:rsidRPr="00EB7EF9">
        <w:rPr>
          <w:rStyle w:val="CharPartNo"/>
        </w:rPr>
        <w:t>1</w:t>
      </w:r>
      <w:r w:rsidR="001C5133" w:rsidRPr="00927002">
        <w:t>—</w:t>
      </w:r>
      <w:r w:rsidR="001C5133" w:rsidRPr="00EB7EF9">
        <w:rPr>
          <w:rStyle w:val="CharPartText"/>
        </w:rPr>
        <w:t>Preliminary</w:t>
      </w:r>
      <w:bookmarkEnd w:id="0"/>
    </w:p>
    <w:p w14:paraId="46FEC7C3" w14:textId="77777777" w:rsidR="001C5133" w:rsidRPr="00EB7EF9" w:rsidRDefault="001C5133" w:rsidP="001C5133">
      <w:pPr>
        <w:pStyle w:val="Header"/>
      </w:pPr>
      <w:r w:rsidRPr="00EB7EF9">
        <w:rPr>
          <w:rStyle w:val="CharDivNo"/>
        </w:rPr>
        <w:t xml:space="preserve"> </w:t>
      </w:r>
      <w:r w:rsidRPr="00EB7EF9">
        <w:rPr>
          <w:rStyle w:val="CharDivText"/>
        </w:rPr>
        <w:t xml:space="preserve"> </w:t>
      </w:r>
    </w:p>
    <w:p w14:paraId="37425211" w14:textId="77777777" w:rsidR="00715914" w:rsidRPr="00927002" w:rsidRDefault="00F74AF3" w:rsidP="00715914">
      <w:pPr>
        <w:pStyle w:val="ActHead5"/>
      </w:pPr>
      <w:bookmarkStart w:id="1" w:name="_Toc31206267"/>
      <w:proofErr w:type="gramStart"/>
      <w:r w:rsidRPr="00EB7EF9">
        <w:rPr>
          <w:rStyle w:val="CharSectno"/>
        </w:rPr>
        <w:t>1</w:t>
      </w:r>
      <w:r w:rsidR="00715914" w:rsidRPr="00927002">
        <w:t xml:space="preserve">  </w:t>
      </w:r>
      <w:r w:rsidR="00CE493D" w:rsidRPr="00927002">
        <w:t>Name</w:t>
      </w:r>
      <w:bookmarkEnd w:id="1"/>
      <w:proofErr w:type="gramEnd"/>
    </w:p>
    <w:p w14:paraId="065321EF" w14:textId="77777777" w:rsidR="00715914" w:rsidRPr="00927002" w:rsidRDefault="00715914" w:rsidP="00715914">
      <w:pPr>
        <w:pStyle w:val="subsection"/>
      </w:pPr>
      <w:r w:rsidRPr="00927002">
        <w:tab/>
      </w:r>
      <w:r w:rsidRPr="00927002">
        <w:tab/>
      </w:r>
      <w:r w:rsidR="00082DBB" w:rsidRPr="00927002">
        <w:t>This instrument is</w:t>
      </w:r>
      <w:r w:rsidR="00CE493D" w:rsidRPr="00927002">
        <w:t xml:space="preserve"> the </w:t>
      </w:r>
      <w:r w:rsidR="00BC76AC" w:rsidRPr="00927002">
        <w:rPr>
          <w:i/>
        </w:rPr>
        <w:fldChar w:fldCharType="begin"/>
      </w:r>
      <w:r w:rsidR="00BC76AC" w:rsidRPr="00927002">
        <w:rPr>
          <w:i/>
        </w:rPr>
        <w:instrText xml:space="preserve"> STYLEREF  ShortT </w:instrText>
      </w:r>
      <w:r w:rsidR="00BC76AC" w:rsidRPr="00927002">
        <w:rPr>
          <w:i/>
        </w:rPr>
        <w:fldChar w:fldCharType="separate"/>
      </w:r>
      <w:r w:rsidR="00822ECB">
        <w:rPr>
          <w:i/>
          <w:noProof/>
        </w:rPr>
        <w:t>Public Service (Terms and Conditions of Employment) (Biosecurity and Veterinarian Employees) Determination 2020</w:t>
      </w:r>
      <w:r w:rsidR="00BC76AC" w:rsidRPr="00927002">
        <w:rPr>
          <w:i/>
        </w:rPr>
        <w:fldChar w:fldCharType="end"/>
      </w:r>
      <w:r w:rsidRPr="00927002">
        <w:t>.</w:t>
      </w:r>
    </w:p>
    <w:p w14:paraId="3E497370" w14:textId="77777777" w:rsidR="00715914" w:rsidRPr="00927002" w:rsidRDefault="00F74AF3" w:rsidP="00715914">
      <w:pPr>
        <w:pStyle w:val="ActHead5"/>
      </w:pPr>
      <w:bookmarkStart w:id="2" w:name="_Toc31206268"/>
      <w:proofErr w:type="gramStart"/>
      <w:r w:rsidRPr="00EB7EF9">
        <w:rPr>
          <w:rStyle w:val="CharSectno"/>
        </w:rPr>
        <w:t>2</w:t>
      </w:r>
      <w:r w:rsidR="00715914" w:rsidRPr="00927002">
        <w:t xml:space="preserve">  Commencement</w:t>
      </w:r>
      <w:bookmarkEnd w:id="2"/>
      <w:proofErr w:type="gramEnd"/>
    </w:p>
    <w:p w14:paraId="22DE7092" w14:textId="77777777" w:rsidR="00AE3652" w:rsidRPr="00927002" w:rsidRDefault="00807626" w:rsidP="00AE3652">
      <w:pPr>
        <w:pStyle w:val="subsection"/>
      </w:pPr>
      <w:r w:rsidRPr="00927002">
        <w:tab/>
      </w:r>
      <w:r w:rsidR="00AE3652" w:rsidRPr="00927002">
        <w:t>(1)</w:t>
      </w:r>
      <w:r w:rsidR="00AE3652" w:rsidRPr="00927002">
        <w:tab/>
        <w:t xml:space="preserve">Each provision of </w:t>
      </w:r>
      <w:r w:rsidR="00082DBB" w:rsidRPr="00927002">
        <w:t>this instrument</w:t>
      </w:r>
      <w:r w:rsidR="00AE3652" w:rsidRPr="00927002">
        <w:t xml:space="preserve"> specified in column 1 of the table commences, or is taken to have commenced, in accordance with column 2 of the table. Any other statement in column 2 has effect according to its terms.</w:t>
      </w:r>
    </w:p>
    <w:p w14:paraId="4A91658F" w14:textId="77777777" w:rsidR="00AE3652" w:rsidRPr="0092700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27002" w14:paraId="4B41364C" w14:textId="77777777" w:rsidTr="00355BA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6F1F498" w14:textId="77777777" w:rsidR="00AE3652" w:rsidRPr="00927002" w:rsidRDefault="00AE3652" w:rsidP="00355BA9">
            <w:pPr>
              <w:pStyle w:val="TableHeading"/>
            </w:pPr>
            <w:r w:rsidRPr="00927002">
              <w:t>Commencement information</w:t>
            </w:r>
          </w:p>
        </w:tc>
      </w:tr>
      <w:tr w:rsidR="00AE3652" w:rsidRPr="00927002" w14:paraId="4B00FD40" w14:textId="77777777" w:rsidTr="00355B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CCDB9A" w14:textId="77777777" w:rsidR="00AE3652" w:rsidRPr="00927002" w:rsidRDefault="00AE3652" w:rsidP="00355BA9">
            <w:pPr>
              <w:pStyle w:val="TableHeading"/>
            </w:pPr>
            <w:r w:rsidRPr="009270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115C32" w14:textId="77777777" w:rsidR="00AE3652" w:rsidRPr="00927002" w:rsidRDefault="00AE3652" w:rsidP="00355BA9">
            <w:pPr>
              <w:pStyle w:val="TableHeading"/>
            </w:pPr>
            <w:r w:rsidRPr="009270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0A94F2" w14:textId="77777777" w:rsidR="00AE3652" w:rsidRPr="00927002" w:rsidRDefault="00AE3652" w:rsidP="00355BA9">
            <w:pPr>
              <w:pStyle w:val="TableHeading"/>
            </w:pPr>
            <w:r w:rsidRPr="00927002">
              <w:t>Column 3</w:t>
            </w:r>
          </w:p>
        </w:tc>
      </w:tr>
      <w:tr w:rsidR="00AE3652" w:rsidRPr="00927002" w14:paraId="68161278" w14:textId="77777777" w:rsidTr="00355BA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006B54" w14:textId="77777777" w:rsidR="00AE3652" w:rsidRPr="00927002" w:rsidRDefault="00AE3652" w:rsidP="00355BA9">
            <w:pPr>
              <w:pStyle w:val="TableHeading"/>
            </w:pPr>
            <w:r w:rsidRPr="009270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221849" w14:textId="77777777" w:rsidR="00AE3652" w:rsidRPr="00927002" w:rsidRDefault="00AE3652" w:rsidP="00355BA9">
            <w:pPr>
              <w:pStyle w:val="TableHeading"/>
            </w:pPr>
            <w:r w:rsidRPr="009270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0A66C9" w14:textId="77777777" w:rsidR="00AE3652" w:rsidRPr="00927002" w:rsidRDefault="00AE3652" w:rsidP="00355BA9">
            <w:pPr>
              <w:pStyle w:val="TableHeading"/>
            </w:pPr>
            <w:r w:rsidRPr="00927002">
              <w:t>Date/Details</w:t>
            </w:r>
          </w:p>
        </w:tc>
      </w:tr>
      <w:tr w:rsidR="00AE3652" w:rsidRPr="00927002" w14:paraId="63F4D280" w14:textId="77777777" w:rsidTr="00355BA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CF838D" w14:textId="77777777" w:rsidR="00AE3652" w:rsidRPr="00927002" w:rsidRDefault="00AE3652" w:rsidP="00542DE8">
            <w:pPr>
              <w:pStyle w:val="Tabletext"/>
            </w:pPr>
            <w:r w:rsidRPr="00927002">
              <w:t xml:space="preserve">1.  The whole of </w:t>
            </w:r>
            <w:r w:rsidR="00082DBB" w:rsidRPr="0092700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F678AA" w14:textId="77777777" w:rsidR="00AE3652" w:rsidRPr="00927002" w:rsidRDefault="004169A0" w:rsidP="00542DE8">
            <w:pPr>
              <w:pStyle w:val="Tabletext"/>
            </w:pPr>
            <w:r w:rsidRPr="00927002">
              <w:t>1</w:t>
            </w:r>
            <w:r w:rsidR="00927002" w:rsidRPr="00927002">
              <w:t> </w:t>
            </w:r>
            <w:r w:rsidRPr="00927002">
              <w:t>February</w:t>
            </w:r>
            <w:r w:rsidR="0046563B" w:rsidRPr="00927002">
              <w:t xml:space="preserve"> 2020</w:t>
            </w:r>
            <w:r w:rsidR="00AE3652" w:rsidRPr="0092700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7FCD54" w14:textId="77777777" w:rsidR="00AE3652" w:rsidRPr="00927002" w:rsidRDefault="004169A0" w:rsidP="00542DE8">
            <w:pPr>
              <w:pStyle w:val="Tabletext"/>
            </w:pPr>
            <w:r w:rsidRPr="00927002">
              <w:t>1</w:t>
            </w:r>
            <w:r w:rsidR="00927002" w:rsidRPr="00927002">
              <w:t> </w:t>
            </w:r>
            <w:r w:rsidRPr="00927002">
              <w:t>February</w:t>
            </w:r>
            <w:r w:rsidR="0046563B" w:rsidRPr="00927002">
              <w:t xml:space="preserve"> 2020</w:t>
            </w:r>
          </w:p>
        </w:tc>
      </w:tr>
    </w:tbl>
    <w:p w14:paraId="423C6CAD" w14:textId="77777777" w:rsidR="00AE3652" w:rsidRPr="00927002" w:rsidRDefault="00AE3652" w:rsidP="00AE3652">
      <w:pPr>
        <w:pStyle w:val="notetext"/>
      </w:pPr>
      <w:r w:rsidRPr="00927002">
        <w:rPr>
          <w:snapToGrid w:val="0"/>
          <w:lang w:eastAsia="en-US"/>
        </w:rPr>
        <w:t>Note:</w:t>
      </w:r>
      <w:r w:rsidRPr="00927002">
        <w:rPr>
          <w:snapToGrid w:val="0"/>
          <w:lang w:eastAsia="en-US"/>
        </w:rPr>
        <w:tab/>
        <w:t xml:space="preserve">This table relates only to the provisions of </w:t>
      </w:r>
      <w:r w:rsidR="00082DBB" w:rsidRPr="00927002">
        <w:rPr>
          <w:snapToGrid w:val="0"/>
          <w:lang w:eastAsia="en-US"/>
        </w:rPr>
        <w:t>this instrument</w:t>
      </w:r>
      <w:r w:rsidRPr="00927002">
        <w:t xml:space="preserve"> </w:t>
      </w:r>
      <w:r w:rsidRPr="00927002">
        <w:rPr>
          <w:snapToGrid w:val="0"/>
          <w:lang w:eastAsia="en-US"/>
        </w:rPr>
        <w:t xml:space="preserve">as originally made. It will not be amended to deal with any later amendments of </w:t>
      </w:r>
      <w:r w:rsidR="00082DBB" w:rsidRPr="00927002">
        <w:rPr>
          <w:snapToGrid w:val="0"/>
          <w:lang w:eastAsia="en-US"/>
        </w:rPr>
        <w:t>this instrument</w:t>
      </w:r>
      <w:r w:rsidRPr="00927002">
        <w:rPr>
          <w:snapToGrid w:val="0"/>
          <w:lang w:eastAsia="en-US"/>
        </w:rPr>
        <w:t>.</w:t>
      </w:r>
    </w:p>
    <w:p w14:paraId="232207DC" w14:textId="77777777" w:rsidR="00807626" w:rsidRPr="00927002" w:rsidRDefault="00AE3652" w:rsidP="00AE3652">
      <w:pPr>
        <w:pStyle w:val="subsection"/>
      </w:pPr>
      <w:r w:rsidRPr="00927002">
        <w:tab/>
        <w:t>(2)</w:t>
      </w:r>
      <w:r w:rsidRPr="00927002">
        <w:tab/>
        <w:t xml:space="preserve">Any information in column 3 of the table is not part of </w:t>
      </w:r>
      <w:r w:rsidR="00082DBB" w:rsidRPr="00927002">
        <w:t>this instrument</w:t>
      </w:r>
      <w:r w:rsidRPr="00927002">
        <w:t xml:space="preserve">. Information may be inserted in this column, or information in it may be edited, in any published version of </w:t>
      </w:r>
      <w:r w:rsidR="00082DBB" w:rsidRPr="00927002">
        <w:t>this instrument</w:t>
      </w:r>
      <w:r w:rsidRPr="00927002">
        <w:t>.</w:t>
      </w:r>
    </w:p>
    <w:p w14:paraId="6B9442AF" w14:textId="77777777" w:rsidR="007500C8" w:rsidRPr="00927002" w:rsidRDefault="00F74AF3" w:rsidP="007500C8">
      <w:pPr>
        <w:pStyle w:val="ActHead5"/>
      </w:pPr>
      <w:bookmarkStart w:id="3" w:name="_Toc31206269"/>
      <w:proofErr w:type="gramStart"/>
      <w:r w:rsidRPr="00EB7EF9">
        <w:rPr>
          <w:rStyle w:val="CharSectno"/>
        </w:rPr>
        <w:t>3</w:t>
      </w:r>
      <w:r w:rsidR="007500C8" w:rsidRPr="00927002">
        <w:t xml:space="preserve">  Authority</w:t>
      </w:r>
      <w:bookmarkEnd w:id="3"/>
      <w:proofErr w:type="gramEnd"/>
    </w:p>
    <w:p w14:paraId="31CF2385" w14:textId="77777777" w:rsidR="003E3566" w:rsidRPr="00927002" w:rsidRDefault="003E3566" w:rsidP="003E3566">
      <w:pPr>
        <w:pStyle w:val="subsection"/>
      </w:pPr>
      <w:r w:rsidRPr="00927002">
        <w:tab/>
      </w:r>
      <w:r w:rsidRPr="00927002">
        <w:tab/>
        <w:t xml:space="preserve">This instrument is made under </w:t>
      </w:r>
      <w:r w:rsidR="004169A0" w:rsidRPr="00927002">
        <w:t>subsection</w:t>
      </w:r>
      <w:r w:rsidR="00927002" w:rsidRPr="00927002">
        <w:t> </w:t>
      </w:r>
      <w:r w:rsidR="004169A0" w:rsidRPr="00927002">
        <w:t>2</w:t>
      </w:r>
      <w:r w:rsidRPr="00927002">
        <w:t xml:space="preserve">4(3) of the </w:t>
      </w:r>
      <w:r w:rsidRPr="00927002">
        <w:rPr>
          <w:i/>
        </w:rPr>
        <w:t>Public Service Act 1999</w:t>
      </w:r>
      <w:r w:rsidRPr="00927002">
        <w:t>.</w:t>
      </w:r>
    </w:p>
    <w:p w14:paraId="7292672D" w14:textId="77777777" w:rsidR="003E3566" w:rsidRPr="00927002" w:rsidRDefault="00F74AF3" w:rsidP="003E3566">
      <w:pPr>
        <w:pStyle w:val="ActHead5"/>
      </w:pPr>
      <w:bookmarkStart w:id="4" w:name="_Toc31206270"/>
      <w:proofErr w:type="gramStart"/>
      <w:r w:rsidRPr="00EB7EF9">
        <w:rPr>
          <w:rStyle w:val="CharSectno"/>
        </w:rPr>
        <w:t>4</w:t>
      </w:r>
      <w:r w:rsidR="003E3566" w:rsidRPr="00927002">
        <w:t xml:space="preserve">  Definitions</w:t>
      </w:r>
      <w:bookmarkEnd w:id="4"/>
      <w:proofErr w:type="gramEnd"/>
    </w:p>
    <w:p w14:paraId="758D1C96" w14:textId="77777777" w:rsidR="003E3566" w:rsidRPr="00927002" w:rsidRDefault="003E3566" w:rsidP="003E3566">
      <w:pPr>
        <w:pStyle w:val="subsection"/>
      </w:pPr>
      <w:r w:rsidRPr="00927002">
        <w:tab/>
      </w:r>
      <w:r w:rsidRPr="00927002">
        <w:tab/>
        <w:t>In this instrument:</w:t>
      </w:r>
    </w:p>
    <w:p w14:paraId="418E8E6B" w14:textId="77777777" w:rsidR="00E10A5E" w:rsidRPr="00927002" w:rsidRDefault="00E10A5E" w:rsidP="00E029AE">
      <w:pPr>
        <w:pStyle w:val="Definition"/>
        <w:rPr>
          <w:bCs/>
          <w:noProof/>
        </w:rPr>
      </w:pPr>
      <w:r w:rsidRPr="00927002">
        <w:rPr>
          <w:b/>
          <w:bCs/>
          <w:i/>
          <w:noProof/>
        </w:rPr>
        <w:t xml:space="preserve">Act </w:t>
      </w:r>
      <w:r w:rsidRPr="00927002">
        <w:rPr>
          <w:bCs/>
          <w:noProof/>
        </w:rPr>
        <w:t xml:space="preserve">means the </w:t>
      </w:r>
      <w:r w:rsidRPr="00927002">
        <w:rPr>
          <w:i/>
        </w:rPr>
        <w:t>Public Service Act 1999</w:t>
      </w:r>
      <w:r w:rsidRPr="00927002">
        <w:t>.</w:t>
      </w:r>
    </w:p>
    <w:p w14:paraId="14FA7651" w14:textId="77777777" w:rsidR="00E029AE" w:rsidRPr="00927002" w:rsidRDefault="00E029AE" w:rsidP="00E029AE">
      <w:pPr>
        <w:pStyle w:val="Definition"/>
        <w:rPr>
          <w:bCs/>
          <w:noProof/>
        </w:rPr>
      </w:pPr>
      <w:r w:rsidRPr="00927002">
        <w:rPr>
          <w:b/>
          <w:bCs/>
          <w:i/>
          <w:noProof/>
        </w:rPr>
        <w:t>biosecurity legislation</w:t>
      </w:r>
      <w:r w:rsidRPr="00927002">
        <w:rPr>
          <w:bCs/>
          <w:noProof/>
        </w:rPr>
        <w:t xml:space="preserve"> means the </w:t>
      </w:r>
      <w:r w:rsidRPr="00927002">
        <w:rPr>
          <w:bCs/>
          <w:i/>
          <w:noProof/>
        </w:rPr>
        <w:t>Biosecurity Act 2015</w:t>
      </w:r>
      <w:r w:rsidRPr="00927002">
        <w:rPr>
          <w:bCs/>
          <w:noProof/>
        </w:rPr>
        <w:t xml:space="preserve">, the </w:t>
      </w:r>
      <w:r w:rsidRPr="00927002">
        <w:rPr>
          <w:bCs/>
          <w:i/>
          <w:noProof/>
        </w:rPr>
        <w:t>Export Control Act 1982</w:t>
      </w:r>
      <w:r w:rsidRPr="00927002">
        <w:rPr>
          <w:bCs/>
          <w:noProof/>
        </w:rPr>
        <w:t xml:space="preserve"> and the </w:t>
      </w:r>
      <w:r w:rsidRPr="00927002">
        <w:rPr>
          <w:bCs/>
          <w:i/>
          <w:noProof/>
        </w:rPr>
        <w:t xml:space="preserve">Imported Food Control Act 1992 </w:t>
      </w:r>
      <w:r w:rsidRPr="00927002">
        <w:rPr>
          <w:bCs/>
          <w:noProof/>
        </w:rPr>
        <w:t>and instruments made under those Acts.</w:t>
      </w:r>
    </w:p>
    <w:p w14:paraId="6799B3ED" w14:textId="77777777" w:rsidR="00CE125E" w:rsidRPr="00927002" w:rsidRDefault="00CE125E" w:rsidP="00E75304">
      <w:pPr>
        <w:pStyle w:val="Definition"/>
        <w:rPr>
          <w:bCs/>
          <w:noProof/>
        </w:rPr>
      </w:pPr>
      <w:r w:rsidRPr="00927002">
        <w:rPr>
          <w:b/>
          <w:bCs/>
          <w:i/>
          <w:noProof/>
        </w:rPr>
        <w:t>Biosecurity</w:t>
      </w:r>
      <w:r w:rsidR="00AB1F96" w:rsidRPr="00927002">
        <w:rPr>
          <w:b/>
          <w:bCs/>
          <w:i/>
          <w:noProof/>
        </w:rPr>
        <w:t xml:space="preserve"> Operations</w:t>
      </w:r>
      <w:r w:rsidRPr="00927002">
        <w:rPr>
          <w:b/>
          <w:bCs/>
          <w:i/>
          <w:noProof/>
        </w:rPr>
        <w:t xml:space="preserve"> Division</w:t>
      </w:r>
      <w:r w:rsidRPr="00927002">
        <w:rPr>
          <w:bCs/>
          <w:noProof/>
        </w:rPr>
        <w:t xml:space="preserve"> means the Division of the Department of A</w:t>
      </w:r>
      <w:r w:rsidR="00525140" w:rsidRPr="00927002">
        <w:rPr>
          <w:bCs/>
          <w:noProof/>
        </w:rPr>
        <w:t>griculture,</w:t>
      </w:r>
      <w:r w:rsidR="00930FA5" w:rsidRPr="00927002">
        <w:rPr>
          <w:bCs/>
          <w:noProof/>
        </w:rPr>
        <w:t xml:space="preserve"> </w:t>
      </w:r>
      <w:r w:rsidRPr="00927002">
        <w:rPr>
          <w:bCs/>
          <w:noProof/>
        </w:rPr>
        <w:t>Water and the Environme</w:t>
      </w:r>
      <w:r w:rsidR="00930FA5" w:rsidRPr="00927002">
        <w:rPr>
          <w:bCs/>
          <w:noProof/>
        </w:rPr>
        <w:t>nt that i</w:t>
      </w:r>
      <w:r w:rsidRPr="00927002">
        <w:rPr>
          <w:bCs/>
          <w:noProof/>
        </w:rPr>
        <w:t>s responsible for</w:t>
      </w:r>
      <w:r w:rsidR="00930FA5" w:rsidRPr="00927002">
        <w:rPr>
          <w:bCs/>
          <w:i/>
          <w:noProof/>
        </w:rPr>
        <w:t xml:space="preserve"> </w:t>
      </w:r>
      <w:r w:rsidRPr="00927002">
        <w:rPr>
          <w:bCs/>
          <w:noProof/>
        </w:rPr>
        <w:t>the following in relation to the biosecurity legislation:</w:t>
      </w:r>
    </w:p>
    <w:p w14:paraId="0E987546" w14:textId="77777777" w:rsidR="00C173F0" w:rsidRPr="00927002" w:rsidRDefault="00C173F0" w:rsidP="00C173F0">
      <w:pPr>
        <w:pStyle w:val="paragraph"/>
      </w:pPr>
      <w:r w:rsidRPr="00927002">
        <w:tab/>
        <w:t>(a)</w:t>
      </w:r>
      <w:r w:rsidRPr="00927002">
        <w:tab/>
        <w:t xml:space="preserve">documentation assessment (import and export) and </w:t>
      </w:r>
      <w:proofErr w:type="gramStart"/>
      <w:r w:rsidRPr="00927002">
        <w:t>clearance;</w:t>
      </w:r>
      <w:proofErr w:type="gramEnd"/>
    </w:p>
    <w:p w14:paraId="09D7C0AC" w14:textId="77777777" w:rsidR="00C173F0" w:rsidRPr="00927002" w:rsidRDefault="00C173F0" w:rsidP="00C173F0">
      <w:pPr>
        <w:pStyle w:val="paragraph"/>
      </w:pPr>
      <w:r w:rsidRPr="00927002">
        <w:tab/>
        <w:t>(b)</w:t>
      </w:r>
      <w:r w:rsidRPr="00927002">
        <w:tab/>
        <w:t xml:space="preserve">inspection of (imported and exported) cargo, mail, passengers and vessels pathways, post border detections, imported food and human health on behalf of the Department of </w:t>
      </w:r>
      <w:proofErr w:type="gramStart"/>
      <w:r w:rsidRPr="00927002">
        <w:t>Health;</w:t>
      </w:r>
      <w:proofErr w:type="gramEnd"/>
    </w:p>
    <w:p w14:paraId="3507297A" w14:textId="77777777" w:rsidR="00C173F0" w:rsidRPr="00927002" w:rsidRDefault="00C173F0" w:rsidP="00C173F0">
      <w:pPr>
        <w:pStyle w:val="paragraph"/>
      </w:pPr>
      <w:r w:rsidRPr="00927002">
        <w:tab/>
        <w:t>(c)</w:t>
      </w:r>
      <w:r w:rsidRPr="00927002">
        <w:tab/>
        <w:t>auditing of new and approved regulated entities (import and export</w:t>
      </w:r>
      <w:proofErr w:type="gramStart"/>
      <w:r w:rsidRPr="00927002">
        <w:t>);</w:t>
      </w:r>
      <w:proofErr w:type="gramEnd"/>
    </w:p>
    <w:p w14:paraId="6ECF007D" w14:textId="77777777" w:rsidR="00C173F0" w:rsidRPr="00927002" w:rsidRDefault="00C173F0" w:rsidP="00C173F0">
      <w:pPr>
        <w:pStyle w:val="paragraph"/>
      </w:pPr>
      <w:r w:rsidRPr="00927002">
        <w:lastRenderedPageBreak/>
        <w:tab/>
        <w:t>(d)</w:t>
      </w:r>
      <w:r w:rsidRPr="00927002">
        <w:tab/>
        <w:t xml:space="preserve">veterinary and food safety regulatory functions for the export of meat, meat products, (import and export) live animals and animal genetic </w:t>
      </w:r>
      <w:proofErr w:type="gramStart"/>
      <w:r w:rsidRPr="00927002">
        <w:t>material;</w:t>
      </w:r>
      <w:proofErr w:type="gramEnd"/>
    </w:p>
    <w:p w14:paraId="1652AD14" w14:textId="77777777" w:rsidR="00C173F0" w:rsidRPr="00927002" w:rsidRDefault="00C173F0" w:rsidP="00C173F0">
      <w:pPr>
        <w:pStyle w:val="paragraph"/>
      </w:pPr>
      <w:r w:rsidRPr="00927002">
        <w:tab/>
        <w:t>(e)</w:t>
      </w:r>
      <w:r w:rsidRPr="00927002">
        <w:tab/>
        <w:t xml:space="preserve">provision of independent observers on export livestock </w:t>
      </w:r>
      <w:proofErr w:type="gramStart"/>
      <w:r w:rsidRPr="00927002">
        <w:t>vessels;</w:t>
      </w:r>
      <w:proofErr w:type="gramEnd"/>
    </w:p>
    <w:p w14:paraId="7CC6A0DE" w14:textId="77777777" w:rsidR="00C173F0" w:rsidRPr="00927002" w:rsidRDefault="00C173F0" w:rsidP="00C173F0">
      <w:pPr>
        <w:pStyle w:val="paragraph"/>
      </w:pPr>
      <w:r w:rsidRPr="00927002">
        <w:tab/>
        <w:t>(f)</w:t>
      </w:r>
      <w:r w:rsidRPr="00927002">
        <w:tab/>
        <w:t>post</w:t>
      </w:r>
      <w:r w:rsidR="001868E5">
        <w:noBreakHyphen/>
      </w:r>
      <w:r w:rsidRPr="00927002">
        <w:t xml:space="preserve">entry quarantine facilities for the importation of dogs, cats, horses, ruminants, bees, birds and </w:t>
      </w:r>
      <w:proofErr w:type="gramStart"/>
      <w:r w:rsidRPr="00927002">
        <w:t>plants;</w:t>
      </w:r>
      <w:proofErr w:type="gramEnd"/>
    </w:p>
    <w:p w14:paraId="6B166539" w14:textId="77777777" w:rsidR="00C173F0" w:rsidRPr="00927002" w:rsidRDefault="00C173F0" w:rsidP="00C173F0">
      <w:pPr>
        <w:pStyle w:val="paragraph"/>
      </w:pPr>
      <w:r w:rsidRPr="00927002">
        <w:tab/>
        <w:t>(g)</w:t>
      </w:r>
      <w:r w:rsidRPr="00927002">
        <w:tab/>
        <w:t xml:space="preserve">stakeholders and client contact services and </w:t>
      </w:r>
      <w:proofErr w:type="gramStart"/>
      <w:r w:rsidRPr="00927002">
        <w:t>support;</w:t>
      </w:r>
      <w:proofErr w:type="gramEnd"/>
    </w:p>
    <w:p w14:paraId="55363038" w14:textId="77777777" w:rsidR="00C173F0" w:rsidRPr="00927002" w:rsidRDefault="00C173F0" w:rsidP="00C173F0">
      <w:pPr>
        <w:pStyle w:val="paragraph"/>
      </w:pPr>
      <w:r w:rsidRPr="00927002">
        <w:tab/>
        <w:t>(h)</w:t>
      </w:r>
      <w:r w:rsidRPr="00927002">
        <w:tab/>
        <w:t xml:space="preserve">community and industry engagement including a network of Indigenous ranger groups undertaking biosecurity </w:t>
      </w:r>
      <w:proofErr w:type="gramStart"/>
      <w:r w:rsidRPr="00927002">
        <w:t>activities;</w:t>
      </w:r>
      <w:proofErr w:type="gramEnd"/>
    </w:p>
    <w:p w14:paraId="1AE4BF92" w14:textId="77777777" w:rsidR="00C173F0" w:rsidRPr="00927002" w:rsidRDefault="00C173F0" w:rsidP="00C173F0">
      <w:pPr>
        <w:pStyle w:val="paragraph"/>
      </w:pPr>
      <w:r w:rsidRPr="00927002">
        <w:tab/>
        <w:t>(</w:t>
      </w:r>
      <w:proofErr w:type="spellStart"/>
      <w:r w:rsidRPr="00927002">
        <w:t>i</w:t>
      </w:r>
      <w:proofErr w:type="spellEnd"/>
      <w:r w:rsidRPr="00927002">
        <w:t>)</w:t>
      </w:r>
      <w:r w:rsidRPr="00927002">
        <w:tab/>
        <w:t>surveillance (pre</w:t>
      </w:r>
      <w:r w:rsidR="001868E5">
        <w:noBreakHyphen/>
      </w:r>
      <w:r w:rsidRPr="00927002">
        <w:t>border, border and post</w:t>
      </w:r>
      <w:r w:rsidR="001868E5">
        <w:noBreakHyphen/>
      </w:r>
      <w:r w:rsidRPr="00927002">
        <w:t xml:space="preserve">border) and response for plant pests and animal diseases on natural and regulated </w:t>
      </w:r>
      <w:proofErr w:type="gramStart"/>
      <w:r w:rsidRPr="00927002">
        <w:t>pathways;</w:t>
      </w:r>
      <w:proofErr w:type="gramEnd"/>
    </w:p>
    <w:p w14:paraId="5495F4BE" w14:textId="77777777" w:rsidR="00C173F0" w:rsidRPr="00927002" w:rsidRDefault="00C173F0" w:rsidP="00C173F0">
      <w:pPr>
        <w:pStyle w:val="paragraph"/>
      </w:pPr>
      <w:r w:rsidRPr="00927002">
        <w:tab/>
        <w:t>(j)</w:t>
      </w:r>
      <w:r w:rsidRPr="00927002">
        <w:tab/>
        <w:t>laboratory diagnostics, with scientific and biosecurit</w:t>
      </w:r>
      <w:r w:rsidR="001C6D93" w:rsidRPr="00927002">
        <w:t>y advice, and training for the D</w:t>
      </w:r>
      <w:r w:rsidRPr="00927002">
        <w:t>epartment’s surveillance, border inspections and post</w:t>
      </w:r>
      <w:r w:rsidR="001868E5">
        <w:noBreakHyphen/>
      </w:r>
      <w:r w:rsidRPr="00927002">
        <w:t>entry plant quarantine.</w:t>
      </w:r>
    </w:p>
    <w:p w14:paraId="17DAF96A" w14:textId="77777777" w:rsidR="00E75304" w:rsidRPr="00927002" w:rsidRDefault="009537F6" w:rsidP="00E75304">
      <w:pPr>
        <w:pStyle w:val="Definition"/>
        <w:rPr>
          <w:noProof/>
        </w:rPr>
      </w:pPr>
      <w:r w:rsidRPr="00927002">
        <w:rPr>
          <w:b/>
          <w:bCs/>
          <w:i/>
          <w:noProof/>
        </w:rPr>
        <w:t>D</w:t>
      </w:r>
      <w:r w:rsidR="005D72D9" w:rsidRPr="00927002">
        <w:rPr>
          <w:b/>
          <w:bCs/>
          <w:i/>
          <w:noProof/>
        </w:rPr>
        <w:t xml:space="preserve">AWR Agreement </w:t>
      </w:r>
      <w:r w:rsidR="005D72D9" w:rsidRPr="00927002">
        <w:rPr>
          <w:bCs/>
          <w:noProof/>
        </w:rPr>
        <w:t>means</w:t>
      </w:r>
      <w:r w:rsidR="00E75304" w:rsidRPr="00927002">
        <w:rPr>
          <w:bCs/>
          <w:noProof/>
        </w:rPr>
        <w:t xml:space="preserve"> the </w:t>
      </w:r>
      <w:r w:rsidR="00E75304" w:rsidRPr="00927002">
        <w:rPr>
          <w:bCs/>
          <w:i/>
          <w:noProof/>
        </w:rPr>
        <w:t>Department of Agriculture and Water Resources Enterprise Agreement 2017</w:t>
      </w:r>
      <w:r w:rsidR="001868E5">
        <w:rPr>
          <w:bCs/>
          <w:i/>
          <w:noProof/>
        </w:rPr>
        <w:noBreakHyphen/>
      </w:r>
      <w:r w:rsidR="00E75304" w:rsidRPr="00927002">
        <w:rPr>
          <w:bCs/>
          <w:i/>
          <w:noProof/>
        </w:rPr>
        <w:t>20</w:t>
      </w:r>
      <w:r w:rsidR="00E75304" w:rsidRPr="00927002">
        <w:rPr>
          <w:bCs/>
          <w:noProof/>
        </w:rPr>
        <w:t xml:space="preserve">, </w:t>
      </w:r>
      <w:r w:rsidR="00E75304" w:rsidRPr="00927002">
        <w:rPr>
          <w:noProof/>
        </w:rPr>
        <w:t>as in force immediately before the commencement of this instrument.</w:t>
      </w:r>
    </w:p>
    <w:p w14:paraId="469F098F" w14:textId="77777777" w:rsidR="005D72D9" w:rsidRPr="00927002" w:rsidRDefault="00E75304" w:rsidP="00E75304">
      <w:pPr>
        <w:pStyle w:val="notetext"/>
      </w:pPr>
      <w:r w:rsidRPr="00927002">
        <w:t>Note:</w:t>
      </w:r>
      <w:r w:rsidRPr="00927002">
        <w:tab/>
        <w:t xml:space="preserve">The </w:t>
      </w:r>
      <w:r w:rsidR="009537F6" w:rsidRPr="00927002">
        <w:t>D</w:t>
      </w:r>
      <w:r w:rsidRPr="00927002">
        <w:rPr>
          <w:noProof/>
        </w:rPr>
        <w:t>AWR Agreement</w:t>
      </w:r>
      <w:r w:rsidRPr="00927002">
        <w:t xml:space="preserve"> could in 2020 be viewed on the Fair Work Commission’s website (</w:t>
      </w:r>
      <w:r w:rsidR="00BF022B" w:rsidRPr="00927002">
        <w:t>https://</w:t>
      </w:r>
      <w:r w:rsidRPr="00927002">
        <w:t>www.fwc.gov.au).</w:t>
      </w:r>
    </w:p>
    <w:p w14:paraId="5E3E99AD" w14:textId="77777777" w:rsidR="00E75304" w:rsidRPr="00927002" w:rsidRDefault="00E75304" w:rsidP="00E75304">
      <w:pPr>
        <w:pStyle w:val="Definition"/>
        <w:rPr>
          <w:noProof/>
        </w:rPr>
      </w:pPr>
      <w:r w:rsidRPr="00927002">
        <w:rPr>
          <w:b/>
          <w:i/>
          <w:noProof/>
        </w:rPr>
        <w:t xml:space="preserve">DEE Agreement </w:t>
      </w:r>
      <w:r w:rsidRPr="00927002">
        <w:rPr>
          <w:noProof/>
        </w:rPr>
        <w:t xml:space="preserve">means the </w:t>
      </w:r>
      <w:r w:rsidR="005B4D8B" w:rsidRPr="00927002">
        <w:rPr>
          <w:bCs/>
          <w:i/>
          <w:noProof/>
        </w:rPr>
        <w:t>Department of the Environment a</w:t>
      </w:r>
      <w:r w:rsidRPr="00927002">
        <w:rPr>
          <w:bCs/>
          <w:i/>
          <w:noProof/>
        </w:rPr>
        <w:t>nd Energy Enterprise Agreement 2016–2019</w:t>
      </w:r>
      <w:r w:rsidRPr="00927002">
        <w:rPr>
          <w:noProof/>
        </w:rPr>
        <w:t>.</w:t>
      </w:r>
    </w:p>
    <w:p w14:paraId="229A5CD0" w14:textId="77777777" w:rsidR="00E75304" w:rsidRPr="00927002" w:rsidRDefault="00E75304" w:rsidP="00E75304">
      <w:pPr>
        <w:pStyle w:val="notetext"/>
        <w:rPr>
          <w:bCs/>
          <w:noProof/>
        </w:rPr>
      </w:pPr>
      <w:r w:rsidRPr="00927002">
        <w:t>Note:</w:t>
      </w:r>
      <w:r w:rsidRPr="00927002">
        <w:tab/>
        <w:t xml:space="preserve">The </w:t>
      </w:r>
      <w:r w:rsidRPr="00927002">
        <w:rPr>
          <w:noProof/>
        </w:rPr>
        <w:t>DEE Agreement</w:t>
      </w:r>
      <w:r w:rsidRPr="00927002">
        <w:t xml:space="preserve"> could in 2020 be viewed on the Fair Work Commission’s website (</w:t>
      </w:r>
      <w:r w:rsidR="00BF022B" w:rsidRPr="00927002">
        <w:t>https://</w:t>
      </w:r>
      <w:r w:rsidRPr="00927002">
        <w:t>www.fwc.gov.au).</w:t>
      </w:r>
    </w:p>
    <w:p w14:paraId="16E75EAC" w14:textId="77777777" w:rsidR="004C34DB" w:rsidRPr="00927002" w:rsidRDefault="004C34DB" w:rsidP="00B642D6">
      <w:pPr>
        <w:pStyle w:val="Definition"/>
      </w:pPr>
      <w:r w:rsidRPr="00927002">
        <w:rPr>
          <w:b/>
          <w:i/>
        </w:rPr>
        <w:t>DEE (Biosecurity) Agreement</w:t>
      </w:r>
      <w:r w:rsidR="00E41C0B" w:rsidRPr="00927002">
        <w:t>: see section</w:t>
      </w:r>
      <w:r w:rsidR="00927002" w:rsidRPr="00927002">
        <w:t> </w:t>
      </w:r>
      <w:r w:rsidR="00E41C0B" w:rsidRPr="00927002">
        <w:t>8</w:t>
      </w:r>
      <w:r w:rsidRPr="00927002">
        <w:t>.</w:t>
      </w:r>
    </w:p>
    <w:p w14:paraId="4527AE6C" w14:textId="77777777" w:rsidR="00AA113E" w:rsidRPr="00927002" w:rsidRDefault="00AA113E" w:rsidP="00AA113E">
      <w:pPr>
        <w:pStyle w:val="Definition"/>
        <w:rPr>
          <w:noProof/>
        </w:rPr>
      </w:pPr>
      <w:r w:rsidRPr="00927002">
        <w:rPr>
          <w:b/>
          <w:i/>
          <w:noProof/>
        </w:rPr>
        <w:t>DEE Salaries and Allowances Determination</w:t>
      </w:r>
      <w:r w:rsidRPr="00927002">
        <w:rPr>
          <w:noProof/>
        </w:rPr>
        <w:t xml:space="preserve"> means the </w:t>
      </w:r>
      <w:r w:rsidRPr="00927002">
        <w:rPr>
          <w:i/>
        </w:rPr>
        <w:t>Determination under subsection</w:t>
      </w:r>
      <w:r w:rsidR="00927002" w:rsidRPr="00927002">
        <w:rPr>
          <w:i/>
        </w:rPr>
        <w:t> </w:t>
      </w:r>
      <w:r w:rsidRPr="00927002">
        <w:rPr>
          <w:i/>
        </w:rPr>
        <w:t>24(1) of the Public Service Act 1999</w:t>
      </w:r>
      <w:r w:rsidRPr="00927002">
        <w:t xml:space="preserve"> made on 30</w:t>
      </w:r>
      <w:r w:rsidR="00927002" w:rsidRPr="00927002">
        <w:t> </w:t>
      </w:r>
      <w:r w:rsidRPr="00927002">
        <w:t xml:space="preserve">September 2019 by the Secretary of the </w:t>
      </w:r>
      <w:r w:rsidRPr="00927002">
        <w:rPr>
          <w:bCs/>
          <w:noProof/>
        </w:rPr>
        <w:t>Department of the Environment and Energy.</w:t>
      </w:r>
    </w:p>
    <w:p w14:paraId="1E5B3915" w14:textId="77777777" w:rsidR="004C34DB" w:rsidRPr="00927002" w:rsidRDefault="004C34DB" w:rsidP="004C34DB">
      <w:pPr>
        <w:pStyle w:val="Definition"/>
      </w:pPr>
      <w:r w:rsidRPr="00927002">
        <w:rPr>
          <w:b/>
          <w:i/>
        </w:rPr>
        <w:t>DEE (Veterinarian) Agreement</w:t>
      </w:r>
      <w:r w:rsidR="00D7254D" w:rsidRPr="00927002">
        <w:t xml:space="preserve">: see </w:t>
      </w:r>
      <w:r w:rsidRPr="00927002">
        <w:t>section</w:t>
      </w:r>
      <w:r w:rsidR="00927002" w:rsidRPr="00927002">
        <w:t> </w:t>
      </w:r>
      <w:r w:rsidR="00D7254D" w:rsidRPr="00927002">
        <w:t>13</w:t>
      </w:r>
      <w:r w:rsidRPr="00927002">
        <w:t>.</w:t>
      </w:r>
    </w:p>
    <w:p w14:paraId="2CA997EC" w14:textId="77777777" w:rsidR="00B642D6" w:rsidRPr="00927002" w:rsidRDefault="00B642D6" w:rsidP="00B642D6">
      <w:pPr>
        <w:pStyle w:val="Definition"/>
      </w:pPr>
      <w:r w:rsidRPr="00927002">
        <w:rPr>
          <w:b/>
          <w:i/>
        </w:rPr>
        <w:t>Department of Agriculture, Water and the Environment</w:t>
      </w:r>
      <w:r w:rsidRPr="00927002">
        <w:t xml:space="preserve"> means the Department of that name referred to in the Administrative Arrangements Order made on 5</w:t>
      </w:r>
      <w:r w:rsidR="00927002" w:rsidRPr="00927002">
        <w:t> </w:t>
      </w:r>
      <w:r w:rsidRPr="00927002">
        <w:t>December 2019.</w:t>
      </w:r>
    </w:p>
    <w:p w14:paraId="0136028B" w14:textId="77777777" w:rsidR="008D3CE6" w:rsidRPr="00927002" w:rsidRDefault="00F35249" w:rsidP="003E3566">
      <w:pPr>
        <w:pStyle w:val="Definition"/>
        <w:rPr>
          <w:noProof/>
        </w:rPr>
      </w:pPr>
      <w:r w:rsidRPr="00927002">
        <w:rPr>
          <w:b/>
          <w:bCs/>
          <w:i/>
          <w:noProof/>
        </w:rPr>
        <w:t>Department of the Environment a</w:t>
      </w:r>
      <w:r w:rsidR="008F29D6" w:rsidRPr="00927002">
        <w:rPr>
          <w:b/>
          <w:bCs/>
          <w:i/>
          <w:noProof/>
        </w:rPr>
        <w:t>nd Energy</w:t>
      </w:r>
      <w:r w:rsidR="008D3CE6" w:rsidRPr="00927002">
        <w:rPr>
          <w:b/>
          <w:i/>
          <w:noProof/>
        </w:rPr>
        <w:t xml:space="preserve"> </w:t>
      </w:r>
      <w:r w:rsidR="008D3CE6" w:rsidRPr="00927002">
        <w:rPr>
          <w:noProof/>
        </w:rPr>
        <w:t xml:space="preserve">means the </w:t>
      </w:r>
      <w:r w:rsidR="00B642D6" w:rsidRPr="00927002">
        <w:t>Department of that name referred to in the Administrative Arrangements Order made on 29</w:t>
      </w:r>
      <w:r w:rsidR="00927002" w:rsidRPr="00927002">
        <w:t> </w:t>
      </w:r>
      <w:r w:rsidR="00B642D6" w:rsidRPr="00927002">
        <w:t>May 2019</w:t>
      </w:r>
      <w:r w:rsidR="008D3CE6" w:rsidRPr="00927002">
        <w:rPr>
          <w:noProof/>
        </w:rPr>
        <w:t>.</w:t>
      </w:r>
    </w:p>
    <w:p w14:paraId="100C3EC1" w14:textId="77777777" w:rsidR="00BD1199" w:rsidRPr="00927002" w:rsidRDefault="00141A63" w:rsidP="003E3566">
      <w:pPr>
        <w:pStyle w:val="Definition"/>
        <w:rPr>
          <w:noProof/>
        </w:rPr>
      </w:pPr>
      <w:r w:rsidRPr="00927002">
        <w:rPr>
          <w:b/>
          <w:i/>
          <w:noProof/>
        </w:rPr>
        <w:t>veterinarian</w:t>
      </w:r>
      <w:r w:rsidR="001868E5">
        <w:rPr>
          <w:b/>
          <w:i/>
          <w:noProof/>
        </w:rPr>
        <w:noBreakHyphen/>
      </w:r>
      <w:r w:rsidR="0043127D" w:rsidRPr="00927002">
        <w:rPr>
          <w:b/>
          <w:i/>
          <w:noProof/>
        </w:rPr>
        <w:t>classified employee</w:t>
      </w:r>
      <w:r w:rsidR="0043127D" w:rsidRPr="00927002">
        <w:rPr>
          <w:noProof/>
        </w:rPr>
        <w:t xml:space="preserve"> means an </w:t>
      </w:r>
      <w:r w:rsidR="00BD1199" w:rsidRPr="00927002">
        <w:rPr>
          <w:noProof/>
        </w:rPr>
        <w:t xml:space="preserve">APS </w:t>
      </w:r>
      <w:r w:rsidR="0043127D" w:rsidRPr="00927002">
        <w:rPr>
          <w:noProof/>
        </w:rPr>
        <w:t>employee of the Department of Agriculture, Water and the Environment</w:t>
      </w:r>
      <w:r w:rsidR="00BD1199" w:rsidRPr="00927002">
        <w:rPr>
          <w:noProof/>
        </w:rPr>
        <w:t xml:space="preserve"> </w:t>
      </w:r>
      <w:r w:rsidR="00BD1199" w:rsidRPr="00927002">
        <w:t>whose local title is one of the following</w:t>
      </w:r>
      <w:r w:rsidR="00BD1199" w:rsidRPr="00927002">
        <w:rPr>
          <w:noProof/>
        </w:rPr>
        <w:t>:</w:t>
      </w:r>
    </w:p>
    <w:p w14:paraId="40D024B1" w14:textId="77777777" w:rsidR="00BD1199" w:rsidRPr="00927002" w:rsidRDefault="00BD1199" w:rsidP="00BD1199">
      <w:pPr>
        <w:pStyle w:val="paragraph"/>
      </w:pPr>
      <w:r w:rsidRPr="00927002">
        <w:rPr>
          <w:noProof/>
        </w:rPr>
        <w:tab/>
        <w:t>(a)</w:t>
      </w:r>
      <w:r w:rsidRPr="00927002">
        <w:rPr>
          <w:noProof/>
        </w:rPr>
        <w:tab/>
      </w:r>
      <w:r w:rsidR="001C6D93" w:rsidRPr="00927002">
        <w:t>On</w:t>
      </w:r>
      <w:r w:rsidR="001868E5">
        <w:noBreakHyphen/>
      </w:r>
      <w:r w:rsidRPr="00927002">
        <w:t xml:space="preserve">Plant </w:t>
      </w:r>
      <w:proofErr w:type="gramStart"/>
      <w:r w:rsidRPr="00927002">
        <w:t>Veterinarian;</w:t>
      </w:r>
      <w:proofErr w:type="gramEnd"/>
    </w:p>
    <w:p w14:paraId="0C1C7096" w14:textId="77777777" w:rsidR="00BD1199" w:rsidRPr="00927002" w:rsidRDefault="00BD1199" w:rsidP="00BD1199">
      <w:pPr>
        <w:pStyle w:val="paragraph"/>
      </w:pPr>
      <w:r w:rsidRPr="00927002">
        <w:tab/>
        <w:t>(b)</w:t>
      </w:r>
      <w:r w:rsidRPr="00927002">
        <w:tab/>
        <w:t>one of the following grades of Veterinarian:</w:t>
      </w:r>
    </w:p>
    <w:p w14:paraId="3A17D0DB" w14:textId="77777777" w:rsidR="00B642D6" w:rsidRPr="004C3430" w:rsidRDefault="00BD1199" w:rsidP="00BD1199">
      <w:pPr>
        <w:pStyle w:val="paragraphsub"/>
        <w:rPr>
          <w:lang w:val="pt-PT"/>
        </w:rPr>
      </w:pPr>
      <w:r w:rsidRPr="00927002">
        <w:tab/>
      </w:r>
      <w:r w:rsidRPr="004C3430">
        <w:rPr>
          <w:lang w:val="pt-PT"/>
        </w:rPr>
        <w:t>(i</w:t>
      </w:r>
      <w:r w:rsidR="00CE16DB" w:rsidRPr="004C3430">
        <w:rPr>
          <w:lang w:val="pt-PT"/>
        </w:rPr>
        <w:t>)</w:t>
      </w:r>
      <w:r w:rsidR="00CE16DB" w:rsidRPr="004C3430">
        <w:rPr>
          <w:lang w:val="pt-PT"/>
        </w:rPr>
        <w:tab/>
        <w:t>VO1;</w:t>
      </w:r>
    </w:p>
    <w:p w14:paraId="3EB43B66" w14:textId="77777777" w:rsidR="00CE16DB" w:rsidRPr="004C3430" w:rsidRDefault="00CE16DB" w:rsidP="00BD1199">
      <w:pPr>
        <w:pStyle w:val="paragraphsub"/>
        <w:rPr>
          <w:lang w:val="pt-PT"/>
        </w:rPr>
      </w:pPr>
      <w:r w:rsidRPr="004C3430">
        <w:rPr>
          <w:lang w:val="pt-PT"/>
        </w:rPr>
        <w:tab/>
        <w:t>(</w:t>
      </w:r>
      <w:r w:rsidR="00BD1199" w:rsidRPr="004C3430">
        <w:rPr>
          <w:lang w:val="pt-PT"/>
        </w:rPr>
        <w:t>ii</w:t>
      </w:r>
      <w:r w:rsidRPr="004C3430">
        <w:rPr>
          <w:lang w:val="pt-PT"/>
        </w:rPr>
        <w:t>)</w:t>
      </w:r>
      <w:r w:rsidRPr="004C3430">
        <w:rPr>
          <w:lang w:val="pt-PT"/>
        </w:rPr>
        <w:tab/>
        <w:t>VO2;</w:t>
      </w:r>
    </w:p>
    <w:p w14:paraId="235789BB" w14:textId="77777777" w:rsidR="00CE16DB" w:rsidRPr="004C3430" w:rsidRDefault="00BD1199" w:rsidP="00BD1199">
      <w:pPr>
        <w:pStyle w:val="paragraphsub"/>
        <w:rPr>
          <w:lang w:val="pt-PT"/>
        </w:rPr>
      </w:pPr>
      <w:r w:rsidRPr="004C3430">
        <w:rPr>
          <w:lang w:val="pt-PT"/>
        </w:rPr>
        <w:tab/>
        <w:t>(iii</w:t>
      </w:r>
      <w:r w:rsidR="00CE16DB" w:rsidRPr="004C3430">
        <w:rPr>
          <w:lang w:val="pt-PT"/>
        </w:rPr>
        <w:t>)</w:t>
      </w:r>
      <w:r w:rsidR="00CE16DB" w:rsidRPr="004C3430">
        <w:rPr>
          <w:lang w:val="pt-PT"/>
        </w:rPr>
        <w:tab/>
        <w:t>VO3;</w:t>
      </w:r>
    </w:p>
    <w:p w14:paraId="704B7DF5" w14:textId="77777777" w:rsidR="00CE16DB" w:rsidRPr="00927002" w:rsidRDefault="00BD1199" w:rsidP="00BD1199">
      <w:pPr>
        <w:pStyle w:val="paragraphsub"/>
      </w:pPr>
      <w:r w:rsidRPr="004C3430">
        <w:rPr>
          <w:lang w:val="pt-PT"/>
        </w:rPr>
        <w:tab/>
      </w:r>
      <w:r w:rsidRPr="00927002">
        <w:t>(iv</w:t>
      </w:r>
      <w:r w:rsidR="00CE16DB" w:rsidRPr="00927002">
        <w:t>)</w:t>
      </w:r>
      <w:r w:rsidR="00CE16DB" w:rsidRPr="00927002">
        <w:tab/>
      </w:r>
      <w:proofErr w:type="gramStart"/>
      <w:r w:rsidR="00CE16DB" w:rsidRPr="00927002">
        <w:t>VO4;</w:t>
      </w:r>
      <w:proofErr w:type="gramEnd"/>
    </w:p>
    <w:p w14:paraId="1B2C1498" w14:textId="77777777" w:rsidR="00CE16DB" w:rsidRPr="00927002" w:rsidRDefault="00BD1199" w:rsidP="00BD1199">
      <w:pPr>
        <w:pStyle w:val="paragraphsub"/>
      </w:pPr>
      <w:r w:rsidRPr="00927002">
        <w:tab/>
        <w:t>(v)</w:t>
      </w:r>
      <w:r w:rsidRPr="00927002">
        <w:tab/>
        <w:t>VO5.</w:t>
      </w:r>
    </w:p>
    <w:p w14:paraId="051ED6FA" w14:textId="77777777" w:rsidR="00237EDB" w:rsidRPr="00927002" w:rsidRDefault="00237EDB" w:rsidP="00237EDB">
      <w:pPr>
        <w:pStyle w:val="ActHead2"/>
        <w:pageBreakBefore/>
      </w:pPr>
      <w:bookmarkStart w:id="5" w:name="_Toc31206271"/>
      <w:r w:rsidRPr="00EB7EF9">
        <w:rPr>
          <w:rStyle w:val="CharPartNo"/>
        </w:rPr>
        <w:lastRenderedPageBreak/>
        <w:t>Part</w:t>
      </w:r>
      <w:r w:rsidR="00927002" w:rsidRPr="00EB7EF9">
        <w:rPr>
          <w:rStyle w:val="CharPartNo"/>
        </w:rPr>
        <w:t> </w:t>
      </w:r>
      <w:r w:rsidRPr="00EB7EF9">
        <w:rPr>
          <w:rStyle w:val="CharPartNo"/>
        </w:rPr>
        <w:t>2</w:t>
      </w:r>
      <w:r w:rsidRPr="00927002">
        <w:t>—</w:t>
      </w:r>
      <w:r w:rsidRPr="00EB7EF9">
        <w:rPr>
          <w:rStyle w:val="CharPartText"/>
        </w:rPr>
        <w:t>Biosecurity employees</w:t>
      </w:r>
      <w:bookmarkEnd w:id="5"/>
    </w:p>
    <w:p w14:paraId="0B29DA70" w14:textId="77777777" w:rsidR="00237EDB" w:rsidRPr="00EB7EF9" w:rsidRDefault="00237EDB" w:rsidP="00237EDB">
      <w:pPr>
        <w:pStyle w:val="Header"/>
      </w:pPr>
      <w:r w:rsidRPr="00EB7EF9">
        <w:rPr>
          <w:rStyle w:val="CharDivNo"/>
        </w:rPr>
        <w:t xml:space="preserve"> </w:t>
      </w:r>
      <w:r w:rsidRPr="00EB7EF9">
        <w:rPr>
          <w:rStyle w:val="CharDivText"/>
        </w:rPr>
        <w:t xml:space="preserve"> </w:t>
      </w:r>
    </w:p>
    <w:p w14:paraId="5FADB534" w14:textId="77777777" w:rsidR="003E3566" w:rsidRPr="00927002" w:rsidRDefault="00F74AF3" w:rsidP="003E3566">
      <w:pPr>
        <w:pStyle w:val="ActHead5"/>
      </w:pPr>
      <w:bookmarkStart w:id="6" w:name="_Toc31206272"/>
      <w:proofErr w:type="gramStart"/>
      <w:r w:rsidRPr="00EB7EF9">
        <w:rPr>
          <w:rStyle w:val="CharSectno"/>
        </w:rPr>
        <w:t>5</w:t>
      </w:r>
      <w:r w:rsidR="003E3566" w:rsidRPr="00927002">
        <w:t xml:space="preserve">  Application</w:t>
      </w:r>
      <w:proofErr w:type="gramEnd"/>
      <w:r w:rsidR="003E3566" w:rsidRPr="00927002">
        <w:t xml:space="preserve"> of this </w:t>
      </w:r>
      <w:r w:rsidR="00237EDB" w:rsidRPr="00927002">
        <w:t>Part</w:t>
      </w:r>
      <w:bookmarkEnd w:id="6"/>
    </w:p>
    <w:p w14:paraId="260D86C6" w14:textId="77777777" w:rsidR="00D0576B" w:rsidRPr="00927002" w:rsidRDefault="003E3566" w:rsidP="00C1226A">
      <w:pPr>
        <w:pStyle w:val="subsection"/>
      </w:pPr>
      <w:r w:rsidRPr="00927002">
        <w:tab/>
      </w:r>
      <w:r w:rsidRPr="00927002">
        <w:tab/>
        <w:t xml:space="preserve">This </w:t>
      </w:r>
      <w:r w:rsidR="00BD0122" w:rsidRPr="00927002">
        <w:t>Part</w:t>
      </w:r>
      <w:r w:rsidRPr="00927002">
        <w:t xml:space="preserve"> applies to an APS employee</w:t>
      </w:r>
      <w:r w:rsidR="00A32C40" w:rsidRPr="00927002">
        <w:t xml:space="preserve"> in the Biosecurity</w:t>
      </w:r>
      <w:r w:rsidR="00CA11BE" w:rsidRPr="00927002">
        <w:t xml:space="preserve"> Operations</w:t>
      </w:r>
      <w:r w:rsidR="00A32C40" w:rsidRPr="00927002">
        <w:t xml:space="preserve"> Division</w:t>
      </w:r>
      <w:r w:rsidR="00C1226A" w:rsidRPr="00927002">
        <w:t>, other than:</w:t>
      </w:r>
    </w:p>
    <w:p w14:paraId="6FF82F92" w14:textId="77777777" w:rsidR="00A00B78" w:rsidRPr="00927002" w:rsidRDefault="00C1226A" w:rsidP="00D0576B">
      <w:pPr>
        <w:pStyle w:val="paragraph"/>
      </w:pPr>
      <w:r w:rsidRPr="00927002">
        <w:tab/>
        <w:t>(a</w:t>
      </w:r>
      <w:r w:rsidR="00D0576B" w:rsidRPr="00927002">
        <w:t>)</w:t>
      </w:r>
      <w:r w:rsidR="00D0576B" w:rsidRPr="00927002">
        <w:tab/>
      </w:r>
      <w:r w:rsidR="00636C9F" w:rsidRPr="00927002">
        <w:t>an SES employee</w:t>
      </w:r>
      <w:r w:rsidR="00A00B78" w:rsidRPr="00927002">
        <w:t>;</w:t>
      </w:r>
      <w:r w:rsidRPr="00927002">
        <w:t xml:space="preserve"> or</w:t>
      </w:r>
    </w:p>
    <w:p w14:paraId="1F45E57C" w14:textId="77777777" w:rsidR="00C1226A" w:rsidRPr="00927002" w:rsidRDefault="00A00B78" w:rsidP="00C1226A">
      <w:pPr>
        <w:pStyle w:val="paragraph"/>
      </w:pPr>
      <w:r w:rsidRPr="00927002">
        <w:tab/>
      </w:r>
      <w:r w:rsidR="00C1226A" w:rsidRPr="00927002">
        <w:t>(b</w:t>
      </w:r>
      <w:r w:rsidRPr="00927002">
        <w:t>)</w:t>
      </w:r>
      <w:r w:rsidRPr="00927002">
        <w:tab/>
      </w:r>
      <w:r w:rsidR="00C1226A" w:rsidRPr="00927002">
        <w:t>an APS employee whose classification under the Classification Rules is one of the following:</w:t>
      </w:r>
    </w:p>
    <w:p w14:paraId="578179D2" w14:textId="77777777" w:rsidR="00C1226A" w:rsidRPr="00927002" w:rsidRDefault="00C1226A" w:rsidP="00C1226A">
      <w:pPr>
        <w:pStyle w:val="paragraphsub"/>
      </w:pPr>
      <w:r w:rsidRPr="00927002">
        <w:tab/>
        <w:t>(</w:t>
      </w:r>
      <w:proofErr w:type="spellStart"/>
      <w:r w:rsidRPr="00927002">
        <w:t>i</w:t>
      </w:r>
      <w:proofErr w:type="spellEnd"/>
      <w:r w:rsidRPr="00927002">
        <w:t>)</w:t>
      </w:r>
      <w:r w:rsidRPr="00927002">
        <w:tab/>
        <w:t xml:space="preserve">APS Meat Inspector </w:t>
      </w:r>
      <w:proofErr w:type="gramStart"/>
      <w:r w:rsidRPr="00927002">
        <w:t>1;</w:t>
      </w:r>
      <w:proofErr w:type="gramEnd"/>
    </w:p>
    <w:p w14:paraId="1D2B5AD6" w14:textId="77777777" w:rsidR="00C1226A" w:rsidRPr="00927002" w:rsidRDefault="00C1226A" w:rsidP="00C1226A">
      <w:pPr>
        <w:pStyle w:val="paragraphsub"/>
      </w:pPr>
      <w:r w:rsidRPr="00927002">
        <w:tab/>
        <w:t>(ii)</w:t>
      </w:r>
      <w:r w:rsidRPr="00927002">
        <w:tab/>
        <w:t xml:space="preserve">APS Meat Inspector </w:t>
      </w:r>
      <w:proofErr w:type="gramStart"/>
      <w:r w:rsidRPr="00927002">
        <w:t>2;</w:t>
      </w:r>
      <w:proofErr w:type="gramEnd"/>
    </w:p>
    <w:p w14:paraId="23488CA6" w14:textId="77777777" w:rsidR="00C1226A" w:rsidRPr="00927002" w:rsidRDefault="00C1226A" w:rsidP="00C1226A">
      <w:pPr>
        <w:pStyle w:val="paragraphsub"/>
      </w:pPr>
      <w:r w:rsidRPr="00927002">
        <w:tab/>
        <w:t>(iii)</w:t>
      </w:r>
      <w:r w:rsidRPr="00927002">
        <w:tab/>
        <w:t xml:space="preserve">APS Meat Inspector </w:t>
      </w:r>
      <w:proofErr w:type="gramStart"/>
      <w:r w:rsidRPr="00927002">
        <w:t>3;</w:t>
      </w:r>
      <w:proofErr w:type="gramEnd"/>
    </w:p>
    <w:p w14:paraId="31488C08" w14:textId="77777777" w:rsidR="00F60D9E" w:rsidRPr="00927002" w:rsidRDefault="00C1226A" w:rsidP="00C1226A">
      <w:pPr>
        <w:pStyle w:val="paragraphsub"/>
      </w:pPr>
      <w:r w:rsidRPr="00927002">
        <w:tab/>
        <w:t>(iv</w:t>
      </w:r>
      <w:r w:rsidR="00BF022B" w:rsidRPr="00927002">
        <w:t>)</w:t>
      </w:r>
      <w:r w:rsidR="00BF022B" w:rsidRPr="00927002">
        <w:tab/>
        <w:t>APS Meat Inspector 4</w:t>
      </w:r>
      <w:r w:rsidR="00B20D28" w:rsidRPr="00927002">
        <w:t>.</w:t>
      </w:r>
    </w:p>
    <w:p w14:paraId="4730CC92" w14:textId="77777777" w:rsidR="003E3566" w:rsidRPr="00927002" w:rsidRDefault="00F74AF3" w:rsidP="003E3566">
      <w:pPr>
        <w:pStyle w:val="ActHead5"/>
      </w:pPr>
      <w:bookmarkStart w:id="7" w:name="_Toc31206273"/>
      <w:proofErr w:type="gramStart"/>
      <w:r w:rsidRPr="00EB7EF9">
        <w:rPr>
          <w:rStyle w:val="CharSectno"/>
        </w:rPr>
        <w:t>6</w:t>
      </w:r>
      <w:r w:rsidR="003E3566" w:rsidRPr="00927002">
        <w:t xml:space="preserve">  When</w:t>
      </w:r>
      <w:proofErr w:type="gramEnd"/>
      <w:r w:rsidR="003E3566" w:rsidRPr="00927002">
        <w:t xml:space="preserve"> this </w:t>
      </w:r>
      <w:r w:rsidR="001868E5">
        <w:t>Part c</w:t>
      </w:r>
      <w:r w:rsidR="003E3566" w:rsidRPr="00927002">
        <w:t>eases to apply</w:t>
      </w:r>
      <w:bookmarkEnd w:id="7"/>
    </w:p>
    <w:p w14:paraId="3624E9B0" w14:textId="77777777" w:rsidR="003E3566" w:rsidRPr="00927002" w:rsidRDefault="003E3566" w:rsidP="003E3566">
      <w:pPr>
        <w:pStyle w:val="subsection"/>
      </w:pPr>
      <w:r w:rsidRPr="00927002">
        <w:tab/>
      </w:r>
      <w:r w:rsidRPr="00927002">
        <w:tab/>
        <w:t xml:space="preserve">This </w:t>
      </w:r>
      <w:r w:rsidR="001868E5">
        <w:t>Part c</w:t>
      </w:r>
      <w:r w:rsidRPr="00927002">
        <w:t>eases to apply to an APS employee if:</w:t>
      </w:r>
    </w:p>
    <w:p w14:paraId="4125C6F3" w14:textId="77777777" w:rsidR="003E3566" w:rsidRPr="00927002" w:rsidRDefault="003E3566" w:rsidP="003E3566">
      <w:pPr>
        <w:pStyle w:val="paragraph"/>
      </w:pPr>
      <w:r w:rsidRPr="00927002">
        <w:tab/>
        <w:t>(a)</w:t>
      </w:r>
      <w:r w:rsidRPr="00927002">
        <w:tab/>
        <w:t xml:space="preserve">an enterprise agreement </w:t>
      </w:r>
      <w:r w:rsidR="00674817" w:rsidRPr="00927002">
        <w:t xml:space="preserve">(other than the </w:t>
      </w:r>
      <w:r w:rsidR="00674817" w:rsidRPr="00927002">
        <w:rPr>
          <w:noProof/>
        </w:rPr>
        <w:t>DEE Agreement)</w:t>
      </w:r>
      <w:r w:rsidR="00674817" w:rsidRPr="00927002">
        <w:t xml:space="preserve"> </w:t>
      </w:r>
      <w:r w:rsidRPr="00927002">
        <w:t>starts to apply to the employee</w:t>
      </w:r>
      <w:r w:rsidR="00097540" w:rsidRPr="00927002">
        <w:t xml:space="preserve"> (for the purposes of the </w:t>
      </w:r>
      <w:r w:rsidR="00097540" w:rsidRPr="00927002">
        <w:rPr>
          <w:i/>
        </w:rPr>
        <w:t>Fair Work Act 2009</w:t>
      </w:r>
      <w:r w:rsidR="00097540" w:rsidRPr="00927002">
        <w:t>)</w:t>
      </w:r>
      <w:r w:rsidRPr="00927002">
        <w:t>; or</w:t>
      </w:r>
    </w:p>
    <w:p w14:paraId="614E3317" w14:textId="77777777" w:rsidR="003E3566" w:rsidRPr="00927002" w:rsidRDefault="003E3566" w:rsidP="003E3566">
      <w:pPr>
        <w:pStyle w:val="paragraph"/>
      </w:pPr>
      <w:r w:rsidRPr="00927002">
        <w:tab/>
        <w:t>(b)</w:t>
      </w:r>
      <w:r w:rsidRPr="00927002">
        <w:tab/>
        <w:t>a workplace determination is made that covers the employee</w:t>
      </w:r>
      <w:r w:rsidR="00097540" w:rsidRPr="00927002">
        <w:t xml:space="preserve"> (for the purposes of the </w:t>
      </w:r>
      <w:r w:rsidR="00097540" w:rsidRPr="00927002">
        <w:rPr>
          <w:i/>
        </w:rPr>
        <w:t>Fair Work Act 2009</w:t>
      </w:r>
      <w:r w:rsidR="00097540" w:rsidRPr="00927002">
        <w:t>)</w:t>
      </w:r>
      <w:r w:rsidRPr="00927002">
        <w:t>.</w:t>
      </w:r>
    </w:p>
    <w:p w14:paraId="100AD8E4" w14:textId="77777777" w:rsidR="003E3566" w:rsidRPr="00927002" w:rsidRDefault="003E3566" w:rsidP="003E3566">
      <w:pPr>
        <w:pStyle w:val="notetext"/>
      </w:pPr>
      <w:r w:rsidRPr="00927002">
        <w:t>Note:</w:t>
      </w:r>
      <w:r w:rsidRPr="00927002">
        <w:tab/>
        <w:t>A workplace determination operates from the day on which it is made (see section</w:t>
      </w:r>
      <w:r w:rsidR="00927002" w:rsidRPr="00927002">
        <w:t> </w:t>
      </w:r>
      <w:r w:rsidRPr="00927002">
        <w:t xml:space="preserve">276 of the </w:t>
      </w:r>
      <w:r w:rsidRPr="00927002">
        <w:rPr>
          <w:i/>
        </w:rPr>
        <w:t>Fair Work Act 2009</w:t>
      </w:r>
      <w:r w:rsidRPr="00927002">
        <w:t>).</w:t>
      </w:r>
    </w:p>
    <w:p w14:paraId="0B2F6D03" w14:textId="77777777" w:rsidR="003E3566" w:rsidRPr="00927002" w:rsidRDefault="00F74AF3" w:rsidP="003E3566">
      <w:pPr>
        <w:pStyle w:val="ActHead5"/>
      </w:pPr>
      <w:bookmarkStart w:id="8" w:name="_Toc31206274"/>
      <w:proofErr w:type="gramStart"/>
      <w:r w:rsidRPr="00EB7EF9">
        <w:rPr>
          <w:rStyle w:val="CharSectno"/>
        </w:rPr>
        <w:t>7</w:t>
      </w:r>
      <w:r w:rsidR="003E3566" w:rsidRPr="00927002">
        <w:t xml:space="preserve">  Terms</w:t>
      </w:r>
      <w:proofErr w:type="gramEnd"/>
      <w:r w:rsidR="003E3566" w:rsidRPr="00927002">
        <w:t xml:space="preserve"> and conditions of employment</w:t>
      </w:r>
      <w:bookmarkEnd w:id="8"/>
    </w:p>
    <w:p w14:paraId="3575B8D3" w14:textId="77777777" w:rsidR="00572694" w:rsidRPr="00927002" w:rsidRDefault="003E3566" w:rsidP="00CD239B">
      <w:pPr>
        <w:pStyle w:val="subsection"/>
      </w:pPr>
      <w:r w:rsidRPr="00927002">
        <w:tab/>
      </w:r>
      <w:r w:rsidRPr="00927002">
        <w:tab/>
        <w:t xml:space="preserve">The terms and conditions of employment applying to an APS employee to which this </w:t>
      </w:r>
      <w:r w:rsidR="00BD0122" w:rsidRPr="00927002">
        <w:t>Part</w:t>
      </w:r>
      <w:r w:rsidR="00572694" w:rsidRPr="00927002">
        <w:t xml:space="preserve"> applies:</w:t>
      </w:r>
    </w:p>
    <w:p w14:paraId="00403AFE" w14:textId="77777777" w:rsidR="003E3566" w:rsidRPr="00927002" w:rsidRDefault="00572694" w:rsidP="00572694">
      <w:pPr>
        <w:pStyle w:val="paragraph"/>
      </w:pPr>
      <w:r w:rsidRPr="00927002">
        <w:tab/>
        <w:t>(a)</w:t>
      </w:r>
      <w:r w:rsidRPr="00927002">
        <w:tab/>
      </w:r>
      <w:r w:rsidR="003E3566" w:rsidRPr="00927002">
        <w:t xml:space="preserve">are </w:t>
      </w:r>
      <w:proofErr w:type="gramStart"/>
      <w:r w:rsidR="00741470" w:rsidRPr="00927002">
        <w:t>all of</w:t>
      </w:r>
      <w:proofErr w:type="gramEnd"/>
      <w:r w:rsidR="00741470" w:rsidRPr="00927002">
        <w:t xml:space="preserve"> </w:t>
      </w:r>
      <w:r w:rsidR="003E3566" w:rsidRPr="00927002">
        <w:t>the terms and conditions of employment set out in</w:t>
      </w:r>
      <w:r w:rsidR="00CD239B" w:rsidRPr="00927002">
        <w:t xml:space="preserve"> </w:t>
      </w:r>
      <w:r w:rsidR="003E3566" w:rsidRPr="00927002">
        <w:t xml:space="preserve">the </w:t>
      </w:r>
      <w:r w:rsidR="0046563B" w:rsidRPr="00927002">
        <w:t>DEE</w:t>
      </w:r>
      <w:r w:rsidR="003E3566" w:rsidRPr="00927002">
        <w:t xml:space="preserve"> </w:t>
      </w:r>
      <w:r w:rsidR="00E41C0B" w:rsidRPr="00927002">
        <w:t xml:space="preserve">(Biosecurity) </w:t>
      </w:r>
      <w:r w:rsidR="003E3566" w:rsidRPr="00927002">
        <w:t>Agreement</w:t>
      </w:r>
      <w:r w:rsidRPr="00927002">
        <w:t>; and</w:t>
      </w:r>
    </w:p>
    <w:p w14:paraId="3B23C890" w14:textId="77777777" w:rsidR="00572694" w:rsidRPr="00927002" w:rsidRDefault="00572694" w:rsidP="00572694">
      <w:pPr>
        <w:pStyle w:val="paragraph"/>
      </w:pPr>
      <w:r w:rsidRPr="00927002">
        <w:tab/>
        <w:t>(b)</w:t>
      </w:r>
      <w:r w:rsidRPr="00927002">
        <w:tab/>
        <w:t>are not any of the terms and conditions of employment set out in the DEE Agreement.</w:t>
      </w:r>
    </w:p>
    <w:p w14:paraId="66D20F2F" w14:textId="77777777" w:rsidR="00E41C0B" w:rsidRPr="00927002" w:rsidRDefault="00E41C0B" w:rsidP="00E41C0B">
      <w:pPr>
        <w:pStyle w:val="ActHead5"/>
      </w:pPr>
      <w:bookmarkStart w:id="9" w:name="_Toc31206275"/>
      <w:proofErr w:type="gramStart"/>
      <w:r w:rsidRPr="00EB7EF9">
        <w:rPr>
          <w:rStyle w:val="CharSectno"/>
        </w:rPr>
        <w:t>8</w:t>
      </w:r>
      <w:r w:rsidRPr="00927002">
        <w:t xml:space="preserve">  DEE</w:t>
      </w:r>
      <w:proofErr w:type="gramEnd"/>
      <w:r w:rsidRPr="00927002">
        <w:t xml:space="preserve"> (Biosecurity) Agreement</w:t>
      </w:r>
      <w:bookmarkEnd w:id="9"/>
    </w:p>
    <w:p w14:paraId="239D6241" w14:textId="77777777" w:rsidR="00E41C0B" w:rsidRPr="00927002" w:rsidRDefault="00E41C0B" w:rsidP="00E41C0B">
      <w:pPr>
        <w:pStyle w:val="subsection"/>
      </w:pPr>
      <w:r w:rsidRPr="00927002">
        <w:tab/>
        <w:t>(1)</w:t>
      </w:r>
      <w:r w:rsidRPr="00927002">
        <w:tab/>
      </w:r>
      <w:r w:rsidRPr="00927002">
        <w:rPr>
          <w:b/>
          <w:i/>
        </w:rPr>
        <w:t xml:space="preserve">DEE (Biosecurity) Agreement </w:t>
      </w:r>
      <w:r w:rsidRPr="00927002">
        <w:t xml:space="preserve">means the DEE Agreement, </w:t>
      </w:r>
      <w:r w:rsidRPr="00927002">
        <w:rPr>
          <w:noProof/>
        </w:rPr>
        <w:t xml:space="preserve">as in force immediately before the commencement of this instrument, </w:t>
      </w:r>
      <w:r w:rsidRPr="00927002">
        <w:t>as that Agreement has effect under this section.</w:t>
      </w:r>
    </w:p>
    <w:p w14:paraId="67CF2BD5" w14:textId="77777777" w:rsidR="00581AEE" w:rsidRPr="00927002" w:rsidRDefault="00581AEE" w:rsidP="00581AEE">
      <w:pPr>
        <w:pStyle w:val="SubsectionHead"/>
      </w:pPr>
      <w:r w:rsidRPr="00927002">
        <w:t>DEE Agreement—</w:t>
      </w:r>
      <w:proofErr w:type="gramStart"/>
      <w:r w:rsidRPr="00927002">
        <w:t>general</w:t>
      </w:r>
      <w:proofErr w:type="gramEnd"/>
    </w:p>
    <w:p w14:paraId="11D16A84" w14:textId="77777777" w:rsidR="003E3566" w:rsidRPr="00927002" w:rsidRDefault="003E3566" w:rsidP="003E3566">
      <w:pPr>
        <w:pStyle w:val="subsection"/>
      </w:pPr>
      <w:r w:rsidRPr="00927002">
        <w:tab/>
        <w:t>(2)</w:t>
      </w:r>
      <w:r w:rsidRPr="00927002">
        <w:tab/>
      </w:r>
      <w:r w:rsidR="00424344" w:rsidRPr="00927002">
        <w:t>T</w:t>
      </w:r>
      <w:r w:rsidRPr="00927002">
        <w:t xml:space="preserve">he </w:t>
      </w:r>
      <w:r w:rsidR="0046563B" w:rsidRPr="00927002">
        <w:t>DEE</w:t>
      </w:r>
      <w:r w:rsidRPr="00927002">
        <w:t xml:space="preserve"> Agreement has effect as if:</w:t>
      </w:r>
    </w:p>
    <w:p w14:paraId="29EFFF27" w14:textId="77777777" w:rsidR="003E3566" w:rsidRPr="00927002" w:rsidRDefault="007C59CB" w:rsidP="003E3566">
      <w:pPr>
        <w:pStyle w:val="paragraph"/>
      </w:pPr>
      <w:r w:rsidRPr="00927002">
        <w:tab/>
        <w:t>(a)</w:t>
      </w:r>
      <w:r w:rsidRPr="00927002">
        <w:tab/>
      </w:r>
      <w:r w:rsidR="003E3566" w:rsidRPr="00927002">
        <w:t xml:space="preserve">a reference in </w:t>
      </w:r>
      <w:r w:rsidR="000C5E30" w:rsidRPr="00927002">
        <w:t>the DEE</w:t>
      </w:r>
      <w:r w:rsidR="003E3566" w:rsidRPr="00927002">
        <w:t xml:space="preserve"> Agreement to an employee </w:t>
      </w:r>
      <w:r w:rsidR="00682816" w:rsidRPr="00927002">
        <w:t>in</w:t>
      </w:r>
      <w:r w:rsidR="003E3566" w:rsidRPr="00927002">
        <w:t xml:space="preserve"> the </w:t>
      </w:r>
      <w:r w:rsidR="00B37754" w:rsidRPr="00927002">
        <w:t>Department of the Environment and Energy</w:t>
      </w:r>
      <w:r w:rsidR="003E3566" w:rsidRPr="00927002">
        <w:t xml:space="preserve"> covered by that Agreement were a reference to an APS employee to which this </w:t>
      </w:r>
      <w:r w:rsidR="00BD0122" w:rsidRPr="00927002">
        <w:t>Part</w:t>
      </w:r>
      <w:r w:rsidR="003E3566" w:rsidRPr="00927002">
        <w:t xml:space="preserve"> applies; and</w:t>
      </w:r>
    </w:p>
    <w:p w14:paraId="771C53A8" w14:textId="77777777" w:rsidR="00E94671" w:rsidRPr="00927002" w:rsidRDefault="00E94671" w:rsidP="003E3566">
      <w:pPr>
        <w:pStyle w:val="paragraph"/>
      </w:pPr>
      <w:r w:rsidRPr="00927002">
        <w:tab/>
        <w:t>(b)</w:t>
      </w:r>
      <w:r w:rsidRPr="00927002">
        <w:tab/>
        <w:t xml:space="preserve">a reference in </w:t>
      </w:r>
      <w:r w:rsidR="000C5E30" w:rsidRPr="00927002">
        <w:t xml:space="preserve">the DEE </w:t>
      </w:r>
      <w:r w:rsidRPr="00927002">
        <w:t xml:space="preserve">Agreement to the Department were a reference to the </w:t>
      </w:r>
      <w:r w:rsidRPr="00927002">
        <w:rPr>
          <w:bCs/>
          <w:noProof/>
        </w:rPr>
        <w:t>Department of Agriculture, Water and the Environment; and</w:t>
      </w:r>
    </w:p>
    <w:p w14:paraId="14C241BB" w14:textId="77777777" w:rsidR="00DD1646" w:rsidRPr="00927002" w:rsidRDefault="00DD1646" w:rsidP="00DD1646">
      <w:pPr>
        <w:pStyle w:val="paragraph"/>
      </w:pPr>
      <w:r w:rsidRPr="00927002">
        <w:tab/>
        <w:t>(c)</w:t>
      </w:r>
      <w:r w:rsidRPr="00927002">
        <w:tab/>
        <w:t xml:space="preserve">the following provisions of </w:t>
      </w:r>
      <w:r w:rsidR="000C5E30" w:rsidRPr="00927002">
        <w:t xml:space="preserve">the DEE </w:t>
      </w:r>
      <w:r w:rsidRPr="00927002">
        <w:t>Agreement were omitted:</w:t>
      </w:r>
    </w:p>
    <w:p w14:paraId="7B605369" w14:textId="77777777" w:rsidR="00DD1646" w:rsidRPr="00927002" w:rsidRDefault="00DD1646" w:rsidP="00DD1646">
      <w:pPr>
        <w:pStyle w:val="paragraphsub"/>
      </w:pPr>
      <w:r w:rsidRPr="00927002">
        <w:lastRenderedPageBreak/>
        <w:tab/>
        <w:t>(</w:t>
      </w:r>
      <w:proofErr w:type="spellStart"/>
      <w:r w:rsidRPr="00927002">
        <w:t>i</w:t>
      </w:r>
      <w:proofErr w:type="spellEnd"/>
      <w:r w:rsidRPr="00927002">
        <w:t>)</w:t>
      </w:r>
      <w:r w:rsidRPr="00927002">
        <w:tab/>
        <w:t>clause</w:t>
      </w:r>
      <w:r w:rsidR="00927002" w:rsidRPr="00927002">
        <w:t> </w:t>
      </w:r>
      <w:r w:rsidRPr="00927002">
        <w:t>1.5 (nominal expiry date</w:t>
      </w:r>
      <w:proofErr w:type="gramStart"/>
      <w:r w:rsidRPr="00927002">
        <w:t>);</w:t>
      </w:r>
      <w:proofErr w:type="gramEnd"/>
    </w:p>
    <w:p w14:paraId="396CD0FD" w14:textId="77777777" w:rsidR="00DD1646" w:rsidRPr="00927002" w:rsidRDefault="00DD1646" w:rsidP="00DD1646">
      <w:pPr>
        <w:pStyle w:val="paragraphsub"/>
      </w:pPr>
      <w:r w:rsidRPr="00927002">
        <w:tab/>
        <w:t>(ii)</w:t>
      </w:r>
      <w:r w:rsidRPr="00927002">
        <w:tab/>
      </w:r>
      <w:r w:rsidR="003C7EE1" w:rsidRPr="00927002">
        <w:t xml:space="preserve">the second sentence of </w:t>
      </w:r>
      <w:r w:rsidRPr="00927002">
        <w:t>clause</w:t>
      </w:r>
      <w:r w:rsidR="00927002" w:rsidRPr="00927002">
        <w:t> </w:t>
      </w:r>
      <w:r w:rsidRPr="00927002">
        <w:t>6.10 (</w:t>
      </w:r>
      <w:r w:rsidR="00E70B71" w:rsidRPr="00927002">
        <w:t xml:space="preserve">approval of </w:t>
      </w:r>
      <w:r w:rsidR="003C7EE1" w:rsidRPr="00927002">
        <w:t xml:space="preserve">at least one period of at least 5 consecutive days of </w:t>
      </w:r>
      <w:r w:rsidRPr="00927002">
        <w:t>annual leave</w:t>
      </w:r>
      <w:r w:rsidR="003C7EE1" w:rsidRPr="00927002">
        <w:t xml:space="preserve"> per calendar year</w:t>
      </w:r>
      <w:r w:rsidRPr="00927002">
        <w:t>); and</w:t>
      </w:r>
    </w:p>
    <w:p w14:paraId="1E9A5ED7" w14:textId="77777777" w:rsidR="00DD1646" w:rsidRPr="00927002" w:rsidRDefault="00DD1646" w:rsidP="00DD1646">
      <w:pPr>
        <w:pStyle w:val="paragraph"/>
      </w:pPr>
      <w:r w:rsidRPr="00927002">
        <w:tab/>
        <w:t>(</w:t>
      </w:r>
      <w:r w:rsidR="006B009D" w:rsidRPr="00927002">
        <w:t>d</w:t>
      </w:r>
      <w:r w:rsidRPr="00927002">
        <w:t>)</w:t>
      </w:r>
      <w:r w:rsidRPr="00927002">
        <w:tab/>
        <w:t xml:space="preserve">the following provisions of the DAWR </w:t>
      </w:r>
      <w:r w:rsidR="00897131" w:rsidRPr="00927002">
        <w:t>Agreement</w:t>
      </w:r>
      <w:r w:rsidR="004871F6" w:rsidRPr="00927002">
        <w:t xml:space="preserve">, as </w:t>
      </w:r>
      <w:r w:rsidR="002B5571" w:rsidRPr="00927002">
        <w:t xml:space="preserve">that Agreement has </w:t>
      </w:r>
      <w:r w:rsidR="004871F6" w:rsidRPr="00927002">
        <w:t xml:space="preserve">effect under </w:t>
      </w:r>
      <w:r w:rsidR="00927002" w:rsidRPr="00927002">
        <w:t>subsections (</w:t>
      </w:r>
      <w:r w:rsidR="00A919F0" w:rsidRPr="00927002">
        <w:t>5</w:t>
      </w:r>
      <w:r w:rsidR="004871F6" w:rsidRPr="00927002">
        <w:t>)</w:t>
      </w:r>
      <w:r w:rsidR="00A919F0" w:rsidRPr="00927002">
        <w:t xml:space="preserve"> </w:t>
      </w:r>
      <w:r w:rsidR="00F20FCC" w:rsidRPr="00927002">
        <w:t xml:space="preserve">to </w:t>
      </w:r>
      <w:r w:rsidR="00A919F0" w:rsidRPr="00927002">
        <w:t>(</w:t>
      </w:r>
      <w:r w:rsidR="005E3156" w:rsidRPr="00927002">
        <w:t>9</w:t>
      </w:r>
      <w:r w:rsidR="00820C3D" w:rsidRPr="00927002">
        <w:t>)</w:t>
      </w:r>
      <w:r w:rsidR="00C13627" w:rsidRPr="00927002">
        <w:t xml:space="preserve"> of this section</w:t>
      </w:r>
      <w:r w:rsidR="004871F6" w:rsidRPr="00927002">
        <w:t>,</w:t>
      </w:r>
      <w:r w:rsidR="00897131" w:rsidRPr="00927002">
        <w:t xml:space="preserve"> were included in </w:t>
      </w:r>
      <w:r w:rsidR="000C5E30" w:rsidRPr="00927002">
        <w:t xml:space="preserve">the DEE </w:t>
      </w:r>
      <w:r w:rsidRPr="00927002">
        <w:t>Agreement:</w:t>
      </w:r>
    </w:p>
    <w:p w14:paraId="23352B49" w14:textId="77777777" w:rsidR="008641CA" w:rsidRPr="00927002" w:rsidRDefault="00DD1646" w:rsidP="00DD1646">
      <w:pPr>
        <w:pStyle w:val="paragraphsub"/>
      </w:pPr>
      <w:r w:rsidRPr="00927002">
        <w:tab/>
        <w:t>(</w:t>
      </w:r>
      <w:proofErr w:type="spellStart"/>
      <w:r w:rsidRPr="00927002">
        <w:t>i</w:t>
      </w:r>
      <w:proofErr w:type="spellEnd"/>
      <w:r w:rsidRPr="00927002">
        <w:t>)</w:t>
      </w:r>
      <w:r w:rsidRPr="00927002">
        <w:tab/>
      </w:r>
      <w:r w:rsidR="00237EDB" w:rsidRPr="00927002">
        <w:t>clause</w:t>
      </w:r>
      <w:r w:rsidR="00927002" w:rsidRPr="00927002">
        <w:t> </w:t>
      </w:r>
      <w:r w:rsidR="00237EDB" w:rsidRPr="00927002">
        <w:t>3</w:t>
      </w:r>
      <w:r w:rsidR="008641CA" w:rsidRPr="00927002">
        <w:t xml:space="preserve">.11 (definition of </w:t>
      </w:r>
      <w:r w:rsidR="008641CA" w:rsidRPr="00927002">
        <w:rPr>
          <w:b/>
          <w:i/>
        </w:rPr>
        <w:t>ordinary rate of pay</w:t>
      </w:r>
      <w:proofErr w:type="gramStart"/>
      <w:r w:rsidR="008641CA" w:rsidRPr="00927002">
        <w:t>);</w:t>
      </w:r>
      <w:proofErr w:type="gramEnd"/>
    </w:p>
    <w:p w14:paraId="49CA4671" w14:textId="77777777" w:rsidR="008641CA" w:rsidRPr="00927002" w:rsidRDefault="008641CA" w:rsidP="00DD1646">
      <w:pPr>
        <w:pStyle w:val="paragraphsub"/>
      </w:pPr>
      <w:r w:rsidRPr="00927002">
        <w:tab/>
        <w:t>(ii)</w:t>
      </w:r>
      <w:r w:rsidRPr="00927002">
        <w:tab/>
      </w:r>
      <w:r w:rsidR="00237EDB" w:rsidRPr="00927002">
        <w:t>clause</w:t>
      </w:r>
      <w:r w:rsidR="00927002" w:rsidRPr="00927002">
        <w:t> </w:t>
      </w:r>
      <w:r w:rsidR="00237EDB" w:rsidRPr="00927002">
        <w:t>3</w:t>
      </w:r>
      <w:r w:rsidRPr="00927002">
        <w:t xml:space="preserve">.14 (definition of </w:t>
      </w:r>
      <w:r w:rsidRPr="00927002">
        <w:rPr>
          <w:b/>
          <w:i/>
        </w:rPr>
        <w:t>shift worker</w:t>
      </w:r>
      <w:proofErr w:type="gramStart"/>
      <w:r w:rsidR="00E940D8" w:rsidRPr="00927002">
        <w:t>);</w:t>
      </w:r>
      <w:proofErr w:type="gramEnd"/>
    </w:p>
    <w:p w14:paraId="6FFD3C5B" w14:textId="77777777" w:rsidR="00E940D8" w:rsidRPr="00927002" w:rsidRDefault="00E940D8" w:rsidP="00E940D8">
      <w:pPr>
        <w:pStyle w:val="paragraphsub"/>
      </w:pPr>
      <w:r w:rsidRPr="00927002">
        <w:tab/>
        <w:t>(iii)</w:t>
      </w:r>
      <w:r w:rsidRPr="00927002">
        <w:tab/>
        <w:t>clause</w:t>
      </w:r>
      <w:r w:rsidR="00927002" w:rsidRPr="00927002">
        <w:t> </w:t>
      </w:r>
      <w:r w:rsidRPr="00927002">
        <w:t>20.12 (when flex</w:t>
      </w:r>
      <w:r w:rsidR="001868E5">
        <w:noBreakHyphen/>
      </w:r>
      <w:r w:rsidRPr="00927002">
        <w:t>time arrangements are not available</w:t>
      </w:r>
      <w:proofErr w:type="gramStart"/>
      <w:r w:rsidRPr="00927002">
        <w:t>);</w:t>
      </w:r>
      <w:proofErr w:type="gramEnd"/>
    </w:p>
    <w:p w14:paraId="6101710F" w14:textId="77777777" w:rsidR="008B3CC1" w:rsidRPr="00927002" w:rsidRDefault="00E940D8" w:rsidP="00E940D8">
      <w:pPr>
        <w:pStyle w:val="paragraphsub"/>
      </w:pPr>
      <w:r w:rsidRPr="00927002">
        <w:tab/>
        <w:t>(iv)</w:t>
      </w:r>
      <w:r w:rsidRPr="00927002">
        <w:tab/>
      </w:r>
      <w:r w:rsidR="008B3CC1" w:rsidRPr="00927002">
        <w:t>clause</w:t>
      </w:r>
      <w:r w:rsidR="00927002" w:rsidRPr="00927002">
        <w:t> </w:t>
      </w:r>
      <w:r w:rsidR="008B3CC1" w:rsidRPr="00927002">
        <w:t>34.1 (</w:t>
      </w:r>
      <w:r w:rsidR="006864E8" w:rsidRPr="00927002">
        <w:t>classification</w:t>
      </w:r>
      <w:r w:rsidR="008B3CC1" w:rsidRPr="00927002">
        <w:t xml:space="preserve"> structure</w:t>
      </w:r>
      <w:proofErr w:type="gramStart"/>
      <w:r w:rsidR="008B3CC1" w:rsidRPr="00927002">
        <w:t>);</w:t>
      </w:r>
      <w:proofErr w:type="gramEnd"/>
    </w:p>
    <w:p w14:paraId="0F5B2BFC" w14:textId="77777777" w:rsidR="00E940D8" w:rsidRPr="00927002" w:rsidRDefault="008B3CC1" w:rsidP="00E940D8">
      <w:pPr>
        <w:pStyle w:val="paragraphsub"/>
      </w:pPr>
      <w:r w:rsidRPr="00927002">
        <w:tab/>
        <w:t>(v)</w:t>
      </w:r>
      <w:r w:rsidRPr="00927002">
        <w:tab/>
      </w:r>
      <w:r w:rsidR="00E940D8" w:rsidRPr="00927002">
        <w:t>clause</w:t>
      </w:r>
      <w:r w:rsidR="00927002" w:rsidRPr="00927002">
        <w:t> </w:t>
      </w:r>
      <w:r w:rsidR="00E940D8" w:rsidRPr="00927002">
        <w:t>34.2 (classification structure barriers</w:t>
      </w:r>
      <w:proofErr w:type="gramStart"/>
      <w:r w:rsidR="00E940D8" w:rsidRPr="00927002">
        <w:t>);</w:t>
      </w:r>
      <w:proofErr w:type="gramEnd"/>
    </w:p>
    <w:p w14:paraId="37B32CBA" w14:textId="77777777" w:rsidR="008B3CC1" w:rsidRPr="00927002" w:rsidRDefault="008B3CC1" w:rsidP="00E940D8">
      <w:pPr>
        <w:pStyle w:val="paragraphsub"/>
      </w:pPr>
      <w:r w:rsidRPr="00927002">
        <w:tab/>
        <w:t>(vi)</w:t>
      </w:r>
      <w:r w:rsidRPr="00927002">
        <w:tab/>
        <w:t>clause</w:t>
      </w:r>
      <w:r w:rsidR="00927002" w:rsidRPr="00927002">
        <w:t> </w:t>
      </w:r>
      <w:r w:rsidRPr="00927002">
        <w:t>34.3 (transitional arrangements</w:t>
      </w:r>
      <w:proofErr w:type="gramStart"/>
      <w:r w:rsidRPr="00927002">
        <w:t>);</w:t>
      </w:r>
      <w:proofErr w:type="gramEnd"/>
    </w:p>
    <w:p w14:paraId="6FC7AEAA" w14:textId="77777777" w:rsidR="008B3CC1" w:rsidRPr="00927002" w:rsidRDefault="008B3CC1" w:rsidP="00E940D8">
      <w:pPr>
        <w:pStyle w:val="paragraphsub"/>
      </w:pPr>
      <w:r w:rsidRPr="00927002">
        <w:tab/>
        <w:t>(vii)</w:t>
      </w:r>
      <w:r w:rsidRPr="00927002">
        <w:tab/>
        <w:t>clause</w:t>
      </w:r>
      <w:r w:rsidR="00927002" w:rsidRPr="00927002">
        <w:t> </w:t>
      </w:r>
      <w:r w:rsidRPr="00927002">
        <w:t>34.4 (on</w:t>
      </w:r>
      <w:r w:rsidR="001868E5">
        <w:noBreakHyphen/>
      </w:r>
      <w:r w:rsidRPr="00927002">
        <w:t>plant veterinarian (OPV) induction</w:t>
      </w:r>
      <w:proofErr w:type="gramStart"/>
      <w:r w:rsidRPr="00927002">
        <w:t>);</w:t>
      </w:r>
      <w:proofErr w:type="gramEnd"/>
    </w:p>
    <w:p w14:paraId="5A849A74" w14:textId="77777777" w:rsidR="00E940D8" w:rsidRPr="00927002" w:rsidRDefault="00E940D8" w:rsidP="00E940D8">
      <w:pPr>
        <w:pStyle w:val="paragraphsub"/>
      </w:pPr>
      <w:r w:rsidRPr="00927002">
        <w:tab/>
        <w:t>(v</w:t>
      </w:r>
      <w:r w:rsidR="008B3CC1" w:rsidRPr="00927002">
        <w:t>iii</w:t>
      </w:r>
      <w:r w:rsidRPr="00927002">
        <w:t>)</w:t>
      </w:r>
      <w:r w:rsidRPr="00927002">
        <w:tab/>
        <w:t>clause</w:t>
      </w:r>
      <w:r w:rsidR="00927002" w:rsidRPr="00927002">
        <w:t> </w:t>
      </w:r>
      <w:r w:rsidRPr="00927002">
        <w:t xml:space="preserve">34.6 </w:t>
      </w:r>
      <w:r w:rsidR="00636C48" w:rsidRPr="00927002">
        <w:t>(</w:t>
      </w:r>
      <w:r w:rsidRPr="00927002">
        <w:t>APS 3 to APS 4 biosecurity broadband</w:t>
      </w:r>
      <w:proofErr w:type="gramStart"/>
      <w:r w:rsidRPr="00927002">
        <w:t>)</w:t>
      </w:r>
      <w:r w:rsidR="008B3CC1" w:rsidRPr="00927002">
        <w:t>;</w:t>
      </w:r>
      <w:proofErr w:type="gramEnd"/>
    </w:p>
    <w:p w14:paraId="2C264728" w14:textId="77777777" w:rsidR="008B3CC1" w:rsidRPr="00927002" w:rsidRDefault="008B3CC1" w:rsidP="00E940D8">
      <w:pPr>
        <w:pStyle w:val="paragraphsub"/>
      </w:pPr>
      <w:r w:rsidRPr="00927002">
        <w:tab/>
        <w:t>(ix)</w:t>
      </w:r>
      <w:r w:rsidRPr="00927002">
        <w:tab/>
        <w:t xml:space="preserve">table 2 </w:t>
      </w:r>
      <w:r w:rsidR="002E31B5" w:rsidRPr="00927002">
        <w:t>in</w:t>
      </w:r>
      <w:r w:rsidRPr="00927002">
        <w:t xml:space="preserve"> Schedule</w:t>
      </w:r>
      <w:r w:rsidR="00927002" w:rsidRPr="00927002">
        <w:t> </w:t>
      </w:r>
      <w:r w:rsidRPr="00927002">
        <w:t>1 (veterinarian classification and salaries</w:t>
      </w:r>
      <w:proofErr w:type="gramStart"/>
      <w:r w:rsidRPr="00927002">
        <w:t>);</w:t>
      </w:r>
      <w:proofErr w:type="gramEnd"/>
    </w:p>
    <w:p w14:paraId="53849C67" w14:textId="77777777" w:rsidR="008B3CC1" w:rsidRPr="00927002" w:rsidRDefault="008B3CC1" w:rsidP="00E940D8">
      <w:pPr>
        <w:pStyle w:val="paragraphsub"/>
      </w:pPr>
      <w:r w:rsidRPr="00927002">
        <w:tab/>
        <w:t>(x)</w:t>
      </w:r>
      <w:r w:rsidRPr="00927002">
        <w:tab/>
        <w:t xml:space="preserve">table 5 </w:t>
      </w:r>
      <w:r w:rsidR="002E31B5" w:rsidRPr="00927002">
        <w:t>in</w:t>
      </w:r>
      <w:r w:rsidRPr="00927002">
        <w:t xml:space="preserve"> Schedule</w:t>
      </w:r>
      <w:r w:rsidR="00927002" w:rsidRPr="00927002">
        <w:t> </w:t>
      </w:r>
      <w:r w:rsidRPr="00927002">
        <w:t>1 (on</w:t>
      </w:r>
      <w:r w:rsidR="001868E5">
        <w:noBreakHyphen/>
      </w:r>
      <w:r w:rsidRPr="00927002">
        <w:t xml:space="preserve">plant veterinarian </w:t>
      </w:r>
      <w:r w:rsidR="00AC433E" w:rsidRPr="00927002">
        <w:t>induction</w:t>
      </w:r>
      <w:r w:rsidR="00D9254B" w:rsidRPr="00927002">
        <w:t xml:space="preserve"> salaries</w:t>
      </w:r>
      <w:proofErr w:type="gramStart"/>
      <w:r w:rsidRPr="00927002">
        <w:t>)</w:t>
      </w:r>
      <w:r w:rsidR="00990C20" w:rsidRPr="00927002">
        <w:t>;</w:t>
      </w:r>
      <w:proofErr w:type="gramEnd"/>
    </w:p>
    <w:p w14:paraId="2170F137" w14:textId="77777777" w:rsidR="00E64FF1" w:rsidRPr="00927002" w:rsidRDefault="008B3CC1" w:rsidP="00E940D8">
      <w:pPr>
        <w:pStyle w:val="paragraphsub"/>
      </w:pPr>
      <w:r w:rsidRPr="00927002">
        <w:tab/>
        <w:t>(xi)</w:t>
      </w:r>
      <w:r w:rsidRPr="00927002">
        <w:tab/>
        <w:t>clause</w:t>
      </w:r>
      <w:r w:rsidR="00927002" w:rsidRPr="00927002">
        <w:t> </w:t>
      </w:r>
      <w:r w:rsidRPr="00927002">
        <w:t>1 of Schedule</w:t>
      </w:r>
      <w:r w:rsidR="00927002" w:rsidRPr="00927002">
        <w:t> </w:t>
      </w:r>
      <w:r w:rsidRPr="00927002">
        <w:t>2 (transitional arrangements</w:t>
      </w:r>
      <w:proofErr w:type="gramStart"/>
      <w:r w:rsidRPr="00927002">
        <w:t>)</w:t>
      </w:r>
      <w:r w:rsidR="00E64FF1" w:rsidRPr="00927002">
        <w:t>;</w:t>
      </w:r>
      <w:proofErr w:type="gramEnd"/>
    </w:p>
    <w:p w14:paraId="04E27DA3" w14:textId="77777777" w:rsidR="008B3CC1" w:rsidRPr="00927002" w:rsidRDefault="00E64FF1" w:rsidP="00E940D8">
      <w:pPr>
        <w:pStyle w:val="paragraphsub"/>
      </w:pPr>
      <w:r w:rsidRPr="00927002">
        <w:tab/>
        <w:t>(xii)</w:t>
      </w:r>
      <w:r w:rsidRPr="00927002">
        <w:tab/>
        <w:t xml:space="preserve">table 1 </w:t>
      </w:r>
      <w:r w:rsidR="002E31B5" w:rsidRPr="00927002">
        <w:t>in</w:t>
      </w:r>
      <w:r w:rsidRPr="00927002">
        <w:t xml:space="preserve"> Schedule</w:t>
      </w:r>
      <w:r w:rsidR="00927002" w:rsidRPr="00927002">
        <w:t> </w:t>
      </w:r>
      <w:r w:rsidRPr="00927002">
        <w:t>2</w:t>
      </w:r>
      <w:r w:rsidR="008B3CC1" w:rsidRPr="00927002">
        <w:t>.</w:t>
      </w:r>
    </w:p>
    <w:p w14:paraId="7FFA8198" w14:textId="77777777" w:rsidR="00581AEE" w:rsidRPr="00927002" w:rsidRDefault="00581AEE" w:rsidP="00581AEE">
      <w:pPr>
        <w:pStyle w:val="SubsectionHead"/>
      </w:pPr>
      <w:r w:rsidRPr="00927002">
        <w:t>Substitution of DEE Agreement provisions</w:t>
      </w:r>
    </w:p>
    <w:p w14:paraId="484AAAF1" w14:textId="77777777" w:rsidR="0097140B" w:rsidRPr="00927002" w:rsidRDefault="000F6A8D" w:rsidP="00424344">
      <w:pPr>
        <w:pStyle w:val="subsection"/>
      </w:pPr>
      <w:r w:rsidRPr="00927002">
        <w:tab/>
        <w:t>(3</w:t>
      </w:r>
      <w:r w:rsidR="0014640C" w:rsidRPr="00927002">
        <w:t>)</w:t>
      </w:r>
      <w:r w:rsidR="0014640C" w:rsidRPr="00927002">
        <w:tab/>
        <w:t>The DEE Agreement has effect as if</w:t>
      </w:r>
      <w:r w:rsidR="0097140B" w:rsidRPr="00927002">
        <w:t>:</w:t>
      </w:r>
    </w:p>
    <w:p w14:paraId="738CA9CD" w14:textId="77777777" w:rsidR="0014640C" w:rsidRPr="00927002" w:rsidRDefault="0097140B" w:rsidP="0097140B">
      <w:pPr>
        <w:pStyle w:val="paragraph"/>
      </w:pPr>
      <w:r w:rsidRPr="00927002">
        <w:tab/>
        <w:t>(a)</w:t>
      </w:r>
      <w:r w:rsidRPr="00927002">
        <w:tab/>
      </w:r>
      <w:r w:rsidR="0014640C" w:rsidRPr="00927002">
        <w:t xml:space="preserve">each provision of the DEE Agreement specified in column 1 of an item of the following table were omitted and substituted with the </w:t>
      </w:r>
      <w:r w:rsidR="00926105" w:rsidRPr="00927002">
        <w:t xml:space="preserve">updated </w:t>
      </w:r>
      <w:r w:rsidR="0014640C" w:rsidRPr="00927002">
        <w:t>provision specified in column 2 of that item</w:t>
      </w:r>
      <w:r w:rsidRPr="00927002">
        <w:t>; and</w:t>
      </w:r>
    </w:p>
    <w:p w14:paraId="765B1DE6" w14:textId="77777777" w:rsidR="0097140B" w:rsidRPr="00927002" w:rsidRDefault="0097140B" w:rsidP="0097140B">
      <w:pPr>
        <w:pStyle w:val="paragraph"/>
      </w:pPr>
      <w:r w:rsidRPr="00927002">
        <w:tab/>
        <w:t>(b)</w:t>
      </w:r>
      <w:r w:rsidRPr="00927002">
        <w:tab/>
        <w:t>the columns of the table in Schedule</w:t>
      </w:r>
      <w:r w:rsidR="00927002" w:rsidRPr="00927002">
        <w:t> </w:t>
      </w:r>
      <w:r w:rsidRPr="00927002">
        <w:t xml:space="preserve">1 </w:t>
      </w:r>
      <w:r w:rsidR="003C063B" w:rsidRPr="00927002">
        <w:t>to</w:t>
      </w:r>
      <w:r w:rsidRPr="00927002">
        <w:t xml:space="preserve"> the DEE Agreement (classification structure and pay rates) dealing with pay rates</w:t>
      </w:r>
      <w:r w:rsidR="00B37496" w:rsidRPr="00927002">
        <w:t xml:space="preserve"> for classifications</w:t>
      </w:r>
      <w:r w:rsidRPr="00927002">
        <w:t xml:space="preserve"> were omitted and substituted with the column</w:t>
      </w:r>
      <w:r w:rsidR="00B37496" w:rsidRPr="00927002">
        <w:t xml:space="preserve"> dealing with salary rates for those classifications</w:t>
      </w:r>
      <w:r w:rsidRPr="00927002">
        <w:t xml:space="preserve"> headed “2% increase </w:t>
      </w:r>
      <w:r w:rsidR="001868E5">
        <w:noBreakHyphen/>
      </w:r>
      <w:r w:rsidRPr="00927002">
        <w:t xml:space="preserve"> 30</w:t>
      </w:r>
      <w:r w:rsidR="00927002" w:rsidRPr="00927002">
        <w:t> </w:t>
      </w:r>
      <w:r w:rsidRPr="00927002">
        <w:t xml:space="preserve">November 2019” in Table 1 of the Schedule </w:t>
      </w:r>
      <w:r w:rsidR="00086287" w:rsidRPr="00927002">
        <w:t>of</w:t>
      </w:r>
      <w:r w:rsidRPr="00927002">
        <w:t xml:space="preserve"> the DEE Salaries and Allowances Determination; and</w:t>
      </w:r>
    </w:p>
    <w:p w14:paraId="2096E749" w14:textId="77777777" w:rsidR="0097140B" w:rsidRPr="00927002" w:rsidRDefault="0097140B" w:rsidP="0097140B">
      <w:pPr>
        <w:pStyle w:val="paragraph"/>
      </w:pPr>
      <w:r w:rsidRPr="00927002">
        <w:tab/>
        <w:t>(c)</w:t>
      </w:r>
      <w:r w:rsidRPr="00927002">
        <w:tab/>
        <w:t>the columns of the table in Schedule</w:t>
      </w:r>
      <w:r w:rsidR="00927002" w:rsidRPr="00927002">
        <w:t> </w:t>
      </w:r>
      <w:r w:rsidRPr="00927002">
        <w:t xml:space="preserve">2 </w:t>
      </w:r>
      <w:r w:rsidR="003C063B" w:rsidRPr="00927002">
        <w:t>to</w:t>
      </w:r>
      <w:r w:rsidRPr="00927002">
        <w:t xml:space="preserve"> the DEE Agreement (allowances) dealing with allowance rates were omitted and substituted with the column headed “2% increase </w:t>
      </w:r>
      <w:r w:rsidR="001868E5">
        <w:noBreakHyphen/>
      </w:r>
      <w:r w:rsidRPr="00927002">
        <w:t xml:space="preserve"> 30</w:t>
      </w:r>
      <w:r w:rsidR="00927002" w:rsidRPr="00927002">
        <w:t> </w:t>
      </w:r>
      <w:r w:rsidRPr="00927002">
        <w:t>November 2019” in Table</w:t>
      </w:r>
      <w:r w:rsidR="00F63D55" w:rsidRPr="00927002">
        <w:t xml:space="preserve"> 2</w:t>
      </w:r>
      <w:r w:rsidRPr="00927002">
        <w:t xml:space="preserve"> </w:t>
      </w:r>
      <w:r w:rsidR="003C063B" w:rsidRPr="00927002">
        <w:t>in</w:t>
      </w:r>
      <w:r w:rsidRPr="00927002">
        <w:t xml:space="preserve"> the Schedule </w:t>
      </w:r>
      <w:r w:rsidR="003C063B" w:rsidRPr="00927002">
        <w:t>to</w:t>
      </w:r>
      <w:r w:rsidRPr="00927002">
        <w:t xml:space="preserve"> the DEE Salaries and Allowances Determination.</w:t>
      </w:r>
    </w:p>
    <w:p w14:paraId="58339031" w14:textId="77777777" w:rsidR="00710E2F" w:rsidRPr="00927002" w:rsidRDefault="00710E2F" w:rsidP="00710E2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710E2F" w:rsidRPr="00927002" w14:paraId="3689B457" w14:textId="77777777" w:rsidTr="00F20FC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2F9C3D" w14:textId="77777777" w:rsidR="00710E2F" w:rsidRPr="00927002" w:rsidRDefault="00710E2F" w:rsidP="00E17A9A">
            <w:pPr>
              <w:pStyle w:val="TableHeading"/>
            </w:pPr>
            <w:r w:rsidRPr="00927002">
              <w:t xml:space="preserve">Provisions of the </w:t>
            </w:r>
            <w:r w:rsidR="00E17A9A" w:rsidRPr="00927002">
              <w:t>DEE</w:t>
            </w:r>
            <w:r w:rsidRPr="00927002">
              <w:t xml:space="preserve"> Agreement being </w:t>
            </w:r>
            <w:r w:rsidR="00E17A9A" w:rsidRPr="00927002">
              <w:t>substituted with updated provisions</w:t>
            </w:r>
          </w:p>
        </w:tc>
      </w:tr>
      <w:tr w:rsidR="00710E2F" w:rsidRPr="00927002" w14:paraId="452456CB" w14:textId="77777777" w:rsidTr="00F20FC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D841D3" w14:textId="77777777" w:rsidR="00710E2F" w:rsidRPr="00927002" w:rsidRDefault="00710E2F" w:rsidP="00D37A41">
            <w:pPr>
              <w:pStyle w:val="TableHeading"/>
            </w:pPr>
          </w:p>
          <w:p w14:paraId="12621BCA" w14:textId="77777777" w:rsidR="00710E2F" w:rsidRPr="00927002" w:rsidRDefault="00710E2F" w:rsidP="00D37A41">
            <w:pPr>
              <w:pStyle w:val="TableHeading"/>
            </w:pPr>
            <w:r w:rsidRPr="00927002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D0C995" w14:textId="77777777" w:rsidR="00710E2F" w:rsidRPr="00927002" w:rsidRDefault="00710E2F" w:rsidP="00D37A41">
            <w:pPr>
              <w:pStyle w:val="TableHeading"/>
            </w:pPr>
            <w:r w:rsidRPr="00927002">
              <w:t>Column 1</w:t>
            </w:r>
          </w:p>
          <w:p w14:paraId="5CD2319E" w14:textId="77777777" w:rsidR="00710E2F" w:rsidRPr="00927002" w:rsidRDefault="00710E2F" w:rsidP="00363DD4">
            <w:pPr>
              <w:pStyle w:val="TableHeading"/>
            </w:pPr>
            <w:r w:rsidRPr="00927002">
              <w:t xml:space="preserve">Provision </w:t>
            </w:r>
            <w:r w:rsidR="00C40B30" w:rsidRPr="00927002">
              <w:t>of DEE Agreement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C66819" w14:textId="77777777" w:rsidR="00710E2F" w:rsidRPr="00927002" w:rsidRDefault="00710E2F" w:rsidP="00D37A41">
            <w:pPr>
              <w:pStyle w:val="TableHeading"/>
            </w:pPr>
            <w:r w:rsidRPr="00927002">
              <w:t>Column 2</w:t>
            </w:r>
          </w:p>
          <w:p w14:paraId="04943791" w14:textId="77777777" w:rsidR="00710E2F" w:rsidRPr="00927002" w:rsidRDefault="00710E2F" w:rsidP="00710E2F">
            <w:pPr>
              <w:pStyle w:val="TableHeading"/>
            </w:pPr>
            <w:r w:rsidRPr="00927002">
              <w:t>Updated provision</w:t>
            </w:r>
          </w:p>
        </w:tc>
      </w:tr>
      <w:tr w:rsidR="00710E2F" w:rsidRPr="00927002" w14:paraId="32EDEA2F" w14:textId="77777777" w:rsidTr="00F20FCC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228E87" w14:textId="77777777" w:rsidR="00710E2F" w:rsidRPr="00927002" w:rsidRDefault="00710E2F" w:rsidP="00D37A41">
            <w:pPr>
              <w:pStyle w:val="Tabletext"/>
            </w:pPr>
            <w:r w:rsidRPr="00927002">
              <w:t>1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EC29049" w14:textId="77777777" w:rsidR="00710E2F" w:rsidRPr="00927002" w:rsidRDefault="00710E2F" w:rsidP="00710E2F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3.3 (standard working day)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25FFAE" w14:textId="77777777" w:rsidR="00710E2F" w:rsidRPr="00927002" w:rsidRDefault="00710E2F" w:rsidP="00710E2F">
            <w:pPr>
              <w:pStyle w:val="Tabletext"/>
            </w:pPr>
            <w:r w:rsidRPr="00927002">
              <w:t>The standard working day for employees</w:t>
            </w:r>
            <w:r w:rsidR="00C4174D" w:rsidRPr="00927002">
              <w:t xml:space="preserve"> who are not regional employees or OPV employees</w:t>
            </w:r>
            <w:r w:rsidRPr="00927002">
              <w:t xml:space="preserve"> </w:t>
            </w:r>
            <w:proofErr w:type="gramStart"/>
            <w:r w:rsidRPr="00927002">
              <w:t>is considered to be</w:t>
            </w:r>
            <w:proofErr w:type="gramEnd"/>
            <w:r w:rsidRPr="00927002">
              <w:t xml:space="preserve"> 8.30 am to 12.30 pm and 1.30 pm to 5.00 pm (seven hours and 30 minutes per day) Monday to Friday.</w:t>
            </w:r>
          </w:p>
          <w:p w14:paraId="41CEBB22" w14:textId="77777777" w:rsidR="00710E2F" w:rsidRPr="00927002" w:rsidRDefault="00710E2F" w:rsidP="00741470">
            <w:pPr>
              <w:pStyle w:val="Tabletext"/>
            </w:pPr>
            <w:r w:rsidRPr="00927002">
              <w:t xml:space="preserve">The standard working day for </w:t>
            </w:r>
            <w:r w:rsidR="00C4174D" w:rsidRPr="00927002">
              <w:t>regional employees and OPV employees</w:t>
            </w:r>
            <w:r w:rsidRPr="00927002">
              <w:t xml:space="preserve"> </w:t>
            </w:r>
            <w:proofErr w:type="gramStart"/>
            <w:r w:rsidRPr="00927002">
              <w:t>is considered to be</w:t>
            </w:r>
            <w:proofErr w:type="gramEnd"/>
            <w:r w:rsidRPr="00927002">
              <w:t xml:space="preserve"> 7.30 am to 12.00 pm and 12.30 pm </w:t>
            </w:r>
            <w:r w:rsidRPr="00927002">
              <w:lastRenderedPageBreak/>
              <w:t>to 3.30 pm (seven hours and 30 min</w:t>
            </w:r>
            <w:r w:rsidR="00441F17" w:rsidRPr="00927002">
              <w:t>utes per day) Monday to Friday.</w:t>
            </w:r>
          </w:p>
        </w:tc>
      </w:tr>
      <w:tr w:rsidR="00710E2F" w:rsidRPr="00927002" w14:paraId="13793209" w14:textId="77777777" w:rsidTr="00F20FC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3DD6F3" w14:textId="77777777" w:rsidR="00710E2F" w:rsidRPr="00927002" w:rsidRDefault="00710E2F" w:rsidP="00FE602F">
            <w:pPr>
              <w:pStyle w:val="Tabletext"/>
            </w:pPr>
            <w:r w:rsidRPr="00927002">
              <w:lastRenderedPageBreak/>
              <w:t>2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6C2C3B" w14:textId="77777777" w:rsidR="00710E2F" w:rsidRPr="00927002" w:rsidRDefault="00FE602F" w:rsidP="00FE602F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3.5 (bandwidth)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E981F7" w14:textId="77777777" w:rsidR="00710E2F" w:rsidRPr="00927002" w:rsidRDefault="00FE602F" w:rsidP="00FE602F">
            <w:pPr>
              <w:pStyle w:val="Tabletext"/>
            </w:pPr>
            <w:r w:rsidRPr="00927002">
              <w:t xml:space="preserve">The bandwidth during which </w:t>
            </w:r>
            <w:r w:rsidR="00C4174D" w:rsidRPr="00927002">
              <w:t xml:space="preserve">employees who are not regional employees or OPV employees </w:t>
            </w:r>
            <w:r w:rsidRPr="00927002">
              <w:t>may work their ordinary hours will be 12 hours in length, Monday to Friday, usually 7.00 am to 7.00 pm.</w:t>
            </w:r>
          </w:p>
          <w:p w14:paraId="5C2BB2DA" w14:textId="77777777" w:rsidR="00FE602F" w:rsidRPr="00927002" w:rsidRDefault="00FE602F" w:rsidP="00741470">
            <w:pPr>
              <w:pStyle w:val="Tabletext"/>
            </w:pPr>
            <w:r w:rsidRPr="00927002">
              <w:t xml:space="preserve">The bandwidth during which </w:t>
            </w:r>
            <w:r w:rsidR="00C4174D" w:rsidRPr="00927002">
              <w:t>regional employees and OPV employees</w:t>
            </w:r>
            <w:r w:rsidRPr="00927002">
              <w:t xml:space="preserve"> may work their ordinary hours will be 12 hours in len</w:t>
            </w:r>
            <w:r w:rsidR="00E0763D" w:rsidRPr="00927002">
              <w:t>gth, Monday to Friday, usually 6</w:t>
            </w:r>
            <w:r w:rsidRPr="00927002">
              <w:t>.</w:t>
            </w:r>
            <w:r w:rsidR="00E0763D" w:rsidRPr="00927002">
              <w:t>30 am to 6</w:t>
            </w:r>
            <w:r w:rsidRPr="00927002">
              <w:t>.</w:t>
            </w:r>
            <w:r w:rsidR="00E0763D" w:rsidRPr="00927002">
              <w:t>30</w:t>
            </w:r>
            <w:r w:rsidRPr="00927002">
              <w:t xml:space="preserve"> pm.</w:t>
            </w:r>
          </w:p>
        </w:tc>
      </w:tr>
    </w:tbl>
    <w:p w14:paraId="2B8138C5" w14:textId="77777777" w:rsidR="00581AEE" w:rsidRPr="00927002" w:rsidRDefault="00581AEE" w:rsidP="00581AEE">
      <w:pPr>
        <w:pStyle w:val="SubsectionHead"/>
      </w:pPr>
      <w:r w:rsidRPr="00927002">
        <w:t>Substitution of DEE Agreement provisions with DAWR Agreement provisions</w:t>
      </w:r>
    </w:p>
    <w:p w14:paraId="176BAB92" w14:textId="77777777" w:rsidR="00DD1646" w:rsidRPr="00927002" w:rsidRDefault="00A919F0" w:rsidP="00424344">
      <w:pPr>
        <w:pStyle w:val="subsection"/>
      </w:pPr>
      <w:r w:rsidRPr="00927002">
        <w:tab/>
        <w:t>(4</w:t>
      </w:r>
      <w:r w:rsidR="008C1CB9" w:rsidRPr="00927002">
        <w:t>)</w:t>
      </w:r>
      <w:r w:rsidR="008C1CB9" w:rsidRPr="00927002">
        <w:tab/>
      </w:r>
      <w:r w:rsidR="00424344" w:rsidRPr="00927002">
        <w:t xml:space="preserve">The DEE Agreement has effect as if </w:t>
      </w:r>
      <w:r w:rsidR="00D542B9" w:rsidRPr="00927002">
        <w:t>each</w:t>
      </w:r>
      <w:r w:rsidR="00DD1646" w:rsidRPr="00927002">
        <w:t xml:space="preserve"> </w:t>
      </w:r>
      <w:r w:rsidR="00871F59" w:rsidRPr="00927002">
        <w:t xml:space="preserve">of the </w:t>
      </w:r>
      <w:r w:rsidR="00DD1646" w:rsidRPr="00927002">
        <w:t>provision</w:t>
      </w:r>
      <w:r w:rsidR="00871F59" w:rsidRPr="00927002">
        <w:t>s</w:t>
      </w:r>
      <w:r w:rsidR="00DD1646" w:rsidRPr="00927002">
        <w:t xml:space="preserve"> </w:t>
      </w:r>
      <w:r w:rsidR="00897131" w:rsidRPr="00927002">
        <w:t xml:space="preserve">of </w:t>
      </w:r>
      <w:r w:rsidR="000C5E30" w:rsidRPr="00927002">
        <w:t xml:space="preserve">the DEE </w:t>
      </w:r>
      <w:r w:rsidR="00DD1646" w:rsidRPr="00927002">
        <w:t xml:space="preserve">Agreement specified in column 1 of an item of the </w:t>
      </w:r>
      <w:r w:rsidR="00897131" w:rsidRPr="00927002">
        <w:t xml:space="preserve">following </w:t>
      </w:r>
      <w:r w:rsidR="00DD1646" w:rsidRPr="00927002">
        <w:t>table were omitted and substituted with the provisions of the DAWR Agreement</w:t>
      </w:r>
      <w:r w:rsidR="00564E33" w:rsidRPr="00927002">
        <w:t xml:space="preserve"> specified in column 2 of that item</w:t>
      </w:r>
      <w:r w:rsidR="004871F6" w:rsidRPr="00927002">
        <w:t xml:space="preserve">, as </w:t>
      </w:r>
      <w:r w:rsidR="00D542B9" w:rsidRPr="00927002">
        <w:t>the DAWR Agreement</w:t>
      </w:r>
      <w:r w:rsidR="004871F6" w:rsidRPr="00927002">
        <w:t xml:space="preserve"> </w:t>
      </w:r>
      <w:r w:rsidR="00C003D1" w:rsidRPr="00927002">
        <w:t>has</w:t>
      </w:r>
      <w:r w:rsidR="00564E33" w:rsidRPr="00927002">
        <w:t xml:space="preserve"> </w:t>
      </w:r>
      <w:r w:rsidR="004871F6" w:rsidRPr="00927002">
        <w:t xml:space="preserve">effect under </w:t>
      </w:r>
      <w:r w:rsidR="00927002" w:rsidRPr="00927002">
        <w:t>subsections (</w:t>
      </w:r>
      <w:r w:rsidRPr="00927002">
        <w:t>5</w:t>
      </w:r>
      <w:r w:rsidR="004871F6" w:rsidRPr="00927002">
        <w:t>)</w:t>
      </w:r>
      <w:r w:rsidR="00C45B5A" w:rsidRPr="00927002">
        <w:t xml:space="preserve"> </w:t>
      </w:r>
      <w:r w:rsidR="006B009D" w:rsidRPr="00927002">
        <w:t>to (</w:t>
      </w:r>
      <w:r w:rsidR="005E3156" w:rsidRPr="00927002">
        <w:t>9</w:t>
      </w:r>
      <w:r w:rsidR="00C45B5A" w:rsidRPr="00927002">
        <w:t>)</w:t>
      </w:r>
      <w:r w:rsidR="00C13627" w:rsidRPr="00927002">
        <w:t xml:space="preserve"> of this section</w:t>
      </w:r>
      <w:r w:rsidR="00DD1646" w:rsidRPr="00927002">
        <w:t>.</w:t>
      </w:r>
    </w:p>
    <w:p w14:paraId="18A1B6E4" w14:textId="77777777" w:rsidR="00DD1646" w:rsidRPr="00927002" w:rsidRDefault="00DD1646" w:rsidP="00DD164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D614C" w:rsidRPr="00927002" w14:paraId="742F9097" w14:textId="77777777" w:rsidTr="004E1E2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F1FACF" w14:textId="77777777" w:rsidR="00DD1646" w:rsidRPr="00927002" w:rsidRDefault="00DD1646" w:rsidP="00542DE8">
            <w:pPr>
              <w:pStyle w:val="TableHeading"/>
            </w:pPr>
            <w:r w:rsidRPr="00927002">
              <w:t>DEE Agreement</w:t>
            </w:r>
            <w:r w:rsidR="00897131" w:rsidRPr="00927002">
              <w:t xml:space="preserve"> provisions</w:t>
            </w:r>
            <w:r w:rsidR="00EB4048" w:rsidRPr="00927002">
              <w:t xml:space="preserve"> being</w:t>
            </w:r>
            <w:r w:rsidR="00897131" w:rsidRPr="00927002">
              <w:t xml:space="preserve"> omitted and substituted with DAWR Agreement provisions</w:t>
            </w:r>
          </w:p>
        </w:tc>
      </w:tr>
      <w:tr w:rsidR="00DD1646" w:rsidRPr="00927002" w14:paraId="0B64502C" w14:textId="77777777" w:rsidTr="004E1E2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CAF64D" w14:textId="77777777" w:rsidR="00DB06BB" w:rsidRPr="00927002" w:rsidRDefault="00DB06BB" w:rsidP="00542DE8">
            <w:pPr>
              <w:pStyle w:val="TableHeading"/>
            </w:pPr>
          </w:p>
          <w:p w14:paraId="0857D526" w14:textId="77777777" w:rsidR="00DD1646" w:rsidRPr="00927002" w:rsidRDefault="00DD1646" w:rsidP="00542DE8">
            <w:pPr>
              <w:pStyle w:val="TableHeading"/>
            </w:pPr>
            <w:r w:rsidRPr="0092700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98B8DF" w14:textId="77777777" w:rsidR="00DD1646" w:rsidRPr="00927002" w:rsidRDefault="00DD1646" w:rsidP="00542DE8">
            <w:pPr>
              <w:pStyle w:val="TableHeading"/>
            </w:pPr>
            <w:r w:rsidRPr="00927002">
              <w:t>Column 1</w:t>
            </w:r>
          </w:p>
          <w:p w14:paraId="79F900F9" w14:textId="77777777" w:rsidR="00DD1646" w:rsidRPr="00927002" w:rsidRDefault="00DD1646" w:rsidP="00542DE8">
            <w:pPr>
              <w:pStyle w:val="TableHeading"/>
            </w:pPr>
            <w:r w:rsidRPr="00927002">
              <w:t>DEE Agreement provisions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A758FA" w14:textId="77777777" w:rsidR="00DD1646" w:rsidRPr="00927002" w:rsidRDefault="00DD1646" w:rsidP="00542DE8">
            <w:pPr>
              <w:pStyle w:val="TableHeading"/>
            </w:pPr>
            <w:r w:rsidRPr="00927002">
              <w:t>Column 2</w:t>
            </w:r>
          </w:p>
          <w:p w14:paraId="0F0D46DD" w14:textId="77777777" w:rsidR="00DD1646" w:rsidRPr="00927002" w:rsidRDefault="00DD1646" w:rsidP="00542DE8">
            <w:pPr>
              <w:pStyle w:val="TableHeading"/>
            </w:pPr>
            <w:r w:rsidRPr="00927002">
              <w:t>DAWR Agreement provisions</w:t>
            </w:r>
          </w:p>
        </w:tc>
      </w:tr>
      <w:tr w:rsidR="004E1E29" w:rsidRPr="00927002" w14:paraId="104C0FB6" w14:textId="77777777" w:rsidTr="004E1E29">
        <w:tc>
          <w:tcPr>
            <w:tcW w:w="714" w:type="dxa"/>
            <w:shd w:val="clear" w:color="auto" w:fill="auto"/>
          </w:tcPr>
          <w:p w14:paraId="22647131" w14:textId="77777777" w:rsidR="004E1E29" w:rsidRPr="00927002" w:rsidRDefault="00284F46" w:rsidP="005248F6">
            <w:pPr>
              <w:pStyle w:val="Tabletext"/>
            </w:pPr>
            <w:r w:rsidRPr="00927002">
              <w:t>1</w:t>
            </w:r>
          </w:p>
        </w:tc>
        <w:tc>
          <w:tcPr>
            <w:tcW w:w="3799" w:type="dxa"/>
            <w:shd w:val="clear" w:color="auto" w:fill="auto"/>
          </w:tcPr>
          <w:p w14:paraId="02572A0A" w14:textId="77777777" w:rsidR="004E1E29" w:rsidRPr="00927002" w:rsidRDefault="004E1E29" w:rsidP="005248F6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4.5 (casual loading)</w:t>
            </w:r>
          </w:p>
        </w:tc>
        <w:tc>
          <w:tcPr>
            <w:tcW w:w="3799" w:type="dxa"/>
            <w:shd w:val="clear" w:color="auto" w:fill="auto"/>
          </w:tcPr>
          <w:p w14:paraId="64F46ED0" w14:textId="77777777" w:rsidR="004E1E29" w:rsidRPr="00927002" w:rsidRDefault="004E1E29" w:rsidP="00E940D8">
            <w:pPr>
              <w:pStyle w:val="Tabletext"/>
            </w:pPr>
            <w:r w:rsidRPr="00927002">
              <w:t>clauses</w:t>
            </w:r>
            <w:r w:rsidR="00927002" w:rsidRPr="00927002">
              <w:t> </w:t>
            </w:r>
            <w:r w:rsidRPr="00927002">
              <w:t>18.1</w:t>
            </w:r>
            <w:r w:rsidR="00E940D8" w:rsidRPr="00927002">
              <w:t xml:space="preserve"> to</w:t>
            </w:r>
            <w:r w:rsidRPr="00927002">
              <w:t xml:space="preserve"> 18.5 (casual employment)</w:t>
            </w:r>
          </w:p>
        </w:tc>
      </w:tr>
      <w:tr w:rsidR="004E1E29" w:rsidRPr="00927002" w14:paraId="41AB2A09" w14:textId="77777777" w:rsidTr="004E1E29">
        <w:tc>
          <w:tcPr>
            <w:tcW w:w="714" w:type="dxa"/>
            <w:shd w:val="clear" w:color="auto" w:fill="auto"/>
          </w:tcPr>
          <w:p w14:paraId="5103840B" w14:textId="77777777" w:rsidR="004E1E29" w:rsidRPr="00927002" w:rsidRDefault="00284F46" w:rsidP="005248F6">
            <w:pPr>
              <w:pStyle w:val="Tabletext"/>
            </w:pPr>
            <w:r w:rsidRPr="00927002">
              <w:t>2</w:t>
            </w:r>
          </w:p>
        </w:tc>
        <w:tc>
          <w:tcPr>
            <w:tcW w:w="3799" w:type="dxa"/>
            <w:shd w:val="clear" w:color="auto" w:fill="auto"/>
          </w:tcPr>
          <w:p w14:paraId="0EED8C6A" w14:textId="77777777" w:rsidR="004E1E29" w:rsidRPr="00927002" w:rsidRDefault="004E1E29" w:rsidP="005248F6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3.11 (meal breaks)</w:t>
            </w:r>
          </w:p>
        </w:tc>
        <w:tc>
          <w:tcPr>
            <w:tcW w:w="3799" w:type="dxa"/>
            <w:shd w:val="clear" w:color="auto" w:fill="auto"/>
          </w:tcPr>
          <w:p w14:paraId="4A307FFF" w14:textId="77777777" w:rsidR="004E1E29" w:rsidRPr="00927002" w:rsidRDefault="004E1E29" w:rsidP="005248F6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19 (breaks)</w:t>
            </w:r>
          </w:p>
        </w:tc>
      </w:tr>
      <w:tr w:rsidR="004E1E29" w:rsidRPr="00927002" w14:paraId="77E56ACE" w14:textId="77777777" w:rsidTr="004E1E29">
        <w:tc>
          <w:tcPr>
            <w:tcW w:w="714" w:type="dxa"/>
            <w:shd w:val="clear" w:color="auto" w:fill="auto"/>
          </w:tcPr>
          <w:p w14:paraId="5E787149" w14:textId="77777777" w:rsidR="004E1E29" w:rsidRPr="00927002" w:rsidRDefault="00284F46" w:rsidP="005248F6">
            <w:pPr>
              <w:pStyle w:val="Tabletext"/>
            </w:pPr>
            <w:r w:rsidRPr="00927002">
              <w:t>3</w:t>
            </w:r>
          </w:p>
        </w:tc>
        <w:tc>
          <w:tcPr>
            <w:tcW w:w="3799" w:type="dxa"/>
            <w:shd w:val="clear" w:color="auto" w:fill="auto"/>
          </w:tcPr>
          <w:p w14:paraId="4D9EEB70" w14:textId="77777777" w:rsidR="004E1E29" w:rsidRPr="00927002" w:rsidRDefault="004E1E29" w:rsidP="005248F6">
            <w:pPr>
              <w:pStyle w:val="Tabletext"/>
            </w:pPr>
            <w:r w:rsidRPr="00927002">
              <w:t>clauses</w:t>
            </w:r>
            <w:r w:rsidR="00927002" w:rsidRPr="00927002">
              <w:t> </w:t>
            </w:r>
            <w:r w:rsidRPr="00927002">
              <w:t>3.59 to 3.71 (</w:t>
            </w:r>
            <w:proofErr w:type="spellStart"/>
            <w:r w:rsidRPr="00927002">
              <w:t>shiftwork</w:t>
            </w:r>
            <w:proofErr w:type="spellEnd"/>
            <w:r w:rsidRPr="00927002">
              <w:t xml:space="preserve"> and fixed daily hours)</w:t>
            </w:r>
          </w:p>
        </w:tc>
        <w:tc>
          <w:tcPr>
            <w:tcW w:w="3799" w:type="dxa"/>
            <w:shd w:val="clear" w:color="auto" w:fill="auto"/>
          </w:tcPr>
          <w:p w14:paraId="64BB136F" w14:textId="77777777" w:rsidR="004E1E29" w:rsidRPr="00927002" w:rsidRDefault="004E1E29" w:rsidP="005248F6">
            <w:pPr>
              <w:pStyle w:val="Tabletext"/>
            </w:pPr>
            <w:r w:rsidRPr="00927002">
              <w:t>clauses</w:t>
            </w:r>
            <w:r w:rsidR="00927002" w:rsidRPr="00927002">
              <w:t> </w:t>
            </w:r>
            <w:r w:rsidRPr="00927002">
              <w:t>21.1 to 21.12 (shift work)</w:t>
            </w:r>
          </w:p>
        </w:tc>
      </w:tr>
      <w:tr w:rsidR="004E1E29" w:rsidRPr="00927002" w14:paraId="5BD5F9A0" w14:textId="77777777" w:rsidTr="004E1E2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73F46BD" w14:textId="77777777" w:rsidR="004E1E29" w:rsidRPr="00927002" w:rsidRDefault="00284F46" w:rsidP="005248F6">
            <w:pPr>
              <w:pStyle w:val="Tabletext"/>
            </w:pPr>
            <w:r w:rsidRPr="00927002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11899BB4" w14:textId="77777777" w:rsidR="004E1E29" w:rsidRPr="00927002" w:rsidRDefault="004E1E29" w:rsidP="005248F6">
            <w:pPr>
              <w:pStyle w:val="Tabletext"/>
            </w:pPr>
            <w:r w:rsidRPr="00927002">
              <w:t>clauses</w:t>
            </w:r>
            <w:r w:rsidR="00927002" w:rsidRPr="00927002">
              <w:t> </w:t>
            </w:r>
            <w:r w:rsidRPr="00927002">
              <w:t>3.48 to 3.55, 3.57 and 3.58 (overtime duty)</w:t>
            </w:r>
            <w:r w:rsidR="00312D29" w:rsidRPr="00927002">
              <w:t xml:space="preserve"> and 5.2 (overtime meal allowance)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726F01A" w14:textId="77777777" w:rsidR="004E1E29" w:rsidRPr="00927002" w:rsidRDefault="004E1E29" w:rsidP="005248F6">
            <w:pPr>
              <w:pStyle w:val="Tabletext"/>
            </w:pPr>
            <w:r w:rsidRPr="00927002">
              <w:t>clauses</w:t>
            </w:r>
            <w:r w:rsidR="00927002" w:rsidRPr="00927002">
              <w:t> </w:t>
            </w:r>
            <w:r w:rsidRPr="00927002">
              <w:t>22.1 to 22.13 (overtime)</w:t>
            </w:r>
          </w:p>
        </w:tc>
      </w:tr>
      <w:tr w:rsidR="006D614C" w:rsidRPr="00927002" w14:paraId="25972138" w14:textId="77777777" w:rsidTr="004E1E2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D64358" w14:textId="77777777" w:rsidR="006D614C" w:rsidRPr="00927002" w:rsidRDefault="00284F46" w:rsidP="00542DE8">
            <w:pPr>
              <w:pStyle w:val="Tabletext"/>
            </w:pPr>
            <w:r w:rsidRPr="00927002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E2671A" w14:textId="77777777" w:rsidR="006D614C" w:rsidRPr="00927002" w:rsidRDefault="00237EDB" w:rsidP="00542DE8">
            <w:pPr>
              <w:pStyle w:val="Tabletext"/>
            </w:pPr>
            <w:r w:rsidRPr="00927002">
              <w:t>clauses</w:t>
            </w:r>
            <w:r w:rsidR="00927002" w:rsidRPr="00927002">
              <w:t> </w:t>
            </w:r>
            <w:r w:rsidRPr="00927002">
              <w:t>3</w:t>
            </w:r>
            <w:r w:rsidR="006D614C" w:rsidRPr="00927002">
              <w:t>.43 to 3.47 (Christmas closedown)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9A2C02" w14:textId="77777777" w:rsidR="006D614C" w:rsidRPr="00927002" w:rsidRDefault="006D614C" w:rsidP="00542DE8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68 (Christmas closedown)</w:t>
            </w:r>
          </w:p>
        </w:tc>
      </w:tr>
    </w:tbl>
    <w:p w14:paraId="31E228AD" w14:textId="77777777" w:rsidR="00581AEE" w:rsidRPr="00927002" w:rsidRDefault="00CB480B" w:rsidP="00CB480B">
      <w:pPr>
        <w:pStyle w:val="SubsectionHead"/>
      </w:pPr>
      <w:r w:rsidRPr="00927002">
        <w:t>DAWR Agreement—general</w:t>
      </w:r>
    </w:p>
    <w:p w14:paraId="4C3F4BB0" w14:textId="77777777" w:rsidR="00DD1646" w:rsidRPr="00927002" w:rsidRDefault="00424344" w:rsidP="00DD1646">
      <w:pPr>
        <w:pStyle w:val="subsection"/>
      </w:pPr>
      <w:r w:rsidRPr="00927002">
        <w:tab/>
        <w:t>(</w:t>
      </w:r>
      <w:r w:rsidR="00122DCB" w:rsidRPr="00927002">
        <w:t>5</w:t>
      </w:r>
      <w:r w:rsidR="00DD1646" w:rsidRPr="00927002">
        <w:t>)</w:t>
      </w:r>
      <w:r w:rsidR="00DD1646" w:rsidRPr="00927002">
        <w:tab/>
      </w:r>
      <w:r w:rsidR="00DF56B1" w:rsidRPr="00927002">
        <w:t>For the purposes of</w:t>
      </w:r>
      <w:r w:rsidR="006B009D" w:rsidRPr="00927002">
        <w:t xml:space="preserve"> </w:t>
      </w:r>
      <w:r w:rsidR="00927002" w:rsidRPr="00927002">
        <w:t>paragraph (</w:t>
      </w:r>
      <w:r w:rsidR="006B009D" w:rsidRPr="00927002">
        <w:t>2)(d</w:t>
      </w:r>
      <w:r w:rsidR="00EF43BF" w:rsidRPr="00927002">
        <w:t xml:space="preserve">) and </w:t>
      </w:r>
      <w:r w:rsidR="00927002" w:rsidRPr="00927002">
        <w:t>subsection (</w:t>
      </w:r>
      <w:r w:rsidR="00CF4A81" w:rsidRPr="00927002">
        <w:t>4)</w:t>
      </w:r>
      <w:r w:rsidR="00C13627" w:rsidRPr="00927002">
        <w:t xml:space="preserve"> of this section</w:t>
      </w:r>
      <w:r w:rsidR="00DF56B1" w:rsidRPr="00927002">
        <w:t xml:space="preserve">, </w:t>
      </w:r>
      <w:r w:rsidR="00DD1646" w:rsidRPr="00927002">
        <w:t xml:space="preserve">the DAWR Agreement </w:t>
      </w:r>
      <w:r w:rsidR="00AB2DE9" w:rsidRPr="00927002">
        <w:t xml:space="preserve">has </w:t>
      </w:r>
      <w:r w:rsidR="00DD1646" w:rsidRPr="00927002">
        <w:t>effect as if:</w:t>
      </w:r>
    </w:p>
    <w:p w14:paraId="33478CC9" w14:textId="77777777" w:rsidR="00DD1646" w:rsidRPr="00927002" w:rsidRDefault="00DD1646" w:rsidP="00DD1646">
      <w:pPr>
        <w:pStyle w:val="paragraph"/>
      </w:pPr>
      <w:r w:rsidRPr="00927002">
        <w:tab/>
        <w:t>(a)</w:t>
      </w:r>
      <w:r w:rsidRPr="00927002">
        <w:tab/>
        <w:t xml:space="preserve">a reference in </w:t>
      </w:r>
      <w:r w:rsidR="002B5571" w:rsidRPr="00927002">
        <w:t xml:space="preserve">the DAWR Agreement </w:t>
      </w:r>
      <w:r w:rsidRPr="00927002">
        <w:t xml:space="preserve">to an employee </w:t>
      </w:r>
      <w:r w:rsidR="002E31B5" w:rsidRPr="00927002">
        <w:t>in</w:t>
      </w:r>
      <w:r w:rsidRPr="00927002">
        <w:t xml:space="preserve"> the Department of Agriculture and Water Resources </w:t>
      </w:r>
      <w:r w:rsidR="008D64C4" w:rsidRPr="00927002">
        <w:t>covered</w:t>
      </w:r>
      <w:r w:rsidRPr="00927002">
        <w:t xml:space="preserve"> by that Agreement were a reference to an APS employee to which this </w:t>
      </w:r>
      <w:r w:rsidR="00BD0122" w:rsidRPr="00927002">
        <w:t>Part</w:t>
      </w:r>
      <w:r w:rsidRPr="00927002">
        <w:t xml:space="preserve"> applies; and</w:t>
      </w:r>
    </w:p>
    <w:p w14:paraId="5AF0B96F" w14:textId="77777777" w:rsidR="00DD1646" w:rsidRPr="00927002" w:rsidRDefault="00DD1646" w:rsidP="00DD1646">
      <w:pPr>
        <w:pStyle w:val="paragraph"/>
        <w:rPr>
          <w:bCs/>
          <w:noProof/>
        </w:rPr>
      </w:pPr>
      <w:r w:rsidRPr="00927002">
        <w:tab/>
        <w:t>(b)</w:t>
      </w:r>
      <w:r w:rsidRPr="00927002">
        <w:tab/>
        <w:t xml:space="preserve">a reference in </w:t>
      </w:r>
      <w:r w:rsidR="002B5571" w:rsidRPr="00927002">
        <w:t xml:space="preserve">the DAWR Agreement </w:t>
      </w:r>
      <w:r w:rsidRPr="00927002">
        <w:t xml:space="preserve">to the department were a reference to the </w:t>
      </w:r>
      <w:r w:rsidRPr="00927002">
        <w:rPr>
          <w:bCs/>
          <w:noProof/>
        </w:rPr>
        <w:t>Department of Agriculture, Water and the Environment; and</w:t>
      </w:r>
    </w:p>
    <w:p w14:paraId="6006BCED" w14:textId="77777777" w:rsidR="00DD1646" w:rsidRPr="00927002" w:rsidRDefault="00DD1646" w:rsidP="00DD1646">
      <w:pPr>
        <w:pStyle w:val="paragraph"/>
        <w:rPr>
          <w:bCs/>
          <w:noProof/>
        </w:rPr>
      </w:pPr>
      <w:r w:rsidRPr="00927002">
        <w:rPr>
          <w:bCs/>
          <w:noProof/>
        </w:rPr>
        <w:tab/>
        <w:t>(c)</w:t>
      </w:r>
      <w:r w:rsidRPr="00927002">
        <w:rPr>
          <w:bCs/>
          <w:noProof/>
        </w:rPr>
        <w:tab/>
      </w:r>
      <w:r w:rsidRPr="00927002">
        <w:t xml:space="preserve">a reference in </w:t>
      </w:r>
      <w:r w:rsidR="002B5571" w:rsidRPr="00927002">
        <w:t xml:space="preserve">the DAWR Agreement </w:t>
      </w:r>
      <w:r w:rsidRPr="00927002">
        <w:t xml:space="preserve">to the secretary were a reference to the Secretary of the </w:t>
      </w:r>
      <w:r w:rsidRPr="00927002">
        <w:rPr>
          <w:bCs/>
          <w:noProof/>
        </w:rPr>
        <w:t>Department of Agriculture, Water and the Environment</w:t>
      </w:r>
      <w:r w:rsidR="00C003D1" w:rsidRPr="00927002">
        <w:rPr>
          <w:bCs/>
          <w:noProof/>
        </w:rPr>
        <w:t>;</w:t>
      </w:r>
      <w:r w:rsidR="00E22F42" w:rsidRPr="00927002">
        <w:rPr>
          <w:bCs/>
          <w:noProof/>
        </w:rPr>
        <w:t xml:space="preserve"> and</w:t>
      </w:r>
    </w:p>
    <w:p w14:paraId="7D8AB59F" w14:textId="77777777" w:rsidR="00C003D1" w:rsidRPr="00927002" w:rsidRDefault="00C003D1" w:rsidP="00DD1646">
      <w:pPr>
        <w:pStyle w:val="paragraph"/>
        <w:rPr>
          <w:bCs/>
          <w:noProof/>
        </w:rPr>
      </w:pPr>
      <w:r w:rsidRPr="00927002">
        <w:rPr>
          <w:bCs/>
          <w:noProof/>
        </w:rPr>
        <w:tab/>
        <w:t>(d)</w:t>
      </w:r>
      <w:r w:rsidRPr="00927002">
        <w:rPr>
          <w:bCs/>
          <w:noProof/>
        </w:rPr>
        <w:tab/>
        <w:t xml:space="preserve">a reference </w:t>
      </w:r>
      <w:r w:rsidR="00991302" w:rsidRPr="00927002">
        <w:t xml:space="preserve">in the DAWR Agreement </w:t>
      </w:r>
      <w:r w:rsidRPr="00927002">
        <w:rPr>
          <w:bCs/>
          <w:noProof/>
        </w:rPr>
        <w:t xml:space="preserve">to the Act were a reference to the </w:t>
      </w:r>
      <w:r w:rsidR="00E22F42" w:rsidRPr="00927002">
        <w:rPr>
          <w:bCs/>
          <w:i/>
          <w:noProof/>
        </w:rPr>
        <w:t>Fair Work</w:t>
      </w:r>
      <w:r w:rsidRPr="00927002">
        <w:rPr>
          <w:bCs/>
          <w:i/>
          <w:noProof/>
        </w:rPr>
        <w:t xml:space="preserve"> Act</w:t>
      </w:r>
      <w:r w:rsidR="00E22F42" w:rsidRPr="00927002">
        <w:rPr>
          <w:bCs/>
          <w:i/>
          <w:noProof/>
        </w:rPr>
        <w:t xml:space="preserve"> 2009</w:t>
      </w:r>
      <w:r w:rsidRPr="00927002">
        <w:rPr>
          <w:bCs/>
          <w:noProof/>
        </w:rPr>
        <w:t>; and</w:t>
      </w:r>
    </w:p>
    <w:p w14:paraId="4D6699AF" w14:textId="77777777" w:rsidR="00991302" w:rsidRPr="00927002" w:rsidRDefault="00991302" w:rsidP="00DD1646">
      <w:pPr>
        <w:pStyle w:val="paragraph"/>
      </w:pPr>
      <w:r w:rsidRPr="00927002">
        <w:rPr>
          <w:bCs/>
          <w:noProof/>
        </w:rPr>
        <w:lastRenderedPageBreak/>
        <w:tab/>
        <w:t>(e)</w:t>
      </w:r>
      <w:r w:rsidRPr="00927002">
        <w:rPr>
          <w:bCs/>
          <w:noProof/>
        </w:rPr>
        <w:tab/>
        <w:t xml:space="preserve">a reference </w:t>
      </w:r>
      <w:r w:rsidRPr="00927002">
        <w:t>in the DAWR Agreement to a standard day were a reference to a standard working day;</w:t>
      </w:r>
      <w:r w:rsidR="00EE43D8" w:rsidRPr="00927002">
        <w:t xml:space="preserve"> and</w:t>
      </w:r>
    </w:p>
    <w:p w14:paraId="7422B167" w14:textId="77777777" w:rsidR="00991302" w:rsidRPr="00927002" w:rsidRDefault="00991302" w:rsidP="00DD1646">
      <w:pPr>
        <w:pStyle w:val="paragraph"/>
      </w:pPr>
      <w:r w:rsidRPr="00927002">
        <w:tab/>
        <w:t>(f)</w:t>
      </w:r>
      <w:r w:rsidRPr="00927002">
        <w:tab/>
        <w:t>a reference in the DAWR Agreement to span of hours we</w:t>
      </w:r>
      <w:r w:rsidR="007B2855" w:rsidRPr="00927002">
        <w:t>re a reference to bandwidth;</w:t>
      </w:r>
      <w:r w:rsidR="00EE43D8" w:rsidRPr="00927002">
        <w:t xml:space="preserve"> and</w:t>
      </w:r>
    </w:p>
    <w:p w14:paraId="71FCACA8" w14:textId="77777777" w:rsidR="00EE43D8" w:rsidRPr="00927002" w:rsidRDefault="007B2855" w:rsidP="00DD1646">
      <w:pPr>
        <w:pStyle w:val="paragraph"/>
      </w:pPr>
      <w:r w:rsidRPr="00927002">
        <w:tab/>
        <w:t>(g)</w:t>
      </w:r>
      <w:r w:rsidRPr="00927002">
        <w:tab/>
        <w:t>a reference in the DAWR Agreement to a public holiday were a reference to a public holiday as defined by the National Employment Standards</w:t>
      </w:r>
      <w:r w:rsidR="00DB0278" w:rsidRPr="00927002">
        <w:t>.</w:t>
      </w:r>
    </w:p>
    <w:p w14:paraId="0578AD22" w14:textId="77777777" w:rsidR="00CB480B" w:rsidRPr="00927002" w:rsidRDefault="00CB480B" w:rsidP="00CB480B">
      <w:pPr>
        <w:pStyle w:val="SubsectionHead"/>
      </w:pPr>
      <w:r w:rsidRPr="00927002">
        <w:t>Substitution of DAWR Agreement provisions</w:t>
      </w:r>
    </w:p>
    <w:p w14:paraId="0196ADD3" w14:textId="77777777" w:rsidR="00C51518" w:rsidRPr="00927002" w:rsidRDefault="00A919F0" w:rsidP="00424344">
      <w:pPr>
        <w:pStyle w:val="subsection"/>
      </w:pPr>
      <w:r w:rsidRPr="00927002">
        <w:tab/>
        <w:t>(6</w:t>
      </w:r>
      <w:r w:rsidR="00635ABB" w:rsidRPr="00927002">
        <w:t>)</w:t>
      </w:r>
      <w:r w:rsidR="00635ABB" w:rsidRPr="00927002">
        <w:tab/>
      </w:r>
      <w:r w:rsidR="00CF4A81" w:rsidRPr="00927002">
        <w:t xml:space="preserve">For the purposes of </w:t>
      </w:r>
      <w:r w:rsidR="00927002" w:rsidRPr="00927002">
        <w:t>paragraph (</w:t>
      </w:r>
      <w:r w:rsidR="00CF4A81" w:rsidRPr="00927002">
        <w:t xml:space="preserve">2)(d) and </w:t>
      </w:r>
      <w:r w:rsidR="00927002" w:rsidRPr="00927002">
        <w:t>subsection (</w:t>
      </w:r>
      <w:r w:rsidR="00CF4A81" w:rsidRPr="00927002">
        <w:t>4), t</w:t>
      </w:r>
      <w:r w:rsidR="00424344" w:rsidRPr="00927002">
        <w:t xml:space="preserve">he </w:t>
      </w:r>
      <w:r w:rsidR="009D42EF" w:rsidRPr="00927002">
        <w:t>DAWR</w:t>
      </w:r>
      <w:r w:rsidR="00424344" w:rsidRPr="00927002">
        <w:t xml:space="preserve"> Agreement has effect as </w:t>
      </w:r>
      <w:r w:rsidR="009D42EF" w:rsidRPr="00927002">
        <w:t xml:space="preserve">if each </w:t>
      </w:r>
      <w:r w:rsidR="00C51518" w:rsidRPr="00927002">
        <w:t>provision</w:t>
      </w:r>
      <w:r w:rsidR="00D0403E" w:rsidRPr="00927002">
        <w:t xml:space="preserve"> of the DAWR Agreement </w:t>
      </w:r>
      <w:r w:rsidR="009D42EF" w:rsidRPr="00927002">
        <w:t xml:space="preserve">mentioned </w:t>
      </w:r>
      <w:r w:rsidR="00C51518" w:rsidRPr="00927002">
        <w:t>in column 1 of an item of the following table</w:t>
      </w:r>
      <w:r w:rsidR="009D42EF" w:rsidRPr="00927002">
        <w:t xml:space="preserve"> were omitted and substituted with the updated provision set out in </w:t>
      </w:r>
      <w:r w:rsidR="00C51518" w:rsidRPr="00927002">
        <w:t>column 2 of that item</w:t>
      </w:r>
      <w:r w:rsidR="000924EC" w:rsidRPr="00927002">
        <w:t>.</w:t>
      </w:r>
    </w:p>
    <w:p w14:paraId="0C971B2C" w14:textId="77777777" w:rsidR="00C51518" w:rsidRPr="00927002" w:rsidRDefault="00C51518" w:rsidP="00C5151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5623"/>
      </w:tblGrid>
      <w:tr w:rsidR="00C51518" w:rsidRPr="00927002" w14:paraId="6565B793" w14:textId="77777777" w:rsidTr="001941D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FA1E36" w14:textId="77777777" w:rsidR="00C51518" w:rsidRPr="00927002" w:rsidRDefault="000F6A8D" w:rsidP="000F6A8D">
            <w:pPr>
              <w:pStyle w:val="TableHeading"/>
            </w:pPr>
            <w:r w:rsidRPr="00927002">
              <w:t>Updated forms of p</w:t>
            </w:r>
            <w:r w:rsidR="00C51518" w:rsidRPr="00927002">
              <w:t>rovisions of the DAWR Agreement being</w:t>
            </w:r>
            <w:r w:rsidR="00424344" w:rsidRPr="00927002">
              <w:t xml:space="preserve"> included in DEE Agreement</w:t>
            </w:r>
          </w:p>
        </w:tc>
      </w:tr>
      <w:tr w:rsidR="00C51518" w:rsidRPr="00927002" w14:paraId="31ED2BAD" w14:textId="77777777" w:rsidTr="001941D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405C35" w14:textId="77777777" w:rsidR="00943F7E" w:rsidRPr="00927002" w:rsidRDefault="00943F7E" w:rsidP="00C51518">
            <w:pPr>
              <w:pStyle w:val="TableHeading"/>
            </w:pPr>
          </w:p>
          <w:p w14:paraId="621E184C" w14:textId="77777777" w:rsidR="00C51518" w:rsidRPr="00927002" w:rsidRDefault="00C51518" w:rsidP="00C51518">
            <w:pPr>
              <w:pStyle w:val="TableHeading"/>
            </w:pPr>
            <w:r w:rsidRPr="00927002">
              <w:t>Item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96FA8B" w14:textId="77777777" w:rsidR="00943F7E" w:rsidRPr="00927002" w:rsidRDefault="00943F7E" w:rsidP="00C51518">
            <w:pPr>
              <w:pStyle w:val="TableHeading"/>
            </w:pPr>
            <w:r w:rsidRPr="00927002">
              <w:t>Column 1</w:t>
            </w:r>
          </w:p>
          <w:p w14:paraId="361685A8" w14:textId="77777777" w:rsidR="00C51518" w:rsidRPr="00927002" w:rsidRDefault="000F6A8D" w:rsidP="000F6A8D">
            <w:pPr>
              <w:pStyle w:val="TableHeading"/>
            </w:pPr>
            <w:r w:rsidRPr="00927002">
              <w:t>Provision of DAWR Agreement</w:t>
            </w:r>
          </w:p>
        </w:tc>
        <w:tc>
          <w:tcPr>
            <w:tcW w:w="56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124BBC" w14:textId="77777777" w:rsidR="00943F7E" w:rsidRPr="00927002" w:rsidRDefault="00943F7E" w:rsidP="00943F7E">
            <w:pPr>
              <w:pStyle w:val="TableHeading"/>
            </w:pPr>
            <w:r w:rsidRPr="00927002">
              <w:t>Column 2</w:t>
            </w:r>
          </w:p>
          <w:p w14:paraId="6DF02CA2" w14:textId="77777777" w:rsidR="00C51518" w:rsidRPr="00927002" w:rsidRDefault="000F6A8D" w:rsidP="00D0403E">
            <w:pPr>
              <w:pStyle w:val="TableHeading"/>
            </w:pPr>
            <w:r w:rsidRPr="00927002">
              <w:t>Updated provision</w:t>
            </w:r>
          </w:p>
        </w:tc>
      </w:tr>
      <w:tr w:rsidR="00C51518" w:rsidRPr="00927002" w14:paraId="010E43F3" w14:textId="77777777" w:rsidTr="001941D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72B16A2E" w14:textId="77777777" w:rsidR="00C51518" w:rsidRPr="00927002" w:rsidRDefault="005E0C57" w:rsidP="00C51518">
            <w:pPr>
              <w:pStyle w:val="Tabletext"/>
            </w:pPr>
            <w:r w:rsidRPr="00927002">
              <w:t>1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1B435ADA" w14:textId="77777777" w:rsidR="00C51518" w:rsidRPr="00927002" w:rsidRDefault="000F6A8D" w:rsidP="000F6A8D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18.4 (casual employment)</w:t>
            </w:r>
          </w:p>
        </w:tc>
        <w:tc>
          <w:tcPr>
            <w:tcW w:w="5623" w:type="dxa"/>
            <w:tcBorders>
              <w:top w:val="single" w:sz="12" w:space="0" w:color="auto"/>
            </w:tcBorders>
            <w:shd w:val="clear" w:color="auto" w:fill="auto"/>
          </w:tcPr>
          <w:p w14:paraId="020125A8" w14:textId="77777777" w:rsidR="00C51518" w:rsidRPr="00927002" w:rsidRDefault="000F6A8D" w:rsidP="00EE43D8">
            <w:pPr>
              <w:pStyle w:val="Tabletext"/>
            </w:pPr>
            <w:r w:rsidRPr="00927002">
              <w:t>For any given day you will only be paid one loading and the shift work (refer clause</w:t>
            </w:r>
            <w:r w:rsidR="00927002" w:rsidRPr="00927002">
              <w:t> </w:t>
            </w:r>
            <w:r w:rsidRPr="00927002">
              <w:t xml:space="preserve">21), </w:t>
            </w:r>
            <w:r w:rsidR="005A5C37" w:rsidRPr="00927002">
              <w:t>overtime (refer clause</w:t>
            </w:r>
            <w:r w:rsidR="00927002" w:rsidRPr="00927002">
              <w:t> </w:t>
            </w:r>
            <w:r w:rsidR="005A5C37" w:rsidRPr="00927002">
              <w:t>22) and</w:t>
            </w:r>
            <w:r w:rsidRPr="00927002">
              <w:t xml:space="preserve"> emergency duty (refer clause</w:t>
            </w:r>
            <w:r w:rsidR="00927002" w:rsidRPr="00927002">
              <w:t> </w:t>
            </w:r>
            <w:r w:rsidRPr="00927002">
              <w:t>3.56) provisions of this Agreement do not apply to you.</w:t>
            </w:r>
          </w:p>
        </w:tc>
      </w:tr>
      <w:tr w:rsidR="001941D4" w:rsidRPr="00927002" w14:paraId="672AB1BB" w14:textId="77777777" w:rsidTr="001941D4">
        <w:tc>
          <w:tcPr>
            <w:tcW w:w="714" w:type="dxa"/>
            <w:shd w:val="clear" w:color="auto" w:fill="auto"/>
          </w:tcPr>
          <w:p w14:paraId="1B517150" w14:textId="77777777" w:rsidR="001941D4" w:rsidRPr="00927002" w:rsidRDefault="005E0C57" w:rsidP="00D37A41">
            <w:pPr>
              <w:pStyle w:val="Tabletext"/>
            </w:pPr>
            <w:r w:rsidRPr="00927002">
              <w:t>2</w:t>
            </w:r>
          </w:p>
        </w:tc>
        <w:tc>
          <w:tcPr>
            <w:tcW w:w="1975" w:type="dxa"/>
            <w:shd w:val="clear" w:color="auto" w:fill="auto"/>
          </w:tcPr>
          <w:p w14:paraId="1E74BEBC" w14:textId="77777777" w:rsidR="001941D4" w:rsidRPr="00927002" w:rsidRDefault="001941D4" w:rsidP="00D37A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20.12 (when flex</w:t>
            </w:r>
            <w:r w:rsidR="001868E5">
              <w:noBreakHyphen/>
            </w:r>
            <w:r w:rsidRPr="00927002">
              <w:t>time arrangements are not available)</w:t>
            </w:r>
          </w:p>
        </w:tc>
        <w:tc>
          <w:tcPr>
            <w:tcW w:w="5623" w:type="dxa"/>
            <w:shd w:val="clear" w:color="auto" w:fill="auto"/>
          </w:tcPr>
          <w:p w14:paraId="7FC5ED39" w14:textId="77777777" w:rsidR="001941D4" w:rsidRPr="00927002" w:rsidRDefault="001941D4" w:rsidP="00D37A41">
            <w:pPr>
              <w:pStyle w:val="Tabletext"/>
            </w:pPr>
            <w:r w:rsidRPr="00927002">
              <w:rPr>
                <w:szCs w:val="22"/>
              </w:rPr>
              <w:t>Flex</w:t>
            </w:r>
            <w:r w:rsidR="001868E5">
              <w:rPr>
                <w:szCs w:val="22"/>
              </w:rPr>
              <w:noBreakHyphen/>
            </w:r>
            <w:r w:rsidRPr="00927002">
              <w:rPr>
                <w:szCs w:val="22"/>
              </w:rPr>
              <w:t>time arrangements are not available if you are an on</w:t>
            </w:r>
            <w:r w:rsidR="001868E5">
              <w:rPr>
                <w:szCs w:val="22"/>
              </w:rPr>
              <w:noBreakHyphen/>
            </w:r>
            <w:r w:rsidRPr="00927002">
              <w:rPr>
                <w:szCs w:val="22"/>
              </w:rPr>
              <w:t>plant veterinarian.</w:t>
            </w:r>
          </w:p>
        </w:tc>
      </w:tr>
      <w:tr w:rsidR="00C51518" w:rsidRPr="00927002" w14:paraId="54483E9A" w14:textId="77777777" w:rsidTr="001941D4">
        <w:tc>
          <w:tcPr>
            <w:tcW w:w="714" w:type="dxa"/>
            <w:shd w:val="clear" w:color="auto" w:fill="auto"/>
          </w:tcPr>
          <w:p w14:paraId="6BF14B7E" w14:textId="77777777" w:rsidR="00C51518" w:rsidRPr="00927002" w:rsidRDefault="005E0C57" w:rsidP="00467B6D">
            <w:pPr>
              <w:pStyle w:val="Tabletext"/>
            </w:pPr>
            <w:r w:rsidRPr="00927002">
              <w:t>3</w:t>
            </w:r>
          </w:p>
        </w:tc>
        <w:tc>
          <w:tcPr>
            <w:tcW w:w="1975" w:type="dxa"/>
            <w:shd w:val="clear" w:color="auto" w:fill="auto"/>
          </w:tcPr>
          <w:p w14:paraId="22EA0494" w14:textId="77777777" w:rsidR="00C51518" w:rsidRPr="00927002" w:rsidRDefault="00467B6D" w:rsidP="00467B6D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21.1 (shift work)</w:t>
            </w:r>
          </w:p>
        </w:tc>
        <w:tc>
          <w:tcPr>
            <w:tcW w:w="5623" w:type="dxa"/>
            <w:shd w:val="clear" w:color="auto" w:fill="auto"/>
          </w:tcPr>
          <w:p w14:paraId="06BE7983" w14:textId="77777777" w:rsidR="00C51518" w:rsidRPr="00927002" w:rsidRDefault="00467B6D" w:rsidP="00467B6D">
            <w:pPr>
              <w:pStyle w:val="Tabletext"/>
            </w:pPr>
            <w:r w:rsidRPr="00927002">
              <w:t>As a shift worker your ordinary hours are averaged over a roster settlement period.</w:t>
            </w:r>
          </w:p>
        </w:tc>
      </w:tr>
      <w:tr w:rsidR="00467B6D" w:rsidRPr="00927002" w14:paraId="71A4E61E" w14:textId="77777777" w:rsidTr="001941D4">
        <w:tc>
          <w:tcPr>
            <w:tcW w:w="714" w:type="dxa"/>
            <w:shd w:val="clear" w:color="auto" w:fill="auto"/>
          </w:tcPr>
          <w:p w14:paraId="729673A2" w14:textId="77777777" w:rsidR="00467B6D" w:rsidRPr="00927002" w:rsidRDefault="005E0C57" w:rsidP="007550ED">
            <w:pPr>
              <w:pStyle w:val="Tabletext"/>
            </w:pPr>
            <w:r w:rsidRPr="00927002">
              <w:t>4</w:t>
            </w:r>
          </w:p>
        </w:tc>
        <w:tc>
          <w:tcPr>
            <w:tcW w:w="1975" w:type="dxa"/>
            <w:shd w:val="clear" w:color="auto" w:fill="auto"/>
          </w:tcPr>
          <w:p w14:paraId="10DEF7F4" w14:textId="77777777" w:rsidR="00467B6D" w:rsidRPr="00927002" w:rsidRDefault="007550ED" w:rsidP="007550ED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21.9 (shift work)</w:t>
            </w:r>
          </w:p>
        </w:tc>
        <w:tc>
          <w:tcPr>
            <w:tcW w:w="5623" w:type="dxa"/>
            <w:shd w:val="clear" w:color="auto" w:fill="auto"/>
          </w:tcPr>
          <w:p w14:paraId="54DB06E8" w14:textId="77777777" w:rsidR="00467B6D" w:rsidRPr="00927002" w:rsidRDefault="007550ED" w:rsidP="007550ED">
            <w:pPr>
              <w:pStyle w:val="Tabletext"/>
            </w:pPr>
            <w:r w:rsidRPr="00927002">
              <w:t>If you are requested or required to perform duty when rostered off, you will be paid under the overtime provisions (refer clause</w:t>
            </w:r>
            <w:r w:rsidR="00927002" w:rsidRPr="00927002">
              <w:t> </w:t>
            </w:r>
            <w:r w:rsidRPr="00927002">
              <w:t>22), unless you are recalled to duty under clause</w:t>
            </w:r>
            <w:r w:rsidR="00927002" w:rsidRPr="00927002">
              <w:t> </w:t>
            </w:r>
            <w:r w:rsidRPr="00927002">
              <w:t>3.56.</w:t>
            </w:r>
          </w:p>
        </w:tc>
      </w:tr>
      <w:tr w:rsidR="007550ED" w:rsidRPr="00927002" w14:paraId="1BA9C3F1" w14:textId="77777777" w:rsidTr="001941D4">
        <w:tc>
          <w:tcPr>
            <w:tcW w:w="714" w:type="dxa"/>
            <w:shd w:val="clear" w:color="auto" w:fill="auto"/>
          </w:tcPr>
          <w:p w14:paraId="5E1D060E" w14:textId="77777777" w:rsidR="007550ED" w:rsidRPr="00927002" w:rsidRDefault="005E0C57" w:rsidP="007550ED">
            <w:pPr>
              <w:pStyle w:val="Tabletext"/>
            </w:pPr>
            <w:r w:rsidRPr="00927002">
              <w:t>5</w:t>
            </w:r>
          </w:p>
        </w:tc>
        <w:tc>
          <w:tcPr>
            <w:tcW w:w="1975" w:type="dxa"/>
            <w:shd w:val="clear" w:color="auto" w:fill="auto"/>
          </w:tcPr>
          <w:p w14:paraId="1A7E3C5A" w14:textId="77777777" w:rsidR="007550ED" w:rsidRPr="00927002" w:rsidRDefault="007550ED" w:rsidP="007550ED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22.2 (overtime)</w:t>
            </w:r>
          </w:p>
        </w:tc>
        <w:tc>
          <w:tcPr>
            <w:tcW w:w="5623" w:type="dxa"/>
            <w:shd w:val="clear" w:color="auto" w:fill="auto"/>
          </w:tcPr>
          <w:p w14:paraId="77DE066F" w14:textId="77777777" w:rsidR="007550ED" w:rsidRPr="00927002" w:rsidRDefault="007550ED" w:rsidP="007550ED">
            <w:pPr>
              <w:pStyle w:val="Tabletext"/>
            </w:pPr>
            <w:r w:rsidRPr="00927002">
              <w:t>Unless the secretary otherwise approves, you are not eligible to receive overtime payments if you are an executive level employee.</w:t>
            </w:r>
          </w:p>
        </w:tc>
      </w:tr>
      <w:tr w:rsidR="004D1441" w:rsidRPr="00927002" w14:paraId="2EFCD820" w14:textId="77777777" w:rsidTr="001941D4">
        <w:tc>
          <w:tcPr>
            <w:tcW w:w="714" w:type="dxa"/>
            <w:shd w:val="clear" w:color="auto" w:fill="auto"/>
          </w:tcPr>
          <w:p w14:paraId="5ACEB284" w14:textId="77777777" w:rsidR="004D1441" w:rsidRPr="00927002" w:rsidRDefault="005E0C57" w:rsidP="007550ED">
            <w:pPr>
              <w:pStyle w:val="Tabletext"/>
            </w:pPr>
            <w:r w:rsidRPr="00927002">
              <w:t>6</w:t>
            </w:r>
          </w:p>
        </w:tc>
        <w:tc>
          <w:tcPr>
            <w:tcW w:w="1975" w:type="dxa"/>
            <w:shd w:val="clear" w:color="auto" w:fill="auto"/>
          </w:tcPr>
          <w:p w14:paraId="46A3541C" w14:textId="77777777" w:rsidR="004D1441" w:rsidRPr="00927002" w:rsidRDefault="004D1441" w:rsidP="00672DB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22.3(a) (overtime)</w:t>
            </w:r>
          </w:p>
        </w:tc>
        <w:tc>
          <w:tcPr>
            <w:tcW w:w="5623" w:type="dxa"/>
            <w:shd w:val="clear" w:color="auto" w:fill="auto"/>
          </w:tcPr>
          <w:p w14:paraId="02DE8E11" w14:textId="77777777" w:rsidR="004D1441" w:rsidRPr="00927002" w:rsidRDefault="004D1441" w:rsidP="004D1441">
            <w:pPr>
              <w:pStyle w:val="Tabletext"/>
            </w:pPr>
            <w:r w:rsidRPr="00927002">
              <w:rPr>
                <w:szCs w:val="22"/>
              </w:rPr>
              <w:t>outside your ordinary days and/or span of hours; or</w:t>
            </w:r>
          </w:p>
        </w:tc>
      </w:tr>
      <w:tr w:rsidR="004D1441" w:rsidRPr="00927002" w14:paraId="0041ACA7" w14:textId="77777777" w:rsidTr="001941D4">
        <w:tc>
          <w:tcPr>
            <w:tcW w:w="714" w:type="dxa"/>
            <w:shd w:val="clear" w:color="auto" w:fill="auto"/>
          </w:tcPr>
          <w:p w14:paraId="34FC1513" w14:textId="77777777" w:rsidR="004D1441" w:rsidRPr="00927002" w:rsidRDefault="005E0C57" w:rsidP="004D1441">
            <w:pPr>
              <w:pStyle w:val="Tabletext"/>
            </w:pPr>
            <w:r w:rsidRPr="00927002">
              <w:t>7</w:t>
            </w:r>
          </w:p>
        </w:tc>
        <w:tc>
          <w:tcPr>
            <w:tcW w:w="1975" w:type="dxa"/>
            <w:shd w:val="clear" w:color="auto" w:fill="auto"/>
          </w:tcPr>
          <w:p w14:paraId="45C15564" w14:textId="77777777" w:rsidR="004D1441" w:rsidRPr="00927002" w:rsidRDefault="004D1441" w:rsidP="004D14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22.3(d) (overtime)</w:t>
            </w:r>
          </w:p>
        </w:tc>
        <w:tc>
          <w:tcPr>
            <w:tcW w:w="5623" w:type="dxa"/>
            <w:shd w:val="clear" w:color="auto" w:fill="auto"/>
          </w:tcPr>
          <w:p w14:paraId="24F5AEDA" w14:textId="77777777" w:rsidR="004D1441" w:rsidRPr="00927002" w:rsidRDefault="004D1441" w:rsidP="004D1441">
            <w:pPr>
              <w:pStyle w:val="Tabletext"/>
            </w:pPr>
            <w:r w:rsidRPr="00927002">
              <w:t>outside your specified ordinary hours and/or days worked or rostered days and/or hours if you are a shift worker if you work part</w:t>
            </w:r>
            <w:r w:rsidR="001868E5">
              <w:noBreakHyphen/>
            </w:r>
            <w:r w:rsidRPr="00927002">
              <w:t>time (refer clause</w:t>
            </w:r>
            <w:r w:rsidR="00927002" w:rsidRPr="00927002">
              <w:t> </w:t>
            </w:r>
            <w:r w:rsidRPr="00927002">
              <w:t>3.4); or</w:t>
            </w:r>
          </w:p>
        </w:tc>
      </w:tr>
      <w:tr w:rsidR="00886381" w:rsidRPr="00927002" w14:paraId="0F67E03E" w14:textId="77777777" w:rsidTr="001941D4">
        <w:tc>
          <w:tcPr>
            <w:tcW w:w="714" w:type="dxa"/>
            <w:shd w:val="clear" w:color="auto" w:fill="auto"/>
          </w:tcPr>
          <w:p w14:paraId="728932C5" w14:textId="77777777" w:rsidR="00886381" w:rsidRPr="00927002" w:rsidRDefault="005E0C57" w:rsidP="00886381">
            <w:pPr>
              <w:pStyle w:val="Tabletext"/>
            </w:pPr>
            <w:r w:rsidRPr="00927002">
              <w:t>8</w:t>
            </w:r>
          </w:p>
        </w:tc>
        <w:tc>
          <w:tcPr>
            <w:tcW w:w="1975" w:type="dxa"/>
            <w:shd w:val="clear" w:color="auto" w:fill="auto"/>
          </w:tcPr>
          <w:p w14:paraId="146DA0F0" w14:textId="77777777" w:rsidR="00886381" w:rsidRPr="00927002" w:rsidRDefault="00886381" w:rsidP="0088638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22.6 (overtime</w:t>
            </w:r>
            <w:r w:rsidR="00DB06BB" w:rsidRPr="00927002">
              <w:t>)</w:t>
            </w:r>
          </w:p>
        </w:tc>
        <w:tc>
          <w:tcPr>
            <w:tcW w:w="5623" w:type="dxa"/>
            <w:shd w:val="clear" w:color="auto" w:fill="auto"/>
          </w:tcPr>
          <w:p w14:paraId="4CC3D24E" w14:textId="77777777" w:rsidR="00886381" w:rsidRPr="00927002" w:rsidRDefault="00886381" w:rsidP="00D34B05">
            <w:pPr>
              <w:pStyle w:val="Tabletext"/>
            </w:pPr>
            <w:r w:rsidRPr="00927002">
              <w:t>When you are requested and work overtime i</w:t>
            </w:r>
            <w:r w:rsidR="00C40B30" w:rsidRPr="00927002">
              <w:t>n accordance with clause</w:t>
            </w:r>
            <w:r w:rsidR="00927002" w:rsidRPr="00927002">
              <w:t> </w:t>
            </w:r>
            <w:r w:rsidR="00C40B30" w:rsidRPr="00927002">
              <w:t>22.3(b</w:t>
            </w:r>
            <w:r w:rsidRPr="00927002">
              <w:t xml:space="preserve">), the half hour </w:t>
            </w:r>
            <w:proofErr w:type="gramStart"/>
            <w:r w:rsidRPr="00927002">
              <w:t>in excess of</w:t>
            </w:r>
            <w:proofErr w:type="gramEnd"/>
            <w:r w:rsidRPr="00927002">
              <w:t xml:space="preserve"> your 7.5 ordinary hours, for which overtime is not paid, will accrue as flex</w:t>
            </w:r>
            <w:r w:rsidR="001868E5">
              <w:noBreakHyphen/>
            </w:r>
            <w:r w:rsidRPr="00927002">
              <w:t>time.</w:t>
            </w:r>
            <w:r w:rsidR="006864E8" w:rsidRPr="00927002">
              <w:t xml:space="preserve"> </w:t>
            </w:r>
            <w:proofErr w:type="spellStart"/>
            <w:r w:rsidRPr="00927002">
              <w:t>lf</w:t>
            </w:r>
            <w:proofErr w:type="spellEnd"/>
            <w:r w:rsidRPr="00927002">
              <w:t xml:space="preserve"> flex</w:t>
            </w:r>
            <w:r w:rsidR="001868E5">
              <w:noBreakHyphen/>
            </w:r>
            <w:r w:rsidRPr="00927002">
              <w:t xml:space="preserve">time is not available, time off in lieu will accrue on a </w:t>
            </w:r>
            <w:r w:rsidR="00D34B05" w:rsidRPr="00927002">
              <w:t>‘</w:t>
            </w:r>
            <w:r w:rsidRPr="00927002">
              <w:t>time</w:t>
            </w:r>
            <w:r w:rsidR="001868E5">
              <w:noBreakHyphen/>
            </w:r>
            <w:r w:rsidRPr="00927002">
              <w:t>for</w:t>
            </w:r>
            <w:r w:rsidR="001868E5">
              <w:noBreakHyphen/>
            </w:r>
            <w:r w:rsidRPr="00927002">
              <w:t>time</w:t>
            </w:r>
            <w:r w:rsidR="00D34B05" w:rsidRPr="00927002">
              <w:t>’</w:t>
            </w:r>
            <w:r w:rsidRPr="00927002">
              <w:t xml:space="preserve"> basis to be taken as agreed with your manager.</w:t>
            </w:r>
          </w:p>
        </w:tc>
      </w:tr>
      <w:tr w:rsidR="008B3CC1" w:rsidRPr="00927002" w14:paraId="08C92996" w14:textId="77777777" w:rsidTr="001941D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F125F33" w14:textId="77777777" w:rsidR="008B3CC1" w:rsidRPr="00927002" w:rsidRDefault="00E64FF1" w:rsidP="008B3CC1">
            <w:pPr>
              <w:pStyle w:val="Tabletext"/>
            </w:pPr>
            <w:r w:rsidRPr="00927002">
              <w:t>9</w:t>
            </w:r>
          </w:p>
        </w:tc>
        <w:tc>
          <w:tcPr>
            <w:tcW w:w="1975" w:type="dxa"/>
            <w:tcBorders>
              <w:bottom w:val="single" w:sz="2" w:space="0" w:color="auto"/>
            </w:tcBorders>
            <w:shd w:val="clear" w:color="auto" w:fill="auto"/>
          </w:tcPr>
          <w:p w14:paraId="1EDAF59B" w14:textId="77777777" w:rsidR="008B3CC1" w:rsidRPr="00927002" w:rsidRDefault="008B3CC1" w:rsidP="008B3CC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34.1 (classification structure)</w:t>
            </w:r>
          </w:p>
        </w:tc>
        <w:tc>
          <w:tcPr>
            <w:tcW w:w="5623" w:type="dxa"/>
            <w:tcBorders>
              <w:bottom w:val="single" w:sz="2" w:space="0" w:color="auto"/>
            </w:tcBorders>
            <w:shd w:val="clear" w:color="auto" w:fill="auto"/>
          </w:tcPr>
          <w:p w14:paraId="510CF920" w14:textId="77777777" w:rsidR="008B3CC1" w:rsidRPr="00927002" w:rsidRDefault="008B3CC1" w:rsidP="008B3CC1">
            <w:pPr>
              <w:pStyle w:val="Tabletext"/>
            </w:pPr>
            <w:r w:rsidRPr="00927002">
              <w:t>The classification structure outlined at Schedule</w:t>
            </w:r>
            <w:r w:rsidR="00927002" w:rsidRPr="00927002">
              <w:t> </w:t>
            </w:r>
            <w:r w:rsidRPr="00927002">
              <w:t>1 of this Agreement comprises the</w:t>
            </w:r>
            <w:r w:rsidR="00A0231A" w:rsidRPr="00927002">
              <w:t xml:space="preserve"> </w:t>
            </w:r>
            <w:r w:rsidRPr="00927002">
              <w:t>following discipline specific streams:</w:t>
            </w:r>
          </w:p>
          <w:p w14:paraId="79BE14D7" w14:textId="77777777" w:rsidR="008B3CC1" w:rsidRPr="00927002" w:rsidRDefault="00990C20" w:rsidP="008B3CC1">
            <w:pPr>
              <w:pStyle w:val="Tablea"/>
            </w:pPr>
            <w:r w:rsidRPr="00927002">
              <w:t xml:space="preserve">(a) </w:t>
            </w:r>
            <w:proofErr w:type="gramStart"/>
            <w:r w:rsidRPr="00927002">
              <w:t>veterinarian;</w:t>
            </w:r>
            <w:proofErr w:type="gramEnd"/>
          </w:p>
          <w:p w14:paraId="0C32829B" w14:textId="77777777" w:rsidR="008B3CC1" w:rsidRPr="00927002" w:rsidRDefault="008B3CC1" w:rsidP="008B3CC1">
            <w:pPr>
              <w:pStyle w:val="Tablea"/>
            </w:pPr>
            <w:r w:rsidRPr="00927002">
              <w:t>(b) on</w:t>
            </w:r>
            <w:r w:rsidR="001868E5">
              <w:noBreakHyphen/>
            </w:r>
            <w:r w:rsidRPr="00927002">
              <w:t>plant veterinarian (OPV) induction.</w:t>
            </w:r>
          </w:p>
        </w:tc>
      </w:tr>
      <w:tr w:rsidR="001941D4" w:rsidRPr="00927002" w14:paraId="592A3E95" w14:textId="77777777" w:rsidTr="001941D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84D1897" w14:textId="77777777" w:rsidR="001941D4" w:rsidRPr="00927002" w:rsidRDefault="00E64FF1" w:rsidP="00D37A41">
            <w:pPr>
              <w:pStyle w:val="Tabletext"/>
            </w:pPr>
            <w:r w:rsidRPr="00927002">
              <w:lastRenderedPageBreak/>
              <w:t>10</w:t>
            </w:r>
          </w:p>
        </w:tc>
        <w:tc>
          <w:tcPr>
            <w:tcW w:w="1975" w:type="dxa"/>
            <w:tcBorders>
              <w:bottom w:val="single" w:sz="2" w:space="0" w:color="auto"/>
            </w:tcBorders>
            <w:shd w:val="clear" w:color="auto" w:fill="auto"/>
          </w:tcPr>
          <w:p w14:paraId="30B51C11" w14:textId="77777777" w:rsidR="001941D4" w:rsidRPr="00927002" w:rsidRDefault="001941D4" w:rsidP="00D37A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34.2 (classification structure barriers)</w:t>
            </w:r>
          </w:p>
        </w:tc>
        <w:tc>
          <w:tcPr>
            <w:tcW w:w="5623" w:type="dxa"/>
            <w:tcBorders>
              <w:bottom w:val="single" w:sz="2" w:space="0" w:color="auto"/>
            </w:tcBorders>
            <w:shd w:val="clear" w:color="auto" w:fill="auto"/>
          </w:tcPr>
          <w:p w14:paraId="2F028F65" w14:textId="77777777" w:rsidR="001941D4" w:rsidRPr="00927002" w:rsidRDefault="001941D4" w:rsidP="00D37A41">
            <w:pPr>
              <w:pStyle w:val="Tabletext"/>
            </w:pPr>
            <w:r w:rsidRPr="00927002">
              <w:t>Where classification structure barriers exist, other than the entry level APS 3 to APS 4 biosecurity broadband (ref</w:t>
            </w:r>
            <w:r w:rsidR="00741470" w:rsidRPr="00927002">
              <w:t>er clause</w:t>
            </w:r>
            <w:r w:rsidR="00927002" w:rsidRPr="00927002">
              <w:t> </w:t>
            </w:r>
            <w:r w:rsidR="00741470" w:rsidRPr="00927002">
              <w:t>34.6)</w:t>
            </w:r>
            <w:r w:rsidRPr="00927002">
              <w:t>, movement through the barrier will be based on:</w:t>
            </w:r>
          </w:p>
          <w:p w14:paraId="1043D9A8" w14:textId="77777777" w:rsidR="001941D4" w:rsidRPr="00927002" w:rsidRDefault="001941D4" w:rsidP="00D37A41">
            <w:pPr>
              <w:pStyle w:val="Tablea"/>
            </w:pPr>
            <w:r w:rsidRPr="00927002">
              <w:t>(a) work availability; and</w:t>
            </w:r>
          </w:p>
          <w:p w14:paraId="1601ABD8" w14:textId="77777777" w:rsidR="001941D4" w:rsidRPr="00927002" w:rsidRDefault="001941D4" w:rsidP="00D37A41">
            <w:pPr>
              <w:pStyle w:val="Tabletext"/>
            </w:pPr>
            <w:r w:rsidRPr="00927002">
              <w:t>(b) a merit selection process.</w:t>
            </w:r>
          </w:p>
        </w:tc>
      </w:tr>
      <w:tr w:rsidR="008B3CC1" w:rsidRPr="00927002" w14:paraId="6310BF6C" w14:textId="77777777" w:rsidTr="001941D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4AFAE0C" w14:textId="77777777" w:rsidR="008B3CC1" w:rsidRPr="00927002" w:rsidRDefault="00E64FF1" w:rsidP="008B3CC1">
            <w:pPr>
              <w:pStyle w:val="Tabletext"/>
            </w:pPr>
            <w:r w:rsidRPr="00927002">
              <w:t>11</w:t>
            </w:r>
          </w:p>
        </w:tc>
        <w:tc>
          <w:tcPr>
            <w:tcW w:w="1975" w:type="dxa"/>
            <w:tcBorders>
              <w:bottom w:val="single" w:sz="2" w:space="0" w:color="auto"/>
            </w:tcBorders>
            <w:shd w:val="clear" w:color="auto" w:fill="auto"/>
          </w:tcPr>
          <w:p w14:paraId="22B4ECFC" w14:textId="77777777" w:rsidR="008B3CC1" w:rsidRPr="00927002" w:rsidRDefault="008B3CC1" w:rsidP="008B3CC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34.3 (transitional arrangements)</w:t>
            </w:r>
          </w:p>
        </w:tc>
        <w:tc>
          <w:tcPr>
            <w:tcW w:w="5623" w:type="dxa"/>
            <w:tcBorders>
              <w:bottom w:val="single" w:sz="2" w:space="0" w:color="auto"/>
            </w:tcBorders>
            <w:shd w:val="clear" w:color="auto" w:fill="auto"/>
          </w:tcPr>
          <w:p w14:paraId="11F4453C" w14:textId="77777777" w:rsidR="008B3CC1" w:rsidRPr="00927002" w:rsidRDefault="008B3CC1" w:rsidP="008B3CC1">
            <w:pPr>
              <w:pStyle w:val="Tabletext"/>
            </w:pPr>
            <w:r w:rsidRPr="00927002">
              <w:t>The transitional arrangements at Schedule</w:t>
            </w:r>
            <w:r w:rsidR="00927002" w:rsidRPr="00927002">
              <w:t> </w:t>
            </w:r>
            <w:r w:rsidRPr="00927002">
              <w:t>2 apply to the veterinarian discipline specific stream.</w:t>
            </w:r>
          </w:p>
        </w:tc>
      </w:tr>
      <w:tr w:rsidR="008B3CC1" w:rsidRPr="00927002" w14:paraId="74F7091A" w14:textId="77777777" w:rsidTr="001941D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48C8E05" w14:textId="77777777" w:rsidR="008B3CC1" w:rsidRPr="00927002" w:rsidRDefault="00E64FF1" w:rsidP="00D7391E">
            <w:pPr>
              <w:pStyle w:val="Tabletext"/>
            </w:pPr>
            <w:r w:rsidRPr="00927002">
              <w:t>12</w:t>
            </w:r>
          </w:p>
        </w:tc>
        <w:tc>
          <w:tcPr>
            <w:tcW w:w="1975" w:type="dxa"/>
            <w:tcBorders>
              <w:bottom w:val="single" w:sz="2" w:space="0" w:color="auto"/>
            </w:tcBorders>
            <w:shd w:val="clear" w:color="auto" w:fill="auto"/>
          </w:tcPr>
          <w:p w14:paraId="6F310BFD" w14:textId="77777777" w:rsidR="008B3CC1" w:rsidRPr="00927002" w:rsidRDefault="008B3CC1" w:rsidP="00D7391E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34.4 (on</w:t>
            </w:r>
            <w:r w:rsidR="001868E5">
              <w:noBreakHyphen/>
            </w:r>
            <w:r w:rsidRPr="00927002">
              <w:t>plant veterinarian (OPV) induction</w:t>
            </w:r>
          </w:p>
        </w:tc>
        <w:tc>
          <w:tcPr>
            <w:tcW w:w="5623" w:type="dxa"/>
            <w:tcBorders>
              <w:bottom w:val="single" w:sz="2" w:space="0" w:color="auto"/>
            </w:tcBorders>
            <w:shd w:val="clear" w:color="auto" w:fill="auto"/>
          </w:tcPr>
          <w:p w14:paraId="47A5CF43" w14:textId="77777777" w:rsidR="008B3CC1" w:rsidRPr="00927002" w:rsidRDefault="008B3CC1" w:rsidP="00D7391E">
            <w:pPr>
              <w:pStyle w:val="Tablea"/>
            </w:pPr>
            <w:r w:rsidRPr="00927002">
              <w:t xml:space="preserve">(a) On </w:t>
            </w:r>
            <w:r w:rsidR="00A0231A" w:rsidRPr="00927002">
              <w:t xml:space="preserve">commencing </w:t>
            </w:r>
            <w:proofErr w:type="gramStart"/>
            <w:r w:rsidR="00A0231A" w:rsidRPr="00927002">
              <w:t>employment</w:t>
            </w:r>
            <w:proofErr w:type="gramEnd"/>
            <w:r w:rsidRPr="00927002">
              <w:t xml:space="preserve"> you will be classified as an APS 6 and paid the OPV</w:t>
            </w:r>
            <w:r w:rsidR="006864E8" w:rsidRPr="00927002">
              <w:t xml:space="preserve"> </w:t>
            </w:r>
            <w:r w:rsidRPr="00927002">
              <w:t>induction pay</w:t>
            </w:r>
            <w:r w:rsidR="00D7391E" w:rsidRPr="00927002">
              <w:t xml:space="preserve"> </w:t>
            </w:r>
            <w:r w:rsidRPr="00927002">
              <w:t>point within Table 5 of Schedule</w:t>
            </w:r>
            <w:r w:rsidR="00927002" w:rsidRPr="00927002">
              <w:t> </w:t>
            </w:r>
            <w:r w:rsidRPr="00927002">
              <w:t>1.</w:t>
            </w:r>
          </w:p>
          <w:p w14:paraId="3F0D1BFA" w14:textId="77777777" w:rsidR="008B3CC1" w:rsidRPr="00927002" w:rsidRDefault="008B3CC1" w:rsidP="00D7391E">
            <w:pPr>
              <w:pStyle w:val="Tablea"/>
            </w:pPr>
            <w:r w:rsidRPr="00927002">
              <w:t>(b) Upon successful completion of the OPV</w:t>
            </w:r>
            <w:r w:rsidR="006864E8" w:rsidRPr="00927002">
              <w:t xml:space="preserve"> </w:t>
            </w:r>
            <w:r w:rsidRPr="00927002">
              <w:t>induction program, you will be advanced to</w:t>
            </w:r>
            <w:r w:rsidR="00D7391E" w:rsidRPr="00927002">
              <w:t xml:space="preserve"> </w:t>
            </w:r>
            <w:r w:rsidRPr="00927002">
              <w:t>the APS 6.06 pay point within Table 2 of Schedule</w:t>
            </w:r>
            <w:r w:rsidR="00927002" w:rsidRPr="00927002">
              <w:t> </w:t>
            </w:r>
            <w:r w:rsidRPr="00927002">
              <w:t>1.</w:t>
            </w:r>
          </w:p>
        </w:tc>
      </w:tr>
      <w:tr w:rsidR="001941D4" w:rsidRPr="00927002" w14:paraId="08AE414F" w14:textId="77777777" w:rsidTr="00E64FF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252EFE" w14:textId="77777777" w:rsidR="001941D4" w:rsidRPr="00927002" w:rsidRDefault="00E64FF1" w:rsidP="00D37A41">
            <w:pPr>
              <w:pStyle w:val="Tabletext"/>
            </w:pPr>
            <w:r w:rsidRPr="00927002">
              <w:t>13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88AC8D" w14:textId="77777777" w:rsidR="001941D4" w:rsidRPr="00927002" w:rsidRDefault="001941D4" w:rsidP="00D37A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34.6 (APS3 to APS4 biosecurity broadband)</w:t>
            </w:r>
          </w:p>
          <w:p w14:paraId="535074BD" w14:textId="77777777" w:rsidR="001941D4" w:rsidRPr="00927002" w:rsidRDefault="001941D4" w:rsidP="00D37A41">
            <w:pPr>
              <w:pStyle w:val="Tablei"/>
            </w:pPr>
          </w:p>
        </w:tc>
        <w:tc>
          <w:tcPr>
            <w:tcW w:w="56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9B567E" w14:textId="77777777" w:rsidR="001941D4" w:rsidRPr="00927002" w:rsidRDefault="001941D4" w:rsidP="00D37A41">
            <w:pPr>
              <w:pStyle w:val="Tabletext"/>
            </w:pPr>
            <w:r w:rsidRPr="00927002">
              <w:t>If you are an employee who:</w:t>
            </w:r>
          </w:p>
          <w:p w14:paraId="725205D3" w14:textId="77777777" w:rsidR="001941D4" w:rsidRPr="00927002" w:rsidRDefault="001941D4" w:rsidP="00D37A41">
            <w:pPr>
              <w:pStyle w:val="Tablea"/>
            </w:pPr>
            <w:r w:rsidRPr="00927002">
              <w:t xml:space="preserve">(a) was moved to the department by the </w:t>
            </w:r>
            <w:r w:rsidRPr="00927002">
              <w:rPr>
                <w:i/>
              </w:rPr>
              <w:t>Public Service (Machinery of governme</w:t>
            </w:r>
            <w:r w:rsidR="00511879" w:rsidRPr="00927002">
              <w:rPr>
                <w:i/>
              </w:rPr>
              <w:t>nt changes) Determination (No.</w:t>
            </w:r>
            <w:r w:rsidR="00927002" w:rsidRPr="00927002">
              <w:rPr>
                <w:i/>
              </w:rPr>
              <w:t> </w:t>
            </w:r>
            <w:r w:rsidR="00511879" w:rsidRPr="00927002">
              <w:rPr>
                <w:i/>
              </w:rPr>
              <w:t>6</w:t>
            </w:r>
            <w:r w:rsidRPr="00927002">
              <w:rPr>
                <w:i/>
              </w:rPr>
              <w:t>) 2020</w:t>
            </w:r>
            <w:r w:rsidRPr="00927002">
              <w:t>; and</w:t>
            </w:r>
          </w:p>
          <w:p w14:paraId="4FB658A0" w14:textId="77777777" w:rsidR="004B1D2F" w:rsidRPr="00927002" w:rsidRDefault="001941D4" w:rsidP="00D37A41">
            <w:pPr>
              <w:pStyle w:val="Tablea"/>
            </w:pPr>
            <w:r w:rsidRPr="00927002">
              <w:t>(b) immediately before that movement, was participating i</w:t>
            </w:r>
            <w:r w:rsidR="004B1D2F" w:rsidRPr="00927002">
              <w:t xml:space="preserve">n the program under this </w:t>
            </w:r>
            <w:proofErr w:type="gramStart"/>
            <w:r w:rsidR="004B1D2F" w:rsidRPr="00927002">
              <w:t>clause;</w:t>
            </w:r>
            <w:proofErr w:type="gramEnd"/>
          </w:p>
          <w:p w14:paraId="2172DE66" w14:textId="77777777" w:rsidR="001941D4" w:rsidRPr="00927002" w:rsidRDefault="002E31B5" w:rsidP="002E31B5">
            <w:pPr>
              <w:pStyle w:val="Tablea"/>
            </w:pPr>
            <w:r w:rsidRPr="00927002">
              <w:t xml:space="preserve">     </w:t>
            </w:r>
            <w:r w:rsidR="001941D4" w:rsidRPr="00927002">
              <w:t xml:space="preserve">you will advance through the barrier to an APS 4 biosecurity officer, subject to work availability and a </w:t>
            </w:r>
            <w:proofErr w:type="gramStart"/>
            <w:r w:rsidR="001941D4" w:rsidRPr="00927002">
              <w:t>merit based</w:t>
            </w:r>
            <w:proofErr w:type="gramEnd"/>
            <w:r w:rsidR="001941D4" w:rsidRPr="00927002">
              <w:t xml:space="preserve"> selection process if you have:</w:t>
            </w:r>
          </w:p>
          <w:p w14:paraId="4ECAB496" w14:textId="77777777" w:rsidR="001941D4" w:rsidRPr="00927002" w:rsidRDefault="001941D4" w:rsidP="004B1D2F">
            <w:pPr>
              <w:pStyle w:val="Tablea"/>
            </w:pPr>
            <w:r w:rsidRPr="00927002">
              <w:t>(</w:t>
            </w:r>
            <w:r w:rsidR="004B1D2F" w:rsidRPr="00927002">
              <w:t>c</w:t>
            </w:r>
            <w:r w:rsidRPr="00927002">
              <w:t>) successfully completed the program; and</w:t>
            </w:r>
          </w:p>
          <w:p w14:paraId="517ECDE9" w14:textId="77777777" w:rsidR="001941D4" w:rsidRPr="00927002" w:rsidRDefault="004B1D2F" w:rsidP="004B1D2F">
            <w:pPr>
              <w:pStyle w:val="Tablea"/>
            </w:pPr>
            <w:r w:rsidRPr="00927002">
              <w:t>(d</w:t>
            </w:r>
            <w:r w:rsidR="001941D4" w:rsidRPr="00927002">
              <w:t>) received a rating of meets expectations or higher under the performance management process.</w:t>
            </w:r>
          </w:p>
        </w:tc>
      </w:tr>
      <w:tr w:rsidR="00E64FF1" w:rsidRPr="00927002" w14:paraId="61D1B678" w14:textId="77777777" w:rsidTr="001941D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0C2920" w14:textId="77777777" w:rsidR="00E64FF1" w:rsidRPr="00927002" w:rsidRDefault="00E64FF1" w:rsidP="00E64FF1">
            <w:pPr>
              <w:pStyle w:val="Tabletext"/>
            </w:pPr>
            <w:r w:rsidRPr="00927002">
              <w:t>14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9277A9" w14:textId="77777777" w:rsidR="00E64FF1" w:rsidRPr="00927002" w:rsidRDefault="00E64FF1" w:rsidP="00E64FF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1 of Schedule</w:t>
            </w:r>
            <w:r w:rsidR="00927002" w:rsidRPr="00927002">
              <w:t> </w:t>
            </w:r>
            <w:r w:rsidRPr="00927002">
              <w:t>2 (transitional arrangements)</w:t>
            </w:r>
          </w:p>
        </w:tc>
        <w:tc>
          <w:tcPr>
            <w:tcW w:w="562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05495D" w14:textId="77777777" w:rsidR="004B1D2F" w:rsidRPr="00927002" w:rsidRDefault="004B1D2F" w:rsidP="004B1D2F">
            <w:pPr>
              <w:pStyle w:val="Tablea"/>
            </w:pPr>
            <w:r w:rsidRPr="00927002">
              <w:t xml:space="preserve">(a) </w:t>
            </w:r>
            <w:r w:rsidR="00E64FF1" w:rsidRPr="00927002">
              <w:t>If</w:t>
            </w:r>
            <w:r w:rsidRPr="00927002">
              <w:t xml:space="preserve"> you are an employee who:</w:t>
            </w:r>
          </w:p>
          <w:p w14:paraId="30DC4CC1" w14:textId="77777777" w:rsidR="004B1D2F" w:rsidRPr="00927002" w:rsidRDefault="004B1D2F" w:rsidP="004B1D2F">
            <w:pPr>
              <w:pStyle w:val="Tablei"/>
            </w:pPr>
            <w:r w:rsidRPr="00927002">
              <w:t>(</w:t>
            </w:r>
            <w:proofErr w:type="spellStart"/>
            <w:r w:rsidRPr="00927002">
              <w:t>i</w:t>
            </w:r>
            <w:proofErr w:type="spellEnd"/>
            <w:r w:rsidRPr="00927002">
              <w:t xml:space="preserve">) was moved to the department by the </w:t>
            </w:r>
            <w:r w:rsidRPr="00927002">
              <w:rPr>
                <w:i/>
              </w:rPr>
              <w:t>Public Service (Machinery of government changes) Determination (No.</w:t>
            </w:r>
            <w:r w:rsidR="00927002" w:rsidRPr="00927002">
              <w:rPr>
                <w:i/>
              </w:rPr>
              <w:t> </w:t>
            </w:r>
            <w:r w:rsidR="00B748FA" w:rsidRPr="00927002">
              <w:rPr>
                <w:i/>
              </w:rPr>
              <w:t>6</w:t>
            </w:r>
            <w:r w:rsidRPr="00927002">
              <w:rPr>
                <w:i/>
              </w:rPr>
              <w:t>) 2020</w:t>
            </w:r>
            <w:r w:rsidRPr="00927002">
              <w:t>; and</w:t>
            </w:r>
          </w:p>
          <w:p w14:paraId="0E794509" w14:textId="77777777" w:rsidR="004B1D2F" w:rsidRPr="00927002" w:rsidRDefault="004B1D2F" w:rsidP="004B1D2F">
            <w:pPr>
              <w:pStyle w:val="Tablei"/>
            </w:pPr>
            <w:r w:rsidRPr="00927002">
              <w:t xml:space="preserve">(ii) immediately before that movement, was </w:t>
            </w:r>
            <w:r w:rsidR="00E64FF1" w:rsidRPr="00927002">
              <w:t>classified and paid at any of the pay points within the classification structure at Table 1</w:t>
            </w:r>
            <w:r w:rsidR="008F1B63" w:rsidRPr="00927002">
              <w:t xml:space="preserve"> </w:t>
            </w:r>
            <w:proofErr w:type="gramStart"/>
            <w:r w:rsidR="008F1B63" w:rsidRPr="00927002">
              <w:t>below</w:t>
            </w:r>
            <w:r w:rsidR="00520CF5" w:rsidRPr="00927002">
              <w:t>;</w:t>
            </w:r>
            <w:proofErr w:type="gramEnd"/>
          </w:p>
          <w:p w14:paraId="5D5A113B" w14:textId="77777777" w:rsidR="00E64FF1" w:rsidRPr="00927002" w:rsidRDefault="00C13627" w:rsidP="004B1D2F">
            <w:pPr>
              <w:pStyle w:val="Tablea"/>
            </w:pPr>
            <w:r w:rsidRPr="00927002">
              <w:t xml:space="preserve">     </w:t>
            </w:r>
            <w:r w:rsidR="00E64FF1" w:rsidRPr="00927002">
              <w:t>you will continue to be assigned that classification and pay point.</w:t>
            </w:r>
          </w:p>
          <w:p w14:paraId="6353EFA7" w14:textId="77777777" w:rsidR="00E64FF1" w:rsidRPr="00927002" w:rsidRDefault="00E64FF1" w:rsidP="00E64FF1">
            <w:pPr>
              <w:pStyle w:val="Tablea"/>
            </w:pPr>
            <w:r w:rsidRPr="00927002">
              <w:t>(b) You will have access to any higher pay points within your classification in accordance with the pay point progression provisions of this Agreement (refer clause</w:t>
            </w:r>
            <w:r w:rsidR="00741470" w:rsidRPr="00927002">
              <w:t>s</w:t>
            </w:r>
            <w:r w:rsidR="00927002" w:rsidRPr="00927002">
              <w:t> </w:t>
            </w:r>
            <w:r w:rsidR="00BF42A7" w:rsidRPr="00927002">
              <w:t>4.49</w:t>
            </w:r>
            <w:r w:rsidR="00741470" w:rsidRPr="00927002">
              <w:t xml:space="preserve"> to 4.51</w:t>
            </w:r>
            <w:r w:rsidRPr="00927002">
              <w:t>).</w:t>
            </w:r>
          </w:p>
          <w:p w14:paraId="261DD71A" w14:textId="77777777" w:rsidR="00E64FF1" w:rsidRPr="00927002" w:rsidRDefault="00E64FF1" w:rsidP="00E64FF1">
            <w:pPr>
              <w:pStyle w:val="Tablea"/>
            </w:pPr>
            <w:r w:rsidRPr="00927002">
              <w:t>(c) Transitioning to the new veterinarian classification structure at Table 2 of Schedule</w:t>
            </w:r>
            <w:r w:rsidR="00927002" w:rsidRPr="00927002">
              <w:t> </w:t>
            </w:r>
            <w:r w:rsidRPr="00927002">
              <w:t xml:space="preserve">1 will occur on promotion following a </w:t>
            </w:r>
            <w:proofErr w:type="gramStart"/>
            <w:r w:rsidRPr="00927002">
              <w:t>merit based</w:t>
            </w:r>
            <w:proofErr w:type="gramEnd"/>
            <w:r w:rsidRPr="00927002">
              <w:t xml:space="preserve"> selection process.</w:t>
            </w:r>
          </w:p>
        </w:tc>
      </w:tr>
    </w:tbl>
    <w:p w14:paraId="4551F202" w14:textId="77777777" w:rsidR="00F868CC" w:rsidRPr="00927002" w:rsidRDefault="00F868CC" w:rsidP="00F868CC">
      <w:pPr>
        <w:pStyle w:val="subsection"/>
      </w:pPr>
      <w:r w:rsidRPr="00927002">
        <w:tab/>
        <w:t>(7)</w:t>
      </w:r>
      <w:r w:rsidRPr="00927002">
        <w:tab/>
      </w:r>
      <w:r w:rsidR="00C40B30" w:rsidRPr="00927002">
        <w:t xml:space="preserve">For the purposes of </w:t>
      </w:r>
      <w:r w:rsidR="00927002" w:rsidRPr="00927002">
        <w:t>paragraph (</w:t>
      </w:r>
      <w:r w:rsidR="00CF4A81" w:rsidRPr="00927002">
        <w:t xml:space="preserve">2)(d) and </w:t>
      </w:r>
      <w:r w:rsidR="00927002" w:rsidRPr="00927002">
        <w:t>subsection (</w:t>
      </w:r>
      <w:r w:rsidR="00CF4A81" w:rsidRPr="00927002">
        <w:t>4), t</w:t>
      </w:r>
      <w:r w:rsidRPr="00927002">
        <w:t xml:space="preserve">he DAWR Agreement has effect as if table 2 </w:t>
      </w:r>
      <w:r w:rsidR="00511879" w:rsidRPr="00927002">
        <w:t>in</w:t>
      </w:r>
      <w:r w:rsidRPr="00927002">
        <w:t xml:space="preserve"> Schedule</w:t>
      </w:r>
      <w:r w:rsidR="00927002" w:rsidRPr="00927002">
        <w:t> </w:t>
      </w:r>
      <w:r w:rsidRPr="00927002">
        <w:t>1</w:t>
      </w:r>
      <w:r w:rsidR="00D0403E" w:rsidRPr="00927002">
        <w:t xml:space="preserve"> </w:t>
      </w:r>
      <w:r w:rsidR="00511879" w:rsidRPr="00927002">
        <w:t>to</w:t>
      </w:r>
      <w:r w:rsidR="00D0403E" w:rsidRPr="00927002">
        <w:t xml:space="preserve"> the DAWR Agreement </w:t>
      </w:r>
      <w:r w:rsidRPr="00927002">
        <w:t xml:space="preserve">(veterinarian classification and salaries) were omitted and substituted with the </w:t>
      </w:r>
      <w:r w:rsidR="000D5669" w:rsidRPr="00927002">
        <w:t xml:space="preserve">following </w:t>
      </w:r>
      <w:r w:rsidRPr="00927002">
        <w:t>updated t</w:t>
      </w:r>
      <w:r w:rsidR="000D5669" w:rsidRPr="00927002">
        <w:t>able</w:t>
      </w:r>
      <w:r w:rsidRPr="00927002">
        <w:t>.</w:t>
      </w:r>
    </w:p>
    <w:p w14:paraId="73BE1D73" w14:textId="77777777" w:rsidR="006321DB" w:rsidRPr="00927002" w:rsidRDefault="006321DB" w:rsidP="006321D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976"/>
        <w:gridCol w:w="2081"/>
      </w:tblGrid>
      <w:tr w:rsidR="00A25E7E" w:rsidRPr="00927002" w14:paraId="50C8C111" w14:textId="77777777" w:rsidTr="00D37A41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7CC61A" w14:textId="77777777" w:rsidR="00A25E7E" w:rsidRPr="00927002" w:rsidRDefault="00A25E7E" w:rsidP="00E60977">
            <w:pPr>
              <w:pStyle w:val="TableHeading"/>
            </w:pPr>
            <w:r w:rsidRPr="00927002">
              <w:t xml:space="preserve">Updated table 2 </w:t>
            </w:r>
            <w:r w:rsidR="00E60977" w:rsidRPr="00927002">
              <w:t>in</w:t>
            </w:r>
            <w:r w:rsidRPr="00927002">
              <w:t xml:space="preserve"> Schedule</w:t>
            </w:r>
            <w:r w:rsidR="00927002" w:rsidRPr="00927002">
              <w:t> </w:t>
            </w:r>
            <w:r w:rsidRPr="00927002">
              <w:t xml:space="preserve">1 </w:t>
            </w:r>
            <w:r w:rsidR="00E60977" w:rsidRPr="00927002">
              <w:t>to</w:t>
            </w:r>
            <w:r w:rsidR="001710A8" w:rsidRPr="00927002">
              <w:t xml:space="preserve"> the DAWR Agreement </w:t>
            </w:r>
            <w:r w:rsidRPr="00927002">
              <w:t>(veterinarian classification and salaries)</w:t>
            </w:r>
            <w:r w:rsidR="006354A7" w:rsidRPr="00927002">
              <w:t xml:space="preserve"> being included in DEE Agreement</w:t>
            </w:r>
          </w:p>
        </w:tc>
      </w:tr>
      <w:tr w:rsidR="00A25E7E" w:rsidRPr="00927002" w14:paraId="258A3F19" w14:textId="77777777" w:rsidTr="00D37A41">
        <w:trPr>
          <w:tblHeader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A3790D" w14:textId="77777777" w:rsidR="00A25E7E" w:rsidRPr="00927002" w:rsidRDefault="00A25E7E" w:rsidP="00D37A41">
            <w:pPr>
              <w:pStyle w:val="TableHeading"/>
            </w:pPr>
            <w:r w:rsidRPr="00927002">
              <w:t>Column 1</w:t>
            </w:r>
          </w:p>
          <w:p w14:paraId="5A67B353" w14:textId="77777777" w:rsidR="00A25E7E" w:rsidRPr="00927002" w:rsidRDefault="00A25E7E" w:rsidP="00D37A41">
            <w:pPr>
              <w:pStyle w:val="TableHeading"/>
            </w:pPr>
            <w:r w:rsidRPr="00927002">
              <w:t>APS classification &amp; pay point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575B8E" w14:textId="77777777" w:rsidR="00A25E7E" w:rsidRPr="00927002" w:rsidRDefault="00A25E7E" w:rsidP="00D37A41">
            <w:pPr>
              <w:pStyle w:val="TableHeading"/>
            </w:pPr>
            <w:r w:rsidRPr="00927002">
              <w:t>Column 2</w:t>
            </w:r>
          </w:p>
          <w:p w14:paraId="4D603FB6" w14:textId="77777777" w:rsidR="00A25E7E" w:rsidRPr="00927002" w:rsidRDefault="00A25E7E" w:rsidP="00D37A41">
            <w:pPr>
              <w:pStyle w:val="TableHeading"/>
            </w:pPr>
            <w:r w:rsidRPr="00927002">
              <w:t>Local designation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78FCE4" w14:textId="77777777" w:rsidR="00A25E7E" w:rsidRPr="00927002" w:rsidRDefault="00A25E7E" w:rsidP="00D37A41">
            <w:pPr>
              <w:pStyle w:val="TableHeading"/>
            </w:pPr>
            <w:r w:rsidRPr="00927002">
              <w:t>Column 3</w:t>
            </w:r>
          </w:p>
          <w:p w14:paraId="3C8A6D27" w14:textId="77777777" w:rsidR="00A25E7E" w:rsidRPr="00927002" w:rsidRDefault="00A25E7E" w:rsidP="00D37A41">
            <w:pPr>
              <w:pStyle w:val="TableHeading"/>
            </w:pPr>
            <w:r w:rsidRPr="00927002">
              <w:t>Salary</w:t>
            </w:r>
          </w:p>
        </w:tc>
      </w:tr>
      <w:tr w:rsidR="00A25E7E" w:rsidRPr="00927002" w14:paraId="565F84D5" w14:textId="77777777" w:rsidTr="00D37A41">
        <w:tc>
          <w:tcPr>
            <w:tcW w:w="32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35D6D" w14:textId="77777777" w:rsidR="00A25E7E" w:rsidRPr="00927002" w:rsidRDefault="00A25E7E" w:rsidP="00D37A41">
            <w:pPr>
              <w:pStyle w:val="Tabletext"/>
            </w:pPr>
            <w:r w:rsidRPr="00927002">
              <w:t>EL 2.10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43F30A" w14:textId="77777777" w:rsidR="00A25E7E" w:rsidRPr="00927002" w:rsidRDefault="00A25E7E" w:rsidP="00D37A41">
            <w:pPr>
              <w:pStyle w:val="Tabletext"/>
            </w:pPr>
            <w:r w:rsidRPr="00927002">
              <w:t>VO5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FBBAB" w14:textId="77777777" w:rsidR="00A25E7E" w:rsidRPr="00927002" w:rsidRDefault="00A25E7E" w:rsidP="00D37A41">
            <w:pPr>
              <w:pStyle w:val="Tabletext"/>
            </w:pPr>
            <w:r w:rsidRPr="00927002">
              <w:t>144</w:t>
            </w:r>
            <w:r w:rsidR="00927002" w:rsidRPr="00927002">
              <w:t> </w:t>
            </w:r>
            <w:r w:rsidRPr="00927002">
              <w:t>429</w:t>
            </w:r>
          </w:p>
        </w:tc>
      </w:tr>
      <w:tr w:rsidR="00A25E7E" w:rsidRPr="00927002" w14:paraId="52ECEECD" w14:textId="77777777" w:rsidTr="00D37A41">
        <w:tc>
          <w:tcPr>
            <w:tcW w:w="3256" w:type="dxa"/>
            <w:shd w:val="clear" w:color="auto" w:fill="auto"/>
            <w:vAlign w:val="center"/>
          </w:tcPr>
          <w:p w14:paraId="2977C6EE" w14:textId="77777777" w:rsidR="00A25E7E" w:rsidRPr="00927002" w:rsidRDefault="00A25E7E" w:rsidP="00D37A41">
            <w:pPr>
              <w:pStyle w:val="Tabletext"/>
            </w:pPr>
            <w:r w:rsidRPr="00927002">
              <w:t>EL 2.09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177359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B103D5" w14:textId="77777777" w:rsidR="00A25E7E" w:rsidRPr="00927002" w:rsidRDefault="00A25E7E" w:rsidP="00D37A41">
            <w:pPr>
              <w:pStyle w:val="Tabletext"/>
            </w:pPr>
            <w:r w:rsidRPr="00927002">
              <w:t>142</w:t>
            </w:r>
            <w:r w:rsidR="00927002" w:rsidRPr="00927002">
              <w:t> </w:t>
            </w:r>
            <w:r w:rsidRPr="00927002">
              <w:t>717</w:t>
            </w:r>
          </w:p>
        </w:tc>
      </w:tr>
      <w:tr w:rsidR="002804A8" w:rsidRPr="00927002" w14:paraId="0A6161BB" w14:textId="77777777" w:rsidTr="002804A8">
        <w:tc>
          <w:tcPr>
            <w:tcW w:w="8313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9201F1" w14:textId="77777777" w:rsidR="002804A8" w:rsidRPr="00927002" w:rsidRDefault="002804A8" w:rsidP="00990C20">
            <w:pPr>
              <w:pStyle w:val="TableHeading"/>
              <w:jc w:val="center"/>
            </w:pPr>
            <w:r w:rsidRPr="00927002">
              <w:t>Barrier</w:t>
            </w:r>
          </w:p>
        </w:tc>
      </w:tr>
      <w:tr w:rsidR="00A25E7E" w:rsidRPr="00927002" w14:paraId="7D14302B" w14:textId="77777777" w:rsidTr="00D37A41">
        <w:tc>
          <w:tcPr>
            <w:tcW w:w="3256" w:type="dxa"/>
            <w:shd w:val="clear" w:color="auto" w:fill="auto"/>
            <w:vAlign w:val="center"/>
          </w:tcPr>
          <w:p w14:paraId="54EEFAFB" w14:textId="77777777" w:rsidR="00A25E7E" w:rsidRPr="00927002" w:rsidRDefault="00A25E7E" w:rsidP="00D37A41">
            <w:pPr>
              <w:pStyle w:val="Tabletext"/>
            </w:pPr>
            <w:r w:rsidRPr="00927002">
              <w:t>EL 2.08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1F43ED" w14:textId="77777777" w:rsidR="00A25E7E" w:rsidRPr="00927002" w:rsidRDefault="00A25E7E" w:rsidP="00D37A41">
            <w:pPr>
              <w:pStyle w:val="Tabletext"/>
            </w:pPr>
            <w:r w:rsidRPr="00927002">
              <w:t>VO4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D7DC5A6" w14:textId="77777777" w:rsidR="00A25E7E" w:rsidRPr="00927002" w:rsidRDefault="00A25E7E" w:rsidP="00D37A41">
            <w:pPr>
              <w:pStyle w:val="Tabletext"/>
            </w:pPr>
            <w:r w:rsidRPr="00927002">
              <w:t>140</w:t>
            </w:r>
            <w:r w:rsidR="00927002" w:rsidRPr="00927002">
              <w:t> </w:t>
            </w:r>
            <w:r w:rsidRPr="00927002">
              <w:t>124</w:t>
            </w:r>
          </w:p>
        </w:tc>
      </w:tr>
      <w:tr w:rsidR="00A25E7E" w:rsidRPr="00927002" w14:paraId="619F81D9" w14:textId="77777777" w:rsidTr="00D37A41">
        <w:tc>
          <w:tcPr>
            <w:tcW w:w="32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88CAAD" w14:textId="77777777" w:rsidR="00A25E7E" w:rsidRPr="00927002" w:rsidRDefault="00A25E7E" w:rsidP="00D37A41">
            <w:pPr>
              <w:pStyle w:val="Tabletext"/>
            </w:pPr>
            <w:r w:rsidRPr="00927002">
              <w:t>EL 2.07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D3F570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7B9212" w14:textId="77777777" w:rsidR="00A25E7E" w:rsidRPr="00927002" w:rsidRDefault="00A25E7E" w:rsidP="00D37A41">
            <w:pPr>
              <w:pStyle w:val="Tabletext"/>
            </w:pPr>
            <w:r w:rsidRPr="00927002">
              <w:t>137</w:t>
            </w:r>
            <w:r w:rsidR="00927002" w:rsidRPr="00927002">
              <w:t> </w:t>
            </w:r>
            <w:r w:rsidRPr="00927002">
              <w:t>685</w:t>
            </w:r>
          </w:p>
        </w:tc>
      </w:tr>
      <w:tr w:rsidR="00A25E7E" w:rsidRPr="00927002" w14:paraId="059897CA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453C59" w14:textId="77777777" w:rsidR="00A25E7E" w:rsidRPr="00927002" w:rsidRDefault="00A25E7E" w:rsidP="00D37A41">
            <w:pPr>
              <w:pStyle w:val="Tabletext"/>
            </w:pPr>
            <w:r w:rsidRPr="00927002">
              <w:t>EL 2.06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28E5FE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0C1BEF" w14:textId="77777777" w:rsidR="00A25E7E" w:rsidRPr="00927002" w:rsidRDefault="00A25E7E" w:rsidP="00D37A41">
            <w:pPr>
              <w:pStyle w:val="Tabletext"/>
            </w:pPr>
            <w:r w:rsidRPr="00927002">
              <w:t>136</w:t>
            </w:r>
            <w:r w:rsidR="00927002" w:rsidRPr="00927002">
              <w:t> </w:t>
            </w:r>
            <w:r w:rsidRPr="00927002">
              <w:t>655</w:t>
            </w:r>
          </w:p>
        </w:tc>
      </w:tr>
      <w:tr w:rsidR="00A25E7E" w:rsidRPr="00927002" w14:paraId="6D953AD2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03CC71" w14:textId="77777777" w:rsidR="00A25E7E" w:rsidRPr="00927002" w:rsidRDefault="00A25E7E" w:rsidP="00D37A41">
            <w:pPr>
              <w:pStyle w:val="Tabletext"/>
            </w:pPr>
            <w:r w:rsidRPr="00927002">
              <w:t>EL 2.05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C6DD66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285D6E" w14:textId="77777777" w:rsidR="00A25E7E" w:rsidRPr="00927002" w:rsidRDefault="00A25E7E" w:rsidP="00D37A41">
            <w:pPr>
              <w:pStyle w:val="Tabletext"/>
            </w:pPr>
            <w:r w:rsidRPr="00927002">
              <w:t>135</w:t>
            </w:r>
            <w:r w:rsidR="00927002" w:rsidRPr="00927002">
              <w:t> </w:t>
            </w:r>
            <w:r w:rsidRPr="00927002">
              <w:t>400</w:t>
            </w:r>
          </w:p>
        </w:tc>
      </w:tr>
      <w:tr w:rsidR="00A25E7E" w:rsidRPr="00927002" w14:paraId="2F244D29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FE7FDB" w14:textId="77777777" w:rsidR="00A25E7E" w:rsidRPr="00927002" w:rsidRDefault="00A25E7E" w:rsidP="00D37A41">
            <w:pPr>
              <w:pStyle w:val="Tabletext"/>
            </w:pPr>
            <w:r w:rsidRPr="00927002">
              <w:t>EL 2.04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7BA7E3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E47333" w14:textId="77777777" w:rsidR="00A25E7E" w:rsidRPr="00927002" w:rsidRDefault="00A25E7E" w:rsidP="00D37A41">
            <w:pPr>
              <w:pStyle w:val="Tabletext"/>
            </w:pPr>
            <w:r w:rsidRPr="00927002">
              <w:t>131</w:t>
            </w:r>
            <w:r w:rsidR="00927002" w:rsidRPr="00927002">
              <w:t> </w:t>
            </w:r>
            <w:r w:rsidRPr="00927002">
              <w:t>326</w:t>
            </w:r>
          </w:p>
        </w:tc>
      </w:tr>
      <w:tr w:rsidR="002804A8" w:rsidRPr="00927002" w14:paraId="04426E50" w14:textId="77777777" w:rsidTr="002804A8">
        <w:tc>
          <w:tcPr>
            <w:tcW w:w="8313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B0EB5F" w14:textId="77777777" w:rsidR="002804A8" w:rsidRPr="00927002" w:rsidRDefault="002804A8" w:rsidP="00D37A41">
            <w:pPr>
              <w:pStyle w:val="Tabletext"/>
            </w:pPr>
          </w:p>
        </w:tc>
      </w:tr>
      <w:tr w:rsidR="00A25E7E" w:rsidRPr="00927002" w14:paraId="30FE3E7D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8E9B87" w14:textId="77777777" w:rsidR="00A25E7E" w:rsidRPr="00927002" w:rsidRDefault="00A25E7E" w:rsidP="00D37A41">
            <w:pPr>
              <w:pStyle w:val="Tabletext"/>
            </w:pPr>
            <w:r w:rsidRPr="00927002">
              <w:t>EL 1.08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F140D2" w14:textId="77777777" w:rsidR="00A25E7E" w:rsidRPr="00927002" w:rsidRDefault="00A25E7E" w:rsidP="00D37A41">
            <w:pPr>
              <w:pStyle w:val="Tabletext"/>
            </w:pPr>
            <w:r w:rsidRPr="00927002">
              <w:t>VO3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50634D" w14:textId="77777777" w:rsidR="00A25E7E" w:rsidRPr="00927002" w:rsidRDefault="00A25E7E" w:rsidP="00D37A41">
            <w:pPr>
              <w:pStyle w:val="Tabletext"/>
            </w:pPr>
            <w:r w:rsidRPr="00927002">
              <w:t>129</w:t>
            </w:r>
            <w:r w:rsidR="00927002" w:rsidRPr="00927002">
              <w:t> </w:t>
            </w:r>
            <w:r w:rsidRPr="00927002">
              <w:t>108</w:t>
            </w:r>
          </w:p>
        </w:tc>
      </w:tr>
      <w:tr w:rsidR="00A25E7E" w:rsidRPr="00927002" w14:paraId="6F082107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B0201F" w14:textId="77777777" w:rsidR="00A25E7E" w:rsidRPr="00927002" w:rsidRDefault="00A25E7E" w:rsidP="00D37A41">
            <w:pPr>
              <w:pStyle w:val="Tabletext"/>
            </w:pPr>
            <w:r w:rsidRPr="00927002">
              <w:t>EL 1.07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CD0F85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D91504" w14:textId="77777777" w:rsidR="00A25E7E" w:rsidRPr="00927002" w:rsidRDefault="00A25E7E" w:rsidP="00D37A41">
            <w:pPr>
              <w:pStyle w:val="Tabletext"/>
            </w:pPr>
            <w:r w:rsidRPr="00927002">
              <w:t>124</w:t>
            </w:r>
            <w:r w:rsidR="00927002" w:rsidRPr="00927002">
              <w:t> </w:t>
            </w:r>
            <w:r w:rsidRPr="00927002">
              <w:t>891</w:t>
            </w:r>
          </w:p>
        </w:tc>
      </w:tr>
      <w:tr w:rsidR="00A25E7E" w:rsidRPr="00927002" w14:paraId="23C611A9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E7FCEF" w14:textId="77777777" w:rsidR="00A25E7E" w:rsidRPr="00927002" w:rsidRDefault="00A25E7E" w:rsidP="00D37A41">
            <w:pPr>
              <w:pStyle w:val="Tabletext"/>
            </w:pPr>
            <w:r w:rsidRPr="00927002">
              <w:t>EL 1.06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DF2C2C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AE7B89" w14:textId="77777777" w:rsidR="00A25E7E" w:rsidRPr="00927002" w:rsidRDefault="00A25E7E" w:rsidP="00D37A41">
            <w:pPr>
              <w:pStyle w:val="Tabletext"/>
            </w:pPr>
            <w:r w:rsidRPr="00927002">
              <w:t>120</w:t>
            </w:r>
            <w:r w:rsidR="00927002" w:rsidRPr="00927002">
              <w:t> </w:t>
            </w:r>
            <w:r w:rsidRPr="00927002">
              <w:t>619</w:t>
            </w:r>
          </w:p>
        </w:tc>
      </w:tr>
      <w:tr w:rsidR="002804A8" w:rsidRPr="00927002" w14:paraId="1ED88DD4" w14:textId="77777777" w:rsidTr="002804A8">
        <w:tc>
          <w:tcPr>
            <w:tcW w:w="8313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A0408A" w14:textId="77777777" w:rsidR="002804A8" w:rsidRPr="00927002" w:rsidRDefault="002804A8" w:rsidP="00D37A41">
            <w:pPr>
              <w:pStyle w:val="Tabletext"/>
            </w:pPr>
          </w:p>
        </w:tc>
      </w:tr>
      <w:tr w:rsidR="00A25E7E" w:rsidRPr="00927002" w14:paraId="6314B7AA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C5D17C" w14:textId="77777777" w:rsidR="00A25E7E" w:rsidRPr="00927002" w:rsidRDefault="00A25E7E" w:rsidP="00D37A41">
            <w:pPr>
              <w:pStyle w:val="Tabletext"/>
            </w:pPr>
            <w:r w:rsidRPr="00927002">
              <w:t>APS 6.08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0274B9" w14:textId="77777777" w:rsidR="00A25E7E" w:rsidRPr="00927002" w:rsidRDefault="00A25E7E" w:rsidP="00D37A41">
            <w:pPr>
              <w:pStyle w:val="Tabletext"/>
            </w:pPr>
            <w:r w:rsidRPr="00927002">
              <w:t>VO2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44CA61" w14:textId="77777777" w:rsidR="00A25E7E" w:rsidRPr="00927002" w:rsidRDefault="00A25E7E" w:rsidP="00D37A41">
            <w:pPr>
              <w:pStyle w:val="Tabletext"/>
            </w:pPr>
            <w:r w:rsidRPr="00927002">
              <w:t>116</w:t>
            </w:r>
            <w:r w:rsidR="00927002" w:rsidRPr="00927002">
              <w:t> </w:t>
            </w:r>
            <w:r w:rsidRPr="00927002">
              <w:t>282</w:t>
            </w:r>
          </w:p>
        </w:tc>
      </w:tr>
      <w:tr w:rsidR="00A25E7E" w:rsidRPr="00927002" w14:paraId="499DA8FA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D6D917" w14:textId="77777777" w:rsidR="00A25E7E" w:rsidRPr="00927002" w:rsidRDefault="00A25E7E" w:rsidP="00D37A41">
            <w:pPr>
              <w:pStyle w:val="Tabletext"/>
            </w:pPr>
            <w:r w:rsidRPr="00927002">
              <w:t>APS 6.07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530326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ACA0B3" w14:textId="77777777" w:rsidR="00A25E7E" w:rsidRPr="00927002" w:rsidRDefault="00A25E7E" w:rsidP="00D37A41">
            <w:pPr>
              <w:pStyle w:val="Tabletext"/>
            </w:pPr>
            <w:r w:rsidRPr="00927002">
              <w:t>107</w:t>
            </w:r>
            <w:r w:rsidR="00927002" w:rsidRPr="00927002">
              <w:t> </w:t>
            </w:r>
            <w:r w:rsidRPr="00927002">
              <w:t>187</w:t>
            </w:r>
          </w:p>
        </w:tc>
      </w:tr>
      <w:tr w:rsidR="00A25E7E" w:rsidRPr="00927002" w14:paraId="2B62E845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685045" w14:textId="77777777" w:rsidR="00A25E7E" w:rsidRPr="00927002" w:rsidRDefault="00A25E7E" w:rsidP="00D37A41">
            <w:pPr>
              <w:pStyle w:val="Tabletext"/>
            </w:pPr>
            <w:r w:rsidRPr="00927002">
              <w:t>APS 6.06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DC2B8C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7F9AD0" w14:textId="77777777" w:rsidR="00A25E7E" w:rsidRPr="00927002" w:rsidRDefault="00A25E7E" w:rsidP="00D37A41">
            <w:pPr>
              <w:pStyle w:val="Tabletext"/>
            </w:pPr>
            <w:r w:rsidRPr="00927002">
              <w:t>98</w:t>
            </w:r>
            <w:r w:rsidR="00927002" w:rsidRPr="00927002">
              <w:t> </w:t>
            </w:r>
            <w:r w:rsidRPr="00927002">
              <w:t>052</w:t>
            </w:r>
          </w:p>
        </w:tc>
      </w:tr>
      <w:tr w:rsidR="00A25E7E" w:rsidRPr="00927002" w14:paraId="6B20CA40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755638" w14:textId="77777777" w:rsidR="00A25E7E" w:rsidRPr="00927002" w:rsidRDefault="00A25E7E" w:rsidP="00D37A41">
            <w:pPr>
              <w:pStyle w:val="Tabletext"/>
            </w:pPr>
            <w:r w:rsidRPr="00927002">
              <w:t>APS 6.05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7949D6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123FA8" w14:textId="77777777" w:rsidR="00A25E7E" w:rsidRPr="00927002" w:rsidRDefault="00A25E7E" w:rsidP="00D37A41">
            <w:pPr>
              <w:pStyle w:val="Tabletext"/>
            </w:pPr>
            <w:r w:rsidRPr="00927002">
              <w:t>93</w:t>
            </w:r>
            <w:r w:rsidR="00927002" w:rsidRPr="00927002">
              <w:t> </w:t>
            </w:r>
            <w:r w:rsidRPr="00927002">
              <w:t>713</w:t>
            </w:r>
          </w:p>
        </w:tc>
      </w:tr>
      <w:tr w:rsidR="00A25E7E" w:rsidRPr="00927002" w14:paraId="7A88F109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FBD842" w14:textId="77777777" w:rsidR="00A25E7E" w:rsidRPr="00927002" w:rsidRDefault="00A25E7E" w:rsidP="00D37A41">
            <w:pPr>
              <w:pStyle w:val="Tabletext"/>
            </w:pPr>
            <w:r w:rsidRPr="00927002">
              <w:t>APS 6.04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A4421A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88CF63" w14:textId="77777777" w:rsidR="00A25E7E" w:rsidRPr="00927002" w:rsidRDefault="00A25E7E" w:rsidP="00D37A41">
            <w:pPr>
              <w:pStyle w:val="Tabletext"/>
            </w:pPr>
            <w:r w:rsidRPr="00927002">
              <w:t>91</w:t>
            </w:r>
            <w:r w:rsidR="00927002" w:rsidRPr="00927002">
              <w:t> </w:t>
            </w:r>
            <w:r w:rsidRPr="00927002">
              <w:t>519</w:t>
            </w:r>
          </w:p>
        </w:tc>
      </w:tr>
      <w:tr w:rsidR="00A25E7E" w:rsidRPr="00927002" w14:paraId="2B0BCCF4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93F202" w14:textId="77777777" w:rsidR="00A25E7E" w:rsidRPr="00927002" w:rsidRDefault="00A25E7E" w:rsidP="00D37A41">
            <w:pPr>
              <w:pStyle w:val="Tabletext"/>
            </w:pPr>
            <w:r w:rsidRPr="00927002">
              <w:t>APS 6.03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B82DCA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C169FD" w14:textId="77777777" w:rsidR="00A25E7E" w:rsidRPr="00927002" w:rsidRDefault="00A25E7E" w:rsidP="00D37A41">
            <w:pPr>
              <w:pStyle w:val="Tabletext"/>
            </w:pPr>
            <w:r w:rsidRPr="00927002">
              <w:t>89</w:t>
            </w:r>
            <w:r w:rsidR="00927002" w:rsidRPr="00927002">
              <w:t> </w:t>
            </w:r>
            <w:r w:rsidRPr="00927002">
              <w:t>007</w:t>
            </w:r>
          </w:p>
        </w:tc>
      </w:tr>
      <w:tr w:rsidR="002804A8" w:rsidRPr="00927002" w14:paraId="04389631" w14:textId="77777777" w:rsidTr="002804A8">
        <w:tc>
          <w:tcPr>
            <w:tcW w:w="8313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C26F66" w14:textId="77777777" w:rsidR="002804A8" w:rsidRPr="00927002" w:rsidRDefault="002804A8" w:rsidP="00D37A41">
            <w:pPr>
              <w:pStyle w:val="Tabletext"/>
            </w:pPr>
          </w:p>
        </w:tc>
      </w:tr>
      <w:tr w:rsidR="00A25E7E" w:rsidRPr="00927002" w14:paraId="205EEA2D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E68C47" w14:textId="77777777" w:rsidR="00A25E7E" w:rsidRPr="00927002" w:rsidRDefault="00A25E7E" w:rsidP="00D37A41">
            <w:pPr>
              <w:pStyle w:val="Tabletext"/>
            </w:pPr>
            <w:r w:rsidRPr="00927002">
              <w:t>APS 5.04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A0354A" w14:textId="77777777" w:rsidR="00A25E7E" w:rsidRPr="00927002" w:rsidRDefault="00A25E7E" w:rsidP="00D37A41">
            <w:pPr>
              <w:pStyle w:val="Tabletext"/>
            </w:pPr>
            <w:r w:rsidRPr="00927002">
              <w:t>VO1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294C3F" w14:textId="77777777" w:rsidR="00A25E7E" w:rsidRPr="00927002" w:rsidRDefault="00A25E7E" w:rsidP="00D37A41">
            <w:pPr>
              <w:pStyle w:val="Tabletext"/>
            </w:pPr>
            <w:r w:rsidRPr="00927002">
              <w:t>79</w:t>
            </w:r>
            <w:r w:rsidR="00927002" w:rsidRPr="00927002">
              <w:t> </w:t>
            </w:r>
            <w:r w:rsidRPr="00927002">
              <w:t>206</w:t>
            </w:r>
          </w:p>
        </w:tc>
      </w:tr>
      <w:tr w:rsidR="00A25E7E" w:rsidRPr="00927002" w14:paraId="11CD1566" w14:textId="77777777" w:rsidTr="00D37A41">
        <w:tc>
          <w:tcPr>
            <w:tcW w:w="32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4A794A" w14:textId="77777777" w:rsidR="00A25E7E" w:rsidRPr="00927002" w:rsidRDefault="00A25E7E" w:rsidP="00D37A41">
            <w:pPr>
              <w:pStyle w:val="Tabletext"/>
            </w:pPr>
            <w:r w:rsidRPr="00927002">
              <w:t>APS 5.03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1C0DE2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4D76A3" w14:textId="77777777" w:rsidR="00A25E7E" w:rsidRPr="00927002" w:rsidRDefault="00A25E7E" w:rsidP="00D37A41">
            <w:pPr>
              <w:pStyle w:val="Tabletext"/>
            </w:pPr>
            <w:r w:rsidRPr="00927002">
              <w:t>77</w:t>
            </w:r>
            <w:r w:rsidR="00927002" w:rsidRPr="00927002">
              <w:t> </w:t>
            </w:r>
            <w:r w:rsidRPr="00927002">
              <w:t>483</w:t>
            </w:r>
          </w:p>
        </w:tc>
      </w:tr>
      <w:tr w:rsidR="00A25E7E" w:rsidRPr="00927002" w14:paraId="42285D02" w14:textId="77777777" w:rsidTr="00D37A41">
        <w:tc>
          <w:tcPr>
            <w:tcW w:w="32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A96CA" w14:textId="77777777" w:rsidR="00A25E7E" w:rsidRPr="00927002" w:rsidRDefault="00A25E7E" w:rsidP="00D37A41">
            <w:pPr>
              <w:pStyle w:val="Tabletext"/>
            </w:pPr>
            <w:r w:rsidRPr="00927002">
              <w:t>APS 5.02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787B8" w14:textId="77777777" w:rsidR="00A25E7E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E6A7E" w14:textId="77777777" w:rsidR="00A25E7E" w:rsidRPr="00927002" w:rsidRDefault="00A25E7E" w:rsidP="00D37A41">
            <w:pPr>
              <w:pStyle w:val="Tabletext"/>
            </w:pPr>
            <w:r w:rsidRPr="00927002">
              <w:t>75</w:t>
            </w:r>
            <w:r w:rsidR="00927002" w:rsidRPr="00927002">
              <w:t> </w:t>
            </w:r>
            <w:r w:rsidRPr="00927002">
              <w:t>396</w:t>
            </w:r>
          </w:p>
        </w:tc>
      </w:tr>
    </w:tbl>
    <w:p w14:paraId="2184EBAC" w14:textId="77777777" w:rsidR="00F868CC" w:rsidRPr="00927002" w:rsidRDefault="00F868CC" w:rsidP="00F868CC">
      <w:pPr>
        <w:pStyle w:val="subsection"/>
      </w:pPr>
      <w:r w:rsidRPr="00927002">
        <w:tab/>
        <w:t>(8)</w:t>
      </w:r>
      <w:r w:rsidRPr="00927002">
        <w:tab/>
      </w:r>
      <w:r w:rsidR="00C40B30" w:rsidRPr="00927002">
        <w:t xml:space="preserve">For the purposes of </w:t>
      </w:r>
      <w:r w:rsidR="00927002" w:rsidRPr="00927002">
        <w:t>paragraph (</w:t>
      </w:r>
      <w:r w:rsidR="00CF4A81" w:rsidRPr="00927002">
        <w:t xml:space="preserve">2)(d) and </w:t>
      </w:r>
      <w:r w:rsidR="00927002" w:rsidRPr="00927002">
        <w:t>subsection (</w:t>
      </w:r>
      <w:r w:rsidR="00CF4A81" w:rsidRPr="00927002">
        <w:t>4), t</w:t>
      </w:r>
      <w:r w:rsidRPr="00927002">
        <w:t xml:space="preserve">he DAWR Agreement has effect as if table 5 </w:t>
      </w:r>
      <w:r w:rsidR="00511879" w:rsidRPr="00927002">
        <w:t>in</w:t>
      </w:r>
      <w:r w:rsidRPr="00927002">
        <w:t xml:space="preserve"> Schedule</w:t>
      </w:r>
      <w:r w:rsidR="00927002" w:rsidRPr="00927002">
        <w:t> </w:t>
      </w:r>
      <w:r w:rsidRPr="00927002">
        <w:t>1</w:t>
      </w:r>
      <w:r w:rsidR="00D0403E" w:rsidRPr="00927002">
        <w:t xml:space="preserve"> </w:t>
      </w:r>
      <w:r w:rsidR="00511879" w:rsidRPr="00927002">
        <w:t>to</w:t>
      </w:r>
      <w:r w:rsidR="00D0403E" w:rsidRPr="00927002">
        <w:t xml:space="preserve"> the DAWR Agreement</w:t>
      </w:r>
      <w:r w:rsidRPr="00927002">
        <w:t xml:space="preserve"> (on</w:t>
      </w:r>
      <w:r w:rsidR="001868E5">
        <w:noBreakHyphen/>
      </w:r>
      <w:r w:rsidR="00AA113E" w:rsidRPr="00927002">
        <w:t>plant veterinarian induction</w:t>
      </w:r>
      <w:r w:rsidR="00A0528E" w:rsidRPr="00927002">
        <w:t xml:space="preserve"> salaries</w:t>
      </w:r>
      <w:r w:rsidRPr="00927002">
        <w:t xml:space="preserve">) were omitted and substituted with the </w:t>
      </w:r>
      <w:r w:rsidR="000D5669" w:rsidRPr="00927002">
        <w:t xml:space="preserve">following </w:t>
      </w:r>
      <w:r w:rsidRPr="00927002">
        <w:t>updated t</w:t>
      </w:r>
      <w:r w:rsidR="000D5669" w:rsidRPr="00927002">
        <w:t>able</w:t>
      </w:r>
      <w:r w:rsidRPr="00927002">
        <w:t>.</w:t>
      </w:r>
    </w:p>
    <w:p w14:paraId="0351E614" w14:textId="77777777" w:rsidR="006321DB" w:rsidRPr="00927002" w:rsidRDefault="006321DB" w:rsidP="006321D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6"/>
        <w:gridCol w:w="4156"/>
      </w:tblGrid>
      <w:tr w:rsidR="006321DB" w:rsidRPr="00927002" w14:paraId="6DF1E6E3" w14:textId="77777777" w:rsidTr="00D37A41">
        <w:trPr>
          <w:tblHeader/>
        </w:trPr>
        <w:tc>
          <w:tcPr>
            <w:tcW w:w="83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F43067" w14:textId="77777777" w:rsidR="006321DB" w:rsidRPr="00927002" w:rsidRDefault="006321DB" w:rsidP="00511879">
            <w:pPr>
              <w:pStyle w:val="TableHeading"/>
            </w:pPr>
            <w:r w:rsidRPr="00927002">
              <w:t xml:space="preserve">Updated table 5 </w:t>
            </w:r>
            <w:r w:rsidR="00511879" w:rsidRPr="00927002">
              <w:t>in</w:t>
            </w:r>
            <w:r w:rsidRPr="00927002">
              <w:t xml:space="preserve"> Schedule</w:t>
            </w:r>
            <w:r w:rsidR="00927002" w:rsidRPr="00927002">
              <w:t> </w:t>
            </w:r>
            <w:r w:rsidRPr="00927002">
              <w:t>1</w:t>
            </w:r>
            <w:r w:rsidR="001710A8" w:rsidRPr="00927002">
              <w:t xml:space="preserve"> </w:t>
            </w:r>
            <w:r w:rsidR="00511879" w:rsidRPr="00927002">
              <w:t>to</w:t>
            </w:r>
            <w:r w:rsidR="001710A8" w:rsidRPr="00927002">
              <w:t xml:space="preserve"> the DAWR Agreement </w:t>
            </w:r>
            <w:r w:rsidRPr="00927002">
              <w:t>(</w:t>
            </w:r>
            <w:r w:rsidR="00E069E4" w:rsidRPr="00927002">
              <w:t>o</w:t>
            </w:r>
            <w:r w:rsidRPr="00927002">
              <w:t>n</w:t>
            </w:r>
            <w:r w:rsidR="001868E5">
              <w:noBreakHyphen/>
            </w:r>
            <w:r w:rsidRPr="00927002">
              <w:t>plant veterinarian induction</w:t>
            </w:r>
            <w:r w:rsidR="00A0528E" w:rsidRPr="00927002">
              <w:t xml:space="preserve"> salaries</w:t>
            </w:r>
            <w:r w:rsidRPr="00927002">
              <w:t>)</w:t>
            </w:r>
            <w:r w:rsidR="006354A7" w:rsidRPr="00927002">
              <w:t xml:space="preserve"> being included in DEE Agreement</w:t>
            </w:r>
          </w:p>
        </w:tc>
      </w:tr>
      <w:tr w:rsidR="006321DB" w:rsidRPr="00927002" w14:paraId="7D6AD0BD" w14:textId="77777777" w:rsidTr="00D37A41">
        <w:trPr>
          <w:tblHeader/>
        </w:trPr>
        <w:tc>
          <w:tcPr>
            <w:tcW w:w="41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3392F7" w14:textId="77777777" w:rsidR="006321DB" w:rsidRPr="00927002" w:rsidRDefault="006321DB" w:rsidP="00D37A41">
            <w:pPr>
              <w:pStyle w:val="TableHeading"/>
            </w:pPr>
            <w:r w:rsidRPr="00927002">
              <w:t>Column 1</w:t>
            </w:r>
          </w:p>
          <w:p w14:paraId="7999FB59" w14:textId="77777777" w:rsidR="006321DB" w:rsidRPr="00927002" w:rsidRDefault="006321DB" w:rsidP="00D37A41">
            <w:pPr>
              <w:pStyle w:val="TableHeading"/>
            </w:pPr>
            <w:r w:rsidRPr="00927002">
              <w:t>APS classification &amp; pay point</w:t>
            </w:r>
          </w:p>
        </w:tc>
        <w:tc>
          <w:tcPr>
            <w:tcW w:w="41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4C7BA5" w14:textId="77777777" w:rsidR="006321DB" w:rsidRPr="00927002" w:rsidRDefault="006321DB" w:rsidP="00D37A41">
            <w:pPr>
              <w:pStyle w:val="TableHeading"/>
            </w:pPr>
            <w:r w:rsidRPr="00927002">
              <w:t>Column 2</w:t>
            </w:r>
          </w:p>
          <w:p w14:paraId="48303B96" w14:textId="77777777" w:rsidR="006321DB" w:rsidRPr="00927002" w:rsidRDefault="006321DB" w:rsidP="00D37A41">
            <w:pPr>
              <w:pStyle w:val="TableHeading"/>
            </w:pPr>
            <w:r w:rsidRPr="00927002">
              <w:t>Salary</w:t>
            </w:r>
          </w:p>
        </w:tc>
      </w:tr>
      <w:tr w:rsidR="006321DB" w:rsidRPr="00927002" w14:paraId="7B4B686C" w14:textId="77777777" w:rsidTr="00D37A41">
        <w:tc>
          <w:tcPr>
            <w:tcW w:w="41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D6EE68" w14:textId="77777777" w:rsidR="006321DB" w:rsidRPr="00927002" w:rsidRDefault="006321DB" w:rsidP="00D37A41">
            <w:pPr>
              <w:pStyle w:val="Tabletext"/>
            </w:pPr>
            <w:r w:rsidRPr="00927002">
              <w:t>APS 6.08</w:t>
            </w:r>
          </w:p>
        </w:tc>
        <w:tc>
          <w:tcPr>
            <w:tcW w:w="41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84B61E" w14:textId="77777777" w:rsidR="006321DB" w:rsidRPr="00927002" w:rsidRDefault="006321DB" w:rsidP="00D37A41">
            <w:pPr>
              <w:pStyle w:val="Tabletext"/>
            </w:pPr>
            <w:r w:rsidRPr="00927002">
              <w:t>116</w:t>
            </w:r>
            <w:r w:rsidR="00927002" w:rsidRPr="00927002">
              <w:t> </w:t>
            </w:r>
            <w:r w:rsidRPr="00927002">
              <w:t>282</w:t>
            </w:r>
          </w:p>
        </w:tc>
      </w:tr>
      <w:tr w:rsidR="006321DB" w:rsidRPr="00927002" w14:paraId="77443E6E" w14:textId="77777777" w:rsidTr="00D37A41">
        <w:tc>
          <w:tcPr>
            <w:tcW w:w="4156" w:type="dxa"/>
            <w:shd w:val="clear" w:color="auto" w:fill="auto"/>
            <w:vAlign w:val="center"/>
          </w:tcPr>
          <w:p w14:paraId="16F1FB09" w14:textId="77777777" w:rsidR="006321DB" w:rsidRPr="00927002" w:rsidRDefault="006321DB" w:rsidP="00D37A41">
            <w:pPr>
              <w:pStyle w:val="Tabletext"/>
            </w:pPr>
            <w:r w:rsidRPr="00927002">
              <w:t>APS 6.07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5C384F3A" w14:textId="77777777" w:rsidR="006321DB" w:rsidRPr="00927002" w:rsidRDefault="006321DB" w:rsidP="00D37A41">
            <w:pPr>
              <w:pStyle w:val="Tabletext"/>
            </w:pPr>
            <w:r w:rsidRPr="00927002">
              <w:t>107</w:t>
            </w:r>
            <w:r w:rsidR="00927002" w:rsidRPr="00927002">
              <w:t> </w:t>
            </w:r>
            <w:r w:rsidRPr="00927002">
              <w:t>187</w:t>
            </w:r>
          </w:p>
        </w:tc>
      </w:tr>
      <w:tr w:rsidR="006321DB" w:rsidRPr="00927002" w14:paraId="05048A72" w14:textId="77777777" w:rsidTr="00D37A41">
        <w:tc>
          <w:tcPr>
            <w:tcW w:w="41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1C046A" w14:textId="77777777" w:rsidR="006321DB" w:rsidRPr="00927002" w:rsidRDefault="006321DB" w:rsidP="00D37A41">
            <w:pPr>
              <w:pStyle w:val="Tabletext"/>
            </w:pPr>
            <w:r w:rsidRPr="00927002">
              <w:t>APS 6.06</w:t>
            </w:r>
          </w:p>
        </w:tc>
        <w:tc>
          <w:tcPr>
            <w:tcW w:w="41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E21321" w14:textId="77777777" w:rsidR="006321DB" w:rsidRPr="00927002" w:rsidRDefault="006321DB" w:rsidP="00D37A41">
            <w:pPr>
              <w:pStyle w:val="Tabletext"/>
            </w:pPr>
            <w:r w:rsidRPr="00927002">
              <w:t>98</w:t>
            </w:r>
            <w:r w:rsidR="00927002" w:rsidRPr="00927002">
              <w:t> </w:t>
            </w:r>
            <w:r w:rsidRPr="00927002">
              <w:t>052</w:t>
            </w:r>
          </w:p>
        </w:tc>
      </w:tr>
      <w:tr w:rsidR="002804A8" w:rsidRPr="00927002" w14:paraId="20768643" w14:textId="77777777" w:rsidTr="002804A8">
        <w:tc>
          <w:tcPr>
            <w:tcW w:w="8312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3FE666" w14:textId="77777777" w:rsidR="002804A8" w:rsidRPr="00927002" w:rsidRDefault="002804A8" w:rsidP="00D37A41">
            <w:pPr>
              <w:pStyle w:val="Tabletext"/>
            </w:pPr>
          </w:p>
        </w:tc>
      </w:tr>
      <w:tr w:rsidR="006321DB" w:rsidRPr="00927002" w14:paraId="66D254B2" w14:textId="77777777" w:rsidTr="00D37A41">
        <w:tc>
          <w:tcPr>
            <w:tcW w:w="41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97C72" w14:textId="77777777" w:rsidR="006321DB" w:rsidRPr="00927002" w:rsidRDefault="006321DB" w:rsidP="00D37A41">
            <w:pPr>
              <w:pStyle w:val="Tabletext"/>
            </w:pPr>
            <w:r w:rsidRPr="00927002">
              <w:t>OPV induction point</w:t>
            </w:r>
          </w:p>
        </w:tc>
        <w:tc>
          <w:tcPr>
            <w:tcW w:w="41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825E3" w14:textId="77777777" w:rsidR="006321DB" w:rsidRPr="00927002" w:rsidRDefault="006321DB" w:rsidP="00D37A41">
            <w:pPr>
              <w:pStyle w:val="Tabletext"/>
            </w:pPr>
            <w:r w:rsidRPr="00927002">
              <w:t>71</w:t>
            </w:r>
            <w:r w:rsidR="00927002" w:rsidRPr="00927002">
              <w:t> </w:t>
            </w:r>
            <w:r w:rsidRPr="00927002">
              <w:t>071</w:t>
            </w:r>
          </w:p>
        </w:tc>
      </w:tr>
    </w:tbl>
    <w:p w14:paraId="2E082BB3" w14:textId="77777777" w:rsidR="005E3156" w:rsidRPr="00927002" w:rsidRDefault="005E3156" w:rsidP="005E3156">
      <w:pPr>
        <w:pStyle w:val="subsection"/>
      </w:pPr>
      <w:r w:rsidRPr="00927002">
        <w:lastRenderedPageBreak/>
        <w:tab/>
        <w:t>(9)</w:t>
      </w:r>
      <w:r w:rsidRPr="00927002">
        <w:tab/>
        <w:t xml:space="preserve">For the purposes of </w:t>
      </w:r>
      <w:r w:rsidR="00927002" w:rsidRPr="00927002">
        <w:t>paragraph (</w:t>
      </w:r>
      <w:r w:rsidRPr="00927002">
        <w:t xml:space="preserve">2)(d) and </w:t>
      </w:r>
      <w:r w:rsidR="00927002" w:rsidRPr="00927002">
        <w:t>subsection (</w:t>
      </w:r>
      <w:r w:rsidRPr="00927002">
        <w:t xml:space="preserve">4), the DAWR Agreement has effect as if table 1 </w:t>
      </w:r>
      <w:r w:rsidR="00511879" w:rsidRPr="00927002">
        <w:t>in</w:t>
      </w:r>
      <w:r w:rsidRPr="00927002">
        <w:t xml:space="preserve"> Schedule</w:t>
      </w:r>
      <w:r w:rsidR="00927002" w:rsidRPr="00927002">
        <w:t> </w:t>
      </w:r>
      <w:r w:rsidRPr="00927002">
        <w:t xml:space="preserve">2 </w:t>
      </w:r>
      <w:r w:rsidR="00511879" w:rsidRPr="00927002">
        <w:t>to</w:t>
      </w:r>
      <w:r w:rsidRPr="00927002">
        <w:t xml:space="preserve"> the DAWR Agreement (</w:t>
      </w:r>
      <w:r w:rsidR="00C44A82" w:rsidRPr="00927002">
        <w:t>previous</w:t>
      </w:r>
      <w:r w:rsidRPr="00927002">
        <w:t xml:space="preserve"> veterinarian </w:t>
      </w:r>
      <w:r w:rsidR="00C44A82" w:rsidRPr="00927002">
        <w:t>structure</w:t>
      </w:r>
      <w:r w:rsidRPr="00927002">
        <w:t>) were omitted and substituted with the following updated table.</w:t>
      </w:r>
    </w:p>
    <w:p w14:paraId="0A812F3F" w14:textId="77777777" w:rsidR="005E3156" w:rsidRPr="00927002" w:rsidRDefault="005E3156" w:rsidP="005E315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976"/>
        <w:gridCol w:w="2081"/>
      </w:tblGrid>
      <w:tr w:rsidR="005E3156" w:rsidRPr="00927002" w14:paraId="6DEC01F1" w14:textId="77777777" w:rsidTr="00345CF3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FE46BA" w14:textId="77777777" w:rsidR="005E3156" w:rsidRPr="00927002" w:rsidRDefault="005E3156" w:rsidP="00511879">
            <w:pPr>
              <w:pStyle w:val="TableHeading"/>
            </w:pPr>
            <w:r w:rsidRPr="00927002">
              <w:t xml:space="preserve">Updated table 1 </w:t>
            </w:r>
            <w:r w:rsidR="00511879" w:rsidRPr="00927002">
              <w:t>in</w:t>
            </w:r>
            <w:r w:rsidRPr="00927002">
              <w:t xml:space="preserve"> Schedule</w:t>
            </w:r>
            <w:r w:rsidR="00927002" w:rsidRPr="00927002">
              <w:t> </w:t>
            </w:r>
            <w:r w:rsidRPr="00927002">
              <w:t xml:space="preserve">2 </w:t>
            </w:r>
            <w:r w:rsidR="00511879" w:rsidRPr="00927002">
              <w:t>to</w:t>
            </w:r>
            <w:r w:rsidRPr="00927002">
              <w:t xml:space="preserve"> the DAWR Agreement (</w:t>
            </w:r>
            <w:r w:rsidR="00E069E4" w:rsidRPr="00927002">
              <w:t>p</w:t>
            </w:r>
            <w:r w:rsidRPr="00927002">
              <w:t>revious veterinarian structure) being included in DEE Agreement</w:t>
            </w:r>
          </w:p>
        </w:tc>
      </w:tr>
      <w:tr w:rsidR="005E3156" w:rsidRPr="00927002" w14:paraId="286E022C" w14:textId="77777777" w:rsidTr="00345CF3">
        <w:trPr>
          <w:tblHeader/>
        </w:trPr>
        <w:tc>
          <w:tcPr>
            <w:tcW w:w="32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13797C" w14:textId="77777777" w:rsidR="005E3156" w:rsidRPr="00927002" w:rsidRDefault="005E3156" w:rsidP="00D37A41">
            <w:pPr>
              <w:pStyle w:val="TableHeading"/>
            </w:pPr>
            <w:r w:rsidRPr="00927002">
              <w:t>Column 1</w:t>
            </w:r>
          </w:p>
          <w:p w14:paraId="10283223" w14:textId="77777777" w:rsidR="005E3156" w:rsidRPr="00927002" w:rsidRDefault="005E3156" w:rsidP="00D37A41">
            <w:pPr>
              <w:pStyle w:val="TableHeading"/>
            </w:pPr>
            <w:r w:rsidRPr="00927002">
              <w:t>APS classification &amp; pay point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182302" w14:textId="77777777" w:rsidR="005E3156" w:rsidRPr="00927002" w:rsidRDefault="005E3156" w:rsidP="00D37A41">
            <w:pPr>
              <w:pStyle w:val="TableHeading"/>
            </w:pPr>
            <w:r w:rsidRPr="00927002">
              <w:t>Column 2</w:t>
            </w:r>
          </w:p>
          <w:p w14:paraId="4603E9B4" w14:textId="77777777" w:rsidR="005E3156" w:rsidRPr="00927002" w:rsidRDefault="005E3156" w:rsidP="00D37A41">
            <w:pPr>
              <w:pStyle w:val="TableHeading"/>
            </w:pPr>
            <w:r w:rsidRPr="00927002">
              <w:t>Local designation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298079" w14:textId="77777777" w:rsidR="005E3156" w:rsidRPr="00927002" w:rsidRDefault="005E3156" w:rsidP="00D37A41">
            <w:pPr>
              <w:pStyle w:val="TableHeading"/>
            </w:pPr>
            <w:r w:rsidRPr="00927002">
              <w:t>Column 3</w:t>
            </w:r>
          </w:p>
          <w:p w14:paraId="163272E2" w14:textId="77777777" w:rsidR="005E3156" w:rsidRPr="00927002" w:rsidRDefault="005E3156" w:rsidP="00D37A41">
            <w:pPr>
              <w:pStyle w:val="TableHeading"/>
            </w:pPr>
            <w:r w:rsidRPr="00927002">
              <w:t>Salary</w:t>
            </w:r>
          </w:p>
        </w:tc>
      </w:tr>
      <w:tr w:rsidR="00345CF3" w:rsidRPr="00927002" w14:paraId="462146FF" w14:textId="77777777" w:rsidTr="00345CF3">
        <w:tc>
          <w:tcPr>
            <w:tcW w:w="32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56230F" w14:textId="77777777" w:rsidR="00345CF3" w:rsidRPr="00927002" w:rsidRDefault="00345CF3" w:rsidP="00D37A41">
            <w:pPr>
              <w:pStyle w:val="Tabletext"/>
            </w:pPr>
            <w:r w:rsidRPr="00927002">
              <w:t>EL 2.06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8BBE75" w14:textId="77777777" w:rsidR="00345CF3" w:rsidRPr="00927002" w:rsidRDefault="00927002" w:rsidP="00D37A41">
            <w:pPr>
              <w:pStyle w:val="Tabletext"/>
            </w:pPr>
            <w:r w:rsidRPr="00927002">
              <w:t xml:space="preserve"> </w:t>
            </w:r>
            <w:r w:rsidR="00345CF3" w:rsidRPr="00927002">
              <w:t>V03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165755" w14:textId="77777777" w:rsidR="00345CF3" w:rsidRPr="00927002" w:rsidRDefault="00345CF3" w:rsidP="00D37A41">
            <w:pPr>
              <w:pStyle w:val="Tabletext"/>
            </w:pPr>
            <w:r w:rsidRPr="00927002">
              <w:t>136</w:t>
            </w:r>
            <w:r w:rsidR="00927002" w:rsidRPr="00927002">
              <w:t> </w:t>
            </w:r>
            <w:r w:rsidRPr="00927002">
              <w:t>655</w:t>
            </w:r>
          </w:p>
        </w:tc>
      </w:tr>
      <w:tr w:rsidR="00345CF3" w:rsidRPr="00927002" w14:paraId="6D2A2AFD" w14:textId="77777777" w:rsidTr="00345CF3">
        <w:tc>
          <w:tcPr>
            <w:tcW w:w="3256" w:type="dxa"/>
            <w:shd w:val="clear" w:color="auto" w:fill="auto"/>
            <w:vAlign w:val="center"/>
          </w:tcPr>
          <w:p w14:paraId="05AD8CDE" w14:textId="77777777" w:rsidR="00345CF3" w:rsidRPr="00927002" w:rsidRDefault="00345CF3" w:rsidP="00D37A41">
            <w:pPr>
              <w:pStyle w:val="Tabletext"/>
            </w:pPr>
            <w:r w:rsidRPr="00927002">
              <w:t>EL 2.05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01C729" w14:textId="77777777" w:rsidR="00345CF3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4257AB" w14:textId="77777777" w:rsidR="00345CF3" w:rsidRPr="00927002" w:rsidRDefault="00345CF3" w:rsidP="00D37A41">
            <w:pPr>
              <w:pStyle w:val="Tabletext"/>
            </w:pPr>
            <w:r w:rsidRPr="00927002">
              <w:t>135</w:t>
            </w:r>
            <w:r w:rsidR="00927002" w:rsidRPr="00927002">
              <w:t> </w:t>
            </w:r>
            <w:r w:rsidRPr="00927002">
              <w:t>400</w:t>
            </w:r>
          </w:p>
        </w:tc>
      </w:tr>
      <w:tr w:rsidR="00345CF3" w:rsidRPr="00927002" w14:paraId="7495BC04" w14:textId="77777777" w:rsidTr="00345CF3">
        <w:tc>
          <w:tcPr>
            <w:tcW w:w="3256" w:type="dxa"/>
            <w:shd w:val="clear" w:color="auto" w:fill="auto"/>
            <w:vAlign w:val="center"/>
          </w:tcPr>
          <w:p w14:paraId="05C00D05" w14:textId="77777777" w:rsidR="00345CF3" w:rsidRPr="00927002" w:rsidRDefault="00345CF3" w:rsidP="00D37A41">
            <w:pPr>
              <w:pStyle w:val="Tabletext"/>
            </w:pPr>
            <w:r w:rsidRPr="00927002">
              <w:t>EL 2.04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C03BE1" w14:textId="77777777" w:rsidR="00345CF3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0C5F004" w14:textId="77777777" w:rsidR="00345CF3" w:rsidRPr="00927002" w:rsidRDefault="00345CF3" w:rsidP="00D37A41">
            <w:pPr>
              <w:pStyle w:val="Tabletext"/>
            </w:pPr>
            <w:r w:rsidRPr="00927002">
              <w:t>131</w:t>
            </w:r>
            <w:r w:rsidR="00927002" w:rsidRPr="00927002">
              <w:t> </w:t>
            </w:r>
            <w:r w:rsidRPr="00927002">
              <w:t>326</w:t>
            </w:r>
          </w:p>
        </w:tc>
      </w:tr>
      <w:tr w:rsidR="005E3156" w:rsidRPr="00927002" w14:paraId="16FA25CB" w14:textId="77777777" w:rsidTr="00345CF3">
        <w:tc>
          <w:tcPr>
            <w:tcW w:w="3256" w:type="dxa"/>
            <w:shd w:val="clear" w:color="auto" w:fill="auto"/>
            <w:vAlign w:val="center"/>
          </w:tcPr>
          <w:p w14:paraId="2F5ADB51" w14:textId="77777777" w:rsidR="005E3156" w:rsidRPr="00927002" w:rsidRDefault="00345CF3" w:rsidP="00D37A41">
            <w:pPr>
              <w:pStyle w:val="Tabletext"/>
            </w:pPr>
            <w:r w:rsidRPr="00927002">
              <w:t>EL 2.03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9C81A0" w14:textId="77777777" w:rsidR="005E3156" w:rsidRPr="00927002" w:rsidRDefault="005E3156" w:rsidP="00D37A41">
            <w:pPr>
              <w:pStyle w:val="Tabletext"/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E25B0BD" w14:textId="77777777" w:rsidR="005E3156" w:rsidRPr="00927002" w:rsidRDefault="00345CF3" w:rsidP="00D37A41">
            <w:pPr>
              <w:pStyle w:val="Tabletext"/>
            </w:pPr>
            <w:r w:rsidRPr="00927002">
              <w:t>129</w:t>
            </w:r>
            <w:r w:rsidR="00927002" w:rsidRPr="00927002">
              <w:t> </w:t>
            </w:r>
            <w:r w:rsidRPr="00927002">
              <w:t>108</w:t>
            </w:r>
          </w:p>
        </w:tc>
      </w:tr>
      <w:tr w:rsidR="005E3156" w:rsidRPr="00927002" w14:paraId="09E564F5" w14:textId="77777777" w:rsidTr="00345CF3">
        <w:tc>
          <w:tcPr>
            <w:tcW w:w="32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889C23" w14:textId="77777777" w:rsidR="005E3156" w:rsidRPr="00927002" w:rsidRDefault="00345CF3" w:rsidP="00D37A41">
            <w:pPr>
              <w:pStyle w:val="Tabletext"/>
            </w:pPr>
            <w:r w:rsidRPr="00927002">
              <w:t>EL 2.02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DAB7D1" w14:textId="77777777" w:rsidR="005E3156" w:rsidRPr="00927002" w:rsidRDefault="00927002" w:rsidP="00D37A41">
            <w:pPr>
              <w:pStyle w:val="Tabletext"/>
            </w:pPr>
            <w:r w:rsidRPr="00927002">
              <w:t xml:space="preserve"> </w:t>
            </w:r>
          </w:p>
        </w:tc>
        <w:tc>
          <w:tcPr>
            <w:tcW w:w="20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CAA33E" w14:textId="77777777" w:rsidR="005E3156" w:rsidRPr="00927002" w:rsidRDefault="00345CF3" w:rsidP="00D37A41">
            <w:pPr>
              <w:pStyle w:val="Tabletext"/>
            </w:pPr>
            <w:r w:rsidRPr="00927002">
              <w:t>124</w:t>
            </w:r>
            <w:r w:rsidR="00927002" w:rsidRPr="00927002">
              <w:t> </w:t>
            </w:r>
            <w:r w:rsidRPr="00927002">
              <w:t>891</w:t>
            </w:r>
          </w:p>
        </w:tc>
      </w:tr>
      <w:tr w:rsidR="005E3156" w:rsidRPr="00927002" w14:paraId="1EE1FFDB" w14:textId="77777777" w:rsidTr="00345CF3">
        <w:tc>
          <w:tcPr>
            <w:tcW w:w="32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EBFE7" w14:textId="77777777" w:rsidR="005E3156" w:rsidRPr="00927002" w:rsidRDefault="00345CF3" w:rsidP="00D37A41">
            <w:pPr>
              <w:pStyle w:val="Tabletext"/>
            </w:pPr>
            <w:r w:rsidRPr="00927002">
              <w:t>EL 2.01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4E3E7" w14:textId="77777777" w:rsidR="005E3156" w:rsidRPr="00927002" w:rsidRDefault="005E3156" w:rsidP="00D37A41">
            <w:pPr>
              <w:pStyle w:val="Tabletext"/>
            </w:pPr>
          </w:p>
        </w:tc>
        <w:tc>
          <w:tcPr>
            <w:tcW w:w="20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7C660" w14:textId="77777777" w:rsidR="005E3156" w:rsidRPr="00927002" w:rsidRDefault="00345CF3" w:rsidP="00D37A41">
            <w:pPr>
              <w:pStyle w:val="Tabletext"/>
            </w:pPr>
            <w:r w:rsidRPr="00927002">
              <w:t>120</w:t>
            </w:r>
            <w:r w:rsidR="00927002" w:rsidRPr="00927002">
              <w:t> </w:t>
            </w:r>
            <w:r w:rsidRPr="00927002">
              <w:t>619</w:t>
            </w:r>
          </w:p>
        </w:tc>
      </w:tr>
    </w:tbl>
    <w:p w14:paraId="5F214A20" w14:textId="77777777" w:rsidR="00C56E36" w:rsidRPr="00927002" w:rsidRDefault="00C56E36" w:rsidP="00C56E36">
      <w:pPr>
        <w:pStyle w:val="SubsectionHead"/>
      </w:pPr>
      <w:r w:rsidRPr="00927002">
        <w:t>Cessation of pay and allowance rates</w:t>
      </w:r>
      <w:r w:rsidR="00CF170B" w:rsidRPr="00927002">
        <w:t xml:space="preserve"> under this </w:t>
      </w:r>
      <w:r w:rsidR="001868E5">
        <w:t>Part i</w:t>
      </w:r>
      <w:r w:rsidRPr="00927002">
        <w:t>f increased by a determination under subsection</w:t>
      </w:r>
      <w:r w:rsidR="00927002" w:rsidRPr="00927002">
        <w:t> </w:t>
      </w:r>
      <w:r w:rsidRPr="00927002">
        <w:t>24(1) of the Act</w:t>
      </w:r>
      <w:r w:rsidR="0053390C" w:rsidRPr="00927002">
        <w:t xml:space="preserve">—DEE Agreement </w:t>
      </w:r>
      <w:proofErr w:type="gramStart"/>
      <w:r w:rsidR="0053390C" w:rsidRPr="00927002">
        <w:t>provisions</w:t>
      </w:r>
      <w:proofErr w:type="gramEnd"/>
    </w:p>
    <w:p w14:paraId="1B25981A" w14:textId="77777777" w:rsidR="00B37496" w:rsidRPr="00927002" w:rsidRDefault="00D2570C" w:rsidP="00D2570C">
      <w:pPr>
        <w:pStyle w:val="subsection"/>
      </w:pPr>
      <w:r w:rsidRPr="00927002">
        <w:tab/>
        <w:t>(10)</w:t>
      </w:r>
      <w:r w:rsidRPr="00927002">
        <w:tab/>
        <w:t>If a determination under subsection</w:t>
      </w:r>
      <w:r w:rsidR="00927002" w:rsidRPr="00927002">
        <w:t> </w:t>
      </w:r>
      <w:r w:rsidRPr="00927002">
        <w:t>24(1) of the Act provides for an increased amount of salary for</w:t>
      </w:r>
      <w:r w:rsidR="007A06BD" w:rsidRPr="00927002">
        <w:t xml:space="preserve"> </w:t>
      </w:r>
      <w:r w:rsidRPr="00927002">
        <w:t xml:space="preserve">a classification set out in </w:t>
      </w:r>
      <w:r w:rsidR="00AC76B7" w:rsidRPr="00927002">
        <w:t xml:space="preserve">the table in </w:t>
      </w:r>
      <w:r w:rsidR="007A06BD" w:rsidRPr="00927002">
        <w:t>Schedule</w:t>
      </w:r>
      <w:r w:rsidR="00927002" w:rsidRPr="00927002">
        <w:t> </w:t>
      </w:r>
      <w:r w:rsidR="007A06BD" w:rsidRPr="00927002">
        <w:t xml:space="preserve">1 </w:t>
      </w:r>
      <w:r w:rsidR="00511879" w:rsidRPr="00927002">
        <w:t>to</w:t>
      </w:r>
      <w:r w:rsidR="007A06BD" w:rsidRPr="00927002">
        <w:t xml:space="preserve"> the DEE Agreement (classification structure and pay rates)</w:t>
      </w:r>
      <w:r w:rsidR="00B37496" w:rsidRPr="00927002">
        <w:t xml:space="preserve">, </w:t>
      </w:r>
      <w:r w:rsidR="007D6D48" w:rsidRPr="00927002">
        <w:t xml:space="preserve">the pay rate that applies under </w:t>
      </w:r>
      <w:r w:rsidR="00927002" w:rsidRPr="00927002">
        <w:t>paragraph (</w:t>
      </w:r>
      <w:r w:rsidR="007D6D48" w:rsidRPr="00927002">
        <w:t xml:space="preserve">3)(b) of this section for that classification </w:t>
      </w:r>
      <w:r w:rsidR="00B37496" w:rsidRPr="00927002">
        <w:t>cease</w:t>
      </w:r>
      <w:r w:rsidR="007D6D48" w:rsidRPr="00927002">
        <w:t>s</w:t>
      </w:r>
      <w:r w:rsidR="00B37496" w:rsidRPr="00927002">
        <w:t xml:space="preserve"> to have effect on the com</w:t>
      </w:r>
      <w:r w:rsidR="007D6D48" w:rsidRPr="00927002">
        <w:t>mencement of that determination.</w:t>
      </w:r>
    </w:p>
    <w:p w14:paraId="0C48D532" w14:textId="77777777" w:rsidR="00F42339" w:rsidRPr="00927002" w:rsidRDefault="00D2570C" w:rsidP="00D2570C">
      <w:pPr>
        <w:pStyle w:val="subsection"/>
      </w:pPr>
      <w:r w:rsidRPr="00927002">
        <w:tab/>
        <w:t>(11)</w:t>
      </w:r>
      <w:r w:rsidRPr="00927002">
        <w:tab/>
        <w:t>If a determination under subsection</w:t>
      </w:r>
      <w:r w:rsidR="00927002" w:rsidRPr="00927002">
        <w:t> </w:t>
      </w:r>
      <w:r w:rsidRPr="00927002">
        <w:t xml:space="preserve">24(1) of the Act provides for an increased amount of an allowance </w:t>
      </w:r>
      <w:r w:rsidR="00AC76B7" w:rsidRPr="00927002">
        <w:t xml:space="preserve">set out in </w:t>
      </w:r>
      <w:r w:rsidR="00F42339" w:rsidRPr="00927002">
        <w:t>the table in Schedule</w:t>
      </w:r>
      <w:r w:rsidR="00927002" w:rsidRPr="00927002">
        <w:t> </w:t>
      </w:r>
      <w:r w:rsidR="00F42339" w:rsidRPr="00927002">
        <w:t xml:space="preserve">2 </w:t>
      </w:r>
      <w:r w:rsidR="00511879" w:rsidRPr="00927002">
        <w:t>to</w:t>
      </w:r>
      <w:r w:rsidR="00F42339" w:rsidRPr="00927002">
        <w:t xml:space="preserve"> the DEE Agreement (allowances)</w:t>
      </w:r>
      <w:r w:rsidRPr="00927002">
        <w:t>,</w:t>
      </w:r>
      <w:r w:rsidR="00F42339" w:rsidRPr="00927002">
        <w:t xml:space="preserve"> </w:t>
      </w:r>
      <w:r w:rsidR="007D6D48" w:rsidRPr="00927002">
        <w:t xml:space="preserve">the allowance rate that applies under </w:t>
      </w:r>
      <w:r w:rsidR="00927002" w:rsidRPr="00927002">
        <w:t>paragraph (</w:t>
      </w:r>
      <w:r w:rsidR="007D6D48" w:rsidRPr="00927002">
        <w:t xml:space="preserve">3)(c) of this section for that allowance </w:t>
      </w:r>
      <w:r w:rsidR="00F42339" w:rsidRPr="00927002">
        <w:t>cease</w:t>
      </w:r>
      <w:r w:rsidR="007D6D48" w:rsidRPr="00927002">
        <w:t>s</w:t>
      </w:r>
      <w:r w:rsidR="00F42339" w:rsidRPr="00927002">
        <w:t xml:space="preserve"> to have effect on the com</w:t>
      </w:r>
      <w:r w:rsidR="007D6D48" w:rsidRPr="00927002">
        <w:t>mencement of that determination.</w:t>
      </w:r>
    </w:p>
    <w:p w14:paraId="61279808" w14:textId="77777777" w:rsidR="0053390C" w:rsidRPr="00927002" w:rsidRDefault="0053390C" w:rsidP="0053390C">
      <w:pPr>
        <w:pStyle w:val="SubsectionHead"/>
      </w:pPr>
      <w:r w:rsidRPr="00927002">
        <w:t xml:space="preserve">Cessation of salary rates under this </w:t>
      </w:r>
      <w:r w:rsidR="001868E5">
        <w:t>Part i</w:t>
      </w:r>
      <w:r w:rsidRPr="00927002">
        <w:t>f increased by a determination under subsection</w:t>
      </w:r>
      <w:r w:rsidR="00927002" w:rsidRPr="00927002">
        <w:t> </w:t>
      </w:r>
      <w:r w:rsidRPr="00927002">
        <w:t xml:space="preserve">24(1) of the Act—DAWR Agreement </w:t>
      </w:r>
      <w:proofErr w:type="gramStart"/>
      <w:r w:rsidRPr="00927002">
        <w:t>provisions</w:t>
      </w:r>
      <w:proofErr w:type="gramEnd"/>
    </w:p>
    <w:p w14:paraId="470065F0" w14:textId="77777777" w:rsidR="0053390C" w:rsidRPr="00927002" w:rsidRDefault="0053390C" w:rsidP="0053390C">
      <w:pPr>
        <w:pStyle w:val="subsection"/>
      </w:pPr>
      <w:r w:rsidRPr="00927002">
        <w:tab/>
        <w:t>(12)</w:t>
      </w:r>
      <w:r w:rsidRPr="00927002">
        <w:tab/>
        <w:t>If a determination under subsection</w:t>
      </w:r>
      <w:r w:rsidR="00927002" w:rsidRPr="00927002">
        <w:t> </w:t>
      </w:r>
      <w:r w:rsidRPr="00927002">
        <w:t xml:space="preserve">24(1) of the Act provides for an increased amount of salary for a classification set out in a table in </w:t>
      </w:r>
      <w:r w:rsidR="00927002" w:rsidRPr="00927002">
        <w:t>subsection (</w:t>
      </w:r>
      <w:r w:rsidRPr="00927002">
        <w:t xml:space="preserve">7), (8) or (9) of this section (veterinarian classifications and salaries), </w:t>
      </w:r>
      <w:r w:rsidR="00A22E17" w:rsidRPr="00927002">
        <w:t xml:space="preserve">the pay rate set out in that table for that classification </w:t>
      </w:r>
      <w:r w:rsidRPr="00927002">
        <w:t>cease</w:t>
      </w:r>
      <w:r w:rsidR="00A22E17" w:rsidRPr="00927002">
        <w:t>s</w:t>
      </w:r>
      <w:r w:rsidRPr="00927002">
        <w:t xml:space="preserve"> to have effect on the com</w:t>
      </w:r>
      <w:r w:rsidR="00A22E17" w:rsidRPr="00927002">
        <w:t>mencement of that determination.</w:t>
      </w:r>
    </w:p>
    <w:p w14:paraId="75538BC4" w14:textId="77777777" w:rsidR="003E3566" w:rsidRPr="00927002" w:rsidRDefault="00E41C0B" w:rsidP="003E3566">
      <w:pPr>
        <w:pStyle w:val="ActHead5"/>
      </w:pPr>
      <w:bookmarkStart w:id="10" w:name="_Toc31206276"/>
      <w:proofErr w:type="gramStart"/>
      <w:r w:rsidRPr="00EB7EF9">
        <w:rPr>
          <w:rStyle w:val="CharSectno"/>
        </w:rPr>
        <w:t>9</w:t>
      </w:r>
      <w:r w:rsidR="003E3566" w:rsidRPr="00927002">
        <w:t xml:space="preserve">  Procedure</w:t>
      </w:r>
      <w:proofErr w:type="gramEnd"/>
      <w:r w:rsidR="003E3566" w:rsidRPr="00927002">
        <w:t xml:space="preserve"> for dealing with disputes</w:t>
      </w:r>
      <w:bookmarkEnd w:id="10"/>
    </w:p>
    <w:p w14:paraId="2125C768" w14:textId="77777777" w:rsidR="003E3566" w:rsidRPr="00927002" w:rsidRDefault="003E3566" w:rsidP="003E3566">
      <w:pPr>
        <w:pStyle w:val="subsection"/>
      </w:pPr>
      <w:r w:rsidRPr="00927002">
        <w:tab/>
      </w:r>
      <w:r w:rsidRPr="00927002">
        <w:tab/>
        <w:t xml:space="preserve">For the avoidance of doubt, </w:t>
      </w:r>
      <w:r w:rsidR="00132B98" w:rsidRPr="00927002">
        <w:t>clauses</w:t>
      </w:r>
      <w:r w:rsidR="00927002" w:rsidRPr="00927002">
        <w:t> </w:t>
      </w:r>
      <w:r w:rsidR="004169A0" w:rsidRPr="00927002">
        <w:t>2</w:t>
      </w:r>
      <w:r w:rsidR="00132B98" w:rsidRPr="00927002">
        <w:t>.24 to 2.31</w:t>
      </w:r>
      <w:r w:rsidRPr="00927002">
        <w:t xml:space="preserve"> (</w:t>
      </w:r>
      <w:r w:rsidR="0023635C" w:rsidRPr="00927002">
        <w:t>resolution</w:t>
      </w:r>
      <w:r w:rsidR="00132B98" w:rsidRPr="00927002">
        <w:t xml:space="preserve"> of agreement disputes</w:t>
      </w:r>
      <w:r w:rsidRPr="00927002">
        <w:t xml:space="preserve">) of the </w:t>
      </w:r>
      <w:r w:rsidR="0046563B" w:rsidRPr="00927002">
        <w:t>DEE</w:t>
      </w:r>
      <w:r w:rsidRPr="00927002">
        <w:t xml:space="preserve"> </w:t>
      </w:r>
      <w:r w:rsidR="0063097F" w:rsidRPr="00927002">
        <w:t xml:space="preserve">(Biosecurity) </w:t>
      </w:r>
      <w:r w:rsidRPr="00927002">
        <w:t>Agreement:</w:t>
      </w:r>
    </w:p>
    <w:p w14:paraId="415F9528" w14:textId="77777777" w:rsidR="003E3566" w:rsidRPr="00927002" w:rsidRDefault="003E3566" w:rsidP="003E3566">
      <w:pPr>
        <w:pStyle w:val="paragraph"/>
      </w:pPr>
      <w:r w:rsidRPr="00927002">
        <w:tab/>
        <w:t>(a)</w:t>
      </w:r>
      <w:r w:rsidRPr="00927002">
        <w:tab/>
      </w:r>
      <w:r w:rsidR="00132B98" w:rsidRPr="00927002">
        <w:t xml:space="preserve">are </w:t>
      </w:r>
      <w:r w:rsidRPr="00927002">
        <w:t>term</w:t>
      </w:r>
      <w:r w:rsidR="00132B98" w:rsidRPr="00927002">
        <w:t>s</w:t>
      </w:r>
      <w:r w:rsidRPr="00927002">
        <w:t xml:space="preserve"> or condition</w:t>
      </w:r>
      <w:r w:rsidR="00132B98" w:rsidRPr="00927002">
        <w:t>s</w:t>
      </w:r>
      <w:r w:rsidRPr="00927002">
        <w:t xml:space="preserve"> of employment applying to an APS employee to which this </w:t>
      </w:r>
      <w:r w:rsidR="00BD0122" w:rsidRPr="00927002">
        <w:t>Part</w:t>
      </w:r>
      <w:r w:rsidRPr="00927002">
        <w:t xml:space="preserve"> applies; and</w:t>
      </w:r>
    </w:p>
    <w:p w14:paraId="0AE9F81A" w14:textId="77777777" w:rsidR="003E3566" w:rsidRPr="00927002" w:rsidRDefault="003E3566" w:rsidP="003E3566">
      <w:pPr>
        <w:pStyle w:val="paragraph"/>
      </w:pPr>
      <w:r w:rsidRPr="00927002">
        <w:tab/>
        <w:t>(b)</w:t>
      </w:r>
      <w:r w:rsidRPr="00927002">
        <w:tab/>
        <w:t>for the purposes of paragraph</w:t>
      </w:r>
      <w:r w:rsidR="00927002" w:rsidRPr="00927002">
        <w:t> </w:t>
      </w:r>
      <w:r w:rsidRPr="00927002">
        <w:t xml:space="preserve">738(d) of the </w:t>
      </w:r>
      <w:r w:rsidRPr="00927002">
        <w:rPr>
          <w:i/>
        </w:rPr>
        <w:t>Fair</w:t>
      </w:r>
      <w:r w:rsidRPr="00927002">
        <w:t xml:space="preserve"> </w:t>
      </w:r>
      <w:r w:rsidRPr="00927002">
        <w:rPr>
          <w:i/>
        </w:rPr>
        <w:t>Work Act 2009</w:t>
      </w:r>
      <w:r w:rsidRPr="00927002">
        <w:t xml:space="preserve">, </w:t>
      </w:r>
      <w:r w:rsidR="00132B98" w:rsidRPr="00927002">
        <w:t>are</w:t>
      </w:r>
      <w:r w:rsidR="00594BAD" w:rsidRPr="00927002">
        <w:t xml:space="preserve"> </w:t>
      </w:r>
      <w:r w:rsidRPr="00927002">
        <w:t>term</w:t>
      </w:r>
      <w:r w:rsidR="00132B98" w:rsidRPr="00927002">
        <w:t>s that provide</w:t>
      </w:r>
      <w:r w:rsidRPr="00927002">
        <w:t xml:space="preserve"> a procedure for dealing with disputes arising under this </w:t>
      </w:r>
      <w:r w:rsidR="00BD0122" w:rsidRPr="00927002">
        <w:t>Part</w:t>
      </w:r>
      <w:r w:rsidRPr="00927002">
        <w:t>.</w:t>
      </w:r>
    </w:p>
    <w:p w14:paraId="4CDFA562" w14:textId="77777777" w:rsidR="00DE5160" w:rsidRPr="00927002" w:rsidRDefault="00DE5160" w:rsidP="00DE5160">
      <w:pPr>
        <w:pStyle w:val="ActHead2"/>
        <w:pageBreakBefore/>
      </w:pPr>
      <w:bookmarkStart w:id="11" w:name="_Toc31206277"/>
      <w:r w:rsidRPr="00EB7EF9">
        <w:rPr>
          <w:rStyle w:val="CharPartNo"/>
        </w:rPr>
        <w:lastRenderedPageBreak/>
        <w:t>Part</w:t>
      </w:r>
      <w:r w:rsidR="00927002" w:rsidRPr="00EB7EF9">
        <w:rPr>
          <w:rStyle w:val="CharPartNo"/>
        </w:rPr>
        <w:t> </w:t>
      </w:r>
      <w:r w:rsidRPr="00EB7EF9">
        <w:rPr>
          <w:rStyle w:val="CharPartNo"/>
        </w:rPr>
        <w:t>3</w:t>
      </w:r>
      <w:r w:rsidRPr="00927002">
        <w:t>—</w:t>
      </w:r>
      <w:r w:rsidRPr="00EB7EF9">
        <w:rPr>
          <w:rStyle w:val="CharPartText"/>
        </w:rPr>
        <w:t>Veterinarian employees</w:t>
      </w:r>
      <w:r w:rsidR="00542DE8" w:rsidRPr="00EB7EF9">
        <w:rPr>
          <w:rStyle w:val="CharPartText"/>
        </w:rPr>
        <w:t xml:space="preserve"> </w:t>
      </w:r>
      <w:r w:rsidR="00D5483B" w:rsidRPr="00EB7EF9">
        <w:rPr>
          <w:rStyle w:val="CharPartText"/>
        </w:rPr>
        <w:t xml:space="preserve">who are not </w:t>
      </w:r>
      <w:r w:rsidR="00542DE8" w:rsidRPr="00EB7EF9">
        <w:rPr>
          <w:rStyle w:val="CharPartText"/>
        </w:rPr>
        <w:t xml:space="preserve">biosecurity </w:t>
      </w:r>
      <w:proofErr w:type="gramStart"/>
      <w:r w:rsidR="00542DE8" w:rsidRPr="00EB7EF9">
        <w:rPr>
          <w:rStyle w:val="CharPartText"/>
        </w:rPr>
        <w:t>employees</w:t>
      </w:r>
      <w:bookmarkEnd w:id="11"/>
      <w:proofErr w:type="gramEnd"/>
    </w:p>
    <w:p w14:paraId="3AD87353" w14:textId="77777777" w:rsidR="00DE5160" w:rsidRPr="00EB7EF9" w:rsidRDefault="00DE5160" w:rsidP="00DE5160">
      <w:pPr>
        <w:pStyle w:val="Header"/>
      </w:pPr>
      <w:r w:rsidRPr="00EB7EF9">
        <w:rPr>
          <w:rStyle w:val="CharDivNo"/>
        </w:rPr>
        <w:t xml:space="preserve"> </w:t>
      </w:r>
      <w:r w:rsidRPr="00EB7EF9">
        <w:rPr>
          <w:rStyle w:val="CharDivText"/>
        </w:rPr>
        <w:t xml:space="preserve"> </w:t>
      </w:r>
    </w:p>
    <w:p w14:paraId="1CCCFF03" w14:textId="77777777" w:rsidR="00542DE8" w:rsidRPr="00927002" w:rsidRDefault="00E41C0B" w:rsidP="00542DE8">
      <w:pPr>
        <w:pStyle w:val="ActHead5"/>
      </w:pPr>
      <w:bookmarkStart w:id="12" w:name="_Toc31206278"/>
      <w:proofErr w:type="gramStart"/>
      <w:r w:rsidRPr="00EB7EF9">
        <w:rPr>
          <w:rStyle w:val="CharSectno"/>
        </w:rPr>
        <w:t>10</w:t>
      </w:r>
      <w:r w:rsidR="00542DE8" w:rsidRPr="00927002">
        <w:t xml:space="preserve">  Application</w:t>
      </w:r>
      <w:proofErr w:type="gramEnd"/>
      <w:r w:rsidR="00542DE8" w:rsidRPr="00927002">
        <w:t xml:space="preserve"> of this Part</w:t>
      </w:r>
      <w:bookmarkEnd w:id="12"/>
    </w:p>
    <w:p w14:paraId="7F5FD0FB" w14:textId="77777777" w:rsidR="00542DE8" w:rsidRPr="00927002" w:rsidRDefault="00542DE8" w:rsidP="00542DE8">
      <w:pPr>
        <w:pStyle w:val="subsection"/>
      </w:pPr>
      <w:r w:rsidRPr="00927002">
        <w:tab/>
      </w:r>
      <w:r w:rsidRPr="00927002">
        <w:tab/>
        <w:t xml:space="preserve">This Part applies to </w:t>
      </w:r>
      <w:r w:rsidR="00141A63" w:rsidRPr="00927002">
        <w:t>a veterinarian</w:t>
      </w:r>
      <w:r w:rsidR="001868E5">
        <w:noBreakHyphen/>
      </w:r>
      <w:r w:rsidR="00B652CE" w:rsidRPr="00927002">
        <w:t>classified employee</w:t>
      </w:r>
      <w:r w:rsidRPr="00927002">
        <w:t xml:space="preserve"> who:</w:t>
      </w:r>
    </w:p>
    <w:p w14:paraId="19E1248C" w14:textId="77777777" w:rsidR="00D05831" w:rsidRPr="00927002" w:rsidRDefault="00B652CE" w:rsidP="00542DE8">
      <w:pPr>
        <w:pStyle w:val="paragraph"/>
      </w:pPr>
      <w:r w:rsidRPr="00927002">
        <w:rPr>
          <w:bCs/>
          <w:noProof/>
        </w:rPr>
        <w:tab/>
        <w:t>(a</w:t>
      </w:r>
      <w:r w:rsidR="00542DE8" w:rsidRPr="00927002">
        <w:rPr>
          <w:bCs/>
          <w:noProof/>
        </w:rPr>
        <w:t>)</w:t>
      </w:r>
      <w:r w:rsidR="00542DE8" w:rsidRPr="00927002">
        <w:rPr>
          <w:bCs/>
          <w:noProof/>
        </w:rPr>
        <w:tab/>
      </w:r>
      <w:r w:rsidR="00D05831" w:rsidRPr="00927002">
        <w:rPr>
          <w:bCs/>
          <w:noProof/>
        </w:rPr>
        <w:t xml:space="preserve">is </w:t>
      </w:r>
      <w:r w:rsidR="004F1242" w:rsidRPr="00927002">
        <w:t xml:space="preserve">in a </w:t>
      </w:r>
      <w:proofErr w:type="gramStart"/>
      <w:r w:rsidR="004F1242" w:rsidRPr="00927002">
        <w:t>Division</w:t>
      </w:r>
      <w:proofErr w:type="gramEnd"/>
      <w:r w:rsidR="004F1242" w:rsidRPr="00927002">
        <w:t xml:space="preserve"> </w:t>
      </w:r>
      <w:r w:rsidR="00542DE8" w:rsidRPr="00927002">
        <w:t>other</w:t>
      </w:r>
      <w:r w:rsidR="004F1242" w:rsidRPr="00927002">
        <w:t xml:space="preserve"> than the Biosecurity </w:t>
      </w:r>
      <w:r w:rsidR="00CA11BE" w:rsidRPr="00927002">
        <w:t xml:space="preserve">Operations </w:t>
      </w:r>
      <w:r w:rsidR="004F1242" w:rsidRPr="00927002">
        <w:t>Division</w:t>
      </w:r>
      <w:r w:rsidR="00D05831" w:rsidRPr="00927002">
        <w:t>; and</w:t>
      </w:r>
    </w:p>
    <w:p w14:paraId="6D43CFF8" w14:textId="77777777" w:rsidR="00542DE8" w:rsidRPr="00927002" w:rsidRDefault="00B652CE" w:rsidP="00542DE8">
      <w:pPr>
        <w:pStyle w:val="paragraph"/>
      </w:pPr>
      <w:r w:rsidRPr="00927002">
        <w:tab/>
        <w:t>(b</w:t>
      </w:r>
      <w:r w:rsidR="00D05831" w:rsidRPr="00927002">
        <w:t>)</w:t>
      </w:r>
      <w:r w:rsidR="00D05831" w:rsidRPr="00927002">
        <w:tab/>
        <w:t>is not an SES employee</w:t>
      </w:r>
      <w:r w:rsidR="004F1242" w:rsidRPr="00927002">
        <w:t>.</w:t>
      </w:r>
    </w:p>
    <w:p w14:paraId="5D8E5760" w14:textId="77777777" w:rsidR="00542DE8" w:rsidRPr="00927002" w:rsidRDefault="00542DE8" w:rsidP="00542DE8">
      <w:pPr>
        <w:pStyle w:val="ActHead5"/>
      </w:pPr>
      <w:bookmarkStart w:id="13" w:name="_Toc31206279"/>
      <w:proofErr w:type="gramStart"/>
      <w:r w:rsidRPr="00EB7EF9">
        <w:rPr>
          <w:rStyle w:val="CharSectno"/>
        </w:rPr>
        <w:t>1</w:t>
      </w:r>
      <w:r w:rsidR="00E41C0B" w:rsidRPr="00EB7EF9">
        <w:rPr>
          <w:rStyle w:val="CharSectno"/>
        </w:rPr>
        <w:t>1</w:t>
      </w:r>
      <w:r w:rsidRPr="00927002">
        <w:t xml:space="preserve">  When</w:t>
      </w:r>
      <w:proofErr w:type="gramEnd"/>
      <w:r w:rsidRPr="00927002">
        <w:t xml:space="preserve"> this </w:t>
      </w:r>
      <w:r w:rsidR="001868E5">
        <w:t>Part c</w:t>
      </w:r>
      <w:r w:rsidRPr="00927002">
        <w:t>eases to apply</w:t>
      </w:r>
      <w:bookmarkEnd w:id="13"/>
    </w:p>
    <w:p w14:paraId="38BAE880" w14:textId="77777777" w:rsidR="00542DE8" w:rsidRPr="00927002" w:rsidRDefault="00542DE8" w:rsidP="00542DE8">
      <w:pPr>
        <w:pStyle w:val="subsection"/>
      </w:pPr>
      <w:r w:rsidRPr="00927002">
        <w:tab/>
      </w:r>
      <w:r w:rsidRPr="00927002">
        <w:tab/>
        <w:t xml:space="preserve">This </w:t>
      </w:r>
      <w:r w:rsidR="001868E5">
        <w:t>Part c</w:t>
      </w:r>
      <w:r w:rsidRPr="00927002">
        <w:t>eases to apply to an APS employee if:</w:t>
      </w:r>
    </w:p>
    <w:p w14:paraId="75763C2E" w14:textId="77777777" w:rsidR="00542DE8" w:rsidRPr="00927002" w:rsidRDefault="00542DE8" w:rsidP="00542DE8">
      <w:pPr>
        <w:pStyle w:val="paragraph"/>
      </w:pPr>
      <w:r w:rsidRPr="00927002">
        <w:tab/>
        <w:t>(a)</w:t>
      </w:r>
      <w:r w:rsidRPr="00927002">
        <w:tab/>
        <w:t xml:space="preserve">an enterprise agreement </w:t>
      </w:r>
      <w:r w:rsidR="00674817" w:rsidRPr="00927002">
        <w:t xml:space="preserve">(other than the </w:t>
      </w:r>
      <w:r w:rsidR="00674817" w:rsidRPr="00927002">
        <w:rPr>
          <w:noProof/>
        </w:rPr>
        <w:t>DEE Agreement)</w:t>
      </w:r>
      <w:r w:rsidR="00674817" w:rsidRPr="00927002">
        <w:t xml:space="preserve"> </w:t>
      </w:r>
      <w:r w:rsidRPr="00927002">
        <w:t>starts to apply to the employee</w:t>
      </w:r>
      <w:r w:rsidR="00097540" w:rsidRPr="00927002">
        <w:t xml:space="preserve"> (for the purposes of the </w:t>
      </w:r>
      <w:r w:rsidR="00097540" w:rsidRPr="00927002">
        <w:rPr>
          <w:i/>
        </w:rPr>
        <w:t>Fair Work Act 2009</w:t>
      </w:r>
      <w:r w:rsidR="00097540" w:rsidRPr="00927002">
        <w:t>)</w:t>
      </w:r>
      <w:r w:rsidRPr="00927002">
        <w:t>; or</w:t>
      </w:r>
    </w:p>
    <w:p w14:paraId="53EFAE11" w14:textId="77777777" w:rsidR="00542DE8" w:rsidRPr="00927002" w:rsidRDefault="00542DE8" w:rsidP="00542DE8">
      <w:pPr>
        <w:pStyle w:val="paragraph"/>
      </w:pPr>
      <w:r w:rsidRPr="00927002">
        <w:tab/>
        <w:t>(b)</w:t>
      </w:r>
      <w:r w:rsidRPr="00927002">
        <w:tab/>
        <w:t>a workplace determination is made that covers the employee</w:t>
      </w:r>
      <w:r w:rsidR="00097540" w:rsidRPr="00927002">
        <w:t xml:space="preserve"> (for the purposes of the </w:t>
      </w:r>
      <w:r w:rsidR="00097540" w:rsidRPr="00927002">
        <w:rPr>
          <w:i/>
        </w:rPr>
        <w:t>Fair Work Act 2009</w:t>
      </w:r>
      <w:r w:rsidR="00097540" w:rsidRPr="00927002">
        <w:t>)</w:t>
      </w:r>
      <w:r w:rsidRPr="00927002">
        <w:t>.</w:t>
      </w:r>
    </w:p>
    <w:p w14:paraId="2CF597AC" w14:textId="77777777" w:rsidR="00542DE8" w:rsidRPr="00927002" w:rsidRDefault="00542DE8" w:rsidP="00542DE8">
      <w:pPr>
        <w:pStyle w:val="notetext"/>
      </w:pPr>
      <w:r w:rsidRPr="00927002">
        <w:t>Note:</w:t>
      </w:r>
      <w:r w:rsidRPr="00927002">
        <w:tab/>
        <w:t>A workplace determination operates from the day on which it is made (see section</w:t>
      </w:r>
      <w:r w:rsidR="00927002" w:rsidRPr="00927002">
        <w:t> </w:t>
      </w:r>
      <w:r w:rsidRPr="00927002">
        <w:t xml:space="preserve">276 of the </w:t>
      </w:r>
      <w:r w:rsidRPr="00927002">
        <w:rPr>
          <w:i/>
        </w:rPr>
        <w:t>Fair Work Act 2009</w:t>
      </w:r>
      <w:r w:rsidRPr="00927002">
        <w:t>).</w:t>
      </w:r>
    </w:p>
    <w:p w14:paraId="64C85EA0" w14:textId="77777777" w:rsidR="00542DE8" w:rsidRPr="00927002" w:rsidRDefault="00E41C0B" w:rsidP="00542DE8">
      <w:pPr>
        <w:pStyle w:val="ActHead5"/>
      </w:pPr>
      <w:bookmarkStart w:id="14" w:name="_Toc31206280"/>
      <w:proofErr w:type="gramStart"/>
      <w:r w:rsidRPr="00EB7EF9">
        <w:rPr>
          <w:rStyle w:val="CharSectno"/>
        </w:rPr>
        <w:t>12</w:t>
      </w:r>
      <w:r w:rsidR="00542DE8" w:rsidRPr="00927002">
        <w:t xml:space="preserve">  Terms</w:t>
      </w:r>
      <w:proofErr w:type="gramEnd"/>
      <w:r w:rsidR="00542DE8" w:rsidRPr="00927002">
        <w:t xml:space="preserve"> and conditions of employment</w:t>
      </w:r>
      <w:bookmarkEnd w:id="14"/>
    </w:p>
    <w:p w14:paraId="75E3025A" w14:textId="77777777" w:rsidR="00572694" w:rsidRPr="00927002" w:rsidRDefault="00542DE8" w:rsidP="003B7869">
      <w:pPr>
        <w:pStyle w:val="subsection"/>
      </w:pPr>
      <w:r w:rsidRPr="00927002">
        <w:tab/>
      </w:r>
      <w:r w:rsidRPr="00927002">
        <w:tab/>
        <w:t>The terms and conditions of employment applying to an APS employee to which this Part applies</w:t>
      </w:r>
      <w:r w:rsidR="00572694" w:rsidRPr="00927002">
        <w:t>:</w:t>
      </w:r>
    </w:p>
    <w:p w14:paraId="20DE3BEC" w14:textId="77777777" w:rsidR="00542DE8" w:rsidRPr="00927002" w:rsidRDefault="00572694" w:rsidP="00572694">
      <w:pPr>
        <w:pStyle w:val="paragraph"/>
      </w:pPr>
      <w:r w:rsidRPr="00927002">
        <w:tab/>
        <w:t>(a)</w:t>
      </w:r>
      <w:r w:rsidRPr="00927002">
        <w:tab/>
      </w:r>
      <w:r w:rsidR="00542DE8" w:rsidRPr="00927002">
        <w:t>are</w:t>
      </w:r>
      <w:r w:rsidR="00741470" w:rsidRPr="00927002">
        <w:t xml:space="preserve"> </w:t>
      </w:r>
      <w:proofErr w:type="gramStart"/>
      <w:r w:rsidR="00741470" w:rsidRPr="00927002">
        <w:t>all of</w:t>
      </w:r>
      <w:proofErr w:type="gramEnd"/>
      <w:r w:rsidR="00542DE8" w:rsidRPr="00927002">
        <w:t xml:space="preserve"> the terms and conditions of employment set out in</w:t>
      </w:r>
      <w:r w:rsidR="003B7869" w:rsidRPr="00927002">
        <w:t xml:space="preserve"> t</w:t>
      </w:r>
      <w:r w:rsidR="00542DE8" w:rsidRPr="00927002">
        <w:t>he DEE</w:t>
      </w:r>
      <w:r w:rsidR="00B5202B" w:rsidRPr="00927002">
        <w:t xml:space="preserve"> </w:t>
      </w:r>
      <w:r w:rsidR="00E41C0B" w:rsidRPr="00927002">
        <w:t xml:space="preserve">(Veterinarian) </w:t>
      </w:r>
      <w:r w:rsidR="00B5202B" w:rsidRPr="00927002">
        <w:t>Agreement</w:t>
      </w:r>
      <w:r w:rsidR="00741470" w:rsidRPr="00927002">
        <w:t>; and</w:t>
      </w:r>
    </w:p>
    <w:p w14:paraId="08AD7EB7" w14:textId="77777777" w:rsidR="00572694" w:rsidRPr="00927002" w:rsidRDefault="00572694" w:rsidP="00572694">
      <w:pPr>
        <w:pStyle w:val="paragraph"/>
      </w:pPr>
      <w:r w:rsidRPr="00927002">
        <w:tab/>
        <w:t>(b)</w:t>
      </w:r>
      <w:r w:rsidRPr="00927002">
        <w:tab/>
        <w:t>are not any of the terms and conditions of employment set out in the DEE Agreement.</w:t>
      </w:r>
    </w:p>
    <w:p w14:paraId="02E2EBE1" w14:textId="77777777" w:rsidR="00420903" w:rsidRPr="00927002" w:rsidRDefault="00420903" w:rsidP="00927002">
      <w:pPr>
        <w:pStyle w:val="ActHead5"/>
      </w:pPr>
      <w:bookmarkStart w:id="15" w:name="_Toc31206281"/>
      <w:proofErr w:type="gramStart"/>
      <w:r w:rsidRPr="00EB7EF9">
        <w:rPr>
          <w:rStyle w:val="CharSectno"/>
        </w:rPr>
        <w:t>13</w:t>
      </w:r>
      <w:r w:rsidRPr="00927002">
        <w:t xml:space="preserve">  DEE</w:t>
      </w:r>
      <w:proofErr w:type="gramEnd"/>
      <w:r w:rsidRPr="00927002">
        <w:t xml:space="preserve"> (Veterinarian) Agreement</w:t>
      </w:r>
      <w:bookmarkEnd w:id="15"/>
    </w:p>
    <w:p w14:paraId="567FCF75" w14:textId="77777777" w:rsidR="00E41C0B" w:rsidRPr="00927002" w:rsidRDefault="00420903" w:rsidP="00420903">
      <w:pPr>
        <w:pStyle w:val="subsection"/>
      </w:pPr>
      <w:r w:rsidRPr="00927002">
        <w:tab/>
        <w:t>(1)</w:t>
      </w:r>
      <w:r w:rsidRPr="00927002">
        <w:tab/>
      </w:r>
      <w:r w:rsidR="00E41C0B" w:rsidRPr="00927002">
        <w:rPr>
          <w:b/>
          <w:i/>
        </w:rPr>
        <w:t>DEE (Veterinarian) Agreement</w:t>
      </w:r>
      <w:r w:rsidR="00E41C0B" w:rsidRPr="00927002">
        <w:t xml:space="preserve"> means the DEE Agreement, </w:t>
      </w:r>
      <w:r w:rsidR="00E41C0B" w:rsidRPr="00927002">
        <w:rPr>
          <w:noProof/>
        </w:rPr>
        <w:t xml:space="preserve">as in force immediately before the commencement of this instrument, </w:t>
      </w:r>
      <w:r w:rsidR="00E41C0B" w:rsidRPr="00927002">
        <w:t>as that Agreement has effect under</w:t>
      </w:r>
      <w:r w:rsidR="00914FA8" w:rsidRPr="00927002">
        <w:t xml:space="preserve"> this</w:t>
      </w:r>
      <w:r w:rsidR="00E41C0B" w:rsidRPr="00927002">
        <w:t xml:space="preserve"> section.</w:t>
      </w:r>
    </w:p>
    <w:p w14:paraId="0046A89B" w14:textId="77777777" w:rsidR="001455EC" w:rsidRPr="00927002" w:rsidRDefault="001455EC" w:rsidP="001455EC">
      <w:pPr>
        <w:pStyle w:val="SubsectionHead"/>
      </w:pPr>
      <w:r w:rsidRPr="00927002">
        <w:t>DEE Agreement—</w:t>
      </w:r>
      <w:proofErr w:type="gramStart"/>
      <w:r w:rsidRPr="00927002">
        <w:t>general</w:t>
      </w:r>
      <w:proofErr w:type="gramEnd"/>
    </w:p>
    <w:p w14:paraId="31BEF868" w14:textId="77777777" w:rsidR="0059423C" w:rsidRPr="00927002" w:rsidRDefault="00542DE8" w:rsidP="00542DE8">
      <w:pPr>
        <w:pStyle w:val="subsection"/>
      </w:pPr>
      <w:r w:rsidRPr="00927002">
        <w:tab/>
        <w:t>(2)</w:t>
      </w:r>
      <w:r w:rsidRPr="00927002">
        <w:tab/>
      </w:r>
      <w:r w:rsidR="00312B73" w:rsidRPr="00927002">
        <w:t>T</w:t>
      </w:r>
      <w:r w:rsidRPr="00927002">
        <w:t>he DEE Agreement has effect as if</w:t>
      </w:r>
      <w:r w:rsidR="007050CA" w:rsidRPr="00927002">
        <w:t>:</w:t>
      </w:r>
    </w:p>
    <w:p w14:paraId="064C8D2C" w14:textId="77777777" w:rsidR="0059423C" w:rsidRPr="00927002" w:rsidRDefault="0059423C" w:rsidP="0059423C">
      <w:pPr>
        <w:pStyle w:val="paragraph"/>
      </w:pPr>
      <w:r w:rsidRPr="00927002">
        <w:tab/>
        <w:t>(a)</w:t>
      </w:r>
      <w:r w:rsidRPr="00927002">
        <w:tab/>
        <w:t xml:space="preserve">a reference in the DEE Agreement to an employee </w:t>
      </w:r>
      <w:r w:rsidR="003C063B" w:rsidRPr="00927002">
        <w:t>in</w:t>
      </w:r>
      <w:r w:rsidRPr="00927002">
        <w:t xml:space="preserve"> the Department of the Environment and Energy covered by that Agreement were a reference to an APS employee to which this Part applies; and</w:t>
      </w:r>
    </w:p>
    <w:p w14:paraId="41D07540" w14:textId="77777777" w:rsidR="0059423C" w:rsidRPr="00927002" w:rsidRDefault="0059423C" w:rsidP="0059423C">
      <w:pPr>
        <w:pStyle w:val="paragraph"/>
      </w:pPr>
      <w:r w:rsidRPr="00927002">
        <w:tab/>
        <w:t>(b)</w:t>
      </w:r>
      <w:r w:rsidRPr="00927002">
        <w:tab/>
        <w:t xml:space="preserve">a reference in the DEE Agreement to the Department were a reference to the </w:t>
      </w:r>
      <w:r w:rsidRPr="00927002">
        <w:rPr>
          <w:bCs/>
          <w:noProof/>
        </w:rPr>
        <w:t>Department of Agriculture, Water and the Environment; and</w:t>
      </w:r>
    </w:p>
    <w:p w14:paraId="752EEECA" w14:textId="77777777" w:rsidR="0059423C" w:rsidRPr="00927002" w:rsidRDefault="0059423C" w:rsidP="0059423C">
      <w:pPr>
        <w:pStyle w:val="paragraph"/>
      </w:pPr>
      <w:r w:rsidRPr="00927002">
        <w:tab/>
        <w:t>(c)</w:t>
      </w:r>
      <w:r w:rsidRPr="00927002">
        <w:tab/>
        <w:t>clause</w:t>
      </w:r>
      <w:r w:rsidR="00927002" w:rsidRPr="00927002">
        <w:t> </w:t>
      </w:r>
      <w:r w:rsidRPr="00927002">
        <w:t xml:space="preserve">1.5 (nominal expiry date) of the DEE Agreement were </w:t>
      </w:r>
      <w:proofErr w:type="gramStart"/>
      <w:r w:rsidRPr="00927002">
        <w:t>omitted;</w:t>
      </w:r>
      <w:proofErr w:type="gramEnd"/>
    </w:p>
    <w:p w14:paraId="248BB3B8" w14:textId="77777777" w:rsidR="006802E9" w:rsidRPr="00927002" w:rsidRDefault="006802E9" w:rsidP="006802E9">
      <w:pPr>
        <w:pStyle w:val="paragraph"/>
      </w:pPr>
      <w:r w:rsidRPr="00927002">
        <w:tab/>
        <w:t>(d)</w:t>
      </w:r>
      <w:r w:rsidRPr="00927002">
        <w:tab/>
        <w:t xml:space="preserve">the following provisions of the DAWR Agreement, as that Agreement has effect under </w:t>
      </w:r>
      <w:r w:rsidR="00927002" w:rsidRPr="00927002">
        <w:t>subsections (</w:t>
      </w:r>
      <w:r w:rsidR="007050CA" w:rsidRPr="00927002">
        <w:t>4</w:t>
      </w:r>
      <w:r w:rsidRPr="00927002">
        <w:t>) to (</w:t>
      </w:r>
      <w:r w:rsidR="007050CA" w:rsidRPr="00927002">
        <w:t>7</w:t>
      </w:r>
      <w:r w:rsidRPr="00927002">
        <w:t>)</w:t>
      </w:r>
      <w:r w:rsidR="007050CA" w:rsidRPr="00927002">
        <w:t xml:space="preserve"> of this section</w:t>
      </w:r>
      <w:r w:rsidRPr="00927002">
        <w:t>, were included in the DEE Agreement:</w:t>
      </w:r>
    </w:p>
    <w:p w14:paraId="1E7A68E5" w14:textId="77777777" w:rsidR="006802E9" w:rsidRPr="00927002" w:rsidRDefault="006802E9" w:rsidP="006802E9">
      <w:pPr>
        <w:pStyle w:val="paragraphsub"/>
      </w:pPr>
      <w:r w:rsidRPr="00927002">
        <w:tab/>
        <w:t>(</w:t>
      </w:r>
      <w:proofErr w:type="spellStart"/>
      <w:r w:rsidRPr="00927002">
        <w:t>i</w:t>
      </w:r>
      <w:proofErr w:type="spellEnd"/>
      <w:r w:rsidRPr="00927002">
        <w:t>)</w:t>
      </w:r>
      <w:r w:rsidRPr="00927002">
        <w:tab/>
        <w:t>clause</w:t>
      </w:r>
      <w:r w:rsidR="00927002" w:rsidRPr="00927002">
        <w:t> </w:t>
      </w:r>
      <w:r w:rsidRPr="00927002">
        <w:t>34.1 (</w:t>
      </w:r>
      <w:r w:rsidR="006864E8" w:rsidRPr="00927002">
        <w:t>classification</w:t>
      </w:r>
      <w:r w:rsidRPr="00927002">
        <w:t xml:space="preserve"> structure</w:t>
      </w:r>
      <w:proofErr w:type="gramStart"/>
      <w:r w:rsidRPr="00927002">
        <w:t>);</w:t>
      </w:r>
      <w:proofErr w:type="gramEnd"/>
    </w:p>
    <w:p w14:paraId="5916E4DE" w14:textId="77777777" w:rsidR="006802E9" w:rsidRPr="00927002" w:rsidRDefault="006802E9" w:rsidP="006802E9">
      <w:pPr>
        <w:pStyle w:val="paragraphsub"/>
      </w:pPr>
      <w:r w:rsidRPr="00927002">
        <w:tab/>
        <w:t>(ii)</w:t>
      </w:r>
      <w:r w:rsidRPr="00927002">
        <w:tab/>
        <w:t>clause</w:t>
      </w:r>
      <w:r w:rsidR="00927002" w:rsidRPr="00927002">
        <w:t> </w:t>
      </w:r>
      <w:r w:rsidRPr="00927002">
        <w:t>34.3 (transitional arrangements</w:t>
      </w:r>
      <w:proofErr w:type="gramStart"/>
      <w:r w:rsidRPr="00927002">
        <w:t>);</w:t>
      </w:r>
      <w:proofErr w:type="gramEnd"/>
    </w:p>
    <w:p w14:paraId="5E570405" w14:textId="77777777" w:rsidR="006802E9" w:rsidRPr="00927002" w:rsidRDefault="00741470" w:rsidP="006802E9">
      <w:pPr>
        <w:pStyle w:val="paragraphsub"/>
      </w:pPr>
      <w:r w:rsidRPr="00927002">
        <w:lastRenderedPageBreak/>
        <w:tab/>
        <w:t>(iii</w:t>
      </w:r>
      <w:r w:rsidR="006802E9" w:rsidRPr="00927002">
        <w:t>)</w:t>
      </w:r>
      <w:r w:rsidR="006802E9" w:rsidRPr="00927002">
        <w:tab/>
        <w:t xml:space="preserve">table 2 </w:t>
      </w:r>
      <w:r w:rsidR="003C063B" w:rsidRPr="00927002">
        <w:t>in</w:t>
      </w:r>
      <w:r w:rsidR="006802E9" w:rsidRPr="00927002">
        <w:t xml:space="preserve"> Schedule</w:t>
      </w:r>
      <w:r w:rsidR="00927002" w:rsidRPr="00927002">
        <w:t> </w:t>
      </w:r>
      <w:r w:rsidR="006802E9" w:rsidRPr="00927002">
        <w:t>1 (veterinarian classification and salaries</w:t>
      </w:r>
      <w:proofErr w:type="gramStart"/>
      <w:r w:rsidR="006802E9" w:rsidRPr="00927002">
        <w:t>);</w:t>
      </w:r>
      <w:proofErr w:type="gramEnd"/>
    </w:p>
    <w:p w14:paraId="4B4218D2" w14:textId="77777777" w:rsidR="006802E9" w:rsidRPr="00927002" w:rsidRDefault="00741470" w:rsidP="006802E9">
      <w:pPr>
        <w:pStyle w:val="paragraphsub"/>
      </w:pPr>
      <w:r w:rsidRPr="00927002">
        <w:tab/>
        <w:t>(iv</w:t>
      </w:r>
      <w:r w:rsidR="006802E9" w:rsidRPr="00927002">
        <w:t>)</w:t>
      </w:r>
      <w:r w:rsidR="006802E9" w:rsidRPr="00927002">
        <w:tab/>
        <w:t>clause</w:t>
      </w:r>
      <w:r w:rsidR="00927002" w:rsidRPr="00927002">
        <w:t> </w:t>
      </w:r>
      <w:r w:rsidR="006802E9" w:rsidRPr="00927002">
        <w:t>1 of Schedule</w:t>
      </w:r>
      <w:r w:rsidR="00927002" w:rsidRPr="00927002">
        <w:t> </w:t>
      </w:r>
      <w:r w:rsidR="006802E9" w:rsidRPr="00927002">
        <w:t>2 (transitional arrangements</w:t>
      </w:r>
      <w:proofErr w:type="gramStart"/>
      <w:r w:rsidR="006802E9" w:rsidRPr="00927002">
        <w:t>);</w:t>
      </w:r>
      <w:proofErr w:type="gramEnd"/>
    </w:p>
    <w:p w14:paraId="41BF046F" w14:textId="77777777" w:rsidR="006802E9" w:rsidRPr="00927002" w:rsidRDefault="00741470" w:rsidP="006802E9">
      <w:pPr>
        <w:pStyle w:val="paragraphsub"/>
      </w:pPr>
      <w:r w:rsidRPr="00927002">
        <w:tab/>
        <w:t>(v</w:t>
      </w:r>
      <w:r w:rsidR="006802E9" w:rsidRPr="00927002">
        <w:t>)</w:t>
      </w:r>
      <w:r w:rsidR="006802E9" w:rsidRPr="00927002">
        <w:tab/>
        <w:t>table 1 in Schedule</w:t>
      </w:r>
      <w:r w:rsidR="00927002" w:rsidRPr="00927002">
        <w:t> </w:t>
      </w:r>
      <w:r w:rsidR="006802E9" w:rsidRPr="00927002">
        <w:t>2.</w:t>
      </w:r>
    </w:p>
    <w:p w14:paraId="5819EF7D" w14:textId="77777777" w:rsidR="00F63D55" w:rsidRPr="00927002" w:rsidRDefault="00F63D55" w:rsidP="00F63D55">
      <w:pPr>
        <w:pStyle w:val="SubsectionHead"/>
      </w:pPr>
      <w:r w:rsidRPr="00927002">
        <w:t>Substitution of DEE Agreement provisions—allowances</w:t>
      </w:r>
    </w:p>
    <w:p w14:paraId="76056E17" w14:textId="77777777" w:rsidR="00F63D55" w:rsidRPr="00927002" w:rsidRDefault="00F63D55" w:rsidP="00F63D55">
      <w:pPr>
        <w:pStyle w:val="subsection"/>
      </w:pPr>
      <w:r w:rsidRPr="00927002">
        <w:tab/>
        <w:t>(</w:t>
      </w:r>
      <w:r w:rsidR="007050CA" w:rsidRPr="00927002">
        <w:t>3</w:t>
      </w:r>
      <w:r w:rsidRPr="00927002">
        <w:t>)</w:t>
      </w:r>
      <w:r w:rsidRPr="00927002">
        <w:tab/>
        <w:t>The DEE Agreement has effect as if the columns of the table in Schedule</w:t>
      </w:r>
      <w:r w:rsidR="00927002" w:rsidRPr="00927002">
        <w:t> </w:t>
      </w:r>
      <w:r w:rsidRPr="00927002">
        <w:t xml:space="preserve">2 </w:t>
      </w:r>
      <w:r w:rsidR="003C063B" w:rsidRPr="00927002">
        <w:t>to</w:t>
      </w:r>
      <w:r w:rsidRPr="00927002">
        <w:t xml:space="preserve"> the DEE Agreement (allowances) dealing with allowance rates were omitted and substituted with the column headed “2% increase </w:t>
      </w:r>
      <w:r w:rsidR="001868E5">
        <w:noBreakHyphen/>
      </w:r>
      <w:r w:rsidRPr="00927002">
        <w:t xml:space="preserve"> 30</w:t>
      </w:r>
      <w:r w:rsidR="00927002" w:rsidRPr="00927002">
        <w:t> </w:t>
      </w:r>
      <w:r w:rsidRPr="00927002">
        <w:t xml:space="preserve">November 2019” in Table 2 </w:t>
      </w:r>
      <w:r w:rsidR="003C063B" w:rsidRPr="00927002">
        <w:t>in</w:t>
      </w:r>
      <w:r w:rsidRPr="00927002">
        <w:t xml:space="preserve"> the Schedule </w:t>
      </w:r>
      <w:r w:rsidR="003C063B" w:rsidRPr="00927002">
        <w:t>to</w:t>
      </w:r>
      <w:r w:rsidRPr="00927002">
        <w:t xml:space="preserve"> the DEE Salaries and Allowances Determination.</w:t>
      </w:r>
    </w:p>
    <w:p w14:paraId="495D66D6" w14:textId="77777777" w:rsidR="001455EC" w:rsidRPr="00927002" w:rsidRDefault="001455EC" w:rsidP="001455EC">
      <w:pPr>
        <w:pStyle w:val="SubsectionHead"/>
      </w:pPr>
      <w:r w:rsidRPr="00927002">
        <w:t>DAWR Agreement—general</w:t>
      </w:r>
    </w:p>
    <w:p w14:paraId="1F3EEA99" w14:textId="77777777" w:rsidR="006802E9" w:rsidRPr="00927002" w:rsidRDefault="006802E9" w:rsidP="006802E9">
      <w:pPr>
        <w:pStyle w:val="subsection"/>
      </w:pPr>
      <w:r w:rsidRPr="00927002">
        <w:tab/>
        <w:t>(</w:t>
      </w:r>
      <w:r w:rsidR="007050CA" w:rsidRPr="00927002">
        <w:t>4</w:t>
      </w:r>
      <w:r w:rsidRPr="00927002">
        <w:t>)</w:t>
      </w:r>
      <w:r w:rsidRPr="00927002">
        <w:tab/>
        <w:t xml:space="preserve">For the purposes of </w:t>
      </w:r>
      <w:r w:rsidR="00927002" w:rsidRPr="00927002">
        <w:t>paragraph (</w:t>
      </w:r>
      <w:r w:rsidRPr="00927002">
        <w:t>2)(d), the DAWR Agreement has effect as if:</w:t>
      </w:r>
    </w:p>
    <w:p w14:paraId="4BBAB4AA" w14:textId="77777777" w:rsidR="006802E9" w:rsidRPr="00927002" w:rsidRDefault="006802E9" w:rsidP="006802E9">
      <w:pPr>
        <w:pStyle w:val="paragraph"/>
      </w:pPr>
      <w:r w:rsidRPr="00927002">
        <w:tab/>
        <w:t>(a)</w:t>
      </w:r>
      <w:r w:rsidRPr="00927002">
        <w:tab/>
        <w:t xml:space="preserve">a reference in the DAWR Agreement to an employee </w:t>
      </w:r>
      <w:r w:rsidR="00E60977" w:rsidRPr="00927002">
        <w:t>in</w:t>
      </w:r>
      <w:r w:rsidRPr="00927002">
        <w:t xml:space="preserve"> the Department of Agriculture and Water Resources covered by that Agreement were a reference to an APS employee to which this Part applies; and</w:t>
      </w:r>
    </w:p>
    <w:p w14:paraId="54B1C9BB" w14:textId="77777777" w:rsidR="006802E9" w:rsidRPr="00927002" w:rsidRDefault="006802E9" w:rsidP="006802E9">
      <w:pPr>
        <w:pStyle w:val="paragraph"/>
        <w:rPr>
          <w:bCs/>
          <w:noProof/>
        </w:rPr>
      </w:pPr>
      <w:r w:rsidRPr="00927002">
        <w:tab/>
        <w:t>(b)</w:t>
      </w:r>
      <w:r w:rsidRPr="00927002">
        <w:tab/>
        <w:t xml:space="preserve">a reference in the DAWR Agreement to the department were a reference to the </w:t>
      </w:r>
      <w:r w:rsidRPr="00927002">
        <w:rPr>
          <w:bCs/>
          <w:noProof/>
        </w:rPr>
        <w:t>Department of Agriculture, Water and the Environment; and</w:t>
      </w:r>
    </w:p>
    <w:p w14:paraId="4394DAF5" w14:textId="77777777" w:rsidR="006802E9" w:rsidRPr="00927002" w:rsidRDefault="006802E9" w:rsidP="006802E9">
      <w:pPr>
        <w:pStyle w:val="paragraph"/>
        <w:rPr>
          <w:bCs/>
          <w:noProof/>
        </w:rPr>
      </w:pPr>
      <w:r w:rsidRPr="00927002">
        <w:rPr>
          <w:bCs/>
          <w:noProof/>
        </w:rPr>
        <w:tab/>
        <w:t>(c)</w:t>
      </w:r>
      <w:r w:rsidRPr="00927002">
        <w:rPr>
          <w:bCs/>
          <w:noProof/>
        </w:rPr>
        <w:tab/>
      </w:r>
      <w:r w:rsidRPr="00927002">
        <w:t xml:space="preserve">a reference in the DAWR Agreement to the secretary were a reference to the Secretary of the </w:t>
      </w:r>
      <w:r w:rsidRPr="00927002">
        <w:rPr>
          <w:bCs/>
          <w:noProof/>
        </w:rPr>
        <w:t>Department of Agriculture, Water and the Environment; and</w:t>
      </w:r>
    </w:p>
    <w:p w14:paraId="40A0C28B" w14:textId="77777777" w:rsidR="006802E9" w:rsidRPr="00927002" w:rsidRDefault="006802E9" w:rsidP="006802E9">
      <w:pPr>
        <w:pStyle w:val="paragraph"/>
        <w:rPr>
          <w:bCs/>
          <w:noProof/>
        </w:rPr>
      </w:pPr>
      <w:r w:rsidRPr="00927002">
        <w:rPr>
          <w:bCs/>
          <w:noProof/>
        </w:rPr>
        <w:tab/>
        <w:t>(d)</w:t>
      </w:r>
      <w:r w:rsidRPr="00927002">
        <w:rPr>
          <w:bCs/>
          <w:noProof/>
        </w:rPr>
        <w:tab/>
        <w:t xml:space="preserve">a reference </w:t>
      </w:r>
      <w:r w:rsidRPr="00927002">
        <w:t xml:space="preserve">in the DAWR Agreement </w:t>
      </w:r>
      <w:r w:rsidRPr="00927002">
        <w:rPr>
          <w:bCs/>
          <w:noProof/>
        </w:rPr>
        <w:t xml:space="preserve">to the Act were a reference to the </w:t>
      </w:r>
      <w:r w:rsidRPr="00927002">
        <w:rPr>
          <w:bCs/>
          <w:i/>
          <w:noProof/>
        </w:rPr>
        <w:t>Fair Work Act 2009</w:t>
      </w:r>
      <w:r w:rsidRPr="00927002">
        <w:rPr>
          <w:bCs/>
          <w:noProof/>
        </w:rPr>
        <w:t>; and</w:t>
      </w:r>
    </w:p>
    <w:p w14:paraId="72542AA8" w14:textId="77777777" w:rsidR="006802E9" w:rsidRPr="00927002" w:rsidRDefault="006802E9" w:rsidP="006802E9">
      <w:pPr>
        <w:pStyle w:val="paragraph"/>
      </w:pPr>
      <w:r w:rsidRPr="00927002">
        <w:rPr>
          <w:bCs/>
          <w:noProof/>
        </w:rPr>
        <w:tab/>
        <w:t>(e)</w:t>
      </w:r>
      <w:r w:rsidRPr="00927002">
        <w:rPr>
          <w:bCs/>
          <w:noProof/>
        </w:rPr>
        <w:tab/>
        <w:t xml:space="preserve">a reference </w:t>
      </w:r>
      <w:r w:rsidRPr="00927002">
        <w:t>in the DAWR Agreement to a standard day were a reference to a standard working day; and</w:t>
      </w:r>
    </w:p>
    <w:p w14:paraId="21F558E8" w14:textId="77777777" w:rsidR="006802E9" w:rsidRPr="00927002" w:rsidRDefault="006802E9" w:rsidP="006802E9">
      <w:pPr>
        <w:pStyle w:val="paragraph"/>
      </w:pPr>
      <w:r w:rsidRPr="00927002">
        <w:tab/>
        <w:t>(f)</w:t>
      </w:r>
      <w:r w:rsidRPr="00927002">
        <w:tab/>
        <w:t>a reference in the DAWR Agreement to span of hours were a reference to bandwidth; and</w:t>
      </w:r>
    </w:p>
    <w:p w14:paraId="5C608915" w14:textId="77777777" w:rsidR="006802E9" w:rsidRPr="00927002" w:rsidRDefault="006802E9" w:rsidP="006802E9">
      <w:pPr>
        <w:pStyle w:val="paragraph"/>
      </w:pPr>
      <w:r w:rsidRPr="00927002">
        <w:tab/>
        <w:t>(g)</w:t>
      </w:r>
      <w:r w:rsidRPr="00927002">
        <w:tab/>
        <w:t>a reference in the DAWR Agreement to a public holiday were a reference to a public holiday as defined by the National Employment Standards.</w:t>
      </w:r>
    </w:p>
    <w:p w14:paraId="7E77CB6F" w14:textId="77777777" w:rsidR="001455EC" w:rsidRPr="00927002" w:rsidRDefault="001455EC" w:rsidP="001455EC">
      <w:pPr>
        <w:pStyle w:val="SubsectionHead"/>
      </w:pPr>
      <w:r w:rsidRPr="00927002">
        <w:t>Substitution of DAWR Agreement provisions</w:t>
      </w:r>
    </w:p>
    <w:p w14:paraId="54C4553D" w14:textId="77777777" w:rsidR="006802E9" w:rsidRPr="00927002" w:rsidRDefault="007050CA" w:rsidP="006802E9">
      <w:pPr>
        <w:pStyle w:val="subsection"/>
      </w:pPr>
      <w:r w:rsidRPr="00927002">
        <w:tab/>
        <w:t>(5</w:t>
      </w:r>
      <w:r w:rsidR="006802E9" w:rsidRPr="00927002">
        <w:t>)</w:t>
      </w:r>
      <w:r w:rsidR="006802E9" w:rsidRPr="00927002">
        <w:tab/>
        <w:t xml:space="preserve">For the purposes of </w:t>
      </w:r>
      <w:r w:rsidR="00927002" w:rsidRPr="00927002">
        <w:t>paragraph (</w:t>
      </w:r>
      <w:r w:rsidR="006802E9" w:rsidRPr="00927002">
        <w:t>2)(d), the DAWR Agreement has effect as if each provision of the DAWR Agreement mentioned in column 1 of an item of the following table were omitted and substituted with the updated provision set out in column 2 of that item.</w:t>
      </w:r>
    </w:p>
    <w:p w14:paraId="0B06DF01" w14:textId="77777777" w:rsidR="006802E9" w:rsidRPr="00927002" w:rsidRDefault="006802E9" w:rsidP="006802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5623"/>
      </w:tblGrid>
      <w:tr w:rsidR="006802E9" w:rsidRPr="00927002" w14:paraId="71DCA3DF" w14:textId="77777777" w:rsidTr="00D37A4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A5D4AD" w14:textId="77777777" w:rsidR="006802E9" w:rsidRPr="00927002" w:rsidRDefault="006802E9" w:rsidP="00D37A41">
            <w:pPr>
              <w:pStyle w:val="TableHeading"/>
            </w:pPr>
            <w:r w:rsidRPr="00927002">
              <w:t>Updated forms of provisions of the DAWR Agreement being included in DEE Agreement</w:t>
            </w:r>
          </w:p>
        </w:tc>
      </w:tr>
      <w:tr w:rsidR="006802E9" w:rsidRPr="00927002" w14:paraId="79E137AC" w14:textId="77777777" w:rsidTr="00D37A4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87969A" w14:textId="77777777" w:rsidR="006802E9" w:rsidRPr="00927002" w:rsidRDefault="006802E9" w:rsidP="00D37A41">
            <w:pPr>
              <w:pStyle w:val="TableHeading"/>
            </w:pPr>
          </w:p>
          <w:p w14:paraId="44A95DB3" w14:textId="77777777" w:rsidR="006802E9" w:rsidRPr="00927002" w:rsidRDefault="006802E9" w:rsidP="00D37A41">
            <w:pPr>
              <w:pStyle w:val="TableHeading"/>
            </w:pPr>
            <w:r w:rsidRPr="00927002">
              <w:t>Item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7C6802" w14:textId="77777777" w:rsidR="006802E9" w:rsidRPr="00927002" w:rsidRDefault="006802E9" w:rsidP="00D37A41">
            <w:pPr>
              <w:pStyle w:val="TableHeading"/>
            </w:pPr>
            <w:r w:rsidRPr="00927002">
              <w:t>Column 1</w:t>
            </w:r>
          </w:p>
          <w:p w14:paraId="2FAECF3F" w14:textId="77777777" w:rsidR="006802E9" w:rsidRPr="00927002" w:rsidRDefault="00097540" w:rsidP="00D37A41">
            <w:pPr>
              <w:pStyle w:val="TableHeading"/>
            </w:pPr>
            <w:r w:rsidRPr="00927002">
              <w:t>Provision of DAWR Agreement</w:t>
            </w:r>
          </w:p>
        </w:tc>
        <w:tc>
          <w:tcPr>
            <w:tcW w:w="56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517867" w14:textId="77777777" w:rsidR="006802E9" w:rsidRPr="00927002" w:rsidRDefault="006802E9" w:rsidP="00D37A41">
            <w:pPr>
              <w:pStyle w:val="TableHeading"/>
            </w:pPr>
            <w:r w:rsidRPr="00927002">
              <w:t>Column 2</w:t>
            </w:r>
          </w:p>
          <w:p w14:paraId="3085036D" w14:textId="77777777" w:rsidR="006802E9" w:rsidRPr="00927002" w:rsidRDefault="006802E9" w:rsidP="00D37A41">
            <w:pPr>
              <w:pStyle w:val="TableHeading"/>
            </w:pPr>
            <w:r w:rsidRPr="00927002">
              <w:t>Updated provision</w:t>
            </w:r>
          </w:p>
        </w:tc>
      </w:tr>
      <w:tr w:rsidR="006802E9" w:rsidRPr="00927002" w14:paraId="1F168E56" w14:textId="77777777" w:rsidTr="00D37A4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021C1D6" w14:textId="77777777" w:rsidR="006802E9" w:rsidRPr="00927002" w:rsidRDefault="006802E9" w:rsidP="00D37A41">
            <w:pPr>
              <w:pStyle w:val="Tabletext"/>
            </w:pPr>
            <w:r w:rsidRPr="00927002">
              <w:t>1</w:t>
            </w:r>
          </w:p>
        </w:tc>
        <w:tc>
          <w:tcPr>
            <w:tcW w:w="1975" w:type="dxa"/>
            <w:tcBorders>
              <w:bottom w:val="single" w:sz="2" w:space="0" w:color="auto"/>
            </w:tcBorders>
            <w:shd w:val="clear" w:color="auto" w:fill="auto"/>
          </w:tcPr>
          <w:p w14:paraId="3A160E6D" w14:textId="77777777" w:rsidR="006802E9" w:rsidRPr="00927002" w:rsidRDefault="006802E9" w:rsidP="00D37A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34.1 (classification structure)</w:t>
            </w:r>
          </w:p>
        </w:tc>
        <w:tc>
          <w:tcPr>
            <w:tcW w:w="5623" w:type="dxa"/>
            <w:tcBorders>
              <w:bottom w:val="single" w:sz="2" w:space="0" w:color="auto"/>
            </w:tcBorders>
            <w:shd w:val="clear" w:color="auto" w:fill="auto"/>
          </w:tcPr>
          <w:p w14:paraId="7B3443B6" w14:textId="77777777" w:rsidR="006802E9" w:rsidRPr="00927002" w:rsidRDefault="006802E9" w:rsidP="00097540">
            <w:pPr>
              <w:pStyle w:val="Tabletext"/>
            </w:pPr>
            <w:r w:rsidRPr="00927002">
              <w:t>The classification structure outlined at Schedule</w:t>
            </w:r>
            <w:r w:rsidR="00927002" w:rsidRPr="00927002">
              <w:t> </w:t>
            </w:r>
            <w:r w:rsidRPr="00927002">
              <w:t xml:space="preserve">1 of this Agreement comprises the </w:t>
            </w:r>
            <w:r w:rsidR="00741470" w:rsidRPr="00927002">
              <w:t>veterinarian discipline specific stream.</w:t>
            </w:r>
          </w:p>
        </w:tc>
      </w:tr>
      <w:tr w:rsidR="006802E9" w:rsidRPr="00927002" w14:paraId="73FACB0B" w14:textId="77777777" w:rsidTr="00D37A4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F5F3E67" w14:textId="77777777" w:rsidR="006802E9" w:rsidRPr="00927002" w:rsidRDefault="006802E9" w:rsidP="00D37A41">
            <w:pPr>
              <w:pStyle w:val="Tabletext"/>
            </w:pPr>
            <w:r w:rsidRPr="00927002">
              <w:t>2</w:t>
            </w:r>
          </w:p>
        </w:tc>
        <w:tc>
          <w:tcPr>
            <w:tcW w:w="1975" w:type="dxa"/>
            <w:tcBorders>
              <w:bottom w:val="single" w:sz="2" w:space="0" w:color="auto"/>
            </w:tcBorders>
            <w:shd w:val="clear" w:color="auto" w:fill="auto"/>
          </w:tcPr>
          <w:p w14:paraId="43E9C1FF" w14:textId="77777777" w:rsidR="006802E9" w:rsidRPr="00927002" w:rsidRDefault="006802E9" w:rsidP="00D37A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34.3 (transitional arrangements)</w:t>
            </w:r>
          </w:p>
        </w:tc>
        <w:tc>
          <w:tcPr>
            <w:tcW w:w="5623" w:type="dxa"/>
            <w:tcBorders>
              <w:bottom w:val="single" w:sz="2" w:space="0" w:color="auto"/>
            </w:tcBorders>
            <w:shd w:val="clear" w:color="auto" w:fill="auto"/>
          </w:tcPr>
          <w:p w14:paraId="79C41F89" w14:textId="77777777" w:rsidR="006802E9" w:rsidRPr="00927002" w:rsidRDefault="006802E9" w:rsidP="00D37A41">
            <w:pPr>
              <w:pStyle w:val="Tabletext"/>
            </w:pPr>
            <w:r w:rsidRPr="00927002">
              <w:t>The transitional arrangements at Schedule</w:t>
            </w:r>
            <w:r w:rsidR="00927002" w:rsidRPr="00927002">
              <w:t> </w:t>
            </w:r>
            <w:r w:rsidRPr="00927002">
              <w:t>2 apply to the veterinarian discipline specific stream.</w:t>
            </w:r>
          </w:p>
        </w:tc>
      </w:tr>
      <w:tr w:rsidR="006802E9" w:rsidRPr="00927002" w14:paraId="7B0EB00F" w14:textId="77777777" w:rsidTr="00D37A4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4C63FF" w14:textId="77777777" w:rsidR="006802E9" w:rsidRPr="00927002" w:rsidRDefault="008F1B63" w:rsidP="00D37A41">
            <w:pPr>
              <w:pStyle w:val="Tabletext"/>
            </w:pPr>
            <w:r w:rsidRPr="00927002">
              <w:lastRenderedPageBreak/>
              <w:t>3</w:t>
            </w:r>
          </w:p>
        </w:tc>
        <w:tc>
          <w:tcPr>
            <w:tcW w:w="19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A52958" w14:textId="77777777" w:rsidR="006802E9" w:rsidRPr="00927002" w:rsidRDefault="006802E9" w:rsidP="00D37A41">
            <w:pPr>
              <w:pStyle w:val="Tabletext"/>
            </w:pPr>
            <w:r w:rsidRPr="00927002">
              <w:t>clause</w:t>
            </w:r>
            <w:r w:rsidR="00927002" w:rsidRPr="00927002">
              <w:t> </w:t>
            </w:r>
            <w:r w:rsidRPr="00927002">
              <w:t>1 of Schedule</w:t>
            </w:r>
            <w:r w:rsidR="00927002" w:rsidRPr="00927002">
              <w:t> </w:t>
            </w:r>
            <w:r w:rsidRPr="00927002">
              <w:t>2 (transitional arrangements)</w:t>
            </w:r>
          </w:p>
        </w:tc>
        <w:tc>
          <w:tcPr>
            <w:tcW w:w="562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2FEA9E" w14:textId="77777777" w:rsidR="006802E9" w:rsidRPr="00927002" w:rsidRDefault="006802E9" w:rsidP="00D37A41">
            <w:pPr>
              <w:pStyle w:val="Tablea"/>
            </w:pPr>
            <w:r w:rsidRPr="00927002">
              <w:t>(a) If you are an employee who:</w:t>
            </w:r>
          </w:p>
          <w:p w14:paraId="6048541D" w14:textId="77777777" w:rsidR="006802E9" w:rsidRPr="00927002" w:rsidRDefault="006802E9" w:rsidP="00D37A41">
            <w:pPr>
              <w:pStyle w:val="Tablei"/>
            </w:pPr>
            <w:r w:rsidRPr="00927002">
              <w:t>(</w:t>
            </w:r>
            <w:proofErr w:type="spellStart"/>
            <w:r w:rsidRPr="00927002">
              <w:t>i</w:t>
            </w:r>
            <w:proofErr w:type="spellEnd"/>
            <w:r w:rsidRPr="00927002">
              <w:t xml:space="preserve">) was moved to the department by the </w:t>
            </w:r>
            <w:r w:rsidRPr="00927002">
              <w:rPr>
                <w:i/>
              </w:rPr>
              <w:t>Public Service (Machinery of government changes) Determination (No.</w:t>
            </w:r>
            <w:r w:rsidR="00927002" w:rsidRPr="00927002">
              <w:rPr>
                <w:i/>
              </w:rPr>
              <w:t> </w:t>
            </w:r>
            <w:r w:rsidR="00B748FA" w:rsidRPr="00927002">
              <w:rPr>
                <w:i/>
              </w:rPr>
              <w:t>6</w:t>
            </w:r>
            <w:r w:rsidRPr="00927002">
              <w:rPr>
                <w:i/>
              </w:rPr>
              <w:t>) 2020</w:t>
            </w:r>
            <w:r w:rsidRPr="00927002">
              <w:t>; and</w:t>
            </w:r>
          </w:p>
          <w:p w14:paraId="51CFB687" w14:textId="77777777" w:rsidR="006802E9" w:rsidRPr="00927002" w:rsidRDefault="006802E9" w:rsidP="00D37A41">
            <w:pPr>
              <w:pStyle w:val="Tablei"/>
            </w:pPr>
            <w:r w:rsidRPr="00927002">
              <w:t xml:space="preserve">(ii) immediately before that movement, was classified and paid at any of the pay points within the classification structure at Table 1 </w:t>
            </w:r>
            <w:proofErr w:type="gramStart"/>
            <w:r w:rsidR="008F1B63" w:rsidRPr="00927002">
              <w:t>below</w:t>
            </w:r>
            <w:r w:rsidRPr="00927002">
              <w:t>;</w:t>
            </w:r>
            <w:proofErr w:type="gramEnd"/>
          </w:p>
          <w:p w14:paraId="289A294B" w14:textId="77777777" w:rsidR="006802E9" w:rsidRPr="00927002" w:rsidRDefault="002E31B5" w:rsidP="00D37A41">
            <w:pPr>
              <w:pStyle w:val="Tablea"/>
            </w:pPr>
            <w:r w:rsidRPr="00927002">
              <w:t xml:space="preserve">     </w:t>
            </w:r>
            <w:r w:rsidR="006802E9" w:rsidRPr="00927002">
              <w:t>you will continue to be assigned that classification and pay point.</w:t>
            </w:r>
          </w:p>
          <w:p w14:paraId="3D2EEA54" w14:textId="77777777" w:rsidR="006802E9" w:rsidRPr="00927002" w:rsidRDefault="006802E9" w:rsidP="00D37A41">
            <w:pPr>
              <w:pStyle w:val="Tablea"/>
            </w:pPr>
            <w:r w:rsidRPr="00927002">
              <w:t>(b) You will have access to any higher pay points within your classification in accordance with the pay point progression provisions of this Agreement (refer clause</w:t>
            </w:r>
            <w:r w:rsidR="008F1B63" w:rsidRPr="00927002">
              <w:t>s</w:t>
            </w:r>
            <w:r w:rsidR="00927002" w:rsidRPr="00927002">
              <w:t> </w:t>
            </w:r>
            <w:r w:rsidRPr="00927002">
              <w:t>4.49</w:t>
            </w:r>
            <w:r w:rsidR="008F1B63" w:rsidRPr="00927002">
              <w:t xml:space="preserve"> to 4.51</w:t>
            </w:r>
            <w:r w:rsidRPr="00927002">
              <w:t>).</w:t>
            </w:r>
          </w:p>
          <w:p w14:paraId="4BE06850" w14:textId="77777777" w:rsidR="006802E9" w:rsidRPr="00927002" w:rsidRDefault="006802E9" w:rsidP="00D37A41">
            <w:pPr>
              <w:pStyle w:val="Tablea"/>
            </w:pPr>
            <w:r w:rsidRPr="00927002">
              <w:t>(c) Transitioning to the new veterinarian classification structure at Table 2 of Schedule</w:t>
            </w:r>
            <w:r w:rsidR="00927002" w:rsidRPr="00927002">
              <w:t> </w:t>
            </w:r>
            <w:r w:rsidRPr="00927002">
              <w:t xml:space="preserve">1 will occur on promotion following a </w:t>
            </w:r>
            <w:proofErr w:type="gramStart"/>
            <w:r w:rsidRPr="00927002">
              <w:t>merit based</w:t>
            </w:r>
            <w:proofErr w:type="gramEnd"/>
            <w:r w:rsidRPr="00927002">
              <w:t xml:space="preserve"> selection process.</w:t>
            </w:r>
          </w:p>
        </w:tc>
      </w:tr>
    </w:tbl>
    <w:p w14:paraId="7D8517F9" w14:textId="77777777" w:rsidR="00FC0CEA" w:rsidRPr="00927002" w:rsidRDefault="00FC0CEA" w:rsidP="00FC0CEA">
      <w:pPr>
        <w:pStyle w:val="subsection"/>
      </w:pPr>
      <w:r w:rsidRPr="00927002">
        <w:tab/>
        <w:t>(</w:t>
      </w:r>
      <w:r w:rsidR="007050CA" w:rsidRPr="00927002">
        <w:t>6</w:t>
      </w:r>
      <w:r w:rsidRPr="00927002">
        <w:t>)</w:t>
      </w:r>
      <w:r w:rsidRPr="00927002">
        <w:tab/>
        <w:t xml:space="preserve">For the purposes of </w:t>
      </w:r>
      <w:r w:rsidR="00927002" w:rsidRPr="00927002">
        <w:t>paragraph (</w:t>
      </w:r>
      <w:r w:rsidRPr="00927002">
        <w:t>2)(d), the DAWR Agr</w:t>
      </w:r>
      <w:r w:rsidR="00E60977" w:rsidRPr="00927002">
        <w:t>eement has effect as if table 2 in</w:t>
      </w:r>
      <w:r w:rsidRPr="00927002">
        <w:t xml:space="preserve"> Schedule</w:t>
      </w:r>
      <w:r w:rsidR="00927002" w:rsidRPr="00927002">
        <w:t> </w:t>
      </w:r>
      <w:r w:rsidRPr="00927002">
        <w:t xml:space="preserve">1 </w:t>
      </w:r>
      <w:r w:rsidR="00E60977" w:rsidRPr="00927002">
        <w:t>to</w:t>
      </w:r>
      <w:r w:rsidRPr="00927002">
        <w:t xml:space="preserve"> the DAWR Agreement (veterinarian classification and salaries) were omitted and substituted with the updated table in subsection</w:t>
      </w:r>
      <w:r w:rsidR="00927002" w:rsidRPr="00927002">
        <w:t> </w:t>
      </w:r>
      <w:r w:rsidRPr="00927002">
        <w:t>8(7) of this instrument.</w:t>
      </w:r>
    </w:p>
    <w:p w14:paraId="75F59447" w14:textId="77777777" w:rsidR="008D7A56" w:rsidRPr="00927002" w:rsidRDefault="007050CA" w:rsidP="008D7A56">
      <w:pPr>
        <w:pStyle w:val="subsection"/>
      </w:pPr>
      <w:r w:rsidRPr="00927002">
        <w:tab/>
        <w:t>(7</w:t>
      </w:r>
      <w:r w:rsidR="008D7A56" w:rsidRPr="00927002">
        <w:t>)</w:t>
      </w:r>
      <w:r w:rsidR="008D7A56" w:rsidRPr="00927002">
        <w:tab/>
        <w:t xml:space="preserve">For the purposes of </w:t>
      </w:r>
      <w:r w:rsidR="00927002" w:rsidRPr="00927002">
        <w:t>paragraph (</w:t>
      </w:r>
      <w:r w:rsidR="008D7A56" w:rsidRPr="00927002">
        <w:t xml:space="preserve">2)(d), the DAWR Agreement has effect as if table 1 </w:t>
      </w:r>
      <w:r w:rsidR="00E60977" w:rsidRPr="00927002">
        <w:t>in</w:t>
      </w:r>
      <w:r w:rsidR="008D7A56" w:rsidRPr="00927002">
        <w:t xml:space="preserve"> Schedule</w:t>
      </w:r>
      <w:r w:rsidR="00927002" w:rsidRPr="00927002">
        <w:t> </w:t>
      </w:r>
      <w:r w:rsidR="008D7A56" w:rsidRPr="00927002">
        <w:t xml:space="preserve">2 </w:t>
      </w:r>
      <w:r w:rsidR="00E60977" w:rsidRPr="00927002">
        <w:t>to</w:t>
      </w:r>
      <w:r w:rsidR="008D7A56" w:rsidRPr="00927002">
        <w:t xml:space="preserve"> the DAWR Agreement (</w:t>
      </w:r>
      <w:r w:rsidR="00C80268" w:rsidRPr="00927002">
        <w:t xml:space="preserve">previous </w:t>
      </w:r>
      <w:r w:rsidR="008D7A56" w:rsidRPr="00927002">
        <w:t xml:space="preserve">veterinarian </w:t>
      </w:r>
      <w:r w:rsidR="00C80268" w:rsidRPr="00927002">
        <w:t>structure</w:t>
      </w:r>
      <w:r w:rsidR="008D7A56" w:rsidRPr="00927002">
        <w:t>) were omitted and substituted with the updated table in subsection</w:t>
      </w:r>
      <w:r w:rsidR="00927002" w:rsidRPr="00927002">
        <w:t> </w:t>
      </w:r>
      <w:r w:rsidR="008D7A56" w:rsidRPr="00927002">
        <w:t>8(9) of this instrument.</w:t>
      </w:r>
    </w:p>
    <w:p w14:paraId="69466C7D" w14:textId="77777777" w:rsidR="001455EC" w:rsidRPr="00927002" w:rsidRDefault="001455EC" w:rsidP="001455EC">
      <w:pPr>
        <w:pStyle w:val="SubsectionHead"/>
      </w:pPr>
      <w:r w:rsidRPr="00927002">
        <w:t xml:space="preserve">Cessation of allowance rates under this </w:t>
      </w:r>
      <w:r w:rsidR="001868E5">
        <w:t>Part i</w:t>
      </w:r>
      <w:r w:rsidRPr="00927002">
        <w:t>f increased by a determination under subsection</w:t>
      </w:r>
      <w:r w:rsidR="00927002" w:rsidRPr="00927002">
        <w:t> </w:t>
      </w:r>
      <w:r w:rsidRPr="00927002">
        <w:t xml:space="preserve">24(1) of the </w:t>
      </w:r>
      <w:proofErr w:type="gramStart"/>
      <w:r w:rsidRPr="00927002">
        <w:t>Act</w:t>
      </w:r>
      <w:proofErr w:type="gramEnd"/>
    </w:p>
    <w:p w14:paraId="4DBCEBA0" w14:textId="77777777" w:rsidR="001455EC" w:rsidRPr="00927002" w:rsidRDefault="007050CA" w:rsidP="001455EC">
      <w:pPr>
        <w:pStyle w:val="subsection"/>
      </w:pPr>
      <w:r w:rsidRPr="00927002">
        <w:tab/>
        <w:t>(8</w:t>
      </w:r>
      <w:r w:rsidR="001455EC" w:rsidRPr="00927002">
        <w:t>)</w:t>
      </w:r>
      <w:r w:rsidR="001455EC" w:rsidRPr="00927002">
        <w:tab/>
        <w:t>If a determination under subsection</w:t>
      </w:r>
      <w:r w:rsidR="00927002" w:rsidRPr="00927002">
        <w:t> </w:t>
      </w:r>
      <w:r w:rsidR="001455EC" w:rsidRPr="00927002">
        <w:t>24(1) of the Act provides for an increased amount of an allowance set out in the table in Schedule</w:t>
      </w:r>
      <w:r w:rsidR="00927002" w:rsidRPr="00927002">
        <w:t> </w:t>
      </w:r>
      <w:r w:rsidR="001455EC" w:rsidRPr="00927002">
        <w:t xml:space="preserve">2 of the DEE Agreement (allowances), </w:t>
      </w:r>
      <w:r w:rsidR="006B1BED" w:rsidRPr="00927002">
        <w:t xml:space="preserve">the allowance rate that applies under </w:t>
      </w:r>
      <w:r w:rsidR="00927002" w:rsidRPr="00927002">
        <w:t>subsection (</w:t>
      </w:r>
      <w:r w:rsidR="006B1BED" w:rsidRPr="00927002">
        <w:t xml:space="preserve">3) of this section for that allowance </w:t>
      </w:r>
      <w:r w:rsidR="001455EC" w:rsidRPr="00927002">
        <w:t>cease</w:t>
      </w:r>
      <w:r w:rsidR="006B1BED" w:rsidRPr="00927002">
        <w:t>s</w:t>
      </w:r>
      <w:r w:rsidR="001455EC" w:rsidRPr="00927002">
        <w:t xml:space="preserve"> to have effect on the com</w:t>
      </w:r>
      <w:r w:rsidR="006B1BED" w:rsidRPr="00927002">
        <w:t>mencement of that determination.</w:t>
      </w:r>
    </w:p>
    <w:p w14:paraId="63A82866" w14:textId="77777777" w:rsidR="006B1BED" w:rsidRPr="00927002" w:rsidRDefault="006B1BED" w:rsidP="006B1BED">
      <w:pPr>
        <w:pStyle w:val="SubsectionHead"/>
      </w:pPr>
      <w:r w:rsidRPr="00927002">
        <w:t xml:space="preserve">Cessation of salary rates under this </w:t>
      </w:r>
      <w:r w:rsidR="001868E5">
        <w:t>Part i</w:t>
      </w:r>
      <w:r w:rsidRPr="00927002">
        <w:t>f increased by a determination under subsection</w:t>
      </w:r>
      <w:r w:rsidR="00927002" w:rsidRPr="00927002">
        <w:t> </w:t>
      </w:r>
      <w:r w:rsidRPr="00927002">
        <w:t xml:space="preserve">24(1) of the Act—DAWR Agreement </w:t>
      </w:r>
      <w:proofErr w:type="gramStart"/>
      <w:r w:rsidRPr="00927002">
        <w:t>provisions</w:t>
      </w:r>
      <w:proofErr w:type="gramEnd"/>
    </w:p>
    <w:p w14:paraId="4522B1A3" w14:textId="77777777" w:rsidR="001868E5" w:rsidRDefault="007050CA" w:rsidP="001868E5">
      <w:pPr>
        <w:pStyle w:val="subsection"/>
      </w:pPr>
      <w:r w:rsidRPr="00927002">
        <w:tab/>
        <w:t>(9</w:t>
      </w:r>
      <w:r w:rsidR="006B1BED" w:rsidRPr="00927002">
        <w:t>)</w:t>
      </w:r>
      <w:r w:rsidR="006B1BED" w:rsidRPr="00927002">
        <w:tab/>
        <w:t>If a determination under subsection</w:t>
      </w:r>
      <w:r w:rsidR="00927002" w:rsidRPr="00927002">
        <w:t> </w:t>
      </w:r>
      <w:r w:rsidR="006B1BED" w:rsidRPr="00927002">
        <w:t>24(1) of the Act provides for an increased amount of salary for a classification set out in a table in subsection</w:t>
      </w:r>
      <w:r w:rsidR="00927002" w:rsidRPr="00927002">
        <w:t> </w:t>
      </w:r>
      <w:r w:rsidR="00C368C4" w:rsidRPr="00927002">
        <w:t>8</w:t>
      </w:r>
      <w:r w:rsidR="006B1BED" w:rsidRPr="00927002">
        <w:t xml:space="preserve">(7), (8) or (9) of this </w:t>
      </w:r>
      <w:r w:rsidR="00B91C42" w:rsidRPr="00927002">
        <w:t>instrument</w:t>
      </w:r>
      <w:r w:rsidR="006B1BED" w:rsidRPr="00927002">
        <w:t xml:space="preserve"> (veterinarian classifications and salaries), the pay rate set out in that table for that classification ceases to have effect on the commencement of that determination.</w:t>
      </w:r>
      <w:bookmarkStart w:id="16" w:name="_Toc31206282"/>
    </w:p>
    <w:p w14:paraId="5F059939" w14:textId="77777777" w:rsidR="00D56F2C" w:rsidRPr="00927002" w:rsidRDefault="00420903" w:rsidP="00873E20">
      <w:pPr>
        <w:pStyle w:val="ActHead5"/>
        <w:pageBreakBefore/>
        <w:spacing w:before="360"/>
      </w:pPr>
      <w:proofErr w:type="gramStart"/>
      <w:r w:rsidRPr="00EB7EF9">
        <w:rPr>
          <w:rStyle w:val="CharSectno"/>
        </w:rPr>
        <w:lastRenderedPageBreak/>
        <w:t>1</w:t>
      </w:r>
      <w:r w:rsidR="001868E5" w:rsidRPr="00EB7EF9">
        <w:rPr>
          <w:rStyle w:val="CharSectno"/>
        </w:rPr>
        <w:t>4</w:t>
      </w:r>
      <w:r w:rsidR="00D56F2C" w:rsidRPr="00927002">
        <w:t xml:space="preserve">  Procedure</w:t>
      </w:r>
      <w:proofErr w:type="gramEnd"/>
      <w:r w:rsidR="00D56F2C" w:rsidRPr="00927002">
        <w:t xml:space="preserve"> for dealing with disputes</w:t>
      </w:r>
      <w:bookmarkEnd w:id="16"/>
    </w:p>
    <w:p w14:paraId="74D405D5" w14:textId="77777777" w:rsidR="00D56F2C" w:rsidRPr="00927002" w:rsidRDefault="00D56F2C" w:rsidP="00D56F2C">
      <w:pPr>
        <w:pStyle w:val="subsection"/>
      </w:pPr>
      <w:r w:rsidRPr="00927002">
        <w:tab/>
      </w:r>
      <w:r w:rsidRPr="00927002">
        <w:tab/>
        <w:t>For the avoidance of doubt, clauses</w:t>
      </w:r>
      <w:r w:rsidR="00927002" w:rsidRPr="00927002">
        <w:t> </w:t>
      </w:r>
      <w:r w:rsidRPr="00927002">
        <w:t xml:space="preserve">2.24 to 2.31 (resolution of agreement disputes) of the DEE </w:t>
      </w:r>
      <w:r w:rsidR="00BE1466" w:rsidRPr="00927002">
        <w:t xml:space="preserve">(Veterinarian) </w:t>
      </w:r>
      <w:r w:rsidRPr="00927002">
        <w:t>Agreement:</w:t>
      </w:r>
    </w:p>
    <w:p w14:paraId="04F0AC53" w14:textId="77777777" w:rsidR="00D56F2C" w:rsidRPr="00927002" w:rsidRDefault="00D56F2C" w:rsidP="00D56F2C">
      <w:pPr>
        <w:pStyle w:val="paragraph"/>
      </w:pPr>
      <w:r w:rsidRPr="00927002">
        <w:tab/>
        <w:t>(a)</w:t>
      </w:r>
      <w:r w:rsidRPr="00927002">
        <w:tab/>
        <w:t>are terms or conditions of employment applying to an APS employee to which this Part applies; and</w:t>
      </w:r>
    </w:p>
    <w:p w14:paraId="200FAE04" w14:textId="77777777" w:rsidR="00D56F2C" w:rsidRPr="00927002" w:rsidRDefault="00D56F2C" w:rsidP="00D56F2C">
      <w:pPr>
        <w:pStyle w:val="paragraph"/>
      </w:pPr>
      <w:r w:rsidRPr="00927002">
        <w:tab/>
        <w:t>(b)</w:t>
      </w:r>
      <w:r w:rsidRPr="00927002">
        <w:tab/>
        <w:t>for the purposes of paragraph</w:t>
      </w:r>
      <w:r w:rsidR="00927002" w:rsidRPr="00927002">
        <w:t> </w:t>
      </w:r>
      <w:r w:rsidRPr="00927002">
        <w:t xml:space="preserve">738(d) of the </w:t>
      </w:r>
      <w:r w:rsidRPr="00927002">
        <w:rPr>
          <w:i/>
        </w:rPr>
        <w:t>Fair</w:t>
      </w:r>
      <w:r w:rsidRPr="00927002">
        <w:t xml:space="preserve"> </w:t>
      </w:r>
      <w:r w:rsidRPr="00927002">
        <w:rPr>
          <w:i/>
        </w:rPr>
        <w:t>Work Act 2009</w:t>
      </w:r>
      <w:r w:rsidRPr="00927002">
        <w:t>, are terms that provide a procedure for dealing with disputes arising under this Part.</w:t>
      </w:r>
    </w:p>
    <w:p w14:paraId="14939C55" w14:textId="77777777" w:rsidR="00D277E5" w:rsidRPr="00927002" w:rsidRDefault="00D277E5">
      <w:pPr>
        <w:sectPr w:rsidR="00D277E5" w:rsidRPr="00927002" w:rsidSect="002036B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14:paraId="7DE12A4A" w14:textId="77777777" w:rsidR="00DE5160" w:rsidRPr="00927002" w:rsidRDefault="00DE5160" w:rsidP="001B444B">
      <w:pPr>
        <w:rPr>
          <w:b/>
          <w:i/>
        </w:rPr>
      </w:pPr>
    </w:p>
    <w:sectPr w:rsidR="00DE5160" w:rsidRPr="00927002" w:rsidSect="002036B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4AF8" w14:textId="77777777" w:rsidR="00AC0149" w:rsidRDefault="00AC0149" w:rsidP="00715914">
      <w:pPr>
        <w:spacing w:line="240" w:lineRule="auto"/>
      </w:pPr>
      <w:r>
        <w:separator/>
      </w:r>
    </w:p>
  </w:endnote>
  <w:endnote w:type="continuationSeparator" w:id="0">
    <w:p w14:paraId="0E5BFBE8" w14:textId="77777777" w:rsidR="00AC0149" w:rsidRDefault="00AC014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4A1E" w14:textId="77777777" w:rsidR="002036B3" w:rsidRPr="002036B3" w:rsidRDefault="002036B3" w:rsidP="002036B3">
    <w:pPr>
      <w:pStyle w:val="Footer"/>
      <w:rPr>
        <w:i/>
        <w:sz w:val="18"/>
      </w:rPr>
    </w:pPr>
    <w:r w:rsidRPr="002036B3">
      <w:rPr>
        <w:i/>
        <w:sz w:val="18"/>
      </w:rPr>
      <w:t>OPC64381 -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6AED" w14:textId="77777777" w:rsidR="001868E5" w:rsidRPr="00E33C1C" w:rsidRDefault="001868E5" w:rsidP="00D2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868E5" w14:paraId="333D0DBE" w14:textId="77777777" w:rsidTr="00542D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6DA890" w14:textId="77777777" w:rsidR="001868E5" w:rsidRDefault="001868E5" w:rsidP="00542D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E88B6F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39FA1E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12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44F862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2D2F" w14:textId="77777777" w:rsidR="001868E5" w:rsidRPr="00E33C1C" w:rsidRDefault="001868E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868E5" w14:paraId="4B419F2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584901" w14:textId="77777777" w:rsidR="001868E5" w:rsidRDefault="001868E5" w:rsidP="00542D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F5788B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1E236C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12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848359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68F8" w14:textId="77777777" w:rsidR="001868E5" w:rsidRDefault="001868E5" w:rsidP="00D277E5">
    <w:pPr>
      <w:pStyle w:val="Footer"/>
      <w:spacing w:before="120"/>
    </w:pPr>
  </w:p>
  <w:p w14:paraId="2252E423" w14:textId="77777777" w:rsidR="001868E5" w:rsidRPr="002036B3" w:rsidRDefault="002036B3" w:rsidP="002036B3">
    <w:pPr>
      <w:pStyle w:val="Footer"/>
      <w:rPr>
        <w:i/>
        <w:sz w:val="18"/>
      </w:rPr>
    </w:pPr>
    <w:r w:rsidRPr="002036B3">
      <w:rPr>
        <w:i/>
        <w:sz w:val="18"/>
      </w:rPr>
      <w:t>OPC64381 -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B201" w14:textId="77777777" w:rsidR="001868E5" w:rsidRPr="002036B3" w:rsidRDefault="002036B3" w:rsidP="002036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36B3">
      <w:rPr>
        <w:i/>
        <w:sz w:val="18"/>
      </w:rPr>
      <w:t>OPC64381 -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3E3" w14:textId="77777777" w:rsidR="001868E5" w:rsidRPr="00E33C1C" w:rsidRDefault="001868E5" w:rsidP="00D2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68E5" w14:paraId="40510C0B" w14:textId="77777777" w:rsidTr="001A6B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48351" w14:textId="77777777" w:rsidR="001868E5" w:rsidRDefault="001868E5" w:rsidP="00542D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12A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8E8AD3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7096AB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</w:p>
      </w:tc>
    </w:tr>
  </w:tbl>
  <w:p w14:paraId="0047C775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A3A4" w14:textId="77777777" w:rsidR="001868E5" w:rsidRPr="00E33C1C" w:rsidRDefault="001868E5" w:rsidP="00D2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868E5" w14:paraId="06D35D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08E04" w14:textId="77777777" w:rsidR="001868E5" w:rsidRDefault="001868E5" w:rsidP="00542DE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174F536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EFF693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C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A60BCC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AC41" w14:textId="77777777" w:rsidR="001868E5" w:rsidRPr="00FF448D" w:rsidRDefault="001868E5" w:rsidP="00D2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68E5" w14:paraId="6D24DDFB" w14:textId="77777777" w:rsidTr="001A6B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523F82" w14:textId="77777777" w:rsidR="001868E5" w:rsidRDefault="001868E5" w:rsidP="00542D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CC9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B4ED9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EC8E88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</w:p>
      </w:tc>
    </w:tr>
  </w:tbl>
  <w:p w14:paraId="3A64D9A6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1610" w14:textId="77777777" w:rsidR="001868E5" w:rsidRPr="00D1021D" w:rsidRDefault="001868E5" w:rsidP="00D2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868E5" w14:paraId="7CEBA08F" w14:textId="77777777" w:rsidTr="00542D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53AF5" w14:textId="77777777" w:rsidR="001868E5" w:rsidRDefault="001868E5" w:rsidP="00542D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C385FF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85BEF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CC9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7B8BC0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BBB2" w14:textId="77777777" w:rsidR="001868E5" w:rsidRDefault="001868E5">
    <w:pPr>
      <w:pBdr>
        <w:top w:val="single" w:sz="6" w:space="1" w:color="auto"/>
      </w:pBdr>
      <w:rPr>
        <w:sz w:val="18"/>
      </w:rPr>
    </w:pPr>
  </w:p>
  <w:p w14:paraId="3B106791" w14:textId="77777777" w:rsidR="001868E5" w:rsidRDefault="001868E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2112A">
      <w:rPr>
        <w:i/>
        <w:noProof/>
        <w:sz w:val="18"/>
      </w:rPr>
      <w:t>Public Service (Terms and Conditions of Employment) (Biosecurity and Veterinarian Employees) Determination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2112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2112A">
      <w:rPr>
        <w:i/>
        <w:noProof/>
        <w:sz w:val="18"/>
      </w:rPr>
      <w:t>12</w:t>
    </w:r>
    <w:r>
      <w:rPr>
        <w:i/>
        <w:sz w:val="18"/>
      </w:rPr>
      <w:fldChar w:fldCharType="end"/>
    </w:r>
  </w:p>
  <w:p w14:paraId="7F61FF96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0FF3" w14:textId="77777777" w:rsidR="001868E5" w:rsidRPr="00E33C1C" w:rsidRDefault="001868E5" w:rsidP="00D277E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68E5" w14:paraId="434DAA2C" w14:textId="77777777" w:rsidTr="001A6B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6DC701" w14:textId="77777777" w:rsidR="001868E5" w:rsidRDefault="001868E5" w:rsidP="00542D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112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83028" w14:textId="77777777" w:rsidR="001868E5" w:rsidRDefault="001868E5" w:rsidP="00542D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112A">
            <w:rPr>
              <w:i/>
              <w:sz w:val="18"/>
            </w:rPr>
            <w:t>Public Service (Terms and Conditions of Employment) (Biosecurity and Veterinarian Employees)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C2A40" w14:textId="77777777" w:rsidR="001868E5" w:rsidRDefault="001868E5" w:rsidP="00542DE8">
          <w:pPr>
            <w:spacing w:line="0" w:lineRule="atLeast"/>
            <w:jc w:val="right"/>
            <w:rPr>
              <w:sz w:val="18"/>
            </w:rPr>
          </w:pPr>
        </w:p>
      </w:tc>
    </w:tr>
  </w:tbl>
  <w:p w14:paraId="15863A6C" w14:textId="77777777" w:rsidR="001868E5" w:rsidRPr="002036B3" w:rsidRDefault="002036B3" w:rsidP="002036B3">
    <w:pPr>
      <w:rPr>
        <w:rFonts w:cs="Times New Roman"/>
        <w:i/>
        <w:sz w:val="18"/>
      </w:rPr>
    </w:pPr>
    <w:r w:rsidRPr="002036B3">
      <w:rPr>
        <w:rFonts w:cs="Times New Roman"/>
        <w:i/>
        <w:sz w:val="18"/>
      </w:rPr>
      <w:t>OPC64381 -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F579" w14:textId="77777777" w:rsidR="00AC0149" w:rsidRDefault="00AC0149" w:rsidP="00715914">
      <w:pPr>
        <w:spacing w:line="240" w:lineRule="auto"/>
      </w:pPr>
      <w:r>
        <w:separator/>
      </w:r>
    </w:p>
  </w:footnote>
  <w:footnote w:type="continuationSeparator" w:id="0">
    <w:p w14:paraId="4637B4E9" w14:textId="77777777" w:rsidR="00AC0149" w:rsidRDefault="00AC014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5640" w14:textId="77777777" w:rsidR="001868E5" w:rsidRPr="005F1388" w:rsidRDefault="001868E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097B" w14:textId="77777777" w:rsidR="001868E5" w:rsidRDefault="001868E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FD18954" w14:textId="77777777" w:rsidR="001868E5" w:rsidRDefault="001868E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2112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2112A">
      <w:rPr>
        <w:noProof/>
        <w:sz w:val="20"/>
      </w:rPr>
      <w:t>Veterinarian employees who are not biosecurity employees</w:t>
    </w:r>
    <w:r>
      <w:rPr>
        <w:sz w:val="20"/>
      </w:rPr>
      <w:fldChar w:fldCharType="end"/>
    </w:r>
  </w:p>
  <w:p w14:paraId="148E2699" w14:textId="77777777" w:rsidR="001868E5" w:rsidRPr="007A1328" w:rsidRDefault="001868E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6B6F36" w14:textId="77777777" w:rsidR="001868E5" w:rsidRPr="007A1328" w:rsidRDefault="001868E5" w:rsidP="00715914">
    <w:pPr>
      <w:rPr>
        <w:b/>
        <w:sz w:val="24"/>
      </w:rPr>
    </w:pPr>
  </w:p>
  <w:p w14:paraId="309623DD" w14:textId="77777777" w:rsidR="001868E5" w:rsidRPr="007A1328" w:rsidRDefault="001868E5" w:rsidP="00D277E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2112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2112A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BF4C" w14:textId="77777777" w:rsidR="001868E5" w:rsidRPr="007A1328" w:rsidRDefault="001868E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C5AB1AE" w14:textId="77777777" w:rsidR="001868E5" w:rsidRPr="007A1328" w:rsidRDefault="001868E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2112A">
      <w:rPr>
        <w:noProof/>
        <w:sz w:val="20"/>
      </w:rPr>
      <w:t>Veterinarian employees who are not biosecurity employees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2112A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3E5F4FB4" w14:textId="77777777" w:rsidR="001868E5" w:rsidRPr="007A1328" w:rsidRDefault="001868E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9819104" w14:textId="77777777" w:rsidR="001868E5" w:rsidRPr="007A1328" w:rsidRDefault="001868E5" w:rsidP="00715914">
    <w:pPr>
      <w:jc w:val="right"/>
      <w:rPr>
        <w:b/>
        <w:sz w:val="24"/>
      </w:rPr>
    </w:pPr>
  </w:p>
  <w:p w14:paraId="2AA5447C" w14:textId="77777777" w:rsidR="001868E5" w:rsidRPr="007A1328" w:rsidRDefault="001868E5" w:rsidP="00D277E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2112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2112A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7AD2" w14:textId="77777777" w:rsidR="001868E5" w:rsidRPr="007A1328" w:rsidRDefault="001868E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26C4" w14:textId="77777777" w:rsidR="001868E5" w:rsidRPr="005F1388" w:rsidRDefault="001868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B935" w14:textId="77777777" w:rsidR="001868E5" w:rsidRPr="005F1388" w:rsidRDefault="001868E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9479" w14:textId="77777777" w:rsidR="001868E5" w:rsidRPr="00ED79B6" w:rsidRDefault="001868E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9E81" w14:textId="77777777" w:rsidR="001868E5" w:rsidRPr="00ED79B6" w:rsidRDefault="001868E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0268" w14:textId="77777777" w:rsidR="001868E5" w:rsidRPr="00ED79B6" w:rsidRDefault="001868E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C569" w14:textId="272A33CD" w:rsidR="001868E5" w:rsidRPr="00D1021D" w:rsidRDefault="001868E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14:paraId="4DFBFF92" w14:textId="219AB3A4" w:rsidR="001868E5" w:rsidRPr="00D1021D" w:rsidRDefault="001868E5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4C3430">
      <w:rPr>
        <w:b/>
        <w:noProof/>
        <w:sz w:val="20"/>
      </w:rPr>
      <w:t>Part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4C3430">
      <w:rPr>
        <w:noProof/>
        <w:sz w:val="20"/>
      </w:rPr>
      <w:t>Preliminary</w:t>
    </w:r>
    <w:r w:rsidRPr="00D1021D">
      <w:rPr>
        <w:sz w:val="20"/>
      </w:rPr>
      <w:fldChar w:fldCharType="end"/>
    </w:r>
  </w:p>
  <w:p w14:paraId="5788673E" w14:textId="473239FC" w:rsidR="001868E5" w:rsidRPr="00D1021D" w:rsidRDefault="001868E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26EDA23F" w14:textId="77777777" w:rsidR="001868E5" w:rsidRPr="00D1021D" w:rsidRDefault="001868E5">
    <w:pPr>
      <w:rPr>
        <w:b/>
      </w:rPr>
    </w:pPr>
  </w:p>
  <w:p w14:paraId="057613DF" w14:textId="0116F43A" w:rsidR="001868E5" w:rsidRPr="00D1021D" w:rsidRDefault="001868E5" w:rsidP="00D277E5">
    <w:pPr>
      <w:pBdr>
        <w:bottom w:val="single" w:sz="6" w:space="1" w:color="auto"/>
      </w:pBdr>
      <w:spacing w:after="120"/>
    </w:pPr>
    <w:r>
      <w:t>Section</w:t>
    </w:r>
    <w:r w:rsidRPr="00D1021D">
      <w:t xml:space="preserve"> </w:t>
    </w:r>
    <w:fldSimple w:instr=" STYLEREF CharSectno ">
      <w:r w:rsidR="004C3430">
        <w:rPr>
          <w:noProof/>
        </w:rPr>
        <w:t>4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383" w14:textId="4C9F4312" w:rsidR="001868E5" w:rsidRPr="00D1021D" w:rsidRDefault="001868E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14:paraId="5568C59C" w14:textId="00E71765" w:rsidR="001868E5" w:rsidRPr="00D1021D" w:rsidRDefault="001868E5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="004C3430">
      <w:rPr>
        <w:sz w:val="20"/>
      </w:rPr>
      <w:fldChar w:fldCharType="separate"/>
    </w:r>
    <w:r w:rsidR="004C3430">
      <w:rPr>
        <w:noProof/>
        <w:sz w:val="20"/>
      </w:rPr>
      <w:t>Biosecurity employees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="004C3430">
      <w:rPr>
        <w:b/>
        <w:sz w:val="20"/>
      </w:rPr>
      <w:fldChar w:fldCharType="separate"/>
    </w:r>
    <w:r w:rsidR="004C3430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</w:p>
  <w:p w14:paraId="2F71D69A" w14:textId="111C6B7B" w:rsidR="001868E5" w:rsidRPr="00D1021D" w:rsidRDefault="001868E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3D429F1F" w14:textId="77777777" w:rsidR="001868E5" w:rsidRPr="00D1021D" w:rsidRDefault="001868E5">
    <w:pPr>
      <w:jc w:val="right"/>
      <w:rPr>
        <w:b/>
      </w:rPr>
    </w:pPr>
  </w:p>
  <w:p w14:paraId="3FDF458C" w14:textId="5569A04C" w:rsidR="001868E5" w:rsidRPr="00D1021D" w:rsidRDefault="001868E5" w:rsidP="00D277E5">
    <w:pPr>
      <w:pBdr>
        <w:bottom w:val="single" w:sz="6" w:space="1" w:color="auto"/>
      </w:pBdr>
      <w:spacing w:after="120"/>
      <w:jc w:val="right"/>
    </w:pPr>
    <w:r>
      <w:t>Section</w:t>
    </w:r>
    <w:r w:rsidRPr="00D1021D">
      <w:t xml:space="preserve"> </w:t>
    </w:r>
    <w:fldSimple w:instr=" STYLEREF CharSectno ">
      <w:r w:rsidR="004C3430">
        <w:rPr>
          <w:noProof/>
        </w:rPr>
        <w:t>5</w:t>
      </w:r>
    </w:fldSimple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97F1" w14:textId="77777777" w:rsidR="001868E5" w:rsidRDefault="001868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742216533">
    <w:abstractNumId w:val="9"/>
  </w:num>
  <w:num w:numId="2" w16cid:durableId="1977298133">
    <w:abstractNumId w:val="7"/>
  </w:num>
  <w:num w:numId="3" w16cid:durableId="2142379848">
    <w:abstractNumId w:val="6"/>
  </w:num>
  <w:num w:numId="4" w16cid:durableId="1580678386">
    <w:abstractNumId w:val="5"/>
  </w:num>
  <w:num w:numId="5" w16cid:durableId="787625695">
    <w:abstractNumId w:val="4"/>
  </w:num>
  <w:num w:numId="6" w16cid:durableId="810559429">
    <w:abstractNumId w:val="8"/>
  </w:num>
  <w:num w:numId="7" w16cid:durableId="1411735831">
    <w:abstractNumId w:val="3"/>
  </w:num>
  <w:num w:numId="8" w16cid:durableId="800533041">
    <w:abstractNumId w:val="2"/>
  </w:num>
  <w:num w:numId="9" w16cid:durableId="1193110699">
    <w:abstractNumId w:val="1"/>
  </w:num>
  <w:num w:numId="10" w16cid:durableId="108209223">
    <w:abstractNumId w:val="0"/>
  </w:num>
  <w:num w:numId="11" w16cid:durableId="1745566323">
    <w:abstractNumId w:val="15"/>
  </w:num>
  <w:num w:numId="12" w16cid:durableId="1020619953">
    <w:abstractNumId w:val="11"/>
  </w:num>
  <w:num w:numId="13" w16cid:durableId="1893081388">
    <w:abstractNumId w:val="12"/>
  </w:num>
  <w:num w:numId="14" w16cid:durableId="1187409964">
    <w:abstractNumId w:val="14"/>
  </w:num>
  <w:num w:numId="15" w16cid:durableId="2003505029">
    <w:abstractNumId w:val="13"/>
  </w:num>
  <w:num w:numId="16" w16cid:durableId="1031758322">
    <w:abstractNumId w:val="10"/>
  </w:num>
  <w:num w:numId="17" w16cid:durableId="1353067524">
    <w:abstractNumId w:val="17"/>
  </w:num>
  <w:num w:numId="18" w16cid:durableId="1735666645">
    <w:abstractNumId w:val="16"/>
  </w:num>
  <w:num w:numId="19" w16cid:durableId="1754619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BB"/>
    <w:rsid w:val="00000870"/>
    <w:rsid w:val="00004470"/>
    <w:rsid w:val="00010440"/>
    <w:rsid w:val="000136AF"/>
    <w:rsid w:val="00027EC2"/>
    <w:rsid w:val="000437C1"/>
    <w:rsid w:val="000461A8"/>
    <w:rsid w:val="0005365D"/>
    <w:rsid w:val="000614BF"/>
    <w:rsid w:val="0007077F"/>
    <w:rsid w:val="000718C2"/>
    <w:rsid w:val="00071DA7"/>
    <w:rsid w:val="000802A2"/>
    <w:rsid w:val="00082DBB"/>
    <w:rsid w:val="00086287"/>
    <w:rsid w:val="00087167"/>
    <w:rsid w:val="000924EC"/>
    <w:rsid w:val="0009420E"/>
    <w:rsid w:val="00097540"/>
    <w:rsid w:val="00097EE0"/>
    <w:rsid w:val="000A0107"/>
    <w:rsid w:val="000B58FA"/>
    <w:rsid w:val="000B7E30"/>
    <w:rsid w:val="000C0667"/>
    <w:rsid w:val="000C5E30"/>
    <w:rsid w:val="000D05EF"/>
    <w:rsid w:val="000D5669"/>
    <w:rsid w:val="000E2261"/>
    <w:rsid w:val="000F1948"/>
    <w:rsid w:val="000F21C1"/>
    <w:rsid w:val="000F6A8D"/>
    <w:rsid w:val="000F77D3"/>
    <w:rsid w:val="0010745C"/>
    <w:rsid w:val="00113272"/>
    <w:rsid w:val="001174CE"/>
    <w:rsid w:val="00122DCB"/>
    <w:rsid w:val="00132B98"/>
    <w:rsid w:val="00132CEB"/>
    <w:rsid w:val="00141A63"/>
    <w:rsid w:val="00142B62"/>
    <w:rsid w:val="00143D2D"/>
    <w:rsid w:val="0014539C"/>
    <w:rsid w:val="001455EC"/>
    <w:rsid w:val="0014640C"/>
    <w:rsid w:val="00153848"/>
    <w:rsid w:val="00153893"/>
    <w:rsid w:val="00153BE5"/>
    <w:rsid w:val="00157B8B"/>
    <w:rsid w:val="00166C2F"/>
    <w:rsid w:val="001710A8"/>
    <w:rsid w:val="0017454D"/>
    <w:rsid w:val="001809D7"/>
    <w:rsid w:val="001858E3"/>
    <w:rsid w:val="001868E5"/>
    <w:rsid w:val="001939E1"/>
    <w:rsid w:val="001941D4"/>
    <w:rsid w:val="00194C3E"/>
    <w:rsid w:val="00195382"/>
    <w:rsid w:val="001A6BEB"/>
    <w:rsid w:val="001B444B"/>
    <w:rsid w:val="001C1F00"/>
    <w:rsid w:val="001C5133"/>
    <w:rsid w:val="001C61C5"/>
    <w:rsid w:val="001C69C4"/>
    <w:rsid w:val="001C6D93"/>
    <w:rsid w:val="001D37EF"/>
    <w:rsid w:val="001E3590"/>
    <w:rsid w:val="001E6AB9"/>
    <w:rsid w:val="001E7407"/>
    <w:rsid w:val="001F5D5E"/>
    <w:rsid w:val="001F6219"/>
    <w:rsid w:val="001F6CD4"/>
    <w:rsid w:val="002036B3"/>
    <w:rsid w:val="00206C4D"/>
    <w:rsid w:val="0021053C"/>
    <w:rsid w:val="00212900"/>
    <w:rsid w:val="002150FD"/>
    <w:rsid w:val="00215AF1"/>
    <w:rsid w:val="00217435"/>
    <w:rsid w:val="00217B3E"/>
    <w:rsid w:val="00224F0E"/>
    <w:rsid w:val="0022549D"/>
    <w:rsid w:val="00226562"/>
    <w:rsid w:val="002321E8"/>
    <w:rsid w:val="0023635C"/>
    <w:rsid w:val="00236EEC"/>
    <w:rsid w:val="00237EDB"/>
    <w:rsid w:val="0024010F"/>
    <w:rsid w:val="00240749"/>
    <w:rsid w:val="00243018"/>
    <w:rsid w:val="002461EA"/>
    <w:rsid w:val="002464A2"/>
    <w:rsid w:val="002564A4"/>
    <w:rsid w:val="0026736C"/>
    <w:rsid w:val="002804A8"/>
    <w:rsid w:val="00281308"/>
    <w:rsid w:val="00284719"/>
    <w:rsid w:val="00284F46"/>
    <w:rsid w:val="0028523A"/>
    <w:rsid w:val="00290AD7"/>
    <w:rsid w:val="00293A3F"/>
    <w:rsid w:val="002975FA"/>
    <w:rsid w:val="00297ECB"/>
    <w:rsid w:val="002A7BCF"/>
    <w:rsid w:val="002B37E7"/>
    <w:rsid w:val="002B5571"/>
    <w:rsid w:val="002B7580"/>
    <w:rsid w:val="002B77B6"/>
    <w:rsid w:val="002C2B76"/>
    <w:rsid w:val="002C4A40"/>
    <w:rsid w:val="002C5F66"/>
    <w:rsid w:val="002C6C10"/>
    <w:rsid w:val="002D043A"/>
    <w:rsid w:val="002D6224"/>
    <w:rsid w:val="002E31B5"/>
    <w:rsid w:val="002E3F4B"/>
    <w:rsid w:val="002F3C74"/>
    <w:rsid w:val="00304F8B"/>
    <w:rsid w:val="00312B73"/>
    <w:rsid w:val="00312C6C"/>
    <w:rsid w:val="00312D29"/>
    <w:rsid w:val="00313933"/>
    <w:rsid w:val="00314A83"/>
    <w:rsid w:val="0032531C"/>
    <w:rsid w:val="003354D2"/>
    <w:rsid w:val="00335BC6"/>
    <w:rsid w:val="003415D3"/>
    <w:rsid w:val="00344701"/>
    <w:rsid w:val="00345CF3"/>
    <w:rsid w:val="00352B0F"/>
    <w:rsid w:val="00355BA9"/>
    <w:rsid w:val="00355C37"/>
    <w:rsid w:val="00355D3C"/>
    <w:rsid w:val="00356690"/>
    <w:rsid w:val="00360459"/>
    <w:rsid w:val="00363DD4"/>
    <w:rsid w:val="00376EB5"/>
    <w:rsid w:val="003977AD"/>
    <w:rsid w:val="003B0D6F"/>
    <w:rsid w:val="003B5498"/>
    <w:rsid w:val="003B77A7"/>
    <w:rsid w:val="003B7869"/>
    <w:rsid w:val="003C063B"/>
    <w:rsid w:val="003C6231"/>
    <w:rsid w:val="003C7EE1"/>
    <w:rsid w:val="003D0BFE"/>
    <w:rsid w:val="003D3CAD"/>
    <w:rsid w:val="003D5700"/>
    <w:rsid w:val="003E0E84"/>
    <w:rsid w:val="003E341B"/>
    <w:rsid w:val="003E3566"/>
    <w:rsid w:val="003F1090"/>
    <w:rsid w:val="004116CD"/>
    <w:rsid w:val="004144EC"/>
    <w:rsid w:val="004169A0"/>
    <w:rsid w:val="00417EB9"/>
    <w:rsid w:val="00420903"/>
    <w:rsid w:val="00424344"/>
    <w:rsid w:val="00424CA9"/>
    <w:rsid w:val="0042660E"/>
    <w:rsid w:val="0043127D"/>
    <w:rsid w:val="00431E9B"/>
    <w:rsid w:val="00433ED8"/>
    <w:rsid w:val="004379E3"/>
    <w:rsid w:val="0044015E"/>
    <w:rsid w:val="00441F17"/>
    <w:rsid w:val="0044291A"/>
    <w:rsid w:val="00444ABD"/>
    <w:rsid w:val="00455916"/>
    <w:rsid w:val="00457534"/>
    <w:rsid w:val="00461C81"/>
    <w:rsid w:val="0046563B"/>
    <w:rsid w:val="00467661"/>
    <w:rsid w:val="00467B6D"/>
    <w:rsid w:val="004705B7"/>
    <w:rsid w:val="004719A8"/>
    <w:rsid w:val="00472DBE"/>
    <w:rsid w:val="00474A19"/>
    <w:rsid w:val="00482279"/>
    <w:rsid w:val="004871F6"/>
    <w:rsid w:val="00496F97"/>
    <w:rsid w:val="004A7BDE"/>
    <w:rsid w:val="004B1D2F"/>
    <w:rsid w:val="004C26BD"/>
    <w:rsid w:val="004C29DF"/>
    <w:rsid w:val="004C3430"/>
    <w:rsid w:val="004C34DB"/>
    <w:rsid w:val="004C579A"/>
    <w:rsid w:val="004C6AE8"/>
    <w:rsid w:val="004D1441"/>
    <w:rsid w:val="004D1DAD"/>
    <w:rsid w:val="004D3593"/>
    <w:rsid w:val="004E063A"/>
    <w:rsid w:val="004E1E29"/>
    <w:rsid w:val="004E7BEC"/>
    <w:rsid w:val="004F1242"/>
    <w:rsid w:val="004F16CD"/>
    <w:rsid w:val="004F53FA"/>
    <w:rsid w:val="0050090C"/>
    <w:rsid w:val="00505D3D"/>
    <w:rsid w:val="00506AF6"/>
    <w:rsid w:val="00511879"/>
    <w:rsid w:val="00516B8D"/>
    <w:rsid w:val="00520CF5"/>
    <w:rsid w:val="005248F6"/>
    <w:rsid w:val="00525140"/>
    <w:rsid w:val="0052685C"/>
    <w:rsid w:val="005275E0"/>
    <w:rsid w:val="00530F5C"/>
    <w:rsid w:val="0053390C"/>
    <w:rsid w:val="00535D08"/>
    <w:rsid w:val="005372EA"/>
    <w:rsid w:val="00537FBC"/>
    <w:rsid w:val="00542DE8"/>
    <w:rsid w:val="00554954"/>
    <w:rsid w:val="005574D1"/>
    <w:rsid w:val="00560BB2"/>
    <w:rsid w:val="00560D8D"/>
    <w:rsid w:val="00564E33"/>
    <w:rsid w:val="00572694"/>
    <w:rsid w:val="00581AEE"/>
    <w:rsid w:val="00584811"/>
    <w:rsid w:val="00585784"/>
    <w:rsid w:val="005933F6"/>
    <w:rsid w:val="00593AA6"/>
    <w:rsid w:val="00594161"/>
    <w:rsid w:val="0059423C"/>
    <w:rsid w:val="00594749"/>
    <w:rsid w:val="00594BAD"/>
    <w:rsid w:val="005A383A"/>
    <w:rsid w:val="005A5C37"/>
    <w:rsid w:val="005B1873"/>
    <w:rsid w:val="005B4067"/>
    <w:rsid w:val="005B4D8B"/>
    <w:rsid w:val="005C32FD"/>
    <w:rsid w:val="005C3F41"/>
    <w:rsid w:val="005D2D09"/>
    <w:rsid w:val="005D72D9"/>
    <w:rsid w:val="005D7776"/>
    <w:rsid w:val="005D7E85"/>
    <w:rsid w:val="005E0C57"/>
    <w:rsid w:val="005E3156"/>
    <w:rsid w:val="005E5E7D"/>
    <w:rsid w:val="005F3E30"/>
    <w:rsid w:val="005F6389"/>
    <w:rsid w:val="00600219"/>
    <w:rsid w:val="00603DC4"/>
    <w:rsid w:val="006050A8"/>
    <w:rsid w:val="00606B38"/>
    <w:rsid w:val="00617C18"/>
    <w:rsid w:val="00620076"/>
    <w:rsid w:val="0063097F"/>
    <w:rsid w:val="006321DB"/>
    <w:rsid w:val="006354A7"/>
    <w:rsid w:val="00635ABB"/>
    <w:rsid w:val="00636C48"/>
    <w:rsid w:val="00636C9F"/>
    <w:rsid w:val="0066259E"/>
    <w:rsid w:val="00670EA1"/>
    <w:rsid w:val="0067184B"/>
    <w:rsid w:val="00672DB1"/>
    <w:rsid w:val="00674817"/>
    <w:rsid w:val="00674BF1"/>
    <w:rsid w:val="00677204"/>
    <w:rsid w:val="00677CC2"/>
    <w:rsid w:val="006802E9"/>
    <w:rsid w:val="00680348"/>
    <w:rsid w:val="00682816"/>
    <w:rsid w:val="006864E8"/>
    <w:rsid w:val="006905DE"/>
    <w:rsid w:val="006914F5"/>
    <w:rsid w:val="0069207B"/>
    <w:rsid w:val="006944A8"/>
    <w:rsid w:val="006A7387"/>
    <w:rsid w:val="006B009D"/>
    <w:rsid w:val="006B0DEE"/>
    <w:rsid w:val="006B1BED"/>
    <w:rsid w:val="006B29C2"/>
    <w:rsid w:val="006B5789"/>
    <w:rsid w:val="006C30C5"/>
    <w:rsid w:val="006C7F8C"/>
    <w:rsid w:val="006D614C"/>
    <w:rsid w:val="006E6246"/>
    <w:rsid w:val="006F318F"/>
    <w:rsid w:val="006F4226"/>
    <w:rsid w:val="0070017E"/>
    <w:rsid w:val="00700B2C"/>
    <w:rsid w:val="007050A2"/>
    <w:rsid w:val="007050CA"/>
    <w:rsid w:val="00710E2F"/>
    <w:rsid w:val="00713084"/>
    <w:rsid w:val="00714F20"/>
    <w:rsid w:val="0071590F"/>
    <w:rsid w:val="00715914"/>
    <w:rsid w:val="007219A0"/>
    <w:rsid w:val="00731E00"/>
    <w:rsid w:val="007407A3"/>
    <w:rsid w:val="00741470"/>
    <w:rsid w:val="007440B7"/>
    <w:rsid w:val="007500C8"/>
    <w:rsid w:val="007550ED"/>
    <w:rsid w:val="00755746"/>
    <w:rsid w:val="0075577E"/>
    <w:rsid w:val="00756272"/>
    <w:rsid w:val="0076681A"/>
    <w:rsid w:val="007715C9"/>
    <w:rsid w:val="00771613"/>
    <w:rsid w:val="00774EDD"/>
    <w:rsid w:val="007757EC"/>
    <w:rsid w:val="00783E89"/>
    <w:rsid w:val="00793915"/>
    <w:rsid w:val="007A06BD"/>
    <w:rsid w:val="007A6FDD"/>
    <w:rsid w:val="007B2855"/>
    <w:rsid w:val="007B2FF8"/>
    <w:rsid w:val="007C2253"/>
    <w:rsid w:val="007C59CB"/>
    <w:rsid w:val="007D5A63"/>
    <w:rsid w:val="007D6D48"/>
    <w:rsid w:val="007D7B81"/>
    <w:rsid w:val="007E153E"/>
    <w:rsid w:val="007E163D"/>
    <w:rsid w:val="007E2639"/>
    <w:rsid w:val="007E667A"/>
    <w:rsid w:val="007E747C"/>
    <w:rsid w:val="007F10F4"/>
    <w:rsid w:val="007F28C9"/>
    <w:rsid w:val="007F7179"/>
    <w:rsid w:val="007F7CBF"/>
    <w:rsid w:val="00803587"/>
    <w:rsid w:val="00807626"/>
    <w:rsid w:val="008117E9"/>
    <w:rsid w:val="0081647A"/>
    <w:rsid w:val="00817FEF"/>
    <w:rsid w:val="00820C3D"/>
    <w:rsid w:val="0082112A"/>
    <w:rsid w:val="00822ECB"/>
    <w:rsid w:val="00824498"/>
    <w:rsid w:val="00856A31"/>
    <w:rsid w:val="00860613"/>
    <w:rsid w:val="00863433"/>
    <w:rsid w:val="008641CA"/>
    <w:rsid w:val="00864B24"/>
    <w:rsid w:val="00867B37"/>
    <w:rsid w:val="00871F59"/>
    <w:rsid w:val="00873E20"/>
    <w:rsid w:val="008754D0"/>
    <w:rsid w:val="008855C9"/>
    <w:rsid w:val="00886381"/>
    <w:rsid w:val="00886456"/>
    <w:rsid w:val="00897131"/>
    <w:rsid w:val="008A46E1"/>
    <w:rsid w:val="008A4D73"/>
    <w:rsid w:val="008A4F43"/>
    <w:rsid w:val="008B0559"/>
    <w:rsid w:val="008B2706"/>
    <w:rsid w:val="008B3CC1"/>
    <w:rsid w:val="008B6D83"/>
    <w:rsid w:val="008C1CB9"/>
    <w:rsid w:val="008C4E62"/>
    <w:rsid w:val="008D0EE0"/>
    <w:rsid w:val="008D2B63"/>
    <w:rsid w:val="008D3CC9"/>
    <w:rsid w:val="008D3CE6"/>
    <w:rsid w:val="008D449E"/>
    <w:rsid w:val="008D64C4"/>
    <w:rsid w:val="008D7A56"/>
    <w:rsid w:val="008E6067"/>
    <w:rsid w:val="008F1B63"/>
    <w:rsid w:val="008F29D6"/>
    <w:rsid w:val="008F2ADF"/>
    <w:rsid w:val="008F54E7"/>
    <w:rsid w:val="00903422"/>
    <w:rsid w:val="00914FA8"/>
    <w:rsid w:val="00915DF9"/>
    <w:rsid w:val="009254C3"/>
    <w:rsid w:val="00926105"/>
    <w:rsid w:val="00927002"/>
    <w:rsid w:val="00930FA5"/>
    <w:rsid w:val="00932377"/>
    <w:rsid w:val="0093563A"/>
    <w:rsid w:val="009422F0"/>
    <w:rsid w:val="00943F7E"/>
    <w:rsid w:val="00947D5A"/>
    <w:rsid w:val="00951A1F"/>
    <w:rsid w:val="009532A5"/>
    <w:rsid w:val="009537F6"/>
    <w:rsid w:val="009668C9"/>
    <w:rsid w:val="0097140B"/>
    <w:rsid w:val="009723E9"/>
    <w:rsid w:val="00982242"/>
    <w:rsid w:val="009868E9"/>
    <w:rsid w:val="00990C20"/>
    <w:rsid w:val="00991302"/>
    <w:rsid w:val="00993F01"/>
    <w:rsid w:val="009C13D2"/>
    <w:rsid w:val="009C4C3F"/>
    <w:rsid w:val="009D3FF5"/>
    <w:rsid w:val="009D42EF"/>
    <w:rsid w:val="009E3ACE"/>
    <w:rsid w:val="009E4FE4"/>
    <w:rsid w:val="009E5CFC"/>
    <w:rsid w:val="009F524D"/>
    <w:rsid w:val="00A00B78"/>
    <w:rsid w:val="00A0231A"/>
    <w:rsid w:val="00A051BF"/>
    <w:rsid w:val="00A0528E"/>
    <w:rsid w:val="00A079CB"/>
    <w:rsid w:val="00A108A4"/>
    <w:rsid w:val="00A12128"/>
    <w:rsid w:val="00A121BF"/>
    <w:rsid w:val="00A22C98"/>
    <w:rsid w:val="00A22E17"/>
    <w:rsid w:val="00A231E2"/>
    <w:rsid w:val="00A25E7E"/>
    <w:rsid w:val="00A27DA0"/>
    <w:rsid w:val="00A32C40"/>
    <w:rsid w:val="00A5096A"/>
    <w:rsid w:val="00A521EC"/>
    <w:rsid w:val="00A53CE4"/>
    <w:rsid w:val="00A6424A"/>
    <w:rsid w:val="00A6484D"/>
    <w:rsid w:val="00A64912"/>
    <w:rsid w:val="00A70A74"/>
    <w:rsid w:val="00A719B0"/>
    <w:rsid w:val="00A721E4"/>
    <w:rsid w:val="00A84CBB"/>
    <w:rsid w:val="00A919F0"/>
    <w:rsid w:val="00A96364"/>
    <w:rsid w:val="00AA113E"/>
    <w:rsid w:val="00AA2800"/>
    <w:rsid w:val="00AA375C"/>
    <w:rsid w:val="00AA71EC"/>
    <w:rsid w:val="00AB1F96"/>
    <w:rsid w:val="00AB2DE9"/>
    <w:rsid w:val="00AB4505"/>
    <w:rsid w:val="00AC0149"/>
    <w:rsid w:val="00AC39A5"/>
    <w:rsid w:val="00AC433E"/>
    <w:rsid w:val="00AC76B7"/>
    <w:rsid w:val="00AD5641"/>
    <w:rsid w:val="00AD7889"/>
    <w:rsid w:val="00AE3652"/>
    <w:rsid w:val="00AF021B"/>
    <w:rsid w:val="00AF06CF"/>
    <w:rsid w:val="00B00119"/>
    <w:rsid w:val="00B03125"/>
    <w:rsid w:val="00B04D5D"/>
    <w:rsid w:val="00B05CF4"/>
    <w:rsid w:val="00B07CDB"/>
    <w:rsid w:val="00B13DFB"/>
    <w:rsid w:val="00B15F50"/>
    <w:rsid w:val="00B16A31"/>
    <w:rsid w:val="00B17DFD"/>
    <w:rsid w:val="00B20D28"/>
    <w:rsid w:val="00B308FE"/>
    <w:rsid w:val="00B3299F"/>
    <w:rsid w:val="00B33709"/>
    <w:rsid w:val="00B33B3C"/>
    <w:rsid w:val="00B35EB5"/>
    <w:rsid w:val="00B37496"/>
    <w:rsid w:val="00B37754"/>
    <w:rsid w:val="00B45E1D"/>
    <w:rsid w:val="00B50762"/>
    <w:rsid w:val="00B50ADC"/>
    <w:rsid w:val="00B5202B"/>
    <w:rsid w:val="00B54779"/>
    <w:rsid w:val="00B566B1"/>
    <w:rsid w:val="00B57E1F"/>
    <w:rsid w:val="00B63834"/>
    <w:rsid w:val="00B642D6"/>
    <w:rsid w:val="00B652CE"/>
    <w:rsid w:val="00B653E7"/>
    <w:rsid w:val="00B65F8A"/>
    <w:rsid w:val="00B72734"/>
    <w:rsid w:val="00B748FA"/>
    <w:rsid w:val="00B80199"/>
    <w:rsid w:val="00B83204"/>
    <w:rsid w:val="00B91C42"/>
    <w:rsid w:val="00B9435C"/>
    <w:rsid w:val="00B968B7"/>
    <w:rsid w:val="00BA0C87"/>
    <w:rsid w:val="00BA102F"/>
    <w:rsid w:val="00BA220B"/>
    <w:rsid w:val="00BA3A57"/>
    <w:rsid w:val="00BA691F"/>
    <w:rsid w:val="00BA78B8"/>
    <w:rsid w:val="00BB06D2"/>
    <w:rsid w:val="00BB4E1A"/>
    <w:rsid w:val="00BC015E"/>
    <w:rsid w:val="00BC76AC"/>
    <w:rsid w:val="00BD0122"/>
    <w:rsid w:val="00BD0ECB"/>
    <w:rsid w:val="00BD1199"/>
    <w:rsid w:val="00BE1466"/>
    <w:rsid w:val="00BE2155"/>
    <w:rsid w:val="00BE2213"/>
    <w:rsid w:val="00BE3607"/>
    <w:rsid w:val="00BE719A"/>
    <w:rsid w:val="00BE720A"/>
    <w:rsid w:val="00BF022B"/>
    <w:rsid w:val="00BF0D73"/>
    <w:rsid w:val="00BF2465"/>
    <w:rsid w:val="00BF42A7"/>
    <w:rsid w:val="00BF62E5"/>
    <w:rsid w:val="00C003D1"/>
    <w:rsid w:val="00C1226A"/>
    <w:rsid w:val="00C13627"/>
    <w:rsid w:val="00C1739C"/>
    <w:rsid w:val="00C173F0"/>
    <w:rsid w:val="00C2067E"/>
    <w:rsid w:val="00C25E7F"/>
    <w:rsid w:val="00C2746F"/>
    <w:rsid w:val="00C324A0"/>
    <w:rsid w:val="00C3300F"/>
    <w:rsid w:val="00C368C4"/>
    <w:rsid w:val="00C40B30"/>
    <w:rsid w:val="00C4174D"/>
    <w:rsid w:val="00C42BF8"/>
    <w:rsid w:val="00C44A82"/>
    <w:rsid w:val="00C44B5D"/>
    <w:rsid w:val="00C45B5A"/>
    <w:rsid w:val="00C50043"/>
    <w:rsid w:val="00C51518"/>
    <w:rsid w:val="00C51563"/>
    <w:rsid w:val="00C56E36"/>
    <w:rsid w:val="00C646CD"/>
    <w:rsid w:val="00C64B8C"/>
    <w:rsid w:val="00C7573B"/>
    <w:rsid w:val="00C76BF5"/>
    <w:rsid w:val="00C80268"/>
    <w:rsid w:val="00C93C03"/>
    <w:rsid w:val="00CA11BE"/>
    <w:rsid w:val="00CB2C8E"/>
    <w:rsid w:val="00CB480B"/>
    <w:rsid w:val="00CB602E"/>
    <w:rsid w:val="00CB7F97"/>
    <w:rsid w:val="00CC3620"/>
    <w:rsid w:val="00CD239B"/>
    <w:rsid w:val="00CD433C"/>
    <w:rsid w:val="00CD6129"/>
    <w:rsid w:val="00CE051D"/>
    <w:rsid w:val="00CE125E"/>
    <w:rsid w:val="00CE1335"/>
    <w:rsid w:val="00CE16DB"/>
    <w:rsid w:val="00CE493D"/>
    <w:rsid w:val="00CF07FA"/>
    <w:rsid w:val="00CF0BB2"/>
    <w:rsid w:val="00CF170B"/>
    <w:rsid w:val="00CF3EE8"/>
    <w:rsid w:val="00CF4A81"/>
    <w:rsid w:val="00D0403E"/>
    <w:rsid w:val="00D050E6"/>
    <w:rsid w:val="00D0576B"/>
    <w:rsid w:val="00D05831"/>
    <w:rsid w:val="00D13441"/>
    <w:rsid w:val="00D150E7"/>
    <w:rsid w:val="00D16CEF"/>
    <w:rsid w:val="00D2570C"/>
    <w:rsid w:val="00D277E5"/>
    <w:rsid w:val="00D32F65"/>
    <w:rsid w:val="00D3355D"/>
    <w:rsid w:val="00D34B05"/>
    <w:rsid w:val="00D36007"/>
    <w:rsid w:val="00D36D19"/>
    <w:rsid w:val="00D37A41"/>
    <w:rsid w:val="00D42B11"/>
    <w:rsid w:val="00D52DC2"/>
    <w:rsid w:val="00D53BCC"/>
    <w:rsid w:val="00D542B9"/>
    <w:rsid w:val="00D5483B"/>
    <w:rsid w:val="00D56F2C"/>
    <w:rsid w:val="00D70DFB"/>
    <w:rsid w:val="00D7254D"/>
    <w:rsid w:val="00D7391E"/>
    <w:rsid w:val="00D766DF"/>
    <w:rsid w:val="00D9254B"/>
    <w:rsid w:val="00D9518F"/>
    <w:rsid w:val="00D9572F"/>
    <w:rsid w:val="00D978CE"/>
    <w:rsid w:val="00DA16D1"/>
    <w:rsid w:val="00DA186E"/>
    <w:rsid w:val="00DA4116"/>
    <w:rsid w:val="00DB0278"/>
    <w:rsid w:val="00DB06BB"/>
    <w:rsid w:val="00DB1D08"/>
    <w:rsid w:val="00DB251C"/>
    <w:rsid w:val="00DB4630"/>
    <w:rsid w:val="00DB5F07"/>
    <w:rsid w:val="00DC4F88"/>
    <w:rsid w:val="00DC7550"/>
    <w:rsid w:val="00DD1646"/>
    <w:rsid w:val="00DD35A2"/>
    <w:rsid w:val="00DE5160"/>
    <w:rsid w:val="00DF56B1"/>
    <w:rsid w:val="00DF5DD3"/>
    <w:rsid w:val="00E029AE"/>
    <w:rsid w:val="00E05704"/>
    <w:rsid w:val="00E069E4"/>
    <w:rsid w:val="00E0763D"/>
    <w:rsid w:val="00E10A5E"/>
    <w:rsid w:val="00E11E44"/>
    <w:rsid w:val="00E17A9A"/>
    <w:rsid w:val="00E22F42"/>
    <w:rsid w:val="00E3270E"/>
    <w:rsid w:val="00E333BB"/>
    <w:rsid w:val="00E338EF"/>
    <w:rsid w:val="00E41C0B"/>
    <w:rsid w:val="00E424D4"/>
    <w:rsid w:val="00E544BB"/>
    <w:rsid w:val="00E55F2A"/>
    <w:rsid w:val="00E57479"/>
    <w:rsid w:val="00E60977"/>
    <w:rsid w:val="00E64FF1"/>
    <w:rsid w:val="00E662CB"/>
    <w:rsid w:val="00E70B71"/>
    <w:rsid w:val="00E73E32"/>
    <w:rsid w:val="00E74DC7"/>
    <w:rsid w:val="00E75304"/>
    <w:rsid w:val="00E76806"/>
    <w:rsid w:val="00E8075A"/>
    <w:rsid w:val="00E940D8"/>
    <w:rsid w:val="00E94671"/>
    <w:rsid w:val="00E94D5E"/>
    <w:rsid w:val="00EA7100"/>
    <w:rsid w:val="00EA7534"/>
    <w:rsid w:val="00EA7F9F"/>
    <w:rsid w:val="00EB1274"/>
    <w:rsid w:val="00EB4048"/>
    <w:rsid w:val="00EB6AD0"/>
    <w:rsid w:val="00EB742D"/>
    <w:rsid w:val="00EB7EF9"/>
    <w:rsid w:val="00EC7796"/>
    <w:rsid w:val="00ED2BB6"/>
    <w:rsid w:val="00ED34E1"/>
    <w:rsid w:val="00ED3B8D"/>
    <w:rsid w:val="00ED659C"/>
    <w:rsid w:val="00EE43D8"/>
    <w:rsid w:val="00EF083D"/>
    <w:rsid w:val="00EF2E3A"/>
    <w:rsid w:val="00EF2F3D"/>
    <w:rsid w:val="00EF43BF"/>
    <w:rsid w:val="00EF70D4"/>
    <w:rsid w:val="00F05D89"/>
    <w:rsid w:val="00F072A7"/>
    <w:rsid w:val="00F078DC"/>
    <w:rsid w:val="00F20FCC"/>
    <w:rsid w:val="00F32BA8"/>
    <w:rsid w:val="00F349F1"/>
    <w:rsid w:val="00F35249"/>
    <w:rsid w:val="00F42131"/>
    <w:rsid w:val="00F42339"/>
    <w:rsid w:val="00F4350D"/>
    <w:rsid w:val="00F47205"/>
    <w:rsid w:val="00F52706"/>
    <w:rsid w:val="00F52DF9"/>
    <w:rsid w:val="00F561B6"/>
    <w:rsid w:val="00F567F7"/>
    <w:rsid w:val="00F60D9E"/>
    <w:rsid w:val="00F62036"/>
    <w:rsid w:val="00F635C2"/>
    <w:rsid w:val="00F63D55"/>
    <w:rsid w:val="00F65B52"/>
    <w:rsid w:val="00F67BCA"/>
    <w:rsid w:val="00F73BD6"/>
    <w:rsid w:val="00F74AF3"/>
    <w:rsid w:val="00F74B6C"/>
    <w:rsid w:val="00F83989"/>
    <w:rsid w:val="00F85099"/>
    <w:rsid w:val="00F868CC"/>
    <w:rsid w:val="00F9379C"/>
    <w:rsid w:val="00F9632C"/>
    <w:rsid w:val="00F96345"/>
    <w:rsid w:val="00FA143C"/>
    <w:rsid w:val="00FA1E52"/>
    <w:rsid w:val="00FA3AC1"/>
    <w:rsid w:val="00FB1409"/>
    <w:rsid w:val="00FB228B"/>
    <w:rsid w:val="00FC0CEA"/>
    <w:rsid w:val="00FD39E0"/>
    <w:rsid w:val="00FE4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5F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868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8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8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8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68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68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8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68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68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868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68E5"/>
  </w:style>
  <w:style w:type="paragraph" w:customStyle="1" w:styleId="OPCParaBase">
    <w:name w:val="OPCParaBase"/>
    <w:qFormat/>
    <w:rsid w:val="001868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68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68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68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68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68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868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68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68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68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68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68E5"/>
  </w:style>
  <w:style w:type="paragraph" w:customStyle="1" w:styleId="Blocks">
    <w:name w:val="Blocks"/>
    <w:aliases w:val="bb"/>
    <w:basedOn w:val="OPCParaBase"/>
    <w:qFormat/>
    <w:rsid w:val="001868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6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68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68E5"/>
    <w:rPr>
      <w:i/>
    </w:rPr>
  </w:style>
  <w:style w:type="paragraph" w:customStyle="1" w:styleId="BoxList">
    <w:name w:val="BoxList"/>
    <w:aliases w:val="bl"/>
    <w:basedOn w:val="BoxText"/>
    <w:qFormat/>
    <w:rsid w:val="001868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68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68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68E5"/>
    <w:pPr>
      <w:ind w:left="1985" w:hanging="851"/>
    </w:pPr>
  </w:style>
  <w:style w:type="character" w:customStyle="1" w:styleId="CharAmPartNo">
    <w:name w:val="CharAmPartNo"/>
    <w:basedOn w:val="OPCCharBase"/>
    <w:qFormat/>
    <w:rsid w:val="001868E5"/>
  </w:style>
  <w:style w:type="character" w:customStyle="1" w:styleId="CharAmPartText">
    <w:name w:val="CharAmPartText"/>
    <w:basedOn w:val="OPCCharBase"/>
    <w:qFormat/>
    <w:rsid w:val="001868E5"/>
  </w:style>
  <w:style w:type="character" w:customStyle="1" w:styleId="CharAmSchNo">
    <w:name w:val="CharAmSchNo"/>
    <w:basedOn w:val="OPCCharBase"/>
    <w:qFormat/>
    <w:rsid w:val="001868E5"/>
  </w:style>
  <w:style w:type="character" w:customStyle="1" w:styleId="CharAmSchText">
    <w:name w:val="CharAmSchText"/>
    <w:basedOn w:val="OPCCharBase"/>
    <w:qFormat/>
    <w:rsid w:val="001868E5"/>
  </w:style>
  <w:style w:type="character" w:customStyle="1" w:styleId="CharBoldItalic">
    <w:name w:val="CharBoldItalic"/>
    <w:basedOn w:val="OPCCharBase"/>
    <w:uiPriority w:val="1"/>
    <w:qFormat/>
    <w:rsid w:val="001868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68E5"/>
  </w:style>
  <w:style w:type="character" w:customStyle="1" w:styleId="CharChapText">
    <w:name w:val="CharChapText"/>
    <w:basedOn w:val="OPCCharBase"/>
    <w:uiPriority w:val="1"/>
    <w:qFormat/>
    <w:rsid w:val="001868E5"/>
  </w:style>
  <w:style w:type="character" w:customStyle="1" w:styleId="CharDivNo">
    <w:name w:val="CharDivNo"/>
    <w:basedOn w:val="OPCCharBase"/>
    <w:uiPriority w:val="1"/>
    <w:qFormat/>
    <w:rsid w:val="001868E5"/>
  </w:style>
  <w:style w:type="character" w:customStyle="1" w:styleId="CharDivText">
    <w:name w:val="CharDivText"/>
    <w:basedOn w:val="OPCCharBase"/>
    <w:uiPriority w:val="1"/>
    <w:qFormat/>
    <w:rsid w:val="001868E5"/>
  </w:style>
  <w:style w:type="character" w:customStyle="1" w:styleId="CharItalic">
    <w:name w:val="CharItalic"/>
    <w:basedOn w:val="OPCCharBase"/>
    <w:uiPriority w:val="1"/>
    <w:qFormat/>
    <w:rsid w:val="001868E5"/>
    <w:rPr>
      <w:i/>
    </w:rPr>
  </w:style>
  <w:style w:type="character" w:customStyle="1" w:styleId="CharPartNo">
    <w:name w:val="CharPartNo"/>
    <w:basedOn w:val="OPCCharBase"/>
    <w:uiPriority w:val="1"/>
    <w:qFormat/>
    <w:rsid w:val="001868E5"/>
  </w:style>
  <w:style w:type="character" w:customStyle="1" w:styleId="CharPartText">
    <w:name w:val="CharPartText"/>
    <w:basedOn w:val="OPCCharBase"/>
    <w:uiPriority w:val="1"/>
    <w:qFormat/>
    <w:rsid w:val="001868E5"/>
  </w:style>
  <w:style w:type="character" w:customStyle="1" w:styleId="CharSectno">
    <w:name w:val="CharSectno"/>
    <w:basedOn w:val="OPCCharBase"/>
    <w:qFormat/>
    <w:rsid w:val="001868E5"/>
  </w:style>
  <w:style w:type="character" w:customStyle="1" w:styleId="CharSubdNo">
    <w:name w:val="CharSubdNo"/>
    <w:basedOn w:val="OPCCharBase"/>
    <w:uiPriority w:val="1"/>
    <w:qFormat/>
    <w:rsid w:val="001868E5"/>
  </w:style>
  <w:style w:type="character" w:customStyle="1" w:styleId="CharSubdText">
    <w:name w:val="CharSubdText"/>
    <w:basedOn w:val="OPCCharBase"/>
    <w:uiPriority w:val="1"/>
    <w:qFormat/>
    <w:rsid w:val="001868E5"/>
  </w:style>
  <w:style w:type="paragraph" w:customStyle="1" w:styleId="CTA--">
    <w:name w:val="CTA --"/>
    <w:basedOn w:val="OPCParaBase"/>
    <w:next w:val="Normal"/>
    <w:rsid w:val="001868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68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68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68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68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68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68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68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68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68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68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68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68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68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868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68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868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68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68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68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68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68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68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68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68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68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68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68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68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68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68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68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68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68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68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68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68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68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68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68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68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68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68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68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68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68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68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68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68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68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68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6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68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68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68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868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868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868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868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868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868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868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868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868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868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68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68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68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68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68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68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68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868E5"/>
    <w:rPr>
      <w:sz w:val="16"/>
    </w:rPr>
  </w:style>
  <w:style w:type="table" w:customStyle="1" w:styleId="CFlag">
    <w:name w:val="CFlag"/>
    <w:basedOn w:val="TableNormal"/>
    <w:uiPriority w:val="99"/>
    <w:rsid w:val="001868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86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68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868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868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68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68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68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68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868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868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868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68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868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868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68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68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68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68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68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68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68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68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868E5"/>
  </w:style>
  <w:style w:type="character" w:customStyle="1" w:styleId="CharSubPartNoCASA">
    <w:name w:val="CharSubPartNo(CASA)"/>
    <w:basedOn w:val="OPCCharBase"/>
    <w:uiPriority w:val="1"/>
    <w:rsid w:val="001868E5"/>
  </w:style>
  <w:style w:type="paragraph" w:customStyle="1" w:styleId="ENoteTTIndentHeadingSub">
    <w:name w:val="ENoteTTIndentHeadingSub"/>
    <w:aliases w:val="enTTHis"/>
    <w:basedOn w:val="OPCParaBase"/>
    <w:rsid w:val="001868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68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68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68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868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868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6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68E5"/>
    <w:rPr>
      <w:sz w:val="22"/>
    </w:rPr>
  </w:style>
  <w:style w:type="paragraph" w:customStyle="1" w:styleId="SOTextNote">
    <w:name w:val="SO TextNote"/>
    <w:aliases w:val="sont"/>
    <w:basedOn w:val="SOText"/>
    <w:qFormat/>
    <w:rsid w:val="001868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68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68E5"/>
    <w:rPr>
      <w:sz w:val="22"/>
    </w:rPr>
  </w:style>
  <w:style w:type="paragraph" w:customStyle="1" w:styleId="FileName">
    <w:name w:val="FileName"/>
    <w:basedOn w:val="Normal"/>
    <w:rsid w:val="001868E5"/>
  </w:style>
  <w:style w:type="paragraph" w:customStyle="1" w:styleId="TableHeading">
    <w:name w:val="TableHeading"/>
    <w:aliases w:val="th"/>
    <w:basedOn w:val="OPCParaBase"/>
    <w:next w:val="Tabletext"/>
    <w:rsid w:val="001868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68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68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68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68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68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68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68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68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68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68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868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68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68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6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68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68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868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868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868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868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868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868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868E5"/>
    <w:pPr>
      <w:ind w:left="240" w:hanging="240"/>
    </w:pPr>
  </w:style>
  <w:style w:type="paragraph" w:styleId="Index2">
    <w:name w:val="index 2"/>
    <w:basedOn w:val="Normal"/>
    <w:next w:val="Normal"/>
    <w:autoRedefine/>
    <w:rsid w:val="001868E5"/>
    <w:pPr>
      <w:ind w:left="480" w:hanging="240"/>
    </w:pPr>
  </w:style>
  <w:style w:type="paragraph" w:styleId="Index3">
    <w:name w:val="index 3"/>
    <w:basedOn w:val="Normal"/>
    <w:next w:val="Normal"/>
    <w:autoRedefine/>
    <w:rsid w:val="001868E5"/>
    <w:pPr>
      <w:ind w:left="720" w:hanging="240"/>
    </w:pPr>
  </w:style>
  <w:style w:type="paragraph" w:styleId="Index4">
    <w:name w:val="index 4"/>
    <w:basedOn w:val="Normal"/>
    <w:next w:val="Normal"/>
    <w:autoRedefine/>
    <w:rsid w:val="001868E5"/>
    <w:pPr>
      <w:ind w:left="960" w:hanging="240"/>
    </w:pPr>
  </w:style>
  <w:style w:type="paragraph" w:styleId="Index5">
    <w:name w:val="index 5"/>
    <w:basedOn w:val="Normal"/>
    <w:next w:val="Normal"/>
    <w:autoRedefine/>
    <w:rsid w:val="001868E5"/>
    <w:pPr>
      <w:ind w:left="1200" w:hanging="240"/>
    </w:pPr>
  </w:style>
  <w:style w:type="paragraph" w:styleId="Index6">
    <w:name w:val="index 6"/>
    <w:basedOn w:val="Normal"/>
    <w:next w:val="Normal"/>
    <w:autoRedefine/>
    <w:rsid w:val="001868E5"/>
    <w:pPr>
      <w:ind w:left="1440" w:hanging="240"/>
    </w:pPr>
  </w:style>
  <w:style w:type="paragraph" w:styleId="Index7">
    <w:name w:val="index 7"/>
    <w:basedOn w:val="Normal"/>
    <w:next w:val="Normal"/>
    <w:autoRedefine/>
    <w:rsid w:val="001868E5"/>
    <w:pPr>
      <w:ind w:left="1680" w:hanging="240"/>
    </w:pPr>
  </w:style>
  <w:style w:type="paragraph" w:styleId="Index8">
    <w:name w:val="index 8"/>
    <w:basedOn w:val="Normal"/>
    <w:next w:val="Normal"/>
    <w:autoRedefine/>
    <w:rsid w:val="001868E5"/>
    <w:pPr>
      <w:ind w:left="1920" w:hanging="240"/>
    </w:pPr>
  </w:style>
  <w:style w:type="paragraph" w:styleId="Index9">
    <w:name w:val="index 9"/>
    <w:basedOn w:val="Normal"/>
    <w:next w:val="Normal"/>
    <w:autoRedefine/>
    <w:rsid w:val="001868E5"/>
    <w:pPr>
      <w:ind w:left="2160" w:hanging="240"/>
    </w:pPr>
  </w:style>
  <w:style w:type="paragraph" w:styleId="NormalIndent">
    <w:name w:val="Normal Indent"/>
    <w:basedOn w:val="Normal"/>
    <w:rsid w:val="001868E5"/>
    <w:pPr>
      <w:ind w:left="720"/>
    </w:pPr>
  </w:style>
  <w:style w:type="paragraph" w:styleId="FootnoteText">
    <w:name w:val="footnote text"/>
    <w:basedOn w:val="Normal"/>
    <w:link w:val="FootnoteTextChar"/>
    <w:rsid w:val="001868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68E5"/>
  </w:style>
  <w:style w:type="paragraph" w:styleId="CommentText">
    <w:name w:val="annotation text"/>
    <w:basedOn w:val="Normal"/>
    <w:link w:val="CommentTextChar"/>
    <w:rsid w:val="001868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68E5"/>
  </w:style>
  <w:style w:type="paragraph" w:styleId="IndexHeading">
    <w:name w:val="index heading"/>
    <w:basedOn w:val="Normal"/>
    <w:next w:val="Index1"/>
    <w:rsid w:val="001868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868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868E5"/>
    <w:pPr>
      <w:ind w:left="480" w:hanging="480"/>
    </w:pPr>
  </w:style>
  <w:style w:type="paragraph" w:styleId="EnvelopeAddress">
    <w:name w:val="envelope address"/>
    <w:basedOn w:val="Normal"/>
    <w:rsid w:val="001868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868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868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868E5"/>
    <w:rPr>
      <w:sz w:val="16"/>
      <w:szCs w:val="16"/>
    </w:rPr>
  </w:style>
  <w:style w:type="character" w:styleId="PageNumber">
    <w:name w:val="page number"/>
    <w:basedOn w:val="DefaultParagraphFont"/>
    <w:rsid w:val="001868E5"/>
  </w:style>
  <w:style w:type="character" w:styleId="EndnoteReference">
    <w:name w:val="endnote reference"/>
    <w:basedOn w:val="DefaultParagraphFont"/>
    <w:rsid w:val="001868E5"/>
    <w:rPr>
      <w:vertAlign w:val="superscript"/>
    </w:rPr>
  </w:style>
  <w:style w:type="paragraph" w:styleId="EndnoteText">
    <w:name w:val="endnote text"/>
    <w:basedOn w:val="Normal"/>
    <w:link w:val="EndnoteTextChar"/>
    <w:rsid w:val="001868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868E5"/>
  </w:style>
  <w:style w:type="paragraph" w:styleId="TableofAuthorities">
    <w:name w:val="table of authorities"/>
    <w:basedOn w:val="Normal"/>
    <w:next w:val="Normal"/>
    <w:rsid w:val="001868E5"/>
    <w:pPr>
      <w:ind w:left="240" w:hanging="240"/>
    </w:pPr>
  </w:style>
  <w:style w:type="paragraph" w:styleId="MacroText">
    <w:name w:val="macro"/>
    <w:link w:val="MacroTextChar"/>
    <w:rsid w:val="001868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868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868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868E5"/>
    <w:pPr>
      <w:ind w:left="283" w:hanging="283"/>
    </w:pPr>
  </w:style>
  <w:style w:type="paragraph" w:styleId="ListBullet">
    <w:name w:val="List Bullet"/>
    <w:basedOn w:val="Normal"/>
    <w:autoRedefine/>
    <w:rsid w:val="001868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868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868E5"/>
    <w:pPr>
      <w:ind w:left="566" w:hanging="283"/>
    </w:pPr>
  </w:style>
  <w:style w:type="paragraph" w:styleId="List3">
    <w:name w:val="List 3"/>
    <w:basedOn w:val="Normal"/>
    <w:rsid w:val="001868E5"/>
    <w:pPr>
      <w:ind w:left="849" w:hanging="283"/>
    </w:pPr>
  </w:style>
  <w:style w:type="paragraph" w:styleId="List4">
    <w:name w:val="List 4"/>
    <w:basedOn w:val="Normal"/>
    <w:rsid w:val="001868E5"/>
    <w:pPr>
      <w:ind w:left="1132" w:hanging="283"/>
    </w:pPr>
  </w:style>
  <w:style w:type="paragraph" w:styleId="List5">
    <w:name w:val="List 5"/>
    <w:basedOn w:val="Normal"/>
    <w:rsid w:val="001868E5"/>
    <w:pPr>
      <w:ind w:left="1415" w:hanging="283"/>
    </w:pPr>
  </w:style>
  <w:style w:type="paragraph" w:styleId="ListBullet2">
    <w:name w:val="List Bullet 2"/>
    <w:basedOn w:val="Normal"/>
    <w:autoRedefine/>
    <w:rsid w:val="001868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868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868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868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868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868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868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868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868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868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868E5"/>
    <w:pPr>
      <w:ind w:left="4252"/>
    </w:pPr>
  </w:style>
  <w:style w:type="character" w:customStyle="1" w:styleId="ClosingChar">
    <w:name w:val="Closing Char"/>
    <w:basedOn w:val="DefaultParagraphFont"/>
    <w:link w:val="Closing"/>
    <w:rsid w:val="001868E5"/>
    <w:rPr>
      <w:sz w:val="22"/>
    </w:rPr>
  </w:style>
  <w:style w:type="paragraph" w:styleId="Signature">
    <w:name w:val="Signature"/>
    <w:basedOn w:val="Normal"/>
    <w:link w:val="SignatureChar"/>
    <w:rsid w:val="001868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868E5"/>
    <w:rPr>
      <w:sz w:val="22"/>
    </w:rPr>
  </w:style>
  <w:style w:type="paragraph" w:styleId="BodyText">
    <w:name w:val="Body Text"/>
    <w:basedOn w:val="Normal"/>
    <w:link w:val="BodyTextChar"/>
    <w:rsid w:val="001868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68E5"/>
    <w:rPr>
      <w:sz w:val="22"/>
    </w:rPr>
  </w:style>
  <w:style w:type="paragraph" w:styleId="BodyTextIndent">
    <w:name w:val="Body Text Indent"/>
    <w:basedOn w:val="Normal"/>
    <w:link w:val="BodyTextIndentChar"/>
    <w:rsid w:val="001868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868E5"/>
    <w:rPr>
      <w:sz w:val="22"/>
    </w:rPr>
  </w:style>
  <w:style w:type="paragraph" w:styleId="ListContinue">
    <w:name w:val="List Continue"/>
    <w:basedOn w:val="Normal"/>
    <w:rsid w:val="001868E5"/>
    <w:pPr>
      <w:spacing w:after="120"/>
      <w:ind w:left="283"/>
    </w:pPr>
  </w:style>
  <w:style w:type="paragraph" w:styleId="ListContinue2">
    <w:name w:val="List Continue 2"/>
    <w:basedOn w:val="Normal"/>
    <w:rsid w:val="001868E5"/>
    <w:pPr>
      <w:spacing w:after="120"/>
      <w:ind w:left="566"/>
    </w:pPr>
  </w:style>
  <w:style w:type="paragraph" w:styleId="ListContinue3">
    <w:name w:val="List Continue 3"/>
    <w:basedOn w:val="Normal"/>
    <w:rsid w:val="001868E5"/>
    <w:pPr>
      <w:spacing w:after="120"/>
      <w:ind w:left="849"/>
    </w:pPr>
  </w:style>
  <w:style w:type="paragraph" w:styleId="ListContinue4">
    <w:name w:val="List Continue 4"/>
    <w:basedOn w:val="Normal"/>
    <w:rsid w:val="001868E5"/>
    <w:pPr>
      <w:spacing w:after="120"/>
      <w:ind w:left="1132"/>
    </w:pPr>
  </w:style>
  <w:style w:type="paragraph" w:styleId="ListContinue5">
    <w:name w:val="List Continue 5"/>
    <w:basedOn w:val="Normal"/>
    <w:rsid w:val="001868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868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868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868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868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868E5"/>
  </w:style>
  <w:style w:type="character" w:customStyle="1" w:styleId="SalutationChar">
    <w:name w:val="Salutation Char"/>
    <w:basedOn w:val="DefaultParagraphFont"/>
    <w:link w:val="Salutation"/>
    <w:rsid w:val="001868E5"/>
    <w:rPr>
      <w:sz w:val="22"/>
    </w:rPr>
  </w:style>
  <w:style w:type="paragraph" w:styleId="Date">
    <w:name w:val="Date"/>
    <w:basedOn w:val="Normal"/>
    <w:next w:val="Normal"/>
    <w:link w:val="DateChar"/>
    <w:rsid w:val="001868E5"/>
  </w:style>
  <w:style w:type="character" w:customStyle="1" w:styleId="DateChar">
    <w:name w:val="Date Char"/>
    <w:basedOn w:val="DefaultParagraphFont"/>
    <w:link w:val="Date"/>
    <w:rsid w:val="001868E5"/>
    <w:rPr>
      <w:sz w:val="22"/>
    </w:rPr>
  </w:style>
  <w:style w:type="paragraph" w:styleId="BodyTextFirstIndent">
    <w:name w:val="Body Text First Indent"/>
    <w:basedOn w:val="BodyText"/>
    <w:link w:val="BodyTextFirstIndentChar"/>
    <w:rsid w:val="001868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868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868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868E5"/>
    <w:rPr>
      <w:sz w:val="22"/>
    </w:rPr>
  </w:style>
  <w:style w:type="paragraph" w:styleId="BodyText2">
    <w:name w:val="Body Text 2"/>
    <w:basedOn w:val="Normal"/>
    <w:link w:val="BodyText2Char"/>
    <w:rsid w:val="001868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868E5"/>
    <w:rPr>
      <w:sz w:val="22"/>
    </w:rPr>
  </w:style>
  <w:style w:type="paragraph" w:styleId="BodyText3">
    <w:name w:val="Body Text 3"/>
    <w:basedOn w:val="Normal"/>
    <w:link w:val="BodyText3Char"/>
    <w:rsid w:val="001868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68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868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868E5"/>
    <w:rPr>
      <w:sz w:val="22"/>
    </w:rPr>
  </w:style>
  <w:style w:type="paragraph" w:styleId="BodyTextIndent3">
    <w:name w:val="Body Text Indent 3"/>
    <w:basedOn w:val="Normal"/>
    <w:link w:val="BodyTextIndent3Char"/>
    <w:rsid w:val="001868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68E5"/>
    <w:rPr>
      <w:sz w:val="16"/>
      <w:szCs w:val="16"/>
    </w:rPr>
  </w:style>
  <w:style w:type="paragraph" w:styleId="BlockText">
    <w:name w:val="Block Text"/>
    <w:basedOn w:val="Normal"/>
    <w:rsid w:val="001868E5"/>
    <w:pPr>
      <w:spacing w:after="120"/>
      <w:ind w:left="1440" w:right="1440"/>
    </w:pPr>
  </w:style>
  <w:style w:type="character" w:styleId="Hyperlink">
    <w:name w:val="Hyperlink"/>
    <w:basedOn w:val="DefaultParagraphFont"/>
    <w:rsid w:val="001868E5"/>
    <w:rPr>
      <w:color w:val="0000FF"/>
      <w:u w:val="single"/>
    </w:rPr>
  </w:style>
  <w:style w:type="character" w:styleId="FollowedHyperlink">
    <w:name w:val="FollowedHyperlink"/>
    <w:basedOn w:val="DefaultParagraphFont"/>
    <w:rsid w:val="001868E5"/>
    <w:rPr>
      <w:color w:val="800080"/>
      <w:u w:val="single"/>
    </w:rPr>
  </w:style>
  <w:style w:type="character" w:styleId="Strong">
    <w:name w:val="Strong"/>
    <w:basedOn w:val="DefaultParagraphFont"/>
    <w:qFormat/>
    <w:rsid w:val="001868E5"/>
    <w:rPr>
      <w:b/>
      <w:bCs/>
    </w:rPr>
  </w:style>
  <w:style w:type="character" w:styleId="Emphasis">
    <w:name w:val="Emphasis"/>
    <w:basedOn w:val="DefaultParagraphFont"/>
    <w:qFormat/>
    <w:rsid w:val="001868E5"/>
    <w:rPr>
      <w:i/>
      <w:iCs/>
    </w:rPr>
  </w:style>
  <w:style w:type="paragraph" w:styleId="DocumentMap">
    <w:name w:val="Document Map"/>
    <w:basedOn w:val="Normal"/>
    <w:link w:val="DocumentMapChar"/>
    <w:rsid w:val="001868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868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868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868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868E5"/>
  </w:style>
  <w:style w:type="character" w:customStyle="1" w:styleId="E-mailSignatureChar">
    <w:name w:val="E-mail Signature Char"/>
    <w:basedOn w:val="DefaultParagraphFont"/>
    <w:link w:val="E-mailSignature"/>
    <w:rsid w:val="001868E5"/>
    <w:rPr>
      <w:sz w:val="22"/>
    </w:rPr>
  </w:style>
  <w:style w:type="paragraph" w:styleId="NormalWeb">
    <w:name w:val="Normal (Web)"/>
    <w:basedOn w:val="Normal"/>
    <w:rsid w:val="001868E5"/>
  </w:style>
  <w:style w:type="character" w:styleId="HTMLAcronym">
    <w:name w:val="HTML Acronym"/>
    <w:basedOn w:val="DefaultParagraphFont"/>
    <w:rsid w:val="001868E5"/>
  </w:style>
  <w:style w:type="paragraph" w:styleId="HTMLAddress">
    <w:name w:val="HTML Address"/>
    <w:basedOn w:val="Normal"/>
    <w:link w:val="HTMLAddressChar"/>
    <w:rsid w:val="001868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868E5"/>
    <w:rPr>
      <w:i/>
      <w:iCs/>
      <w:sz w:val="22"/>
    </w:rPr>
  </w:style>
  <w:style w:type="character" w:styleId="HTMLCite">
    <w:name w:val="HTML Cite"/>
    <w:basedOn w:val="DefaultParagraphFont"/>
    <w:rsid w:val="001868E5"/>
    <w:rPr>
      <w:i/>
      <w:iCs/>
    </w:rPr>
  </w:style>
  <w:style w:type="character" w:styleId="HTMLCode">
    <w:name w:val="HTML Code"/>
    <w:basedOn w:val="DefaultParagraphFont"/>
    <w:rsid w:val="001868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868E5"/>
    <w:rPr>
      <w:i/>
      <w:iCs/>
    </w:rPr>
  </w:style>
  <w:style w:type="character" w:styleId="HTMLKeyboard">
    <w:name w:val="HTML Keyboard"/>
    <w:basedOn w:val="DefaultParagraphFont"/>
    <w:rsid w:val="001868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868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868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868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868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868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86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68E5"/>
    <w:rPr>
      <w:b/>
      <w:bCs/>
    </w:rPr>
  </w:style>
  <w:style w:type="numbering" w:styleId="1ai">
    <w:name w:val="Outline List 1"/>
    <w:basedOn w:val="NoList"/>
    <w:rsid w:val="001868E5"/>
    <w:pPr>
      <w:numPr>
        <w:numId w:val="14"/>
      </w:numPr>
    </w:pPr>
  </w:style>
  <w:style w:type="numbering" w:styleId="111111">
    <w:name w:val="Outline List 2"/>
    <w:basedOn w:val="NoList"/>
    <w:rsid w:val="001868E5"/>
    <w:pPr>
      <w:numPr>
        <w:numId w:val="15"/>
      </w:numPr>
    </w:pPr>
  </w:style>
  <w:style w:type="numbering" w:styleId="ArticleSection">
    <w:name w:val="Outline List 3"/>
    <w:basedOn w:val="NoList"/>
    <w:rsid w:val="001868E5"/>
    <w:pPr>
      <w:numPr>
        <w:numId w:val="17"/>
      </w:numPr>
    </w:pPr>
  </w:style>
  <w:style w:type="table" w:styleId="TableSimple1">
    <w:name w:val="Table Simple 1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868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868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868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868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868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868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868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868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868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868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8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868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8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868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868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868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868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868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8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8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868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868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868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868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868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868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868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868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8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868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868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868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868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868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868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868E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868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68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68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68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8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8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B690-CA76-411B-B37C-420AC31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17</Pages>
  <Words>4048</Words>
  <Characters>23074</Characters>
  <Application>Microsoft Office Word</Application>
  <DocSecurity>0</DocSecurity>
  <PresentationFormat/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(Terms and Conditions of Employment) (Biosecurity and Veterinarian Employees) Determination 2020</vt:lpstr>
    </vt:vector>
  </TitlesOfParts>
  <LinksUpToDate>false</LinksUpToDate>
  <CharactersWithSpaces>27068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(Terms and Conditions of Employment) (Biosecurity and Veterinarian Employees) Determination 2020</dc:title>
  <dc:creator/>
  <cp:lastModifiedBy/>
  <cp:revision>1</cp:revision>
  <cp:lastPrinted>2020-01-24T05:07:00Z</cp:lastPrinted>
  <dcterms:created xsi:type="dcterms:W3CDTF">2023-05-18T04:18:00Z</dcterms:created>
  <dcterms:modified xsi:type="dcterms:W3CDTF">2023-05-19T07:13:00Z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(Terms and Conditions of Employment) (Biosecurity and Veterinarian Employees)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OPC64381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2020</vt:lpwstr>
  </property>
</Properties>
</file>