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A0" w:rsidRPr="00BC4E63" w:rsidRDefault="00DE1E18" w:rsidP="00463884">
      <w:pPr>
        <w:pStyle w:val="Body"/>
      </w:pPr>
      <w:r w:rsidRPr="00BC4E63">
        <w:rPr>
          <w:noProof/>
          <w:lang w:eastAsia="en-AU"/>
        </w:rPr>
        <w:drawing>
          <wp:anchor distT="0" distB="0" distL="114300" distR="114300" simplePos="0" relativeHeight="251666944" behindDoc="0" locked="1" layoutInCell="1" allowOverlap="1" wp14:anchorId="713D6C84" wp14:editId="5C78E549">
            <wp:simplePos x="0" y="0"/>
            <wp:positionH relativeFrom="page">
              <wp:posOffset>648335</wp:posOffset>
            </wp:positionH>
            <wp:positionV relativeFrom="page">
              <wp:posOffset>648335</wp:posOffset>
            </wp:positionV>
            <wp:extent cx="851535" cy="819785"/>
            <wp:effectExtent l="0" t="0" r="5715" b="0"/>
            <wp:wrapNone/>
            <wp:docPr id="267" name="Picture 262" descr="Logo_Option_3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Logo_Option_3_tr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B8A" w:rsidRPr="00BC4E63" w:rsidRDefault="00531B8A" w:rsidP="00590A2C"/>
    <w:p w:rsidR="00683489" w:rsidRPr="00BC4E63" w:rsidRDefault="00683489" w:rsidP="00C46BEF">
      <w:pPr>
        <w:pStyle w:val="CoverDate"/>
        <w:framePr w:wrap="around"/>
      </w:pP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A13CAA" w:rsidRPr="00BC4E63" w:rsidTr="004205F8">
        <w:tc>
          <w:tcPr>
            <w:tcW w:w="10000" w:type="dxa"/>
            <w:shd w:val="clear" w:color="auto" w:fill="auto"/>
          </w:tcPr>
          <w:bookmarkStart w:id="0" w:name="TitleFields"/>
          <w:p w:rsidR="00A13CAA" w:rsidRPr="00BC4E63" w:rsidRDefault="00A13CAA" w:rsidP="00016C46">
            <w:pPr>
              <w:pStyle w:val="Cover-Client"/>
            </w:pPr>
            <w:r w:rsidRPr="00BC4E63">
              <w:fldChar w:fldCharType="begin"/>
            </w:r>
            <w:r w:rsidRPr="00BC4E63">
              <w:instrText xml:space="preserve"> DOCPROPERTY "Client"  \* MERGEFORMAT </w:instrText>
            </w:r>
            <w:r w:rsidRPr="00BC4E63">
              <w:fldChar w:fldCharType="separate"/>
            </w:r>
            <w:r w:rsidR="00802E87">
              <w:t>Department of the Environment</w:t>
            </w:r>
            <w:r w:rsidRPr="00BC4E63">
              <w:fldChar w:fldCharType="end"/>
            </w:r>
          </w:p>
          <w:p w:rsidR="00A13CAA" w:rsidRPr="00BC4E63" w:rsidRDefault="00625E2C" w:rsidP="00016C46">
            <w:pPr>
              <w:pStyle w:val="Project"/>
            </w:pPr>
            <w:fldSimple w:instr=" DOCPROPERTY &quot;Project&quot;  \* MERGEFORMAT ">
              <w:r w:rsidR="00802E87">
                <w:t>Thermal Augment Project</w:t>
              </w:r>
            </w:fldSimple>
          </w:p>
          <w:p w:rsidR="005345F5" w:rsidRPr="00302077" w:rsidRDefault="00625E2C" w:rsidP="00302077">
            <w:pPr>
              <w:pStyle w:val="Subject"/>
              <w:framePr w:hSpace="0" w:wrap="auto" w:hAnchor="text" w:xAlign="left" w:yAlign="inline"/>
            </w:pPr>
            <w:fldSimple w:instr=" DOCPROPERTY  GHDSubject  \* MERGEFORMAT ">
              <w:r w:rsidR="00802E87">
                <w:t>Report on Thermal Capacity Opportunities in Australian Hazardous Waste Infrastructure</w:t>
              </w:r>
            </w:fldSimple>
          </w:p>
          <w:p w:rsidR="005345F5" w:rsidRPr="00BC4E63" w:rsidRDefault="005345F5" w:rsidP="005345F5">
            <w:pPr>
              <w:pStyle w:val="Project"/>
            </w:pPr>
          </w:p>
          <w:p w:rsidR="00A13CAA" w:rsidRPr="00BC4E63" w:rsidRDefault="00302077" w:rsidP="00016C46">
            <w:pPr>
              <w:pStyle w:val="CoverDate"/>
              <w:framePr w:hSpace="0" w:wrap="auto" w:vAnchor="margin" w:hAnchor="text" w:xAlign="left" w:yAlign="inline"/>
            </w:pPr>
            <w:r>
              <w:fldChar w:fldCharType="begin"/>
            </w:r>
            <w:r>
              <w:instrText xml:space="preserve"> DATE  \@ "MMMM yyyy"  \* MERGEFORMAT </w:instrText>
            </w:r>
            <w:r>
              <w:fldChar w:fldCharType="separate"/>
            </w:r>
            <w:r w:rsidR="006225A8">
              <w:t>October 2016</w:t>
            </w:r>
            <w:r>
              <w:fldChar w:fldCharType="end"/>
            </w:r>
          </w:p>
        </w:tc>
      </w:tr>
      <w:bookmarkEnd w:id="0"/>
    </w:tbl>
    <w:p w:rsidR="00683489" w:rsidRPr="00BC4E63" w:rsidRDefault="00683489" w:rsidP="00590A2C"/>
    <w:p w:rsidR="00766F98" w:rsidRPr="00BC4E63" w:rsidRDefault="00766F98" w:rsidP="007D7375">
      <w:pPr>
        <w:sectPr w:rsidR="00766F98" w:rsidRPr="00BC4E63" w:rsidSect="00EC2A53">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709" w:footer="295" w:gutter="0"/>
          <w:cols w:space="708"/>
          <w:titlePg/>
          <w:docGrid w:linePitch="360"/>
        </w:sectPr>
      </w:pPr>
    </w:p>
    <w:p w:rsidR="00A10EC3" w:rsidRPr="00BC4E63" w:rsidRDefault="00CD0DE8" w:rsidP="003B2BC7">
      <w:pPr>
        <w:pStyle w:val="Heading1-NoTOC"/>
      </w:pPr>
      <w:r w:rsidRPr="00BC4E63">
        <w:lastRenderedPageBreak/>
        <w:t xml:space="preserve">Table of </w:t>
      </w:r>
      <w:r w:rsidR="00F84A04" w:rsidRPr="00BC4E63">
        <w:t>c</w:t>
      </w:r>
      <w:r w:rsidRPr="00BC4E63">
        <w:t>ontents</w:t>
      </w:r>
    </w:p>
    <w:p w:rsidR="00F94904" w:rsidRDefault="002C28B0">
      <w:pPr>
        <w:pStyle w:val="TOC1"/>
        <w:rPr>
          <w:rFonts w:asciiTheme="minorHAnsi" w:eastAsiaTheme="minorEastAsia" w:hAnsiTheme="minorHAnsi" w:cstheme="minorBidi"/>
          <w:bCs w:val="0"/>
          <w:noProof/>
          <w:sz w:val="22"/>
          <w:szCs w:val="22"/>
          <w:lang w:eastAsia="en-AU"/>
        </w:rPr>
      </w:pPr>
      <w:r w:rsidRPr="00BC4E63">
        <w:rPr>
          <w:rFonts w:ascii="Times New Roman" w:hAnsi="Times New Roman"/>
        </w:rPr>
        <w:fldChar w:fldCharType="begin"/>
      </w:r>
      <w:r w:rsidRPr="00BC4E63">
        <w:rPr>
          <w:rFonts w:ascii="Times New Roman" w:hAnsi="Times New Roman"/>
        </w:rPr>
        <w:instrText xml:space="preserve"> TOC \o "1-2" </w:instrText>
      </w:r>
      <w:r w:rsidRPr="00BC4E63">
        <w:rPr>
          <w:rFonts w:ascii="Times New Roman" w:hAnsi="Times New Roman"/>
        </w:rPr>
        <w:fldChar w:fldCharType="separate"/>
      </w:r>
      <w:r w:rsidR="00F94904">
        <w:rPr>
          <w:noProof/>
        </w:rPr>
        <w:t>1.</w:t>
      </w:r>
      <w:r w:rsidR="00F94904">
        <w:rPr>
          <w:rFonts w:asciiTheme="minorHAnsi" w:eastAsiaTheme="minorEastAsia" w:hAnsiTheme="minorHAnsi" w:cstheme="minorBidi"/>
          <w:bCs w:val="0"/>
          <w:noProof/>
          <w:sz w:val="22"/>
          <w:szCs w:val="22"/>
          <w:lang w:eastAsia="en-AU"/>
        </w:rPr>
        <w:tab/>
      </w:r>
      <w:r w:rsidR="00F94904">
        <w:rPr>
          <w:noProof/>
        </w:rPr>
        <w:t>Glossary</w:t>
      </w:r>
      <w:r w:rsidR="00F94904">
        <w:rPr>
          <w:noProof/>
        </w:rPr>
        <w:tab/>
      </w:r>
      <w:r w:rsidR="00F94904">
        <w:rPr>
          <w:noProof/>
        </w:rPr>
        <w:fldChar w:fldCharType="begin"/>
      </w:r>
      <w:r w:rsidR="00F94904">
        <w:rPr>
          <w:noProof/>
        </w:rPr>
        <w:instrText xml:space="preserve"> PAGEREF _Toc450909323 \h </w:instrText>
      </w:r>
      <w:r w:rsidR="00F94904">
        <w:rPr>
          <w:noProof/>
        </w:rPr>
      </w:r>
      <w:r w:rsidR="00F94904">
        <w:rPr>
          <w:noProof/>
        </w:rPr>
        <w:fldChar w:fldCharType="separate"/>
      </w:r>
      <w:r w:rsidR="006225A8">
        <w:rPr>
          <w:noProof/>
        </w:rPr>
        <w:t>1</w:t>
      </w:r>
      <w:r w:rsidR="00F94904">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2.</w:t>
      </w:r>
      <w:r>
        <w:rPr>
          <w:rFonts w:asciiTheme="minorHAnsi" w:eastAsiaTheme="minorEastAsia" w:hAnsiTheme="minorHAnsi" w:cstheme="minorBidi"/>
          <w:bCs w:val="0"/>
          <w:noProof/>
          <w:sz w:val="22"/>
          <w:szCs w:val="22"/>
          <w:lang w:eastAsia="en-AU"/>
        </w:rPr>
        <w:tab/>
      </w:r>
      <w:r>
        <w:rPr>
          <w:noProof/>
        </w:rPr>
        <w:t>Introduction</w:t>
      </w:r>
      <w:r>
        <w:rPr>
          <w:noProof/>
        </w:rPr>
        <w:tab/>
      </w:r>
      <w:r>
        <w:rPr>
          <w:noProof/>
        </w:rPr>
        <w:fldChar w:fldCharType="begin"/>
      </w:r>
      <w:r>
        <w:rPr>
          <w:noProof/>
        </w:rPr>
        <w:instrText xml:space="preserve"> PAGEREF _Toc450909324 \h </w:instrText>
      </w:r>
      <w:r>
        <w:rPr>
          <w:noProof/>
        </w:rPr>
      </w:r>
      <w:r>
        <w:rPr>
          <w:noProof/>
        </w:rPr>
        <w:fldChar w:fldCharType="separate"/>
      </w:r>
      <w:r w:rsidR="006225A8">
        <w:rPr>
          <w:noProof/>
        </w:rPr>
        <w:t>1</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Purpose of this report</w:t>
      </w:r>
      <w:r>
        <w:rPr>
          <w:noProof/>
        </w:rPr>
        <w:tab/>
      </w:r>
      <w:r>
        <w:rPr>
          <w:noProof/>
        </w:rPr>
        <w:fldChar w:fldCharType="begin"/>
      </w:r>
      <w:r>
        <w:rPr>
          <w:noProof/>
        </w:rPr>
        <w:instrText xml:space="preserve"> PAGEREF _Toc450909325 \h </w:instrText>
      </w:r>
      <w:r>
        <w:rPr>
          <w:noProof/>
        </w:rPr>
      </w:r>
      <w:r>
        <w:rPr>
          <w:noProof/>
        </w:rPr>
        <w:fldChar w:fldCharType="separate"/>
      </w:r>
      <w:r w:rsidR="006225A8">
        <w:rPr>
          <w:noProof/>
        </w:rPr>
        <w:t>1</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Scope and limitations</w:t>
      </w:r>
      <w:r>
        <w:rPr>
          <w:noProof/>
        </w:rPr>
        <w:tab/>
      </w:r>
      <w:r>
        <w:rPr>
          <w:noProof/>
        </w:rPr>
        <w:fldChar w:fldCharType="begin"/>
      </w:r>
      <w:r>
        <w:rPr>
          <w:noProof/>
        </w:rPr>
        <w:instrText xml:space="preserve"> PAGEREF _Toc450909326 \h </w:instrText>
      </w:r>
      <w:r>
        <w:rPr>
          <w:noProof/>
        </w:rPr>
      </w:r>
      <w:r>
        <w:rPr>
          <w:noProof/>
        </w:rPr>
        <w:fldChar w:fldCharType="separate"/>
      </w:r>
      <w:r w:rsidR="006225A8">
        <w:rPr>
          <w:noProof/>
        </w:rPr>
        <w:t>1</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3.</w:t>
      </w:r>
      <w:r>
        <w:rPr>
          <w:rFonts w:asciiTheme="minorHAnsi" w:eastAsiaTheme="minorEastAsia" w:hAnsiTheme="minorHAnsi" w:cstheme="minorBidi"/>
          <w:bCs w:val="0"/>
          <w:noProof/>
          <w:sz w:val="22"/>
          <w:szCs w:val="22"/>
          <w:lang w:eastAsia="en-AU"/>
        </w:rPr>
        <w:tab/>
      </w:r>
      <w:r>
        <w:rPr>
          <w:noProof/>
        </w:rPr>
        <w:t>Previous Work</w:t>
      </w:r>
      <w:r>
        <w:rPr>
          <w:noProof/>
        </w:rPr>
        <w:tab/>
      </w:r>
      <w:r>
        <w:rPr>
          <w:noProof/>
        </w:rPr>
        <w:fldChar w:fldCharType="begin"/>
      </w:r>
      <w:r>
        <w:rPr>
          <w:noProof/>
        </w:rPr>
        <w:instrText xml:space="preserve"> PAGEREF _Toc450909327 \h </w:instrText>
      </w:r>
      <w:r>
        <w:rPr>
          <w:noProof/>
        </w:rPr>
      </w:r>
      <w:r>
        <w:rPr>
          <w:noProof/>
        </w:rPr>
        <w:fldChar w:fldCharType="separate"/>
      </w:r>
      <w:r w:rsidR="006225A8">
        <w:rPr>
          <w:noProof/>
        </w:rPr>
        <w:t>2</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Scope of assessment</w:t>
      </w:r>
      <w:r>
        <w:rPr>
          <w:noProof/>
        </w:rPr>
        <w:tab/>
      </w:r>
      <w:r>
        <w:rPr>
          <w:noProof/>
        </w:rPr>
        <w:fldChar w:fldCharType="begin"/>
      </w:r>
      <w:r>
        <w:rPr>
          <w:noProof/>
        </w:rPr>
        <w:instrText xml:space="preserve"> PAGEREF _Toc450909328 \h </w:instrText>
      </w:r>
      <w:r>
        <w:rPr>
          <w:noProof/>
        </w:rPr>
      </w:r>
      <w:r>
        <w:rPr>
          <w:noProof/>
        </w:rPr>
        <w:fldChar w:fldCharType="separate"/>
      </w:r>
      <w:r w:rsidR="006225A8">
        <w:rPr>
          <w:noProof/>
        </w:rPr>
        <w:t>2</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Technologies considered</w:t>
      </w:r>
      <w:r>
        <w:rPr>
          <w:noProof/>
        </w:rPr>
        <w:tab/>
      </w:r>
      <w:r>
        <w:rPr>
          <w:noProof/>
        </w:rPr>
        <w:fldChar w:fldCharType="begin"/>
      </w:r>
      <w:r>
        <w:rPr>
          <w:noProof/>
        </w:rPr>
        <w:instrText xml:space="preserve"> PAGEREF _Toc450909329 \h </w:instrText>
      </w:r>
      <w:r>
        <w:rPr>
          <w:noProof/>
        </w:rPr>
      </w:r>
      <w:r>
        <w:rPr>
          <w:noProof/>
        </w:rPr>
        <w:fldChar w:fldCharType="separate"/>
      </w:r>
      <w:r w:rsidR="006225A8">
        <w:rPr>
          <w:noProof/>
        </w:rPr>
        <w:t>2</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Conclusions</w:t>
      </w:r>
      <w:r>
        <w:rPr>
          <w:noProof/>
        </w:rPr>
        <w:tab/>
      </w:r>
      <w:r>
        <w:rPr>
          <w:noProof/>
        </w:rPr>
        <w:fldChar w:fldCharType="begin"/>
      </w:r>
      <w:r>
        <w:rPr>
          <w:noProof/>
        </w:rPr>
        <w:instrText xml:space="preserve"> PAGEREF _Toc450909330 \h </w:instrText>
      </w:r>
      <w:r>
        <w:rPr>
          <w:noProof/>
        </w:rPr>
      </w:r>
      <w:r>
        <w:rPr>
          <w:noProof/>
        </w:rPr>
        <w:fldChar w:fldCharType="separate"/>
      </w:r>
      <w:r w:rsidR="006225A8">
        <w:rPr>
          <w:noProof/>
        </w:rPr>
        <w:t>2</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Subsequent hazardous waste capacity assessment</w:t>
      </w:r>
      <w:r>
        <w:rPr>
          <w:noProof/>
        </w:rPr>
        <w:tab/>
      </w:r>
      <w:r>
        <w:rPr>
          <w:noProof/>
        </w:rPr>
        <w:fldChar w:fldCharType="begin"/>
      </w:r>
      <w:r>
        <w:rPr>
          <w:noProof/>
        </w:rPr>
        <w:instrText xml:space="preserve"> PAGEREF _Toc450909331 \h </w:instrText>
      </w:r>
      <w:r>
        <w:rPr>
          <w:noProof/>
        </w:rPr>
      </w:r>
      <w:r>
        <w:rPr>
          <w:noProof/>
        </w:rPr>
        <w:fldChar w:fldCharType="separate"/>
      </w:r>
      <w:r w:rsidR="006225A8">
        <w:rPr>
          <w:noProof/>
        </w:rPr>
        <w:t>3</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4.</w:t>
      </w:r>
      <w:r>
        <w:rPr>
          <w:rFonts w:asciiTheme="minorHAnsi" w:eastAsiaTheme="minorEastAsia" w:hAnsiTheme="minorHAnsi" w:cstheme="minorBidi"/>
          <w:bCs w:val="0"/>
          <w:noProof/>
          <w:sz w:val="22"/>
          <w:szCs w:val="22"/>
          <w:lang w:eastAsia="en-AU"/>
        </w:rPr>
        <w:tab/>
      </w:r>
      <w:r>
        <w:rPr>
          <w:noProof/>
        </w:rPr>
        <w:t>Assessment Method</w:t>
      </w:r>
      <w:r>
        <w:rPr>
          <w:noProof/>
        </w:rPr>
        <w:tab/>
      </w:r>
      <w:r>
        <w:rPr>
          <w:noProof/>
        </w:rPr>
        <w:fldChar w:fldCharType="begin"/>
      </w:r>
      <w:r>
        <w:rPr>
          <w:noProof/>
        </w:rPr>
        <w:instrText xml:space="preserve"> PAGEREF _Toc450909332 \h </w:instrText>
      </w:r>
      <w:r>
        <w:rPr>
          <w:noProof/>
        </w:rPr>
      </w:r>
      <w:r>
        <w:rPr>
          <w:noProof/>
        </w:rPr>
        <w:fldChar w:fldCharType="separate"/>
      </w:r>
      <w:r w:rsidR="006225A8">
        <w:rPr>
          <w:noProof/>
        </w:rPr>
        <w:t>4</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Stakeholder consultation outcomes</w:t>
      </w:r>
      <w:r>
        <w:rPr>
          <w:noProof/>
        </w:rPr>
        <w:tab/>
      </w:r>
      <w:r>
        <w:rPr>
          <w:noProof/>
        </w:rPr>
        <w:fldChar w:fldCharType="begin"/>
      </w:r>
      <w:r>
        <w:rPr>
          <w:noProof/>
        </w:rPr>
        <w:instrText xml:space="preserve"> PAGEREF _Toc450909333 \h </w:instrText>
      </w:r>
      <w:r>
        <w:rPr>
          <w:noProof/>
        </w:rPr>
      </w:r>
      <w:r>
        <w:rPr>
          <w:noProof/>
        </w:rPr>
        <w:fldChar w:fldCharType="separate"/>
      </w:r>
      <w:r w:rsidR="006225A8">
        <w:rPr>
          <w:noProof/>
        </w:rPr>
        <w:t>4</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5.</w:t>
      </w:r>
      <w:r>
        <w:rPr>
          <w:rFonts w:asciiTheme="minorHAnsi" w:eastAsiaTheme="minorEastAsia" w:hAnsiTheme="minorHAnsi" w:cstheme="minorBidi"/>
          <w:bCs w:val="0"/>
          <w:noProof/>
          <w:sz w:val="22"/>
          <w:szCs w:val="22"/>
          <w:lang w:eastAsia="en-AU"/>
        </w:rPr>
        <w:tab/>
      </w:r>
      <w:r>
        <w:rPr>
          <w:noProof/>
        </w:rPr>
        <w:t>Assessment of thermal facilities</w:t>
      </w:r>
      <w:r>
        <w:rPr>
          <w:noProof/>
        </w:rPr>
        <w:tab/>
      </w:r>
      <w:r>
        <w:rPr>
          <w:noProof/>
        </w:rPr>
        <w:fldChar w:fldCharType="begin"/>
      </w:r>
      <w:r>
        <w:rPr>
          <w:noProof/>
        </w:rPr>
        <w:instrText xml:space="preserve"> PAGEREF _Toc450909334 \h </w:instrText>
      </w:r>
      <w:r>
        <w:rPr>
          <w:noProof/>
        </w:rPr>
      </w:r>
      <w:r>
        <w:rPr>
          <w:noProof/>
        </w:rPr>
        <w:fldChar w:fldCharType="separate"/>
      </w:r>
      <w:r w:rsidR="006225A8">
        <w:rPr>
          <w:noProof/>
        </w:rPr>
        <w:t>5</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Identification of suitable waste types for thermal treatment</w:t>
      </w:r>
      <w:r>
        <w:rPr>
          <w:noProof/>
        </w:rPr>
        <w:tab/>
      </w:r>
      <w:r>
        <w:rPr>
          <w:noProof/>
        </w:rPr>
        <w:fldChar w:fldCharType="begin"/>
      </w:r>
      <w:r>
        <w:rPr>
          <w:noProof/>
        </w:rPr>
        <w:instrText xml:space="preserve"> PAGEREF _Toc450909335 \h </w:instrText>
      </w:r>
      <w:r>
        <w:rPr>
          <w:noProof/>
        </w:rPr>
      </w:r>
      <w:r>
        <w:rPr>
          <w:noProof/>
        </w:rPr>
        <w:fldChar w:fldCharType="separate"/>
      </w:r>
      <w:r w:rsidR="006225A8">
        <w:rPr>
          <w:noProof/>
        </w:rPr>
        <w:t>5</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Identification of thermal facilities</w:t>
      </w:r>
      <w:r>
        <w:rPr>
          <w:noProof/>
        </w:rPr>
        <w:tab/>
      </w:r>
      <w:r>
        <w:rPr>
          <w:noProof/>
        </w:rPr>
        <w:fldChar w:fldCharType="begin"/>
      </w:r>
      <w:r>
        <w:rPr>
          <w:noProof/>
        </w:rPr>
        <w:instrText xml:space="preserve"> PAGEREF _Toc450909336 \h </w:instrText>
      </w:r>
      <w:r>
        <w:rPr>
          <w:noProof/>
        </w:rPr>
      </w:r>
      <w:r>
        <w:rPr>
          <w:noProof/>
        </w:rPr>
        <w:fldChar w:fldCharType="separate"/>
      </w:r>
      <w:r w:rsidR="006225A8">
        <w:rPr>
          <w:noProof/>
        </w:rPr>
        <w:t>6</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6.</w:t>
      </w:r>
      <w:r>
        <w:rPr>
          <w:rFonts w:asciiTheme="minorHAnsi" w:eastAsiaTheme="minorEastAsia" w:hAnsiTheme="minorHAnsi" w:cstheme="minorBidi"/>
          <w:bCs w:val="0"/>
          <w:noProof/>
          <w:sz w:val="22"/>
          <w:szCs w:val="22"/>
          <w:lang w:eastAsia="en-AU"/>
        </w:rPr>
        <w:tab/>
      </w:r>
      <w:r>
        <w:rPr>
          <w:noProof/>
        </w:rPr>
        <w:t>Outcomes of the assessment</w:t>
      </w:r>
      <w:r>
        <w:rPr>
          <w:noProof/>
        </w:rPr>
        <w:tab/>
      </w:r>
      <w:r>
        <w:rPr>
          <w:noProof/>
        </w:rPr>
        <w:fldChar w:fldCharType="begin"/>
      </w:r>
      <w:r>
        <w:rPr>
          <w:noProof/>
        </w:rPr>
        <w:instrText xml:space="preserve"> PAGEREF _Toc450909337 \h </w:instrText>
      </w:r>
      <w:r>
        <w:rPr>
          <w:noProof/>
        </w:rPr>
      </w:r>
      <w:r>
        <w:rPr>
          <w:noProof/>
        </w:rPr>
        <w:fldChar w:fldCharType="separate"/>
      </w:r>
      <w:r w:rsidR="006225A8">
        <w:rPr>
          <w:noProof/>
        </w:rPr>
        <w:t>12</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Thermal desorption facilities</w:t>
      </w:r>
      <w:r>
        <w:rPr>
          <w:noProof/>
        </w:rPr>
        <w:tab/>
      </w:r>
      <w:r>
        <w:rPr>
          <w:noProof/>
        </w:rPr>
        <w:fldChar w:fldCharType="begin"/>
      </w:r>
      <w:r>
        <w:rPr>
          <w:noProof/>
        </w:rPr>
        <w:instrText xml:space="preserve"> PAGEREF _Toc450909338 \h </w:instrText>
      </w:r>
      <w:r>
        <w:rPr>
          <w:noProof/>
        </w:rPr>
      </w:r>
      <w:r>
        <w:rPr>
          <w:noProof/>
        </w:rPr>
        <w:fldChar w:fldCharType="separate"/>
      </w:r>
      <w:r w:rsidR="006225A8">
        <w:rPr>
          <w:noProof/>
        </w:rPr>
        <w:t>13</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Incineration type facilities</w:t>
      </w:r>
      <w:r>
        <w:rPr>
          <w:noProof/>
        </w:rPr>
        <w:tab/>
      </w:r>
      <w:r>
        <w:rPr>
          <w:noProof/>
        </w:rPr>
        <w:fldChar w:fldCharType="begin"/>
      </w:r>
      <w:r>
        <w:rPr>
          <w:noProof/>
        </w:rPr>
        <w:instrText xml:space="preserve"> PAGEREF _Toc450909339 \h </w:instrText>
      </w:r>
      <w:r>
        <w:rPr>
          <w:noProof/>
        </w:rPr>
      </w:r>
      <w:r>
        <w:rPr>
          <w:noProof/>
        </w:rPr>
        <w:fldChar w:fldCharType="separate"/>
      </w:r>
      <w:r w:rsidR="006225A8">
        <w:rPr>
          <w:noProof/>
        </w:rPr>
        <w:t>13</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Smelters</w:t>
      </w:r>
      <w:r>
        <w:rPr>
          <w:noProof/>
        </w:rPr>
        <w:tab/>
      </w:r>
      <w:r>
        <w:rPr>
          <w:noProof/>
        </w:rPr>
        <w:fldChar w:fldCharType="begin"/>
      </w:r>
      <w:r>
        <w:rPr>
          <w:noProof/>
        </w:rPr>
        <w:instrText xml:space="preserve"> PAGEREF _Toc450909340 \h </w:instrText>
      </w:r>
      <w:r>
        <w:rPr>
          <w:noProof/>
        </w:rPr>
      </w:r>
      <w:r>
        <w:rPr>
          <w:noProof/>
        </w:rPr>
        <w:fldChar w:fldCharType="separate"/>
      </w:r>
      <w:r w:rsidR="006225A8">
        <w:rPr>
          <w:noProof/>
        </w:rPr>
        <w:t>16</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Rotary furnaces and kilns</w:t>
      </w:r>
      <w:r>
        <w:rPr>
          <w:noProof/>
        </w:rPr>
        <w:tab/>
      </w:r>
      <w:r>
        <w:rPr>
          <w:noProof/>
        </w:rPr>
        <w:fldChar w:fldCharType="begin"/>
      </w:r>
      <w:r>
        <w:rPr>
          <w:noProof/>
        </w:rPr>
        <w:instrText xml:space="preserve"> PAGEREF _Toc450909341 \h </w:instrText>
      </w:r>
      <w:r>
        <w:rPr>
          <w:noProof/>
        </w:rPr>
      </w:r>
      <w:r>
        <w:rPr>
          <w:noProof/>
        </w:rPr>
        <w:fldChar w:fldCharType="separate"/>
      </w:r>
      <w:r w:rsidR="006225A8">
        <w:rPr>
          <w:noProof/>
        </w:rPr>
        <w:t>18</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Other technologies</w:t>
      </w:r>
      <w:r>
        <w:rPr>
          <w:noProof/>
        </w:rPr>
        <w:tab/>
      </w:r>
      <w:r>
        <w:rPr>
          <w:noProof/>
        </w:rPr>
        <w:fldChar w:fldCharType="begin"/>
      </w:r>
      <w:r>
        <w:rPr>
          <w:noProof/>
        </w:rPr>
        <w:instrText xml:space="preserve"> PAGEREF _Toc450909342 \h </w:instrText>
      </w:r>
      <w:r>
        <w:rPr>
          <w:noProof/>
        </w:rPr>
      </w:r>
      <w:r>
        <w:rPr>
          <w:noProof/>
        </w:rPr>
        <w:fldChar w:fldCharType="separate"/>
      </w:r>
      <w:r w:rsidR="006225A8">
        <w:rPr>
          <w:noProof/>
        </w:rPr>
        <w:t>23</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Mobile and packaged waste treatment plants</w:t>
      </w:r>
      <w:r>
        <w:rPr>
          <w:noProof/>
        </w:rPr>
        <w:tab/>
      </w:r>
      <w:r>
        <w:rPr>
          <w:noProof/>
        </w:rPr>
        <w:fldChar w:fldCharType="begin"/>
      </w:r>
      <w:r>
        <w:rPr>
          <w:noProof/>
        </w:rPr>
        <w:instrText xml:space="preserve"> PAGEREF _Toc450909343 \h </w:instrText>
      </w:r>
      <w:r>
        <w:rPr>
          <w:noProof/>
        </w:rPr>
      </w:r>
      <w:r>
        <w:rPr>
          <w:noProof/>
        </w:rPr>
        <w:fldChar w:fldCharType="separate"/>
      </w:r>
      <w:r w:rsidR="006225A8">
        <w:rPr>
          <w:noProof/>
        </w:rPr>
        <w:t>24</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Treatment of POPs waste</w:t>
      </w:r>
      <w:r>
        <w:rPr>
          <w:noProof/>
        </w:rPr>
        <w:tab/>
      </w:r>
      <w:r>
        <w:rPr>
          <w:noProof/>
        </w:rPr>
        <w:fldChar w:fldCharType="begin"/>
      </w:r>
      <w:r>
        <w:rPr>
          <w:noProof/>
        </w:rPr>
        <w:instrText xml:space="preserve"> PAGEREF _Toc450909344 \h </w:instrText>
      </w:r>
      <w:r>
        <w:rPr>
          <w:noProof/>
        </w:rPr>
      </w:r>
      <w:r>
        <w:rPr>
          <w:noProof/>
        </w:rPr>
        <w:fldChar w:fldCharType="separate"/>
      </w:r>
      <w:r w:rsidR="006225A8">
        <w:rPr>
          <w:noProof/>
        </w:rPr>
        <w:t>25</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sidRPr="00782C4E">
        <w:rPr>
          <w:bCs w:val="0"/>
          <w:noProof/>
        </w:rPr>
        <w:t>7.</w:t>
      </w:r>
      <w:r>
        <w:rPr>
          <w:rFonts w:asciiTheme="minorHAnsi" w:eastAsiaTheme="minorEastAsia" w:hAnsiTheme="minorHAnsi" w:cstheme="minorBidi"/>
          <w:bCs w:val="0"/>
          <w:noProof/>
          <w:sz w:val="22"/>
          <w:szCs w:val="22"/>
          <w:lang w:eastAsia="en-AU"/>
        </w:rPr>
        <w:tab/>
      </w:r>
      <w:r>
        <w:rPr>
          <w:noProof/>
        </w:rPr>
        <w:t>Potential treatment capacity</w:t>
      </w:r>
      <w:r>
        <w:rPr>
          <w:noProof/>
        </w:rPr>
        <w:tab/>
      </w:r>
      <w:r>
        <w:rPr>
          <w:noProof/>
        </w:rPr>
        <w:fldChar w:fldCharType="begin"/>
      </w:r>
      <w:r>
        <w:rPr>
          <w:noProof/>
        </w:rPr>
        <w:instrText xml:space="preserve"> PAGEREF _Toc450909345 \h </w:instrText>
      </w:r>
      <w:r>
        <w:rPr>
          <w:noProof/>
        </w:rPr>
      </w:r>
      <w:r>
        <w:rPr>
          <w:noProof/>
        </w:rPr>
        <w:fldChar w:fldCharType="separate"/>
      </w:r>
      <w:r w:rsidR="006225A8">
        <w:rPr>
          <w:noProof/>
        </w:rPr>
        <w:t>26</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Facilities with potential additional treatment capacity</w:t>
      </w:r>
      <w:r>
        <w:rPr>
          <w:noProof/>
        </w:rPr>
        <w:tab/>
      </w:r>
      <w:r>
        <w:rPr>
          <w:noProof/>
        </w:rPr>
        <w:fldChar w:fldCharType="begin"/>
      </w:r>
      <w:r>
        <w:rPr>
          <w:noProof/>
        </w:rPr>
        <w:instrText xml:space="preserve"> PAGEREF _Toc450909346 \h </w:instrText>
      </w:r>
      <w:r>
        <w:rPr>
          <w:noProof/>
        </w:rPr>
      </w:r>
      <w:r>
        <w:rPr>
          <w:noProof/>
        </w:rPr>
        <w:fldChar w:fldCharType="separate"/>
      </w:r>
      <w:r w:rsidR="006225A8">
        <w:rPr>
          <w:noProof/>
        </w:rPr>
        <w:t>26</w:t>
      </w:r>
      <w:r>
        <w:rPr>
          <w:noProof/>
        </w:rPr>
        <w:fldChar w:fldCharType="end"/>
      </w:r>
    </w:p>
    <w:p w:rsidR="00F94904" w:rsidRDefault="00F94904">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Prefeasibility studies</w:t>
      </w:r>
      <w:r>
        <w:rPr>
          <w:noProof/>
        </w:rPr>
        <w:tab/>
      </w:r>
      <w:r>
        <w:rPr>
          <w:noProof/>
        </w:rPr>
        <w:fldChar w:fldCharType="begin"/>
      </w:r>
      <w:r>
        <w:rPr>
          <w:noProof/>
        </w:rPr>
        <w:instrText xml:space="preserve"> PAGEREF _Toc450909347 \h </w:instrText>
      </w:r>
      <w:r>
        <w:rPr>
          <w:noProof/>
        </w:rPr>
      </w:r>
      <w:r>
        <w:rPr>
          <w:noProof/>
        </w:rPr>
        <w:fldChar w:fldCharType="separate"/>
      </w:r>
      <w:r w:rsidR="006225A8">
        <w:rPr>
          <w:noProof/>
        </w:rPr>
        <w:t>27</w:t>
      </w:r>
      <w:r>
        <w:rPr>
          <w:noProof/>
        </w:rPr>
        <w:fldChar w:fldCharType="end"/>
      </w:r>
    </w:p>
    <w:p w:rsidR="00F94904" w:rsidRDefault="00F94904">
      <w:pPr>
        <w:pStyle w:val="TOC1"/>
        <w:rPr>
          <w:rFonts w:asciiTheme="minorHAnsi" w:eastAsiaTheme="minorEastAsia" w:hAnsiTheme="minorHAnsi" w:cstheme="minorBidi"/>
          <w:bCs w:val="0"/>
          <w:noProof/>
          <w:sz w:val="22"/>
          <w:szCs w:val="22"/>
          <w:lang w:eastAsia="en-AU"/>
        </w:rPr>
      </w:pPr>
      <w:r>
        <w:rPr>
          <w:noProof/>
        </w:rPr>
        <w:t>8.</w:t>
      </w:r>
      <w:r>
        <w:rPr>
          <w:rFonts w:asciiTheme="minorHAnsi" w:eastAsiaTheme="minorEastAsia" w:hAnsiTheme="minorHAnsi" w:cstheme="minorBidi"/>
          <w:bCs w:val="0"/>
          <w:noProof/>
          <w:sz w:val="22"/>
          <w:szCs w:val="22"/>
          <w:lang w:eastAsia="en-AU"/>
        </w:rPr>
        <w:tab/>
      </w:r>
      <w:r>
        <w:rPr>
          <w:noProof/>
        </w:rPr>
        <w:t>Conclusion</w:t>
      </w:r>
      <w:r>
        <w:rPr>
          <w:noProof/>
        </w:rPr>
        <w:tab/>
      </w:r>
      <w:r>
        <w:rPr>
          <w:noProof/>
        </w:rPr>
        <w:fldChar w:fldCharType="begin"/>
      </w:r>
      <w:r>
        <w:rPr>
          <w:noProof/>
        </w:rPr>
        <w:instrText xml:space="preserve"> PAGEREF _Toc450909348 \h </w:instrText>
      </w:r>
      <w:r>
        <w:rPr>
          <w:noProof/>
        </w:rPr>
      </w:r>
      <w:r>
        <w:rPr>
          <w:noProof/>
        </w:rPr>
        <w:fldChar w:fldCharType="separate"/>
      </w:r>
      <w:r w:rsidR="006225A8">
        <w:rPr>
          <w:noProof/>
        </w:rPr>
        <w:t>28</w:t>
      </w:r>
      <w:r>
        <w:rPr>
          <w:noProof/>
        </w:rPr>
        <w:fldChar w:fldCharType="end"/>
      </w:r>
    </w:p>
    <w:p w:rsidR="002C28B0" w:rsidRPr="00BC4E63" w:rsidRDefault="002C28B0" w:rsidP="002C28B0">
      <w:pPr>
        <w:rPr>
          <w:rFonts w:ascii="Times New Roman" w:hAnsi="Times New Roman"/>
          <w:bCs/>
          <w:szCs w:val="20"/>
        </w:rPr>
      </w:pPr>
      <w:r w:rsidRPr="00BC4E63">
        <w:rPr>
          <w:rFonts w:ascii="Times New Roman" w:hAnsi="Times New Roman"/>
          <w:bCs/>
          <w:szCs w:val="20"/>
        </w:rPr>
        <w:fldChar w:fldCharType="end"/>
      </w:r>
    </w:p>
    <w:p w:rsidR="002C28B0" w:rsidRPr="00BC4E63" w:rsidRDefault="00F84A04" w:rsidP="002C28B0">
      <w:pPr>
        <w:pStyle w:val="Heading1-NoTOC"/>
      </w:pPr>
      <w:r w:rsidRPr="00BC4E63">
        <w:t>Table i</w:t>
      </w:r>
      <w:r w:rsidR="002C28B0" w:rsidRPr="00BC4E63">
        <w:t>ndex</w:t>
      </w:r>
    </w:p>
    <w:p w:rsidR="00F94904" w:rsidRDefault="005867CA">
      <w:pPr>
        <w:pStyle w:val="TableofFigures"/>
        <w:rPr>
          <w:rFonts w:asciiTheme="minorHAnsi" w:eastAsiaTheme="minorEastAsia" w:hAnsiTheme="minorHAnsi" w:cstheme="minorBidi"/>
          <w:bCs w:val="0"/>
          <w:noProof/>
          <w:sz w:val="22"/>
          <w:szCs w:val="22"/>
          <w:lang w:eastAsia="en-AU"/>
        </w:rPr>
      </w:pPr>
      <w:r w:rsidRPr="00BC4E63">
        <w:fldChar w:fldCharType="begin"/>
      </w:r>
      <w:r w:rsidRPr="00BC4E63">
        <w:instrText xml:space="preserve"> TOC \c "Table" </w:instrText>
      </w:r>
      <w:r w:rsidRPr="00BC4E63">
        <w:fldChar w:fldCharType="separate"/>
      </w:r>
      <w:r w:rsidR="00F94904">
        <w:rPr>
          <w:noProof/>
        </w:rPr>
        <w:t>Table 1</w:t>
      </w:r>
      <w:r w:rsidR="00F94904">
        <w:rPr>
          <w:rFonts w:asciiTheme="minorHAnsi" w:eastAsiaTheme="minorEastAsia" w:hAnsiTheme="minorHAnsi" w:cstheme="minorBidi"/>
          <w:bCs w:val="0"/>
          <w:noProof/>
          <w:sz w:val="22"/>
          <w:szCs w:val="22"/>
          <w:lang w:eastAsia="en-AU"/>
        </w:rPr>
        <w:tab/>
      </w:r>
      <w:r w:rsidR="00F94904">
        <w:rPr>
          <w:noProof/>
        </w:rPr>
        <w:t>Suitable waste types for thermal treatment</w:t>
      </w:r>
      <w:r w:rsidR="00F94904">
        <w:rPr>
          <w:noProof/>
        </w:rPr>
        <w:tab/>
      </w:r>
      <w:r w:rsidR="00F94904">
        <w:rPr>
          <w:noProof/>
        </w:rPr>
        <w:fldChar w:fldCharType="begin"/>
      </w:r>
      <w:r w:rsidR="00F94904">
        <w:rPr>
          <w:noProof/>
        </w:rPr>
        <w:instrText xml:space="preserve"> PAGEREF _Toc450909349 \h </w:instrText>
      </w:r>
      <w:r w:rsidR="00F94904">
        <w:rPr>
          <w:noProof/>
        </w:rPr>
      </w:r>
      <w:r w:rsidR="00F94904">
        <w:rPr>
          <w:noProof/>
        </w:rPr>
        <w:fldChar w:fldCharType="separate"/>
      </w:r>
      <w:r w:rsidR="006225A8">
        <w:rPr>
          <w:noProof/>
        </w:rPr>
        <w:t>5</w:t>
      </w:r>
      <w:r w:rsidR="00F94904">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 xml:space="preserve">Table 2 </w:t>
      </w:r>
      <w:r>
        <w:rPr>
          <w:rFonts w:asciiTheme="minorHAnsi" w:eastAsiaTheme="minorEastAsia" w:hAnsiTheme="minorHAnsi" w:cstheme="minorBidi"/>
          <w:bCs w:val="0"/>
          <w:noProof/>
          <w:sz w:val="22"/>
          <w:szCs w:val="22"/>
          <w:lang w:eastAsia="en-AU"/>
        </w:rPr>
        <w:tab/>
      </w:r>
      <w:r>
        <w:rPr>
          <w:noProof/>
        </w:rPr>
        <w:t>Thermal facilities identified for the study</w:t>
      </w:r>
      <w:r>
        <w:rPr>
          <w:noProof/>
        </w:rPr>
        <w:tab/>
      </w:r>
      <w:r>
        <w:rPr>
          <w:noProof/>
        </w:rPr>
        <w:fldChar w:fldCharType="begin"/>
      </w:r>
      <w:r>
        <w:rPr>
          <w:noProof/>
        </w:rPr>
        <w:instrText xml:space="preserve"> PAGEREF _Toc450909350 \h </w:instrText>
      </w:r>
      <w:r>
        <w:rPr>
          <w:noProof/>
        </w:rPr>
      </w:r>
      <w:r>
        <w:rPr>
          <w:noProof/>
        </w:rPr>
        <w:fldChar w:fldCharType="separate"/>
      </w:r>
      <w:r w:rsidR="006225A8">
        <w:rPr>
          <w:noProof/>
        </w:rPr>
        <w:t>9</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3</w:t>
      </w:r>
      <w:r>
        <w:rPr>
          <w:rFonts w:asciiTheme="minorHAnsi" w:eastAsiaTheme="minorEastAsia" w:hAnsiTheme="minorHAnsi" w:cstheme="minorBidi"/>
          <w:bCs w:val="0"/>
          <w:noProof/>
          <w:sz w:val="22"/>
          <w:szCs w:val="22"/>
          <w:lang w:eastAsia="en-AU"/>
        </w:rPr>
        <w:tab/>
      </w:r>
      <w:r>
        <w:rPr>
          <w:noProof/>
        </w:rPr>
        <w:t>Description of thermal desorption facilities</w:t>
      </w:r>
      <w:r>
        <w:rPr>
          <w:noProof/>
        </w:rPr>
        <w:tab/>
      </w:r>
      <w:r>
        <w:rPr>
          <w:noProof/>
        </w:rPr>
        <w:fldChar w:fldCharType="begin"/>
      </w:r>
      <w:r>
        <w:rPr>
          <w:noProof/>
        </w:rPr>
        <w:instrText xml:space="preserve"> PAGEREF _Toc450909351 \h </w:instrText>
      </w:r>
      <w:r>
        <w:rPr>
          <w:noProof/>
        </w:rPr>
      </w:r>
      <w:r>
        <w:rPr>
          <w:noProof/>
        </w:rPr>
        <w:fldChar w:fldCharType="separate"/>
      </w:r>
      <w:r w:rsidR="006225A8">
        <w:rPr>
          <w:noProof/>
        </w:rPr>
        <w:t>13</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4</w:t>
      </w:r>
      <w:r>
        <w:rPr>
          <w:rFonts w:asciiTheme="minorHAnsi" w:eastAsiaTheme="minorEastAsia" w:hAnsiTheme="minorHAnsi" w:cstheme="minorBidi"/>
          <w:bCs w:val="0"/>
          <w:noProof/>
          <w:sz w:val="22"/>
          <w:szCs w:val="22"/>
          <w:lang w:eastAsia="en-AU"/>
        </w:rPr>
        <w:tab/>
      </w:r>
      <w:r>
        <w:rPr>
          <w:noProof/>
        </w:rPr>
        <w:t>Description of incineration facilities</w:t>
      </w:r>
      <w:r>
        <w:rPr>
          <w:noProof/>
        </w:rPr>
        <w:tab/>
      </w:r>
      <w:r>
        <w:rPr>
          <w:noProof/>
        </w:rPr>
        <w:fldChar w:fldCharType="begin"/>
      </w:r>
      <w:r>
        <w:rPr>
          <w:noProof/>
        </w:rPr>
        <w:instrText xml:space="preserve"> PAGEREF _Toc450909352 \h </w:instrText>
      </w:r>
      <w:r>
        <w:rPr>
          <w:noProof/>
        </w:rPr>
      </w:r>
      <w:r>
        <w:rPr>
          <w:noProof/>
        </w:rPr>
        <w:fldChar w:fldCharType="separate"/>
      </w:r>
      <w:r w:rsidR="006225A8">
        <w:rPr>
          <w:noProof/>
        </w:rPr>
        <w:t>14</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5</w:t>
      </w:r>
      <w:r>
        <w:rPr>
          <w:rFonts w:asciiTheme="minorHAnsi" w:eastAsiaTheme="minorEastAsia" w:hAnsiTheme="minorHAnsi" w:cstheme="minorBidi"/>
          <w:bCs w:val="0"/>
          <w:noProof/>
          <w:sz w:val="22"/>
          <w:szCs w:val="22"/>
          <w:lang w:eastAsia="en-AU"/>
        </w:rPr>
        <w:tab/>
      </w:r>
      <w:r>
        <w:rPr>
          <w:noProof/>
        </w:rPr>
        <w:t>Description of smelting facilities</w:t>
      </w:r>
      <w:r>
        <w:rPr>
          <w:noProof/>
        </w:rPr>
        <w:tab/>
      </w:r>
      <w:r>
        <w:rPr>
          <w:noProof/>
        </w:rPr>
        <w:fldChar w:fldCharType="begin"/>
      </w:r>
      <w:r>
        <w:rPr>
          <w:noProof/>
        </w:rPr>
        <w:instrText xml:space="preserve"> PAGEREF _Toc450909353 \h </w:instrText>
      </w:r>
      <w:r>
        <w:rPr>
          <w:noProof/>
        </w:rPr>
      </w:r>
      <w:r>
        <w:rPr>
          <w:noProof/>
        </w:rPr>
        <w:fldChar w:fldCharType="separate"/>
      </w:r>
      <w:r w:rsidR="006225A8">
        <w:rPr>
          <w:noProof/>
        </w:rPr>
        <w:t>16</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6</w:t>
      </w:r>
      <w:r>
        <w:rPr>
          <w:rFonts w:asciiTheme="minorHAnsi" w:eastAsiaTheme="minorEastAsia" w:hAnsiTheme="minorHAnsi" w:cstheme="minorBidi"/>
          <w:bCs w:val="0"/>
          <w:noProof/>
          <w:sz w:val="22"/>
          <w:szCs w:val="22"/>
          <w:lang w:eastAsia="en-AU"/>
        </w:rPr>
        <w:tab/>
      </w:r>
      <w:r>
        <w:rPr>
          <w:noProof/>
        </w:rPr>
        <w:t>Description of rotary furnace and kiln facilities</w:t>
      </w:r>
      <w:r>
        <w:rPr>
          <w:noProof/>
        </w:rPr>
        <w:tab/>
      </w:r>
      <w:r>
        <w:rPr>
          <w:noProof/>
        </w:rPr>
        <w:fldChar w:fldCharType="begin"/>
      </w:r>
      <w:r>
        <w:rPr>
          <w:noProof/>
        </w:rPr>
        <w:instrText xml:space="preserve"> PAGEREF _Toc450909354 \h </w:instrText>
      </w:r>
      <w:r>
        <w:rPr>
          <w:noProof/>
        </w:rPr>
      </w:r>
      <w:r>
        <w:rPr>
          <w:noProof/>
        </w:rPr>
        <w:fldChar w:fldCharType="separate"/>
      </w:r>
      <w:r w:rsidR="006225A8">
        <w:rPr>
          <w:noProof/>
        </w:rPr>
        <w:t>18</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7</w:t>
      </w:r>
      <w:r>
        <w:rPr>
          <w:rFonts w:asciiTheme="minorHAnsi" w:eastAsiaTheme="minorEastAsia" w:hAnsiTheme="minorHAnsi" w:cstheme="minorBidi"/>
          <w:bCs w:val="0"/>
          <w:noProof/>
          <w:sz w:val="22"/>
          <w:szCs w:val="22"/>
          <w:lang w:eastAsia="en-AU"/>
        </w:rPr>
        <w:tab/>
      </w:r>
      <w:r>
        <w:rPr>
          <w:noProof/>
        </w:rPr>
        <w:t>Description of other treatment technologies for hazardous waste</w:t>
      </w:r>
      <w:r>
        <w:rPr>
          <w:noProof/>
        </w:rPr>
        <w:tab/>
      </w:r>
      <w:r>
        <w:rPr>
          <w:noProof/>
        </w:rPr>
        <w:fldChar w:fldCharType="begin"/>
      </w:r>
      <w:r>
        <w:rPr>
          <w:noProof/>
        </w:rPr>
        <w:instrText xml:space="preserve"> PAGEREF _Toc450909355 \h </w:instrText>
      </w:r>
      <w:r>
        <w:rPr>
          <w:noProof/>
        </w:rPr>
      </w:r>
      <w:r>
        <w:rPr>
          <w:noProof/>
        </w:rPr>
        <w:fldChar w:fldCharType="separate"/>
      </w:r>
      <w:r w:rsidR="006225A8">
        <w:rPr>
          <w:noProof/>
        </w:rPr>
        <w:t>24</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lastRenderedPageBreak/>
        <w:t>Table 8</w:t>
      </w:r>
      <w:r>
        <w:rPr>
          <w:rFonts w:asciiTheme="minorHAnsi" w:eastAsiaTheme="minorEastAsia" w:hAnsiTheme="minorHAnsi" w:cstheme="minorBidi"/>
          <w:bCs w:val="0"/>
          <w:noProof/>
          <w:sz w:val="22"/>
          <w:szCs w:val="22"/>
          <w:lang w:eastAsia="en-AU"/>
        </w:rPr>
        <w:tab/>
      </w:r>
      <w:r>
        <w:rPr>
          <w:noProof/>
        </w:rPr>
        <w:t>Description of mobile and packaged waste treatment plants</w:t>
      </w:r>
      <w:r>
        <w:rPr>
          <w:noProof/>
        </w:rPr>
        <w:tab/>
      </w:r>
      <w:r>
        <w:rPr>
          <w:noProof/>
        </w:rPr>
        <w:fldChar w:fldCharType="begin"/>
      </w:r>
      <w:r>
        <w:rPr>
          <w:noProof/>
        </w:rPr>
        <w:instrText xml:space="preserve"> PAGEREF _Toc450909356 \h </w:instrText>
      </w:r>
      <w:r>
        <w:rPr>
          <w:noProof/>
        </w:rPr>
      </w:r>
      <w:r>
        <w:rPr>
          <w:noProof/>
        </w:rPr>
        <w:fldChar w:fldCharType="separate"/>
      </w:r>
      <w:r w:rsidR="006225A8">
        <w:rPr>
          <w:noProof/>
        </w:rPr>
        <w:t>25</w:t>
      </w:r>
      <w:r>
        <w:rPr>
          <w:noProof/>
        </w:rPr>
        <w:fldChar w:fldCharType="end"/>
      </w:r>
    </w:p>
    <w:p w:rsidR="00F94904" w:rsidRDefault="00F94904">
      <w:pPr>
        <w:pStyle w:val="TableofFigures"/>
        <w:rPr>
          <w:rFonts w:asciiTheme="minorHAnsi" w:eastAsiaTheme="minorEastAsia" w:hAnsiTheme="minorHAnsi" w:cstheme="minorBidi"/>
          <w:bCs w:val="0"/>
          <w:noProof/>
          <w:sz w:val="22"/>
          <w:szCs w:val="22"/>
          <w:lang w:eastAsia="en-AU"/>
        </w:rPr>
      </w:pPr>
      <w:r>
        <w:rPr>
          <w:noProof/>
        </w:rPr>
        <w:t>Table 9</w:t>
      </w:r>
      <w:r>
        <w:rPr>
          <w:rFonts w:asciiTheme="minorHAnsi" w:eastAsiaTheme="minorEastAsia" w:hAnsiTheme="minorHAnsi" w:cstheme="minorBidi"/>
          <w:bCs w:val="0"/>
          <w:noProof/>
          <w:sz w:val="22"/>
          <w:szCs w:val="22"/>
          <w:lang w:eastAsia="en-AU"/>
        </w:rPr>
        <w:tab/>
      </w:r>
      <w:r>
        <w:rPr>
          <w:noProof/>
        </w:rPr>
        <w:t>Potential additional capacity of waste treatment facilities</w:t>
      </w:r>
      <w:r>
        <w:rPr>
          <w:noProof/>
        </w:rPr>
        <w:tab/>
      </w:r>
      <w:r>
        <w:rPr>
          <w:noProof/>
        </w:rPr>
        <w:fldChar w:fldCharType="begin"/>
      </w:r>
      <w:r>
        <w:rPr>
          <w:noProof/>
        </w:rPr>
        <w:instrText xml:space="preserve"> PAGEREF _Toc450909357 \h </w:instrText>
      </w:r>
      <w:r>
        <w:rPr>
          <w:noProof/>
        </w:rPr>
      </w:r>
      <w:r>
        <w:rPr>
          <w:noProof/>
        </w:rPr>
        <w:fldChar w:fldCharType="separate"/>
      </w:r>
      <w:r w:rsidR="006225A8">
        <w:rPr>
          <w:noProof/>
        </w:rPr>
        <w:t>26</w:t>
      </w:r>
      <w:r>
        <w:rPr>
          <w:noProof/>
        </w:rPr>
        <w:fldChar w:fldCharType="end"/>
      </w:r>
    </w:p>
    <w:p w:rsidR="002C28B0" w:rsidRPr="00BC4E63" w:rsidRDefault="005867CA" w:rsidP="002C28B0">
      <w:r w:rsidRPr="00BC4E63">
        <w:rPr>
          <w:b/>
          <w:bCs/>
          <w:noProof/>
        </w:rPr>
        <w:fldChar w:fldCharType="end"/>
      </w:r>
    </w:p>
    <w:p w:rsidR="002C28B0" w:rsidRPr="00BC4E63" w:rsidRDefault="00F84A04" w:rsidP="002C28B0">
      <w:pPr>
        <w:pStyle w:val="Heading1-NoTOC"/>
        <w:rPr>
          <w:rFonts w:ascii="Times New Roman" w:hAnsi="Times New Roman"/>
          <w:bCs/>
          <w:szCs w:val="20"/>
        </w:rPr>
      </w:pPr>
      <w:r w:rsidRPr="00BC4E63">
        <w:t>Figure i</w:t>
      </w:r>
      <w:r w:rsidR="002C28B0" w:rsidRPr="00BC4E63">
        <w:t>ndex</w:t>
      </w:r>
    </w:p>
    <w:p w:rsidR="00F94904" w:rsidRDefault="005867CA">
      <w:pPr>
        <w:pStyle w:val="TableofFigures"/>
        <w:rPr>
          <w:rFonts w:asciiTheme="minorHAnsi" w:eastAsiaTheme="minorEastAsia" w:hAnsiTheme="minorHAnsi" w:cstheme="minorBidi"/>
          <w:bCs w:val="0"/>
          <w:noProof/>
          <w:sz w:val="22"/>
          <w:szCs w:val="22"/>
          <w:lang w:eastAsia="en-AU"/>
        </w:rPr>
      </w:pPr>
      <w:r w:rsidRPr="00BC4E63">
        <w:fldChar w:fldCharType="begin"/>
      </w:r>
      <w:r w:rsidRPr="00BC4E63">
        <w:instrText xml:space="preserve"> TOC \c "Figure" </w:instrText>
      </w:r>
      <w:r w:rsidRPr="00BC4E63">
        <w:fldChar w:fldCharType="separate"/>
      </w:r>
      <w:r w:rsidR="00F94904">
        <w:rPr>
          <w:noProof/>
        </w:rPr>
        <w:t>Figure 1</w:t>
      </w:r>
      <w:r w:rsidR="00F94904">
        <w:rPr>
          <w:rFonts w:asciiTheme="minorHAnsi" w:eastAsiaTheme="minorEastAsia" w:hAnsiTheme="minorHAnsi" w:cstheme="minorBidi"/>
          <w:bCs w:val="0"/>
          <w:noProof/>
          <w:sz w:val="22"/>
          <w:szCs w:val="22"/>
          <w:lang w:eastAsia="en-AU"/>
        </w:rPr>
        <w:tab/>
      </w:r>
      <w:r w:rsidR="00F94904">
        <w:rPr>
          <w:noProof/>
        </w:rPr>
        <w:t>Hazardous waste facility locations</w:t>
      </w:r>
      <w:r w:rsidR="00F94904">
        <w:rPr>
          <w:noProof/>
        </w:rPr>
        <w:tab/>
      </w:r>
      <w:r w:rsidR="00F94904">
        <w:rPr>
          <w:noProof/>
        </w:rPr>
        <w:fldChar w:fldCharType="begin"/>
      </w:r>
      <w:r w:rsidR="00F94904">
        <w:rPr>
          <w:noProof/>
        </w:rPr>
        <w:instrText xml:space="preserve"> PAGEREF _Toc450909358 \h </w:instrText>
      </w:r>
      <w:r w:rsidR="00F94904">
        <w:rPr>
          <w:noProof/>
        </w:rPr>
      </w:r>
      <w:r w:rsidR="00F94904">
        <w:rPr>
          <w:noProof/>
        </w:rPr>
        <w:fldChar w:fldCharType="separate"/>
      </w:r>
      <w:r w:rsidR="006225A8">
        <w:rPr>
          <w:noProof/>
        </w:rPr>
        <w:t>8</w:t>
      </w:r>
      <w:r w:rsidR="00F94904">
        <w:rPr>
          <w:noProof/>
        </w:rPr>
        <w:fldChar w:fldCharType="end"/>
      </w:r>
    </w:p>
    <w:p w:rsidR="002C28B0" w:rsidRPr="00BC4E63" w:rsidRDefault="005867CA" w:rsidP="002C28B0">
      <w:r w:rsidRPr="00BC4E63">
        <w:rPr>
          <w:b/>
          <w:bCs/>
          <w:noProof/>
        </w:rPr>
        <w:fldChar w:fldCharType="end"/>
      </w:r>
    </w:p>
    <w:p w:rsidR="002C28B0" w:rsidRPr="00BC4E63" w:rsidRDefault="002C28B0" w:rsidP="002C28B0"/>
    <w:p w:rsidR="002C28B0" w:rsidRPr="00BC4E63" w:rsidRDefault="002C28B0" w:rsidP="002C28B0"/>
    <w:p w:rsidR="002C28B0" w:rsidRPr="00BC4E63" w:rsidRDefault="002C28B0" w:rsidP="002C28B0">
      <w:pPr>
        <w:sectPr w:rsidR="002C28B0" w:rsidRPr="00BC4E63" w:rsidSect="00FC2D3B">
          <w:headerReference w:type="default" r:id="rId15"/>
          <w:footerReference w:type="even" r:id="rId16"/>
          <w:footerReference w:type="default" r:id="rId17"/>
          <w:headerReference w:type="first" r:id="rId18"/>
          <w:footerReference w:type="first" r:id="rId19"/>
          <w:type w:val="oddPage"/>
          <w:pgSz w:w="11907" w:h="16839" w:code="9"/>
          <w:pgMar w:top="1134" w:right="1134" w:bottom="1134" w:left="1701" w:header="709" w:footer="289" w:gutter="0"/>
          <w:pgNumType w:fmt="lowerRoman" w:start="1"/>
          <w:cols w:space="708"/>
          <w:docGrid w:linePitch="360"/>
        </w:sectPr>
      </w:pPr>
    </w:p>
    <w:p w:rsidR="00B862A8" w:rsidRDefault="00B862A8" w:rsidP="005A3A66">
      <w:pPr>
        <w:pStyle w:val="Heading1"/>
      </w:pPr>
      <w:bookmarkStart w:id="1" w:name="TextBody"/>
      <w:bookmarkStart w:id="2" w:name="_Toc450909323"/>
      <w:bookmarkStart w:id="3" w:name="_Toc447535928"/>
      <w:bookmarkEnd w:id="1"/>
      <w:r>
        <w:lastRenderedPageBreak/>
        <w:t>Glossary</w:t>
      </w:r>
      <w:bookmarkEnd w:id="2"/>
    </w:p>
    <w:p w:rsidR="00B862A8" w:rsidRDefault="00B862A8" w:rsidP="00B862A8">
      <w:pPr>
        <w:pStyle w:val="Body"/>
      </w:pPr>
      <w:r w:rsidRPr="00CD52AE">
        <w:rPr>
          <w:b/>
        </w:rPr>
        <w:t>Autoclave</w:t>
      </w:r>
      <w:r w:rsidR="00E917FA">
        <w:t xml:space="preserve"> - </w:t>
      </w:r>
      <w:r w:rsidR="00E917FA" w:rsidRPr="00E917FA">
        <w:t xml:space="preserve">a pressure chamber used to carry out industrial processes requiring elevated temperature and pressure different from ambient air pressure. Autoclaves are used in medical applications </w:t>
      </w:r>
      <w:r w:rsidR="00E917FA">
        <w:t>to perform sterilis</w:t>
      </w:r>
      <w:r w:rsidR="00E917FA" w:rsidRPr="00E917FA">
        <w:t>ation</w:t>
      </w:r>
      <w:r w:rsidR="00E917FA">
        <w:t>.</w:t>
      </w:r>
    </w:p>
    <w:p w:rsidR="00E917FA" w:rsidRDefault="00E917FA" w:rsidP="00E917FA">
      <w:pPr>
        <w:pStyle w:val="Body"/>
      </w:pPr>
      <w:r w:rsidRPr="00CD52AE">
        <w:rPr>
          <w:b/>
        </w:rPr>
        <w:t>Incineration</w:t>
      </w:r>
      <w:r>
        <w:t xml:space="preserve"> - </w:t>
      </w:r>
      <w:r w:rsidRPr="00E917FA">
        <w:t>is a waste treatment process that involves the combustion of organic substances contained in waste materials. Incineration of waste materials converts the waste into ash, flue gas, and heat. The ash is mostly formed by the inorganic constituents of the waste and may take the form of solid lumps or particulates carried by the flue gas. The flue gases must be cleaned of gaseous and particulate pollutants before they are dispersed into the atmosphere. In some cases, the heat generated by incineration can be used to generate electric power.</w:t>
      </w:r>
    </w:p>
    <w:p w:rsidR="00E917FA" w:rsidRDefault="00E917FA" w:rsidP="00E917FA">
      <w:pPr>
        <w:pStyle w:val="Body"/>
      </w:pPr>
      <w:r w:rsidRPr="00CD52AE">
        <w:rPr>
          <w:b/>
        </w:rPr>
        <w:t>Thermal desorption</w:t>
      </w:r>
      <w:r>
        <w:t xml:space="preserve">- </w:t>
      </w:r>
      <w:r w:rsidR="00CD52AE" w:rsidRPr="00CD52AE">
        <w:t xml:space="preserve">is </w:t>
      </w:r>
      <w:r w:rsidR="00CD52AE">
        <w:t xml:space="preserve">often used as </w:t>
      </w:r>
      <w:r w:rsidR="00CD52AE" w:rsidRPr="00CD52AE">
        <w:t>an environmental re</w:t>
      </w:r>
      <w:r w:rsidR="00CD52AE">
        <w:t>mediation technology that utilis</w:t>
      </w:r>
      <w:r w:rsidR="00CD52AE" w:rsidRPr="00CD52AE">
        <w:t>es heat to increase the volatility of contaminants such that they can be removed (separated) from the solid matrix (typically soil, sludge or filter cake). Thermal desorption is</w:t>
      </w:r>
      <w:r w:rsidR="006A30DC">
        <w:t xml:space="preserve"> not incineration. The volatilis</w:t>
      </w:r>
      <w:r w:rsidR="00CD52AE" w:rsidRPr="00CD52AE">
        <w:t>ed contaminants are then either collected or thermally destroyed. A thermal desorption system therefore has two major components; the desorber itself and the offgas treatment system.</w:t>
      </w:r>
    </w:p>
    <w:p w:rsidR="00E917FA" w:rsidRDefault="00CD52AE" w:rsidP="00E917FA">
      <w:pPr>
        <w:pStyle w:val="Body"/>
      </w:pPr>
      <w:r w:rsidRPr="00CD52AE">
        <w:rPr>
          <w:b/>
        </w:rPr>
        <w:t>t</w:t>
      </w:r>
      <w:r w:rsidR="00E917FA" w:rsidRPr="00CD52AE">
        <w:rPr>
          <w:b/>
        </w:rPr>
        <w:t>pa</w:t>
      </w:r>
      <w:r>
        <w:t xml:space="preserve"> – tonnes per annum</w:t>
      </w:r>
    </w:p>
    <w:p w:rsidR="00B862A8" w:rsidRDefault="00432D1D" w:rsidP="00B862A8">
      <w:pPr>
        <w:pStyle w:val="Body"/>
      </w:pPr>
      <w:r w:rsidRPr="00CD52AE">
        <w:rPr>
          <w:b/>
        </w:rPr>
        <w:t>POP</w:t>
      </w:r>
      <w:r w:rsidR="00CD52AE">
        <w:t xml:space="preserve"> – persistent organic pollutant, such as chlorinated hydrocarbons.</w:t>
      </w:r>
    </w:p>
    <w:p w:rsidR="00B862A8" w:rsidRDefault="00B862A8" w:rsidP="00B862A8">
      <w:pPr>
        <w:pStyle w:val="Body"/>
      </w:pPr>
    </w:p>
    <w:p w:rsidR="00B862A8" w:rsidRDefault="00B862A8" w:rsidP="00B862A8">
      <w:pPr>
        <w:pStyle w:val="Body"/>
      </w:pPr>
    </w:p>
    <w:p w:rsidR="00B862A8" w:rsidRDefault="00B862A8" w:rsidP="00B862A8">
      <w:pPr>
        <w:pStyle w:val="Body"/>
      </w:pPr>
    </w:p>
    <w:p w:rsidR="00B862A8" w:rsidRDefault="00B862A8" w:rsidP="00B862A8">
      <w:pPr>
        <w:pStyle w:val="Body"/>
        <w:sectPr w:rsidR="00B862A8" w:rsidSect="00BE6372">
          <w:headerReference w:type="default" r:id="rId20"/>
          <w:footerReference w:type="default" r:id="rId21"/>
          <w:headerReference w:type="first" r:id="rId22"/>
          <w:pgSz w:w="11907" w:h="16839" w:code="9"/>
          <w:pgMar w:top="1134" w:right="1134" w:bottom="1134" w:left="1701" w:header="181" w:footer="227" w:gutter="0"/>
          <w:pgNumType w:start="1"/>
          <w:cols w:space="340"/>
          <w:docGrid w:linePitch="360"/>
        </w:sectPr>
      </w:pPr>
    </w:p>
    <w:p w:rsidR="005A3A66" w:rsidRDefault="005A3A66" w:rsidP="005A3A66">
      <w:pPr>
        <w:pStyle w:val="Heading1"/>
      </w:pPr>
      <w:bookmarkStart w:id="4" w:name="_Toc450909324"/>
      <w:r w:rsidRPr="00BC4E63">
        <w:lastRenderedPageBreak/>
        <w:t>Introduction</w:t>
      </w:r>
      <w:bookmarkEnd w:id="3"/>
      <w:bookmarkEnd w:id="4"/>
    </w:p>
    <w:p w:rsidR="005A3A66" w:rsidRDefault="005A3A66" w:rsidP="005A3A66">
      <w:pPr>
        <w:pStyle w:val="Body"/>
      </w:pPr>
      <w:r>
        <w:t xml:space="preserve">The Department of the Environment (the Department) has recently commissioned a number of studies investigating the needs and capacity of hazardous waste infrastructure in Australia. The </w:t>
      </w:r>
      <w:r>
        <w:rPr>
          <w:i/>
        </w:rPr>
        <w:t>Hazardous waste infrastructure needs and capacity assessment</w:t>
      </w:r>
      <w:r>
        <w:t xml:space="preserve"> project, completed in July 2015, developed projections for the quantity of hazardous waste to 2034 and investigated the capacity of existing waste infrastructure to treat hazardous waste.  </w:t>
      </w:r>
    </w:p>
    <w:p w:rsidR="005A3A66" w:rsidRPr="001712D4" w:rsidRDefault="005A3A66" w:rsidP="005A3A66">
      <w:pPr>
        <w:pStyle w:val="Body"/>
      </w:pPr>
      <w:r>
        <w:t>Following from the infrastructure needs and capacity assessment, the Department has commissioned this assessment to assess the opportunities of existing thermal facilities in Australia to receive and treat a wider range or larger quantities of hazardous waste.</w:t>
      </w:r>
    </w:p>
    <w:p w:rsidR="005A3A66" w:rsidRPr="00BC4E63" w:rsidRDefault="005A3A66" w:rsidP="005A3A66">
      <w:pPr>
        <w:pStyle w:val="Heading2"/>
        <w:tabs>
          <w:tab w:val="clear" w:pos="1417"/>
          <w:tab w:val="left" w:pos="1418"/>
        </w:tabs>
        <w:ind w:left="1418" w:hanging="851"/>
      </w:pPr>
      <w:bookmarkStart w:id="5" w:name="_Toc317513537"/>
      <w:bookmarkStart w:id="6" w:name="_Toc447535929"/>
      <w:bookmarkStart w:id="7" w:name="_Toc450909325"/>
      <w:r w:rsidRPr="00BC4E63">
        <w:t>Purpose of this report</w:t>
      </w:r>
      <w:bookmarkEnd w:id="5"/>
      <w:bookmarkEnd w:id="6"/>
      <w:bookmarkEnd w:id="7"/>
    </w:p>
    <w:p w:rsidR="005A3A66" w:rsidRDefault="005A3A66" w:rsidP="005A3A66">
      <w:pPr>
        <w:pStyle w:val="Body"/>
      </w:pPr>
      <w:r>
        <w:t>The objective of the study is to assess where opportunities exist to improve the management of hazardous waste through thermal treatment, by understanding the types and volumes of waste produced and the capacity of thermal facilities to treat those wastes.</w:t>
      </w:r>
    </w:p>
    <w:p w:rsidR="005A3A66" w:rsidRDefault="005A3A66" w:rsidP="005A3A66">
      <w:pPr>
        <w:pStyle w:val="Body"/>
      </w:pPr>
      <w:r>
        <w:t>This study undertakes analysis and assessment of existing thermal facilities in Australia to identify opportunities to receive and treat a wider range or larger quantities of hazardous waste. Consideration is also given to the waste types suitable for thermal treatment, supplementing the previous assessment.</w:t>
      </w:r>
    </w:p>
    <w:p w:rsidR="005A3A66" w:rsidRPr="0072616E" w:rsidRDefault="005A3A66" w:rsidP="005A3A66">
      <w:pPr>
        <w:pStyle w:val="Body"/>
      </w:pPr>
      <w:r>
        <w:t xml:space="preserve">The study focuses on those </w:t>
      </w:r>
      <w:r w:rsidR="006A30DC">
        <w:t>facilities, which</w:t>
      </w:r>
      <w:r>
        <w:t xml:space="preserve"> would not trigger major redevelopment, even if some variation to enviro</w:t>
      </w:r>
      <w:r w:rsidR="006A30DC">
        <w:t>nmental operational licenc</w:t>
      </w:r>
      <w:r>
        <w:t>es were required. Facilities including cement kilns, smelters and sites processing contaminated soil waste are also considered in this study, extending the facility based beyond traditional hazardous waste facilities.</w:t>
      </w:r>
    </w:p>
    <w:p w:rsidR="005A3A66" w:rsidRPr="00BC4E63" w:rsidRDefault="005A3A66" w:rsidP="005A3A66">
      <w:pPr>
        <w:pStyle w:val="Heading2"/>
        <w:tabs>
          <w:tab w:val="clear" w:pos="1417"/>
          <w:tab w:val="left" w:pos="1418"/>
        </w:tabs>
        <w:ind w:left="1418" w:hanging="851"/>
      </w:pPr>
      <w:bookmarkStart w:id="8" w:name="_Toc317513538"/>
      <w:bookmarkStart w:id="9" w:name="_Toc447535930"/>
      <w:bookmarkStart w:id="10" w:name="_Toc450909326"/>
      <w:r w:rsidRPr="00BC4E63">
        <w:t>Scope and limitations</w:t>
      </w:r>
      <w:bookmarkEnd w:id="8"/>
      <w:bookmarkEnd w:id="9"/>
      <w:bookmarkEnd w:id="10"/>
    </w:p>
    <w:p w:rsidR="005A3A66" w:rsidRPr="00BC4E63" w:rsidRDefault="005A3A66" w:rsidP="005A3A66">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This report: has been prepared by GHD for </w:t>
      </w:r>
      <w:r w:rsidRPr="00BC4E63">
        <w:rPr>
          <w:rFonts w:cs="Arial"/>
          <w:i/>
          <w:iCs/>
          <w:sz w:val="18"/>
          <w:szCs w:val="18"/>
          <w:lang w:eastAsia="en-AU"/>
        </w:rPr>
        <w:fldChar w:fldCharType="begin"/>
      </w:r>
      <w:r w:rsidRPr="00BC4E63">
        <w:rPr>
          <w:rFonts w:cs="Arial"/>
          <w:i/>
          <w:iCs/>
          <w:sz w:val="18"/>
          <w:szCs w:val="18"/>
          <w:lang w:eastAsia="en-AU"/>
        </w:rPr>
        <w:instrText xml:space="preserve"> DOCPROPERTY  Client  \* MERGEFORMAT </w:instrText>
      </w:r>
      <w:r w:rsidRPr="00BC4E63">
        <w:rPr>
          <w:rFonts w:cs="Arial"/>
          <w:i/>
          <w:iCs/>
          <w:sz w:val="18"/>
          <w:szCs w:val="18"/>
          <w:lang w:eastAsia="en-AU"/>
        </w:rPr>
        <w:fldChar w:fldCharType="separate"/>
      </w:r>
      <w:r w:rsidR="00802E87">
        <w:rPr>
          <w:rFonts w:cs="Arial"/>
          <w:i/>
          <w:iCs/>
          <w:sz w:val="18"/>
          <w:szCs w:val="18"/>
          <w:lang w:eastAsia="en-AU"/>
        </w:rPr>
        <w:t>Department of the Environment</w:t>
      </w:r>
      <w:r w:rsidRPr="00BC4E63">
        <w:rPr>
          <w:rFonts w:cs="Arial"/>
          <w:i/>
          <w:iCs/>
          <w:sz w:val="18"/>
          <w:szCs w:val="18"/>
          <w:lang w:eastAsia="en-AU"/>
        </w:rPr>
        <w:fldChar w:fldCharType="end"/>
      </w:r>
      <w:r w:rsidRPr="00BC4E63">
        <w:rPr>
          <w:rFonts w:cs="Arial"/>
          <w:sz w:val="18"/>
          <w:szCs w:val="18"/>
          <w:lang w:eastAsia="en-AU"/>
        </w:rPr>
        <w:t xml:space="preserve"> and </w:t>
      </w:r>
      <w:r w:rsidRPr="00BC4E63">
        <w:rPr>
          <w:rFonts w:cs="Arial"/>
          <w:i/>
          <w:iCs/>
          <w:sz w:val="18"/>
          <w:szCs w:val="18"/>
          <w:lang w:eastAsia="en-AU"/>
        </w:rPr>
        <w:t xml:space="preserve">may only be used and relied on by </w:t>
      </w:r>
      <w:r w:rsidRPr="00760D31">
        <w:rPr>
          <w:rFonts w:cs="Arial"/>
          <w:i/>
          <w:iCs/>
          <w:sz w:val="18"/>
          <w:szCs w:val="18"/>
          <w:lang w:eastAsia="en-AU"/>
        </w:rPr>
        <w:fldChar w:fldCharType="begin"/>
      </w:r>
      <w:r w:rsidRPr="00760D31">
        <w:rPr>
          <w:rFonts w:cs="Arial"/>
          <w:i/>
          <w:iCs/>
          <w:sz w:val="18"/>
          <w:szCs w:val="18"/>
          <w:lang w:eastAsia="en-AU"/>
        </w:rPr>
        <w:instrText xml:space="preserve"> DOCPROPERTY  Client  \* MERGEFORMAT </w:instrText>
      </w:r>
      <w:r w:rsidRPr="00760D31">
        <w:rPr>
          <w:rFonts w:cs="Arial"/>
          <w:i/>
          <w:iCs/>
          <w:sz w:val="18"/>
          <w:szCs w:val="18"/>
          <w:lang w:eastAsia="en-AU"/>
        </w:rPr>
        <w:fldChar w:fldCharType="separate"/>
      </w:r>
      <w:r w:rsidR="00802E87">
        <w:rPr>
          <w:rFonts w:cs="Arial"/>
          <w:i/>
          <w:iCs/>
          <w:sz w:val="18"/>
          <w:szCs w:val="18"/>
          <w:lang w:eastAsia="en-AU"/>
        </w:rPr>
        <w:t>Department of the Environment</w:t>
      </w:r>
      <w:r w:rsidRPr="00760D31">
        <w:rPr>
          <w:rFonts w:cs="Arial"/>
          <w:i/>
          <w:iCs/>
          <w:sz w:val="18"/>
          <w:szCs w:val="18"/>
          <w:lang w:eastAsia="en-AU"/>
        </w:rPr>
        <w:fldChar w:fldCharType="end"/>
      </w:r>
      <w:r w:rsidRPr="00760D31">
        <w:rPr>
          <w:rFonts w:cs="Arial"/>
          <w:sz w:val="18"/>
          <w:szCs w:val="18"/>
          <w:lang w:eastAsia="en-AU"/>
        </w:rPr>
        <w:t xml:space="preserve"> </w:t>
      </w:r>
      <w:r w:rsidRPr="00760D31">
        <w:rPr>
          <w:rFonts w:cs="Arial"/>
          <w:i/>
          <w:iCs/>
          <w:sz w:val="18"/>
          <w:szCs w:val="18"/>
          <w:lang w:eastAsia="en-AU"/>
        </w:rPr>
        <w:t xml:space="preserve">for the purpose agreed between GHD and the </w:t>
      </w:r>
      <w:r w:rsidRPr="00760D31">
        <w:rPr>
          <w:rFonts w:cs="Arial"/>
          <w:i/>
          <w:iCs/>
          <w:sz w:val="18"/>
          <w:szCs w:val="18"/>
          <w:lang w:eastAsia="en-AU"/>
        </w:rPr>
        <w:fldChar w:fldCharType="begin"/>
      </w:r>
      <w:r w:rsidRPr="00760D31">
        <w:rPr>
          <w:rFonts w:cs="Arial"/>
          <w:i/>
          <w:iCs/>
          <w:sz w:val="18"/>
          <w:szCs w:val="18"/>
          <w:lang w:eastAsia="en-AU"/>
        </w:rPr>
        <w:instrText xml:space="preserve"> DOCPROPERTY  Client  \* MERGEFORMAT </w:instrText>
      </w:r>
      <w:r w:rsidRPr="00760D31">
        <w:rPr>
          <w:rFonts w:cs="Arial"/>
          <w:i/>
          <w:iCs/>
          <w:sz w:val="18"/>
          <w:szCs w:val="18"/>
          <w:lang w:eastAsia="en-AU"/>
        </w:rPr>
        <w:fldChar w:fldCharType="separate"/>
      </w:r>
      <w:r w:rsidR="00802E87">
        <w:rPr>
          <w:rFonts w:cs="Arial"/>
          <w:i/>
          <w:iCs/>
          <w:sz w:val="18"/>
          <w:szCs w:val="18"/>
          <w:lang w:eastAsia="en-AU"/>
        </w:rPr>
        <w:t>Department of the Environment</w:t>
      </w:r>
      <w:r w:rsidRPr="00760D31">
        <w:rPr>
          <w:rFonts w:cs="Arial"/>
          <w:i/>
          <w:iCs/>
          <w:sz w:val="18"/>
          <w:szCs w:val="18"/>
          <w:lang w:eastAsia="en-AU"/>
        </w:rPr>
        <w:fldChar w:fldCharType="end"/>
      </w:r>
      <w:r w:rsidRPr="00760D31">
        <w:rPr>
          <w:rFonts w:cs="Arial"/>
          <w:sz w:val="18"/>
          <w:szCs w:val="18"/>
          <w:lang w:eastAsia="en-AU"/>
        </w:rPr>
        <w:t xml:space="preserve"> </w:t>
      </w:r>
      <w:r w:rsidRPr="00760D31">
        <w:rPr>
          <w:rFonts w:cs="Arial"/>
          <w:i/>
          <w:iCs/>
          <w:sz w:val="18"/>
          <w:szCs w:val="18"/>
          <w:lang w:eastAsia="en-AU"/>
        </w:rPr>
        <w:t>as set out in section 1.1 of this report.</w:t>
      </w:r>
    </w:p>
    <w:p w:rsidR="005A3A66" w:rsidRPr="00BC4E63" w:rsidRDefault="005A3A66" w:rsidP="005A3A66">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GHD otherwise disclaims responsibility to any person other than </w:t>
      </w:r>
      <w:r w:rsidRPr="00BC4E63">
        <w:rPr>
          <w:rFonts w:cs="Arial"/>
          <w:i/>
          <w:iCs/>
          <w:sz w:val="18"/>
          <w:szCs w:val="18"/>
          <w:lang w:eastAsia="en-AU"/>
        </w:rPr>
        <w:fldChar w:fldCharType="begin"/>
      </w:r>
      <w:r w:rsidRPr="00BC4E63">
        <w:rPr>
          <w:rFonts w:cs="Arial"/>
          <w:i/>
          <w:iCs/>
          <w:sz w:val="18"/>
          <w:szCs w:val="18"/>
          <w:lang w:eastAsia="en-AU"/>
        </w:rPr>
        <w:instrText xml:space="preserve"> DOCPROPERTY  Client  \* MERGEFORMAT </w:instrText>
      </w:r>
      <w:r w:rsidRPr="00BC4E63">
        <w:rPr>
          <w:rFonts w:cs="Arial"/>
          <w:i/>
          <w:iCs/>
          <w:sz w:val="18"/>
          <w:szCs w:val="18"/>
          <w:lang w:eastAsia="en-AU"/>
        </w:rPr>
        <w:fldChar w:fldCharType="separate"/>
      </w:r>
      <w:r w:rsidR="00802E87">
        <w:rPr>
          <w:rFonts w:cs="Arial"/>
          <w:i/>
          <w:iCs/>
          <w:sz w:val="18"/>
          <w:szCs w:val="18"/>
          <w:lang w:eastAsia="en-AU"/>
        </w:rPr>
        <w:t>Department of the Environment</w:t>
      </w:r>
      <w:r w:rsidRPr="00BC4E63">
        <w:rPr>
          <w:rFonts w:cs="Arial"/>
          <w:i/>
          <w:iCs/>
          <w:sz w:val="18"/>
          <w:szCs w:val="18"/>
          <w:lang w:eastAsia="en-AU"/>
        </w:rPr>
        <w:fldChar w:fldCharType="end"/>
      </w:r>
      <w:r w:rsidRPr="00BC4E63">
        <w:rPr>
          <w:rFonts w:cs="Arial"/>
          <w:sz w:val="18"/>
          <w:szCs w:val="18"/>
          <w:lang w:eastAsia="en-AU"/>
        </w:rPr>
        <w:t xml:space="preserve"> </w:t>
      </w:r>
      <w:r w:rsidRPr="00BC4E63">
        <w:rPr>
          <w:rFonts w:cs="Arial"/>
          <w:i/>
          <w:iCs/>
          <w:sz w:val="18"/>
          <w:szCs w:val="18"/>
          <w:lang w:eastAsia="en-AU"/>
        </w:rPr>
        <w:t>arising in connection with this report. GHD also excludes implied warranties and conditions, to the extent legally permissible.</w:t>
      </w:r>
    </w:p>
    <w:p w:rsidR="005A3A66" w:rsidRPr="00BC4E63" w:rsidRDefault="005A3A66" w:rsidP="005A3A66">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The services undertaken by GHD in connection with preparing this report were limited to those specifically detailed in the report and are subject to the scope limitations set out in the report.</w:t>
      </w:r>
      <w:r w:rsidRPr="00BC4E63" w:rsidDel="00EA436C">
        <w:rPr>
          <w:rFonts w:cs="Arial"/>
          <w:i/>
          <w:iCs/>
          <w:sz w:val="18"/>
          <w:szCs w:val="18"/>
          <w:lang w:eastAsia="en-AU"/>
        </w:rPr>
        <w:t xml:space="preserve"> </w:t>
      </w:r>
    </w:p>
    <w:p w:rsidR="005A3A66" w:rsidRPr="00C10937" w:rsidRDefault="005A3A66" w:rsidP="005A3A66">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The opinions, conclusions and any recommendations in this report are based on conditions encountered and information </w:t>
      </w:r>
      <w:r w:rsidRPr="00C10937">
        <w:rPr>
          <w:rFonts w:cs="Arial"/>
          <w:i/>
          <w:iCs/>
          <w:sz w:val="18"/>
          <w:szCs w:val="18"/>
          <w:lang w:eastAsia="en-AU"/>
        </w:rPr>
        <w:t>reviewed at the date of preparation of the report. GHD has no responsibility or obligation to update this report to account for events or changes occurring subsequent to the date that the report was prepared.</w:t>
      </w:r>
    </w:p>
    <w:p w:rsidR="005A3A66" w:rsidRPr="00C10937" w:rsidRDefault="005A3A66" w:rsidP="005A3A66">
      <w:pPr>
        <w:autoSpaceDE w:val="0"/>
        <w:autoSpaceDN w:val="0"/>
        <w:adjustRightInd w:val="0"/>
        <w:spacing w:before="100" w:beforeAutospacing="1" w:after="100" w:afterAutospacing="1"/>
        <w:ind w:left="567"/>
        <w:rPr>
          <w:rFonts w:cs="Arial"/>
          <w:i/>
          <w:iCs/>
          <w:sz w:val="18"/>
          <w:szCs w:val="18"/>
          <w:lang w:eastAsia="en-AU"/>
        </w:rPr>
      </w:pPr>
      <w:r w:rsidRPr="00C10937">
        <w:rPr>
          <w:rFonts w:cs="Arial"/>
          <w:i/>
          <w:iCs/>
          <w:sz w:val="18"/>
          <w:szCs w:val="18"/>
          <w:lang w:eastAsia="en-AU"/>
        </w:rPr>
        <w:t>The opinions, conclusions and any recommendations in this report are based on assumptions made by GHD described in this report (refer section 5). GHD disclaims liability arising from any of the assumptions being incorrect.</w:t>
      </w:r>
    </w:p>
    <w:p w:rsidR="005A3A66" w:rsidRPr="00BC4E63" w:rsidRDefault="005A3A66" w:rsidP="005A3A66">
      <w:pPr>
        <w:autoSpaceDE w:val="0"/>
        <w:autoSpaceDN w:val="0"/>
        <w:adjustRightInd w:val="0"/>
        <w:spacing w:before="100" w:beforeAutospacing="1" w:after="100" w:afterAutospacing="1"/>
        <w:ind w:left="567"/>
      </w:pPr>
      <w:r w:rsidRPr="00C10937">
        <w:rPr>
          <w:rFonts w:cs="Arial"/>
          <w:i/>
          <w:iCs/>
          <w:sz w:val="18"/>
          <w:szCs w:val="18"/>
          <w:lang w:eastAsia="en-AU"/>
        </w:rPr>
        <w:t xml:space="preserve">GHD has prepared this report on the basis of information provided by </w:t>
      </w:r>
      <w:r w:rsidRPr="00C10937">
        <w:rPr>
          <w:rFonts w:cs="Arial"/>
          <w:i/>
          <w:iCs/>
          <w:sz w:val="18"/>
          <w:szCs w:val="18"/>
          <w:lang w:eastAsia="en-AU"/>
        </w:rPr>
        <w:fldChar w:fldCharType="begin"/>
      </w:r>
      <w:r w:rsidRPr="00C10937">
        <w:rPr>
          <w:rFonts w:cs="Arial"/>
          <w:i/>
          <w:iCs/>
          <w:sz w:val="18"/>
          <w:szCs w:val="18"/>
          <w:lang w:eastAsia="en-AU"/>
        </w:rPr>
        <w:instrText xml:space="preserve"> DOCPROPERTY  Client  \* MERGEFORMAT </w:instrText>
      </w:r>
      <w:r w:rsidRPr="00C10937">
        <w:rPr>
          <w:rFonts w:cs="Arial"/>
          <w:i/>
          <w:iCs/>
          <w:sz w:val="18"/>
          <w:szCs w:val="18"/>
          <w:lang w:eastAsia="en-AU"/>
        </w:rPr>
        <w:fldChar w:fldCharType="separate"/>
      </w:r>
      <w:r w:rsidR="00802E87">
        <w:rPr>
          <w:rFonts w:cs="Arial"/>
          <w:i/>
          <w:iCs/>
          <w:sz w:val="18"/>
          <w:szCs w:val="18"/>
          <w:lang w:eastAsia="en-AU"/>
        </w:rPr>
        <w:t>Department of the Environment</w:t>
      </w:r>
      <w:r w:rsidRPr="00C10937">
        <w:rPr>
          <w:rFonts w:cs="Arial"/>
          <w:i/>
          <w:iCs/>
          <w:sz w:val="18"/>
          <w:szCs w:val="18"/>
          <w:lang w:eastAsia="en-AU"/>
        </w:rPr>
        <w:fldChar w:fldCharType="end"/>
      </w:r>
      <w:r w:rsidRPr="00C10937">
        <w:rPr>
          <w:rFonts w:cs="Arial"/>
          <w:sz w:val="18"/>
          <w:szCs w:val="18"/>
          <w:lang w:eastAsia="en-AU"/>
        </w:rPr>
        <w:t xml:space="preserve"> </w:t>
      </w:r>
      <w:r w:rsidRPr="00C10937">
        <w:rPr>
          <w:rFonts w:cs="Arial"/>
          <w:i/>
          <w:iCs/>
          <w:sz w:val="18"/>
          <w:szCs w:val="18"/>
          <w:lang w:eastAsia="en-AU"/>
        </w:rPr>
        <w:t>and others who provided information to GHD (including Government authorities)], which GHD has not independently verified or checked beyond the agreed</w:t>
      </w:r>
      <w:r w:rsidRPr="00BC4E63">
        <w:rPr>
          <w:rFonts w:cs="Arial"/>
          <w:i/>
          <w:iCs/>
          <w:sz w:val="18"/>
          <w:szCs w:val="18"/>
          <w:lang w:eastAsia="en-AU"/>
        </w:rPr>
        <w:t xml:space="preserve"> scope of work. GHD does not accept liability in connection with such unverified information, including errors and omissions in the report which were caused by errors or omissions in that information.</w:t>
      </w:r>
    </w:p>
    <w:p w:rsidR="005A3A66" w:rsidRPr="00BC4E63" w:rsidRDefault="005A3A66" w:rsidP="005A3A66">
      <w:pPr>
        <w:pStyle w:val="Heading1"/>
        <w:sectPr w:rsidR="005A3A66" w:rsidRPr="00BC4E63" w:rsidSect="00BE6372">
          <w:pgSz w:w="11907" w:h="16839" w:code="9"/>
          <w:pgMar w:top="1134" w:right="1134" w:bottom="1134" w:left="1701" w:header="181" w:footer="227" w:gutter="0"/>
          <w:pgNumType w:start="1"/>
          <w:cols w:space="340"/>
          <w:docGrid w:linePitch="360"/>
        </w:sectPr>
      </w:pPr>
    </w:p>
    <w:p w:rsidR="003F433B" w:rsidRDefault="003F433B" w:rsidP="003F433B">
      <w:pPr>
        <w:pStyle w:val="Heading1"/>
      </w:pPr>
      <w:bookmarkStart w:id="11" w:name="_Toc450909327"/>
      <w:bookmarkStart w:id="12" w:name="_Toc447535931"/>
      <w:r>
        <w:lastRenderedPageBreak/>
        <w:t>Previous Work</w:t>
      </w:r>
      <w:bookmarkEnd w:id="11"/>
    </w:p>
    <w:p w:rsidR="003F433B" w:rsidRDefault="003F433B" w:rsidP="003F433B">
      <w:pPr>
        <w:pStyle w:val="Body"/>
      </w:pPr>
      <w:r>
        <w:t>In 2013, GHD conducted an independent assessment on the capacity to treat certain types of POPs wastes. The following sections summarise the work undertaken at that time.</w:t>
      </w:r>
    </w:p>
    <w:p w:rsidR="003F433B" w:rsidRDefault="003F433B" w:rsidP="003F433B">
      <w:pPr>
        <w:pStyle w:val="Heading2"/>
      </w:pPr>
      <w:bookmarkStart w:id="13" w:name="_Toc450909328"/>
      <w:r>
        <w:t>Scope of assessment</w:t>
      </w:r>
      <w:bookmarkEnd w:id="13"/>
    </w:p>
    <w:p w:rsidR="003F433B" w:rsidRDefault="003F433B" w:rsidP="003F433B">
      <w:pPr>
        <w:pStyle w:val="Body"/>
      </w:pPr>
      <w:r>
        <w:t>The technical independent assessment has been undertaken on all available technologies currently operating in Australia with respect to their capability to treat a specific POPs stockpile. The minimal criteria to establish a viable treatment option included:</w:t>
      </w:r>
    </w:p>
    <w:p w:rsidR="003F433B" w:rsidRDefault="003F433B" w:rsidP="003F433B">
      <w:pPr>
        <w:pStyle w:val="Bullet"/>
      </w:pPr>
      <w:r>
        <w:t>Proven capacity to safely treat hazardous waste materials</w:t>
      </w:r>
    </w:p>
    <w:p w:rsidR="003F433B" w:rsidRDefault="003F433B" w:rsidP="003F433B">
      <w:pPr>
        <w:pStyle w:val="Bullet"/>
      </w:pPr>
      <w:r>
        <w:t>The capacity to treat the POPs within a reasonable time frame</w:t>
      </w:r>
    </w:p>
    <w:p w:rsidR="003F433B" w:rsidRDefault="003F433B" w:rsidP="003F433B">
      <w:pPr>
        <w:pStyle w:val="Bullet"/>
      </w:pPr>
      <w:r>
        <w:t>The necessary technology to pre-treat waste prior to destruction considering its heterogeneous and combustible nature</w:t>
      </w:r>
    </w:p>
    <w:p w:rsidR="003F433B" w:rsidRDefault="003F433B" w:rsidP="003F433B">
      <w:pPr>
        <w:pStyle w:val="Bullet"/>
      </w:pPr>
      <w:r>
        <w:t>The ability based on evidence to destroy POPs materials</w:t>
      </w:r>
    </w:p>
    <w:p w:rsidR="003F433B" w:rsidRDefault="003F433B" w:rsidP="003F433B">
      <w:pPr>
        <w:pStyle w:val="Bullet"/>
      </w:pPr>
      <w:r>
        <w:t>The technical and operational capacity to manage environmental hazards and emissions from the destruction of the POPs</w:t>
      </w:r>
    </w:p>
    <w:p w:rsidR="003F433B" w:rsidRDefault="003F433B" w:rsidP="003F433B">
      <w:pPr>
        <w:pStyle w:val="Bullet"/>
      </w:pPr>
      <w:r>
        <w:t>The ability to permit and license a facility to treat the stockpile</w:t>
      </w:r>
    </w:p>
    <w:p w:rsidR="003F433B" w:rsidRDefault="003F433B" w:rsidP="003F433B">
      <w:pPr>
        <w:pStyle w:val="Body"/>
      </w:pPr>
      <w:r>
        <w:t xml:space="preserve">The assessment was undertaken in respect to the technologies’ capability to treat a specific POPs stockpile and did not evaluate their technical capacity to treat other materials. </w:t>
      </w:r>
    </w:p>
    <w:p w:rsidR="003F433B" w:rsidRDefault="003F433B" w:rsidP="003F433B">
      <w:pPr>
        <w:pStyle w:val="Heading2"/>
      </w:pPr>
      <w:bookmarkStart w:id="14" w:name="_Toc450909329"/>
      <w:r>
        <w:t>Technologies considered</w:t>
      </w:r>
      <w:bookmarkEnd w:id="14"/>
    </w:p>
    <w:p w:rsidR="003F433B" w:rsidRDefault="003F433B" w:rsidP="003F433B">
      <w:pPr>
        <w:pStyle w:val="Body"/>
      </w:pPr>
      <w:r>
        <w:t>Five technologies were shortlisted for assessment as part of this study based on the criteria above and considered current available technologies operating in Australia in 2013, capable of treating industrial hazardous waste. The five technologies considered in 2013 were:</w:t>
      </w:r>
    </w:p>
    <w:p w:rsidR="003F433B" w:rsidRDefault="003F433B" w:rsidP="003F433B">
      <w:pPr>
        <w:pStyle w:val="Bullet"/>
      </w:pPr>
      <w:r w:rsidRPr="007B5E61">
        <w:rPr>
          <w:b/>
        </w:rPr>
        <w:t>Plascon</w:t>
      </w:r>
      <w:r>
        <w:t xml:space="preserve"> – owned by ToxFree Solutions Ltd</w:t>
      </w:r>
    </w:p>
    <w:p w:rsidR="003F433B" w:rsidRDefault="003F433B" w:rsidP="003F433B">
      <w:pPr>
        <w:pStyle w:val="Bullet"/>
      </w:pPr>
      <w:r w:rsidRPr="007B5E61">
        <w:rPr>
          <w:b/>
        </w:rPr>
        <w:t>Hydrodec</w:t>
      </w:r>
      <w:r>
        <w:t xml:space="preserve"> – owned by Hydrodec Group PLC</w:t>
      </w:r>
    </w:p>
    <w:p w:rsidR="003F433B" w:rsidRDefault="003F433B" w:rsidP="003F433B">
      <w:pPr>
        <w:pStyle w:val="Bullet"/>
      </w:pPr>
      <w:r>
        <w:rPr>
          <w:b/>
          <w:lang w:eastAsia="en-AU"/>
        </w:rPr>
        <w:t>Base-Catalys</w:t>
      </w:r>
      <w:r w:rsidRPr="007B5E61">
        <w:rPr>
          <w:b/>
          <w:lang w:eastAsia="en-AU"/>
        </w:rPr>
        <w:t>ed Dechlorination (BCD)</w:t>
      </w:r>
      <w:r>
        <w:rPr>
          <w:lang w:eastAsia="en-AU"/>
        </w:rPr>
        <w:t xml:space="preserve"> – owned by ToxFree Solutions Ltd</w:t>
      </w:r>
    </w:p>
    <w:p w:rsidR="003F433B" w:rsidRDefault="003F433B" w:rsidP="003F433B">
      <w:pPr>
        <w:pStyle w:val="Bullet"/>
      </w:pPr>
      <w:r w:rsidRPr="007B5E61">
        <w:rPr>
          <w:b/>
          <w:lang w:eastAsia="en-AU"/>
        </w:rPr>
        <w:t>Entech</w:t>
      </w:r>
      <w:r>
        <w:rPr>
          <w:lang w:eastAsia="en-AU"/>
        </w:rPr>
        <w:t xml:space="preserve"> – owned by Entech Renewable Energy Technologies Pty Ltd</w:t>
      </w:r>
    </w:p>
    <w:p w:rsidR="003F433B" w:rsidRDefault="003F433B" w:rsidP="003F433B">
      <w:pPr>
        <w:pStyle w:val="Bullet"/>
      </w:pPr>
      <w:r w:rsidRPr="007B5E61">
        <w:rPr>
          <w:b/>
          <w:lang w:eastAsia="en-AU"/>
        </w:rPr>
        <w:t>High temperature incineration (HTI)</w:t>
      </w:r>
      <w:r>
        <w:rPr>
          <w:lang w:eastAsia="en-AU"/>
        </w:rPr>
        <w:t xml:space="preserve"> – the largest facility in Australia owned by ToxFree Solutions Ltd at Port Hedland</w:t>
      </w:r>
    </w:p>
    <w:p w:rsidR="003F433B" w:rsidRDefault="003F433B" w:rsidP="003F433B">
      <w:pPr>
        <w:pStyle w:val="Body"/>
      </w:pPr>
      <w:r>
        <w:t xml:space="preserve">The Stockholm Convention advises that the only method of disposing of POPs is final destruction or irreversible transformation; therefore, methodologies such as </w:t>
      </w:r>
      <w:r w:rsidR="006A30DC">
        <w:t>long-term</w:t>
      </w:r>
      <w:r>
        <w:t xml:space="preserve"> storage were not included in this assessment.</w:t>
      </w:r>
    </w:p>
    <w:p w:rsidR="003F433B" w:rsidRDefault="003F433B" w:rsidP="003F433B">
      <w:pPr>
        <w:pStyle w:val="Heading2"/>
      </w:pPr>
      <w:bookmarkStart w:id="15" w:name="_Toc450909330"/>
      <w:r>
        <w:t>Conclusions</w:t>
      </w:r>
      <w:bookmarkEnd w:id="15"/>
    </w:p>
    <w:p w:rsidR="003F433B" w:rsidRDefault="003F433B" w:rsidP="003F433B">
      <w:pPr>
        <w:pStyle w:val="Body"/>
      </w:pPr>
      <w:r w:rsidRPr="007975FB">
        <w:t>The timeframes for technology development, project approvals, plant modifications</w:t>
      </w:r>
      <w:r>
        <w:t xml:space="preserve"> and scalable treatment are</w:t>
      </w:r>
      <w:r w:rsidRPr="007975FB">
        <w:t xml:space="preserve"> significant. All technologies assessed would take in excess of the seven-year period for current available technology. In fact</w:t>
      </w:r>
      <w:r>
        <w:t>,</w:t>
      </w:r>
      <w:r w:rsidRPr="007975FB">
        <w:t xml:space="preserve"> all five technologies would exceed a period of fifteen years to develop, permit, modify and process the </w:t>
      </w:r>
      <w:r>
        <w:t>POPs</w:t>
      </w:r>
      <w:r w:rsidRPr="007975FB">
        <w:t xml:space="preserve"> stockpile. </w:t>
      </w:r>
      <w:r>
        <w:t>T</w:t>
      </w:r>
      <w:r w:rsidRPr="007975FB">
        <w:t>hese periods do not allow for significant risk factors</w:t>
      </w:r>
      <w:r>
        <w:t>,</w:t>
      </w:r>
      <w:r w:rsidRPr="007975FB">
        <w:t xml:space="preserve"> which are present with developing the current technologies.</w:t>
      </w:r>
    </w:p>
    <w:p w:rsidR="003F433B" w:rsidRDefault="00011219" w:rsidP="0049525E">
      <w:pPr>
        <w:pStyle w:val="Heading2"/>
      </w:pPr>
      <w:bookmarkStart w:id="16" w:name="_Toc450909331"/>
      <w:r>
        <w:lastRenderedPageBreak/>
        <w:t>Subsequent hazardous waste capacity assessment</w:t>
      </w:r>
      <w:bookmarkEnd w:id="16"/>
    </w:p>
    <w:p w:rsidR="00011219" w:rsidRDefault="00011219">
      <w:pPr>
        <w:pStyle w:val="Body"/>
      </w:pPr>
      <w:r>
        <w:t>A report was later conducted in 2015 by blue environment pty ltd for the Department to assess Australia’s current and future hazardous waste infrastructure capacity and needs at that time. The report outlined projections for hazardous waste volumes and types of the coming 20 years, the estimate of waste infrastructure capacity and distribution of waste and formed an assessment of existing infrastructure being able to meet those future waste needs.</w:t>
      </w:r>
    </w:p>
    <w:p w:rsidR="00011219" w:rsidRDefault="00011219">
      <w:pPr>
        <w:pStyle w:val="Body"/>
      </w:pPr>
      <w:r>
        <w:t>An infrastructure database was produced for the report, outlining the type, scale and potential capacity to accept waste. A total 241 sites were recorded and these were allocated into 17 infrastructure groups based on main wastes received and primary form of waste treatment (e.g. thermal, chemical, landfill, recycling etc.).</w:t>
      </w:r>
      <w:r w:rsidR="00555F1E">
        <w:t xml:space="preserve"> The scope and coverage of the infrastructure database constrains the assessment of infrastructure capacity against projections of increased waste volume. Some hazardous wastes were managed in facilities that were not included in the infrastructure database, such as l</w:t>
      </w:r>
      <w:r w:rsidR="002026D9">
        <w:t xml:space="preserve">andfills and cement kilns; </w:t>
      </w:r>
      <w:r w:rsidR="00555F1E">
        <w:t xml:space="preserve">others were sent to infrastructure with limited coverage in the database, such as organics recycling facilities and POPs thermal destruction facilities. These would have limited or no coverage in the capacity assessment. </w:t>
      </w:r>
    </w:p>
    <w:p w:rsidR="00555F1E" w:rsidRDefault="00555F1E">
      <w:pPr>
        <w:pStyle w:val="Body"/>
      </w:pPr>
      <w:r>
        <w:t xml:space="preserve">Developing future scenarios is an inherently uncertain task. With regard to understanding waste capacity, a number of factors limit the certainly of the assessment, including changing industrial markets, government regulations and waste definitions and ‘language’. The infrastructure itself was also difficult to characterise and information on activities was limited or hard to obtain. </w:t>
      </w:r>
      <w:r w:rsidR="00736372">
        <w:t>The following conclusions were reached for varying waste facilities:</w:t>
      </w:r>
    </w:p>
    <w:p w:rsidR="00736372" w:rsidRDefault="00736372" w:rsidP="0049525E">
      <w:pPr>
        <w:pStyle w:val="Bullet"/>
      </w:pPr>
      <w:r>
        <w:t>Sufficient capacity to handle waste arisings over 20 years to 2034 in all scenarios</w:t>
      </w:r>
      <w:r w:rsidR="002026D9">
        <w:t>:</w:t>
      </w:r>
    </w:p>
    <w:p w:rsidR="00736372" w:rsidRDefault="00736372" w:rsidP="002026D9">
      <w:pPr>
        <w:pStyle w:val="Bullet"/>
        <w:numPr>
          <w:ilvl w:val="1"/>
          <w:numId w:val="9"/>
        </w:numPr>
        <w:spacing w:after="100"/>
      </w:pPr>
      <w:r>
        <w:t>Mercury recycling facilities</w:t>
      </w:r>
    </w:p>
    <w:p w:rsidR="00736372" w:rsidRDefault="00736372" w:rsidP="002026D9">
      <w:pPr>
        <w:pStyle w:val="Bullet"/>
        <w:numPr>
          <w:ilvl w:val="1"/>
          <w:numId w:val="9"/>
        </w:numPr>
        <w:spacing w:after="100"/>
      </w:pPr>
      <w:r>
        <w:t>E-waste major physical, chemical and disassembly facilities</w:t>
      </w:r>
    </w:p>
    <w:p w:rsidR="00736372" w:rsidRDefault="00736372" w:rsidP="002026D9">
      <w:pPr>
        <w:pStyle w:val="Bullet"/>
        <w:numPr>
          <w:ilvl w:val="1"/>
          <w:numId w:val="9"/>
        </w:numPr>
        <w:spacing w:after="100"/>
      </w:pPr>
      <w:r>
        <w:t>Contaminated soils treatment facilities</w:t>
      </w:r>
    </w:p>
    <w:p w:rsidR="00736372" w:rsidRDefault="00736372" w:rsidP="0049525E">
      <w:pPr>
        <w:pStyle w:val="Bullet"/>
      </w:pPr>
      <w:r>
        <w:t>Mixed capacity to handle waste arisings over 20 years to 2034 (subject to scenario)</w:t>
      </w:r>
      <w:r w:rsidR="002026D9">
        <w:t>:</w:t>
      </w:r>
    </w:p>
    <w:p w:rsidR="00736372" w:rsidRDefault="00736372" w:rsidP="002026D9">
      <w:pPr>
        <w:pStyle w:val="Bullet"/>
        <w:numPr>
          <w:ilvl w:val="1"/>
          <w:numId w:val="9"/>
        </w:numPr>
        <w:spacing w:after="100"/>
      </w:pPr>
      <w:r>
        <w:t>Oil re-refining facilities – sufficient capacity under low scenario; exceeded capacity in 2023 under best scenario</w:t>
      </w:r>
    </w:p>
    <w:p w:rsidR="00736372" w:rsidRDefault="00736372" w:rsidP="002026D9">
      <w:pPr>
        <w:pStyle w:val="Bullet"/>
        <w:numPr>
          <w:ilvl w:val="1"/>
          <w:numId w:val="9"/>
        </w:numPr>
        <w:spacing w:after="100"/>
      </w:pPr>
      <w:r>
        <w:t>Lead recycling facilities – sufficient capacity under low scenario; exceed capacity in 2031 under high scenario</w:t>
      </w:r>
    </w:p>
    <w:p w:rsidR="00736372" w:rsidRDefault="00736372" w:rsidP="002026D9">
      <w:pPr>
        <w:pStyle w:val="Bullet"/>
        <w:numPr>
          <w:ilvl w:val="1"/>
          <w:numId w:val="9"/>
        </w:numPr>
        <w:spacing w:after="100"/>
      </w:pPr>
      <w:r>
        <w:t>Solvents/paints energy recovery facilities – sufficient capacity under best and low scenarios; exceeded capacity in 2030 under high scenario</w:t>
      </w:r>
    </w:p>
    <w:p w:rsidR="00736372" w:rsidRDefault="00736372" w:rsidP="002026D9">
      <w:pPr>
        <w:pStyle w:val="Bullet"/>
        <w:numPr>
          <w:ilvl w:val="1"/>
          <w:numId w:val="9"/>
        </w:numPr>
        <w:spacing w:after="100"/>
      </w:pPr>
      <w:r>
        <w:t>Chemical and physical treatment plant facilities – sufficient capacity under best and low scenarios; exceeded capacity in 2030 under high scenario</w:t>
      </w:r>
    </w:p>
    <w:p w:rsidR="00736372" w:rsidRDefault="00736372" w:rsidP="002026D9">
      <w:pPr>
        <w:pStyle w:val="Bullet"/>
        <w:numPr>
          <w:ilvl w:val="1"/>
          <w:numId w:val="9"/>
        </w:numPr>
        <w:spacing w:after="100"/>
      </w:pPr>
      <w:r>
        <w:t>Clinical waste treatment facilities – sufficient capacity under low scenario; exceeded capacity in 2026 under best scenario and 2020 under high scenario</w:t>
      </w:r>
    </w:p>
    <w:p w:rsidR="009059FC" w:rsidRDefault="009059FC" w:rsidP="0049525E">
      <w:pPr>
        <w:pStyle w:val="Bullet"/>
        <w:numPr>
          <w:ilvl w:val="1"/>
          <w:numId w:val="9"/>
        </w:numPr>
      </w:pPr>
      <w:r>
        <w:t>Clinical waste thermal destruction facilities – sufficient capacity under low scenario; exceeded capacity in 2024 under best scenario and 2019 under high scenario</w:t>
      </w:r>
    </w:p>
    <w:p w:rsidR="00736372" w:rsidRDefault="00736372" w:rsidP="0049525E">
      <w:pPr>
        <w:pStyle w:val="Bullet"/>
      </w:pPr>
      <w:r>
        <w:t>Exceeded capacity to handle waste arisings over 20</w:t>
      </w:r>
      <w:r w:rsidR="002026D9">
        <w:t xml:space="preserve"> years to 2034 in all scenarios:</w:t>
      </w:r>
    </w:p>
    <w:p w:rsidR="00736372" w:rsidRDefault="00736372" w:rsidP="002026D9">
      <w:pPr>
        <w:pStyle w:val="Bullet"/>
        <w:numPr>
          <w:ilvl w:val="1"/>
          <w:numId w:val="9"/>
        </w:numPr>
        <w:spacing w:after="100"/>
      </w:pPr>
      <w:r>
        <w:t>Solvents/paints recycling facilities</w:t>
      </w:r>
    </w:p>
    <w:p w:rsidR="00736372" w:rsidRDefault="00736372" w:rsidP="002026D9">
      <w:pPr>
        <w:pStyle w:val="Bullet"/>
        <w:numPr>
          <w:ilvl w:val="1"/>
          <w:numId w:val="9"/>
        </w:numPr>
        <w:spacing w:after="100"/>
      </w:pPr>
      <w:r>
        <w:t xml:space="preserve">Organics </w:t>
      </w:r>
      <w:r w:rsidR="009059FC">
        <w:t xml:space="preserve">recycling facilities – </w:t>
      </w:r>
      <w:r>
        <w:t>very</w:t>
      </w:r>
      <w:r w:rsidR="009059FC">
        <w:t xml:space="preserve"> </w:t>
      </w:r>
      <w:r>
        <w:t>high unc</w:t>
      </w:r>
      <w:r w:rsidR="009059FC">
        <w:t>ertainty of capacity assessment</w:t>
      </w:r>
    </w:p>
    <w:p w:rsidR="00736372" w:rsidRDefault="00736372" w:rsidP="002026D9">
      <w:pPr>
        <w:pStyle w:val="Bullet"/>
        <w:numPr>
          <w:ilvl w:val="1"/>
          <w:numId w:val="9"/>
        </w:numPr>
        <w:spacing w:after="100"/>
      </w:pPr>
      <w:r>
        <w:t xml:space="preserve">Hazardous waste landfill facilities – constrained under all scenarios though </w:t>
      </w:r>
      <w:r w:rsidR="009059FC">
        <w:t>modelling assessment for this infrastructure group was deemed incorrect due to lower response rate and difficulty to define site potential annual capacity</w:t>
      </w:r>
    </w:p>
    <w:p w:rsidR="009059FC" w:rsidRPr="00011219" w:rsidRDefault="009059FC" w:rsidP="0049525E">
      <w:pPr>
        <w:pStyle w:val="Bullet"/>
        <w:numPr>
          <w:ilvl w:val="1"/>
          <w:numId w:val="9"/>
        </w:numPr>
      </w:pPr>
      <w:r>
        <w:t>Transfer station or temporary storage facilities.</w:t>
      </w:r>
    </w:p>
    <w:p w:rsidR="003F433B" w:rsidRDefault="003F433B" w:rsidP="003F433B">
      <w:pPr>
        <w:pStyle w:val="Heading1"/>
      </w:pPr>
      <w:bookmarkStart w:id="17" w:name="_Toc450909332"/>
      <w:r>
        <w:lastRenderedPageBreak/>
        <w:t>Assessment Method</w:t>
      </w:r>
      <w:bookmarkEnd w:id="17"/>
    </w:p>
    <w:p w:rsidR="003F433B" w:rsidRDefault="003F433B" w:rsidP="003F433B">
      <w:pPr>
        <w:pStyle w:val="Body"/>
      </w:pPr>
      <w:r>
        <w:t>The following process was undertaken to identify the suitability of thermal waste facilities for further assessment:</w:t>
      </w:r>
    </w:p>
    <w:p w:rsidR="003F433B" w:rsidRPr="008E1D4D" w:rsidRDefault="003F433B" w:rsidP="003F433B">
      <w:pPr>
        <w:pStyle w:val="Bullet"/>
      </w:pPr>
      <w:r w:rsidRPr="008E1D4D">
        <w:t>Comparison of the characteristics required to treat each waste type with the c</w:t>
      </w:r>
      <w:r w:rsidRPr="008E1D4D">
        <w:rPr>
          <w:lang w:eastAsia="en-AU"/>
        </w:rPr>
        <w:t>haracteristics of thermal facility types</w:t>
      </w:r>
    </w:p>
    <w:p w:rsidR="003F433B" w:rsidRPr="008E1D4D" w:rsidRDefault="003F433B" w:rsidP="003F433B">
      <w:pPr>
        <w:pStyle w:val="Bullet"/>
        <w:rPr>
          <w:lang w:eastAsia="en-AU"/>
        </w:rPr>
      </w:pPr>
      <w:r w:rsidRPr="008E1D4D">
        <w:rPr>
          <w:lang w:eastAsia="en-AU"/>
        </w:rPr>
        <w:t>Where thermal facilities d</w:t>
      </w:r>
      <w:r>
        <w:rPr>
          <w:lang w:eastAsia="en-AU"/>
        </w:rPr>
        <w:t>id</w:t>
      </w:r>
      <w:r w:rsidRPr="008E1D4D">
        <w:rPr>
          <w:lang w:eastAsia="en-AU"/>
        </w:rPr>
        <w:t xml:space="preserve"> not satisfy the minimum requirements for treating waste types, identif</w:t>
      </w:r>
      <w:r>
        <w:rPr>
          <w:lang w:eastAsia="en-AU"/>
        </w:rPr>
        <w:t>ication of</w:t>
      </w:r>
      <w:r w:rsidRPr="008E1D4D">
        <w:rPr>
          <w:lang w:eastAsia="en-AU"/>
        </w:rPr>
        <w:t xml:space="preserve"> the facility upgrades required (e.g. upgrading gas treatment equipment)</w:t>
      </w:r>
    </w:p>
    <w:p w:rsidR="003F433B" w:rsidRPr="008E1D4D" w:rsidRDefault="003F433B" w:rsidP="003F433B">
      <w:pPr>
        <w:pStyle w:val="Bullet"/>
        <w:rPr>
          <w:lang w:eastAsia="en-AU"/>
        </w:rPr>
      </w:pPr>
      <w:r>
        <w:rPr>
          <w:lang w:eastAsia="en-AU"/>
        </w:rPr>
        <w:t>Classification of</w:t>
      </w:r>
      <w:r w:rsidRPr="008E1D4D">
        <w:rPr>
          <w:lang w:eastAsia="en-AU"/>
        </w:rPr>
        <w:t xml:space="preserve"> the required upgrades as either minor upgrades or major redevelopments </w:t>
      </w:r>
    </w:p>
    <w:p w:rsidR="003F433B" w:rsidRPr="008E1D4D" w:rsidRDefault="003F433B" w:rsidP="003F433B">
      <w:pPr>
        <w:pStyle w:val="Bullet"/>
        <w:rPr>
          <w:lang w:eastAsia="en-AU"/>
        </w:rPr>
      </w:pPr>
      <w:r w:rsidRPr="008E1D4D">
        <w:rPr>
          <w:lang w:eastAsia="en-AU"/>
        </w:rPr>
        <w:t>Consider</w:t>
      </w:r>
      <w:r>
        <w:rPr>
          <w:lang w:eastAsia="en-AU"/>
        </w:rPr>
        <w:t>ation of</w:t>
      </w:r>
      <w:r w:rsidRPr="008E1D4D">
        <w:rPr>
          <w:lang w:eastAsia="en-AU"/>
        </w:rPr>
        <w:t xml:space="preserve"> the scale of wastes that could by treated if a minor upgrade was undertaken</w:t>
      </w:r>
    </w:p>
    <w:p w:rsidR="003F433B" w:rsidRPr="008E1D4D" w:rsidRDefault="003F433B" w:rsidP="003F433B">
      <w:pPr>
        <w:pStyle w:val="Bullet"/>
        <w:rPr>
          <w:lang w:eastAsia="en-AU"/>
        </w:rPr>
      </w:pPr>
      <w:r>
        <w:rPr>
          <w:lang w:eastAsia="en-AU"/>
        </w:rPr>
        <w:t>Identification of</w:t>
      </w:r>
      <w:r w:rsidRPr="008E1D4D">
        <w:rPr>
          <w:lang w:eastAsia="en-AU"/>
        </w:rPr>
        <w:t xml:space="preserve"> facilities that potentially have existing capacity to receive wa</w:t>
      </w:r>
      <w:r>
        <w:rPr>
          <w:lang w:eastAsia="en-AU"/>
        </w:rPr>
        <w:t>ste or could increase capacity</w:t>
      </w:r>
    </w:p>
    <w:p w:rsidR="003F433B" w:rsidRPr="008E1D4D" w:rsidRDefault="003F433B" w:rsidP="003F433B">
      <w:pPr>
        <w:pStyle w:val="Bullet"/>
        <w:rPr>
          <w:lang w:eastAsia="en-AU"/>
        </w:rPr>
      </w:pPr>
      <w:r>
        <w:t>Identification of</w:t>
      </w:r>
      <w:r w:rsidRPr="008E1D4D">
        <w:t xml:space="preserve"> waste types and facilities that could be treated, reused or components recovered, compared with a final disposal option s</w:t>
      </w:r>
      <w:r>
        <w:t>uch as incineration or landfill</w:t>
      </w:r>
    </w:p>
    <w:p w:rsidR="003F433B" w:rsidRPr="00301945" w:rsidRDefault="003F433B" w:rsidP="003F433B">
      <w:pPr>
        <w:pStyle w:val="Bullet"/>
        <w:rPr>
          <w:lang w:eastAsia="en-AU"/>
        </w:rPr>
      </w:pPr>
      <w:r w:rsidRPr="008E1D4D">
        <w:t>Identify and discuss constraints such as timeframes, technical challenges, licence or permit conditions, facility lo</w:t>
      </w:r>
      <w:r>
        <w:t xml:space="preserve">cation and waste projections.  </w:t>
      </w:r>
    </w:p>
    <w:p w:rsidR="003F433B" w:rsidRPr="00301945" w:rsidRDefault="003F433B" w:rsidP="003F433B">
      <w:pPr>
        <w:pStyle w:val="Heading2"/>
      </w:pPr>
      <w:bookmarkStart w:id="18" w:name="_Toc447535935"/>
      <w:bookmarkStart w:id="19" w:name="_Ref450211441"/>
      <w:bookmarkStart w:id="20" w:name="_Toc450909333"/>
      <w:r w:rsidRPr="00301945">
        <w:t>Stakeholder consultation outcomes</w:t>
      </w:r>
      <w:bookmarkEnd w:id="18"/>
      <w:bookmarkEnd w:id="19"/>
      <w:bookmarkEnd w:id="20"/>
    </w:p>
    <w:p w:rsidR="003F433B" w:rsidRPr="00253ED2" w:rsidRDefault="003F433B" w:rsidP="003F433B">
      <w:pPr>
        <w:pStyle w:val="Body"/>
        <w:rPr>
          <w:lang w:eastAsia="en-AU"/>
        </w:rPr>
      </w:pPr>
      <w:r w:rsidRPr="00301945">
        <w:rPr>
          <w:lang w:eastAsia="en-AU"/>
        </w:rPr>
        <w:t xml:space="preserve">A targeted stakeholder consultation process of the </w:t>
      </w:r>
      <w:r>
        <w:rPr>
          <w:lang w:eastAsia="en-AU"/>
        </w:rPr>
        <w:t xml:space="preserve">facilities identified as suitable to be further </w:t>
      </w:r>
      <w:r w:rsidRPr="00253ED2">
        <w:rPr>
          <w:lang w:eastAsia="en-AU"/>
        </w:rPr>
        <w:t>investigated was undertaken. The consultation process involved:</w:t>
      </w:r>
    </w:p>
    <w:p w:rsidR="003F433B" w:rsidRPr="00253ED2" w:rsidRDefault="003F433B" w:rsidP="003F433B">
      <w:pPr>
        <w:pStyle w:val="Bullet"/>
        <w:rPr>
          <w:lang w:eastAsia="en-AU"/>
        </w:rPr>
      </w:pPr>
      <w:r w:rsidRPr="00253ED2">
        <w:rPr>
          <w:lang w:eastAsia="en-AU"/>
        </w:rPr>
        <w:t>An initial discussion to understand the facility’s willingness to participat</w:t>
      </w:r>
      <w:r>
        <w:rPr>
          <w:lang w:eastAsia="en-AU"/>
        </w:rPr>
        <w:t>e</w:t>
      </w:r>
      <w:r w:rsidRPr="00253ED2">
        <w:rPr>
          <w:lang w:eastAsia="en-AU"/>
        </w:rPr>
        <w:t xml:space="preserve"> in the project</w:t>
      </w:r>
    </w:p>
    <w:p w:rsidR="003F433B" w:rsidRPr="00253ED2" w:rsidRDefault="003F433B" w:rsidP="003F433B">
      <w:pPr>
        <w:pStyle w:val="Bullet"/>
        <w:rPr>
          <w:lang w:eastAsia="en-AU"/>
        </w:rPr>
      </w:pPr>
      <w:r w:rsidRPr="00253ED2">
        <w:rPr>
          <w:lang w:eastAsia="en-AU"/>
        </w:rPr>
        <w:t xml:space="preserve">For facilities wishing to participate, a letter outlining the objectives of the project </w:t>
      </w:r>
    </w:p>
    <w:p w:rsidR="003F433B" w:rsidRPr="00253ED2" w:rsidRDefault="003F433B" w:rsidP="003F433B">
      <w:pPr>
        <w:pStyle w:val="Bullet"/>
        <w:rPr>
          <w:lang w:eastAsia="en-AU"/>
        </w:rPr>
      </w:pPr>
      <w:r w:rsidRPr="00253ED2">
        <w:rPr>
          <w:lang w:eastAsia="en-AU"/>
        </w:rPr>
        <w:t>A teleconference to confirm the characteristics of the specific facility and the constraints associated with any modification.</w:t>
      </w:r>
    </w:p>
    <w:p w:rsidR="003F433B" w:rsidRDefault="003F433B" w:rsidP="003F433B">
      <w:pPr>
        <w:pStyle w:val="Body"/>
      </w:pPr>
      <w:r>
        <w:t xml:space="preserve">Note that not all facilities listed in </w:t>
      </w:r>
      <w:r>
        <w:fldChar w:fldCharType="begin"/>
      </w:r>
      <w:r>
        <w:instrText xml:space="preserve"> REF _Ref447298812 \h </w:instrText>
      </w:r>
      <w:r>
        <w:fldChar w:fldCharType="separate"/>
      </w:r>
      <w:r w:rsidR="006225A8">
        <w:t xml:space="preserve">Table </w:t>
      </w:r>
      <w:r w:rsidR="006225A8">
        <w:rPr>
          <w:noProof/>
        </w:rPr>
        <w:t>2</w:t>
      </w:r>
      <w:r>
        <w:fldChar w:fldCharType="end"/>
      </w:r>
      <w:r>
        <w:t xml:space="preserve"> provided input into the stakeholder consultation process. </w:t>
      </w:r>
      <w:r>
        <w:fldChar w:fldCharType="begin"/>
      </w:r>
      <w:r>
        <w:instrText xml:space="preserve"> REF _Ref450210577 \h </w:instrText>
      </w:r>
      <w:r>
        <w:fldChar w:fldCharType="separate"/>
      </w:r>
      <w:r w:rsidR="006225A8">
        <w:t xml:space="preserve">Table </w:t>
      </w:r>
      <w:r w:rsidR="006225A8">
        <w:rPr>
          <w:noProof/>
        </w:rPr>
        <w:t>3</w:t>
      </w:r>
      <w:r>
        <w:fldChar w:fldCharType="end"/>
      </w:r>
      <w:r>
        <w:t xml:space="preserve"> to </w:t>
      </w:r>
      <w:r>
        <w:fldChar w:fldCharType="begin"/>
      </w:r>
      <w:r>
        <w:instrText xml:space="preserve"> REF _Ref450215901 \h </w:instrText>
      </w:r>
      <w:r>
        <w:fldChar w:fldCharType="separate"/>
      </w:r>
      <w:r w:rsidR="006225A8">
        <w:t xml:space="preserve">Table </w:t>
      </w:r>
      <w:r w:rsidR="006225A8">
        <w:rPr>
          <w:noProof/>
        </w:rPr>
        <w:t>7</w:t>
      </w:r>
      <w:r>
        <w:fldChar w:fldCharType="end"/>
      </w:r>
      <w:r>
        <w:t xml:space="preserve"> describe the information received from those facilities willing to participate in this process.</w:t>
      </w:r>
    </w:p>
    <w:p w:rsidR="003F433B" w:rsidRDefault="003F433B" w:rsidP="003F433B">
      <w:pPr>
        <w:pStyle w:val="Body"/>
        <w:sectPr w:rsidR="003F433B" w:rsidSect="00E65B15">
          <w:pgSz w:w="11907" w:h="16839" w:code="9"/>
          <w:pgMar w:top="1134" w:right="1134" w:bottom="1134" w:left="1701" w:header="181" w:footer="227" w:gutter="0"/>
          <w:cols w:space="340"/>
          <w:docGrid w:linePitch="360"/>
        </w:sectPr>
      </w:pPr>
    </w:p>
    <w:p w:rsidR="005A3A66" w:rsidRDefault="005A3A66" w:rsidP="005A3A66">
      <w:pPr>
        <w:pStyle w:val="Heading1"/>
      </w:pPr>
      <w:bookmarkStart w:id="21" w:name="_Toc450909334"/>
      <w:r>
        <w:lastRenderedPageBreak/>
        <w:t>Assessment of thermal facilities</w:t>
      </w:r>
      <w:bookmarkEnd w:id="12"/>
      <w:bookmarkEnd w:id="21"/>
    </w:p>
    <w:p w:rsidR="005A3A66" w:rsidRDefault="005A3A66" w:rsidP="005A3A66">
      <w:pPr>
        <w:pStyle w:val="Heading2"/>
      </w:pPr>
      <w:bookmarkStart w:id="22" w:name="_Toc447535932"/>
      <w:bookmarkStart w:id="23" w:name="_Toc450909335"/>
      <w:r>
        <w:t>Identification of suitable waste types for thermal treatment</w:t>
      </w:r>
      <w:bookmarkEnd w:id="22"/>
      <w:bookmarkEnd w:id="23"/>
    </w:p>
    <w:p w:rsidR="005A3A66" w:rsidRDefault="005A3A66" w:rsidP="005A3A66">
      <w:pPr>
        <w:pStyle w:val="Body"/>
      </w:pPr>
      <w:r>
        <w:t xml:space="preserve">An assessment of the suitable waste types for thermal treatment was undertaken based on the existing NEPM codes and descriptions and the waste categories and types.  </w:t>
      </w:r>
    </w:p>
    <w:p w:rsidR="005A3A66" w:rsidRDefault="005A3A66" w:rsidP="005A3A66">
      <w:pPr>
        <w:pStyle w:val="Body"/>
      </w:pPr>
      <w:r>
        <w:t>The relevance to thermal treatment was used to assess the final waste types</w:t>
      </w:r>
      <w:r w:rsidR="00160647">
        <w:t>,</w:t>
      </w:r>
      <w:r>
        <w:t xml:space="preserve"> which were used as the basis for comparison of treatment options in this assessment. The identified waste types used in the assessment are provided in </w:t>
      </w:r>
      <w:r>
        <w:fldChar w:fldCharType="begin"/>
      </w:r>
      <w:r>
        <w:instrText xml:space="preserve"> REF _Ref446423564 \h </w:instrText>
      </w:r>
      <w:r>
        <w:fldChar w:fldCharType="separate"/>
      </w:r>
      <w:r w:rsidR="006225A8">
        <w:t xml:space="preserve">Table </w:t>
      </w:r>
      <w:r w:rsidR="006225A8">
        <w:rPr>
          <w:noProof/>
        </w:rPr>
        <w:t>1</w:t>
      </w:r>
      <w:r>
        <w:fldChar w:fldCharType="end"/>
      </w:r>
      <w:r>
        <w:t xml:space="preserve">.  </w:t>
      </w:r>
    </w:p>
    <w:p w:rsidR="005A3A66" w:rsidRDefault="005A3A66" w:rsidP="005A3A66">
      <w:pPr>
        <w:pStyle w:val="Caption"/>
      </w:pPr>
      <w:bookmarkStart w:id="24" w:name="_Ref446423564"/>
      <w:bookmarkStart w:id="25" w:name="_Toc447535921"/>
      <w:bookmarkStart w:id="26" w:name="_Toc450909349"/>
      <w:r>
        <w:t xml:space="preserve">Table </w:t>
      </w:r>
      <w:fldSimple w:instr=" SEQ Table \* ARABIC ">
        <w:r w:rsidR="006225A8">
          <w:rPr>
            <w:noProof/>
          </w:rPr>
          <w:t>1</w:t>
        </w:r>
      </w:fldSimple>
      <w:bookmarkEnd w:id="24"/>
      <w:r>
        <w:tab/>
        <w:t>Suitable waste types for thermal treatment</w:t>
      </w:r>
      <w:bookmarkEnd w:id="25"/>
      <w:bookmarkEnd w:id="26"/>
    </w:p>
    <w:tbl>
      <w:tblPr>
        <w:tblStyle w:val="Table-Style3"/>
        <w:tblW w:w="0" w:type="auto"/>
        <w:tblLook w:val="04A0" w:firstRow="1" w:lastRow="0" w:firstColumn="1" w:lastColumn="0" w:noHBand="0" w:noVBand="1"/>
      </w:tblPr>
      <w:tblGrid>
        <w:gridCol w:w="3020"/>
        <w:gridCol w:w="5485"/>
      </w:tblGrid>
      <w:tr w:rsidR="005A3A66" w:rsidTr="005938FB">
        <w:trPr>
          <w:cnfStyle w:val="100000000000" w:firstRow="1" w:lastRow="0" w:firstColumn="0" w:lastColumn="0" w:oddVBand="0" w:evenVBand="0" w:oddHBand="0" w:evenHBand="0" w:firstRowFirstColumn="0" w:firstRowLastColumn="0" w:lastRowFirstColumn="0" w:lastRowLastColumn="0"/>
          <w:tblHeader/>
        </w:trPr>
        <w:tc>
          <w:tcPr>
            <w:tcW w:w="3085" w:type="dxa"/>
          </w:tcPr>
          <w:p w:rsidR="005A3A66" w:rsidRDefault="005A3A66" w:rsidP="005938FB">
            <w:pPr>
              <w:pStyle w:val="Body"/>
              <w:ind w:left="0"/>
            </w:pPr>
            <w:r>
              <w:t>Waste Category</w:t>
            </w:r>
          </w:p>
        </w:tc>
        <w:tc>
          <w:tcPr>
            <w:tcW w:w="5636" w:type="dxa"/>
          </w:tcPr>
          <w:p w:rsidR="005A3A66" w:rsidRDefault="005A3A66" w:rsidP="005938FB">
            <w:pPr>
              <w:pStyle w:val="Body"/>
              <w:ind w:left="0"/>
            </w:pPr>
            <w:r>
              <w:t>Waste Description</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Inorganic fluorine compounds excluding calcium fluoride</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Antimony; antimony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Thallium; thallium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Copper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Cobalt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Nickel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Lead; lead compounds</w:t>
            </w:r>
          </w:p>
        </w:tc>
      </w:tr>
      <w:tr w:rsidR="005A3A66" w:rsidTr="005938FB">
        <w:tc>
          <w:tcPr>
            <w:tcW w:w="3085" w:type="dxa"/>
          </w:tcPr>
          <w:p w:rsidR="005A3A66" w:rsidRPr="00315D7D" w:rsidRDefault="005A3A66" w:rsidP="005938FB">
            <w:r w:rsidRPr="00315D7D">
              <w:t>Inorganic Chemicals</w:t>
            </w:r>
          </w:p>
        </w:tc>
        <w:tc>
          <w:tcPr>
            <w:tcW w:w="5636" w:type="dxa"/>
          </w:tcPr>
          <w:p w:rsidR="005A3A66" w:rsidRPr="005D7967" w:rsidRDefault="005A3A66" w:rsidP="005938FB">
            <w:r w:rsidRPr="005D7967">
              <w:t>Zinc compounds</w:t>
            </w:r>
          </w:p>
        </w:tc>
      </w:tr>
      <w:tr w:rsidR="005A3A66" w:rsidTr="005938FB">
        <w:tc>
          <w:tcPr>
            <w:tcW w:w="3085" w:type="dxa"/>
          </w:tcPr>
          <w:p w:rsidR="005A3A66" w:rsidRPr="00315D7D" w:rsidRDefault="005A3A66" w:rsidP="005938FB">
            <w:r w:rsidRPr="00315D7D">
              <w:t>Paints, Lacquers, Varnish, Resins, Inks, Adhesives</w:t>
            </w:r>
          </w:p>
        </w:tc>
        <w:tc>
          <w:tcPr>
            <w:tcW w:w="5636" w:type="dxa"/>
          </w:tcPr>
          <w:p w:rsidR="005A3A66" w:rsidRPr="005D7967" w:rsidRDefault="005A3A66" w:rsidP="005938FB">
            <w:r w:rsidRPr="005D7967">
              <w:t>Waste from the production, formulation and use of inks, dyes, pigments, paints, lacquers and varnish</w:t>
            </w:r>
          </w:p>
        </w:tc>
      </w:tr>
      <w:tr w:rsidR="005A3A66" w:rsidTr="005938FB">
        <w:tc>
          <w:tcPr>
            <w:tcW w:w="3085" w:type="dxa"/>
          </w:tcPr>
          <w:p w:rsidR="005A3A66" w:rsidRPr="00315D7D" w:rsidRDefault="005A3A66" w:rsidP="005938FB">
            <w:r w:rsidRPr="00315D7D">
              <w:t>Paints, Lacquers, Varnish, Resins, Inks, Adhesives</w:t>
            </w:r>
          </w:p>
        </w:tc>
        <w:tc>
          <w:tcPr>
            <w:tcW w:w="5636" w:type="dxa"/>
          </w:tcPr>
          <w:p w:rsidR="005A3A66" w:rsidRPr="005D7967" w:rsidRDefault="005A3A66" w:rsidP="005938FB">
            <w:r w:rsidRPr="005D7967">
              <w:t>Waste from the production, formulation and use of resins, latex, plasticisers, glues and adhesives</w:t>
            </w:r>
          </w:p>
        </w:tc>
      </w:tr>
      <w:tr w:rsidR="005A3A66" w:rsidTr="005938FB">
        <w:tc>
          <w:tcPr>
            <w:tcW w:w="3085" w:type="dxa"/>
          </w:tcPr>
          <w:p w:rsidR="005A3A66" w:rsidRPr="00315D7D" w:rsidRDefault="005A3A66" w:rsidP="005938FB">
            <w:r w:rsidRPr="00315D7D">
              <w:t>Organic Solvents, Solvents, Residues</w:t>
            </w:r>
          </w:p>
        </w:tc>
        <w:tc>
          <w:tcPr>
            <w:tcW w:w="5636" w:type="dxa"/>
          </w:tcPr>
          <w:p w:rsidR="005A3A66" w:rsidRPr="005D7967" w:rsidRDefault="005A3A66" w:rsidP="005938FB">
            <w:r w:rsidRPr="005D7967">
              <w:t>Ethers</w:t>
            </w:r>
          </w:p>
        </w:tc>
      </w:tr>
      <w:tr w:rsidR="005A3A66" w:rsidTr="005938FB">
        <w:tc>
          <w:tcPr>
            <w:tcW w:w="3085" w:type="dxa"/>
          </w:tcPr>
          <w:p w:rsidR="005A3A66" w:rsidRPr="00315D7D" w:rsidRDefault="005A3A66" w:rsidP="005938FB">
            <w:r w:rsidRPr="00315D7D">
              <w:t>Organic Solvents, Solvents, Residues</w:t>
            </w:r>
          </w:p>
        </w:tc>
        <w:tc>
          <w:tcPr>
            <w:tcW w:w="5636" w:type="dxa"/>
          </w:tcPr>
          <w:p w:rsidR="005A3A66" w:rsidRPr="005D7967" w:rsidRDefault="005A3A66" w:rsidP="005938FB">
            <w:r w:rsidRPr="005D7967">
              <w:t>Organic solvents excluding halogenated solvents</w:t>
            </w:r>
          </w:p>
        </w:tc>
      </w:tr>
      <w:tr w:rsidR="005A3A66" w:rsidTr="005938FB">
        <w:tc>
          <w:tcPr>
            <w:tcW w:w="3085" w:type="dxa"/>
          </w:tcPr>
          <w:p w:rsidR="005A3A66" w:rsidRPr="00315D7D" w:rsidRDefault="005A3A66" w:rsidP="005938FB">
            <w:r w:rsidRPr="00315D7D">
              <w:t>Organic Solvents, Solvents, Residues</w:t>
            </w:r>
          </w:p>
        </w:tc>
        <w:tc>
          <w:tcPr>
            <w:tcW w:w="5636" w:type="dxa"/>
          </w:tcPr>
          <w:p w:rsidR="005A3A66" w:rsidRPr="005D7967" w:rsidRDefault="005A3A66" w:rsidP="005938FB">
            <w:r w:rsidRPr="005D7967">
              <w:t>Halogenated organic solvents</w:t>
            </w:r>
          </w:p>
        </w:tc>
      </w:tr>
      <w:tr w:rsidR="005A3A66" w:rsidTr="005938FB">
        <w:tc>
          <w:tcPr>
            <w:tcW w:w="3085" w:type="dxa"/>
          </w:tcPr>
          <w:p w:rsidR="005A3A66" w:rsidRPr="00315D7D" w:rsidRDefault="005A3A66" w:rsidP="005938FB">
            <w:r w:rsidRPr="00315D7D">
              <w:t>Organic Solvents, Solvents, Residues</w:t>
            </w:r>
          </w:p>
        </w:tc>
        <w:tc>
          <w:tcPr>
            <w:tcW w:w="5636" w:type="dxa"/>
          </w:tcPr>
          <w:p w:rsidR="005A3A66" w:rsidRPr="005D7967" w:rsidRDefault="005A3A66" w:rsidP="005938FB">
            <w:r w:rsidRPr="005D7967">
              <w:t>Waste from the production, formulation and use of organic solvents</w:t>
            </w:r>
          </w:p>
        </w:tc>
      </w:tr>
      <w:tr w:rsidR="005A3A66" w:rsidTr="005938FB">
        <w:tc>
          <w:tcPr>
            <w:tcW w:w="3085" w:type="dxa"/>
          </w:tcPr>
          <w:p w:rsidR="005A3A66" w:rsidRPr="00315D7D" w:rsidRDefault="005A3A66" w:rsidP="005938FB">
            <w:r w:rsidRPr="00315D7D">
              <w:t>Pesticides</w:t>
            </w:r>
          </w:p>
        </w:tc>
        <w:tc>
          <w:tcPr>
            <w:tcW w:w="5636" w:type="dxa"/>
          </w:tcPr>
          <w:p w:rsidR="005A3A66" w:rsidRPr="005D7967" w:rsidRDefault="005A3A66" w:rsidP="005938FB">
            <w:r w:rsidRPr="005D7967">
              <w:t>Waste from the production, formulation and use of biocides and phytopharmaceuticals</w:t>
            </w:r>
          </w:p>
        </w:tc>
      </w:tr>
      <w:tr w:rsidR="005A3A66" w:rsidTr="005938FB">
        <w:tc>
          <w:tcPr>
            <w:tcW w:w="3085" w:type="dxa"/>
          </w:tcPr>
          <w:p w:rsidR="005A3A66" w:rsidRPr="00315D7D" w:rsidRDefault="005A3A66" w:rsidP="005938FB">
            <w:r w:rsidRPr="00315D7D">
              <w:t>Pesticides</w:t>
            </w:r>
          </w:p>
        </w:tc>
        <w:tc>
          <w:tcPr>
            <w:tcW w:w="5636" w:type="dxa"/>
          </w:tcPr>
          <w:p w:rsidR="005A3A66" w:rsidRPr="005D7967" w:rsidRDefault="005A3A66" w:rsidP="005938FB">
            <w:r w:rsidRPr="005D7967">
              <w:t>Organic phosphorous compounds</w:t>
            </w:r>
          </w:p>
        </w:tc>
      </w:tr>
      <w:tr w:rsidR="005A3A66" w:rsidTr="005938FB">
        <w:tc>
          <w:tcPr>
            <w:tcW w:w="3085" w:type="dxa"/>
          </w:tcPr>
          <w:p w:rsidR="005A3A66" w:rsidRPr="00315D7D" w:rsidRDefault="005A3A66" w:rsidP="005938FB">
            <w:r w:rsidRPr="00315D7D">
              <w:t>Oils, Hydrocarbons, Emulsions</w:t>
            </w:r>
          </w:p>
        </w:tc>
        <w:tc>
          <w:tcPr>
            <w:tcW w:w="5636" w:type="dxa"/>
          </w:tcPr>
          <w:p w:rsidR="005A3A66" w:rsidRPr="005D7967" w:rsidRDefault="005A3A66" w:rsidP="005938FB">
            <w:r w:rsidRPr="005D7967">
              <w:t>Waste mineral oils unfit for their original intended use</w:t>
            </w:r>
          </w:p>
        </w:tc>
      </w:tr>
      <w:tr w:rsidR="005A3A66" w:rsidTr="005938FB">
        <w:tc>
          <w:tcPr>
            <w:tcW w:w="3085" w:type="dxa"/>
          </w:tcPr>
          <w:p w:rsidR="005A3A66" w:rsidRPr="00315D7D" w:rsidRDefault="005A3A66" w:rsidP="005938FB">
            <w:r w:rsidRPr="00315D7D">
              <w:t>Oils, Hydrocarbons, Emulsions</w:t>
            </w:r>
          </w:p>
        </w:tc>
        <w:tc>
          <w:tcPr>
            <w:tcW w:w="5636" w:type="dxa"/>
          </w:tcPr>
          <w:p w:rsidR="005A3A66" w:rsidRPr="005D7967" w:rsidRDefault="005A3A66" w:rsidP="005938FB">
            <w:r w:rsidRPr="005D7967">
              <w:t>Waste tarry residues arising from refining, distillation, and any pyrolytic treatment</w:t>
            </w:r>
          </w:p>
        </w:tc>
      </w:tr>
      <w:tr w:rsidR="005A3A66" w:rsidTr="005938FB">
        <w:tc>
          <w:tcPr>
            <w:tcW w:w="3085" w:type="dxa"/>
          </w:tcPr>
          <w:p w:rsidR="005A3A66" w:rsidRPr="00315D7D" w:rsidRDefault="005A3A66" w:rsidP="005938FB">
            <w:r w:rsidRPr="00315D7D">
              <w:t>Putrescible / Organic Wastes</w:t>
            </w:r>
          </w:p>
        </w:tc>
        <w:tc>
          <w:tcPr>
            <w:tcW w:w="5636" w:type="dxa"/>
          </w:tcPr>
          <w:p w:rsidR="005A3A66" w:rsidRPr="005D7967" w:rsidRDefault="005A3A66" w:rsidP="005938FB">
            <w:r w:rsidRPr="005D7967">
              <w:t>Tannery wastes (including leather dust, ash, sludges and flours)</w:t>
            </w:r>
          </w:p>
        </w:tc>
      </w:tr>
      <w:tr w:rsidR="005A3A66" w:rsidTr="005938FB">
        <w:tc>
          <w:tcPr>
            <w:tcW w:w="3085" w:type="dxa"/>
          </w:tcPr>
          <w:p w:rsidR="005A3A66" w:rsidRPr="00315D7D" w:rsidRDefault="005A3A66" w:rsidP="005938FB">
            <w:r w:rsidRPr="00315D7D">
              <w:t>Putrescible / Organic Wastes</w:t>
            </w:r>
          </w:p>
        </w:tc>
        <w:tc>
          <w:tcPr>
            <w:tcW w:w="5636" w:type="dxa"/>
          </w:tcPr>
          <w:p w:rsidR="005A3A66" w:rsidRPr="005D7967" w:rsidRDefault="005A3A66" w:rsidP="005938FB">
            <w:r w:rsidRPr="005D7967">
              <w:t>Wool scouring wastes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Waste substances and articles containing or contaminated with polychlorinated biphenyls, polychlorinated naphthalenes, polychlorinated terphenyls and/or polybrominated biphenyls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Phenols, phenol compounds including chlorophenols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Organo halogen compounds—other than substances referred to in this list</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Polychlorinated dibenzo-furan (any congener)</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Polychlorinated dibenzo-p-dioxin (any congener)</w:t>
            </w:r>
          </w:p>
        </w:tc>
      </w:tr>
      <w:tr w:rsidR="005A3A66" w:rsidTr="005938FB">
        <w:tc>
          <w:tcPr>
            <w:tcW w:w="3085" w:type="dxa"/>
          </w:tcPr>
          <w:p w:rsidR="005A3A66" w:rsidRPr="00315D7D" w:rsidRDefault="005A3A66" w:rsidP="005938FB">
            <w:r w:rsidRPr="00315D7D">
              <w:t>Cyanides</w:t>
            </w:r>
          </w:p>
        </w:tc>
        <w:tc>
          <w:tcPr>
            <w:tcW w:w="5636" w:type="dxa"/>
          </w:tcPr>
          <w:p w:rsidR="005A3A66" w:rsidRPr="005D7967" w:rsidRDefault="005A3A66" w:rsidP="005938FB">
            <w:r w:rsidRPr="005D7967">
              <w:t>Cyanides (organic) / nitriles</w:t>
            </w:r>
          </w:p>
        </w:tc>
      </w:tr>
      <w:tr w:rsidR="005A3A66" w:rsidTr="005938FB">
        <w:tc>
          <w:tcPr>
            <w:tcW w:w="3085" w:type="dxa"/>
          </w:tcPr>
          <w:p w:rsidR="005A3A66" w:rsidRPr="00315D7D" w:rsidRDefault="005A3A66" w:rsidP="005938FB">
            <w:r w:rsidRPr="00315D7D">
              <w:lastRenderedPageBreak/>
              <w:t>Organic Chemicals</w:t>
            </w:r>
          </w:p>
        </w:tc>
        <w:tc>
          <w:tcPr>
            <w:tcW w:w="5636" w:type="dxa"/>
          </w:tcPr>
          <w:p w:rsidR="005A3A66" w:rsidRPr="005D7967" w:rsidRDefault="005A3A66" w:rsidP="005938FB">
            <w:r w:rsidRPr="005D7967">
              <w:t>Isocyanate compounds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Triethylamine catalysts for setting foundry sands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Surface active agents (surfactants), containing principally organic constituents and which may contain metals and inorganic materials</w:t>
            </w:r>
          </w:p>
        </w:tc>
      </w:tr>
      <w:tr w:rsidR="005A3A66" w:rsidTr="005938FB">
        <w:tc>
          <w:tcPr>
            <w:tcW w:w="3085" w:type="dxa"/>
          </w:tcPr>
          <w:p w:rsidR="005A3A66" w:rsidRPr="00315D7D" w:rsidRDefault="005A3A66" w:rsidP="005938FB">
            <w:r w:rsidRPr="00315D7D">
              <w:t>Organic Chemicals</w:t>
            </w:r>
          </w:p>
        </w:tc>
        <w:tc>
          <w:tcPr>
            <w:tcW w:w="5636" w:type="dxa"/>
          </w:tcPr>
          <w:p w:rsidR="005A3A66" w:rsidRPr="005D7967" w:rsidRDefault="005A3A66" w:rsidP="005938FB">
            <w:r w:rsidRPr="005D7967">
              <w:t>Highly odorous organic chemicals (including mercaptans and acrylates)</w:t>
            </w:r>
          </w:p>
        </w:tc>
      </w:tr>
      <w:tr w:rsidR="005A3A66" w:rsidTr="005938FB">
        <w:tc>
          <w:tcPr>
            <w:tcW w:w="3085" w:type="dxa"/>
          </w:tcPr>
          <w:p w:rsidR="005A3A66" w:rsidRPr="00315D7D" w:rsidRDefault="005A3A66" w:rsidP="005938FB">
            <w:r w:rsidRPr="00315D7D">
              <w:t>Solids / Sludges requiring Special Handling</w:t>
            </w:r>
          </w:p>
        </w:tc>
        <w:tc>
          <w:tcPr>
            <w:tcW w:w="5636" w:type="dxa"/>
          </w:tcPr>
          <w:p w:rsidR="005A3A66" w:rsidRPr="005D7967" w:rsidRDefault="005A3A66" w:rsidP="005938FB">
            <w:r w:rsidRPr="005D7967">
              <w:t>Soils contaminated with a controlled waste</w:t>
            </w:r>
          </w:p>
        </w:tc>
      </w:tr>
      <w:tr w:rsidR="005A3A66" w:rsidTr="005938FB">
        <w:tc>
          <w:tcPr>
            <w:tcW w:w="3085" w:type="dxa"/>
          </w:tcPr>
          <w:p w:rsidR="005A3A66" w:rsidRPr="00315D7D" w:rsidRDefault="005A3A66" w:rsidP="005938FB">
            <w:r w:rsidRPr="00315D7D">
              <w:t>Clinical and Pharmaceutical Wastes</w:t>
            </w:r>
          </w:p>
        </w:tc>
        <w:tc>
          <w:tcPr>
            <w:tcW w:w="5636" w:type="dxa"/>
          </w:tcPr>
          <w:p w:rsidR="005A3A66" w:rsidRPr="005D7967" w:rsidRDefault="005A3A66" w:rsidP="005938FB">
            <w:r w:rsidRPr="005D7967">
              <w:t>Clinical and related wastes</w:t>
            </w:r>
          </w:p>
        </w:tc>
      </w:tr>
      <w:tr w:rsidR="005A3A66" w:rsidTr="005938FB">
        <w:tc>
          <w:tcPr>
            <w:tcW w:w="3085" w:type="dxa"/>
          </w:tcPr>
          <w:p w:rsidR="005A3A66" w:rsidRPr="00315D7D" w:rsidRDefault="005A3A66" w:rsidP="005938FB">
            <w:r w:rsidRPr="00315D7D">
              <w:t>Clinical and Pharmaceutical Wastes</w:t>
            </w:r>
          </w:p>
        </w:tc>
        <w:tc>
          <w:tcPr>
            <w:tcW w:w="5636" w:type="dxa"/>
          </w:tcPr>
          <w:p w:rsidR="005A3A66" w:rsidRPr="005D7967" w:rsidRDefault="005A3A66" w:rsidP="005938FB">
            <w:r w:rsidRPr="005D7967">
              <w:t>Waste pharmaceuticals, drugs and medicines</w:t>
            </w:r>
          </w:p>
        </w:tc>
      </w:tr>
      <w:tr w:rsidR="005A3A66" w:rsidTr="005938FB">
        <w:tc>
          <w:tcPr>
            <w:tcW w:w="3085" w:type="dxa"/>
          </w:tcPr>
          <w:p w:rsidR="005A3A66" w:rsidRPr="00315D7D" w:rsidRDefault="005A3A66" w:rsidP="005938FB">
            <w:r w:rsidRPr="00315D7D">
              <w:t>Clinical and Pharmaceutical Wastes</w:t>
            </w:r>
          </w:p>
        </w:tc>
        <w:tc>
          <w:tcPr>
            <w:tcW w:w="5636" w:type="dxa"/>
          </w:tcPr>
          <w:p w:rsidR="005A3A66" w:rsidRPr="005D7967" w:rsidRDefault="005A3A66" w:rsidP="005938FB">
            <w:r w:rsidRPr="005D7967">
              <w:t>Waste from the production and preparation of pharmaceutical products</w:t>
            </w:r>
          </w:p>
        </w:tc>
      </w:tr>
      <w:tr w:rsidR="005A3A66" w:rsidTr="005938FB">
        <w:tc>
          <w:tcPr>
            <w:tcW w:w="3085" w:type="dxa"/>
          </w:tcPr>
          <w:p w:rsidR="005A3A66" w:rsidRPr="00315D7D" w:rsidRDefault="005A3A66" w:rsidP="005938FB">
            <w:r w:rsidRPr="00315D7D">
              <w:t>Miscellaneous</w:t>
            </w:r>
          </w:p>
        </w:tc>
        <w:tc>
          <w:tcPr>
            <w:tcW w:w="5636" w:type="dxa"/>
          </w:tcPr>
          <w:p w:rsidR="005A3A66" w:rsidRPr="005D7967" w:rsidRDefault="005A3A66" w:rsidP="005938FB">
            <w:r w:rsidRPr="005D7967">
              <w:t>Waste chemical substances arising from research and development or teaching activities, including those which are not identified and/or are new and whose effects on human health and/or the environment are not known</w:t>
            </w:r>
          </w:p>
        </w:tc>
      </w:tr>
      <w:tr w:rsidR="005A3A66" w:rsidTr="005938FB">
        <w:tc>
          <w:tcPr>
            <w:tcW w:w="3085" w:type="dxa"/>
          </w:tcPr>
          <w:p w:rsidR="005A3A66" w:rsidRPr="00315D7D" w:rsidRDefault="005A3A66" w:rsidP="005938FB">
            <w:r w:rsidRPr="00315D7D">
              <w:t>Miscellaneous</w:t>
            </w:r>
          </w:p>
        </w:tc>
        <w:tc>
          <w:tcPr>
            <w:tcW w:w="5636" w:type="dxa"/>
          </w:tcPr>
          <w:p w:rsidR="005A3A66" w:rsidRPr="005D7967" w:rsidRDefault="005A3A66" w:rsidP="005938FB">
            <w:r w:rsidRPr="005D7967">
              <w:t>Waste from the production, formulation and use of photographic chemicals and processing materials</w:t>
            </w:r>
          </w:p>
        </w:tc>
      </w:tr>
      <w:tr w:rsidR="005A3A66" w:rsidTr="005938FB">
        <w:tc>
          <w:tcPr>
            <w:tcW w:w="3085" w:type="dxa"/>
          </w:tcPr>
          <w:p w:rsidR="005A3A66" w:rsidRPr="00315D7D" w:rsidRDefault="005A3A66" w:rsidP="005938FB">
            <w:r w:rsidRPr="00315D7D">
              <w:t>Tyres</w:t>
            </w:r>
          </w:p>
        </w:tc>
        <w:tc>
          <w:tcPr>
            <w:tcW w:w="5636" w:type="dxa"/>
          </w:tcPr>
          <w:p w:rsidR="005A3A66" w:rsidRPr="005D7967" w:rsidRDefault="005A3A66" w:rsidP="005938FB">
            <w:r w:rsidRPr="005D7967">
              <w:t>Tyres</w:t>
            </w:r>
          </w:p>
        </w:tc>
      </w:tr>
      <w:tr w:rsidR="005A3A66" w:rsidTr="005938FB">
        <w:tc>
          <w:tcPr>
            <w:tcW w:w="3085" w:type="dxa"/>
          </w:tcPr>
          <w:p w:rsidR="005A3A66" w:rsidRDefault="005A3A66" w:rsidP="005938FB">
            <w:r w:rsidRPr="00315D7D">
              <w:t>Reactive Chemicals</w:t>
            </w:r>
          </w:p>
        </w:tc>
        <w:tc>
          <w:tcPr>
            <w:tcW w:w="5636" w:type="dxa"/>
          </w:tcPr>
          <w:p w:rsidR="005A3A66" w:rsidRDefault="005A3A66" w:rsidP="005938FB">
            <w:r w:rsidRPr="005D7967">
              <w:t>Waste of an explosive nature not subject to other legislation</w:t>
            </w:r>
          </w:p>
        </w:tc>
      </w:tr>
    </w:tbl>
    <w:p w:rsidR="005A3A66" w:rsidRDefault="005A3A66" w:rsidP="005A3A66">
      <w:pPr>
        <w:pStyle w:val="Heading2"/>
      </w:pPr>
      <w:bookmarkStart w:id="27" w:name="_Toc447535933"/>
      <w:bookmarkStart w:id="28" w:name="_Toc450909336"/>
      <w:r>
        <w:t>Identification of thermal facilities</w:t>
      </w:r>
      <w:bookmarkEnd w:id="27"/>
      <w:bookmarkEnd w:id="28"/>
    </w:p>
    <w:p w:rsidR="005A3A66" w:rsidRDefault="005A3A66" w:rsidP="005A3A66">
      <w:pPr>
        <w:pStyle w:val="Body"/>
      </w:pPr>
      <w:r>
        <w:t xml:space="preserve">The thermal waste facilities considered in this study were based on previous assessments completed for the Department. These included clinical waste facilities, recovery facilities and other general hazardous waste sites. From this initial list, the facilities were refined to consider those </w:t>
      </w:r>
      <w:r w:rsidR="006A30DC">
        <w:t>that</w:t>
      </w:r>
      <w:r>
        <w:t xml:space="preserve"> were identified as having capacity for thermal treatment. In addition, other thermal facilities were added to the study, such as cement kilns and smelters.</w:t>
      </w:r>
    </w:p>
    <w:p w:rsidR="005A3A66" w:rsidRDefault="005A3A66" w:rsidP="005A3A66">
      <w:pPr>
        <w:pStyle w:val="Body"/>
      </w:pPr>
      <w:r>
        <w:t>The list of thermal facilities is categorised into the following six types:</w:t>
      </w:r>
    </w:p>
    <w:p w:rsidR="005A3A66" w:rsidRDefault="005A3A66" w:rsidP="005A3A66">
      <w:pPr>
        <w:pStyle w:val="Bullet"/>
      </w:pPr>
      <w:r>
        <w:t>Cement kilns</w:t>
      </w:r>
    </w:p>
    <w:p w:rsidR="005A3A66" w:rsidRDefault="005A3A66" w:rsidP="005A3A66">
      <w:pPr>
        <w:pStyle w:val="Bullet"/>
      </w:pPr>
      <w:r>
        <w:t>Smelters</w:t>
      </w:r>
    </w:p>
    <w:p w:rsidR="005A3A66" w:rsidRDefault="005A3A66" w:rsidP="005A3A66">
      <w:pPr>
        <w:pStyle w:val="Bullet"/>
      </w:pPr>
      <w:r>
        <w:t>Thermal processing plants for contaminated soil waste treatment</w:t>
      </w:r>
    </w:p>
    <w:p w:rsidR="005A3A66" w:rsidRDefault="005A3A66" w:rsidP="005A3A66">
      <w:pPr>
        <w:pStyle w:val="Bullet"/>
      </w:pPr>
      <w:r>
        <w:t>Clinical waste facilities</w:t>
      </w:r>
    </w:p>
    <w:p w:rsidR="005A3A66" w:rsidRDefault="005A3A66" w:rsidP="005A3A66">
      <w:pPr>
        <w:pStyle w:val="Bullet"/>
      </w:pPr>
      <w:r>
        <w:t>Other thermal waste treatment plants</w:t>
      </w:r>
    </w:p>
    <w:p w:rsidR="005A3A66" w:rsidRDefault="006A30DC" w:rsidP="005A3A66">
      <w:pPr>
        <w:pStyle w:val="Bullet"/>
      </w:pPr>
      <w:r>
        <w:t>Mobile plants</w:t>
      </w:r>
    </w:p>
    <w:p w:rsidR="005A3A66" w:rsidRDefault="005A3A66" w:rsidP="005A3A66">
      <w:pPr>
        <w:pStyle w:val="Body"/>
      </w:pPr>
      <w:r>
        <w:t xml:space="preserve">Facilities such as cement kilns and </w:t>
      </w:r>
      <w:r w:rsidR="006A30DC">
        <w:t>smelters</w:t>
      </w:r>
      <w:r>
        <w:t xml:space="preserve"> undertake a thermal process but might not be immediately considered for treatment of waste. It was identified by the Department that such facilities could present ideal locations for thermal waste treatment, for a number of reasons:</w:t>
      </w:r>
    </w:p>
    <w:p w:rsidR="005A3A66" w:rsidRDefault="005A3A66" w:rsidP="005A3A66">
      <w:pPr>
        <w:pStyle w:val="Bullet"/>
      </w:pPr>
      <w:r>
        <w:t>There is a physical capability to undergo treat</w:t>
      </w:r>
      <w:r w:rsidR="006A30DC">
        <w:t>ment at high temperatures</w:t>
      </w:r>
    </w:p>
    <w:p w:rsidR="005A3A66" w:rsidRDefault="005A3A66" w:rsidP="005A3A66">
      <w:pPr>
        <w:pStyle w:val="Bullet"/>
      </w:pPr>
      <w:r>
        <w:t>Facilities have a potential capacity to accept waste given the size of the site and asset components</w:t>
      </w:r>
      <w:r w:rsidR="006A30DC">
        <w:t xml:space="preserve"> that provide a thermal process</w:t>
      </w:r>
    </w:p>
    <w:p w:rsidR="005A3A66" w:rsidRDefault="005A3A66" w:rsidP="005A3A66">
      <w:pPr>
        <w:pStyle w:val="Bullet"/>
      </w:pPr>
      <w:r>
        <w:t>These facilities would already consider and be subject to environmental, health and safety regulations to minimise impact to surroun</w:t>
      </w:r>
      <w:r w:rsidR="006A30DC">
        <w:t>ding environments and receptors</w:t>
      </w:r>
    </w:p>
    <w:p w:rsidR="005A3A66" w:rsidRDefault="005A3A66" w:rsidP="005A3A66">
      <w:pPr>
        <w:pStyle w:val="Bullet"/>
      </w:pPr>
      <w:r>
        <w:lastRenderedPageBreak/>
        <w:t>Using existing facilities is also favourable to selecting a greenfield sit</w:t>
      </w:r>
      <w:r w:rsidR="006A30DC">
        <w:t>e for hazardous waste treatment</w:t>
      </w:r>
    </w:p>
    <w:p w:rsidR="009B5538" w:rsidRDefault="005A3A66" w:rsidP="002B2602">
      <w:pPr>
        <w:pStyle w:val="Body"/>
      </w:pPr>
      <w:r>
        <w:fldChar w:fldCharType="begin"/>
      </w:r>
      <w:r>
        <w:instrText xml:space="preserve"> REF _Ref447298812 \h </w:instrText>
      </w:r>
      <w:r>
        <w:fldChar w:fldCharType="separate"/>
      </w:r>
      <w:r w:rsidR="006225A8">
        <w:t xml:space="preserve">Table </w:t>
      </w:r>
      <w:r w:rsidR="006225A8">
        <w:rPr>
          <w:noProof/>
        </w:rPr>
        <w:t>2</w:t>
      </w:r>
      <w:r>
        <w:fldChar w:fldCharType="end"/>
      </w:r>
      <w:r>
        <w:t xml:space="preserve"> outlines the details of each facility considered in this study. Facilities are also identified in </w:t>
      </w:r>
      <w:r w:rsidR="006D1002">
        <w:fldChar w:fldCharType="begin"/>
      </w:r>
      <w:r w:rsidR="006D1002">
        <w:instrText xml:space="preserve"> REF _Ref450206403 \h </w:instrText>
      </w:r>
      <w:r w:rsidR="006D1002">
        <w:fldChar w:fldCharType="separate"/>
      </w:r>
      <w:r w:rsidR="006225A8">
        <w:t xml:space="preserve">Figure </w:t>
      </w:r>
      <w:r w:rsidR="006225A8">
        <w:rPr>
          <w:noProof/>
        </w:rPr>
        <w:t>1</w:t>
      </w:r>
      <w:r w:rsidR="006D1002">
        <w:fldChar w:fldCharType="end"/>
      </w:r>
      <w:r w:rsidRPr="00FF3975">
        <w:t xml:space="preserve"> to show location, lot on plan number, facility type and whether the site is publically or privately owned. Where the site occupied more than two lots, only one lot is listed on the </w:t>
      </w:r>
      <w:r>
        <w:t>f</w:t>
      </w:r>
      <w:r w:rsidRPr="00FF3975">
        <w:t>igure, with full details</w:t>
      </w:r>
      <w:r>
        <w:t xml:space="preserve"> provided in </w:t>
      </w:r>
      <w:r>
        <w:fldChar w:fldCharType="begin"/>
      </w:r>
      <w:r>
        <w:instrText xml:space="preserve"> REF _Ref447298812 \h </w:instrText>
      </w:r>
      <w:r>
        <w:fldChar w:fldCharType="separate"/>
      </w:r>
      <w:r w:rsidR="006225A8">
        <w:t xml:space="preserve">Table </w:t>
      </w:r>
      <w:r w:rsidR="006225A8">
        <w:rPr>
          <w:noProof/>
        </w:rPr>
        <w:t>2</w:t>
      </w:r>
      <w:r>
        <w:fldChar w:fldCharType="end"/>
      </w:r>
      <w:r>
        <w:t>.</w:t>
      </w:r>
    </w:p>
    <w:p w:rsidR="006D1002" w:rsidRDefault="006D1002" w:rsidP="00A96D94">
      <w:pPr>
        <w:pStyle w:val="Body"/>
      </w:pPr>
      <w:r>
        <w:t xml:space="preserve">By definition, </w:t>
      </w:r>
      <w:r w:rsidR="00A96D94">
        <w:rPr>
          <w:lang w:val="en"/>
        </w:rPr>
        <w:t>a</w:t>
      </w:r>
      <w:r w:rsidR="00A96D94" w:rsidRPr="00A96D94">
        <w:rPr>
          <w:lang w:val="en"/>
        </w:rPr>
        <w:t xml:space="preserve"> private Australian company is not listed on the stock exchange and is not included in the description of Australian public company or cooperative.</w:t>
      </w:r>
      <w:r w:rsidR="00A96D94" w:rsidRPr="00A96D94">
        <w:t xml:space="preserve"> </w:t>
      </w:r>
      <w:r w:rsidR="00A96D94" w:rsidRPr="00A96D94">
        <w:rPr>
          <w:lang w:val="en"/>
        </w:rPr>
        <w:t xml:space="preserve">A </w:t>
      </w:r>
      <w:r w:rsidR="00A96D94">
        <w:rPr>
          <w:lang w:val="en"/>
        </w:rPr>
        <w:t xml:space="preserve">public </w:t>
      </w:r>
      <w:r w:rsidR="00A96D94" w:rsidRPr="00A96D94">
        <w:rPr>
          <w:lang w:val="en"/>
        </w:rPr>
        <w:t xml:space="preserve">company is a non-individual client type. </w:t>
      </w:r>
      <w:r w:rsidR="00A96D94">
        <w:rPr>
          <w:lang w:val="en"/>
        </w:rPr>
        <w:t>A public c</w:t>
      </w:r>
      <w:r w:rsidR="00A96D94" w:rsidRPr="00A96D94">
        <w:rPr>
          <w:lang w:val="en"/>
        </w:rPr>
        <w:t>ompany is defined to include a body corporate and any other unincorporated association or body of persons but does not include a partnership or a non-entity joint venture.</w:t>
      </w:r>
    </w:p>
    <w:p w:rsidR="006D1002" w:rsidRDefault="009B5538" w:rsidP="007975FB">
      <w:pPr>
        <w:pStyle w:val="Body"/>
      </w:pPr>
      <w:r w:rsidRPr="009B5538">
        <w:t>Federal and State &amp; Territory Governments generall</w:t>
      </w:r>
      <w:r>
        <w:t>y have two</w:t>
      </w:r>
      <w:r w:rsidRPr="009B5538">
        <w:t xml:space="preserve"> types of organisations – government departments </w:t>
      </w:r>
      <w:r w:rsidR="006A30DC" w:rsidRPr="009B5538">
        <w:t>that</w:t>
      </w:r>
      <w:r w:rsidRPr="009B5538">
        <w:t xml:space="preserve"> are normally funded through budget appropriations and Corporations/Business </w:t>
      </w:r>
      <w:r w:rsidR="006A30DC" w:rsidRPr="009B5538">
        <w:t>Enterprises, which</w:t>
      </w:r>
      <w:r w:rsidRPr="009B5538">
        <w:t xml:space="preserve"> are more commercial in their operations and funding.</w:t>
      </w:r>
    </w:p>
    <w:p w:rsidR="006D1002" w:rsidRDefault="006D1002" w:rsidP="005A3A66">
      <w:pPr>
        <w:pStyle w:val="Body"/>
      </w:pPr>
    </w:p>
    <w:p w:rsidR="006D1002" w:rsidRDefault="006D1002" w:rsidP="005A3A66">
      <w:pPr>
        <w:pStyle w:val="Body"/>
      </w:pPr>
    </w:p>
    <w:p w:rsidR="005A3A66" w:rsidRDefault="005A3A66" w:rsidP="005A3A66">
      <w:pPr>
        <w:pStyle w:val="Body"/>
        <w:sectPr w:rsidR="005A3A66" w:rsidSect="00E65B15">
          <w:pgSz w:w="11907" w:h="16839" w:code="9"/>
          <w:pgMar w:top="1134" w:right="1134" w:bottom="1134" w:left="1701" w:header="181" w:footer="227" w:gutter="0"/>
          <w:cols w:space="340"/>
          <w:docGrid w:linePitch="360"/>
        </w:sectPr>
      </w:pPr>
    </w:p>
    <w:p w:rsidR="005A3A66" w:rsidRDefault="005A3A66" w:rsidP="005A3A66">
      <w:pPr>
        <w:pStyle w:val="Body"/>
      </w:pPr>
    </w:p>
    <w:p w:rsidR="005A3A66" w:rsidRDefault="005A3A66" w:rsidP="005A3A66">
      <w:pPr>
        <w:pStyle w:val="Caption"/>
      </w:pPr>
      <w:bookmarkStart w:id="29" w:name="_Ref450206403"/>
      <w:bookmarkStart w:id="30" w:name="_Toc447535891"/>
      <w:bookmarkStart w:id="31" w:name="_Toc450909358"/>
      <w:r>
        <w:t xml:space="preserve">Figure </w:t>
      </w:r>
      <w:fldSimple w:instr=" SEQ Figure \* ARABIC ">
        <w:r w:rsidR="006225A8">
          <w:rPr>
            <w:noProof/>
          </w:rPr>
          <w:t>1</w:t>
        </w:r>
      </w:fldSimple>
      <w:bookmarkEnd w:id="29"/>
      <w:r>
        <w:tab/>
        <w:t>Hazardous waste facility locations</w:t>
      </w:r>
      <w:bookmarkEnd w:id="30"/>
      <w:bookmarkEnd w:id="31"/>
    </w:p>
    <w:p w:rsidR="00512448" w:rsidRPr="00512448" w:rsidRDefault="00512448" w:rsidP="00512448">
      <w:pPr>
        <w:pStyle w:val="Body"/>
      </w:pPr>
      <w:r>
        <w:rPr>
          <w:noProof/>
          <w:lang w:eastAsia="en-AU"/>
        </w:rPr>
        <w:drawing>
          <wp:inline distT="0" distB="0" distL="0" distR="0" wp14:anchorId="7DA76897" wp14:editId="1A66E775">
            <wp:extent cx="5760720" cy="4066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4066970"/>
                    </a:xfrm>
                    <a:prstGeom prst="rect">
                      <a:avLst/>
                    </a:prstGeom>
                  </pic:spPr>
                </pic:pic>
              </a:graphicData>
            </a:graphic>
          </wp:inline>
        </w:drawing>
      </w:r>
    </w:p>
    <w:p w:rsidR="00CD52AE" w:rsidRDefault="00CD52AE" w:rsidP="00CD52AE">
      <w:pPr>
        <w:pStyle w:val="Body"/>
      </w:pPr>
    </w:p>
    <w:p w:rsidR="005A3A66" w:rsidRDefault="005A3A66" w:rsidP="005A3A66">
      <w:pPr>
        <w:pStyle w:val="Body"/>
        <w:ind w:left="0"/>
        <w:sectPr w:rsidR="005A3A66" w:rsidSect="00E65B15">
          <w:pgSz w:w="11907" w:h="16839" w:code="9"/>
          <w:pgMar w:top="1134" w:right="1134" w:bottom="1134" w:left="1701" w:header="181" w:footer="227" w:gutter="0"/>
          <w:cols w:space="340"/>
          <w:docGrid w:linePitch="360"/>
        </w:sectPr>
      </w:pPr>
    </w:p>
    <w:p w:rsidR="005A3A66" w:rsidRDefault="005A3A66" w:rsidP="005A3A66">
      <w:pPr>
        <w:pStyle w:val="Caption"/>
      </w:pPr>
      <w:bookmarkStart w:id="32" w:name="_Ref447298812"/>
      <w:bookmarkStart w:id="33" w:name="_Toc447535922"/>
      <w:bookmarkStart w:id="34" w:name="_Toc450909350"/>
      <w:r>
        <w:lastRenderedPageBreak/>
        <w:t xml:space="preserve">Table </w:t>
      </w:r>
      <w:fldSimple w:instr=" SEQ Table \* ARABIC ">
        <w:r w:rsidR="006225A8">
          <w:rPr>
            <w:noProof/>
          </w:rPr>
          <w:t>2</w:t>
        </w:r>
      </w:fldSimple>
      <w:bookmarkEnd w:id="32"/>
      <w:r>
        <w:t xml:space="preserve"> </w:t>
      </w:r>
      <w:r>
        <w:tab/>
        <w:t>Thermal facilities</w:t>
      </w:r>
      <w:r>
        <w:rPr>
          <w:noProof/>
        </w:rPr>
        <w:t xml:space="preserve"> identified for the study</w:t>
      </w:r>
      <w:bookmarkEnd w:id="33"/>
      <w:bookmarkEnd w:id="34"/>
    </w:p>
    <w:tbl>
      <w:tblPr>
        <w:tblStyle w:val="Table-Style3"/>
        <w:tblW w:w="5000" w:type="pct"/>
        <w:tblInd w:w="0" w:type="dxa"/>
        <w:tblLook w:val="04A0" w:firstRow="1" w:lastRow="0" w:firstColumn="1" w:lastColumn="0" w:noHBand="0" w:noVBand="1"/>
      </w:tblPr>
      <w:tblGrid>
        <w:gridCol w:w="2762"/>
        <w:gridCol w:w="3068"/>
        <w:gridCol w:w="2100"/>
        <w:gridCol w:w="3491"/>
        <w:gridCol w:w="3150"/>
      </w:tblGrid>
      <w:tr w:rsidR="005A3A66" w:rsidTr="005938FB">
        <w:trPr>
          <w:cnfStyle w:val="100000000000" w:firstRow="1" w:lastRow="0" w:firstColumn="0" w:lastColumn="0" w:oddVBand="0" w:evenVBand="0" w:oddHBand="0" w:evenHBand="0" w:firstRowFirstColumn="0" w:firstRowLastColumn="0" w:lastRowFirstColumn="0" w:lastRowLastColumn="0"/>
          <w:tblHeader/>
        </w:trPr>
        <w:tc>
          <w:tcPr>
            <w:tcW w:w="947" w:type="pct"/>
          </w:tcPr>
          <w:p w:rsidR="005A3A66" w:rsidRDefault="005A3A66" w:rsidP="005938FB">
            <w:pPr>
              <w:pStyle w:val="Body"/>
              <w:ind w:left="0"/>
            </w:pPr>
            <w:r>
              <w:t>Facility Name</w:t>
            </w:r>
          </w:p>
        </w:tc>
        <w:tc>
          <w:tcPr>
            <w:tcW w:w="1053" w:type="pct"/>
          </w:tcPr>
          <w:p w:rsidR="005A3A66" w:rsidRDefault="005A3A66" w:rsidP="005938FB">
            <w:pPr>
              <w:pStyle w:val="Body"/>
              <w:ind w:left="0"/>
            </w:pPr>
            <w:r>
              <w:t>Facility Address</w:t>
            </w:r>
          </w:p>
        </w:tc>
        <w:tc>
          <w:tcPr>
            <w:tcW w:w="721" w:type="pct"/>
          </w:tcPr>
          <w:p w:rsidR="005A3A66" w:rsidRDefault="005A3A66" w:rsidP="005938FB">
            <w:pPr>
              <w:pStyle w:val="Body"/>
              <w:ind w:left="0"/>
            </w:pPr>
            <w:r>
              <w:t>Facility Type</w:t>
            </w:r>
          </w:p>
        </w:tc>
        <w:tc>
          <w:tcPr>
            <w:tcW w:w="1198" w:type="pct"/>
          </w:tcPr>
          <w:p w:rsidR="005A3A66" w:rsidRDefault="005A3A66" w:rsidP="005938FB">
            <w:pPr>
              <w:pStyle w:val="Body"/>
              <w:ind w:left="0"/>
            </w:pPr>
            <w:r>
              <w:t>Lot on Plan</w:t>
            </w:r>
          </w:p>
        </w:tc>
        <w:tc>
          <w:tcPr>
            <w:tcW w:w="1081" w:type="pct"/>
          </w:tcPr>
          <w:p w:rsidR="005A3A66" w:rsidRDefault="005A3A66" w:rsidP="005938FB">
            <w:pPr>
              <w:pStyle w:val="Body"/>
              <w:ind w:left="0"/>
            </w:pPr>
            <w:r>
              <w:t>Registered Owner</w:t>
            </w:r>
          </w:p>
        </w:tc>
      </w:tr>
      <w:tr w:rsidR="005A3A66" w:rsidTr="005938FB">
        <w:tc>
          <w:tcPr>
            <w:tcW w:w="947" w:type="pct"/>
          </w:tcPr>
          <w:p w:rsidR="005A3A66" w:rsidRPr="003B1319" w:rsidRDefault="005A3A66" w:rsidP="005938FB">
            <w:r w:rsidRPr="003B1319">
              <w:t>Ace Waste</w:t>
            </w:r>
          </w:p>
        </w:tc>
        <w:tc>
          <w:tcPr>
            <w:tcW w:w="1053" w:type="pct"/>
          </w:tcPr>
          <w:p w:rsidR="005A3A66" w:rsidRPr="00C707BD" w:rsidRDefault="005A3A66" w:rsidP="005938FB">
            <w:r w:rsidRPr="00C707BD">
              <w:t>64-68 Ordish Road, Dandenong  South VIC 3175</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t>2\LP75557, 1\PS539785</w:t>
            </w:r>
          </w:p>
        </w:tc>
        <w:tc>
          <w:tcPr>
            <w:tcW w:w="1081" w:type="pct"/>
          </w:tcPr>
          <w:p w:rsidR="005A3A66" w:rsidRPr="00171362" w:rsidRDefault="00A96D94" w:rsidP="005938FB">
            <w:r w:rsidRPr="002B2602">
              <w:rPr>
                <w:rFonts w:cs="Arial"/>
                <w:szCs w:val="20"/>
              </w:rPr>
              <w:t>Private - ACE WASTE PTY. LTD.</w:t>
            </w:r>
          </w:p>
        </w:tc>
      </w:tr>
      <w:tr w:rsidR="005A3A66" w:rsidTr="005938FB">
        <w:tc>
          <w:tcPr>
            <w:tcW w:w="947" w:type="pct"/>
          </w:tcPr>
          <w:p w:rsidR="005A3A66" w:rsidRPr="003B1319" w:rsidRDefault="005A3A66" w:rsidP="005938FB">
            <w:r w:rsidRPr="003B1319">
              <w:t xml:space="preserve">Ace Waste </w:t>
            </w:r>
          </w:p>
        </w:tc>
        <w:tc>
          <w:tcPr>
            <w:tcW w:w="1053" w:type="pct"/>
          </w:tcPr>
          <w:p w:rsidR="005A3A66" w:rsidRPr="00C707BD" w:rsidRDefault="005A3A66" w:rsidP="005938FB">
            <w:r w:rsidRPr="00C707BD">
              <w:t>491 Gooderham Road, Willawong QLD 4110</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rsidRPr="00531CF3">
              <w:t>1/RP89286</w:t>
            </w:r>
          </w:p>
        </w:tc>
        <w:tc>
          <w:tcPr>
            <w:tcW w:w="1081" w:type="pct"/>
          </w:tcPr>
          <w:p w:rsidR="005A3A66" w:rsidRPr="00076248" w:rsidRDefault="005A3A66" w:rsidP="005938FB">
            <w:r w:rsidRPr="00076248">
              <w:t>Private - ACE PROPERTY HOLDINGS PTY LTD</w:t>
            </w:r>
          </w:p>
        </w:tc>
      </w:tr>
      <w:tr w:rsidR="005A3A66" w:rsidTr="005938FB">
        <w:tc>
          <w:tcPr>
            <w:tcW w:w="947" w:type="pct"/>
          </w:tcPr>
          <w:p w:rsidR="005A3A66" w:rsidRPr="003B1319" w:rsidRDefault="005A3A66" w:rsidP="005938FB">
            <w:r w:rsidRPr="003B1319">
              <w:t>Adelaide Brighton Cement Plant</w:t>
            </w:r>
          </w:p>
        </w:tc>
        <w:tc>
          <w:tcPr>
            <w:tcW w:w="1053" w:type="pct"/>
          </w:tcPr>
          <w:p w:rsidR="005A3A66" w:rsidRPr="00C707BD" w:rsidRDefault="005A3A66" w:rsidP="005938FB">
            <w:r w:rsidRPr="00C707BD">
              <w:t>62 Elder Road, Birkenhead SA 5015</w:t>
            </w:r>
          </w:p>
        </w:tc>
        <w:tc>
          <w:tcPr>
            <w:tcW w:w="721" w:type="pct"/>
          </w:tcPr>
          <w:p w:rsidR="005A3A66" w:rsidRPr="00F04C5E" w:rsidRDefault="005A3A66" w:rsidP="005938FB">
            <w:r w:rsidRPr="00F04C5E">
              <w:t>Cement kiln</w:t>
            </w:r>
          </w:p>
        </w:tc>
        <w:tc>
          <w:tcPr>
            <w:tcW w:w="1198" w:type="pct"/>
          </w:tcPr>
          <w:p w:rsidR="005A3A66" w:rsidRPr="00444B8A" w:rsidRDefault="005A3A66" w:rsidP="005938FB">
            <w:r w:rsidRPr="00444B8A">
              <w:t>D86398AL40</w:t>
            </w:r>
          </w:p>
        </w:tc>
        <w:tc>
          <w:tcPr>
            <w:tcW w:w="1081" w:type="pct"/>
          </w:tcPr>
          <w:p w:rsidR="005A3A66" w:rsidRPr="00171362" w:rsidRDefault="00A96D94" w:rsidP="005938FB">
            <w:r w:rsidRPr="002B2602">
              <w:rPr>
                <w:rFonts w:cs="Arial"/>
                <w:szCs w:val="20"/>
              </w:rPr>
              <w:t xml:space="preserve">Public - </w:t>
            </w:r>
            <w:r w:rsidR="009B5538" w:rsidRPr="002B2602">
              <w:rPr>
                <w:rFonts w:cs="Arial"/>
                <w:szCs w:val="20"/>
              </w:rPr>
              <w:t>ADELAIDE BRIGHTON CEMENT LIMITED</w:t>
            </w:r>
          </w:p>
        </w:tc>
      </w:tr>
      <w:tr w:rsidR="005A3A66" w:rsidTr="005938FB">
        <w:tc>
          <w:tcPr>
            <w:tcW w:w="947" w:type="pct"/>
          </w:tcPr>
          <w:p w:rsidR="005A3A66" w:rsidRPr="003B1319" w:rsidRDefault="005A3A66" w:rsidP="005938FB">
            <w:r w:rsidRPr="003B1319">
              <w:t>Adelaide Brighton Cement Plant</w:t>
            </w:r>
          </w:p>
        </w:tc>
        <w:tc>
          <w:tcPr>
            <w:tcW w:w="1053" w:type="pct"/>
          </w:tcPr>
          <w:p w:rsidR="005A3A66" w:rsidRPr="00C707BD" w:rsidRDefault="005A3A66" w:rsidP="005938FB">
            <w:r w:rsidRPr="00C707BD">
              <w:t>Stockwell Road, Angaston SA 5353</w:t>
            </w:r>
          </w:p>
        </w:tc>
        <w:tc>
          <w:tcPr>
            <w:tcW w:w="721" w:type="pct"/>
          </w:tcPr>
          <w:p w:rsidR="005A3A66" w:rsidRPr="00F04C5E" w:rsidRDefault="005A3A66" w:rsidP="005938FB">
            <w:r w:rsidRPr="00F04C5E">
              <w:t>Cement kiln</w:t>
            </w:r>
          </w:p>
        </w:tc>
        <w:tc>
          <w:tcPr>
            <w:tcW w:w="1198" w:type="pct"/>
          </w:tcPr>
          <w:p w:rsidR="005A3A66" w:rsidRDefault="005A3A66" w:rsidP="005938FB">
            <w:r w:rsidRPr="00444B8A">
              <w:t>D69516QP4</w:t>
            </w:r>
          </w:p>
        </w:tc>
        <w:tc>
          <w:tcPr>
            <w:tcW w:w="1081" w:type="pct"/>
          </w:tcPr>
          <w:p w:rsidR="005A3A66" w:rsidRPr="00171362" w:rsidRDefault="00A96D94" w:rsidP="005938FB">
            <w:r w:rsidRPr="002B2602">
              <w:rPr>
                <w:rFonts w:cs="Arial"/>
                <w:szCs w:val="20"/>
              </w:rPr>
              <w:t>Public - ADELAIDE BRIGHTON CEMENT LIMITED</w:t>
            </w:r>
          </w:p>
        </w:tc>
      </w:tr>
      <w:tr w:rsidR="005A3A66" w:rsidTr="005938FB">
        <w:tc>
          <w:tcPr>
            <w:tcW w:w="947" w:type="pct"/>
          </w:tcPr>
          <w:p w:rsidR="005A3A66" w:rsidRPr="003B1319" w:rsidRDefault="005A3A66" w:rsidP="005938FB">
            <w:r w:rsidRPr="003B1319">
              <w:t>Boral Cement Plant</w:t>
            </w:r>
          </w:p>
        </w:tc>
        <w:tc>
          <w:tcPr>
            <w:tcW w:w="1053" w:type="pct"/>
          </w:tcPr>
          <w:p w:rsidR="005A3A66" w:rsidRPr="00C707BD" w:rsidRDefault="005A3A66" w:rsidP="005938FB">
            <w:r w:rsidRPr="00C707BD">
              <w:t>Taylor Avenue, New Berrima NSW 2577</w:t>
            </w:r>
          </w:p>
        </w:tc>
        <w:tc>
          <w:tcPr>
            <w:tcW w:w="721" w:type="pct"/>
          </w:tcPr>
          <w:p w:rsidR="005A3A66" w:rsidRPr="00F04C5E" w:rsidRDefault="005A3A66" w:rsidP="005938FB">
            <w:r w:rsidRPr="00F04C5E">
              <w:t>Cement kiln</w:t>
            </w:r>
          </w:p>
        </w:tc>
        <w:tc>
          <w:tcPr>
            <w:tcW w:w="1198" w:type="pct"/>
          </w:tcPr>
          <w:p w:rsidR="005A3A66" w:rsidRPr="001C4662" w:rsidRDefault="005A3A66" w:rsidP="005938FB">
            <w:r>
              <w:t>1//DP1022632, 1//DP1017008, 1//DP582277, 2//DP774598</w:t>
            </w:r>
          </w:p>
        </w:tc>
        <w:tc>
          <w:tcPr>
            <w:tcW w:w="1081" w:type="pct"/>
          </w:tcPr>
          <w:p w:rsidR="005A3A66" w:rsidRPr="00076248" w:rsidRDefault="005A3A66" w:rsidP="005938FB">
            <w:r w:rsidRPr="00076248">
              <w:t>Private - BORAL LTD</w:t>
            </w:r>
          </w:p>
        </w:tc>
      </w:tr>
      <w:tr w:rsidR="005A3A66" w:rsidTr="005938FB">
        <w:tc>
          <w:tcPr>
            <w:tcW w:w="947" w:type="pct"/>
          </w:tcPr>
          <w:p w:rsidR="005A3A66" w:rsidRPr="003B1319" w:rsidRDefault="005A3A66" w:rsidP="005938FB">
            <w:r w:rsidRPr="003B1319">
              <w:t>Cement Australia Cement Plant</w:t>
            </w:r>
          </w:p>
        </w:tc>
        <w:tc>
          <w:tcPr>
            <w:tcW w:w="1053" w:type="pct"/>
          </w:tcPr>
          <w:p w:rsidR="005A3A66" w:rsidRPr="00C707BD" w:rsidRDefault="005A3A66" w:rsidP="005938FB">
            <w:r w:rsidRPr="00C707BD">
              <w:t>Landing Road, Fishermans Landing, Gladstone QLD 4680</w:t>
            </w:r>
          </w:p>
        </w:tc>
        <w:tc>
          <w:tcPr>
            <w:tcW w:w="721" w:type="pct"/>
          </w:tcPr>
          <w:p w:rsidR="005A3A66" w:rsidRPr="00F04C5E" w:rsidRDefault="005A3A66" w:rsidP="005938FB">
            <w:r w:rsidRPr="00F04C5E">
              <w:t>Cement kiln</w:t>
            </w:r>
          </w:p>
        </w:tc>
        <w:tc>
          <w:tcPr>
            <w:tcW w:w="1198" w:type="pct"/>
          </w:tcPr>
          <w:p w:rsidR="005A3A66" w:rsidRPr="001C4662" w:rsidRDefault="005A3A66" w:rsidP="005938FB">
            <w:r>
              <w:t>101/SP224189, 102/SP224189, 1/RP614356</w:t>
            </w:r>
          </w:p>
        </w:tc>
        <w:tc>
          <w:tcPr>
            <w:tcW w:w="1081" w:type="pct"/>
          </w:tcPr>
          <w:p w:rsidR="005A3A66" w:rsidRPr="00076248" w:rsidRDefault="005A3A66" w:rsidP="005938FB">
            <w:r w:rsidRPr="00076248">
              <w:t>Private - CEMENT AUSTRALIA (QUEENSLAND) PTY LIMITED</w:t>
            </w:r>
          </w:p>
        </w:tc>
      </w:tr>
      <w:tr w:rsidR="005A3A66" w:rsidTr="005938FB">
        <w:tc>
          <w:tcPr>
            <w:tcW w:w="947" w:type="pct"/>
          </w:tcPr>
          <w:p w:rsidR="005A3A66" w:rsidRPr="003B1319" w:rsidRDefault="005A3A66" w:rsidP="005938FB">
            <w:r w:rsidRPr="003B1319">
              <w:t>Cement Australia Cement Plant</w:t>
            </w:r>
          </w:p>
        </w:tc>
        <w:tc>
          <w:tcPr>
            <w:tcW w:w="1053" w:type="pct"/>
          </w:tcPr>
          <w:p w:rsidR="005A3A66" w:rsidRPr="00C707BD" w:rsidRDefault="005A3A66" w:rsidP="005938FB">
            <w:r w:rsidRPr="00C707BD">
              <w:t>Cement Works Road, Railton TAS 7305</w:t>
            </w:r>
          </w:p>
        </w:tc>
        <w:tc>
          <w:tcPr>
            <w:tcW w:w="721" w:type="pct"/>
          </w:tcPr>
          <w:p w:rsidR="005A3A66" w:rsidRPr="00F04C5E" w:rsidRDefault="005A3A66" w:rsidP="005938FB">
            <w:r w:rsidRPr="00F04C5E">
              <w:t>Cement kiln</w:t>
            </w:r>
          </w:p>
        </w:tc>
        <w:tc>
          <w:tcPr>
            <w:tcW w:w="1198" w:type="pct"/>
          </w:tcPr>
          <w:p w:rsidR="005A3A66" w:rsidRPr="001C4662" w:rsidRDefault="005A3A66" w:rsidP="005938FB">
            <w:r>
              <w:t>138574/1, 163664/1, 163664/2, 163664/3, 163664/4, 163665/5, 163665/6, 163665/7, 163666/1</w:t>
            </w:r>
          </w:p>
        </w:tc>
        <w:tc>
          <w:tcPr>
            <w:tcW w:w="1081" w:type="pct"/>
          </w:tcPr>
          <w:p w:rsidR="005A3A66" w:rsidRPr="00076248" w:rsidRDefault="005A3A66" w:rsidP="005938FB">
            <w:r w:rsidRPr="00076248">
              <w:t>Private - CEMENT AUSTRALIA (GOLIATH) PTY LTD</w:t>
            </w:r>
          </w:p>
        </w:tc>
      </w:tr>
      <w:tr w:rsidR="005A3A66" w:rsidTr="005938FB">
        <w:tc>
          <w:tcPr>
            <w:tcW w:w="947" w:type="pct"/>
          </w:tcPr>
          <w:p w:rsidR="005A3A66" w:rsidRPr="003B1319" w:rsidRDefault="005A3A66" w:rsidP="005938FB">
            <w:r w:rsidRPr="003B1319">
              <w:t>Geocycle</w:t>
            </w:r>
          </w:p>
        </w:tc>
        <w:tc>
          <w:tcPr>
            <w:tcW w:w="1053" w:type="pct"/>
          </w:tcPr>
          <w:p w:rsidR="005A3A66" w:rsidRPr="00C707BD" w:rsidRDefault="005A3A66" w:rsidP="005938FB">
            <w:r w:rsidRPr="00C707BD">
              <w:t>92 Ordish Road, Dandenong  VIC 3175</w:t>
            </w:r>
          </w:p>
        </w:tc>
        <w:tc>
          <w:tcPr>
            <w:tcW w:w="721" w:type="pct"/>
          </w:tcPr>
          <w:p w:rsidR="005A3A66" w:rsidRPr="00F04C5E" w:rsidRDefault="005A3A66" w:rsidP="005938FB">
            <w:r w:rsidRPr="00F04C5E">
              <w:t>Other thermal waste treatment</w:t>
            </w:r>
          </w:p>
        </w:tc>
        <w:tc>
          <w:tcPr>
            <w:tcW w:w="1198" w:type="pct"/>
          </w:tcPr>
          <w:p w:rsidR="005A3A66" w:rsidRPr="001C4662" w:rsidRDefault="005A3A66" w:rsidP="005938FB">
            <w:r>
              <w:t>Unit 1 - 1\PS336586, Unit 2 - 2\PS336586</w:t>
            </w:r>
          </w:p>
        </w:tc>
        <w:tc>
          <w:tcPr>
            <w:tcW w:w="1081" w:type="pct"/>
          </w:tcPr>
          <w:p w:rsidR="005A3A66" w:rsidRPr="00076248" w:rsidRDefault="00A96D94" w:rsidP="005938FB">
            <w:r>
              <w:t xml:space="preserve">Private - </w:t>
            </w:r>
            <w:r w:rsidRPr="00A96D94">
              <w:t>GEOCYCLE PTY LTD</w:t>
            </w:r>
          </w:p>
        </w:tc>
      </w:tr>
      <w:tr w:rsidR="005A3A66" w:rsidTr="005938FB">
        <w:tc>
          <w:tcPr>
            <w:tcW w:w="947" w:type="pct"/>
          </w:tcPr>
          <w:p w:rsidR="005A3A66" w:rsidRPr="003B1319" w:rsidRDefault="005A3A66" w:rsidP="005938FB">
            <w:r w:rsidRPr="003B1319">
              <w:t>Glencore Mt Isa Smelter</w:t>
            </w:r>
          </w:p>
        </w:tc>
        <w:tc>
          <w:tcPr>
            <w:tcW w:w="1053" w:type="pct"/>
          </w:tcPr>
          <w:p w:rsidR="005A3A66" w:rsidRPr="00C707BD" w:rsidRDefault="005A3A66" w:rsidP="005938FB">
            <w:r w:rsidRPr="00C707BD">
              <w:t>Hilton Mine Barkly Highway, Mt Isa QLD 4825</w:t>
            </w:r>
          </w:p>
        </w:tc>
        <w:tc>
          <w:tcPr>
            <w:tcW w:w="721" w:type="pct"/>
          </w:tcPr>
          <w:p w:rsidR="005A3A66" w:rsidRPr="00F04C5E" w:rsidRDefault="005A3A66" w:rsidP="005938FB">
            <w:r w:rsidRPr="00F04C5E">
              <w:t>Smelter</w:t>
            </w:r>
          </w:p>
        </w:tc>
        <w:tc>
          <w:tcPr>
            <w:tcW w:w="1198" w:type="pct"/>
          </w:tcPr>
          <w:p w:rsidR="005A3A66" w:rsidRPr="00411351" w:rsidRDefault="005A3A66" w:rsidP="005938FB">
            <w:r w:rsidRPr="00411351">
              <w:t>7/SP128450</w:t>
            </w:r>
          </w:p>
        </w:tc>
        <w:tc>
          <w:tcPr>
            <w:tcW w:w="1081" w:type="pct"/>
          </w:tcPr>
          <w:p w:rsidR="005A3A66" w:rsidRPr="00076248" w:rsidRDefault="005A3A66" w:rsidP="005938FB">
            <w:r w:rsidRPr="00076248">
              <w:t>Public - STATE OF QLD (DNRM)</w:t>
            </w:r>
          </w:p>
        </w:tc>
      </w:tr>
      <w:tr w:rsidR="005A3A66" w:rsidTr="005938FB">
        <w:tc>
          <w:tcPr>
            <w:tcW w:w="947" w:type="pct"/>
          </w:tcPr>
          <w:p w:rsidR="005A3A66" w:rsidRPr="003B1319" w:rsidRDefault="005A3A66" w:rsidP="005938FB">
            <w:r w:rsidRPr="003B1319">
              <w:t xml:space="preserve">Hydromet </w:t>
            </w:r>
          </w:p>
        </w:tc>
        <w:tc>
          <w:tcPr>
            <w:tcW w:w="1053" w:type="pct"/>
          </w:tcPr>
          <w:p w:rsidR="005A3A66" w:rsidRPr="00C707BD" w:rsidRDefault="005A3A66" w:rsidP="005938FB">
            <w:r w:rsidRPr="00C707BD">
              <w:t>201 Five Islands Road, Unanderra  NSW 2526</w:t>
            </w:r>
          </w:p>
        </w:tc>
        <w:tc>
          <w:tcPr>
            <w:tcW w:w="721" w:type="pct"/>
          </w:tcPr>
          <w:p w:rsidR="005A3A66" w:rsidRPr="00F04C5E" w:rsidRDefault="005A3A66" w:rsidP="005938FB">
            <w:r w:rsidRPr="00F04C5E">
              <w:t>Other thermal waste treatment</w:t>
            </w:r>
          </w:p>
        </w:tc>
        <w:tc>
          <w:tcPr>
            <w:tcW w:w="1198" w:type="pct"/>
          </w:tcPr>
          <w:p w:rsidR="005A3A66" w:rsidRPr="00411351" w:rsidRDefault="005A3A66" w:rsidP="005938FB">
            <w:r w:rsidRPr="00411351">
              <w:t>3//DP259921</w:t>
            </w:r>
          </w:p>
        </w:tc>
        <w:tc>
          <w:tcPr>
            <w:tcW w:w="1081" w:type="pct"/>
          </w:tcPr>
          <w:p w:rsidR="005A3A66" w:rsidRPr="00076248" w:rsidRDefault="005A3A66" w:rsidP="005938FB">
            <w:r w:rsidRPr="00076248">
              <w:t>Private - HYDROMET CORPORATION PTY LTD</w:t>
            </w:r>
          </w:p>
        </w:tc>
      </w:tr>
      <w:tr w:rsidR="005A3A66" w:rsidTr="005938FB">
        <w:tc>
          <w:tcPr>
            <w:tcW w:w="947" w:type="pct"/>
          </w:tcPr>
          <w:p w:rsidR="005A3A66" w:rsidRPr="003B1319" w:rsidRDefault="005A3A66" w:rsidP="005938FB">
            <w:r w:rsidRPr="003B1319">
              <w:t>Hydromet Laverton</w:t>
            </w:r>
          </w:p>
        </w:tc>
        <w:tc>
          <w:tcPr>
            <w:tcW w:w="1053" w:type="pct"/>
          </w:tcPr>
          <w:p w:rsidR="005A3A66" w:rsidRPr="00C707BD" w:rsidRDefault="005A3A66" w:rsidP="005938FB">
            <w:r w:rsidRPr="00C707BD">
              <w:t>19 Little Boundary Road, Laverton North  VIC 3026</w:t>
            </w:r>
          </w:p>
        </w:tc>
        <w:tc>
          <w:tcPr>
            <w:tcW w:w="721" w:type="pct"/>
          </w:tcPr>
          <w:p w:rsidR="005A3A66" w:rsidRPr="00F04C5E" w:rsidRDefault="005A3A66" w:rsidP="005938FB">
            <w:r w:rsidRPr="00F04C5E">
              <w:t>Other thermal waste treatment</w:t>
            </w:r>
          </w:p>
        </w:tc>
        <w:tc>
          <w:tcPr>
            <w:tcW w:w="1198" w:type="pct"/>
          </w:tcPr>
          <w:p w:rsidR="005A3A66" w:rsidRDefault="005A3A66" w:rsidP="005938FB">
            <w:r w:rsidRPr="00411351">
              <w:t>1\LP203443</w:t>
            </w:r>
          </w:p>
        </w:tc>
        <w:tc>
          <w:tcPr>
            <w:tcW w:w="1081" w:type="pct"/>
          </w:tcPr>
          <w:p w:rsidR="005A3A66" w:rsidRPr="00076248" w:rsidRDefault="005A3A66" w:rsidP="005938FB">
            <w:r>
              <w:t>Not available</w:t>
            </w:r>
          </w:p>
        </w:tc>
      </w:tr>
      <w:tr w:rsidR="005A3A66" w:rsidTr="005938FB">
        <w:tc>
          <w:tcPr>
            <w:tcW w:w="947" w:type="pct"/>
          </w:tcPr>
          <w:p w:rsidR="005A3A66" w:rsidRPr="003B1319" w:rsidRDefault="005A3A66" w:rsidP="005938FB">
            <w:r w:rsidRPr="003B1319">
              <w:t>Hydromet Tomago</w:t>
            </w:r>
          </w:p>
        </w:tc>
        <w:tc>
          <w:tcPr>
            <w:tcW w:w="1053" w:type="pct"/>
          </w:tcPr>
          <w:p w:rsidR="005A3A66" w:rsidRPr="00C707BD" w:rsidRDefault="005A3A66" w:rsidP="005938FB">
            <w:r w:rsidRPr="00C707BD">
              <w:t>25 School Drive, Tomago NSW 2322</w:t>
            </w:r>
          </w:p>
        </w:tc>
        <w:tc>
          <w:tcPr>
            <w:tcW w:w="721" w:type="pct"/>
          </w:tcPr>
          <w:p w:rsidR="005A3A66" w:rsidRPr="00F04C5E" w:rsidRDefault="005A3A66" w:rsidP="005938FB">
            <w:r w:rsidRPr="00F04C5E">
              <w:t>Other thermal waste treatment</w:t>
            </w:r>
          </w:p>
        </w:tc>
        <w:tc>
          <w:tcPr>
            <w:tcW w:w="1198" w:type="pct"/>
          </w:tcPr>
          <w:p w:rsidR="005A3A66" w:rsidRPr="001C4662" w:rsidRDefault="005A3A66" w:rsidP="005938FB">
            <w:r>
              <w:t>1411//DP582135, 2//DP813672</w:t>
            </w:r>
          </w:p>
        </w:tc>
        <w:tc>
          <w:tcPr>
            <w:tcW w:w="1081" w:type="pct"/>
          </w:tcPr>
          <w:p w:rsidR="005A3A66" w:rsidRPr="00076248" w:rsidRDefault="005A3A66" w:rsidP="005938FB">
            <w:r w:rsidRPr="00076248">
              <w:t>Private - HYDROMET CORPORATION PTY LTD</w:t>
            </w:r>
          </w:p>
        </w:tc>
      </w:tr>
      <w:tr w:rsidR="005A3A66" w:rsidTr="005938FB">
        <w:tc>
          <w:tcPr>
            <w:tcW w:w="947" w:type="pct"/>
          </w:tcPr>
          <w:p w:rsidR="005A3A66" w:rsidRPr="003B1319" w:rsidRDefault="005A3A66" w:rsidP="005938FB">
            <w:r w:rsidRPr="003B1319">
              <w:t>JJ Richards Autoclave</w:t>
            </w:r>
          </w:p>
        </w:tc>
        <w:tc>
          <w:tcPr>
            <w:tcW w:w="1053" w:type="pct"/>
          </w:tcPr>
          <w:p w:rsidR="005A3A66" w:rsidRPr="00C707BD" w:rsidRDefault="005A3A66" w:rsidP="005938FB">
            <w:r w:rsidRPr="00C707BD">
              <w:t>638 Ingham Road, Bohle QLD 4818</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t>14/SP202746, 15/SP202746</w:t>
            </w:r>
          </w:p>
        </w:tc>
        <w:tc>
          <w:tcPr>
            <w:tcW w:w="1081" w:type="pct"/>
          </w:tcPr>
          <w:p w:rsidR="005A3A66" w:rsidRPr="00076248" w:rsidRDefault="005A3A66" w:rsidP="005938FB">
            <w:r w:rsidRPr="00076248">
              <w:t>Private - JJ RICHARDS &amp; SONS PTY LTD</w:t>
            </w:r>
          </w:p>
        </w:tc>
      </w:tr>
      <w:tr w:rsidR="005A3A66" w:rsidTr="005938FB">
        <w:tc>
          <w:tcPr>
            <w:tcW w:w="947" w:type="pct"/>
          </w:tcPr>
          <w:p w:rsidR="005A3A66" w:rsidRPr="003B1319" w:rsidRDefault="005A3A66" w:rsidP="005938FB">
            <w:r w:rsidRPr="003B1319">
              <w:t>Sun Metals Zinc Refinery</w:t>
            </w:r>
          </w:p>
        </w:tc>
        <w:tc>
          <w:tcPr>
            <w:tcW w:w="1053" w:type="pct"/>
          </w:tcPr>
          <w:p w:rsidR="005A3A66" w:rsidRPr="00C707BD" w:rsidRDefault="005A3A66" w:rsidP="005938FB">
            <w:r w:rsidRPr="00C707BD">
              <w:t>60 Zinc Road, Stuart QLD 4811</w:t>
            </w:r>
          </w:p>
        </w:tc>
        <w:tc>
          <w:tcPr>
            <w:tcW w:w="721" w:type="pct"/>
          </w:tcPr>
          <w:p w:rsidR="005A3A66" w:rsidRPr="00F04C5E" w:rsidRDefault="005A3A66" w:rsidP="005938FB">
            <w:r w:rsidRPr="00F04C5E">
              <w:t>Smelter</w:t>
            </w:r>
          </w:p>
        </w:tc>
        <w:tc>
          <w:tcPr>
            <w:tcW w:w="1198" w:type="pct"/>
          </w:tcPr>
          <w:p w:rsidR="005A3A66" w:rsidRPr="001C4662" w:rsidRDefault="005A3A66" w:rsidP="005938FB">
            <w:r w:rsidRPr="00531CF3">
              <w:t>42/CP905700</w:t>
            </w:r>
          </w:p>
        </w:tc>
        <w:tc>
          <w:tcPr>
            <w:tcW w:w="1081" w:type="pct"/>
          </w:tcPr>
          <w:p w:rsidR="005A3A66" w:rsidRPr="00076248" w:rsidRDefault="005A3A66" w:rsidP="005938FB">
            <w:r w:rsidRPr="00076248">
              <w:t>Private - SUN METALS CORPORATION PTY LTD</w:t>
            </w:r>
          </w:p>
        </w:tc>
      </w:tr>
      <w:tr w:rsidR="005A3A66" w:rsidTr="005938FB">
        <w:trPr>
          <w:cantSplit/>
        </w:trPr>
        <w:tc>
          <w:tcPr>
            <w:tcW w:w="947" w:type="pct"/>
          </w:tcPr>
          <w:p w:rsidR="005A3A66" w:rsidRPr="003B1319" w:rsidRDefault="005A3A66" w:rsidP="005938FB">
            <w:r w:rsidRPr="003B1319">
              <w:lastRenderedPageBreak/>
              <w:t>Nyrstar Risdon Works Hobart</w:t>
            </w:r>
          </w:p>
        </w:tc>
        <w:tc>
          <w:tcPr>
            <w:tcW w:w="1053" w:type="pct"/>
          </w:tcPr>
          <w:p w:rsidR="005A3A66" w:rsidRPr="00C707BD" w:rsidRDefault="005A3A66" w:rsidP="005938FB">
            <w:r w:rsidRPr="00C707BD">
              <w:t>Risdon Road, Lutana TAS 7009</w:t>
            </w:r>
          </w:p>
        </w:tc>
        <w:tc>
          <w:tcPr>
            <w:tcW w:w="721" w:type="pct"/>
          </w:tcPr>
          <w:p w:rsidR="005A3A66" w:rsidRPr="00F04C5E" w:rsidRDefault="005A3A66" w:rsidP="005938FB">
            <w:r w:rsidRPr="00F04C5E">
              <w:t>Smelter</w:t>
            </w:r>
          </w:p>
        </w:tc>
        <w:tc>
          <w:tcPr>
            <w:tcW w:w="1198" w:type="pct"/>
          </w:tcPr>
          <w:p w:rsidR="005A3A66" w:rsidRPr="001C4662" w:rsidRDefault="005A3A66" w:rsidP="005938FB">
            <w:r>
              <w:t>149974/1, 127361/1, 127360/1, 148502/1, 30/7889, 199803/10, 205469/1, 198280/1, 123530/1, 198336/1, 226629/1, 123531/1, 123532/1, 128862/1, 168677/1, 168677/2, 245094/1, 12592/1</w:t>
            </w:r>
          </w:p>
        </w:tc>
        <w:tc>
          <w:tcPr>
            <w:tcW w:w="1081" w:type="pct"/>
          </w:tcPr>
          <w:p w:rsidR="005A3A66" w:rsidRPr="00076248" w:rsidRDefault="005A3A66" w:rsidP="005938FB">
            <w:r w:rsidRPr="00076248">
              <w:t>Private - NYRSTAR HOBART PTY LTD</w:t>
            </w:r>
          </w:p>
        </w:tc>
      </w:tr>
      <w:tr w:rsidR="005A3A66" w:rsidRPr="002026D9" w:rsidTr="005938FB">
        <w:tc>
          <w:tcPr>
            <w:tcW w:w="947" w:type="pct"/>
          </w:tcPr>
          <w:p w:rsidR="005A3A66" w:rsidRPr="003B1319" w:rsidRDefault="005A3A66" w:rsidP="005938FB">
            <w:r w:rsidRPr="003B1319">
              <w:t>NYRSTAR, Port Pirie</w:t>
            </w:r>
          </w:p>
        </w:tc>
        <w:tc>
          <w:tcPr>
            <w:tcW w:w="1053" w:type="pct"/>
          </w:tcPr>
          <w:p w:rsidR="005A3A66" w:rsidRPr="00531CF3" w:rsidRDefault="005A3A66" w:rsidP="005938FB">
            <w:pPr>
              <w:rPr>
                <w:lang w:val="fr-FR"/>
              </w:rPr>
            </w:pPr>
            <w:r w:rsidRPr="00531CF3">
              <w:rPr>
                <w:lang w:val="fr-FR"/>
              </w:rPr>
              <w:t>Ellen Street, Port Pirie SA 5540</w:t>
            </w:r>
          </w:p>
        </w:tc>
        <w:tc>
          <w:tcPr>
            <w:tcW w:w="721" w:type="pct"/>
          </w:tcPr>
          <w:p w:rsidR="005A3A66" w:rsidRPr="00F04C5E" w:rsidRDefault="005A3A66" w:rsidP="005938FB">
            <w:r w:rsidRPr="00F04C5E">
              <w:t>Smelter</w:t>
            </w:r>
          </w:p>
        </w:tc>
        <w:tc>
          <w:tcPr>
            <w:tcW w:w="1198" w:type="pct"/>
          </w:tcPr>
          <w:p w:rsidR="005A3A66" w:rsidRPr="001C4662" w:rsidRDefault="005A3A66" w:rsidP="005938FB">
            <w:r>
              <w:t>D76999AL503, D57808AL201, F11180AL1, D12528AL50, F213879AL93, F213879AL94, F213879AL95, F213879AL96, D67822QP307, H241000SE1145, D23903AL2, D24051AL10, H241000SE638, H241000SE637</w:t>
            </w:r>
          </w:p>
        </w:tc>
        <w:tc>
          <w:tcPr>
            <w:tcW w:w="1081" w:type="pct"/>
          </w:tcPr>
          <w:p w:rsidR="005A3A66" w:rsidRPr="001032D7" w:rsidRDefault="005A3A66" w:rsidP="005938FB">
            <w:pPr>
              <w:rPr>
                <w:lang w:val="fr-FR"/>
              </w:rPr>
            </w:pPr>
            <w:r w:rsidRPr="001032D7">
              <w:rPr>
                <w:lang w:val="fr-FR"/>
              </w:rPr>
              <w:t>Private - NYRSTAR PORT PIRIE PTY LTD</w:t>
            </w:r>
          </w:p>
        </w:tc>
      </w:tr>
      <w:tr w:rsidR="005A3A66" w:rsidTr="005938FB">
        <w:tc>
          <w:tcPr>
            <w:tcW w:w="947" w:type="pct"/>
          </w:tcPr>
          <w:p w:rsidR="005A3A66" w:rsidRPr="003B1319" w:rsidRDefault="005A3A66" w:rsidP="005938FB">
            <w:r w:rsidRPr="003B1319">
              <w:t>Regain Services Spent Pot</w:t>
            </w:r>
            <w:r>
              <w:t xml:space="preserve"> L</w:t>
            </w:r>
            <w:r w:rsidRPr="003B1319">
              <w:t>ining Reprocessing Facility</w:t>
            </w:r>
          </w:p>
        </w:tc>
        <w:tc>
          <w:tcPr>
            <w:tcW w:w="1053" w:type="pct"/>
          </w:tcPr>
          <w:p w:rsidR="005A3A66" w:rsidRPr="00C707BD" w:rsidRDefault="005A3A66" w:rsidP="005938FB">
            <w:r w:rsidRPr="00C707BD">
              <w:t>638 Tomago Road, Tomago NSW 2322</w:t>
            </w:r>
          </w:p>
        </w:tc>
        <w:tc>
          <w:tcPr>
            <w:tcW w:w="721" w:type="pct"/>
          </w:tcPr>
          <w:p w:rsidR="005A3A66" w:rsidRPr="00F04C5E" w:rsidRDefault="005A3A66" w:rsidP="005938FB">
            <w:r w:rsidRPr="00F04C5E">
              <w:t>Other thermal waste treatment</w:t>
            </w:r>
          </w:p>
        </w:tc>
        <w:tc>
          <w:tcPr>
            <w:tcW w:w="1198" w:type="pct"/>
          </w:tcPr>
          <w:p w:rsidR="005A3A66" w:rsidRPr="001C4662" w:rsidRDefault="005A3A66" w:rsidP="005938FB">
            <w:r>
              <w:t>3//DP808004, 104//DP1125747</w:t>
            </w:r>
          </w:p>
        </w:tc>
        <w:tc>
          <w:tcPr>
            <w:tcW w:w="1081" w:type="pct"/>
          </w:tcPr>
          <w:p w:rsidR="005A3A66" w:rsidRPr="00076248" w:rsidRDefault="005A3A66" w:rsidP="005938FB">
            <w:r w:rsidRPr="00076248">
              <w:t>Private - MACQUARIE GENERATION</w:t>
            </w:r>
          </w:p>
        </w:tc>
      </w:tr>
      <w:tr w:rsidR="005A3A66" w:rsidTr="005938FB">
        <w:tc>
          <w:tcPr>
            <w:tcW w:w="947" w:type="pct"/>
          </w:tcPr>
          <w:p w:rsidR="005A3A66" w:rsidRPr="003B1319" w:rsidRDefault="005A3A66" w:rsidP="005938FB">
            <w:r w:rsidRPr="003B1319">
              <w:t>Regain Services Spent Pot</w:t>
            </w:r>
            <w:r>
              <w:t xml:space="preserve"> L</w:t>
            </w:r>
            <w:r w:rsidRPr="003B1319">
              <w:t>ining Reprocessing Facility (Alcoa Smelter)</w:t>
            </w:r>
          </w:p>
        </w:tc>
        <w:tc>
          <w:tcPr>
            <w:tcW w:w="1053" w:type="pct"/>
          </w:tcPr>
          <w:p w:rsidR="005A3A66" w:rsidRPr="00C707BD" w:rsidRDefault="005A3A66" w:rsidP="005938FB">
            <w:r w:rsidRPr="00C707BD">
              <w:t>420-430 Point Henry Road, Moolap VIC 3224</w:t>
            </w:r>
          </w:p>
        </w:tc>
        <w:tc>
          <w:tcPr>
            <w:tcW w:w="721" w:type="pct"/>
          </w:tcPr>
          <w:p w:rsidR="005A3A66" w:rsidRPr="00F04C5E" w:rsidRDefault="005A3A66" w:rsidP="005938FB">
            <w:r w:rsidRPr="00F04C5E">
              <w:t>Other thermal waste treatment</w:t>
            </w:r>
          </w:p>
        </w:tc>
        <w:tc>
          <w:tcPr>
            <w:tcW w:w="1198" w:type="pct"/>
          </w:tcPr>
          <w:p w:rsidR="005A3A66" w:rsidRDefault="005A3A66" w:rsidP="005938FB">
            <w:r>
              <w:t>68 parcels listed</w:t>
            </w:r>
          </w:p>
          <w:p w:rsidR="005A3A66" w:rsidRPr="001C4662" w:rsidRDefault="005A3A66" w:rsidP="005938FB">
            <w:r>
              <w:t>8/LP30969 identified in Figure</w:t>
            </w:r>
          </w:p>
        </w:tc>
        <w:tc>
          <w:tcPr>
            <w:tcW w:w="1081" w:type="pct"/>
          </w:tcPr>
          <w:p w:rsidR="005A3A66" w:rsidRPr="00076248" w:rsidRDefault="00A96D94" w:rsidP="005938FB">
            <w:r>
              <w:t xml:space="preserve">Private - </w:t>
            </w:r>
            <w:r w:rsidRPr="00A96D94">
              <w:t>REGAIN SERVICES PTY LTD</w:t>
            </w:r>
          </w:p>
        </w:tc>
      </w:tr>
      <w:tr w:rsidR="005A3A66" w:rsidTr="005938FB">
        <w:tc>
          <w:tcPr>
            <w:tcW w:w="947" w:type="pct"/>
          </w:tcPr>
          <w:p w:rsidR="005A3A66" w:rsidRPr="003B1319" w:rsidRDefault="005A3A66" w:rsidP="005938FB">
            <w:r w:rsidRPr="003B1319">
              <w:t>Renewed Metal Technologies</w:t>
            </w:r>
          </w:p>
        </w:tc>
        <w:tc>
          <w:tcPr>
            <w:tcW w:w="1053" w:type="pct"/>
          </w:tcPr>
          <w:p w:rsidR="005A3A66" w:rsidRPr="00C707BD" w:rsidRDefault="005A3A66" w:rsidP="005938FB">
            <w:r w:rsidRPr="00C707BD">
              <w:t>509 Byrnes Road, Bomen NSW 2650</w:t>
            </w:r>
          </w:p>
        </w:tc>
        <w:tc>
          <w:tcPr>
            <w:tcW w:w="721" w:type="pct"/>
          </w:tcPr>
          <w:p w:rsidR="005A3A66" w:rsidRPr="00F04C5E" w:rsidRDefault="005A3A66" w:rsidP="005938FB">
            <w:r w:rsidRPr="00F04C5E">
              <w:t>Smelter</w:t>
            </w:r>
          </w:p>
        </w:tc>
        <w:tc>
          <w:tcPr>
            <w:tcW w:w="1198" w:type="pct"/>
          </w:tcPr>
          <w:p w:rsidR="005A3A66" w:rsidRPr="00CD423F" w:rsidRDefault="005A3A66" w:rsidP="005938FB">
            <w:r w:rsidRPr="00CD423F">
              <w:t>21//DP1128492</w:t>
            </w:r>
          </w:p>
        </w:tc>
        <w:tc>
          <w:tcPr>
            <w:tcW w:w="1081" w:type="pct"/>
          </w:tcPr>
          <w:p w:rsidR="005A3A66" w:rsidRPr="00076248" w:rsidRDefault="005A3A66" w:rsidP="005938FB">
            <w:r w:rsidRPr="00076248">
              <w:t>Private - RENEWED METAL TECHNOLOGIES PTY LTD</w:t>
            </w:r>
          </w:p>
        </w:tc>
      </w:tr>
      <w:tr w:rsidR="005A3A66" w:rsidTr="005938FB">
        <w:tc>
          <w:tcPr>
            <w:tcW w:w="947" w:type="pct"/>
          </w:tcPr>
          <w:p w:rsidR="005A3A66" w:rsidRPr="003B1319" w:rsidRDefault="005A3A66" w:rsidP="005938FB">
            <w:r w:rsidRPr="003B1319">
              <w:t>Renex</w:t>
            </w:r>
          </w:p>
        </w:tc>
        <w:tc>
          <w:tcPr>
            <w:tcW w:w="1053" w:type="pct"/>
          </w:tcPr>
          <w:p w:rsidR="005A3A66" w:rsidRPr="00C707BD" w:rsidRDefault="005A3A66" w:rsidP="005938FB">
            <w:r w:rsidRPr="00C707BD">
              <w:t>109-131 Ordish Road, Dandenong South VIC 3175</w:t>
            </w:r>
          </w:p>
        </w:tc>
        <w:tc>
          <w:tcPr>
            <w:tcW w:w="721" w:type="pct"/>
          </w:tcPr>
          <w:p w:rsidR="005A3A66" w:rsidRPr="00F04C5E" w:rsidRDefault="005A3A66" w:rsidP="005938FB">
            <w:r w:rsidRPr="00F04C5E">
              <w:t>Thermal processing soil waste treatment</w:t>
            </w:r>
          </w:p>
        </w:tc>
        <w:tc>
          <w:tcPr>
            <w:tcW w:w="1198" w:type="pct"/>
          </w:tcPr>
          <w:p w:rsidR="005A3A66" w:rsidRPr="00CD423F" w:rsidRDefault="005A3A66" w:rsidP="005938FB">
            <w:r w:rsidRPr="00CD423F">
              <w:t>1\PS630152</w:t>
            </w:r>
          </w:p>
        </w:tc>
        <w:tc>
          <w:tcPr>
            <w:tcW w:w="1081" w:type="pct"/>
          </w:tcPr>
          <w:p w:rsidR="005A3A66" w:rsidRPr="00076248" w:rsidRDefault="005A3A66" w:rsidP="005938FB">
            <w:r>
              <w:t>Not available</w:t>
            </w:r>
          </w:p>
        </w:tc>
      </w:tr>
      <w:tr w:rsidR="005A3A66" w:rsidTr="005938FB">
        <w:tc>
          <w:tcPr>
            <w:tcW w:w="947" w:type="pct"/>
          </w:tcPr>
          <w:p w:rsidR="005A3A66" w:rsidRPr="003B1319" w:rsidRDefault="005A3A66" w:rsidP="005938FB">
            <w:r w:rsidRPr="003B1319">
              <w:t xml:space="preserve">SITA Camellia Resource Recovery &amp; Treatment Facility </w:t>
            </w:r>
          </w:p>
        </w:tc>
        <w:tc>
          <w:tcPr>
            <w:tcW w:w="1053" w:type="pct"/>
          </w:tcPr>
          <w:p w:rsidR="005A3A66" w:rsidRPr="00C707BD" w:rsidRDefault="005A3A66" w:rsidP="005938FB">
            <w:r w:rsidRPr="00C707BD">
              <w:t>Grand Avenue (opp Thackeray Street), Camellia NSW 2142</w:t>
            </w:r>
          </w:p>
        </w:tc>
        <w:tc>
          <w:tcPr>
            <w:tcW w:w="721" w:type="pct"/>
          </w:tcPr>
          <w:p w:rsidR="005A3A66" w:rsidRPr="00F04C5E" w:rsidRDefault="005A3A66" w:rsidP="005938FB">
            <w:r w:rsidRPr="00F04C5E">
              <w:t>Clinical waste facility</w:t>
            </w:r>
          </w:p>
        </w:tc>
        <w:tc>
          <w:tcPr>
            <w:tcW w:w="1198" w:type="pct"/>
          </w:tcPr>
          <w:p w:rsidR="005A3A66" w:rsidRPr="00CD423F" w:rsidRDefault="005A3A66" w:rsidP="005938FB">
            <w:r w:rsidRPr="00CD423F">
              <w:t>101//DP809340</w:t>
            </w:r>
          </w:p>
        </w:tc>
        <w:tc>
          <w:tcPr>
            <w:tcW w:w="1081" w:type="pct"/>
          </w:tcPr>
          <w:p w:rsidR="005A3A66" w:rsidRPr="00076248" w:rsidRDefault="005A3A66" w:rsidP="005938FB">
            <w:r w:rsidRPr="00076248">
              <w:t>Private - SHELL REFINING (AUSTRALIA) PTY LTD</w:t>
            </w:r>
          </w:p>
        </w:tc>
      </w:tr>
      <w:tr w:rsidR="005A3A66" w:rsidTr="005938FB">
        <w:tc>
          <w:tcPr>
            <w:tcW w:w="947" w:type="pct"/>
          </w:tcPr>
          <w:p w:rsidR="005A3A66" w:rsidRPr="003B1319" w:rsidRDefault="005A3A66" w:rsidP="005938FB">
            <w:r w:rsidRPr="003B1319">
              <w:t>SITA Wingfield Resource Recovery Centre</w:t>
            </w:r>
          </w:p>
        </w:tc>
        <w:tc>
          <w:tcPr>
            <w:tcW w:w="1053" w:type="pct"/>
          </w:tcPr>
          <w:p w:rsidR="005A3A66" w:rsidRPr="00C707BD" w:rsidRDefault="005A3A66" w:rsidP="005938FB">
            <w:r w:rsidRPr="00C707BD">
              <w:t>34-38 Bowyer Road, Wingfield SA 5013</w:t>
            </w:r>
          </w:p>
        </w:tc>
        <w:tc>
          <w:tcPr>
            <w:tcW w:w="721" w:type="pct"/>
          </w:tcPr>
          <w:p w:rsidR="005A3A66" w:rsidRPr="00F04C5E" w:rsidRDefault="005A3A66" w:rsidP="005938FB">
            <w:r w:rsidRPr="00F04C5E">
              <w:t>Clinical waste facility</w:t>
            </w:r>
          </w:p>
        </w:tc>
        <w:tc>
          <w:tcPr>
            <w:tcW w:w="1198" w:type="pct"/>
          </w:tcPr>
          <w:p w:rsidR="005A3A66" w:rsidRPr="00CD423F" w:rsidRDefault="005A3A66" w:rsidP="005938FB">
            <w:r w:rsidRPr="00CD423F">
              <w:t>H105800SE953</w:t>
            </w:r>
          </w:p>
        </w:tc>
        <w:tc>
          <w:tcPr>
            <w:tcW w:w="1081" w:type="pct"/>
          </w:tcPr>
          <w:p w:rsidR="005A3A66" w:rsidRPr="00076248" w:rsidRDefault="005A3A66" w:rsidP="005938FB">
            <w:r w:rsidRPr="00076248">
              <w:t>Private - DEPALMA ESTATES PTY LTD</w:t>
            </w:r>
          </w:p>
        </w:tc>
      </w:tr>
      <w:tr w:rsidR="005A3A66" w:rsidTr="005938FB">
        <w:tc>
          <w:tcPr>
            <w:tcW w:w="947" w:type="pct"/>
          </w:tcPr>
          <w:p w:rsidR="005A3A66" w:rsidRPr="003B1319" w:rsidRDefault="005A3A66" w:rsidP="005938FB">
            <w:r w:rsidRPr="003B1319">
              <w:t>SITA-MediCollect</w:t>
            </w:r>
          </w:p>
        </w:tc>
        <w:tc>
          <w:tcPr>
            <w:tcW w:w="1053" w:type="pct"/>
          </w:tcPr>
          <w:p w:rsidR="005A3A66" w:rsidRPr="00C707BD" w:rsidRDefault="005A3A66" w:rsidP="005938FB">
            <w:r w:rsidRPr="00C707BD">
              <w:t>1 Felspar Street, Welshpool  WA 6106</w:t>
            </w:r>
          </w:p>
        </w:tc>
        <w:tc>
          <w:tcPr>
            <w:tcW w:w="721" w:type="pct"/>
          </w:tcPr>
          <w:p w:rsidR="005A3A66" w:rsidRPr="00F04C5E" w:rsidRDefault="005A3A66" w:rsidP="005938FB">
            <w:r w:rsidRPr="00F04C5E">
              <w:t>Clinical waste facility</w:t>
            </w:r>
          </w:p>
        </w:tc>
        <w:tc>
          <w:tcPr>
            <w:tcW w:w="1198" w:type="pct"/>
          </w:tcPr>
          <w:p w:rsidR="005A3A66" w:rsidRPr="00CD423F" w:rsidRDefault="005A3A66" w:rsidP="005938FB">
            <w:r w:rsidRPr="00CD423F">
              <w:t>9/D014206</w:t>
            </w:r>
          </w:p>
        </w:tc>
        <w:tc>
          <w:tcPr>
            <w:tcW w:w="1081" w:type="pct"/>
          </w:tcPr>
          <w:p w:rsidR="005A3A66" w:rsidRPr="00076248" w:rsidRDefault="005A3A66" w:rsidP="005938FB">
            <w:r w:rsidRPr="00076248">
              <w:t>Private - FRANCIS STEPHENSON</w:t>
            </w:r>
          </w:p>
        </w:tc>
      </w:tr>
      <w:tr w:rsidR="005A3A66" w:rsidTr="005938FB">
        <w:tc>
          <w:tcPr>
            <w:tcW w:w="947" w:type="pct"/>
          </w:tcPr>
          <w:p w:rsidR="005A3A66" w:rsidRPr="003B1319" w:rsidRDefault="005A3A66" w:rsidP="005938FB">
            <w:r w:rsidRPr="003B1319">
              <w:t>State Waste Services (NSW)</w:t>
            </w:r>
          </w:p>
        </w:tc>
        <w:tc>
          <w:tcPr>
            <w:tcW w:w="1053" w:type="pct"/>
          </w:tcPr>
          <w:p w:rsidR="005A3A66" w:rsidRPr="00C707BD" w:rsidRDefault="005A3A66" w:rsidP="005938FB">
            <w:r w:rsidRPr="00C707BD">
              <w:t>9 Kenoma Place, Arndell Park NSW 2148</w:t>
            </w:r>
          </w:p>
        </w:tc>
        <w:tc>
          <w:tcPr>
            <w:tcW w:w="721" w:type="pct"/>
          </w:tcPr>
          <w:p w:rsidR="005A3A66" w:rsidRPr="00F04C5E" w:rsidRDefault="005A3A66" w:rsidP="005938FB">
            <w:r w:rsidRPr="00F04C5E">
              <w:t>Clinical waste facility</w:t>
            </w:r>
          </w:p>
        </w:tc>
        <w:tc>
          <w:tcPr>
            <w:tcW w:w="1198" w:type="pct"/>
          </w:tcPr>
          <w:p w:rsidR="005A3A66" w:rsidRDefault="005A3A66" w:rsidP="005938FB">
            <w:r w:rsidRPr="00CD423F">
              <w:t>14//DP786328</w:t>
            </w:r>
          </w:p>
        </w:tc>
        <w:tc>
          <w:tcPr>
            <w:tcW w:w="1081" w:type="pct"/>
          </w:tcPr>
          <w:p w:rsidR="005A3A66" w:rsidRPr="00076248" w:rsidRDefault="005A3A66" w:rsidP="005938FB">
            <w:r w:rsidRPr="00076248">
              <w:t>Private - C &amp; S LINEY PROPERTY NOMINEES PTY LTD</w:t>
            </w:r>
          </w:p>
        </w:tc>
      </w:tr>
      <w:tr w:rsidR="005A3A66" w:rsidTr="005938FB">
        <w:trPr>
          <w:cantSplit/>
        </w:trPr>
        <w:tc>
          <w:tcPr>
            <w:tcW w:w="947" w:type="pct"/>
          </w:tcPr>
          <w:p w:rsidR="005A3A66" w:rsidRPr="003B1319" w:rsidRDefault="005A3A66" w:rsidP="005938FB">
            <w:r w:rsidRPr="003B1319">
              <w:t>SteriHealth ACT Customer Centre &amp; Autoclave Facility</w:t>
            </w:r>
          </w:p>
        </w:tc>
        <w:tc>
          <w:tcPr>
            <w:tcW w:w="1053" w:type="pct"/>
          </w:tcPr>
          <w:p w:rsidR="005A3A66" w:rsidRPr="00C707BD" w:rsidRDefault="005A3A66" w:rsidP="005938FB">
            <w:r w:rsidRPr="00C707BD">
              <w:t>9 Sandford St, Mitchell ACT 2911</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t>AP99, POL4172, X13466, DP5340</w:t>
            </w:r>
          </w:p>
        </w:tc>
        <w:tc>
          <w:tcPr>
            <w:tcW w:w="1081" w:type="pct"/>
          </w:tcPr>
          <w:p w:rsidR="005A3A66" w:rsidRPr="00076248" w:rsidRDefault="005A3A66" w:rsidP="005938FB">
            <w:r>
              <w:t>Not available</w:t>
            </w:r>
          </w:p>
        </w:tc>
      </w:tr>
      <w:tr w:rsidR="005A3A66" w:rsidTr="005938FB">
        <w:tc>
          <w:tcPr>
            <w:tcW w:w="947" w:type="pct"/>
          </w:tcPr>
          <w:p w:rsidR="005A3A66" w:rsidRPr="003B1319" w:rsidRDefault="005A3A66" w:rsidP="005938FB">
            <w:r w:rsidRPr="003B1319">
              <w:lastRenderedPageBreak/>
              <w:t>SteriHealth Laverton Incineration Facility</w:t>
            </w:r>
          </w:p>
        </w:tc>
        <w:tc>
          <w:tcPr>
            <w:tcW w:w="1053" w:type="pct"/>
          </w:tcPr>
          <w:p w:rsidR="005A3A66" w:rsidRPr="00C707BD" w:rsidRDefault="005A3A66" w:rsidP="005938FB">
            <w:r w:rsidRPr="00C707BD">
              <w:t>110 Dohertys Rd, Laverton North  VIC 3026</w:t>
            </w:r>
          </w:p>
        </w:tc>
        <w:tc>
          <w:tcPr>
            <w:tcW w:w="721" w:type="pct"/>
          </w:tcPr>
          <w:p w:rsidR="005A3A66" w:rsidRPr="00F04C5E" w:rsidRDefault="005A3A66" w:rsidP="005938FB">
            <w:r w:rsidRPr="00F04C5E">
              <w:t>Clinical waste facility</w:t>
            </w:r>
          </w:p>
        </w:tc>
        <w:tc>
          <w:tcPr>
            <w:tcW w:w="1198" w:type="pct"/>
          </w:tcPr>
          <w:p w:rsidR="005A3A66" w:rsidRPr="00A909CC" w:rsidRDefault="005A3A66" w:rsidP="005938FB">
            <w:r w:rsidRPr="00A909CC">
              <w:t>1\PS729155</w:t>
            </w:r>
          </w:p>
        </w:tc>
        <w:tc>
          <w:tcPr>
            <w:tcW w:w="1081" w:type="pct"/>
          </w:tcPr>
          <w:p w:rsidR="005A3A66" w:rsidRPr="00076248" w:rsidRDefault="007F0CC2" w:rsidP="005938FB">
            <w:r w:rsidRPr="007F0CC2">
              <w:t>Private - DANIELS HEALTH NSW PTY LTD</w:t>
            </w:r>
          </w:p>
        </w:tc>
      </w:tr>
      <w:tr w:rsidR="005A3A66" w:rsidTr="005938FB">
        <w:tc>
          <w:tcPr>
            <w:tcW w:w="947" w:type="pct"/>
          </w:tcPr>
          <w:p w:rsidR="005A3A66" w:rsidRPr="003B1319" w:rsidRDefault="005A3A66" w:rsidP="005938FB">
            <w:r w:rsidRPr="003B1319">
              <w:t>SteriHealth NSW Customer Centre, Matrix &amp; Incineration Facility</w:t>
            </w:r>
          </w:p>
        </w:tc>
        <w:tc>
          <w:tcPr>
            <w:tcW w:w="1053" w:type="pct"/>
          </w:tcPr>
          <w:p w:rsidR="005A3A66" w:rsidRPr="00C707BD" w:rsidRDefault="005A3A66" w:rsidP="005938FB">
            <w:r w:rsidRPr="00C707BD">
              <w:t>2 Wiblin St, Silverwater NSW  2128</w:t>
            </w:r>
          </w:p>
        </w:tc>
        <w:tc>
          <w:tcPr>
            <w:tcW w:w="721" w:type="pct"/>
          </w:tcPr>
          <w:p w:rsidR="005A3A66" w:rsidRPr="00F04C5E" w:rsidRDefault="005A3A66" w:rsidP="005938FB">
            <w:r w:rsidRPr="00F04C5E">
              <w:t>Clinical waste facility</w:t>
            </w:r>
          </w:p>
        </w:tc>
        <w:tc>
          <w:tcPr>
            <w:tcW w:w="1198" w:type="pct"/>
          </w:tcPr>
          <w:p w:rsidR="005A3A66" w:rsidRPr="00A909CC" w:rsidRDefault="005A3A66" w:rsidP="005938FB">
            <w:r w:rsidRPr="00A909CC">
              <w:t>100//DP624346</w:t>
            </w:r>
          </w:p>
        </w:tc>
        <w:tc>
          <w:tcPr>
            <w:tcW w:w="1081" w:type="pct"/>
          </w:tcPr>
          <w:p w:rsidR="005A3A66" w:rsidRPr="00076248" w:rsidRDefault="005A3A66" w:rsidP="005938FB">
            <w:r w:rsidRPr="00076248">
              <w:t xml:space="preserve">Private - </w:t>
            </w:r>
            <w:r w:rsidR="007F0CC2" w:rsidRPr="007F0CC2">
              <w:t>DANIELS HEALTH NSW PTY LTD</w:t>
            </w:r>
          </w:p>
        </w:tc>
      </w:tr>
      <w:tr w:rsidR="005A3A66" w:rsidTr="005938FB">
        <w:tc>
          <w:tcPr>
            <w:tcW w:w="947" w:type="pct"/>
          </w:tcPr>
          <w:p w:rsidR="005A3A66" w:rsidRPr="003B1319" w:rsidRDefault="005A3A66" w:rsidP="005938FB">
            <w:r w:rsidRPr="003B1319">
              <w:t>SteriHealth Queensland Customer Centre &amp; Autoclave Facility</w:t>
            </w:r>
          </w:p>
        </w:tc>
        <w:tc>
          <w:tcPr>
            <w:tcW w:w="1053" w:type="pct"/>
          </w:tcPr>
          <w:p w:rsidR="005A3A66" w:rsidRPr="00C707BD" w:rsidRDefault="005A3A66" w:rsidP="005938FB">
            <w:r w:rsidRPr="00C707BD">
              <w:t>4/63 Burnside Rd, Stapylton QLD 4207</w:t>
            </w:r>
          </w:p>
        </w:tc>
        <w:tc>
          <w:tcPr>
            <w:tcW w:w="721" w:type="pct"/>
          </w:tcPr>
          <w:p w:rsidR="005A3A66" w:rsidRPr="00F04C5E" w:rsidRDefault="005A3A66" w:rsidP="005938FB">
            <w:r w:rsidRPr="00F04C5E">
              <w:t>Clinical waste facility</w:t>
            </w:r>
          </w:p>
        </w:tc>
        <w:tc>
          <w:tcPr>
            <w:tcW w:w="1198" w:type="pct"/>
          </w:tcPr>
          <w:p w:rsidR="005A3A66" w:rsidRPr="00A909CC" w:rsidRDefault="005A3A66" w:rsidP="005938FB">
            <w:r w:rsidRPr="00A909CC">
              <w:t>4/RP839725</w:t>
            </w:r>
          </w:p>
        </w:tc>
        <w:tc>
          <w:tcPr>
            <w:tcW w:w="1081" w:type="pct"/>
          </w:tcPr>
          <w:p w:rsidR="005A3A66" w:rsidRPr="00076248" w:rsidRDefault="007F0CC2" w:rsidP="005938FB">
            <w:r>
              <w:t>Not available</w:t>
            </w:r>
          </w:p>
        </w:tc>
      </w:tr>
      <w:tr w:rsidR="005A3A66" w:rsidTr="005938FB">
        <w:tc>
          <w:tcPr>
            <w:tcW w:w="947" w:type="pct"/>
          </w:tcPr>
          <w:p w:rsidR="005A3A66" w:rsidRPr="003B1319" w:rsidRDefault="005A3A66" w:rsidP="005938FB">
            <w:r w:rsidRPr="003B1319">
              <w:t>SteriHealth WA Customer Centre &amp; Autoclave Facility</w:t>
            </w:r>
          </w:p>
        </w:tc>
        <w:tc>
          <w:tcPr>
            <w:tcW w:w="1053" w:type="pct"/>
          </w:tcPr>
          <w:p w:rsidR="005A3A66" w:rsidRPr="00C707BD" w:rsidRDefault="005A3A66" w:rsidP="005938FB">
            <w:r w:rsidRPr="00C707BD">
              <w:t>19 Coolibah Way, Bibra Lake WA 6163</w:t>
            </w:r>
          </w:p>
        </w:tc>
        <w:tc>
          <w:tcPr>
            <w:tcW w:w="721" w:type="pct"/>
          </w:tcPr>
          <w:p w:rsidR="005A3A66" w:rsidRPr="00F04C5E" w:rsidRDefault="005A3A66" w:rsidP="005938FB">
            <w:r w:rsidRPr="00F04C5E">
              <w:t>Clinical waste facility</w:t>
            </w:r>
          </w:p>
        </w:tc>
        <w:tc>
          <w:tcPr>
            <w:tcW w:w="1198" w:type="pct"/>
          </w:tcPr>
          <w:p w:rsidR="005A3A66" w:rsidRPr="00A909CC" w:rsidRDefault="005A3A66" w:rsidP="005938FB">
            <w:r w:rsidRPr="00A909CC">
              <w:t>164/P017339</w:t>
            </w:r>
          </w:p>
        </w:tc>
        <w:tc>
          <w:tcPr>
            <w:tcW w:w="1081" w:type="pct"/>
          </w:tcPr>
          <w:p w:rsidR="005A3A66" w:rsidRPr="00076248" w:rsidRDefault="005A3A66" w:rsidP="005938FB">
            <w:r w:rsidRPr="00076248">
              <w:t>Private - FOTI SUPER SERVICES PTY LTD</w:t>
            </w:r>
          </w:p>
        </w:tc>
      </w:tr>
      <w:tr w:rsidR="005A3A66" w:rsidTr="005938FB">
        <w:tc>
          <w:tcPr>
            <w:tcW w:w="947" w:type="pct"/>
          </w:tcPr>
          <w:p w:rsidR="005A3A66" w:rsidRPr="003B1319" w:rsidRDefault="005A3A66" w:rsidP="005938FB">
            <w:r w:rsidRPr="003B1319">
              <w:t>Toxfree Hazardous Waste Site Port Hedland</w:t>
            </w:r>
          </w:p>
        </w:tc>
        <w:tc>
          <w:tcPr>
            <w:tcW w:w="1053" w:type="pct"/>
          </w:tcPr>
          <w:p w:rsidR="005A3A66" w:rsidRPr="00C707BD" w:rsidRDefault="005A3A66" w:rsidP="005938FB">
            <w:r w:rsidRPr="00C707BD">
              <w:t>20 Schillaman Street, Wedgefield  WA 6722</w:t>
            </w:r>
          </w:p>
        </w:tc>
        <w:tc>
          <w:tcPr>
            <w:tcW w:w="721" w:type="pct"/>
          </w:tcPr>
          <w:p w:rsidR="005A3A66" w:rsidRPr="00F04C5E" w:rsidRDefault="005A3A66" w:rsidP="005938FB">
            <w:r w:rsidRPr="00F04C5E">
              <w:t>Other thermal waste treatment</w:t>
            </w:r>
          </w:p>
        </w:tc>
        <w:tc>
          <w:tcPr>
            <w:tcW w:w="1198" w:type="pct"/>
          </w:tcPr>
          <w:p w:rsidR="005A3A66" w:rsidRPr="00A909CC" w:rsidRDefault="005A3A66" w:rsidP="005938FB">
            <w:r w:rsidRPr="00A909CC">
              <w:t xml:space="preserve">5857/P191016 </w:t>
            </w:r>
          </w:p>
        </w:tc>
        <w:tc>
          <w:tcPr>
            <w:tcW w:w="1081" w:type="pct"/>
          </w:tcPr>
          <w:p w:rsidR="005A3A66" w:rsidRPr="00076248" w:rsidRDefault="005A3A66" w:rsidP="005938FB">
            <w:r w:rsidRPr="00076248">
              <w:t>Public - STATE OF WA</w:t>
            </w:r>
          </w:p>
        </w:tc>
      </w:tr>
      <w:tr w:rsidR="005A3A66" w:rsidRPr="002026D9" w:rsidTr="005938FB">
        <w:tc>
          <w:tcPr>
            <w:tcW w:w="947" w:type="pct"/>
          </w:tcPr>
          <w:p w:rsidR="005A3A66" w:rsidRPr="003B1319" w:rsidRDefault="005A3A66" w:rsidP="005938FB">
            <w:r w:rsidRPr="003B1319">
              <w:t>Toxfree Narangba</w:t>
            </w:r>
          </w:p>
        </w:tc>
        <w:tc>
          <w:tcPr>
            <w:tcW w:w="1053" w:type="pct"/>
          </w:tcPr>
          <w:p w:rsidR="005A3A66" w:rsidRPr="00C707BD" w:rsidRDefault="005A3A66" w:rsidP="005938FB">
            <w:r w:rsidRPr="00C707BD">
              <w:t>8-12 Krypton Street , Narangba QLD 4504</w:t>
            </w:r>
          </w:p>
        </w:tc>
        <w:tc>
          <w:tcPr>
            <w:tcW w:w="721" w:type="pct"/>
          </w:tcPr>
          <w:p w:rsidR="005A3A66" w:rsidRPr="00F04C5E" w:rsidRDefault="005A3A66" w:rsidP="005938FB">
            <w:r w:rsidRPr="00F04C5E">
              <w:t>Other thermal waste treatment</w:t>
            </w:r>
          </w:p>
        </w:tc>
        <w:tc>
          <w:tcPr>
            <w:tcW w:w="1198" w:type="pct"/>
          </w:tcPr>
          <w:p w:rsidR="005A3A66" w:rsidRDefault="005A3A66" w:rsidP="005938FB">
            <w:r w:rsidRPr="00A909CC">
              <w:t>111/CP909626</w:t>
            </w:r>
          </w:p>
        </w:tc>
        <w:tc>
          <w:tcPr>
            <w:tcW w:w="1081" w:type="pct"/>
          </w:tcPr>
          <w:p w:rsidR="005A3A66" w:rsidRPr="001032D7" w:rsidRDefault="005A3A66" w:rsidP="005938FB">
            <w:pPr>
              <w:rPr>
                <w:lang w:val="fr-FR"/>
              </w:rPr>
            </w:pPr>
            <w:r w:rsidRPr="001032D7">
              <w:rPr>
                <w:lang w:val="fr-FR"/>
              </w:rPr>
              <w:t>Private - DOLOMATRIX ENVIRONMENTAL SOLUTIONS LIMITED</w:t>
            </w:r>
          </w:p>
        </w:tc>
      </w:tr>
      <w:tr w:rsidR="005A3A66" w:rsidTr="005938FB">
        <w:tc>
          <w:tcPr>
            <w:tcW w:w="947" w:type="pct"/>
          </w:tcPr>
          <w:p w:rsidR="005A3A66" w:rsidRPr="003B1319" w:rsidRDefault="005A3A66" w:rsidP="005938FB">
            <w:r w:rsidRPr="003B1319">
              <w:t>Transpacific Homebush Bay</w:t>
            </w:r>
          </w:p>
        </w:tc>
        <w:tc>
          <w:tcPr>
            <w:tcW w:w="1053" w:type="pct"/>
          </w:tcPr>
          <w:p w:rsidR="005A3A66" w:rsidRPr="00C707BD" w:rsidRDefault="005A3A66" w:rsidP="005938FB">
            <w:r w:rsidRPr="00C707BD">
              <w:t>Cnr Hill Road &amp; Pondage Link, Homebush Bay NSW 2127</w:t>
            </w:r>
          </w:p>
        </w:tc>
        <w:tc>
          <w:tcPr>
            <w:tcW w:w="721" w:type="pct"/>
          </w:tcPr>
          <w:p w:rsidR="005A3A66" w:rsidRPr="00F04C5E" w:rsidRDefault="005A3A66" w:rsidP="005938FB">
            <w:r w:rsidRPr="00F04C5E">
              <w:t>Other thermal waste treatment</w:t>
            </w:r>
          </w:p>
        </w:tc>
        <w:tc>
          <w:tcPr>
            <w:tcW w:w="1198" w:type="pct"/>
          </w:tcPr>
          <w:p w:rsidR="005A3A66" w:rsidRPr="001C4662" w:rsidRDefault="005A3A66" w:rsidP="005938FB">
            <w:r>
              <w:t>5007//DP1004785, 5004//DP1004785</w:t>
            </w:r>
          </w:p>
        </w:tc>
        <w:tc>
          <w:tcPr>
            <w:tcW w:w="1081" w:type="pct"/>
          </w:tcPr>
          <w:p w:rsidR="005A3A66" w:rsidRPr="00076248" w:rsidRDefault="005A3A66" w:rsidP="005938FB">
            <w:r w:rsidRPr="00076248">
              <w:t>Private - WASTE ASSETS MANAGEMENT CORPORATION</w:t>
            </w:r>
          </w:p>
        </w:tc>
      </w:tr>
      <w:tr w:rsidR="005A3A66" w:rsidTr="005938FB">
        <w:tc>
          <w:tcPr>
            <w:tcW w:w="947" w:type="pct"/>
          </w:tcPr>
          <w:p w:rsidR="005A3A66" w:rsidRPr="003B1319" w:rsidRDefault="005A3A66" w:rsidP="005938FB">
            <w:r w:rsidRPr="003B1319">
              <w:t>Veolia Autoclave &amp; Liquid Treatment Plant</w:t>
            </w:r>
          </w:p>
        </w:tc>
        <w:tc>
          <w:tcPr>
            <w:tcW w:w="1053" w:type="pct"/>
          </w:tcPr>
          <w:p w:rsidR="005A3A66" w:rsidRPr="00C707BD" w:rsidRDefault="005A3A66" w:rsidP="005938FB">
            <w:r w:rsidRPr="00C707BD">
              <w:t>5 Dennis Court, Berrimah NT 0828</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rsidRPr="001032D7">
              <w:t>LTO97/081</w:t>
            </w:r>
          </w:p>
        </w:tc>
        <w:tc>
          <w:tcPr>
            <w:tcW w:w="1081" w:type="pct"/>
          </w:tcPr>
          <w:p w:rsidR="005A3A66" w:rsidRDefault="005A3A66" w:rsidP="005938FB">
            <w:r w:rsidRPr="00EB0B70">
              <w:t>Not available</w:t>
            </w:r>
          </w:p>
        </w:tc>
      </w:tr>
      <w:tr w:rsidR="005A3A66" w:rsidTr="005938FB">
        <w:tc>
          <w:tcPr>
            <w:tcW w:w="947" w:type="pct"/>
          </w:tcPr>
          <w:p w:rsidR="005A3A66" w:rsidRPr="003B1319" w:rsidRDefault="005A3A66" w:rsidP="005938FB">
            <w:r w:rsidRPr="003B1319">
              <w:t>Veolia Dry Creek Incinerator</w:t>
            </w:r>
          </w:p>
        </w:tc>
        <w:tc>
          <w:tcPr>
            <w:tcW w:w="1053" w:type="pct"/>
          </w:tcPr>
          <w:p w:rsidR="005A3A66" w:rsidRPr="00C707BD" w:rsidRDefault="005A3A66" w:rsidP="005938FB">
            <w:r w:rsidRPr="00C707BD">
              <w:t>31-35 Churchill Road, Dry Creek SA 5094</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t>F126268AL100, F126267AL99</w:t>
            </w:r>
          </w:p>
        </w:tc>
        <w:tc>
          <w:tcPr>
            <w:tcW w:w="1081" w:type="pct"/>
          </w:tcPr>
          <w:p w:rsidR="005A3A66" w:rsidRDefault="005A3A66" w:rsidP="005938FB">
            <w:r w:rsidRPr="00EB0B70">
              <w:t>Not available</w:t>
            </w:r>
          </w:p>
        </w:tc>
      </w:tr>
      <w:tr w:rsidR="005A3A66" w:rsidTr="005938FB">
        <w:tc>
          <w:tcPr>
            <w:tcW w:w="947" w:type="pct"/>
          </w:tcPr>
          <w:p w:rsidR="005A3A66" w:rsidRPr="003B1319" w:rsidRDefault="005A3A66" w:rsidP="005938FB">
            <w:r w:rsidRPr="003B1319">
              <w:t>Weston Aluminium Plant (Kurri Kurri)</w:t>
            </w:r>
          </w:p>
        </w:tc>
        <w:tc>
          <w:tcPr>
            <w:tcW w:w="1053" w:type="pct"/>
          </w:tcPr>
          <w:p w:rsidR="005A3A66" w:rsidRPr="00C707BD" w:rsidRDefault="005A3A66" w:rsidP="005938FB">
            <w:r w:rsidRPr="00C707BD">
              <w:t>129 Mitchell Avenue, Kurri Kurri NSW 2326</w:t>
            </w:r>
          </w:p>
        </w:tc>
        <w:tc>
          <w:tcPr>
            <w:tcW w:w="721" w:type="pct"/>
          </w:tcPr>
          <w:p w:rsidR="005A3A66" w:rsidRPr="00F04C5E" w:rsidRDefault="005A3A66" w:rsidP="005938FB">
            <w:r w:rsidRPr="00F04C5E">
              <w:t>Clinical waste facility</w:t>
            </w:r>
          </w:p>
        </w:tc>
        <w:tc>
          <w:tcPr>
            <w:tcW w:w="1198" w:type="pct"/>
          </w:tcPr>
          <w:p w:rsidR="005A3A66" w:rsidRPr="001C4662" w:rsidRDefault="005A3A66" w:rsidP="005938FB">
            <w:r>
              <w:t>796//DP39877, 797//DP39877</w:t>
            </w:r>
          </w:p>
        </w:tc>
        <w:tc>
          <w:tcPr>
            <w:tcW w:w="1081" w:type="pct"/>
          </w:tcPr>
          <w:p w:rsidR="005A3A66" w:rsidRPr="00076248" w:rsidRDefault="005A3A66" w:rsidP="005938FB">
            <w:r w:rsidRPr="00076248">
              <w:t>Private - WESTON ALUMINIUM PTY LTD</w:t>
            </w:r>
          </w:p>
        </w:tc>
      </w:tr>
      <w:tr w:rsidR="005A3A66" w:rsidTr="005938FB">
        <w:tc>
          <w:tcPr>
            <w:tcW w:w="947" w:type="pct"/>
          </w:tcPr>
          <w:p w:rsidR="005A3A66" w:rsidRDefault="005A3A66" w:rsidP="005938FB">
            <w:r w:rsidRPr="003B1319">
              <w:t>Brooklyn Liquid Treatment Plant</w:t>
            </w:r>
          </w:p>
        </w:tc>
        <w:tc>
          <w:tcPr>
            <w:tcW w:w="1053" w:type="pct"/>
          </w:tcPr>
          <w:p w:rsidR="005A3A66" w:rsidRDefault="005A3A66" w:rsidP="005938FB">
            <w:r w:rsidRPr="00C707BD">
              <w:t>15 McDonald Road, Brooklyn VIC 3012</w:t>
            </w:r>
          </w:p>
        </w:tc>
        <w:tc>
          <w:tcPr>
            <w:tcW w:w="721" w:type="pct"/>
          </w:tcPr>
          <w:p w:rsidR="005A3A66" w:rsidRDefault="005A3A66" w:rsidP="005938FB">
            <w:r w:rsidRPr="00F04C5E">
              <w:t>Thermal processing soil waste treatment</w:t>
            </w:r>
          </w:p>
        </w:tc>
        <w:tc>
          <w:tcPr>
            <w:tcW w:w="1198" w:type="pct"/>
          </w:tcPr>
          <w:p w:rsidR="005A3A66" w:rsidRPr="001C4662" w:rsidRDefault="005A3A66" w:rsidP="005938FB">
            <w:r w:rsidRPr="001032D7">
              <w:t>CP151296</w:t>
            </w:r>
          </w:p>
        </w:tc>
        <w:tc>
          <w:tcPr>
            <w:tcW w:w="1081" w:type="pct"/>
          </w:tcPr>
          <w:p w:rsidR="005A3A66" w:rsidRDefault="005A3A66" w:rsidP="005938FB">
            <w:r>
              <w:t>Not available</w:t>
            </w:r>
          </w:p>
        </w:tc>
      </w:tr>
    </w:tbl>
    <w:p w:rsidR="005A3A66" w:rsidRDefault="009B5538" w:rsidP="005A3A66">
      <w:pPr>
        <w:pStyle w:val="Body"/>
      </w:pPr>
      <w:r>
        <w:t xml:space="preserve">Not available – there is no separate ABN </w:t>
      </w:r>
      <w:r w:rsidR="00171362">
        <w:t xml:space="preserve">listed </w:t>
      </w:r>
      <w:r>
        <w:t>for the business</w:t>
      </w:r>
    </w:p>
    <w:p w:rsidR="005A3A66" w:rsidRPr="00424E06" w:rsidRDefault="005A3A66" w:rsidP="005A3A66">
      <w:pPr>
        <w:pStyle w:val="Body"/>
      </w:pPr>
    </w:p>
    <w:p w:rsidR="005A3A66" w:rsidRPr="00BC4E63" w:rsidRDefault="005A3A66" w:rsidP="005A3A66">
      <w:pPr>
        <w:pStyle w:val="Body"/>
      </w:pPr>
    </w:p>
    <w:p w:rsidR="005A3A66" w:rsidRPr="00BC4E63" w:rsidRDefault="005A3A66" w:rsidP="005A3A66">
      <w:pPr>
        <w:pStyle w:val="Heading1"/>
        <w:sectPr w:rsidR="005A3A66" w:rsidRPr="00BC4E63" w:rsidSect="005938FB">
          <w:pgSz w:w="16839" w:h="11907" w:orient="landscape" w:code="9"/>
          <w:pgMar w:top="1701" w:right="1134" w:bottom="1134" w:left="1134" w:header="181" w:footer="227" w:gutter="0"/>
          <w:cols w:space="340"/>
          <w:docGrid w:linePitch="360"/>
        </w:sectPr>
      </w:pPr>
    </w:p>
    <w:p w:rsidR="005A3A66" w:rsidRDefault="005A3A66" w:rsidP="005A3A66">
      <w:pPr>
        <w:pStyle w:val="Heading1"/>
      </w:pPr>
      <w:bookmarkStart w:id="35" w:name="_Toc447535936"/>
      <w:bookmarkStart w:id="36" w:name="_Ref450571277"/>
      <w:bookmarkStart w:id="37" w:name="_Toc450909337"/>
      <w:bookmarkStart w:id="38" w:name="_Toc265672527"/>
      <w:bookmarkStart w:id="39" w:name="_Toc269363924"/>
      <w:bookmarkStart w:id="40" w:name="_Toc269363936"/>
      <w:bookmarkStart w:id="41" w:name="_Toc269364819"/>
      <w:bookmarkStart w:id="42" w:name="_Toc269365353"/>
      <w:bookmarkStart w:id="43" w:name="_Toc269365361"/>
      <w:bookmarkStart w:id="44" w:name="_Toc269365477"/>
      <w:bookmarkStart w:id="45" w:name="_Toc269365510"/>
      <w:bookmarkStart w:id="46" w:name="_Toc269365531"/>
      <w:bookmarkStart w:id="47" w:name="_Toc269365543"/>
      <w:bookmarkStart w:id="48" w:name="_Toc269365613"/>
      <w:bookmarkStart w:id="49" w:name="_Toc269365649"/>
      <w:bookmarkStart w:id="50" w:name="_Toc269365784"/>
      <w:bookmarkStart w:id="51" w:name="_Toc269365960"/>
      <w:bookmarkStart w:id="52" w:name="_Toc269365980"/>
      <w:bookmarkStart w:id="53" w:name="_Toc269365989"/>
      <w:bookmarkStart w:id="54" w:name="_Toc269365997"/>
      <w:bookmarkStart w:id="55" w:name="_Toc269366004"/>
      <w:bookmarkStart w:id="56" w:name="_Toc269449202"/>
      <w:bookmarkStart w:id="57" w:name="_Toc269449688"/>
      <w:bookmarkStart w:id="58" w:name="_Toc269459545"/>
      <w:bookmarkStart w:id="59" w:name="_Toc269459563"/>
      <w:bookmarkStart w:id="60" w:name="_Toc269459660"/>
      <w:bookmarkStart w:id="61" w:name="_Toc269459698"/>
      <w:bookmarkStart w:id="62" w:name="_Toc271816656"/>
      <w:bookmarkStart w:id="63" w:name="_Toc272064633"/>
      <w:bookmarkStart w:id="64" w:name="_Toc272064638"/>
      <w:bookmarkStart w:id="65" w:name="_Toc272064641"/>
      <w:bookmarkStart w:id="66" w:name="_Toc272129016"/>
      <w:bookmarkStart w:id="67" w:name="_Toc272129019"/>
      <w:r>
        <w:lastRenderedPageBreak/>
        <w:t xml:space="preserve">Outcomes of </w:t>
      </w:r>
      <w:r w:rsidR="00D62B6B">
        <w:t xml:space="preserve">the </w:t>
      </w:r>
      <w:r>
        <w:t>assessment</w:t>
      </w:r>
      <w:bookmarkEnd w:id="35"/>
      <w:bookmarkEnd w:id="36"/>
      <w:bookmarkEnd w:id="37"/>
    </w:p>
    <w:p w:rsidR="005A3A66" w:rsidRDefault="005A3A66" w:rsidP="005A3A66">
      <w:pPr>
        <w:pStyle w:val="Body"/>
      </w:pPr>
      <w:r>
        <w:t>During the assessment process</w:t>
      </w:r>
      <w:r w:rsidR="007F0CC2">
        <w:t>,</w:t>
      </w:r>
      <w:r>
        <w:t xml:space="preserve"> </w:t>
      </w:r>
      <w:r w:rsidR="00E953FC">
        <w:t xml:space="preserve">28 </w:t>
      </w:r>
      <w:r>
        <w:t xml:space="preserve">stakeholders were contacted to discuss the characteristics and constraints of </w:t>
      </w:r>
      <w:r w:rsidR="008F7F33">
        <w:t>36</w:t>
      </w:r>
      <w:r>
        <w:t xml:space="preserve"> facilities. </w:t>
      </w:r>
      <w:r w:rsidR="008113C0">
        <w:t xml:space="preserve">Note that some stakeholders </w:t>
      </w:r>
      <w:r w:rsidR="00802E87">
        <w:t xml:space="preserve">may </w:t>
      </w:r>
      <w:r w:rsidR="008113C0">
        <w:t xml:space="preserve">have multiple facilities. </w:t>
      </w:r>
      <w:r>
        <w:t xml:space="preserve">Section </w:t>
      </w:r>
      <w:r w:rsidR="00E953FC">
        <w:fldChar w:fldCharType="begin"/>
      </w:r>
      <w:r w:rsidR="00E953FC">
        <w:instrText xml:space="preserve"> REF _Ref450571277 \r \h </w:instrText>
      </w:r>
      <w:r w:rsidR="00E953FC">
        <w:fldChar w:fldCharType="separate"/>
      </w:r>
      <w:r w:rsidR="006225A8">
        <w:t>6</w:t>
      </w:r>
      <w:r w:rsidR="00E953FC">
        <w:fldChar w:fldCharType="end"/>
      </w:r>
      <w:r>
        <w:t xml:space="preserve"> provides a </w:t>
      </w:r>
      <w:r w:rsidR="00802E87">
        <w:t>list</w:t>
      </w:r>
      <w:r>
        <w:t xml:space="preserve"> of facilities willing to participate in the study. </w:t>
      </w:r>
    </w:p>
    <w:p w:rsidR="002103FA" w:rsidRDefault="002103FA" w:rsidP="005A3A66">
      <w:pPr>
        <w:pStyle w:val="Body"/>
      </w:pPr>
      <w:r>
        <w:t>Facilities were reluctant to provide details on types of waste and quantities received for treatment, as this information is</w:t>
      </w:r>
      <w:r w:rsidRPr="002103FA">
        <w:t xml:space="preserve"> </w:t>
      </w:r>
      <w:r>
        <w:t>considered commercial in confidence and inappropriate for an assessment of this nature.</w:t>
      </w:r>
    </w:p>
    <w:p w:rsidR="009B3EBB" w:rsidRDefault="009B3EBB" w:rsidP="005A3A66">
      <w:pPr>
        <w:pStyle w:val="Body"/>
      </w:pPr>
      <w:r>
        <w:t>The following sections describe the treatment facilities according to the treatment process, their current waste treatment capacity and their potential to treat additional waste types and quantities.</w:t>
      </w:r>
      <w:r w:rsidR="00432D1D">
        <w:t xml:space="preserve"> Note that total treatment capacity includes non-hazardous and hazardous wastes.</w:t>
      </w:r>
    </w:p>
    <w:p w:rsidR="009B3EBB" w:rsidRDefault="009B3EBB" w:rsidP="005A3A66">
      <w:pPr>
        <w:pStyle w:val="Body"/>
      </w:pPr>
    </w:p>
    <w:p w:rsidR="009B3EBB" w:rsidRDefault="009B3EBB" w:rsidP="009B3EBB">
      <w:pPr>
        <w:spacing w:after="0"/>
        <w:sectPr w:rsidR="009B3EBB" w:rsidSect="00D62B6B">
          <w:headerReference w:type="first" r:id="rId24"/>
          <w:pgSz w:w="11907" w:h="16839" w:code="9"/>
          <w:pgMar w:top="1134" w:right="1134" w:bottom="1134" w:left="1701" w:header="181" w:footer="227" w:gutter="0"/>
          <w:cols w:space="283"/>
          <w:docGrid w:linePitch="360"/>
        </w:sectPr>
      </w:pPr>
    </w:p>
    <w:p w:rsidR="002103FA" w:rsidRDefault="002103FA" w:rsidP="002B2602">
      <w:pPr>
        <w:pStyle w:val="Heading2"/>
      </w:pPr>
      <w:bookmarkStart w:id="68" w:name="_Toc450909338"/>
      <w:r>
        <w:lastRenderedPageBreak/>
        <w:t>Thermal desorption facilities</w:t>
      </w:r>
      <w:bookmarkEnd w:id="68"/>
    </w:p>
    <w:p w:rsidR="009B3EBB" w:rsidRPr="00171362" w:rsidRDefault="009B3EBB" w:rsidP="00171362">
      <w:pPr>
        <w:pStyle w:val="Body"/>
      </w:pPr>
      <w:r>
        <w:fldChar w:fldCharType="begin"/>
      </w:r>
      <w:r>
        <w:instrText xml:space="preserve"> REF _Ref450210577 \h </w:instrText>
      </w:r>
      <w:r>
        <w:fldChar w:fldCharType="separate"/>
      </w:r>
      <w:r w:rsidR="006225A8">
        <w:t xml:space="preserve">Table </w:t>
      </w:r>
      <w:r w:rsidR="006225A8">
        <w:rPr>
          <w:noProof/>
        </w:rPr>
        <w:t>3</w:t>
      </w:r>
      <w:r>
        <w:fldChar w:fldCharType="end"/>
      </w:r>
      <w:r>
        <w:t xml:space="preserve"> </w:t>
      </w:r>
      <w:r w:rsidR="00B862A8">
        <w:t>describes</w:t>
      </w:r>
      <w:r>
        <w:t xml:space="preserve"> the facilities that use thermal desorption </w:t>
      </w:r>
      <w:r w:rsidR="00B862A8">
        <w:t xml:space="preserve">processes </w:t>
      </w:r>
      <w:r>
        <w:t>to treat hazardous wastes.</w:t>
      </w:r>
      <w:r w:rsidR="00432D1D">
        <w:t xml:space="preserve"> </w:t>
      </w:r>
    </w:p>
    <w:p w:rsidR="009B3EBB" w:rsidRPr="00171362" w:rsidRDefault="009B3EBB" w:rsidP="002B2602">
      <w:pPr>
        <w:pStyle w:val="Caption"/>
      </w:pPr>
      <w:bookmarkStart w:id="69" w:name="_Ref450210577"/>
      <w:bookmarkStart w:id="70" w:name="_Toc450909351"/>
      <w:r>
        <w:t xml:space="preserve">Table </w:t>
      </w:r>
      <w:fldSimple w:instr=" SEQ Table \* ARABIC ">
        <w:r w:rsidR="006225A8">
          <w:rPr>
            <w:noProof/>
          </w:rPr>
          <w:t>3</w:t>
        </w:r>
      </w:fldSimple>
      <w:bookmarkEnd w:id="69"/>
      <w:r>
        <w:tab/>
        <w:t>Description of thermal desorption facilities</w:t>
      </w:r>
      <w:bookmarkEnd w:id="70"/>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B862A8" w:rsidTr="002B2602">
        <w:trPr>
          <w:cnfStyle w:val="100000000000" w:firstRow="1" w:lastRow="0" w:firstColumn="0" w:lastColumn="0" w:oddVBand="0" w:evenVBand="0" w:oddHBand="0" w:evenHBand="0" w:firstRowFirstColumn="0" w:firstRowLastColumn="0" w:lastRowFirstColumn="0" w:lastRowLastColumn="0"/>
        </w:trPr>
        <w:tc>
          <w:tcPr>
            <w:tcW w:w="1809" w:type="dxa"/>
          </w:tcPr>
          <w:p w:rsidR="009B3EBB" w:rsidRDefault="009B3EBB" w:rsidP="009B3EBB">
            <w:pPr>
              <w:pStyle w:val="Body"/>
              <w:ind w:left="0"/>
            </w:pPr>
            <w:bookmarkStart w:id="71" w:name="_Toc447535937"/>
            <w:r>
              <w:t>Facility</w:t>
            </w:r>
          </w:p>
        </w:tc>
        <w:tc>
          <w:tcPr>
            <w:tcW w:w="1418" w:type="dxa"/>
          </w:tcPr>
          <w:p w:rsidR="009B3EBB" w:rsidRDefault="009B3EBB" w:rsidP="009B3EBB">
            <w:pPr>
              <w:pStyle w:val="Body"/>
              <w:ind w:left="0"/>
            </w:pPr>
            <w:r>
              <w:t>Description</w:t>
            </w:r>
          </w:p>
        </w:tc>
        <w:tc>
          <w:tcPr>
            <w:tcW w:w="1417" w:type="dxa"/>
          </w:tcPr>
          <w:p w:rsidR="009B3EBB" w:rsidRDefault="00432D1D" w:rsidP="00171362">
            <w:pPr>
              <w:pStyle w:val="Body"/>
              <w:ind w:left="0"/>
            </w:pPr>
            <w:r>
              <w:t xml:space="preserve">Total Treatment </w:t>
            </w:r>
            <w:r w:rsidR="009B3EBB">
              <w:t>Capacity</w:t>
            </w:r>
          </w:p>
        </w:tc>
        <w:tc>
          <w:tcPr>
            <w:tcW w:w="1701" w:type="dxa"/>
          </w:tcPr>
          <w:p w:rsidR="009B3EBB" w:rsidRDefault="0038315E" w:rsidP="009B3EBB">
            <w:pPr>
              <w:pStyle w:val="Body"/>
              <w:ind w:left="0"/>
            </w:pPr>
            <w:r>
              <w:t>Waste type and source</w:t>
            </w:r>
          </w:p>
        </w:tc>
        <w:tc>
          <w:tcPr>
            <w:tcW w:w="1985" w:type="dxa"/>
          </w:tcPr>
          <w:p w:rsidR="009B3EBB" w:rsidRDefault="009B3EBB" w:rsidP="009B3EBB">
            <w:pPr>
              <w:pStyle w:val="Body"/>
              <w:ind w:left="0"/>
            </w:pPr>
            <w:r>
              <w:t>Capacity to accept other waste</w:t>
            </w:r>
          </w:p>
        </w:tc>
        <w:tc>
          <w:tcPr>
            <w:tcW w:w="2977" w:type="dxa"/>
          </w:tcPr>
          <w:p w:rsidR="009B3EBB" w:rsidRDefault="009B3EBB" w:rsidP="009B3EBB">
            <w:pPr>
              <w:pStyle w:val="Body"/>
              <w:ind w:left="0"/>
            </w:pPr>
            <w:r>
              <w:t>Potential for upgrade or expansion</w:t>
            </w:r>
          </w:p>
        </w:tc>
        <w:tc>
          <w:tcPr>
            <w:tcW w:w="2976" w:type="dxa"/>
          </w:tcPr>
          <w:p w:rsidR="009B3EBB" w:rsidRDefault="009B3EBB" w:rsidP="009B3EBB">
            <w:pPr>
              <w:pStyle w:val="Body"/>
              <w:ind w:left="0"/>
            </w:pPr>
            <w:r>
              <w:t>Summary</w:t>
            </w:r>
          </w:p>
        </w:tc>
      </w:tr>
      <w:tr w:rsidR="00B862A8" w:rsidTr="002B2602">
        <w:tc>
          <w:tcPr>
            <w:tcW w:w="1809" w:type="dxa"/>
          </w:tcPr>
          <w:p w:rsidR="009B3EBB" w:rsidRDefault="009B3EBB" w:rsidP="00171362">
            <w:pPr>
              <w:pStyle w:val="Body"/>
              <w:ind w:left="0"/>
            </w:pPr>
            <w:r w:rsidRPr="009B3EBB">
              <w:t>Veolia Thermal Desorption Plant</w:t>
            </w:r>
            <w:r>
              <w:t>,</w:t>
            </w:r>
            <w:r w:rsidRPr="009B3EBB">
              <w:t xml:space="preserve"> Brooklyn</w:t>
            </w:r>
            <w:r>
              <w:t>,</w:t>
            </w:r>
            <w:r w:rsidR="00B862A8">
              <w:t xml:space="preserve"> VIC</w:t>
            </w:r>
          </w:p>
        </w:tc>
        <w:tc>
          <w:tcPr>
            <w:tcW w:w="1418" w:type="dxa"/>
          </w:tcPr>
          <w:p w:rsidR="009B3EBB" w:rsidRDefault="009B3EBB" w:rsidP="009B3EBB">
            <w:pPr>
              <w:pStyle w:val="Body"/>
              <w:ind w:left="0"/>
            </w:pPr>
            <w:r w:rsidRPr="00E14787">
              <w:t>Natural gas fired thermal desorption plant</w:t>
            </w:r>
          </w:p>
        </w:tc>
        <w:tc>
          <w:tcPr>
            <w:tcW w:w="1417" w:type="dxa"/>
          </w:tcPr>
          <w:p w:rsidR="009B3EBB" w:rsidRDefault="009B3EBB" w:rsidP="0038315E">
            <w:pPr>
              <w:pStyle w:val="Body"/>
              <w:ind w:left="0"/>
            </w:pPr>
            <w:r w:rsidRPr="00E14787">
              <w:t xml:space="preserve">20,000 </w:t>
            </w:r>
            <w:r>
              <w:t>tpa</w:t>
            </w:r>
            <w:r w:rsidRPr="00E14787">
              <w:t xml:space="preserve"> </w:t>
            </w:r>
          </w:p>
        </w:tc>
        <w:tc>
          <w:tcPr>
            <w:tcW w:w="1701" w:type="dxa"/>
          </w:tcPr>
          <w:p w:rsidR="009B3EBB" w:rsidRDefault="00B862A8" w:rsidP="009B3EBB">
            <w:pPr>
              <w:pStyle w:val="Body"/>
              <w:ind w:left="0"/>
            </w:pPr>
            <w:r>
              <w:t>A</w:t>
            </w:r>
            <w:r w:rsidRPr="00E14787">
              <w:t>ny hydrocarbon affected prescribed industrial wastes including soils. Sludges are limited in liquid content to about 50% due to the feeding system (conveyors)</w:t>
            </w:r>
            <w:r>
              <w:t>.</w:t>
            </w:r>
            <w:r w:rsidRPr="00E14787">
              <w:t xml:space="preserve"> Predominantly Melbourne metro region</w:t>
            </w:r>
            <w:r>
              <w:t>.</w:t>
            </w:r>
          </w:p>
        </w:tc>
        <w:tc>
          <w:tcPr>
            <w:tcW w:w="1985" w:type="dxa"/>
          </w:tcPr>
          <w:p w:rsidR="009B3EBB" w:rsidRDefault="00B862A8" w:rsidP="009B3EBB">
            <w:pPr>
              <w:pStyle w:val="Body"/>
              <w:ind w:left="0"/>
            </w:pPr>
            <w:r w:rsidRPr="00D900A8">
              <w:t>Additional volumes of prescribed industrial waste, ethers, organic solvents, contaminated soils</w:t>
            </w:r>
          </w:p>
        </w:tc>
        <w:tc>
          <w:tcPr>
            <w:tcW w:w="2977" w:type="dxa"/>
          </w:tcPr>
          <w:p w:rsidR="009B3EBB" w:rsidRDefault="00B862A8" w:rsidP="006A30DC">
            <w:pPr>
              <w:pStyle w:val="Body"/>
              <w:ind w:left="0"/>
            </w:pPr>
            <w:r>
              <w:t xml:space="preserve">A minor upgrade would be required </w:t>
            </w:r>
            <w:r w:rsidRPr="00D900A8">
              <w:t xml:space="preserve">to allow </w:t>
            </w:r>
            <w:r>
              <w:t xml:space="preserve">treatment of </w:t>
            </w:r>
            <w:r w:rsidRPr="00D900A8">
              <w:t>sludges that have a higher liquid content. Composition of the waste would affect the treatment time and therefore the throughput (i.e. the wetter the waste, the longer the treatment time).</w:t>
            </w:r>
            <w:r>
              <w:t xml:space="preserve"> Minor plant modifications may also enable treatment of organic solvents and halo</w:t>
            </w:r>
            <w:r w:rsidR="006A30DC">
              <w:t>genated organic solvents. Licenc</w:t>
            </w:r>
            <w:r>
              <w:t>e changes would be required to treat non-scheduled wastes</w:t>
            </w:r>
            <w:r w:rsidR="006A30DC">
              <w:t>,</w:t>
            </w:r>
            <w:r>
              <w:t xml:space="preserve"> minor technical changes to feed and thermal systems to take additional waste streams.</w:t>
            </w:r>
          </w:p>
        </w:tc>
        <w:tc>
          <w:tcPr>
            <w:tcW w:w="2976" w:type="dxa"/>
          </w:tcPr>
          <w:p w:rsidR="009B3EBB" w:rsidRDefault="00B862A8" w:rsidP="009B3EBB">
            <w:pPr>
              <w:pStyle w:val="Body"/>
              <w:ind w:left="0"/>
            </w:pPr>
            <w:r w:rsidRPr="005C1B6E">
              <w:t>The Veo</w:t>
            </w:r>
            <w:r>
              <w:t>li</w:t>
            </w:r>
            <w:r w:rsidRPr="005C1B6E">
              <w:t>a thermal desorption facility has reasonable capacity to take additional specific hazardous waste streams that are suitable for neutralisation. The facility</w:t>
            </w:r>
            <w:r>
              <w:t xml:space="preserve"> treats the waste through a desorption process and does not destroy the waste, with residual material requiring</w:t>
            </w:r>
            <w:r w:rsidRPr="005C1B6E">
              <w:t xml:space="preserve"> disposal. Although costly</w:t>
            </w:r>
            <w:r>
              <w:t>,</w:t>
            </w:r>
            <w:r w:rsidRPr="005C1B6E">
              <w:t xml:space="preserve"> the facility co</w:t>
            </w:r>
            <w:r>
              <w:t xml:space="preserve">uld be relocated to another location </w:t>
            </w:r>
            <w:r w:rsidRPr="005C1B6E">
              <w:t>to manage/treat specific stockpile</w:t>
            </w:r>
            <w:r>
              <w:t>s</w:t>
            </w:r>
            <w:r w:rsidRPr="005C1B6E">
              <w:t xml:space="preserve"> or waste stream</w:t>
            </w:r>
            <w:r>
              <w:t>s</w:t>
            </w:r>
            <w:r w:rsidRPr="005C1B6E">
              <w:t xml:space="preserve">. </w:t>
            </w:r>
            <w:r>
              <w:t>The e</w:t>
            </w:r>
            <w:r w:rsidRPr="005C1B6E">
              <w:t>sti</w:t>
            </w:r>
            <w:r>
              <w:t>mated cost of relocation is approximately $500k.</w:t>
            </w:r>
          </w:p>
        </w:tc>
      </w:tr>
    </w:tbl>
    <w:p w:rsidR="002103FA" w:rsidRDefault="002103FA" w:rsidP="002B2602">
      <w:pPr>
        <w:pStyle w:val="Heading2"/>
      </w:pPr>
      <w:bookmarkStart w:id="72" w:name="_Toc450909339"/>
      <w:bookmarkEnd w:id="71"/>
      <w:r>
        <w:t>Incineration type facilities</w:t>
      </w:r>
      <w:bookmarkEnd w:id="72"/>
    </w:p>
    <w:p w:rsidR="00B862A8" w:rsidRDefault="00B862A8" w:rsidP="00171362">
      <w:pPr>
        <w:pStyle w:val="Body"/>
      </w:pPr>
      <w:r>
        <w:fldChar w:fldCharType="begin"/>
      </w:r>
      <w:r>
        <w:instrText xml:space="preserve"> REF _Ref450211024 \h </w:instrText>
      </w:r>
      <w:r>
        <w:fldChar w:fldCharType="separate"/>
      </w:r>
      <w:r w:rsidR="006225A8">
        <w:t xml:space="preserve">Table </w:t>
      </w:r>
      <w:r w:rsidR="006225A8">
        <w:rPr>
          <w:noProof/>
        </w:rPr>
        <w:t>4</w:t>
      </w:r>
      <w:r>
        <w:fldChar w:fldCharType="end"/>
      </w:r>
      <w:r>
        <w:t xml:space="preserve"> describes the facilities that use combustion processes to treat hazardous wastes.</w:t>
      </w:r>
    </w:p>
    <w:p w:rsidR="00B862A8" w:rsidRPr="00171362" w:rsidRDefault="00B862A8" w:rsidP="002B2602">
      <w:pPr>
        <w:pStyle w:val="Caption"/>
      </w:pPr>
      <w:bookmarkStart w:id="73" w:name="_Ref450211024"/>
      <w:bookmarkStart w:id="74" w:name="_Toc450909352"/>
      <w:r>
        <w:lastRenderedPageBreak/>
        <w:t xml:space="preserve">Table </w:t>
      </w:r>
      <w:fldSimple w:instr=" SEQ Table \* ARABIC ">
        <w:r w:rsidR="006225A8">
          <w:rPr>
            <w:noProof/>
          </w:rPr>
          <w:t>4</w:t>
        </w:r>
      </w:fldSimple>
      <w:bookmarkEnd w:id="73"/>
      <w:r>
        <w:tab/>
        <w:t>Description of incineration facilities</w:t>
      </w:r>
      <w:bookmarkEnd w:id="74"/>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B862A8" w:rsidTr="002B2602">
        <w:trPr>
          <w:cnfStyle w:val="100000000000" w:firstRow="1" w:lastRow="0" w:firstColumn="0" w:lastColumn="0" w:oddVBand="0" w:evenVBand="0" w:oddHBand="0" w:evenHBand="0" w:firstRowFirstColumn="0" w:firstRowLastColumn="0" w:lastRowFirstColumn="0" w:lastRowLastColumn="0"/>
          <w:tblHeader/>
        </w:trPr>
        <w:tc>
          <w:tcPr>
            <w:tcW w:w="1809" w:type="dxa"/>
          </w:tcPr>
          <w:p w:rsidR="00B862A8" w:rsidRDefault="00B862A8" w:rsidP="00FD0C18">
            <w:pPr>
              <w:pStyle w:val="Body"/>
              <w:ind w:left="0"/>
            </w:pPr>
            <w:r>
              <w:t>Facility</w:t>
            </w:r>
          </w:p>
        </w:tc>
        <w:tc>
          <w:tcPr>
            <w:tcW w:w="1418" w:type="dxa"/>
          </w:tcPr>
          <w:p w:rsidR="00B862A8" w:rsidRDefault="00B862A8" w:rsidP="00FD0C18">
            <w:pPr>
              <w:pStyle w:val="Body"/>
              <w:ind w:left="0"/>
            </w:pPr>
            <w:r>
              <w:t>Description</w:t>
            </w:r>
          </w:p>
        </w:tc>
        <w:tc>
          <w:tcPr>
            <w:tcW w:w="1417" w:type="dxa"/>
          </w:tcPr>
          <w:p w:rsidR="00B862A8" w:rsidRDefault="00432D1D" w:rsidP="00FD0C18">
            <w:pPr>
              <w:pStyle w:val="Body"/>
              <w:ind w:left="0"/>
            </w:pPr>
            <w:r>
              <w:t>Total Treatment Capacity</w:t>
            </w:r>
          </w:p>
        </w:tc>
        <w:tc>
          <w:tcPr>
            <w:tcW w:w="1701" w:type="dxa"/>
          </w:tcPr>
          <w:p w:rsidR="00B862A8" w:rsidRDefault="0038315E" w:rsidP="00FD0C18">
            <w:pPr>
              <w:pStyle w:val="Body"/>
              <w:ind w:left="0"/>
            </w:pPr>
            <w:r>
              <w:t>Waste type and source</w:t>
            </w:r>
          </w:p>
        </w:tc>
        <w:tc>
          <w:tcPr>
            <w:tcW w:w="1985" w:type="dxa"/>
          </w:tcPr>
          <w:p w:rsidR="00B862A8" w:rsidRDefault="00B862A8" w:rsidP="00FD0C18">
            <w:pPr>
              <w:pStyle w:val="Body"/>
              <w:ind w:left="0"/>
            </w:pPr>
            <w:r>
              <w:t>Capacity to accept other waste</w:t>
            </w:r>
          </w:p>
        </w:tc>
        <w:tc>
          <w:tcPr>
            <w:tcW w:w="2977" w:type="dxa"/>
          </w:tcPr>
          <w:p w:rsidR="00B862A8" w:rsidRDefault="00B862A8" w:rsidP="00FD0C18">
            <w:pPr>
              <w:pStyle w:val="Body"/>
              <w:ind w:left="0"/>
            </w:pPr>
            <w:r>
              <w:t>Potential for upgrade or expansion</w:t>
            </w:r>
          </w:p>
        </w:tc>
        <w:tc>
          <w:tcPr>
            <w:tcW w:w="2976" w:type="dxa"/>
          </w:tcPr>
          <w:p w:rsidR="00B862A8" w:rsidRDefault="00B862A8" w:rsidP="00FD0C18">
            <w:pPr>
              <w:pStyle w:val="Body"/>
              <w:ind w:left="0"/>
            </w:pPr>
            <w:r>
              <w:t>Summary</w:t>
            </w:r>
          </w:p>
        </w:tc>
      </w:tr>
      <w:tr w:rsidR="00B862A8" w:rsidTr="00FD0C18">
        <w:tc>
          <w:tcPr>
            <w:tcW w:w="1809" w:type="dxa"/>
          </w:tcPr>
          <w:p w:rsidR="00B862A8" w:rsidRDefault="00B862A8" w:rsidP="00171362">
            <w:pPr>
              <w:pStyle w:val="Body"/>
              <w:ind w:left="0"/>
            </w:pPr>
            <w:r w:rsidRPr="00B862A8">
              <w:t>Ace Waste Incinerator</w:t>
            </w:r>
            <w:r>
              <w:t xml:space="preserve">, </w:t>
            </w:r>
            <w:r w:rsidRPr="00B862A8">
              <w:t>Dandenong</w:t>
            </w:r>
            <w:r>
              <w:t>, VIC</w:t>
            </w:r>
          </w:p>
        </w:tc>
        <w:tc>
          <w:tcPr>
            <w:tcW w:w="1418" w:type="dxa"/>
          </w:tcPr>
          <w:p w:rsidR="00B862A8" w:rsidRDefault="00B862A8" w:rsidP="00FD0C18">
            <w:pPr>
              <w:pStyle w:val="Body"/>
              <w:ind w:left="0"/>
            </w:pPr>
            <w:r>
              <w:t>Stepped hearth incinerator</w:t>
            </w:r>
          </w:p>
        </w:tc>
        <w:tc>
          <w:tcPr>
            <w:tcW w:w="1417" w:type="dxa"/>
          </w:tcPr>
          <w:p w:rsidR="00B862A8" w:rsidRDefault="00B862A8" w:rsidP="00171362">
            <w:pPr>
              <w:pStyle w:val="Body"/>
              <w:ind w:left="0"/>
            </w:pPr>
            <w:r>
              <w:t>11,500 tpa</w:t>
            </w:r>
          </w:p>
        </w:tc>
        <w:tc>
          <w:tcPr>
            <w:tcW w:w="1701" w:type="dxa"/>
          </w:tcPr>
          <w:p w:rsidR="00B862A8" w:rsidRDefault="00171362" w:rsidP="00FD0C18">
            <w:pPr>
              <w:pStyle w:val="Body"/>
              <w:ind w:left="0"/>
            </w:pPr>
            <w:r w:rsidRPr="00E14787">
              <w:t>C</w:t>
            </w:r>
            <w:r>
              <w:t xml:space="preserve">urrently treats medical waste, solvents, oily rags and cartridges (50% is medical and pharmaceutical). </w:t>
            </w:r>
            <w:r w:rsidRPr="00E14787">
              <w:t>Predom</w:t>
            </w:r>
            <w:r>
              <w:t>inantly Melbourne metro region and pharmaceuticals from Australia’s east coast</w:t>
            </w:r>
          </w:p>
        </w:tc>
        <w:tc>
          <w:tcPr>
            <w:tcW w:w="1985" w:type="dxa"/>
          </w:tcPr>
          <w:p w:rsidR="00B862A8" w:rsidRDefault="00171362" w:rsidP="00FD0C18">
            <w:pPr>
              <w:pStyle w:val="Body"/>
              <w:ind w:left="0"/>
            </w:pPr>
            <w:r>
              <w:t>The facility currently treats about 3,500 tpa and has significant capacity to treat more of the same waste type plus additional sources such as more solvents or quarantine waste. Solid waste is preferred due to the stepped hearth process.</w:t>
            </w:r>
          </w:p>
        </w:tc>
        <w:tc>
          <w:tcPr>
            <w:tcW w:w="2977" w:type="dxa"/>
          </w:tcPr>
          <w:p w:rsidR="00B862A8" w:rsidRDefault="00171362" w:rsidP="006A30DC">
            <w:pPr>
              <w:pStyle w:val="Body"/>
              <w:ind w:left="0"/>
            </w:pPr>
            <w:r>
              <w:t xml:space="preserve">Few modifications would be required to treat additional volume of solid hazardous waste. To take liquid waste, a liquid injection system would be required for the rotary kiln. This would be considered a major upgrade/redevelopment. Current focus is on using the facility’s current capacity. Ace Waste is considering the viability of a rotary kiln as a second chamber and also energy recovery options with a feasibility assessment of a boiler and turbine. This would be undertaken to accept more diverse liquid waste streams and enable an energy recovery option as a preferred approach to the waste hierarchy in Victoria. Approvals for the rotary kiln and energy recovery option would take approximately 12 months. </w:t>
            </w:r>
          </w:p>
        </w:tc>
        <w:tc>
          <w:tcPr>
            <w:tcW w:w="2976" w:type="dxa"/>
          </w:tcPr>
          <w:p w:rsidR="00B862A8" w:rsidRDefault="004E0255" w:rsidP="004E0255">
            <w:pPr>
              <w:pStyle w:val="Body"/>
              <w:ind w:left="0"/>
            </w:pPr>
            <w:r w:rsidRPr="004E0255">
              <w:t>The Ace Waste Dan</w:t>
            </w:r>
            <w:r>
              <w:t>denong facility is a large five-</w:t>
            </w:r>
            <w:r w:rsidRPr="004E0255">
              <w:t xml:space="preserve">hectare site providing a solid base for expansion in Victoria. </w:t>
            </w:r>
            <w:r>
              <w:t xml:space="preserve">The </w:t>
            </w:r>
            <w:r w:rsidRPr="004E0255">
              <w:t xml:space="preserve">hazardous treatment facility </w:t>
            </w:r>
            <w:r>
              <w:t>has significant capacity to treat additional waste, though preferably solid waste due to the stepped hearth process. Major improvements have occurred on the site since acquisition in 2006 and Ace Waste is considering other approaches including rotary kiln and energy recovery options.</w:t>
            </w:r>
          </w:p>
        </w:tc>
      </w:tr>
      <w:tr w:rsidR="00B862A8" w:rsidTr="00FD0C18">
        <w:tc>
          <w:tcPr>
            <w:tcW w:w="1809" w:type="dxa"/>
          </w:tcPr>
          <w:p w:rsidR="00B862A8" w:rsidRDefault="00171362" w:rsidP="00171362">
            <w:pPr>
              <w:pStyle w:val="Body"/>
              <w:ind w:left="0"/>
            </w:pPr>
            <w:r>
              <w:lastRenderedPageBreak/>
              <w:t>Ace Waste Incinerator, Willawong, QLD</w:t>
            </w:r>
          </w:p>
        </w:tc>
        <w:tc>
          <w:tcPr>
            <w:tcW w:w="1418" w:type="dxa"/>
          </w:tcPr>
          <w:p w:rsidR="00B862A8" w:rsidRDefault="00171362" w:rsidP="00FD0C18">
            <w:pPr>
              <w:pStyle w:val="Body"/>
              <w:ind w:left="0"/>
            </w:pPr>
            <w:r>
              <w:t>Stepped hearth incinerator</w:t>
            </w:r>
          </w:p>
        </w:tc>
        <w:tc>
          <w:tcPr>
            <w:tcW w:w="1417" w:type="dxa"/>
          </w:tcPr>
          <w:p w:rsidR="00B862A8" w:rsidRDefault="00171362" w:rsidP="00171362">
            <w:pPr>
              <w:pStyle w:val="Body"/>
              <w:ind w:left="0"/>
            </w:pPr>
            <w:r>
              <w:t>10,600 tpa</w:t>
            </w:r>
          </w:p>
        </w:tc>
        <w:tc>
          <w:tcPr>
            <w:tcW w:w="1701" w:type="dxa"/>
          </w:tcPr>
          <w:p w:rsidR="00B862A8" w:rsidRDefault="00171362" w:rsidP="00FD0C18">
            <w:pPr>
              <w:pStyle w:val="Body"/>
              <w:ind w:left="0"/>
            </w:pPr>
            <w:r w:rsidRPr="00E14787">
              <w:t>C</w:t>
            </w:r>
            <w:r>
              <w:t xml:space="preserve">urrently treats medical waste, quarantine waste, drugs, oil filters and solvents. </w:t>
            </w:r>
            <w:r w:rsidRPr="00E14787">
              <w:t>Predom</w:t>
            </w:r>
            <w:r>
              <w:t>inantly southeast Queensland and some volumes from Australia’s east coast</w:t>
            </w:r>
          </w:p>
        </w:tc>
        <w:tc>
          <w:tcPr>
            <w:tcW w:w="1985" w:type="dxa"/>
          </w:tcPr>
          <w:p w:rsidR="00B862A8" w:rsidRDefault="00171362" w:rsidP="00171362">
            <w:pPr>
              <w:pStyle w:val="Body"/>
              <w:ind w:left="0"/>
            </w:pPr>
            <w:r>
              <w:t>The facility currently treats about 7,000 tonnes of waste per annum and has approximately 3,600 tpa additional capacity. It can treat additional volumes of similar waste if required.</w:t>
            </w:r>
          </w:p>
        </w:tc>
        <w:tc>
          <w:tcPr>
            <w:tcW w:w="2977" w:type="dxa"/>
          </w:tcPr>
          <w:p w:rsidR="00B862A8" w:rsidRDefault="00171362" w:rsidP="00FD0C18">
            <w:pPr>
              <w:pStyle w:val="Body"/>
              <w:ind w:left="0"/>
            </w:pPr>
            <w:r>
              <w:t>There are currently no plans to modify or upgrade this facility other than to consider energy recovery options. Energy recovery options would require a boiler and turbine to be retrofitted to the plant/site. This could be undertaken in approximately 12-24 months.</w:t>
            </w:r>
          </w:p>
        </w:tc>
        <w:tc>
          <w:tcPr>
            <w:tcW w:w="2976" w:type="dxa"/>
          </w:tcPr>
          <w:p w:rsidR="00B862A8" w:rsidRDefault="00171362" w:rsidP="00FD0C18">
            <w:pPr>
              <w:pStyle w:val="Body"/>
              <w:ind w:left="0"/>
            </w:pPr>
            <w:r>
              <w:t>The Ace Waste Willawong facility is currently a key hazardous treatment facility in Queensland and has additional capacity to treat similar types of waste (3,600 tonnes per annum). The process uses a stepped hearth systems so is not suitable for treatment of liquid waste.</w:t>
            </w:r>
          </w:p>
        </w:tc>
      </w:tr>
      <w:tr w:rsidR="00B862A8" w:rsidTr="00FD0C18">
        <w:tc>
          <w:tcPr>
            <w:tcW w:w="1809" w:type="dxa"/>
          </w:tcPr>
          <w:p w:rsidR="00B862A8" w:rsidRDefault="00414214" w:rsidP="00414214">
            <w:pPr>
              <w:pStyle w:val="Body"/>
              <w:ind w:left="0"/>
            </w:pPr>
            <w:r>
              <w:t>Renex, Dandenong, VIC</w:t>
            </w:r>
          </w:p>
        </w:tc>
        <w:tc>
          <w:tcPr>
            <w:tcW w:w="1418" w:type="dxa"/>
          </w:tcPr>
          <w:p w:rsidR="00B862A8" w:rsidRDefault="00414214" w:rsidP="00414214">
            <w:pPr>
              <w:pStyle w:val="Body"/>
              <w:ind w:left="0"/>
            </w:pPr>
            <w:r>
              <w:t>Waste incinerator operating at 1100</w:t>
            </w:r>
            <w:r w:rsidR="006A30DC">
              <w:t xml:space="preserve"> </w:t>
            </w:r>
            <w:r>
              <w:t>-</w:t>
            </w:r>
            <w:r w:rsidR="006A30DC">
              <w:t xml:space="preserve"> </w:t>
            </w:r>
            <w:r>
              <w:t>1200 </w:t>
            </w:r>
            <w:r>
              <w:rPr>
                <w:rFonts w:ascii="Calibri" w:hAnsi="Calibri"/>
              </w:rPr>
              <w:t>°</w:t>
            </w:r>
            <w:r>
              <w:t>C.</w:t>
            </w:r>
          </w:p>
        </w:tc>
        <w:tc>
          <w:tcPr>
            <w:tcW w:w="1417" w:type="dxa"/>
          </w:tcPr>
          <w:p w:rsidR="00B862A8" w:rsidRDefault="00414214" w:rsidP="008D6A6E">
            <w:pPr>
              <w:pStyle w:val="Body"/>
              <w:ind w:left="0"/>
            </w:pPr>
            <w:r>
              <w:t xml:space="preserve">70,000 </w:t>
            </w:r>
            <w:r w:rsidR="008D6A6E">
              <w:t>tpa</w:t>
            </w:r>
          </w:p>
        </w:tc>
        <w:tc>
          <w:tcPr>
            <w:tcW w:w="1701" w:type="dxa"/>
          </w:tcPr>
          <w:p w:rsidR="00B862A8" w:rsidRDefault="008D6A6E" w:rsidP="00FD0C18">
            <w:pPr>
              <w:pStyle w:val="Body"/>
              <w:ind w:left="0"/>
            </w:pPr>
            <w:r>
              <w:t>Facility recently commissioned taking contaminated soil and hazardous waste with a high calorific value. Mostly Victorian region.</w:t>
            </w:r>
          </w:p>
        </w:tc>
        <w:tc>
          <w:tcPr>
            <w:tcW w:w="1985" w:type="dxa"/>
          </w:tcPr>
          <w:p w:rsidR="00B862A8" w:rsidRDefault="008D6A6E" w:rsidP="00FD0C18">
            <w:pPr>
              <w:pStyle w:val="Body"/>
              <w:ind w:left="0"/>
            </w:pPr>
            <w:r>
              <w:t>The facility can potentially take a broad range of hazardous waste types predominantly contaminated solid and liquid wastes. As this is a new facility, many wastes have not been applied at this stage.</w:t>
            </w:r>
          </w:p>
        </w:tc>
        <w:tc>
          <w:tcPr>
            <w:tcW w:w="2977" w:type="dxa"/>
          </w:tcPr>
          <w:p w:rsidR="00B862A8" w:rsidRDefault="008D6A6E" w:rsidP="00FD0C18">
            <w:pPr>
              <w:pStyle w:val="Body"/>
              <w:ind w:left="0"/>
            </w:pPr>
            <w:r>
              <w:t>The current facility can take both a significant volume of similar waste and additional hazardous waste. The facility has continuous monitoring 24/7. The pr</w:t>
            </w:r>
            <w:r w:rsidR="006A30DC">
              <w:t>imary requirement will be licenc</w:t>
            </w:r>
            <w:r>
              <w:t>e amendments as materials are proven to be treated through the existing system.</w:t>
            </w:r>
          </w:p>
        </w:tc>
        <w:tc>
          <w:tcPr>
            <w:tcW w:w="2976" w:type="dxa"/>
          </w:tcPr>
          <w:p w:rsidR="00B862A8" w:rsidRDefault="00D1267B" w:rsidP="00FD0C18">
            <w:pPr>
              <w:pStyle w:val="Body"/>
              <w:ind w:left="0"/>
            </w:pPr>
            <w:r>
              <w:t>A small thermal facility that has potential capacity to treat additional hazardous waste streams. Veolia are interested in exploring these options.</w:t>
            </w:r>
          </w:p>
        </w:tc>
      </w:tr>
      <w:tr w:rsidR="00B862A8" w:rsidTr="00D62B6B">
        <w:trPr>
          <w:cantSplit/>
        </w:trPr>
        <w:tc>
          <w:tcPr>
            <w:tcW w:w="1809" w:type="dxa"/>
          </w:tcPr>
          <w:p w:rsidR="00B862A8" w:rsidRDefault="00E432A4" w:rsidP="00E432A4">
            <w:pPr>
              <w:pStyle w:val="Body"/>
              <w:ind w:left="0"/>
            </w:pPr>
            <w:r>
              <w:lastRenderedPageBreak/>
              <w:t>Veolia Incinerator, Dry Creek, SA</w:t>
            </w:r>
          </w:p>
        </w:tc>
        <w:tc>
          <w:tcPr>
            <w:tcW w:w="1418" w:type="dxa"/>
          </w:tcPr>
          <w:p w:rsidR="00B862A8" w:rsidRDefault="00E432A4" w:rsidP="00FD0C18">
            <w:pPr>
              <w:pStyle w:val="Body"/>
              <w:ind w:left="0"/>
            </w:pPr>
            <w:r>
              <w:t>Stepped hearth waste incinerator.</w:t>
            </w:r>
          </w:p>
        </w:tc>
        <w:tc>
          <w:tcPr>
            <w:tcW w:w="1417" w:type="dxa"/>
          </w:tcPr>
          <w:p w:rsidR="00B862A8" w:rsidRDefault="00E432A4" w:rsidP="00FD0C18">
            <w:pPr>
              <w:pStyle w:val="Body"/>
              <w:ind w:left="0"/>
            </w:pPr>
            <w:r>
              <w:t>4,000 tpa</w:t>
            </w:r>
          </w:p>
        </w:tc>
        <w:tc>
          <w:tcPr>
            <w:tcW w:w="1701" w:type="dxa"/>
          </w:tcPr>
          <w:p w:rsidR="00B862A8" w:rsidRDefault="00E432A4" w:rsidP="00FD0C18">
            <w:pPr>
              <w:pStyle w:val="Body"/>
              <w:ind w:left="0"/>
            </w:pPr>
            <w:r>
              <w:t>Currently treats medical, quarantine and some chemical wastes. Local SA region.</w:t>
            </w:r>
          </w:p>
        </w:tc>
        <w:tc>
          <w:tcPr>
            <w:tcW w:w="1985" w:type="dxa"/>
          </w:tcPr>
          <w:p w:rsidR="00B862A8" w:rsidRDefault="00E432A4" w:rsidP="00FD0C18">
            <w:pPr>
              <w:pStyle w:val="Body"/>
              <w:ind w:left="0"/>
            </w:pPr>
            <w:r>
              <w:t>The facility has a liquid injection feed and good emission controls so can take additional volumes of similar waste and other solid hazardous waste/ liquid streams. The plant has about 50% utilisation.</w:t>
            </w:r>
          </w:p>
        </w:tc>
        <w:tc>
          <w:tcPr>
            <w:tcW w:w="2977" w:type="dxa"/>
          </w:tcPr>
          <w:p w:rsidR="00B862A8" w:rsidRDefault="00E432A4" w:rsidP="00FD0C18">
            <w:pPr>
              <w:pStyle w:val="Body"/>
              <w:ind w:left="0"/>
            </w:pPr>
            <w:r>
              <w:t>The facility can treat additional quantities of hazardous waste with minimal modifications. Upsizing waste feed options could enable treatment of additional wastes that are problematic due to size or format. Modifications or treatment of different waste will require EPA approval and trials.</w:t>
            </w:r>
          </w:p>
        </w:tc>
        <w:tc>
          <w:tcPr>
            <w:tcW w:w="2976" w:type="dxa"/>
          </w:tcPr>
          <w:p w:rsidR="00B862A8" w:rsidRDefault="00E432A4" w:rsidP="00FD0C18">
            <w:pPr>
              <w:pStyle w:val="Body"/>
              <w:ind w:left="0"/>
            </w:pPr>
            <w:r>
              <w:t>A small thermal facility that has potential capacity to treat additional hazardous waste streams. Veolia are interested in exploring these options.</w:t>
            </w:r>
          </w:p>
        </w:tc>
      </w:tr>
    </w:tbl>
    <w:p w:rsidR="00154DC1" w:rsidRDefault="00154DC1" w:rsidP="002B2602">
      <w:pPr>
        <w:pStyle w:val="Heading2"/>
      </w:pPr>
      <w:bookmarkStart w:id="75" w:name="_Toc450909340"/>
      <w:r>
        <w:t>Smelters</w:t>
      </w:r>
      <w:bookmarkEnd w:id="75"/>
    </w:p>
    <w:p w:rsidR="00AA5DC7" w:rsidRDefault="00154DC1" w:rsidP="00154DC1">
      <w:pPr>
        <w:pStyle w:val="Body"/>
      </w:pPr>
      <w:r>
        <w:fldChar w:fldCharType="begin"/>
      </w:r>
      <w:r>
        <w:instrText xml:space="preserve"> REF _Ref450215208 \h </w:instrText>
      </w:r>
      <w:r>
        <w:fldChar w:fldCharType="separate"/>
      </w:r>
      <w:r w:rsidR="006225A8">
        <w:t xml:space="preserve">Table </w:t>
      </w:r>
      <w:r w:rsidR="006225A8">
        <w:rPr>
          <w:noProof/>
        </w:rPr>
        <w:t>5</w:t>
      </w:r>
      <w:r>
        <w:fldChar w:fldCharType="end"/>
      </w:r>
      <w:r>
        <w:t xml:space="preserve"> describes the facilities that use smelting processes to treat hazardous wastes.</w:t>
      </w:r>
      <w:r w:rsidR="007603BB">
        <w:t xml:space="preserve">  All smelting facilities in Australia are listed, however only those which treat hazardous wastes are summarised.  </w:t>
      </w:r>
    </w:p>
    <w:p w:rsidR="00AA5DC7" w:rsidRPr="00AA5DC7" w:rsidRDefault="00AA5DC7" w:rsidP="002B2602">
      <w:pPr>
        <w:pStyle w:val="Caption"/>
      </w:pPr>
      <w:bookmarkStart w:id="76" w:name="_Ref450215208"/>
      <w:bookmarkStart w:id="77" w:name="_Toc450909353"/>
      <w:r>
        <w:t xml:space="preserve">Table </w:t>
      </w:r>
      <w:fldSimple w:instr=" SEQ Table \* ARABIC ">
        <w:r w:rsidR="006225A8">
          <w:rPr>
            <w:noProof/>
          </w:rPr>
          <w:t>5</w:t>
        </w:r>
      </w:fldSimple>
      <w:bookmarkEnd w:id="76"/>
      <w:r>
        <w:tab/>
        <w:t>Description of smelting facilities</w:t>
      </w:r>
      <w:bookmarkEnd w:id="77"/>
      <w:r>
        <w:t xml:space="preserve"> </w:t>
      </w:r>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AA5DC7" w:rsidTr="00FD0C18">
        <w:trPr>
          <w:cnfStyle w:val="100000000000" w:firstRow="1" w:lastRow="0" w:firstColumn="0" w:lastColumn="0" w:oddVBand="0" w:evenVBand="0" w:oddHBand="0" w:evenHBand="0" w:firstRowFirstColumn="0" w:firstRowLastColumn="0" w:lastRowFirstColumn="0" w:lastRowLastColumn="0"/>
          <w:tblHeader/>
        </w:trPr>
        <w:tc>
          <w:tcPr>
            <w:tcW w:w="1809" w:type="dxa"/>
          </w:tcPr>
          <w:p w:rsidR="00AA5DC7" w:rsidRDefault="00AA5DC7" w:rsidP="00FD0C18">
            <w:pPr>
              <w:pStyle w:val="Body"/>
              <w:ind w:left="0"/>
            </w:pPr>
            <w:r>
              <w:t>Facility</w:t>
            </w:r>
          </w:p>
        </w:tc>
        <w:tc>
          <w:tcPr>
            <w:tcW w:w="1418" w:type="dxa"/>
          </w:tcPr>
          <w:p w:rsidR="00AA5DC7" w:rsidRDefault="00AA5DC7" w:rsidP="00FD0C18">
            <w:pPr>
              <w:pStyle w:val="Body"/>
              <w:ind w:left="0"/>
            </w:pPr>
            <w:r>
              <w:t>Description</w:t>
            </w:r>
          </w:p>
        </w:tc>
        <w:tc>
          <w:tcPr>
            <w:tcW w:w="1417" w:type="dxa"/>
          </w:tcPr>
          <w:p w:rsidR="00AA5DC7" w:rsidRDefault="00432D1D" w:rsidP="00FD0C18">
            <w:pPr>
              <w:pStyle w:val="Body"/>
              <w:ind w:left="0"/>
            </w:pPr>
            <w:r>
              <w:t>Total Treatment Capacity</w:t>
            </w:r>
          </w:p>
        </w:tc>
        <w:tc>
          <w:tcPr>
            <w:tcW w:w="1701" w:type="dxa"/>
          </w:tcPr>
          <w:p w:rsidR="00AA5DC7" w:rsidRDefault="0038315E" w:rsidP="00FD0C18">
            <w:pPr>
              <w:pStyle w:val="Body"/>
              <w:ind w:left="0"/>
            </w:pPr>
            <w:r>
              <w:t>Waste type and source</w:t>
            </w:r>
          </w:p>
        </w:tc>
        <w:tc>
          <w:tcPr>
            <w:tcW w:w="1985" w:type="dxa"/>
          </w:tcPr>
          <w:p w:rsidR="00AA5DC7" w:rsidRDefault="00AA5DC7" w:rsidP="00FD0C18">
            <w:pPr>
              <w:pStyle w:val="Body"/>
              <w:ind w:left="0"/>
            </w:pPr>
            <w:r>
              <w:t>Capacity to accept other waste</w:t>
            </w:r>
          </w:p>
        </w:tc>
        <w:tc>
          <w:tcPr>
            <w:tcW w:w="2977" w:type="dxa"/>
          </w:tcPr>
          <w:p w:rsidR="00AA5DC7" w:rsidRDefault="00AA5DC7" w:rsidP="00FD0C18">
            <w:pPr>
              <w:pStyle w:val="Body"/>
              <w:ind w:left="0"/>
            </w:pPr>
            <w:r>
              <w:t>Potential for upgrade or expansion</w:t>
            </w:r>
          </w:p>
        </w:tc>
        <w:tc>
          <w:tcPr>
            <w:tcW w:w="2976" w:type="dxa"/>
          </w:tcPr>
          <w:p w:rsidR="00AA5DC7" w:rsidRDefault="00AA5DC7" w:rsidP="00FD0C18">
            <w:pPr>
              <w:pStyle w:val="Body"/>
              <w:ind w:left="0"/>
            </w:pPr>
            <w:r>
              <w:t>Summary</w:t>
            </w:r>
          </w:p>
        </w:tc>
      </w:tr>
      <w:tr w:rsidR="00AA5DC7" w:rsidTr="002B2602">
        <w:tc>
          <w:tcPr>
            <w:tcW w:w="1809" w:type="dxa"/>
          </w:tcPr>
          <w:p w:rsidR="00AA5DC7" w:rsidRDefault="00414214" w:rsidP="00414214">
            <w:pPr>
              <w:pStyle w:val="Body"/>
              <w:ind w:left="0"/>
            </w:pPr>
            <w:r>
              <w:t>Korea Zinc Smelter, Townsville, QLD</w:t>
            </w:r>
          </w:p>
        </w:tc>
        <w:tc>
          <w:tcPr>
            <w:tcW w:w="1418" w:type="dxa"/>
          </w:tcPr>
          <w:p w:rsidR="00AA5DC7" w:rsidRDefault="00E432A4" w:rsidP="00FD0C18">
            <w:pPr>
              <w:pStyle w:val="Body"/>
              <w:ind w:left="0"/>
            </w:pPr>
            <w:r>
              <w:t>2 fluidised bed roasters</w:t>
            </w:r>
          </w:p>
        </w:tc>
        <w:tc>
          <w:tcPr>
            <w:tcW w:w="1417" w:type="dxa"/>
          </w:tcPr>
          <w:p w:rsidR="00AA5DC7" w:rsidRDefault="00E432A4" w:rsidP="00FD0C18">
            <w:pPr>
              <w:pStyle w:val="Body"/>
              <w:ind w:left="0"/>
            </w:pPr>
            <w:r>
              <w:t>350,000 tpa</w:t>
            </w:r>
          </w:p>
        </w:tc>
        <w:tc>
          <w:tcPr>
            <w:tcW w:w="1701" w:type="dxa"/>
          </w:tcPr>
          <w:p w:rsidR="00AA5DC7" w:rsidRDefault="00E432A4" w:rsidP="00FD0C18">
            <w:pPr>
              <w:pStyle w:val="Body"/>
              <w:ind w:left="0"/>
            </w:pPr>
            <w:r>
              <w:t xml:space="preserve">Spent sulphuric acid from local galvanizer, site’s own waste such as filter cloth </w:t>
            </w:r>
            <w:r>
              <w:lastRenderedPageBreak/>
              <w:t>and filter cake. Local businesses in Townsville.</w:t>
            </w:r>
          </w:p>
        </w:tc>
        <w:tc>
          <w:tcPr>
            <w:tcW w:w="1985" w:type="dxa"/>
          </w:tcPr>
          <w:p w:rsidR="00AA5DC7" w:rsidRDefault="00E432A4" w:rsidP="00FD0C18">
            <w:pPr>
              <w:pStyle w:val="Body"/>
              <w:ind w:left="0"/>
            </w:pPr>
            <w:r>
              <w:lastRenderedPageBreak/>
              <w:t xml:space="preserve">Potential to take other hazardous waste streams in existing facility with 850 </w:t>
            </w:r>
            <w:r>
              <w:rPr>
                <w:rFonts w:ascii="Calibri" w:hAnsi="Calibri"/>
              </w:rPr>
              <w:t>°</w:t>
            </w:r>
            <w:r>
              <w:t xml:space="preserve">C treatment </w:t>
            </w:r>
            <w:r>
              <w:lastRenderedPageBreak/>
              <w:t>and dry process emission controls.</w:t>
            </w:r>
          </w:p>
        </w:tc>
        <w:tc>
          <w:tcPr>
            <w:tcW w:w="2977" w:type="dxa"/>
          </w:tcPr>
          <w:p w:rsidR="00AA5DC7" w:rsidRDefault="00E432A4" w:rsidP="00D62B6B">
            <w:pPr>
              <w:pStyle w:val="Body"/>
              <w:ind w:left="0"/>
            </w:pPr>
            <w:r>
              <w:lastRenderedPageBreak/>
              <w:t xml:space="preserve">Sun Metals have undertaken trials to treat other waste streams, however these have been expensive and timely to undertake. There is interest to </w:t>
            </w:r>
            <w:r>
              <w:lastRenderedPageBreak/>
              <w:t>explore treatment of other reliable waste streams such as industrial/commercial wastes in the broader region. The cost and time frames for trialling treatment of alternative waste streams is a significant deterrent, although this has been undertaken and can be undertaken for commercially viable waste streams.</w:t>
            </w:r>
          </w:p>
        </w:tc>
        <w:tc>
          <w:tcPr>
            <w:tcW w:w="2976" w:type="dxa"/>
          </w:tcPr>
          <w:p w:rsidR="00E432A4" w:rsidRPr="005C1B6E" w:rsidRDefault="00E432A4" w:rsidP="00D62B6B">
            <w:pPr>
              <w:pStyle w:val="Body"/>
              <w:ind w:left="0"/>
            </w:pPr>
            <w:r>
              <w:lastRenderedPageBreak/>
              <w:t xml:space="preserve">The Korea Zinc Smelter in Townsville has potential capacity to treat hazardous wastes in Northern Queensland that are </w:t>
            </w:r>
            <w:r>
              <w:lastRenderedPageBreak/>
              <w:t xml:space="preserve">commercially viable and appropriate for feed into the smelter.  </w:t>
            </w:r>
          </w:p>
          <w:p w:rsidR="00AA5DC7" w:rsidRDefault="00AA5DC7" w:rsidP="00FD0C18">
            <w:pPr>
              <w:pStyle w:val="Body"/>
              <w:ind w:left="0"/>
            </w:pPr>
          </w:p>
        </w:tc>
      </w:tr>
      <w:tr w:rsidR="007603BB" w:rsidTr="0075672E">
        <w:tc>
          <w:tcPr>
            <w:tcW w:w="1809" w:type="dxa"/>
          </w:tcPr>
          <w:p w:rsidR="007603BB" w:rsidRDefault="007603BB" w:rsidP="00FD0C18">
            <w:pPr>
              <w:pStyle w:val="Body"/>
              <w:ind w:left="0"/>
            </w:pPr>
            <w:r>
              <w:lastRenderedPageBreak/>
              <w:t>Pacific Aluminium</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TEMCO</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 xml:space="preserve">BHP Port Kembla </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Arrium, Whyalla</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Mt Isa Smelters</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Queensland Nickel Industries</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Nyrstar Hobart Zinc Smelter</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7603BB">
            <w:pPr>
              <w:pStyle w:val="Body"/>
              <w:ind w:left="0"/>
            </w:pPr>
            <w:r>
              <w:t xml:space="preserve">Nyrstar Port </w:t>
            </w:r>
            <w:r w:rsidR="0092595A">
              <w:t>Pirie</w:t>
            </w:r>
            <w:r>
              <w:t xml:space="preserve"> Smelter</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lastRenderedPageBreak/>
              <w:t>Tomago Aluminium</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BHP Olympic Dam Copper Smelter</w:t>
            </w:r>
          </w:p>
        </w:tc>
        <w:tc>
          <w:tcPr>
            <w:tcW w:w="12474" w:type="dxa"/>
            <w:gridSpan w:val="6"/>
          </w:tcPr>
          <w:p w:rsidR="007603BB" w:rsidRDefault="007603BB" w:rsidP="007603BB">
            <w:pPr>
              <w:pStyle w:val="Body"/>
              <w:ind w:left="0"/>
              <w:jc w:val="center"/>
            </w:pPr>
            <w:r>
              <w:t>Does not treat hazardous waste</w:t>
            </w:r>
          </w:p>
        </w:tc>
      </w:tr>
      <w:tr w:rsidR="007603BB" w:rsidTr="0075672E">
        <w:tc>
          <w:tcPr>
            <w:tcW w:w="1809" w:type="dxa"/>
          </w:tcPr>
          <w:p w:rsidR="007603BB" w:rsidRDefault="007603BB" w:rsidP="00FD0C18">
            <w:pPr>
              <w:pStyle w:val="Body"/>
              <w:ind w:left="0"/>
            </w:pPr>
            <w:r>
              <w:t>BHP Kalgoorlie Nickel Smelter</w:t>
            </w:r>
          </w:p>
        </w:tc>
        <w:tc>
          <w:tcPr>
            <w:tcW w:w="12474" w:type="dxa"/>
            <w:gridSpan w:val="6"/>
          </w:tcPr>
          <w:p w:rsidR="007603BB" w:rsidRDefault="007603BB" w:rsidP="007603BB">
            <w:pPr>
              <w:pStyle w:val="Body"/>
              <w:ind w:left="0"/>
              <w:jc w:val="center"/>
            </w:pPr>
            <w:r>
              <w:t>Does not treat hazardous waste</w:t>
            </w:r>
          </w:p>
        </w:tc>
      </w:tr>
    </w:tbl>
    <w:p w:rsidR="00171362" w:rsidRDefault="006C5ACD" w:rsidP="002B2602">
      <w:pPr>
        <w:pStyle w:val="Heading2"/>
      </w:pPr>
      <w:bookmarkStart w:id="78" w:name="_Toc450909341"/>
      <w:r>
        <w:t>Rotary furnaces and kilns</w:t>
      </w:r>
      <w:bookmarkEnd w:id="78"/>
    </w:p>
    <w:p w:rsidR="00AA5DC7" w:rsidRDefault="00E432A4" w:rsidP="00AA5DC7">
      <w:pPr>
        <w:pStyle w:val="Body"/>
      </w:pPr>
      <w:r>
        <w:fldChar w:fldCharType="begin"/>
      </w:r>
      <w:r>
        <w:instrText xml:space="preserve"> REF _Ref450215132 \h </w:instrText>
      </w:r>
      <w:r>
        <w:fldChar w:fldCharType="separate"/>
      </w:r>
      <w:r w:rsidR="006225A8">
        <w:t xml:space="preserve">Table </w:t>
      </w:r>
      <w:r w:rsidR="006225A8">
        <w:rPr>
          <w:noProof/>
        </w:rPr>
        <w:t>6</w:t>
      </w:r>
      <w:r>
        <w:fldChar w:fldCharType="end"/>
      </w:r>
      <w:r>
        <w:t xml:space="preserve"> describes the facilities that use rotary furnaces or kilns to treat hazardous wastes.</w:t>
      </w:r>
    </w:p>
    <w:p w:rsidR="00AA5DC7" w:rsidRDefault="00AA5DC7" w:rsidP="002B2602">
      <w:pPr>
        <w:pStyle w:val="Caption"/>
      </w:pPr>
      <w:bookmarkStart w:id="79" w:name="_Ref450215132"/>
      <w:bookmarkStart w:id="80" w:name="_Toc450909354"/>
      <w:r>
        <w:t xml:space="preserve">Table </w:t>
      </w:r>
      <w:fldSimple w:instr=" SEQ Table \* ARABIC ">
        <w:r w:rsidR="006225A8">
          <w:rPr>
            <w:noProof/>
          </w:rPr>
          <w:t>6</w:t>
        </w:r>
      </w:fldSimple>
      <w:bookmarkEnd w:id="79"/>
      <w:r>
        <w:tab/>
        <w:t xml:space="preserve">Description of </w:t>
      </w:r>
      <w:r w:rsidR="006C5ACD">
        <w:t>rotary</w:t>
      </w:r>
      <w:r>
        <w:t xml:space="preserve"> </w:t>
      </w:r>
      <w:r w:rsidR="006C5ACD">
        <w:t xml:space="preserve">furnace and </w:t>
      </w:r>
      <w:r>
        <w:t>kiln facilities</w:t>
      </w:r>
      <w:bookmarkEnd w:id="80"/>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AA5DC7" w:rsidTr="00FD0C18">
        <w:trPr>
          <w:cnfStyle w:val="100000000000" w:firstRow="1" w:lastRow="0" w:firstColumn="0" w:lastColumn="0" w:oddVBand="0" w:evenVBand="0" w:oddHBand="0" w:evenHBand="0" w:firstRowFirstColumn="0" w:firstRowLastColumn="0" w:lastRowFirstColumn="0" w:lastRowLastColumn="0"/>
          <w:tblHeader/>
        </w:trPr>
        <w:tc>
          <w:tcPr>
            <w:tcW w:w="1809" w:type="dxa"/>
          </w:tcPr>
          <w:p w:rsidR="00AA5DC7" w:rsidRDefault="00AA5DC7" w:rsidP="00FD0C18">
            <w:pPr>
              <w:pStyle w:val="Body"/>
              <w:ind w:left="0"/>
            </w:pPr>
            <w:r>
              <w:t>Facility</w:t>
            </w:r>
          </w:p>
        </w:tc>
        <w:tc>
          <w:tcPr>
            <w:tcW w:w="1418" w:type="dxa"/>
          </w:tcPr>
          <w:p w:rsidR="00AA5DC7" w:rsidRDefault="00AA5DC7" w:rsidP="00FD0C18">
            <w:pPr>
              <w:pStyle w:val="Body"/>
              <w:ind w:left="0"/>
            </w:pPr>
            <w:r>
              <w:t>Description</w:t>
            </w:r>
          </w:p>
        </w:tc>
        <w:tc>
          <w:tcPr>
            <w:tcW w:w="1417" w:type="dxa"/>
          </w:tcPr>
          <w:p w:rsidR="00AA5DC7" w:rsidRDefault="00432D1D" w:rsidP="00FD0C18">
            <w:pPr>
              <w:pStyle w:val="Body"/>
              <w:ind w:left="0"/>
            </w:pPr>
            <w:r>
              <w:t>Total Treatment Capacity</w:t>
            </w:r>
          </w:p>
        </w:tc>
        <w:tc>
          <w:tcPr>
            <w:tcW w:w="1701" w:type="dxa"/>
          </w:tcPr>
          <w:p w:rsidR="00AA5DC7" w:rsidRDefault="0038315E" w:rsidP="00FD0C18">
            <w:pPr>
              <w:pStyle w:val="Body"/>
              <w:ind w:left="0"/>
            </w:pPr>
            <w:r>
              <w:t>Waste type and source</w:t>
            </w:r>
          </w:p>
        </w:tc>
        <w:tc>
          <w:tcPr>
            <w:tcW w:w="1985" w:type="dxa"/>
          </w:tcPr>
          <w:p w:rsidR="00AA5DC7" w:rsidRDefault="00AA5DC7" w:rsidP="00FD0C18">
            <w:pPr>
              <w:pStyle w:val="Body"/>
              <w:ind w:left="0"/>
            </w:pPr>
            <w:r>
              <w:t>Capacity to accept other waste</w:t>
            </w:r>
          </w:p>
        </w:tc>
        <w:tc>
          <w:tcPr>
            <w:tcW w:w="2977" w:type="dxa"/>
          </w:tcPr>
          <w:p w:rsidR="00AA5DC7" w:rsidRDefault="00AA5DC7" w:rsidP="00FD0C18">
            <w:pPr>
              <w:pStyle w:val="Body"/>
              <w:ind w:left="0"/>
            </w:pPr>
            <w:r>
              <w:t>Potential for upgrade or expansion</w:t>
            </w:r>
          </w:p>
        </w:tc>
        <w:tc>
          <w:tcPr>
            <w:tcW w:w="2976" w:type="dxa"/>
          </w:tcPr>
          <w:p w:rsidR="00AA5DC7" w:rsidRDefault="00AA5DC7" w:rsidP="00FD0C18">
            <w:pPr>
              <w:pStyle w:val="Body"/>
              <w:ind w:left="0"/>
            </w:pPr>
            <w:r>
              <w:t>Summary</w:t>
            </w:r>
          </w:p>
        </w:tc>
      </w:tr>
      <w:tr w:rsidR="00AA5DC7" w:rsidTr="00FD0C18">
        <w:tc>
          <w:tcPr>
            <w:tcW w:w="1809" w:type="dxa"/>
          </w:tcPr>
          <w:p w:rsidR="00AA5DC7" w:rsidRDefault="00AA5DC7" w:rsidP="00AA5DC7">
            <w:pPr>
              <w:pStyle w:val="Body"/>
              <w:ind w:left="0"/>
            </w:pPr>
            <w:r>
              <w:t>Adelaide Brighton Cement Kiln, Birkenhead, SA</w:t>
            </w:r>
          </w:p>
        </w:tc>
        <w:tc>
          <w:tcPr>
            <w:tcW w:w="1418" w:type="dxa"/>
          </w:tcPr>
          <w:p w:rsidR="00AA5DC7" w:rsidRDefault="00AA5DC7" w:rsidP="00FD0C18">
            <w:pPr>
              <w:pStyle w:val="Body"/>
              <w:ind w:left="0"/>
            </w:pPr>
            <w:r>
              <w:t>Cement kiln – large single kiln</w:t>
            </w:r>
          </w:p>
        </w:tc>
        <w:tc>
          <w:tcPr>
            <w:tcW w:w="1417" w:type="dxa"/>
          </w:tcPr>
          <w:p w:rsidR="00AA5DC7" w:rsidRDefault="00AA5DC7" w:rsidP="0038315E">
            <w:pPr>
              <w:pStyle w:val="Body"/>
              <w:ind w:left="0"/>
            </w:pPr>
            <w:r>
              <w:t xml:space="preserve">750,000 </w:t>
            </w:r>
            <w:r w:rsidR="0038315E">
              <w:t xml:space="preserve">tpa </w:t>
            </w:r>
          </w:p>
        </w:tc>
        <w:tc>
          <w:tcPr>
            <w:tcW w:w="1701" w:type="dxa"/>
          </w:tcPr>
          <w:p w:rsidR="00AA5DC7" w:rsidRDefault="00AA5DC7" w:rsidP="00FD0C18">
            <w:pPr>
              <w:pStyle w:val="Body"/>
              <w:ind w:left="0"/>
            </w:pPr>
            <w:r w:rsidRPr="00E14787">
              <w:t>C</w:t>
            </w:r>
            <w:r>
              <w:t>urrently takes woodchip derived fuel, carbon powder, waste fuel and various miscellaneous wastes.</w:t>
            </w:r>
            <w:r w:rsidRPr="00E14787">
              <w:t xml:space="preserve"> </w:t>
            </w:r>
            <w:r>
              <w:t xml:space="preserve">Waste is approximately 23-24% of the </w:t>
            </w:r>
            <w:r>
              <w:lastRenderedPageBreak/>
              <w:t>fuel feed.</w:t>
            </w:r>
            <w:r w:rsidR="00CB781D">
              <w:t xml:space="preserve"> Mostly local SA region</w:t>
            </w:r>
          </w:p>
        </w:tc>
        <w:tc>
          <w:tcPr>
            <w:tcW w:w="1985" w:type="dxa"/>
          </w:tcPr>
          <w:p w:rsidR="00AA5DC7" w:rsidRDefault="00CB781D" w:rsidP="00CB781D">
            <w:pPr>
              <w:pStyle w:val="Body"/>
              <w:ind w:left="0"/>
            </w:pPr>
            <w:r>
              <w:lastRenderedPageBreak/>
              <w:t xml:space="preserve">The facility can take a diverse range of alternative waste such as medical waste, liquid and solid fuels and waste tyres. The primary focus on hazardous waste is material with </w:t>
            </w:r>
            <w:r>
              <w:lastRenderedPageBreak/>
              <w:t>relatively high calorific value to assist kiln operations (operating temperature is approximately 1600 </w:t>
            </w:r>
            <w:r>
              <w:rPr>
                <w:rFonts w:ascii="Calibri" w:hAnsi="Calibri"/>
              </w:rPr>
              <w:t>°</w:t>
            </w:r>
            <w:r>
              <w:t>C)</w:t>
            </w:r>
          </w:p>
        </w:tc>
        <w:tc>
          <w:tcPr>
            <w:tcW w:w="2977" w:type="dxa"/>
          </w:tcPr>
          <w:p w:rsidR="00AA5DC7" w:rsidRDefault="00CB781D" w:rsidP="00FD0C18">
            <w:pPr>
              <w:pStyle w:val="Body"/>
              <w:ind w:left="0"/>
            </w:pPr>
            <w:r>
              <w:lastRenderedPageBreak/>
              <w:t xml:space="preserve">Modifications can be made to the facility, which relate to the feed process into the kiln and waste handling/storage facilities/procedures. Adelaide Brighton would need to work with licensing authorities in SA to evaluate options and undertake a feasibility study. The company expressed </w:t>
            </w:r>
            <w:r>
              <w:lastRenderedPageBreak/>
              <w:t>concerns regarding consistent waste supply requirements to warrant the effort of further investigation.</w:t>
            </w:r>
          </w:p>
        </w:tc>
        <w:tc>
          <w:tcPr>
            <w:tcW w:w="2976" w:type="dxa"/>
          </w:tcPr>
          <w:p w:rsidR="00AA5DC7" w:rsidRDefault="00CB781D" w:rsidP="00FD0C18">
            <w:pPr>
              <w:pStyle w:val="Body"/>
              <w:ind w:left="0"/>
            </w:pPr>
            <w:r>
              <w:lastRenderedPageBreak/>
              <w:t>Further evaluation of suitable problem waste streams should be considered and feasibility of the Birkenhead facility to be modified to take additional volumes. This will also need to include evaluation of air emission impacts.</w:t>
            </w:r>
          </w:p>
        </w:tc>
      </w:tr>
      <w:tr w:rsidR="00AA5DC7" w:rsidTr="00FD0C18">
        <w:tc>
          <w:tcPr>
            <w:tcW w:w="1809" w:type="dxa"/>
          </w:tcPr>
          <w:p w:rsidR="00AA5DC7" w:rsidRDefault="00CB781D" w:rsidP="00CB781D">
            <w:pPr>
              <w:pStyle w:val="Body"/>
              <w:ind w:left="0"/>
            </w:pPr>
            <w:r>
              <w:t>Adelaide Brighton Cement, Angaston, SA</w:t>
            </w:r>
          </w:p>
        </w:tc>
        <w:tc>
          <w:tcPr>
            <w:tcW w:w="1418" w:type="dxa"/>
          </w:tcPr>
          <w:p w:rsidR="00AA5DC7" w:rsidRDefault="006C5ACD" w:rsidP="00FD0C18">
            <w:pPr>
              <w:pStyle w:val="Body"/>
              <w:ind w:left="0"/>
            </w:pPr>
            <w:r>
              <w:t>Cement kiln – three kilns</w:t>
            </w:r>
          </w:p>
        </w:tc>
        <w:tc>
          <w:tcPr>
            <w:tcW w:w="1417" w:type="dxa"/>
          </w:tcPr>
          <w:p w:rsidR="00AA5DC7" w:rsidRDefault="006C5ACD" w:rsidP="006C5ACD">
            <w:pPr>
              <w:pStyle w:val="Body"/>
              <w:ind w:left="0"/>
            </w:pPr>
            <w:r>
              <w:t xml:space="preserve">250,000 tpa </w:t>
            </w:r>
          </w:p>
        </w:tc>
        <w:tc>
          <w:tcPr>
            <w:tcW w:w="1701" w:type="dxa"/>
          </w:tcPr>
          <w:p w:rsidR="00AA5DC7" w:rsidRDefault="006C5ACD" w:rsidP="00FD0C18">
            <w:pPr>
              <w:pStyle w:val="Body"/>
              <w:ind w:left="0"/>
            </w:pPr>
            <w:r w:rsidRPr="00E14787">
              <w:t>C</w:t>
            </w:r>
            <w:r>
              <w:t xml:space="preserve">urrently treats &lt; 20% woodchip derived fuel, carbon powder, waste fuel and some miscellaneous waste streams. </w:t>
            </w:r>
            <w:r w:rsidRPr="00E14787">
              <w:t>Predom</w:t>
            </w:r>
            <w:r>
              <w:t>inantly SA region</w:t>
            </w:r>
          </w:p>
        </w:tc>
        <w:tc>
          <w:tcPr>
            <w:tcW w:w="1985" w:type="dxa"/>
          </w:tcPr>
          <w:p w:rsidR="00AA5DC7" w:rsidRDefault="006C5ACD" w:rsidP="00FD0C18">
            <w:pPr>
              <w:pStyle w:val="Body"/>
              <w:ind w:left="0"/>
            </w:pPr>
            <w:r>
              <w:t>The facility can treat additional volumes of existing waste streams and additional wastes that may require adaptation of feed and handling systems.</w:t>
            </w:r>
          </w:p>
        </w:tc>
        <w:tc>
          <w:tcPr>
            <w:tcW w:w="2977" w:type="dxa"/>
          </w:tcPr>
          <w:p w:rsidR="00AA5DC7" w:rsidRDefault="006C5ACD" w:rsidP="00FD0C18">
            <w:pPr>
              <w:pStyle w:val="Body"/>
              <w:ind w:left="0"/>
            </w:pPr>
            <w:r>
              <w:t xml:space="preserve">Modifications can be made to the facility regarding the feed process into the kiln and waste handling/storage facilities/procedures. Having three kilns potentially provides some flexibility of feed types. </w:t>
            </w:r>
            <w:r w:rsidRPr="00A53E04">
              <w:t xml:space="preserve">Adelaide Brighton would need to work with licensing authorities in SA to evaluate options and undertake feasibility. The company expressed concerns </w:t>
            </w:r>
            <w:r>
              <w:t>regarding</w:t>
            </w:r>
            <w:r w:rsidRPr="00A53E04">
              <w:t xml:space="preserve"> consistent waste supply to warrant the effort of further investigation.</w:t>
            </w:r>
          </w:p>
        </w:tc>
        <w:tc>
          <w:tcPr>
            <w:tcW w:w="2976" w:type="dxa"/>
          </w:tcPr>
          <w:p w:rsidR="00AA5DC7" w:rsidRDefault="006C5ACD" w:rsidP="00FD0C18">
            <w:pPr>
              <w:pStyle w:val="Body"/>
              <w:ind w:left="0"/>
            </w:pPr>
            <w:r>
              <w:t>Further evaluation of suitable problem waste streams should be considered and feasibility of the Angaston facility to be modified to take additional volumes. This will also need to include evaluation of air emission impacts.</w:t>
            </w:r>
          </w:p>
        </w:tc>
      </w:tr>
      <w:tr w:rsidR="00AA5DC7" w:rsidTr="00FD0C18">
        <w:tc>
          <w:tcPr>
            <w:tcW w:w="1809" w:type="dxa"/>
          </w:tcPr>
          <w:p w:rsidR="00AA5DC7" w:rsidRDefault="006C5ACD" w:rsidP="006C5ACD">
            <w:pPr>
              <w:pStyle w:val="Body"/>
              <w:ind w:left="0"/>
            </w:pPr>
            <w:r>
              <w:lastRenderedPageBreak/>
              <w:t>Cement Australia</w:t>
            </w:r>
            <w:r w:rsidR="00154DC1">
              <w:t>*</w:t>
            </w:r>
            <w:r>
              <w:t>, Gladstone, QLD</w:t>
            </w:r>
          </w:p>
        </w:tc>
        <w:tc>
          <w:tcPr>
            <w:tcW w:w="1418" w:type="dxa"/>
          </w:tcPr>
          <w:p w:rsidR="00AA5DC7" w:rsidRDefault="006C5ACD" w:rsidP="00FD0C18">
            <w:pPr>
              <w:pStyle w:val="Body"/>
              <w:ind w:left="0"/>
            </w:pPr>
            <w:r>
              <w:t>Cement kiln</w:t>
            </w:r>
          </w:p>
        </w:tc>
        <w:tc>
          <w:tcPr>
            <w:tcW w:w="1417" w:type="dxa"/>
          </w:tcPr>
          <w:p w:rsidR="00AA5DC7" w:rsidRDefault="006C5ACD" w:rsidP="00FD0C18">
            <w:pPr>
              <w:pStyle w:val="Body"/>
              <w:ind w:left="0"/>
            </w:pPr>
            <w:r>
              <w:t>1.7 million tpa</w:t>
            </w:r>
          </w:p>
        </w:tc>
        <w:tc>
          <w:tcPr>
            <w:tcW w:w="1701" w:type="dxa"/>
          </w:tcPr>
          <w:p w:rsidR="00AA5DC7" w:rsidRDefault="006C5ACD" w:rsidP="0038315E">
            <w:pPr>
              <w:pStyle w:val="Body"/>
              <w:ind w:left="0"/>
            </w:pPr>
            <w:r>
              <w:t xml:space="preserve">Currently the facility treats between 15,000-20,000 </w:t>
            </w:r>
            <w:r w:rsidR="0038315E">
              <w:t xml:space="preserve">tpa </w:t>
            </w:r>
            <w:r>
              <w:t>of hazardous waste in part prepared by Geocycle in Victoria. Most waste streams from Australia’s east coast.</w:t>
            </w:r>
          </w:p>
        </w:tc>
        <w:tc>
          <w:tcPr>
            <w:tcW w:w="1985" w:type="dxa"/>
          </w:tcPr>
          <w:p w:rsidR="00AA5DC7" w:rsidRDefault="006C5ACD" w:rsidP="00FD0C18">
            <w:pPr>
              <w:pStyle w:val="Body"/>
              <w:ind w:left="0"/>
            </w:pPr>
            <w:r>
              <w:t xml:space="preserve">The facility can potentially treat a significant increase in the volume of hazardous waste and has identified SPL, hazardous soils, pharmaceuticals, fuel products, </w:t>
            </w:r>
            <w:r w:rsidR="006A30DC">
              <w:t>solvent-based</w:t>
            </w:r>
            <w:r>
              <w:t xml:space="preserve"> waste and AQIS waste as potential waste streams.  Other hazardous waste streams may be potentially treated in this facility. Current thermal energy replacement from waste is about 12%. Cement Australia has indicated similar plants in Europe are processing 70-80% thermal </w:t>
            </w:r>
            <w:r>
              <w:lastRenderedPageBreak/>
              <w:t>displacement from waste sources.</w:t>
            </w:r>
          </w:p>
        </w:tc>
        <w:tc>
          <w:tcPr>
            <w:tcW w:w="2977" w:type="dxa"/>
          </w:tcPr>
          <w:p w:rsidR="00AA5DC7" w:rsidRDefault="006C5ACD" w:rsidP="00FD0C18">
            <w:pPr>
              <w:pStyle w:val="Body"/>
              <w:ind w:left="0"/>
            </w:pPr>
            <w:r>
              <w:lastRenderedPageBreak/>
              <w:t xml:space="preserve">The facility can treat significant additional quantities of hazardous waste with minimal modifications. Modifications are likely to be in feed systems and waste handling and review/ evaluation of thermal displacement on kiln performance and air emissions. Licensing changes are also likely to be required. Depending on the scale and feasibility of </w:t>
            </w:r>
            <w:r w:rsidR="006A30DC">
              <w:t>changes,</w:t>
            </w:r>
            <w:r>
              <w:t xml:space="preserve"> this could be undertaken in relatively short time frames.</w:t>
            </w:r>
          </w:p>
        </w:tc>
        <w:tc>
          <w:tcPr>
            <w:tcW w:w="2976" w:type="dxa"/>
          </w:tcPr>
          <w:p w:rsidR="00AA5DC7" w:rsidRDefault="006C5ACD" w:rsidP="00FD0C18">
            <w:pPr>
              <w:pStyle w:val="Body"/>
              <w:ind w:left="0"/>
            </w:pPr>
            <w:r>
              <w:t>Cement Australia has expressed interest in optimising facilities to take significant additional volumes of hazardous waste that meet the kiln operating requirements. Further evaluation of waste streams and feasibility of modifications should be considered.</w:t>
            </w:r>
          </w:p>
        </w:tc>
      </w:tr>
      <w:tr w:rsidR="00AA5DC7" w:rsidTr="00FD0C18">
        <w:tc>
          <w:tcPr>
            <w:tcW w:w="1809" w:type="dxa"/>
          </w:tcPr>
          <w:p w:rsidR="00AA5DC7" w:rsidRDefault="006C5ACD" w:rsidP="006C5ACD">
            <w:pPr>
              <w:pStyle w:val="Body"/>
              <w:ind w:left="0"/>
            </w:pPr>
            <w:r>
              <w:t>Cement Australia</w:t>
            </w:r>
            <w:r w:rsidR="00154DC1">
              <w:rPr>
                <w:vertAlign w:val="superscript"/>
              </w:rPr>
              <w:t>*</w:t>
            </w:r>
            <w:r>
              <w:t>, Railton, TAS</w:t>
            </w:r>
          </w:p>
        </w:tc>
        <w:tc>
          <w:tcPr>
            <w:tcW w:w="1418" w:type="dxa"/>
          </w:tcPr>
          <w:p w:rsidR="00AA5DC7" w:rsidRDefault="006C5ACD" w:rsidP="00FD0C18">
            <w:pPr>
              <w:pStyle w:val="Body"/>
              <w:ind w:left="0"/>
            </w:pPr>
            <w:r>
              <w:t>Cement kiln</w:t>
            </w:r>
          </w:p>
        </w:tc>
        <w:tc>
          <w:tcPr>
            <w:tcW w:w="1417" w:type="dxa"/>
          </w:tcPr>
          <w:p w:rsidR="00AA5DC7" w:rsidRDefault="006C5ACD" w:rsidP="00FD0C18">
            <w:pPr>
              <w:pStyle w:val="Body"/>
              <w:ind w:left="0"/>
            </w:pPr>
            <w:r>
              <w:t>1 million tpa</w:t>
            </w:r>
          </w:p>
        </w:tc>
        <w:tc>
          <w:tcPr>
            <w:tcW w:w="1701" w:type="dxa"/>
          </w:tcPr>
          <w:p w:rsidR="00AA5DC7" w:rsidRDefault="006C5ACD" w:rsidP="00FD0C18">
            <w:pPr>
              <w:pStyle w:val="Body"/>
              <w:ind w:left="0"/>
            </w:pPr>
            <w:r>
              <w:t>Currently the facility treats between about 25,000 tonnes per annum of hazardous waste in part prepared by Geocycle in Victoria. Mostly Tasmania and waste streams from Australia’s east coast.</w:t>
            </w:r>
          </w:p>
        </w:tc>
        <w:tc>
          <w:tcPr>
            <w:tcW w:w="1985" w:type="dxa"/>
          </w:tcPr>
          <w:p w:rsidR="00AA5DC7" w:rsidRDefault="0038315E" w:rsidP="00FD0C18">
            <w:pPr>
              <w:pStyle w:val="Body"/>
              <w:ind w:left="0"/>
            </w:pPr>
            <w:r>
              <w:t xml:space="preserve">The facility can potentially treat a significant increase in the volume of hazardous waste and has identified SPL, hazardous soils, pharmaceuticals, fuel products, </w:t>
            </w:r>
            <w:r w:rsidR="006A30DC">
              <w:t>solvent-based</w:t>
            </w:r>
            <w:r>
              <w:t xml:space="preserve"> waste and AQIS waste as potential waste streams. Other hazardous waste streams may be potentially treated in this facility. Current thermal energy replacement from waste is about 12%. Cement Australia has indicated similar </w:t>
            </w:r>
            <w:r>
              <w:lastRenderedPageBreak/>
              <w:t>plants in Europe are processing 70-80% thermal displacement from waste sources.</w:t>
            </w:r>
          </w:p>
        </w:tc>
        <w:tc>
          <w:tcPr>
            <w:tcW w:w="2977" w:type="dxa"/>
          </w:tcPr>
          <w:p w:rsidR="00AA5DC7" w:rsidRDefault="0038315E" w:rsidP="00FD0C18">
            <w:pPr>
              <w:pStyle w:val="Body"/>
              <w:ind w:left="0"/>
            </w:pPr>
            <w:r>
              <w:lastRenderedPageBreak/>
              <w:t xml:space="preserve">The facility can treat significant additional quantities of hazardous waste with minimal modifications. Modifications are likely to be in feed systems and waste handling and review/ evaluation of thermal displacement on kiln performance and air emissions. Licensing changes are also likely to be required. Depending on the scale and feasibility of </w:t>
            </w:r>
            <w:r w:rsidR="006A30DC">
              <w:t>changes,</w:t>
            </w:r>
            <w:r>
              <w:t xml:space="preserve"> this could be undertaken in relatively short time frames.</w:t>
            </w:r>
          </w:p>
        </w:tc>
        <w:tc>
          <w:tcPr>
            <w:tcW w:w="2976" w:type="dxa"/>
          </w:tcPr>
          <w:p w:rsidR="00AA5DC7" w:rsidRDefault="0038315E" w:rsidP="00FD0C18">
            <w:pPr>
              <w:pStyle w:val="Body"/>
              <w:ind w:left="0"/>
            </w:pPr>
            <w:r>
              <w:t>Cement Australia has expressed interest in optimising facilities to take significant additional volumes of hazardous waste that meet the kiln operating requirements. Further evaluation of waste streams and feasibility of modifications should be considered.</w:t>
            </w:r>
          </w:p>
        </w:tc>
      </w:tr>
      <w:tr w:rsidR="00AA5DC7" w:rsidTr="00FD0C18">
        <w:tc>
          <w:tcPr>
            <w:tcW w:w="1809" w:type="dxa"/>
          </w:tcPr>
          <w:p w:rsidR="00AA5DC7" w:rsidRDefault="0038315E" w:rsidP="0038315E">
            <w:pPr>
              <w:pStyle w:val="Body"/>
              <w:ind w:left="0"/>
            </w:pPr>
            <w:r>
              <w:t>Renewed Metal Technologies, Bomen, NSW</w:t>
            </w:r>
          </w:p>
        </w:tc>
        <w:tc>
          <w:tcPr>
            <w:tcW w:w="1418" w:type="dxa"/>
          </w:tcPr>
          <w:p w:rsidR="00AA5DC7" w:rsidRDefault="0038315E" w:rsidP="00FD0C18">
            <w:pPr>
              <w:pStyle w:val="Body"/>
              <w:ind w:left="0"/>
            </w:pPr>
            <w:r>
              <w:t>Rotary kiln and non-titling rotary furnace</w:t>
            </w:r>
          </w:p>
        </w:tc>
        <w:tc>
          <w:tcPr>
            <w:tcW w:w="1417" w:type="dxa"/>
          </w:tcPr>
          <w:p w:rsidR="00AA5DC7" w:rsidRDefault="00071608" w:rsidP="0038315E">
            <w:pPr>
              <w:pStyle w:val="Body"/>
              <w:ind w:left="0"/>
            </w:pPr>
            <w:r>
              <w:t>4</w:t>
            </w:r>
            <w:r w:rsidR="0038315E">
              <w:t>2,000 tpa from four processes.</w:t>
            </w:r>
          </w:p>
        </w:tc>
        <w:tc>
          <w:tcPr>
            <w:tcW w:w="1701" w:type="dxa"/>
          </w:tcPr>
          <w:p w:rsidR="00AA5DC7" w:rsidRDefault="0038315E" w:rsidP="00FD0C18">
            <w:pPr>
              <w:pStyle w:val="Body"/>
              <w:ind w:left="0"/>
            </w:pPr>
            <w:r>
              <w:t>Lead acid batteries, Australia wide</w:t>
            </w:r>
          </w:p>
        </w:tc>
        <w:tc>
          <w:tcPr>
            <w:tcW w:w="1985" w:type="dxa"/>
          </w:tcPr>
          <w:p w:rsidR="00AA5DC7" w:rsidRDefault="0038315E" w:rsidP="00FD0C18">
            <w:pPr>
              <w:pStyle w:val="Body"/>
              <w:ind w:left="0"/>
            </w:pPr>
            <w:r>
              <w:t>Mostly running at full capacity. Can potentially treat other waste streams if an expansion is undertaken.</w:t>
            </w:r>
          </w:p>
        </w:tc>
        <w:tc>
          <w:tcPr>
            <w:tcW w:w="2977" w:type="dxa"/>
          </w:tcPr>
          <w:p w:rsidR="00AA5DC7" w:rsidRDefault="0038315E" w:rsidP="00FD0C18">
            <w:pPr>
              <w:pStyle w:val="Body"/>
              <w:ind w:left="0"/>
            </w:pPr>
            <w:r>
              <w:t>Each new furnace is approximately 45,000 tonnes and the waste treatment demand and volume would need to support the cost of an expansion. Evaluating options for expansion with NSW Government.</w:t>
            </w:r>
          </w:p>
        </w:tc>
        <w:tc>
          <w:tcPr>
            <w:tcW w:w="2976" w:type="dxa"/>
          </w:tcPr>
          <w:p w:rsidR="00AA5DC7" w:rsidRDefault="0038315E" w:rsidP="00FD0C18">
            <w:pPr>
              <w:pStyle w:val="Body"/>
              <w:ind w:left="0"/>
            </w:pPr>
            <w:r>
              <w:t>There is the potential to expand the facility for the treatment of lead acid batteries and potentially other hazardous waste streams. The existing facility/operation is able to increase the volume of waste for thermal treatment, thereby avoiding the requirements for a greenfield site in NSW.</w:t>
            </w:r>
          </w:p>
        </w:tc>
      </w:tr>
      <w:tr w:rsidR="00AA5DC7" w:rsidTr="00FD0C18">
        <w:tc>
          <w:tcPr>
            <w:tcW w:w="1809" w:type="dxa"/>
          </w:tcPr>
          <w:p w:rsidR="00AA5DC7" w:rsidRDefault="00BC329C" w:rsidP="00FD0C18">
            <w:pPr>
              <w:pStyle w:val="Body"/>
              <w:ind w:left="0"/>
            </w:pPr>
            <w:r>
              <w:t>Regain Services Spent Pot Lining Reprocessing Facility – Tomago, NSW and Point Henry, VIC</w:t>
            </w:r>
          </w:p>
        </w:tc>
        <w:tc>
          <w:tcPr>
            <w:tcW w:w="1418" w:type="dxa"/>
          </w:tcPr>
          <w:p w:rsidR="00AA5DC7" w:rsidRDefault="00BC329C" w:rsidP="00FD0C18">
            <w:pPr>
              <w:pStyle w:val="Body"/>
              <w:ind w:left="0"/>
            </w:pPr>
            <w:r>
              <w:t xml:space="preserve">Rotary kiln operating at 600-700 </w:t>
            </w:r>
            <w:r>
              <w:rPr>
                <w:rFonts w:ascii="Calibri" w:hAnsi="Calibri"/>
              </w:rPr>
              <w:t>°</w:t>
            </w:r>
            <w:r>
              <w:t>C.</w:t>
            </w:r>
          </w:p>
        </w:tc>
        <w:tc>
          <w:tcPr>
            <w:tcW w:w="1417" w:type="dxa"/>
          </w:tcPr>
          <w:p w:rsidR="00AA5DC7" w:rsidRDefault="00BC329C" w:rsidP="00BC329C">
            <w:pPr>
              <w:pStyle w:val="Body"/>
              <w:ind w:left="0"/>
            </w:pPr>
            <w:r>
              <w:t>45,000 – 50,000 tpa</w:t>
            </w:r>
          </w:p>
        </w:tc>
        <w:tc>
          <w:tcPr>
            <w:tcW w:w="1701" w:type="dxa"/>
          </w:tcPr>
          <w:p w:rsidR="00AA5DC7" w:rsidRDefault="00BC329C" w:rsidP="00FD0C18">
            <w:pPr>
              <w:pStyle w:val="Body"/>
              <w:ind w:left="0"/>
            </w:pPr>
            <w:r>
              <w:t>Spent pot lining (SPL) from host</w:t>
            </w:r>
            <w:r w:rsidR="00E873EA">
              <w:rPr>
                <w:rStyle w:val="FootnoteReference"/>
              </w:rPr>
              <w:footnoteReference w:id="1"/>
            </w:r>
            <w:r>
              <w:t xml:space="preserve"> facilities. Host</w:t>
            </w:r>
            <w:r w:rsidR="00E873EA">
              <w:rPr>
                <w:rStyle w:val="FootnoteReference"/>
              </w:rPr>
              <w:footnoteReference w:id="2"/>
            </w:r>
            <w:r>
              <w:t xml:space="preserve"> plants include Tomago, NSW and Point Henry, Victoria.</w:t>
            </w:r>
          </w:p>
        </w:tc>
        <w:tc>
          <w:tcPr>
            <w:tcW w:w="1985" w:type="dxa"/>
          </w:tcPr>
          <w:p w:rsidR="00AA5DC7" w:rsidRDefault="00BC329C" w:rsidP="00BC329C">
            <w:pPr>
              <w:pStyle w:val="Body"/>
              <w:ind w:left="0"/>
            </w:pPr>
            <w:r>
              <w:t>Both facilities have capacity for approximately an additional 10-15,000 tpa.</w:t>
            </w:r>
          </w:p>
        </w:tc>
        <w:tc>
          <w:tcPr>
            <w:tcW w:w="2977" w:type="dxa"/>
          </w:tcPr>
          <w:p w:rsidR="00AA5DC7" w:rsidRDefault="00BC329C" w:rsidP="00D62B6B">
            <w:pPr>
              <w:pStyle w:val="Body"/>
              <w:ind w:left="0"/>
            </w:pPr>
            <w:r>
              <w:t>Expansion or modification may be challenging as facilities operate on host</w:t>
            </w:r>
            <w:r w:rsidR="00E873EA">
              <w:rPr>
                <w:rStyle w:val="FootnoteReference"/>
              </w:rPr>
              <w:footnoteReference w:id="3"/>
            </w:r>
            <w:r>
              <w:t xml:space="preserve"> sites under host</w:t>
            </w:r>
            <w:r w:rsidR="006D626D">
              <w:rPr>
                <w:rStyle w:val="FootnoteReference"/>
              </w:rPr>
              <w:footnoteReference w:id="4"/>
            </w:r>
            <w:r>
              <w:t xml:space="preserve"> licence. Potential to explore other waste streams including additional volumes of SPL and other streams </w:t>
            </w:r>
            <w:r>
              <w:lastRenderedPageBreak/>
              <w:t xml:space="preserve">suitable for the process that do not require any significant handling/storage constraints.  </w:t>
            </w:r>
          </w:p>
        </w:tc>
        <w:tc>
          <w:tcPr>
            <w:tcW w:w="2976" w:type="dxa"/>
          </w:tcPr>
          <w:p w:rsidR="00AA5DC7" w:rsidRDefault="00BC329C" w:rsidP="00FD0C18">
            <w:pPr>
              <w:pStyle w:val="Body"/>
              <w:ind w:left="0"/>
            </w:pPr>
            <w:r>
              <w:lastRenderedPageBreak/>
              <w:t>Minor opportunity for treatment of similar industrial waste streams at the two s</w:t>
            </w:r>
            <w:r w:rsidR="006A30DC">
              <w:t>ites. Changes required to licenc</w:t>
            </w:r>
            <w:r>
              <w:t xml:space="preserve">e would generally be avoided. There is potential to treat SPL from other aluminium smelting </w:t>
            </w:r>
            <w:r>
              <w:lastRenderedPageBreak/>
              <w:t>sites that would involve interstate transport.</w:t>
            </w:r>
          </w:p>
        </w:tc>
      </w:tr>
      <w:tr w:rsidR="00AA5DC7" w:rsidTr="00FD0C18">
        <w:tc>
          <w:tcPr>
            <w:tcW w:w="1809" w:type="dxa"/>
          </w:tcPr>
          <w:p w:rsidR="00AA5DC7" w:rsidRDefault="00BC329C" w:rsidP="00BC329C">
            <w:pPr>
              <w:pStyle w:val="Body"/>
              <w:ind w:left="0"/>
            </w:pPr>
            <w:r>
              <w:lastRenderedPageBreak/>
              <w:t>Weston Aluminium, Kurri Kurri, NSW</w:t>
            </w:r>
          </w:p>
        </w:tc>
        <w:tc>
          <w:tcPr>
            <w:tcW w:w="1418" w:type="dxa"/>
          </w:tcPr>
          <w:p w:rsidR="00AA5DC7" w:rsidRDefault="00BC329C" w:rsidP="00FD0C18">
            <w:pPr>
              <w:pStyle w:val="Body"/>
              <w:ind w:left="0"/>
            </w:pPr>
            <w:r>
              <w:t>Rotary furnace.</w:t>
            </w:r>
          </w:p>
        </w:tc>
        <w:tc>
          <w:tcPr>
            <w:tcW w:w="1417" w:type="dxa"/>
          </w:tcPr>
          <w:p w:rsidR="00AA5DC7" w:rsidRDefault="00BC329C" w:rsidP="00FD0C18">
            <w:pPr>
              <w:pStyle w:val="Body"/>
              <w:ind w:left="0"/>
            </w:pPr>
            <w:r>
              <w:t>8,000 tpa</w:t>
            </w:r>
          </w:p>
        </w:tc>
        <w:tc>
          <w:tcPr>
            <w:tcW w:w="1701" w:type="dxa"/>
          </w:tcPr>
          <w:p w:rsidR="00AA5DC7" w:rsidRDefault="00BC329C" w:rsidP="00FD0C18">
            <w:pPr>
              <w:pStyle w:val="Body"/>
              <w:ind w:left="0"/>
            </w:pPr>
            <w:r w:rsidRPr="000A6E20">
              <w:t>Quarantine</w:t>
            </w:r>
            <w:r>
              <w:t>, medical waste and paints. Local Hunter and other NSW regions.</w:t>
            </w:r>
          </w:p>
        </w:tc>
        <w:tc>
          <w:tcPr>
            <w:tcW w:w="1985" w:type="dxa"/>
          </w:tcPr>
          <w:p w:rsidR="00AA5DC7" w:rsidRDefault="00BC329C" w:rsidP="00BC329C">
            <w:pPr>
              <w:pStyle w:val="Body"/>
              <w:ind w:left="0"/>
            </w:pPr>
            <w:r>
              <w:t xml:space="preserve">Can treat additional volumes and additional waste streams without modifications. </w:t>
            </w:r>
          </w:p>
        </w:tc>
        <w:tc>
          <w:tcPr>
            <w:tcW w:w="2977" w:type="dxa"/>
          </w:tcPr>
          <w:p w:rsidR="00AA5DC7" w:rsidRDefault="00BC329C" w:rsidP="00FD0C18">
            <w:pPr>
              <w:pStyle w:val="Body"/>
              <w:ind w:left="0"/>
            </w:pPr>
            <w:r>
              <w:t>Capacity to treat additional hazardous waste volumes would require an additional rotary kiln to be accommodated within the existing baghouse system capacity. Significant challenges in achieving cooperation with NSW EPA and or Cessnock Council. Attempting to build an industrial ecology park to promote waste treatment and industrial resource recovery.</w:t>
            </w:r>
          </w:p>
        </w:tc>
        <w:tc>
          <w:tcPr>
            <w:tcW w:w="2976" w:type="dxa"/>
          </w:tcPr>
          <w:p w:rsidR="00AA5DC7" w:rsidRDefault="003B2FA3" w:rsidP="00FD0C18">
            <w:pPr>
              <w:pStyle w:val="Body"/>
              <w:ind w:left="0"/>
            </w:pPr>
            <w:r>
              <w:t>T</w:t>
            </w:r>
            <w:r w:rsidR="00BC329C">
              <w:t>he facility has potential to treat a broad range of additional waste streams and types. Weston Aluminium is motivated to explore doing this but have had major challenges educating or achieving cooperation from state or local government authorities.</w:t>
            </w:r>
          </w:p>
        </w:tc>
      </w:tr>
    </w:tbl>
    <w:p w:rsidR="00AA5DC7" w:rsidRPr="00D62B6B" w:rsidRDefault="00154DC1" w:rsidP="00D62B6B">
      <w:pPr>
        <w:pStyle w:val="Body"/>
        <w:spacing w:after="0" w:line="240" w:lineRule="auto"/>
        <w:rPr>
          <w:sz w:val="18"/>
        </w:rPr>
      </w:pPr>
      <w:r w:rsidRPr="00D62B6B">
        <w:rPr>
          <w:sz w:val="18"/>
        </w:rPr>
        <w:t xml:space="preserve">* - </w:t>
      </w:r>
      <w:r w:rsidR="007603BB" w:rsidRPr="00D62B6B">
        <w:rPr>
          <w:sz w:val="18"/>
        </w:rPr>
        <w:t>Geocycle Pty Ltd is wholly owned subsidiary of Cement Australia in the business of processing of flammable and hazardous waste into alternative fuel and raw materials, for use in cement kilns, such as: paints; resins; solvents; oils and greases; tars and fats.</w:t>
      </w:r>
    </w:p>
    <w:p w:rsidR="00154DC1" w:rsidRDefault="003B2FA3" w:rsidP="002B2602">
      <w:pPr>
        <w:pStyle w:val="Heading2"/>
      </w:pPr>
      <w:bookmarkStart w:id="81" w:name="_Toc450909342"/>
      <w:r>
        <w:t>Other technologies</w:t>
      </w:r>
      <w:bookmarkEnd w:id="81"/>
    </w:p>
    <w:p w:rsidR="00154DC1" w:rsidRDefault="003B2FA3" w:rsidP="00414214">
      <w:pPr>
        <w:pStyle w:val="Body"/>
      </w:pPr>
      <w:r w:rsidRPr="002B2602">
        <w:fldChar w:fldCharType="begin"/>
      </w:r>
      <w:r w:rsidRPr="002B2602">
        <w:instrText xml:space="preserve"> REF _Ref450215901 \h </w:instrText>
      </w:r>
      <w:r>
        <w:instrText xml:space="preserve"> \* MERGEFORMAT </w:instrText>
      </w:r>
      <w:r w:rsidRPr="002B2602">
        <w:fldChar w:fldCharType="separate"/>
      </w:r>
      <w:r w:rsidR="006225A8">
        <w:t xml:space="preserve">Table </w:t>
      </w:r>
      <w:r w:rsidR="006225A8">
        <w:rPr>
          <w:noProof/>
        </w:rPr>
        <w:t>7</w:t>
      </w:r>
      <w:r w:rsidRPr="002B2602">
        <w:fldChar w:fldCharType="end"/>
      </w:r>
      <w:r w:rsidRPr="002B2602">
        <w:t xml:space="preserve"> describes o</w:t>
      </w:r>
      <w:r w:rsidR="00154DC1" w:rsidRPr="003B2FA3">
        <w:t>ther technologies for hazardous waste treatment.</w:t>
      </w:r>
    </w:p>
    <w:p w:rsidR="003B2FA3" w:rsidRDefault="003B2FA3" w:rsidP="002B2602">
      <w:pPr>
        <w:pStyle w:val="Caption"/>
      </w:pPr>
      <w:bookmarkStart w:id="82" w:name="_Ref450215901"/>
      <w:bookmarkStart w:id="83" w:name="_Toc450909355"/>
      <w:r>
        <w:lastRenderedPageBreak/>
        <w:t xml:space="preserve">Table </w:t>
      </w:r>
      <w:fldSimple w:instr=" SEQ Table \* ARABIC ">
        <w:r w:rsidR="006225A8">
          <w:rPr>
            <w:noProof/>
          </w:rPr>
          <w:t>7</w:t>
        </w:r>
      </w:fldSimple>
      <w:bookmarkEnd w:id="82"/>
      <w:r>
        <w:tab/>
        <w:t>Description of other treatment technologies for hazardous waste</w:t>
      </w:r>
      <w:bookmarkEnd w:id="83"/>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3B2FA3" w:rsidTr="002B2602">
        <w:trPr>
          <w:cnfStyle w:val="100000000000" w:firstRow="1" w:lastRow="0" w:firstColumn="0" w:lastColumn="0" w:oddVBand="0" w:evenVBand="0" w:oddHBand="0" w:evenHBand="0" w:firstRowFirstColumn="0" w:firstRowLastColumn="0" w:lastRowFirstColumn="0" w:lastRowLastColumn="0"/>
          <w:tblHeader/>
        </w:trPr>
        <w:tc>
          <w:tcPr>
            <w:tcW w:w="1809" w:type="dxa"/>
          </w:tcPr>
          <w:p w:rsidR="003B2FA3" w:rsidRDefault="003B2FA3" w:rsidP="00FD0C18">
            <w:pPr>
              <w:pStyle w:val="Body"/>
              <w:ind w:left="0"/>
            </w:pPr>
            <w:r>
              <w:t>Facility</w:t>
            </w:r>
          </w:p>
        </w:tc>
        <w:tc>
          <w:tcPr>
            <w:tcW w:w="1418" w:type="dxa"/>
          </w:tcPr>
          <w:p w:rsidR="003B2FA3" w:rsidRDefault="003B2FA3" w:rsidP="00FD0C18">
            <w:pPr>
              <w:pStyle w:val="Body"/>
              <w:ind w:left="0"/>
            </w:pPr>
            <w:r>
              <w:t>Description</w:t>
            </w:r>
          </w:p>
        </w:tc>
        <w:tc>
          <w:tcPr>
            <w:tcW w:w="1417" w:type="dxa"/>
          </w:tcPr>
          <w:p w:rsidR="003B2FA3" w:rsidRDefault="00432D1D" w:rsidP="00FD0C18">
            <w:pPr>
              <w:pStyle w:val="Body"/>
              <w:ind w:left="0"/>
            </w:pPr>
            <w:r>
              <w:t>Total Treatment Capacity</w:t>
            </w:r>
          </w:p>
        </w:tc>
        <w:tc>
          <w:tcPr>
            <w:tcW w:w="1701" w:type="dxa"/>
          </w:tcPr>
          <w:p w:rsidR="003B2FA3" w:rsidRDefault="003B2FA3" w:rsidP="00FD0C18">
            <w:pPr>
              <w:pStyle w:val="Body"/>
              <w:ind w:left="0"/>
            </w:pPr>
            <w:r>
              <w:t>Waste type and source</w:t>
            </w:r>
          </w:p>
        </w:tc>
        <w:tc>
          <w:tcPr>
            <w:tcW w:w="1985" w:type="dxa"/>
          </w:tcPr>
          <w:p w:rsidR="003B2FA3" w:rsidRDefault="003B2FA3" w:rsidP="00FD0C18">
            <w:pPr>
              <w:pStyle w:val="Body"/>
              <w:ind w:left="0"/>
            </w:pPr>
            <w:r>
              <w:t>Capacity to accept other waste</w:t>
            </w:r>
          </w:p>
        </w:tc>
        <w:tc>
          <w:tcPr>
            <w:tcW w:w="2977" w:type="dxa"/>
          </w:tcPr>
          <w:p w:rsidR="003B2FA3" w:rsidRDefault="003B2FA3" w:rsidP="00FD0C18">
            <w:pPr>
              <w:pStyle w:val="Body"/>
              <w:ind w:left="0"/>
            </w:pPr>
            <w:r>
              <w:t>Potential for upgrade or expansion</w:t>
            </w:r>
          </w:p>
        </w:tc>
        <w:tc>
          <w:tcPr>
            <w:tcW w:w="2976" w:type="dxa"/>
          </w:tcPr>
          <w:p w:rsidR="003B2FA3" w:rsidRDefault="003B2FA3" w:rsidP="00FD0C18">
            <w:pPr>
              <w:pStyle w:val="Body"/>
              <w:ind w:left="0"/>
            </w:pPr>
            <w:r>
              <w:t>Summary</w:t>
            </w:r>
          </w:p>
        </w:tc>
      </w:tr>
      <w:tr w:rsidR="003B2FA3" w:rsidTr="00FD0C18">
        <w:tc>
          <w:tcPr>
            <w:tcW w:w="1809" w:type="dxa"/>
          </w:tcPr>
          <w:p w:rsidR="003B2FA3" w:rsidRDefault="003B2FA3" w:rsidP="00FD0C18">
            <w:pPr>
              <w:pStyle w:val="Body"/>
              <w:ind w:left="0"/>
            </w:pPr>
            <w:r>
              <w:t>Toxfree, – Narangba, QLD and Laverton, VIC</w:t>
            </w:r>
          </w:p>
        </w:tc>
        <w:tc>
          <w:tcPr>
            <w:tcW w:w="1418" w:type="dxa"/>
          </w:tcPr>
          <w:p w:rsidR="003B2FA3" w:rsidRDefault="003B2FA3" w:rsidP="00FD0C18">
            <w:pPr>
              <w:pStyle w:val="Body"/>
              <w:ind w:left="0"/>
            </w:pPr>
            <w:r>
              <w:t xml:space="preserve">Plasma Arc Furnaces – 10,000 </w:t>
            </w:r>
            <w:r>
              <w:rPr>
                <w:rFonts w:ascii="Calibri" w:hAnsi="Calibri"/>
              </w:rPr>
              <w:t>°</w:t>
            </w:r>
            <w:r>
              <w:t>C.</w:t>
            </w:r>
          </w:p>
        </w:tc>
        <w:tc>
          <w:tcPr>
            <w:tcW w:w="1417" w:type="dxa"/>
          </w:tcPr>
          <w:p w:rsidR="003B2FA3" w:rsidRDefault="003B2FA3" w:rsidP="00FD0C18">
            <w:pPr>
              <w:pStyle w:val="Body"/>
              <w:ind w:left="0"/>
            </w:pPr>
            <w:r>
              <w:t>Not available</w:t>
            </w:r>
          </w:p>
        </w:tc>
        <w:tc>
          <w:tcPr>
            <w:tcW w:w="1701" w:type="dxa"/>
          </w:tcPr>
          <w:p w:rsidR="003B2FA3" w:rsidRDefault="003B2FA3" w:rsidP="00FD0C18">
            <w:pPr>
              <w:pStyle w:val="Body"/>
              <w:ind w:left="0"/>
            </w:pPr>
            <w:r>
              <w:t>Dedicated industrial waste from host</w:t>
            </w:r>
            <w:r w:rsidR="006D626D">
              <w:rPr>
                <w:rStyle w:val="FootnoteReference"/>
              </w:rPr>
              <w:footnoteReference w:id="5"/>
            </w:r>
            <w:r>
              <w:t xml:space="preserve"> sites – PCB and organochlorines.</w:t>
            </w:r>
          </w:p>
        </w:tc>
        <w:tc>
          <w:tcPr>
            <w:tcW w:w="1985" w:type="dxa"/>
          </w:tcPr>
          <w:p w:rsidR="003B2FA3" w:rsidRDefault="003B2FA3" w:rsidP="00FD0C18">
            <w:pPr>
              <w:pStyle w:val="Body"/>
              <w:ind w:left="0"/>
            </w:pPr>
            <w:r>
              <w:t>Could potentially treat other wastes but the operating cost is high. Recently have explored the potential treatment of fluorinated refrigerant gasses and firefighting foam.</w:t>
            </w:r>
          </w:p>
        </w:tc>
        <w:tc>
          <w:tcPr>
            <w:tcW w:w="2977" w:type="dxa"/>
          </w:tcPr>
          <w:p w:rsidR="003B2FA3" w:rsidRDefault="003B2FA3" w:rsidP="00FD0C18">
            <w:pPr>
              <w:pStyle w:val="Body"/>
              <w:ind w:left="0"/>
            </w:pPr>
            <w:r>
              <w:t>Not being considered at this time. Price point for treatment of waste is the most significant issue.</w:t>
            </w:r>
          </w:p>
        </w:tc>
        <w:tc>
          <w:tcPr>
            <w:tcW w:w="2976" w:type="dxa"/>
          </w:tcPr>
          <w:p w:rsidR="003B2FA3" w:rsidRDefault="003B2FA3" w:rsidP="00FD0C18">
            <w:pPr>
              <w:pStyle w:val="Body"/>
              <w:ind w:left="0"/>
            </w:pPr>
            <w:r>
              <w:t>The Narangba and Laverton facilities are currently operating on host</w:t>
            </w:r>
            <w:r w:rsidR="006D626D">
              <w:rPr>
                <w:rStyle w:val="FootnoteReference"/>
              </w:rPr>
              <w:footnoteReference w:id="6"/>
            </w:r>
            <w:r>
              <w:t xml:space="preserve"> sites and there is limited appeal to expand or take additional waste if not commercially viable. Toxfree would explore options, if appropriate waste streams were required for special treatment.</w:t>
            </w:r>
          </w:p>
        </w:tc>
      </w:tr>
      <w:tr w:rsidR="003B2FA3" w:rsidTr="00FD0C18">
        <w:tc>
          <w:tcPr>
            <w:tcW w:w="1809" w:type="dxa"/>
          </w:tcPr>
          <w:p w:rsidR="003B2FA3" w:rsidRDefault="003B2FA3" w:rsidP="003B2FA3">
            <w:pPr>
              <w:pStyle w:val="Body"/>
              <w:ind w:left="0"/>
            </w:pPr>
            <w:r>
              <w:t>Veolia Autoclave &amp; Liquid Treatment Plant, Berrimah, NT</w:t>
            </w:r>
          </w:p>
        </w:tc>
        <w:tc>
          <w:tcPr>
            <w:tcW w:w="1418" w:type="dxa"/>
          </w:tcPr>
          <w:p w:rsidR="003B2FA3" w:rsidRDefault="003B2FA3" w:rsidP="00FD0C18">
            <w:pPr>
              <w:pStyle w:val="Body"/>
              <w:ind w:left="0"/>
            </w:pPr>
            <w:r>
              <w:t>Autoclave facility.</w:t>
            </w:r>
          </w:p>
        </w:tc>
        <w:tc>
          <w:tcPr>
            <w:tcW w:w="1417" w:type="dxa"/>
          </w:tcPr>
          <w:p w:rsidR="003B2FA3" w:rsidRDefault="003B2FA3" w:rsidP="00FD0C18">
            <w:pPr>
              <w:pStyle w:val="Body"/>
              <w:ind w:left="0"/>
            </w:pPr>
            <w:r>
              <w:t>Not available</w:t>
            </w:r>
          </w:p>
        </w:tc>
        <w:tc>
          <w:tcPr>
            <w:tcW w:w="1701" w:type="dxa"/>
          </w:tcPr>
          <w:p w:rsidR="003B2FA3" w:rsidRDefault="003B2FA3" w:rsidP="00FD0C18">
            <w:pPr>
              <w:pStyle w:val="Body"/>
              <w:ind w:left="0"/>
            </w:pPr>
            <w:r>
              <w:t>Quarantine waste (Darwin Port incinerator is closed). Darwin region.</w:t>
            </w:r>
          </w:p>
        </w:tc>
        <w:tc>
          <w:tcPr>
            <w:tcW w:w="1985" w:type="dxa"/>
          </w:tcPr>
          <w:p w:rsidR="003B2FA3" w:rsidRDefault="003B2FA3" w:rsidP="00FD0C18">
            <w:pPr>
              <w:pStyle w:val="Body"/>
              <w:ind w:left="0"/>
            </w:pPr>
            <w:r>
              <w:t>Can also take medical waste but is not cost competitive with the deep burial option being used at the local landfill.</w:t>
            </w:r>
          </w:p>
        </w:tc>
        <w:tc>
          <w:tcPr>
            <w:tcW w:w="2977" w:type="dxa"/>
          </w:tcPr>
          <w:p w:rsidR="003B2FA3" w:rsidRDefault="003B2FA3" w:rsidP="00FD0C18">
            <w:pPr>
              <w:pStyle w:val="Body"/>
              <w:ind w:left="0"/>
            </w:pPr>
            <w:r>
              <w:t>Not proposed at this time due to limited waste volumes.</w:t>
            </w:r>
          </w:p>
        </w:tc>
        <w:tc>
          <w:tcPr>
            <w:tcW w:w="2976" w:type="dxa"/>
          </w:tcPr>
          <w:p w:rsidR="003B2FA3" w:rsidRDefault="003B2FA3" w:rsidP="00FD0C18">
            <w:pPr>
              <w:pStyle w:val="Body"/>
              <w:ind w:left="0"/>
            </w:pPr>
            <w:r>
              <w:t xml:space="preserve">In addition to quarantine </w:t>
            </w:r>
            <w:r w:rsidR="006A30DC">
              <w:t>waste,</w:t>
            </w:r>
            <w:r>
              <w:t xml:space="preserve"> the facility should be taking appropriate medical waste to avoid landfilling.</w:t>
            </w:r>
          </w:p>
        </w:tc>
      </w:tr>
    </w:tbl>
    <w:p w:rsidR="00FF1D41" w:rsidRDefault="00FF1D41" w:rsidP="002B2602">
      <w:pPr>
        <w:pStyle w:val="Heading2"/>
      </w:pPr>
      <w:bookmarkStart w:id="84" w:name="_Toc450909343"/>
      <w:r>
        <w:t>Mobile and packaged waste treatment plants</w:t>
      </w:r>
      <w:bookmarkEnd w:id="84"/>
    </w:p>
    <w:p w:rsidR="00FF1D41" w:rsidRDefault="00FF1D41" w:rsidP="00414214">
      <w:pPr>
        <w:pStyle w:val="Body"/>
      </w:pPr>
      <w:r>
        <w:fldChar w:fldCharType="begin"/>
      </w:r>
      <w:r>
        <w:instrText xml:space="preserve"> REF _Ref450218792 \h </w:instrText>
      </w:r>
      <w:r>
        <w:fldChar w:fldCharType="separate"/>
      </w:r>
      <w:r w:rsidR="006225A8">
        <w:t xml:space="preserve">Table </w:t>
      </w:r>
      <w:r w:rsidR="006225A8">
        <w:rPr>
          <w:noProof/>
        </w:rPr>
        <w:t>8</w:t>
      </w:r>
      <w:r>
        <w:fldChar w:fldCharType="end"/>
      </w:r>
      <w:r>
        <w:t xml:space="preserve"> describes the mobile and packaged waste treatment plants currently available in Australia.</w:t>
      </w:r>
    </w:p>
    <w:p w:rsidR="00FF1D41" w:rsidRDefault="00FF1D41" w:rsidP="00414214">
      <w:pPr>
        <w:pStyle w:val="Body"/>
      </w:pPr>
      <w:r>
        <w:lastRenderedPageBreak/>
        <w:t>A mobile plant is usually defined as a facility that is readily relocatable and only requires the connection of services to become operational. A packaged plant is usually defined as a plant that consists of discrete operational components that can be readily assembled. Minimal commissioning is required to make the plant operational.</w:t>
      </w:r>
    </w:p>
    <w:p w:rsidR="00FF1D41" w:rsidRDefault="00FF1D41" w:rsidP="002B2602">
      <w:pPr>
        <w:pStyle w:val="Caption"/>
      </w:pPr>
      <w:bookmarkStart w:id="85" w:name="_Ref450218792"/>
      <w:bookmarkStart w:id="86" w:name="_Toc450909356"/>
      <w:r>
        <w:t xml:space="preserve">Table </w:t>
      </w:r>
      <w:fldSimple w:instr=" SEQ Table \* ARABIC ">
        <w:r w:rsidR="006225A8">
          <w:rPr>
            <w:noProof/>
          </w:rPr>
          <w:t>8</w:t>
        </w:r>
      </w:fldSimple>
      <w:bookmarkEnd w:id="85"/>
      <w:r>
        <w:tab/>
        <w:t>Description of mobile and packaged waste treatment plants</w:t>
      </w:r>
      <w:bookmarkEnd w:id="86"/>
    </w:p>
    <w:tbl>
      <w:tblPr>
        <w:tblStyle w:val="Table-Style3"/>
        <w:tblW w:w="14283" w:type="dxa"/>
        <w:tblLayout w:type="fixed"/>
        <w:tblLook w:val="04A0" w:firstRow="1" w:lastRow="0" w:firstColumn="1" w:lastColumn="0" w:noHBand="0" w:noVBand="1"/>
      </w:tblPr>
      <w:tblGrid>
        <w:gridCol w:w="1809"/>
        <w:gridCol w:w="1418"/>
        <w:gridCol w:w="1417"/>
        <w:gridCol w:w="1701"/>
        <w:gridCol w:w="1985"/>
        <w:gridCol w:w="2977"/>
        <w:gridCol w:w="2976"/>
      </w:tblGrid>
      <w:tr w:rsidR="00FF1D41" w:rsidTr="003F433B">
        <w:trPr>
          <w:cnfStyle w:val="100000000000" w:firstRow="1" w:lastRow="0" w:firstColumn="0" w:lastColumn="0" w:oddVBand="0" w:evenVBand="0" w:oddHBand="0" w:evenHBand="0" w:firstRowFirstColumn="0" w:firstRowLastColumn="0" w:lastRowFirstColumn="0" w:lastRowLastColumn="0"/>
          <w:tblHeader/>
        </w:trPr>
        <w:tc>
          <w:tcPr>
            <w:tcW w:w="1809" w:type="dxa"/>
          </w:tcPr>
          <w:p w:rsidR="00FF1D41" w:rsidRDefault="00FF1D41" w:rsidP="003F433B">
            <w:pPr>
              <w:pStyle w:val="Body"/>
              <w:ind w:left="0"/>
            </w:pPr>
            <w:r>
              <w:t>Facility</w:t>
            </w:r>
          </w:p>
        </w:tc>
        <w:tc>
          <w:tcPr>
            <w:tcW w:w="1418" w:type="dxa"/>
          </w:tcPr>
          <w:p w:rsidR="00FF1D41" w:rsidRDefault="00FF1D41" w:rsidP="003F433B">
            <w:pPr>
              <w:pStyle w:val="Body"/>
              <w:ind w:left="0"/>
            </w:pPr>
            <w:r>
              <w:t>Description</w:t>
            </w:r>
          </w:p>
        </w:tc>
        <w:tc>
          <w:tcPr>
            <w:tcW w:w="1417" w:type="dxa"/>
          </w:tcPr>
          <w:p w:rsidR="00FF1D41" w:rsidRDefault="00432D1D" w:rsidP="003F433B">
            <w:pPr>
              <w:pStyle w:val="Body"/>
              <w:ind w:left="0"/>
            </w:pPr>
            <w:r>
              <w:t>Total Treatment Capacity</w:t>
            </w:r>
          </w:p>
        </w:tc>
        <w:tc>
          <w:tcPr>
            <w:tcW w:w="1701" w:type="dxa"/>
          </w:tcPr>
          <w:p w:rsidR="00FF1D41" w:rsidRDefault="00FF1D41" w:rsidP="003F433B">
            <w:pPr>
              <w:pStyle w:val="Body"/>
              <w:ind w:left="0"/>
            </w:pPr>
            <w:r>
              <w:t>Waste type and source</w:t>
            </w:r>
          </w:p>
        </w:tc>
        <w:tc>
          <w:tcPr>
            <w:tcW w:w="1985" w:type="dxa"/>
          </w:tcPr>
          <w:p w:rsidR="00FF1D41" w:rsidRDefault="00FF1D41" w:rsidP="003F433B">
            <w:pPr>
              <w:pStyle w:val="Body"/>
              <w:ind w:left="0"/>
            </w:pPr>
            <w:r>
              <w:t>Capacity to accept other waste</w:t>
            </w:r>
          </w:p>
        </w:tc>
        <w:tc>
          <w:tcPr>
            <w:tcW w:w="2977" w:type="dxa"/>
          </w:tcPr>
          <w:p w:rsidR="00FF1D41" w:rsidRDefault="00FF1D41" w:rsidP="003F433B">
            <w:pPr>
              <w:pStyle w:val="Body"/>
              <w:ind w:left="0"/>
            </w:pPr>
            <w:r>
              <w:t>Potential for upgrade or expansion</w:t>
            </w:r>
          </w:p>
        </w:tc>
        <w:tc>
          <w:tcPr>
            <w:tcW w:w="2976" w:type="dxa"/>
          </w:tcPr>
          <w:p w:rsidR="00FF1D41" w:rsidRDefault="00FF1D41" w:rsidP="003F433B">
            <w:pPr>
              <w:pStyle w:val="Body"/>
              <w:ind w:left="0"/>
            </w:pPr>
            <w:r>
              <w:t>Summary</w:t>
            </w:r>
          </w:p>
        </w:tc>
      </w:tr>
      <w:tr w:rsidR="00FF1D41" w:rsidTr="003F433B">
        <w:tc>
          <w:tcPr>
            <w:tcW w:w="1809" w:type="dxa"/>
          </w:tcPr>
          <w:p w:rsidR="00FF1D41" w:rsidRDefault="004F1DCD" w:rsidP="003F433B">
            <w:pPr>
              <w:pStyle w:val="Body"/>
              <w:ind w:left="0"/>
            </w:pPr>
            <w:r>
              <w:t>Thiess Direct heat Thermal Desorption Plant</w:t>
            </w:r>
            <w:r w:rsidR="00803E8E">
              <w:t xml:space="preserve"> (DTD)</w:t>
            </w:r>
          </w:p>
        </w:tc>
        <w:tc>
          <w:tcPr>
            <w:tcW w:w="1418" w:type="dxa"/>
          </w:tcPr>
          <w:p w:rsidR="00FF1D41" w:rsidRDefault="004F1DCD" w:rsidP="003F433B">
            <w:pPr>
              <w:pStyle w:val="Body"/>
              <w:ind w:left="0"/>
            </w:pPr>
            <w:r>
              <w:t>Mobile heat treatment plant</w:t>
            </w:r>
          </w:p>
        </w:tc>
        <w:tc>
          <w:tcPr>
            <w:tcW w:w="1417" w:type="dxa"/>
          </w:tcPr>
          <w:p w:rsidR="00FF1D41" w:rsidRDefault="004F1DCD" w:rsidP="003F433B">
            <w:pPr>
              <w:pStyle w:val="Body"/>
              <w:ind w:left="0"/>
            </w:pPr>
            <w:r>
              <w:t>35t/hour</w:t>
            </w:r>
          </w:p>
        </w:tc>
        <w:tc>
          <w:tcPr>
            <w:tcW w:w="1701" w:type="dxa"/>
          </w:tcPr>
          <w:p w:rsidR="00FF1D41" w:rsidRDefault="00803E8E" w:rsidP="003F433B">
            <w:pPr>
              <w:pStyle w:val="Body"/>
              <w:ind w:left="0"/>
            </w:pPr>
            <w:r>
              <w:t>Hydrocarbon and POP contaminated soil</w:t>
            </w:r>
          </w:p>
        </w:tc>
        <w:tc>
          <w:tcPr>
            <w:tcW w:w="1985" w:type="dxa"/>
          </w:tcPr>
          <w:p w:rsidR="00FF1D41" w:rsidRDefault="00803E8E" w:rsidP="003F433B">
            <w:pPr>
              <w:pStyle w:val="Body"/>
              <w:ind w:left="0"/>
            </w:pPr>
            <w:r>
              <w:t>Unknown</w:t>
            </w:r>
          </w:p>
        </w:tc>
        <w:tc>
          <w:tcPr>
            <w:tcW w:w="2977" w:type="dxa"/>
          </w:tcPr>
          <w:p w:rsidR="00FF1D41" w:rsidRDefault="00803E8E" w:rsidP="003F433B">
            <w:pPr>
              <w:pStyle w:val="Body"/>
              <w:ind w:left="0"/>
            </w:pPr>
            <w:r>
              <w:t>Unknown</w:t>
            </w:r>
          </w:p>
        </w:tc>
        <w:tc>
          <w:tcPr>
            <w:tcW w:w="2976" w:type="dxa"/>
          </w:tcPr>
          <w:p w:rsidR="00803E8E" w:rsidRDefault="00803E8E" w:rsidP="00803E8E">
            <w:pPr>
              <w:pStyle w:val="Body"/>
              <w:ind w:left="0"/>
            </w:pPr>
            <w:r>
              <w:t xml:space="preserve">Direct thermal desorption plants are purchased and imported from overseas for use on specific projects in Australia.  Thiess Services Pty Ltd purchased and imported a DTD plant from the US in 2008 to remediate contaminated soil at the former Lednez/Union Carbide located at Rhodes, Sydney NSW.  </w:t>
            </w:r>
          </w:p>
          <w:p w:rsidR="00FF1D41" w:rsidRDefault="00803E8E" w:rsidP="00803E8E">
            <w:pPr>
              <w:pStyle w:val="Body"/>
              <w:ind w:left="0"/>
            </w:pPr>
            <w:r>
              <w:t xml:space="preserve">In 2010, the DTD plant was disassembled from the Rhodes site to be reassembled at Orica Port Botany, </w:t>
            </w:r>
          </w:p>
        </w:tc>
      </w:tr>
    </w:tbl>
    <w:p w:rsidR="00FF1D41" w:rsidRDefault="003F433B" w:rsidP="003F433B">
      <w:pPr>
        <w:pStyle w:val="Heading2"/>
      </w:pPr>
      <w:bookmarkStart w:id="87" w:name="_Ref450248731"/>
      <w:bookmarkStart w:id="88" w:name="_Toc450909344"/>
      <w:r>
        <w:t>Treatment of POPs waste</w:t>
      </w:r>
      <w:bookmarkEnd w:id="87"/>
      <w:bookmarkEnd w:id="88"/>
    </w:p>
    <w:p w:rsidR="00FF1D41" w:rsidRPr="00AA5DC7" w:rsidRDefault="003F433B" w:rsidP="00414214">
      <w:pPr>
        <w:pStyle w:val="Body"/>
      </w:pPr>
      <w:r>
        <w:t xml:space="preserve">Based on previous work and the analysis of the existing thermal facilities outlined in the sections above, there is currently no thermal treatment facility with the capability of treating POPs waste. A prefeasibility study on suitable thermal facilities, such as cement kilns or other high temperature incineration </w:t>
      </w:r>
      <w:r w:rsidR="006A30DC">
        <w:t>processes</w:t>
      </w:r>
      <w:r>
        <w:t xml:space="preserve"> would be required to assess the potential capability of treating POPs wastes. </w:t>
      </w:r>
    </w:p>
    <w:p w:rsidR="005A3A66" w:rsidRPr="005C1B6E" w:rsidRDefault="005A3A66" w:rsidP="005A3A66">
      <w:pPr>
        <w:pStyle w:val="Body"/>
      </w:pPr>
    </w:p>
    <w:p w:rsidR="00171362" w:rsidRDefault="00171362" w:rsidP="005A3A66">
      <w:pPr>
        <w:spacing w:after="0"/>
        <w:sectPr w:rsidR="00171362" w:rsidSect="00D62B6B">
          <w:pgSz w:w="16839" w:h="11907" w:orient="landscape" w:code="9"/>
          <w:pgMar w:top="1701" w:right="1134" w:bottom="1134" w:left="1134" w:header="181" w:footer="227" w:gutter="0"/>
          <w:cols w:space="283"/>
          <w:docGrid w:linePitch="360"/>
        </w:sectPr>
      </w:pPr>
    </w:p>
    <w:p w:rsidR="00171362" w:rsidRPr="00171362" w:rsidRDefault="00171362" w:rsidP="00171362">
      <w:pPr>
        <w:pStyle w:val="Heading1"/>
        <w:rPr>
          <w:bCs w:val="0"/>
        </w:rPr>
      </w:pPr>
      <w:bookmarkStart w:id="89" w:name="_Toc450909345"/>
      <w:r>
        <w:lastRenderedPageBreak/>
        <w:t>Potential treatment capacity</w:t>
      </w:r>
      <w:bookmarkEnd w:id="89"/>
    </w:p>
    <w:p w:rsidR="00171362" w:rsidRDefault="00A549E1" w:rsidP="002B2602">
      <w:pPr>
        <w:pStyle w:val="Heading2"/>
      </w:pPr>
      <w:bookmarkStart w:id="90" w:name="_Toc450909346"/>
      <w:r>
        <w:t>Facilities with potential additional treatment capacity</w:t>
      </w:r>
      <w:bookmarkEnd w:id="90"/>
    </w:p>
    <w:p w:rsidR="00171362" w:rsidRDefault="00A549E1" w:rsidP="00171362">
      <w:pPr>
        <w:pStyle w:val="Body"/>
      </w:pPr>
      <w:r>
        <w:fldChar w:fldCharType="begin"/>
      </w:r>
      <w:r>
        <w:instrText xml:space="preserve"> REF _Ref450218003 \h </w:instrText>
      </w:r>
      <w:r>
        <w:fldChar w:fldCharType="separate"/>
      </w:r>
      <w:r w:rsidR="006225A8">
        <w:t xml:space="preserve">Table </w:t>
      </w:r>
      <w:r w:rsidR="006225A8">
        <w:rPr>
          <w:noProof/>
        </w:rPr>
        <w:t>9</w:t>
      </w:r>
      <w:r>
        <w:fldChar w:fldCharType="end"/>
      </w:r>
      <w:r w:rsidR="00171362">
        <w:t xml:space="preserve"> </w:t>
      </w:r>
      <w:r>
        <w:t xml:space="preserve">shows the </w:t>
      </w:r>
      <w:r w:rsidR="00171362">
        <w:t xml:space="preserve">facilities </w:t>
      </w:r>
      <w:r>
        <w:t xml:space="preserve">listed in </w:t>
      </w:r>
      <w:r>
        <w:fldChar w:fldCharType="begin"/>
      </w:r>
      <w:r>
        <w:instrText xml:space="preserve"> REF _Ref450210577 \h </w:instrText>
      </w:r>
      <w:r>
        <w:fldChar w:fldCharType="separate"/>
      </w:r>
      <w:r w:rsidR="006225A8">
        <w:t xml:space="preserve">Table </w:t>
      </w:r>
      <w:r w:rsidR="006225A8">
        <w:rPr>
          <w:noProof/>
        </w:rPr>
        <w:t>3</w:t>
      </w:r>
      <w:r>
        <w:fldChar w:fldCharType="end"/>
      </w:r>
      <w:r>
        <w:t xml:space="preserve"> to </w:t>
      </w:r>
      <w:r>
        <w:fldChar w:fldCharType="begin"/>
      </w:r>
      <w:r>
        <w:instrText xml:space="preserve"> REF _Ref450215901 \h </w:instrText>
      </w:r>
      <w:r>
        <w:fldChar w:fldCharType="separate"/>
      </w:r>
      <w:r w:rsidR="006225A8">
        <w:t xml:space="preserve">Table </w:t>
      </w:r>
      <w:r w:rsidR="006225A8">
        <w:rPr>
          <w:noProof/>
        </w:rPr>
        <w:t>7</w:t>
      </w:r>
      <w:r>
        <w:fldChar w:fldCharType="end"/>
      </w:r>
      <w:r>
        <w:t xml:space="preserve"> </w:t>
      </w:r>
      <w:r w:rsidR="00171362">
        <w:t xml:space="preserve">and </w:t>
      </w:r>
      <w:r>
        <w:t xml:space="preserve">their potential additional </w:t>
      </w:r>
      <w:r w:rsidR="00AA5DC7">
        <w:t xml:space="preserve">waste treatment </w:t>
      </w:r>
      <w:r w:rsidR="00171362">
        <w:t>capacity</w:t>
      </w:r>
      <w:r>
        <w:t>, including</w:t>
      </w:r>
      <w:r w:rsidR="00171362">
        <w:t xml:space="preserve"> </w:t>
      </w:r>
      <w:r>
        <w:t>the</w:t>
      </w:r>
      <w:r w:rsidR="00171362">
        <w:t xml:space="preserve"> </w:t>
      </w:r>
      <w:r w:rsidR="00C97B29">
        <w:t>c</w:t>
      </w:r>
      <w:r w:rsidR="00AA5DC7">
        <w:t>ertainty</w:t>
      </w:r>
      <w:r>
        <w:t xml:space="preserve"> associated with the additional capacity estimates.</w:t>
      </w:r>
    </w:p>
    <w:p w:rsidR="00171362" w:rsidRDefault="00FD0C18" w:rsidP="002B2602">
      <w:pPr>
        <w:pStyle w:val="Caption"/>
      </w:pPr>
      <w:bookmarkStart w:id="91" w:name="_Ref450218003"/>
      <w:bookmarkStart w:id="92" w:name="_Toc450909357"/>
      <w:r>
        <w:t xml:space="preserve">Table </w:t>
      </w:r>
      <w:fldSimple w:instr=" SEQ Table \* ARABIC ">
        <w:r w:rsidR="006225A8">
          <w:rPr>
            <w:noProof/>
          </w:rPr>
          <w:t>9</w:t>
        </w:r>
      </w:fldSimple>
      <w:bookmarkEnd w:id="91"/>
      <w:r>
        <w:tab/>
        <w:t xml:space="preserve">Potential </w:t>
      </w:r>
      <w:r w:rsidR="00A549E1">
        <w:t xml:space="preserve">additional </w:t>
      </w:r>
      <w:r>
        <w:t>capacity of waste treatment facilities</w:t>
      </w:r>
      <w:bookmarkEnd w:id="92"/>
      <w:r>
        <w:t xml:space="preserve"> </w:t>
      </w:r>
    </w:p>
    <w:tbl>
      <w:tblPr>
        <w:tblStyle w:val="Table-Style3"/>
        <w:tblW w:w="0" w:type="auto"/>
        <w:tblLook w:val="04A0" w:firstRow="1" w:lastRow="0" w:firstColumn="1" w:lastColumn="0" w:noHBand="0" w:noVBand="1"/>
      </w:tblPr>
      <w:tblGrid>
        <w:gridCol w:w="2823"/>
        <w:gridCol w:w="2842"/>
        <w:gridCol w:w="2840"/>
      </w:tblGrid>
      <w:tr w:rsidR="00FD0C18" w:rsidTr="00071608">
        <w:trPr>
          <w:cnfStyle w:val="100000000000" w:firstRow="1" w:lastRow="0" w:firstColumn="0" w:lastColumn="0" w:oddVBand="0" w:evenVBand="0" w:oddHBand="0" w:evenHBand="0" w:firstRowFirstColumn="0" w:firstRowLastColumn="0" w:lastRowFirstColumn="0" w:lastRowLastColumn="0"/>
          <w:tblHeader/>
        </w:trPr>
        <w:tc>
          <w:tcPr>
            <w:tcW w:w="2885" w:type="dxa"/>
          </w:tcPr>
          <w:p w:rsidR="00FD0C18" w:rsidRDefault="00FD0C18" w:rsidP="00171362">
            <w:pPr>
              <w:pStyle w:val="Body"/>
              <w:ind w:left="0"/>
            </w:pPr>
            <w:r>
              <w:t>Facility</w:t>
            </w:r>
          </w:p>
        </w:tc>
        <w:tc>
          <w:tcPr>
            <w:tcW w:w="2914" w:type="dxa"/>
          </w:tcPr>
          <w:p w:rsidR="00FD0C18" w:rsidRDefault="00FD0C18" w:rsidP="00171362">
            <w:pPr>
              <w:pStyle w:val="Body"/>
              <w:ind w:left="0"/>
            </w:pPr>
            <w:r>
              <w:t>Additional potential capacity</w:t>
            </w:r>
            <w:r w:rsidR="00A549E1">
              <w:t xml:space="preserve"> estimates</w:t>
            </w:r>
            <w:r>
              <w:t xml:space="preserve"> for hazardous waste treatment</w:t>
            </w:r>
          </w:p>
        </w:tc>
        <w:tc>
          <w:tcPr>
            <w:tcW w:w="2922" w:type="dxa"/>
          </w:tcPr>
          <w:p w:rsidR="00FD0C18" w:rsidRDefault="00C97B29" w:rsidP="00171362">
            <w:pPr>
              <w:pStyle w:val="Body"/>
              <w:ind w:left="0"/>
            </w:pPr>
            <w:r>
              <w:t>C</w:t>
            </w:r>
            <w:r w:rsidR="00FD0C18">
              <w:t>ertainty (%)</w:t>
            </w:r>
          </w:p>
        </w:tc>
      </w:tr>
      <w:tr w:rsidR="00FD0C18" w:rsidTr="00FD0C18">
        <w:tc>
          <w:tcPr>
            <w:tcW w:w="2885" w:type="dxa"/>
          </w:tcPr>
          <w:p w:rsidR="00FD0C18" w:rsidRDefault="00FD0C18" w:rsidP="00171362">
            <w:pPr>
              <w:pStyle w:val="Body"/>
              <w:ind w:left="0"/>
            </w:pPr>
            <w:r w:rsidRPr="009B3EBB">
              <w:t>Veolia Thermal Desorption Plant</w:t>
            </w:r>
            <w:r>
              <w:t>,</w:t>
            </w:r>
            <w:r w:rsidRPr="009B3EBB">
              <w:t xml:space="preserve"> Brooklyn</w:t>
            </w:r>
            <w:r>
              <w:t>, VIC</w:t>
            </w:r>
          </w:p>
        </w:tc>
        <w:tc>
          <w:tcPr>
            <w:tcW w:w="2914" w:type="dxa"/>
          </w:tcPr>
          <w:p w:rsidR="00FD0C18" w:rsidRDefault="00C97B29" w:rsidP="00171362">
            <w:pPr>
              <w:pStyle w:val="Body"/>
              <w:ind w:left="0"/>
            </w:pPr>
            <w:r>
              <w:t>6,500 tpa</w:t>
            </w:r>
          </w:p>
        </w:tc>
        <w:tc>
          <w:tcPr>
            <w:tcW w:w="2922" w:type="dxa"/>
          </w:tcPr>
          <w:p w:rsidR="00FD0C18" w:rsidRDefault="00C97B29" w:rsidP="00171362">
            <w:pPr>
              <w:pStyle w:val="Body"/>
              <w:ind w:left="0"/>
            </w:pPr>
            <w:r>
              <w:t>50%</w:t>
            </w:r>
          </w:p>
        </w:tc>
      </w:tr>
      <w:tr w:rsidR="00FD0C18" w:rsidTr="00FD0C18">
        <w:tc>
          <w:tcPr>
            <w:tcW w:w="2885" w:type="dxa"/>
          </w:tcPr>
          <w:p w:rsidR="00FD0C18" w:rsidRDefault="00FD0C18" w:rsidP="00171362">
            <w:pPr>
              <w:pStyle w:val="Body"/>
              <w:ind w:left="0"/>
            </w:pPr>
            <w:r w:rsidRPr="00B862A8">
              <w:t>Ace Waste Incinerator</w:t>
            </w:r>
            <w:r>
              <w:t xml:space="preserve">, </w:t>
            </w:r>
            <w:r w:rsidRPr="00B862A8">
              <w:t>Dandenong</w:t>
            </w:r>
            <w:r>
              <w:t>, VIC</w:t>
            </w:r>
          </w:p>
        </w:tc>
        <w:tc>
          <w:tcPr>
            <w:tcW w:w="2914" w:type="dxa"/>
          </w:tcPr>
          <w:p w:rsidR="00FD0C18" w:rsidRDefault="00C97B29" w:rsidP="00171362">
            <w:pPr>
              <w:pStyle w:val="Body"/>
              <w:ind w:left="0"/>
            </w:pPr>
            <w:r>
              <w:t>8,000 tpa</w:t>
            </w:r>
          </w:p>
        </w:tc>
        <w:tc>
          <w:tcPr>
            <w:tcW w:w="2922" w:type="dxa"/>
          </w:tcPr>
          <w:p w:rsidR="00FD0C18" w:rsidRDefault="00C97B29" w:rsidP="00171362">
            <w:pPr>
              <w:pStyle w:val="Body"/>
              <w:ind w:left="0"/>
            </w:pPr>
            <w:r>
              <w:t>80%</w:t>
            </w:r>
          </w:p>
        </w:tc>
      </w:tr>
      <w:tr w:rsidR="00FD0C18" w:rsidTr="00FD0C18">
        <w:tc>
          <w:tcPr>
            <w:tcW w:w="2885" w:type="dxa"/>
          </w:tcPr>
          <w:p w:rsidR="00FD0C18" w:rsidRDefault="00FD0C18" w:rsidP="00171362">
            <w:pPr>
              <w:pStyle w:val="Body"/>
              <w:ind w:left="0"/>
            </w:pPr>
            <w:r>
              <w:t>Ace Waste Incinerator, Willawong, QLD</w:t>
            </w:r>
          </w:p>
        </w:tc>
        <w:tc>
          <w:tcPr>
            <w:tcW w:w="2914" w:type="dxa"/>
          </w:tcPr>
          <w:p w:rsidR="00FD0C18" w:rsidRDefault="00C97B29" w:rsidP="00171362">
            <w:pPr>
              <w:pStyle w:val="Body"/>
              <w:ind w:left="0"/>
            </w:pPr>
            <w:r>
              <w:t>3,600 tpa</w:t>
            </w:r>
          </w:p>
        </w:tc>
        <w:tc>
          <w:tcPr>
            <w:tcW w:w="2922" w:type="dxa"/>
          </w:tcPr>
          <w:p w:rsidR="00FD0C18" w:rsidRDefault="00C97B29" w:rsidP="00171362">
            <w:pPr>
              <w:pStyle w:val="Body"/>
              <w:ind w:left="0"/>
            </w:pPr>
            <w:r>
              <w:t>80%</w:t>
            </w:r>
          </w:p>
        </w:tc>
      </w:tr>
      <w:tr w:rsidR="00FD0C18" w:rsidTr="00FD0C18">
        <w:tc>
          <w:tcPr>
            <w:tcW w:w="2885" w:type="dxa"/>
          </w:tcPr>
          <w:p w:rsidR="00FD0C18" w:rsidRDefault="00FD0C18" w:rsidP="00171362">
            <w:pPr>
              <w:pStyle w:val="Body"/>
              <w:ind w:left="0"/>
            </w:pPr>
            <w:r>
              <w:t>Renex, Dandenong, VIC</w:t>
            </w:r>
          </w:p>
        </w:tc>
        <w:tc>
          <w:tcPr>
            <w:tcW w:w="2914" w:type="dxa"/>
          </w:tcPr>
          <w:p w:rsidR="00FD0C18" w:rsidRDefault="00C97B29" w:rsidP="00171362">
            <w:pPr>
              <w:pStyle w:val="Body"/>
              <w:ind w:left="0"/>
            </w:pPr>
            <w:r>
              <w:t>70,000 tpa</w:t>
            </w:r>
          </w:p>
        </w:tc>
        <w:tc>
          <w:tcPr>
            <w:tcW w:w="2922" w:type="dxa"/>
          </w:tcPr>
          <w:p w:rsidR="00FD0C18" w:rsidRDefault="00C97B29" w:rsidP="00171362">
            <w:pPr>
              <w:pStyle w:val="Body"/>
              <w:ind w:left="0"/>
            </w:pPr>
            <w:r>
              <w:t>90%</w:t>
            </w:r>
          </w:p>
        </w:tc>
      </w:tr>
      <w:tr w:rsidR="00FD0C18" w:rsidTr="00FD0C18">
        <w:tc>
          <w:tcPr>
            <w:tcW w:w="2885" w:type="dxa"/>
          </w:tcPr>
          <w:p w:rsidR="00FD0C18" w:rsidRDefault="00FD0C18" w:rsidP="00171362">
            <w:pPr>
              <w:pStyle w:val="Body"/>
              <w:ind w:left="0"/>
            </w:pPr>
            <w:r>
              <w:t>Veolia Incinerator, Dry Creek, SA</w:t>
            </w:r>
          </w:p>
        </w:tc>
        <w:tc>
          <w:tcPr>
            <w:tcW w:w="2914" w:type="dxa"/>
          </w:tcPr>
          <w:p w:rsidR="00FD0C18" w:rsidRDefault="00C97B29" w:rsidP="00171362">
            <w:pPr>
              <w:pStyle w:val="Body"/>
              <w:ind w:left="0"/>
            </w:pPr>
            <w:r>
              <w:t>2,000 tpa</w:t>
            </w:r>
          </w:p>
        </w:tc>
        <w:tc>
          <w:tcPr>
            <w:tcW w:w="2922" w:type="dxa"/>
          </w:tcPr>
          <w:p w:rsidR="00FD0C18" w:rsidRDefault="00C97B29" w:rsidP="00171362">
            <w:pPr>
              <w:pStyle w:val="Body"/>
              <w:ind w:left="0"/>
            </w:pPr>
            <w:r>
              <w:t>80%</w:t>
            </w:r>
          </w:p>
        </w:tc>
      </w:tr>
      <w:tr w:rsidR="00A549E1" w:rsidTr="00FD0C18">
        <w:tc>
          <w:tcPr>
            <w:tcW w:w="2885" w:type="dxa"/>
          </w:tcPr>
          <w:p w:rsidR="00A549E1" w:rsidRDefault="00A549E1" w:rsidP="00171362">
            <w:pPr>
              <w:pStyle w:val="Body"/>
              <w:ind w:left="0"/>
            </w:pPr>
            <w:r>
              <w:t>Korea Zinc Smelter, Townsville, QLD</w:t>
            </w:r>
          </w:p>
        </w:tc>
        <w:tc>
          <w:tcPr>
            <w:tcW w:w="2914" w:type="dxa"/>
          </w:tcPr>
          <w:p w:rsidR="00A549E1" w:rsidRDefault="00C97B29" w:rsidP="00171362">
            <w:pPr>
              <w:pStyle w:val="Body"/>
              <w:ind w:left="0"/>
            </w:pPr>
            <w:r>
              <w:t>30,000 tpa</w:t>
            </w:r>
          </w:p>
        </w:tc>
        <w:tc>
          <w:tcPr>
            <w:tcW w:w="2922" w:type="dxa"/>
          </w:tcPr>
          <w:p w:rsidR="00A549E1" w:rsidRDefault="00C97B29" w:rsidP="00171362">
            <w:pPr>
              <w:pStyle w:val="Body"/>
              <w:ind w:left="0"/>
            </w:pPr>
            <w:r>
              <w:t>40%</w:t>
            </w:r>
          </w:p>
        </w:tc>
      </w:tr>
      <w:tr w:rsidR="00A549E1" w:rsidTr="00FD0C18">
        <w:tc>
          <w:tcPr>
            <w:tcW w:w="2885" w:type="dxa"/>
          </w:tcPr>
          <w:p w:rsidR="00A549E1" w:rsidRDefault="00A549E1" w:rsidP="00171362">
            <w:pPr>
              <w:pStyle w:val="Body"/>
              <w:ind w:left="0"/>
            </w:pPr>
            <w:r>
              <w:t>Adelaide Brighton Cement Kiln, Birkenhead, SA</w:t>
            </w:r>
          </w:p>
        </w:tc>
        <w:tc>
          <w:tcPr>
            <w:tcW w:w="2914" w:type="dxa"/>
          </w:tcPr>
          <w:p w:rsidR="00A549E1" w:rsidRDefault="00C97B29" w:rsidP="00171362">
            <w:pPr>
              <w:pStyle w:val="Body"/>
              <w:ind w:left="0"/>
            </w:pPr>
            <w:r>
              <w:t xml:space="preserve">60,000 tpa </w:t>
            </w:r>
          </w:p>
        </w:tc>
        <w:tc>
          <w:tcPr>
            <w:tcW w:w="2922" w:type="dxa"/>
          </w:tcPr>
          <w:p w:rsidR="00A549E1" w:rsidRDefault="00C97B29" w:rsidP="00171362">
            <w:pPr>
              <w:pStyle w:val="Body"/>
              <w:ind w:left="0"/>
            </w:pPr>
            <w:r>
              <w:t>40%</w:t>
            </w:r>
          </w:p>
        </w:tc>
      </w:tr>
      <w:tr w:rsidR="00A549E1" w:rsidTr="00FD0C18">
        <w:tc>
          <w:tcPr>
            <w:tcW w:w="2885" w:type="dxa"/>
          </w:tcPr>
          <w:p w:rsidR="00A549E1" w:rsidRDefault="00A549E1" w:rsidP="00171362">
            <w:pPr>
              <w:pStyle w:val="Body"/>
              <w:ind w:left="0"/>
            </w:pPr>
            <w:r>
              <w:t>Adelaide Brighton Cement, Angaston, SA</w:t>
            </w:r>
          </w:p>
        </w:tc>
        <w:tc>
          <w:tcPr>
            <w:tcW w:w="2914" w:type="dxa"/>
          </w:tcPr>
          <w:p w:rsidR="00A549E1" w:rsidRDefault="00C97B29" w:rsidP="00171362">
            <w:pPr>
              <w:pStyle w:val="Body"/>
              <w:ind w:left="0"/>
            </w:pPr>
            <w:r>
              <w:t>20,000 tpa</w:t>
            </w:r>
          </w:p>
        </w:tc>
        <w:tc>
          <w:tcPr>
            <w:tcW w:w="2922" w:type="dxa"/>
          </w:tcPr>
          <w:p w:rsidR="00A549E1" w:rsidRDefault="00C97B29" w:rsidP="00171362">
            <w:pPr>
              <w:pStyle w:val="Body"/>
              <w:ind w:left="0"/>
            </w:pPr>
            <w:r>
              <w:t>40%</w:t>
            </w:r>
          </w:p>
        </w:tc>
      </w:tr>
      <w:tr w:rsidR="00A549E1" w:rsidTr="00FD0C18">
        <w:tc>
          <w:tcPr>
            <w:tcW w:w="2885" w:type="dxa"/>
          </w:tcPr>
          <w:p w:rsidR="00A549E1" w:rsidRDefault="00A549E1" w:rsidP="00171362">
            <w:pPr>
              <w:pStyle w:val="Body"/>
              <w:ind w:left="0"/>
            </w:pPr>
            <w:r>
              <w:t>Cement Australia*, Gladstone, QLD</w:t>
            </w:r>
          </w:p>
        </w:tc>
        <w:tc>
          <w:tcPr>
            <w:tcW w:w="2914" w:type="dxa"/>
          </w:tcPr>
          <w:p w:rsidR="00A549E1" w:rsidRDefault="00C97B29" w:rsidP="00171362">
            <w:pPr>
              <w:pStyle w:val="Body"/>
              <w:ind w:left="0"/>
            </w:pPr>
            <w:r>
              <w:t>70,000 tpa</w:t>
            </w:r>
          </w:p>
        </w:tc>
        <w:tc>
          <w:tcPr>
            <w:tcW w:w="2922" w:type="dxa"/>
          </w:tcPr>
          <w:p w:rsidR="00A549E1" w:rsidRDefault="00C97B29" w:rsidP="00171362">
            <w:pPr>
              <w:pStyle w:val="Body"/>
              <w:ind w:left="0"/>
            </w:pPr>
            <w:r>
              <w:t>60%</w:t>
            </w:r>
          </w:p>
        </w:tc>
      </w:tr>
      <w:tr w:rsidR="00A549E1" w:rsidTr="00FD0C18">
        <w:tc>
          <w:tcPr>
            <w:tcW w:w="2885" w:type="dxa"/>
          </w:tcPr>
          <w:p w:rsidR="00A549E1" w:rsidRDefault="00A549E1" w:rsidP="00171362">
            <w:pPr>
              <w:pStyle w:val="Body"/>
              <w:ind w:left="0"/>
            </w:pPr>
            <w:r>
              <w:t>Cement Australia</w:t>
            </w:r>
            <w:r>
              <w:rPr>
                <w:vertAlign w:val="superscript"/>
              </w:rPr>
              <w:t>*</w:t>
            </w:r>
            <w:r>
              <w:t>, Railton, TAS</w:t>
            </w:r>
          </w:p>
        </w:tc>
        <w:tc>
          <w:tcPr>
            <w:tcW w:w="2914" w:type="dxa"/>
          </w:tcPr>
          <w:p w:rsidR="00A549E1" w:rsidRDefault="00C97B29" w:rsidP="00171362">
            <w:pPr>
              <w:pStyle w:val="Body"/>
              <w:ind w:left="0"/>
            </w:pPr>
            <w:r>
              <w:t>62,500 tpa</w:t>
            </w:r>
          </w:p>
        </w:tc>
        <w:tc>
          <w:tcPr>
            <w:tcW w:w="2922" w:type="dxa"/>
          </w:tcPr>
          <w:p w:rsidR="00A549E1" w:rsidRDefault="00C97B29" w:rsidP="00171362">
            <w:pPr>
              <w:pStyle w:val="Body"/>
              <w:ind w:left="0"/>
            </w:pPr>
            <w:r>
              <w:t>60%</w:t>
            </w:r>
          </w:p>
        </w:tc>
      </w:tr>
      <w:tr w:rsidR="00A549E1" w:rsidTr="00FD0C18">
        <w:tc>
          <w:tcPr>
            <w:tcW w:w="2885" w:type="dxa"/>
          </w:tcPr>
          <w:p w:rsidR="00A549E1" w:rsidRDefault="00A549E1" w:rsidP="00171362">
            <w:pPr>
              <w:pStyle w:val="Body"/>
              <w:ind w:left="0"/>
            </w:pPr>
            <w:r>
              <w:t>Renewed Metal Technologies, Bomen, NSW</w:t>
            </w:r>
          </w:p>
        </w:tc>
        <w:tc>
          <w:tcPr>
            <w:tcW w:w="2914" w:type="dxa"/>
          </w:tcPr>
          <w:p w:rsidR="00A549E1" w:rsidRDefault="00C97B29" w:rsidP="00171362">
            <w:pPr>
              <w:pStyle w:val="Body"/>
              <w:ind w:left="0"/>
            </w:pPr>
            <w:r>
              <w:t>45,000 tpa</w:t>
            </w:r>
          </w:p>
        </w:tc>
        <w:tc>
          <w:tcPr>
            <w:tcW w:w="2922" w:type="dxa"/>
          </w:tcPr>
          <w:p w:rsidR="00A549E1" w:rsidRDefault="00C97B29" w:rsidP="00171362">
            <w:pPr>
              <w:pStyle w:val="Body"/>
              <w:ind w:left="0"/>
            </w:pPr>
            <w:r>
              <w:t>80%</w:t>
            </w:r>
          </w:p>
        </w:tc>
      </w:tr>
      <w:tr w:rsidR="00A549E1" w:rsidTr="00FD0C18">
        <w:tc>
          <w:tcPr>
            <w:tcW w:w="2885" w:type="dxa"/>
          </w:tcPr>
          <w:p w:rsidR="00A549E1" w:rsidRDefault="00A549E1" w:rsidP="00171362">
            <w:pPr>
              <w:pStyle w:val="Body"/>
              <w:ind w:left="0"/>
            </w:pPr>
            <w:r>
              <w:t>Regain Services Spent Pot Lining Reprocessing Facility – Tomago, NSW and Point Henry, VIC</w:t>
            </w:r>
          </w:p>
        </w:tc>
        <w:tc>
          <w:tcPr>
            <w:tcW w:w="2914" w:type="dxa"/>
          </w:tcPr>
          <w:p w:rsidR="00A549E1" w:rsidRDefault="00C97B29" w:rsidP="00171362">
            <w:pPr>
              <w:pStyle w:val="Body"/>
              <w:ind w:left="0"/>
            </w:pPr>
            <w:r>
              <w:t>30,000 tpa</w:t>
            </w:r>
          </w:p>
        </w:tc>
        <w:tc>
          <w:tcPr>
            <w:tcW w:w="2922" w:type="dxa"/>
          </w:tcPr>
          <w:p w:rsidR="00A549E1" w:rsidRDefault="00C97B29" w:rsidP="00171362">
            <w:pPr>
              <w:pStyle w:val="Body"/>
              <w:ind w:left="0"/>
            </w:pPr>
            <w:r>
              <w:t>80%</w:t>
            </w:r>
          </w:p>
        </w:tc>
      </w:tr>
      <w:tr w:rsidR="00A549E1" w:rsidTr="00FD0C18">
        <w:tc>
          <w:tcPr>
            <w:tcW w:w="2885" w:type="dxa"/>
          </w:tcPr>
          <w:p w:rsidR="00A549E1" w:rsidRDefault="00A549E1" w:rsidP="00171362">
            <w:pPr>
              <w:pStyle w:val="Body"/>
              <w:ind w:left="0"/>
            </w:pPr>
            <w:r>
              <w:t>Weston Aluminium, Kurri Kurri, NSW</w:t>
            </w:r>
          </w:p>
        </w:tc>
        <w:tc>
          <w:tcPr>
            <w:tcW w:w="2914" w:type="dxa"/>
          </w:tcPr>
          <w:p w:rsidR="00A549E1" w:rsidRDefault="00C97B29" w:rsidP="00171362">
            <w:pPr>
              <w:pStyle w:val="Body"/>
              <w:ind w:left="0"/>
            </w:pPr>
            <w:r>
              <w:t>25,000 tpa</w:t>
            </w:r>
          </w:p>
        </w:tc>
        <w:tc>
          <w:tcPr>
            <w:tcW w:w="2922" w:type="dxa"/>
          </w:tcPr>
          <w:p w:rsidR="00A549E1" w:rsidRDefault="00C97B29" w:rsidP="00171362">
            <w:pPr>
              <w:pStyle w:val="Body"/>
              <w:ind w:left="0"/>
            </w:pPr>
            <w:r>
              <w:t>50%</w:t>
            </w:r>
          </w:p>
        </w:tc>
      </w:tr>
      <w:tr w:rsidR="00A549E1" w:rsidTr="00FD0C18">
        <w:tc>
          <w:tcPr>
            <w:tcW w:w="2885" w:type="dxa"/>
          </w:tcPr>
          <w:p w:rsidR="00A549E1" w:rsidRDefault="00A549E1" w:rsidP="00171362">
            <w:pPr>
              <w:pStyle w:val="Body"/>
              <w:ind w:left="0"/>
            </w:pPr>
            <w:r>
              <w:t>Toxfree, – Narangba, QLD and Laverton, VIC</w:t>
            </w:r>
          </w:p>
        </w:tc>
        <w:tc>
          <w:tcPr>
            <w:tcW w:w="2914" w:type="dxa"/>
          </w:tcPr>
          <w:p w:rsidR="00A549E1" w:rsidRDefault="00C97B29" w:rsidP="00171362">
            <w:pPr>
              <w:pStyle w:val="Body"/>
              <w:ind w:left="0"/>
            </w:pPr>
            <w:r>
              <w:t>Not Considered – gate fee too high</w:t>
            </w:r>
          </w:p>
        </w:tc>
        <w:tc>
          <w:tcPr>
            <w:tcW w:w="2922" w:type="dxa"/>
          </w:tcPr>
          <w:p w:rsidR="00A549E1" w:rsidRDefault="00C97B29" w:rsidP="00171362">
            <w:pPr>
              <w:pStyle w:val="Body"/>
              <w:ind w:left="0"/>
            </w:pPr>
            <w:r>
              <w:t>90%</w:t>
            </w:r>
          </w:p>
        </w:tc>
      </w:tr>
      <w:tr w:rsidR="00A549E1" w:rsidTr="00FD0C18">
        <w:tc>
          <w:tcPr>
            <w:tcW w:w="2885" w:type="dxa"/>
          </w:tcPr>
          <w:p w:rsidR="00A549E1" w:rsidRDefault="00A549E1" w:rsidP="00171362">
            <w:pPr>
              <w:pStyle w:val="Body"/>
              <w:ind w:left="0"/>
            </w:pPr>
            <w:r>
              <w:lastRenderedPageBreak/>
              <w:t>Veolia Autoclave &amp; Liquid Treatment Plant, Berrimah, NT</w:t>
            </w:r>
          </w:p>
        </w:tc>
        <w:tc>
          <w:tcPr>
            <w:tcW w:w="2914" w:type="dxa"/>
          </w:tcPr>
          <w:p w:rsidR="00A549E1" w:rsidRDefault="00C97B29" w:rsidP="00171362">
            <w:pPr>
              <w:pStyle w:val="Body"/>
              <w:ind w:left="0"/>
            </w:pPr>
            <w:r>
              <w:t>N/A</w:t>
            </w:r>
          </w:p>
        </w:tc>
        <w:tc>
          <w:tcPr>
            <w:tcW w:w="2922" w:type="dxa"/>
          </w:tcPr>
          <w:p w:rsidR="00A549E1" w:rsidRDefault="00C97B29" w:rsidP="00171362">
            <w:pPr>
              <w:pStyle w:val="Body"/>
              <w:ind w:left="0"/>
            </w:pPr>
            <w:r>
              <w:t>80%</w:t>
            </w:r>
          </w:p>
        </w:tc>
      </w:tr>
    </w:tbl>
    <w:p w:rsidR="00171362" w:rsidRDefault="003F433B" w:rsidP="003F433B">
      <w:pPr>
        <w:pStyle w:val="Heading2"/>
      </w:pPr>
      <w:bookmarkStart w:id="93" w:name="_Toc450909347"/>
      <w:r>
        <w:t>Prefeasibility studies</w:t>
      </w:r>
      <w:bookmarkEnd w:id="93"/>
    </w:p>
    <w:p w:rsidR="003F433B" w:rsidRDefault="003F433B" w:rsidP="003F433B">
      <w:pPr>
        <w:pStyle w:val="Body"/>
      </w:pPr>
      <w:r>
        <w:t xml:space="preserve">In order to obtain accurate figures regarding the potential of the existing thermal facilities to treat </w:t>
      </w:r>
      <w:r w:rsidR="00432D1D">
        <w:t xml:space="preserve">additional </w:t>
      </w:r>
      <w:r>
        <w:t xml:space="preserve">hazardous wastes, prefeasibility studies would be required for the thermal facilities with existing capacity to treat more waste. </w:t>
      </w:r>
    </w:p>
    <w:p w:rsidR="00802E87" w:rsidRDefault="00802E87" w:rsidP="003F433B">
      <w:pPr>
        <w:pStyle w:val="Body"/>
      </w:pPr>
      <w:r>
        <w:t>The prefeasibility studies will also need to consider the logistics and costs of transporting hazardous waste from the point of generation to final disposal.</w:t>
      </w:r>
    </w:p>
    <w:p w:rsidR="003F433B" w:rsidRDefault="003F433B" w:rsidP="003F433B">
      <w:pPr>
        <w:pStyle w:val="Body"/>
      </w:pPr>
      <w:r>
        <w:t xml:space="preserve">As mentioned in section </w:t>
      </w:r>
      <w:r>
        <w:fldChar w:fldCharType="begin"/>
      </w:r>
      <w:r>
        <w:instrText xml:space="preserve"> REF _Ref450248731 \r \h </w:instrText>
      </w:r>
      <w:r>
        <w:fldChar w:fldCharType="separate"/>
      </w:r>
      <w:r w:rsidR="006225A8">
        <w:t>6.7</w:t>
      </w:r>
      <w:r>
        <w:fldChar w:fldCharType="end"/>
      </w:r>
      <w:r>
        <w:t xml:space="preserve">, </w:t>
      </w:r>
      <w:r w:rsidR="00432D1D">
        <w:t>prefeasibility studies would be required for any thermal facility seeking to treat POPs waste.</w:t>
      </w:r>
    </w:p>
    <w:p w:rsidR="003F433B" w:rsidRDefault="003F433B" w:rsidP="003F433B">
      <w:pPr>
        <w:pStyle w:val="Body"/>
      </w:pPr>
    </w:p>
    <w:p w:rsidR="003F433B" w:rsidRDefault="003F433B" w:rsidP="003F433B">
      <w:pPr>
        <w:pStyle w:val="Body"/>
      </w:pPr>
    </w:p>
    <w:p w:rsidR="003F433B" w:rsidRDefault="003F433B" w:rsidP="003F433B">
      <w:pPr>
        <w:pStyle w:val="Body"/>
      </w:pPr>
    </w:p>
    <w:p w:rsidR="003F433B" w:rsidRPr="003F433B" w:rsidRDefault="003F433B" w:rsidP="003F433B">
      <w:pPr>
        <w:pStyle w:val="Body"/>
      </w:pPr>
    </w:p>
    <w:p w:rsidR="00171362" w:rsidRDefault="00171362" w:rsidP="00171362">
      <w:pPr>
        <w:pStyle w:val="Body"/>
      </w:pPr>
    </w:p>
    <w:p w:rsidR="00171362" w:rsidRDefault="00171362" w:rsidP="00171362">
      <w:pPr>
        <w:pStyle w:val="Body"/>
        <w:sectPr w:rsidR="00171362" w:rsidSect="00D62B6B">
          <w:pgSz w:w="11907" w:h="16839" w:code="9"/>
          <w:pgMar w:top="1134" w:right="1134" w:bottom="1134" w:left="1701" w:header="181" w:footer="227" w:gutter="0"/>
          <w:cols w:space="283"/>
          <w:docGrid w:linePitch="360"/>
        </w:sectPr>
      </w:pPr>
    </w:p>
    <w:p w:rsidR="005A3A66" w:rsidRPr="006B606B" w:rsidRDefault="005A3A66" w:rsidP="00171362">
      <w:pPr>
        <w:pStyle w:val="Heading1"/>
      </w:pPr>
      <w:bookmarkStart w:id="94" w:name="_Toc447535952"/>
      <w:bookmarkStart w:id="95" w:name="_Toc450909348"/>
      <w:r>
        <w:lastRenderedPageBreak/>
        <w:t>Conclusion</w:t>
      </w:r>
      <w:bookmarkEnd w:id="94"/>
      <w:bookmarkEnd w:id="95"/>
    </w:p>
    <w:p w:rsidR="005A3A66" w:rsidRDefault="005A3A66" w:rsidP="005A3A66">
      <w:pPr>
        <w:pStyle w:val="Body"/>
      </w:pPr>
      <w:r>
        <w:t xml:space="preserve">The assessment undertaken by GHD of thermal facilities across Australia has identified significant existing and potential capacity for the safe treatment of hazardous waste. In addition to existing waste treatment facilities, there is considerable capacity for waste treatment in non-traditional facilities such as cement kilns and smelters, who often have highly controlled processes and adequate emission management systems. </w:t>
      </w:r>
    </w:p>
    <w:p w:rsidR="005A3A66" w:rsidRDefault="005A3A66" w:rsidP="005A3A66">
      <w:pPr>
        <w:pStyle w:val="Body"/>
      </w:pPr>
      <w:r>
        <w:t xml:space="preserve">The greatest challenge with utilisation of existing capacity is often the variable nature of waste streams and the commercial barriers that exist, with the requirement to undertake trials to manage the expectations of state and local government authorities. </w:t>
      </w:r>
    </w:p>
    <w:p w:rsidR="005A3A66" w:rsidRDefault="005A3A66" w:rsidP="005A3A66">
      <w:pPr>
        <w:pStyle w:val="Body"/>
      </w:pPr>
      <w:r>
        <w:t xml:space="preserve">The most significant opportunity for expansion of thermal waste treatment comes from non-traditional treatment facilities such as cement kilns and metal producing smelters. The most significant changes required for these facilities is the need to upgrade front end waste handling and plant feed systems, as thermal process and emission control systems are often adequate to cater for most hazardous waste types. </w:t>
      </w:r>
      <w:r w:rsidR="00E917FA">
        <w:t>The exception to this would be POPs waste.</w:t>
      </w:r>
    </w:p>
    <w:p w:rsidR="005A3A66" w:rsidRDefault="005A3A66" w:rsidP="005A3A66">
      <w:pPr>
        <w:pStyle w:val="Body"/>
      </w:pPr>
      <w:r>
        <w:t xml:space="preserve">This study identifies that further </w:t>
      </w:r>
      <w:r w:rsidR="00E917FA">
        <w:t>pre</w:t>
      </w:r>
      <w:r>
        <w:t xml:space="preserve">feasibility assessment should be undertaken on a number of facilities and that existing approaches to hazardous waste disposal and hazardous waste export should be reconsidered in light of both existing and potential capacity for safe and appropriate treatment of hazardous waste. </w:t>
      </w:r>
    </w:p>
    <w:p w:rsidR="00E02A69" w:rsidRDefault="00E02A69" w:rsidP="005A3A66">
      <w:pPr>
        <w:pStyle w:val="Body"/>
      </w:pPr>
    </w:p>
    <w:p w:rsidR="00E02A69" w:rsidRDefault="00E02A69" w:rsidP="005A3A66">
      <w:pPr>
        <w:pStyle w:val="Body"/>
      </w:pPr>
    </w:p>
    <w:p w:rsidR="005A3A66" w:rsidRDefault="005A3A66" w:rsidP="005A3A66">
      <w:pPr>
        <w:pStyle w:val="Body"/>
      </w:pP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5A3A66" w:rsidRPr="00BC4E63" w:rsidRDefault="005A3A66" w:rsidP="005A3A66">
      <w:pPr>
        <w:pStyle w:val="Appendix"/>
        <w:sectPr w:rsidR="005A3A66" w:rsidRPr="00BC4E63" w:rsidSect="00D62B6B">
          <w:pgSz w:w="11907" w:h="16839" w:code="9"/>
          <w:pgMar w:top="1134" w:right="1134" w:bottom="1134" w:left="1701" w:header="181" w:footer="227" w:gutter="0"/>
          <w:cols w:space="283"/>
          <w:docGrid w:linePitch="360"/>
        </w:sectPr>
      </w:pPr>
    </w:p>
    <w:p w:rsidR="005A3A66" w:rsidRPr="00BC4E63" w:rsidRDefault="005A3A66" w:rsidP="005A3A66">
      <w:pPr>
        <w:pStyle w:val="Body"/>
      </w:pPr>
    </w:p>
    <w:p w:rsidR="00886D52" w:rsidRPr="00BC4E63" w:rsidRDefault="00886D52" w:rsidP="00882034">
      <w:pPr>
        <w:pStyle w:val="Body"/>
      </w:pPr>
    </w:p>
    <w:p w:rsidR="00412D9F" w:rsidRPr="00BC4E63" w:rsidRDefault="00412D9F" w:rsidP="00412D9F">
      <w:pPr>
        <w:pStyle w:val="Body"/>
      </w:pPr>
    </w:p>
    <w:p w:rsidR="009648CD" w:rsidRPr="00BC4E63" w:rsidRDefault="009648CD" w:rsidP="00412D9F">
      <w:pPr>
        <w:pStyle w:val="Appendix"/>
        <w:sectPr w:rsidR="009648CD" w:rsidRPr="00BC4E63" w:rsidSect="00D62B6B">
          <w:headerReference w:type="first" r:id="rId25"/>
          <w:footerReference w:type="first" r:id="rId26"/>
          <w:pgSz w:w="11907" w:h="16839" w:code="9"/>
          <w:pgMar w:top="1134" w:right="1134" w:bottom="1134" w:left="1701" w:header="181" w:footer="227" w:gutter="0"/>
          <w:cols w:space="283"/>
          <w:docGrid w:linePitch="360"/>
        </w:sectPr>
      </w:pPr>
      <w:bookmarkStart w:id="96" w:name="_GoBack"/>
      <w:bookmarkEnd w:id="96"/>
    </w:p>
    <w:p w:rsidR="009648CD" w:rsidRPr="00BC4E63" w:rsidRDefault="009648CD" w:rsidP="008C5BCE">
      <w:pPr>
        <w:pStyle w:val="Body"/>
      </w:pPr>
    </w:p>
    <w:tbl>
      <w:tblPr>
        <w:tblpPr w:leftFromText="181" w:rightFromText="181" w:horzAnchor="margin" w:tblpYSpec="bottom"/>
        <w:tblW w:w="0" w:type="auto"/>
        <w:tblLook w:val="01E0" w:firstRow="1" w:lastRow="1" w:firstColumn="1" w:lastColumn="1" w:noHBand="0" w:noVBand="0"/>
      </w:tblPr>
      <w:tblGrid>
        <w:gridCol w:w="9072"/>
      </w:tblGrid>
      <w:tr w:rsidR="009648CD" w:rsidRPr="00BC4E63" w:rsidTr="002079FD">
        <w:tc>
          <w:tcPr>
            <w:tcW w:w="10608" w:type="dxa"/>
            <w:shd w:val="clear" w:color="auto" w:fill="auto"/>
          </w:tcPr>
          <w:p w:rsidR="009648CD" w:rsidRPr="00BC4E63" w:rsidRDefault="009648CD" w:rsidP="00794329">
            <w:pPr>
              <w:pStyle w:val="Body"/>
              <w:spacing w:line="240" w:lineRule="auto"/>
              <w:ind w:left="0"/>
              <w:rPr>
                <w:bCs/>
              </w:rPr>
            </w:pPr>
            <w:bookmarkStart w:id="97" w:name="EndSection"/>
            <w:r w:rsidRPr="00BC4E63">
              <w:rPr>
                <w:bCs/>
              </w:rPr>
              <w:t>GHD</w:t>
            </w:r>
          </w:p>
          <w:bookmarkEnd w:id="97"/>
          <w:p w:rsidR="00003EDA" w:rsidRPr="00BC4E63" w:rsidRDefault="00003EDA" w:rsidP="00794329">
            <w:pPr>
              <w:pStyle w:val="Body"/>
              <w:spacing w:line="240" w:lineRule="auto"/>
              <w:ind w:left="0"/>
              <w:rPr>
                <w:bCs/>
              </w:rPr>
            </w:pPr>
            <w:r w:rsidRPr="00BC4E63">
              <w:rPr>
                <w:bCs/>
              </w:rPr>
              <w:fldChar w:fldCharType="begin"/>
            </w:r>
            <w:r w:rsidRPr="00BC4E63">
              <w:rPr>
                <w:bCs/>
              </w:rPr>
              <w:instrText xml:space="preserve"> DOCPROPERTY "OfficeAddressLine1"  \* MERGEFORMAT </w:instrText>
            </w:r>
            <w:r w:rsidRPr="00BC4E63">
              <w:rPr>
                <w:bCs/>
              </w:rPr>
              <w:fldChar w:fldCharType="separate"/>
            </w:r>
            <w:r w:rsidR="00802E87">
              <w:rPr>
                <w:bCs/>
              </w:rPr>
              <w:t>133 Castlereagh St  Sydney NSW 2000</w:t>
            </w:r>
            <w:r w:rsidRPr="00BC4E63">
              <w:rPr>
                <w:bCs/>
              </w:rPr>
              <w:fldChar w:fldCharType="end"/>
            </w:r>
            <w:r w:rsidRPr="00BC4E63">
              <w:rPr>
                <w:bCs/>
              </w:rPr>
              <w:br/>
            </w:r>
            <w:r w:rsidRPr="00BC4E63">
              <w:rPr>
                <w:bCs/>
              </w:rPr>
              <w:fldChar w:fldCharType="begin"/>
            </w:r>
            <w:r w:rsidRPr="00BC4E63">
              <w:rPr>
                <w:bCs/>
              </w:rPr>
              <w:instrText xml:space="preserve"> DOCPROPERTY "OfficeAddressLine2"  \* MERGEFORMAT </w:instrText>
            </w:r>
            <w:r w:rsidRPr="00BC4E63">
              <w:rPr>
                <w:bCs/>
              </w:rPr>
              <w:fldChar w:fldCharType="separate"/>
            </w:r>
            <w:r w:rsidR="00802E87">
              <w:rPr>
                <w:bCs/>
              </w:rPr>
              <w:t>-</w:t>
            </w:r>
            <w:r w:rsidRPr="00BC4E63">
              <w:rPr>
                <w:bCs/>
              </w:rPr>
              <w:fldChar w:fldCharType="end"/>
            </w:r>
            <w:r w:rsidRPr="00BC4E63">
              <w:rPr>
                <w:bCs/>
              </w:rPr>
              <w:br/>
              <w:t xml:space="preserve">T: </w:t>
            </w:r>
            <w:r w:rsidRPr="00BC4E63">
              <w:rPr>
                <w:bCs/>
              </w:rPr>
              <w:fldChar w:fldCharType="begin"/>
            </w:r>
            <w:r w:rsidRPr="00BC4E63">
              <w:rPr>
                <w:bCs/>
              </w:rPr>
              <w:instrText xml:space="preserve"> DOCPROPERTY "OfficeTelephone"  \* MERGEFORMAT </w:instrText>
            </w:r>
            <w:r w:rsidRPr="00BC4E63">
              <w:rPr>
                <w:bCs/>
              </w:rPr>
              <w:fldChar w:fldCharType="separate"/>
            </w:r>
            <w:r w:rsidR="00802E87">
              <w:rPr>
                <w:bCs/>
              </w:rPr>
              <w:t>+61 2 9239 7100</w:t>
            </w:r>
            <w:r w:rsidRPr="00BC4E63">
              <w:rPr>
                <w:bCs/>
              </w:rPr>
              <w:fldChar w:fldCharType="end"/>
            </w:r>
            <w:r w:rsidRPr="00BC4E63">
              <w:rPr>
                <w:bCs/>
              </w:rPr>
              <w:t xml:space="preserve">   F: </w:t>
            </w:r>
            <w:r w:rsidRPr="00BC4E63">
              <w:rPr>
                <w:bCs/>
              </w:rPr>
              <w:fldChar w:fldCharType="begin"/>
            </w:r>
            <w:r w:rsidRPr="00BC4E63">
              <w:rPr>
                <w:bCs/>
              </w:rPr>
              <w:instrText xml:space="preserve"> DOCPROPERTY "OfficeFax"  \* MERGEFORMAT </w:instrText>
            </w:r>
            <w:r w:rsidRPr="00BC4E63">
              <w:rPr>
                <w:bCs/>
              </w:rPr>
              <w:fldChar w:fldCharType="separate"/>
            </w:r>
            <w:r w:rsidR="00802E87">
              <w:rPr>
                <w:bCs/>
              </w:rPr>
              <w:t>+61 2 9239 7199</w:t>
            </w:r>
            <w:r w:rsidRPr="00BC4E63">
              <w:rPr>
                <w:bCs/>
              </w:rPr>
              <w:fldChar w:fldCharType="end"/>
            </w:r>
            <w:r w:rsidRPr="00BC4E63">
              <w:rPr>
                <w:bCs/>
              </w:rPr>
              <w:t xml:space="preserve">   E: </w:t>
            </w:r>
            <w:r w:rsidRPr="00BC4E63">
              <w:rPr>
                <w:bCs/>
              </w:rPr>
              <w:fldChar w:fldCharType="begin"/>
            </w:r>
            <w:r w:rsidRPr="00BC4E63">
              <w:rPr>
                <w:bCs/>
              </w:rPr>
              <w:instrText xml:space="preserve"> DOCPROPERTY "OfficeEmail"  \* MERGEFORMAT </w:instrText>
            </w:r>
            <w:r w:rsidRPr="00BC4E63">
              <w:rPr>
                <w:bCs/>
              </w:rPr>
              <w:fldChar w:fldCharType="separate"/>
            </w:r>
            <w:r w:rsidR="00802E87">
              <w:rPr>
                <w:bCs/>
              </w:rPr>
              <w:t>sydmail@ghd.com.au</w:t>
            </w:r>
            <w:r w:rsidRPr="00BC4E63">
              <w:rPr>
                <w:bCs/>
              </w:rPr>
              <w:fldChar w:fldCharType="end"/>
            </w:r>
          </w:p>
          <w:p w:rsidR="00003EDA" w:rsidRPr="00BC4E63" w:rsidRDefault="00003EDA" w:rsidP="00794329">
            <w:pPr>
              <w:pStyle w:val="Body"/>
              <w:spacing w:line="240" w:lineRule="auto"/>
              <w:ind w:left="0"/>
              <w:rPr>
                <w:bCs/>
              </w:rPr>
            </w:pPr>
          </w:p>
          <w:p w:rsidR="009648CD" w:rsidRPr="00BC4E63" w:rsidRDefault="00003EDA" w:rsidP="00794329">
            <w:pPr>
              <w:pStyle w:val="Body"/>
              <w:spacing w:line="240" w:lineRule="auto"/>
              <w:ind w:left="0"/>
              <w:rPr>
                <w:bCs/>
              </w:rPr>
            </w:pPr>
            <w:r w:rsidRPr="00BC4E63">
              <w:rPr>
                <w:bCs/>
              </w:rPr>
              <w:t xml:space="preserve">© GHD </w:t>
            </w:r>
            <w:r w:rsidRPr="00BC4E63">
              <w:rPr>
                <w:bCs/>
              </w:rPr>
              <w:fldChar w:fldCharType="begin"/>
            </w:r>
            <w:r w:rsidRPr="00BC4E63">
              <w:rPr>
                <w:bCs/>
              </w:rPr>
              <w:instrText xml:space="preserve"> CREATEDATE \@ "yyyy" \* MERGEFORMAT </w:instrText>
            </w:r>
            <w:r w:rsidRPr="00BC4E63">
              <w:rPr>
                <w:bCs/>
              </w:rPr>
              <w:fldChar w:fldCharType="separate"/>
            </w:r>
            <w:r w:rsidR="00802E87">
              <w:rPr>
                <w:bCs/>
                <w:noProof/>
              </w:rPr>
              <w:t>2016</w:t>
            </w:r>
            <w:r w:rsidRPr="00BC4E63">
              <w:rPr>
                <w:bCs/>
              </w:rPr>
              <w:fldChar w:fldCharType="end"/>
            </w:r>
          </w:p>
          <w:p w:rsidR="009648CD" w:rsidRPr="00BC4E63" w:rsidRDefault="00663FF0" w:rsidP="00794329">
            <w:pPr>
              <w:pStyle w:val="Body"/>
              <w:spacing w:before="0" w:after="0" w:line="240" w:lineRule="auto"/>
              <w:ind w:left="0"/>
              <w:rPr>
                <w:bCs/>
              </w:rPr>
            </w:pPr>
            <w:r w:rsidRPr="00BC4E63">
              <w:rPr>
                <w:bCs/>
              </w:rPr>
              <w:t>This document is and shall remain the property of GHD. The document may only be used for the purpose for which it was commissioned and in accordance with the Terms of Engagement for the commission. Unauthorised use of this document in any form whatsoever is prohibited.</w:t>
            </w:r>
          </w:p>
          <w:p w:rsidR="009648CD" w:rsidRPr="00BC4E63" w:rsidRDefault="00A24730" w:rsidP="00794329">
            <w:pPr>
              <w:pStyle w:val="Body"/>
              <w:spacing w:line="240" w:lineRule="auto"/>
              <w:ind w:left="0"/>
              <w:rPr>
                <w:bCs/>
              </w:rPr>
            </w:pPr>
            <w:r w:rsidRPr="00BC4E63">
              <w:rPr>
                <w:bCs/>
              </w:rPr>
              <w:fldChar w:fldCharType="begin"/>
            </w:r>
            <w:r w:rsidRPr="00BC4E63">
              <w:rPr>
                <w:bCs/>
              </w:rPr>
              <w:instrText xml:space="preserve"> FILENAME  \p  \* MERGEFORMAT </w:instrText>
            </w:r>
            <w:r w:rsidRPr="00BC4E63">
              <w:rPr>
                <w:bCs/>
              </w:rPr>
              <w:fldChar w:fldCharType="separate"/>
            </w:r>
            <w:r w:rsidR="00802E87">
              <w:rPr>
                <w:bCs/>
                <w:noProof/>
              </w:rPr>
              <w:t>\\ghdnet\ghd\AU\Sydney\Projects\21\25157\WP\215460 diane kovacs changes 05-05-2016.docx</w:t>
            </w:r>
            <w:r w:rsidRPr="00BC4E63">
              <w:rPr>
                <w:bCs/>
              </w:rPr>
              <w:fldChar w:fldCharType="end"/>
            </w:r>
          </w:p>
          <w:p w:rsidR="00016408" w:rsidRPr="00BC4E63" w:rsidRDefault="00016408" w:rsidP="00016408">
            <w:pPr>
              <w:pStyle w:val="Body"/>
              <w:spacing w:line="240" w:lineRule="auto"/>
              <w:ind w:left="0"/>
              <w:rPr>
                <w:bCs/>
              </w:rPr>
            </w:pPr>
            <w:r w:rsidRPr="00BC4E63">
              <w:rPr>
                <w:bCs/>
              </w:rPr>
              <w:t>Document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235"/>
              <w:gridCol w:w="1166"/>
              <w:gridCol w:w="1536"/>
              <w:gridCol w:w="1243"/>
              <w:gridCol w:w="1566"/>
              <w:gridCol w:w="1117"/>
            </w:tblGrid>
            <w:tr w:rsidR="00016408" w:rsidRPr="00BC4E63" w:rsidTr="00406502">
              <w:tc>
                <w:tcPr>
                  <w:tcW w:w="983" w:type="dxa"/>
                  <w:vMerge w:val="restart"/>
                </w:tcPr>
                <w:p w:rsidR="00016408" w:rsidRPr="00BC4E63" w:rsidRDefault="00016408" w:rsidP="00BA0977">
                  <w:pPr>
                    <w:framePr w:hSpace="181" w:wrap="around" w:hAnchor="margin" w:yAlign="bottom"/>
                  </w:pPr>
                  <w:r w:rsidRPr="00BC4E63">
                    <w:t>Rev</w:t>
                  </w:r>
                  <w:r>
                    <w:t>ision</w:t>
                  </w:r>
                </w:p>
              </w:tc>
              <w:tc>
                <w:tcPr>
                  <w:tcW w:w="1311" w:type="dxa"/>
                  <w:vMerge w:val="restart"/>
                </w:tcPr>
                <w:p w:rsidR="00016408" w:rsidRPr="00BC4E63" w:rsidRDefault="00016408" w:rsidP="00BA0977">
                  <w:pPr>
                    <w:framePr w:hSpace="181" w:wrap="around" w:hAnchor="margin" w:yAlign="bottom"/>
                    <w:spacing w:before="20" w:after="20"/>
                  </w:pPr>
                  <w:r w:rsidRPr="00BC4E63">
                    <w:t>Author</w:t>
                  </w:r>
                </w:p>
              </w:tc>
              <w:tc>
                <w:tcPr>
                  <w:tcW w:w="2747" w:type="dxa"/>
                  <w:gridSpan w:val="2"/>
                </w:tcPr>
                <w:p w:rsidR="00016408" w:rsidRPr="00BC4E63" w:rsidRDefault="00016408" w:rsidP="00BA0977">
                  <w:pPr>
                    <w:framePr w:hSpace="181" w:wrap="around" w:hAnchor="margin" w:yAlign="bottom"/>
                    <w:spacing w:before="20" w:after="20"/>
                  </w:pPr>
                  <w:r w:rsidRPr="00BC4E63">
                    <w:t>Reviewer</w:t>
                  </w:r>
                </w:p>
              </w:tc>
              <w:tc>
                <w:tcPr>
                  <w:tcW w:w="4021" w:type="dxa"/>
                  <w:gridSpan w:val="3"/>
                </w:tcPr>
                <w:p w:rsidR="00016408" w:rsidRPr="00BC4E63" w:rsidRDefault="00016408" w:rsidP="00BA0977">
                  <w:pPr>
                    <w:framePr w:hSpace="181" w:wrap="around" w:hAnchor="margin" w:yAlign="bottom"/>
                    <w:spacing w:before="20" w:after="20"/>
                  </w:pPr>
                  <w:r w:rsidRPr="00BC4E63">
                    <w:t>Approved for Issue</w:t>
                  </w:r>
                </w:p>
              </w:tc>
            </w:tr>
            <w:tr w:rsidR="00016408" w:rsidRPr="00BC4E63" w:rsidTr="00406502">
              <w:tc>
                <w:tcPr>
                  <w:tcW w:w="983" w:type="dxa"/>
                  <w:vMerge/>
                </w:tcPr>
                <w:p w:rsidR="00016408" w:rsidRPr="00BC4E63" w:rsidRDefault="00016408" w:rsidP="00BA0977">
                  <w:pPr>
                    <w:framePr w:hSpace="181" w:wrap="around" w:hAnchor="margin" w:yAlign="bottom"/>
                  </w:pPr>
                </w:p>
              </w:tc>
              <w:tc>
                <w:tcPr>
                  <w:tcW w:w="1311" w:type="dxa"/>
                  <w:vMerge/>
                </w:tcPr>
                <w:p w:rsidR="00016408" w:rsidRPr="00BC4E63" w:rsidRDefault="00016408" w:rsidP="00BA0977">
                  <w:pPr>
                    <w:framePr w:hSpace="181" w:wrap="around" w:hAnchor="margin" w:yAlign="bottom"/>
                  </w:pPr>
                </w:p>
              </w:tc>
              <w:tc>
                <w:tcPr>
                  <w:tcW w:w="1211" w:type="dxa"/>
                </w:tcPr>
                <w:p w:rsidR="00016408" w:rsidRPr="00BC4E63" w:rsidRDefault="00016408" w:rsidP="00BA0977">
                  <w:pPr>
                    <w:framePr w:hSpace="181" w:wrap="around" w:hAnchor="margin" w:yAlign="bottom"/>
                  </w:pPr>
                  <w:r w:rsidRPr="00BC4E63">
                    <w:t>Name</w:t>
                  </w:r>
                </w:p>
              </w:tc>
              <w:tc>
                <w:tcPr>
                  <w:tcW w:w="1536" w:type="dxa"/>
                </w:tcPr>
                <w:p w:rsidR="00016408" w:rsidRPr="00BC4E63" w:rsidRDefault="00016408" w:rsidP="00BA0977">
                  <w:pPr>
                    <w:framePr w:hSpace="181" w:wrap="around" w:hAnchor="margin" w:yAlign="bottom"/>
                  </w:pPr>
                  <w:r w:rsidRPr="00BC4E63">
                    <w:t>Signature</w:t>
                  </w:r>
                </w:p>
              </w:tc>
              <w:tc>
                <w:tcPr>
                  <w:tcW w:w="1324" w:type="dxa"/>
                </w:tcPr>
                <w:p w:rsidR="00016408" w:rsidRPr="00BC4E63" w:rsidRDefault="00016408" w:rsidP="00BA0977">
                  <w:pPr>
                    <w:framePr w:hSpace="181" w:wrap="around" w:hAnchor="margin" w:yAlign="bottom"/>
                  </w:pPr>
                  <w:r w:rsidRPr="00BC4E63">
                    <w:t>Name</w:t>
                  </w:r>
                </w:p>
              </w:tc>
              <w:tc>
                <w:tcPr>
                  <w:tcW w:w="1580" w:type="dxa"/>
                </w:tcPr>
                <w:p w:rsidR="00016408" w:rsidRPr="00BC4E63" w:rsidRDefault="00016408" w:rsidP="00BA0977">
                  <w:pPr>
                    <w:framePr w:hSpace="181" w:wrap="around" w:hAnchor="margin" w:yAlign="bottom"/>
                  </w:pPr>
                  <w:r w:rsidRPr="00BC4E63">
                    <w:t>Signature</w:t>
                  </w:r>
                </w:p>
              </w:tc>
              <w:tc>
                <w:tcPr>
                  <w:tcW w:w="1117" w:type="dxa"/>
                </w:tcPr>
                <w:p w:rsidR="00016408" w:rsidRPr="00BC4E63" w:rsidRDefault="00016408" w:rsidP="00BA0977">
                  <w:pPr>
                    <w:framePr w:hSpace="181" w:wrap="around" w:hAnchor="margin" w:yAlign="bottom"/>
                  </w:pPr>
                  <w:r w:rsidRPr="00BC4E63">
                    <w:t>Date</w:t>
                  </w:r>
                </w:p>
              </w:tc>
            </w:tr>
            <w:tr w:rsidR="00016408" w:rsidRPr="00BC4E63" w:rsidTr="00406502">
              <w:trPr>
                <w:trHeight w:val="397"/>
              </w:trPr>
              <w:tc>
                <w:tcPr>
                  <w:tcW w:w="983" w:type="dxa"/>
                </w:tcPr>
                <w:p w:rsidR="00016408" w:rsidRPr="00BC4E63" w:rsidRDefault="00E917FA" w:rsidP="00BA0977">
                  <w:pPr>
                    <w:pStyle w:val="RevisionTable"/>
                    <w:framePr w:wrap="around"/>
                  </w:pPr>
                  <w:r>
                    <w:t>Rev</w:t>
                  </w:r>
                  <w:r w:rsidR="00FC4178">
                    <w:t xml:space="preserve"> A</w:t>
                  </w:r>
                </w:p>
              </w:tc>
              <w:tc>
                <w:tcPr>
                  <w:tcW w:w="1311" w:type="dxa"/>
                </w:tcPr>
                <w:p w:rsidR="00016408" w:rsidRPr="00BC4E63" w:rsidRDefault="00FC4178" w:rsidP="00BA0977">
                  <w:pPr>
                    <w:pStyle w:val="RevisionTable"/>
                    <w:framePr w:wrap="around"/>
                  </w:pPr>
                  <w:r>
                    <w:t>S Thompson</w:t>
                  </w:r>
                </w:p>
              </w:tc>
              <w:tc>
                <w:tcPr>
                  <w:tcW w:w="1211" w:type="dxa"/>
                </w:tcPr>
                <w:p w:rsidR="00016408" w:rsidRPr="00BC4E63" w:rsidRDefault="00FC4178" w:rsidP="00BA0977">
                  <w:pPr>
                    <w:pStyle w:val="RevisionTable"/>
                    <w:framePr w:wrap="around"/>
                  </w:pPr>
                  <w:r>
                    <w:t>D Kovacs</w:t>
                  </w:r>
                </w:p>
              </w:tc>
              <w:tc>
                <w:tcPr>
                  <w:tcW w:w="1536" w:type="dxa"/>
                </w:tcPr>
                <w:p w:rsidR="00016408" w:rsidRPr="00BC4E63" w:rsidRDefault="00016408" w:rsidP="00BA0977">
                  <w:pPr>
                    <w:pStyle w:val="RevisionTable"/>
                    <w:framePr w:wrap="around"/>
                  </w:pPr>
                </w:p>
              </w:tc>
              <w:tc>
                <w:tcPr>
                  <w:tcW w:w="1324" w:type="dxa"/>
                </w:tcPr>
                <w:p w:rsidR="00016408" w:rsidRPr="00BC4E63" w:rsidRDefault="00FC4178" w:rsidP="00BA0977">
                  <w:pPr>
                    <w:pStyle w:val="RevisionTable"/>
                    <w:framePr w:wrap="around"/>
                  </w:pPr>
                  <w:r>
                    <w:t>D Kovacs</w:t>
                  </w:r>
                </w:p>
              </w:tc>
              <w:tc>
                <w:tcPr>
                  <w:tcW w:w="1580" w:type="dxa"/>
                </w:tcPr>
                <w:p w:rsidR="00016408" w:rsidRPr="00BC4E63" w:rsidRDefault="00016408" w:rsidP="00BA0977">
                  <w:pPr>
                    <w:pStyle w:val="RevisionTable"/>
                    <w:framePr w:wrap="around"/>
                  </w:pPr>
                </w:p>
              </w:tc>
              <w:tc>
                <w:tcPr>
                  <w:tcW w:w="1117" w:type="dxa"/>
                </w:tcPr>
                <w:p w:rsidR="00016408" w:rsidRPr="00BC4E63" w:rsidRDefault="00016408" w:rsidP="00BA0977">
                  <w:pPr>
                    <w:pStyle w:val="RevisionTable"/>
                    <w:framePr w:wrap="around"/>
                  </w:pPr>
                </w:p>
              </w:tc>
            </w:tr>
            <w:tr w:rsidR="00E917FA" w:rsidRPr="00BC4E63" w:rsidTr="00406502">
              <w:trPr>
                <w:trHeight w:val="397"/>
              </w:trPr>
              <w:tc>
                <w:tcPr>
                  <w:tcW w:w="983" w:type="dxa"/>
                </w:tcPr>
                <w:p w:rsidR="00E917FA" w:rsidRPr="00BC4E63" w:rsidRDefault="00E917FA" w:rsidP="00BA0977">
                  <w:pPr>
                    <w:pStyle w:val="RevisionTable"/>
                    <w:framePr w:wrap="around"/>
                  </w:pPr>
                  <w:r>
                    <w:t>Rev B</w:t>
                  </w:r>
                </w:p>
              </w:tc>
              <w:tc>
                <w:tcPr>
                  <w:tcW w:w="1311" w:type="dxa"/>
                </w:tcPr>
                <w:p w:rsidR="00E917FA" w:rsidRPr="00BC4E63" w:rsidRDefault="00E917FA" w:rsidP="00BA0977">
                  <w:pPr>
                    <w:pStyle w:val="RevisionTable"/>
                    <w:framePr w:wrap="around"/>
                  </w:pPr>
                  <w:r>
                    <w:t>S Thompson</w:t>
                  </w:r>
                </w:p>
              </w:tc>
              <w:tc>
                <w:tcPr>
                  <w:tcW w:w="1211" w:type="dxa"/>
                </w:tcPr>
                <w:p w:rsidR="00E917FA" w:rsidRPr="00BC4E63" w:rsidRDefault="00E917FA" w:rsidP="00BA0977">
                  <w:pPr>
                    <w:pStyle w:val="RevisionTable"/>
                    <w:framePr w:wrap="around"/>
                  </w:pPr>
                  <w:r>
                    <w:t>D Kovacs</w:t>
                  </w:r>
                </w:p>
              </w:tc>
              <w:tc>
                <w:tcPr>
                  <w:tcW w:w="1536" w:type="dxa"/>
                </w:tcPr>
                <w:p w:rsidR="00E917FA" w:rsidRPr="00BC4E63" w:rsidRDefault="00E917FA" w:rsidP="00BA0977">
                  <w:pPr>
                    <w:pStyle w:val="RevisionTable"/>
                    <w:framePr w:wrap="around"/>
                  </w:pPr>
                </w:p>
              </w:tc>
              <w:tc>
                <w:tcPr>
                  <w:tcW w:w="1324" w:type="dxa"/>
                </w:tcPr>
                <w:p w:rsidR="00E917FA" w:rsidRPr="00BC4E63" w:rsidRDefault="00E917FA" w:rsidP="00BA0977">
                  <w:pPr>
                    <w:pStyle w:val="RevisionTable"/>
                    <w:framePr w:wrap="around"/>
                  </w:pPr>
                  <w:r>
                    <w:t>D Kovacs</w:t>
                  </w:r>
                </w:p>
              </w:tc>
              <w:tc>
                <w:tcPr>
                  <w:tcW w:w="1580" w:type="dxa"/>
                </w:tcPr>
                <w:p w:rsidR="00E917FA" w:rsidRPr="00BC4E63" w:rsidRDefault="00E917FA" w:rsidP="00BA0977">
                  <w:pPr>
                    <w:pStyle w:val="RevisionTable"/>
                    <w:framePr w:wrap="around"/>
                  </w:pPr>
                </w:p>
              </w:tc>
              <w:tc>
                <w:tcPr>
                  <w:tcW w:w="1117" w:type="dxa"/>
                </w:tcPr>
                <w:p w:rsidR="00E917FA" w:rsidRPr="00BC4E63" w:rsidRDefault="00E917FA" w:rsidP="00BA0977">
                  <w:pPr>
                    <w:pStyle w:val="RevisionTable"/>
                    <w:framePr w:wrap="around"/>
                  </w:pPr>
                </w:p>
              </w:tc>
            </w:tr>
            <w:tr w:rsidR="00E917FA" w:rsidRPr="00BC4E63" w:rsidTr="00406502">
              <w:trPr>
                <w:trHeight w:val="397"/>
              </w:trPr>
              <w:tc>
                <w:tcPr>
                  <w:tcW w:w="983" w:type="dxa"/>
                </w:tcPr>
                <w:p w:rsidR="00E917FA" w:rsidRPr="00BC4E63" w:rsidRDefault="00406502" w:rsidP="00BA0977">
                  <w:pPr>
                    <w:pStyle w:val="RevisionTable"/>
                    <w:framePr w:wrap="around"/>
                  </w:pPr>
                  <w:r>
                    <w:t>Rev 0</w:t>
                  </w:r>
                </w:p>
              </w:tc>
              <w:tc>
                <w:tcPr>
                  <w:tcW w:w="1311" w:type="dxa"/>
                </w:tcPr>
                <w:p w:rsidR="00E917FA" w:rsidRPr="00BC4E63" w:rsidRDefault="00406502" w:rsidP="00BA0977">
                  <w:pPr>
                    <w:pStyle w:val="RevisionTable"/>
                    <w:framePr w:wrap="around"/>
                  </w:pPr>
                  <w:r>
                    <w:t>D Kovacs</w:t>
                  </w:r>
                </w:p>
              </w:tc>
              <w:tc>
                <w:tcPr>
                  <w:tcW w:w="1211" w:type="dxa"/>
                </w:tcPr>
                <w:p w:rsidR="00E917FA" w:rsidRPr="00BC4E63" w:rsidRDefault="00406502" w:rsidP="00BA0977">
                  <w:pPr>
                    <w:pStyle w:val="RevisionTable"/>
                    <w:framePr w:wrap="around"/>
                  </w:pPr>
                  <w:r>
                    <w:t>S Thompson</w:t>
                  </w:r>
                </w:p>
              </w:tc>
              <w:tc>
                <w:tcPr>
                  <w:tcW w:w="1536" w:type="dxa"/>
                </w:tcPr>
                <w:p w:rsidR="00E917FA" w:rsidRPr="00BC4E63" w:rsidRDefault="00406502" w:rsidP="00BA0977">
                  <w:pPr>
                    <w:pStyle w:val="RevisionTable"/>
                    <w:framePr w:wrap="around"/>
                  </w:pPr>
                  <w:r>
                    <w:rPr>
                      <w:noProof/>
                      <w:lang w:eastAsia="en-AU"/>
                    </w:rPr>
                    <w:drawing>
                      <wp:inline distT="0" distB="0" distL="0" distR="0" wp14:anchorId="6DA4ACD1" wp14:editId="7A160367">
                        <wp:extent cx="836156" cy="321281"/>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36156" cy="321281"/>
                                </a:xfrm>
                                <a:prstGeom prst="rect">
                                  <a:avLst/>
                                </a:prstGeom>
                              </pic:spPr>
                            </pic:pic>
                          </a:graphicData>
                        </a:graphic>
                      </wp:inline>
                    </w:drawing>
                  </w:r>
                </w:p>
              </w:tc>
              <w:tc>
                <w:tcPr>
                  <w:tcW w:w="1324" w:type="dxa"/>
                </w:tcPr>
                <w:p w:rsidR="00E917FA" w:rsidRPr="00BC4E63" w:rsidRDefault="00406502" w:rsidP="00BA0977">
                  <w:pPr>
                    <w:pStyle w:val="RevisionTable"/>
                    <w:framePr w:wrap="around"/>
                  </w:pPr>
                  <w:r>
                    <w:t>S Thompson</w:t>
                  </w:r>
                </w:p>
              </w:tc>
              <w:tc>
                <w:tcPr>
                  <w:tcW w:w="1580" w:type="dxa"/>
                </w:tcPr>
                <w:p w:rsidR="00E917FA" w:rsidRPr="00BC4E63" w:rsidRDefault="00406502" w:rsidP="00BA0977">
                  <w:pPr>
                    <w:pStyle w:val="RevisionTable"/>
                    <w:framePr w:wrap="around"/>
                  </w:pPr>
                  <w:r>
                    <w:rPr>
                      <w:noProof/>
                      <w:lang w:eastAsia="en-AU"/>
                    </w:rPr>
                    <w:drawing>
                      <wp:inline distT="0" distB="0" distL="0" distR="0" wp14:anchorId="21FDA3CC" wp14:editId="05F6F053">
                        <wp:extent cx="836156" cy="32128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36156" cy="321281"/>
                                </a:xfrm>
                                <a:prstGeom prst="rect">
                                  <a:avLst/>
                                </a:prstGeom>
                              </pic:spPr>
                            </pic:pic>
                          </a:graphicData>
                        </a:graphic>
                      </wp:inline>
                    </w:drawing>
                  </w:r>
                </w:p>
              </w:tc>
              <w:tc>
                <w:tcPr>
                  <w:tcW w:w="1117" w:type="dxa"/>
                </w:tcPr>
                <w:p w:rsidR="00E917FA" w:rsidRPr="00BC4E63" w:rsidRDefault="00406502" w:rsidP="00BA0977">
                  <w:pPr>
                    <w:pStyle w:val="RevisionTable"/>
                    <w:framePr w:wrap="around"/>
                  </w:pPr>
                  <w:r>
                    <w:t>13.05.2016</w:t>
                  </w:r>
                </w:p>
              </w:tc>
            </w:tr>
          </w:tbl>
          <w:p w:rsidR="00016408" w:rsidRPr="00BC4E63" w:rsidRDefault="00016408" w:rsidP="00016408">
            <w:pPr>
              <w:rPr>
                <w:bCs/>
              </w:rPr>
            </w:pPr>
          </w:p>
          <w:p w:rsidR="009648CD" w:rsidRPr="00BC4E63" w:rsidRDefault="009648CD" w:rsidP="00016408">
            <w:pPr>
              <w:rPr>
                <w:bCs/>
              </w:rPr>
            </w:pPr>
          </w:p>
        </w:tc>
      </w:tr>
    </w:tbl>
    <w:p w:rsidR="0059431E" w:rsidRPr="00BC4E63" w:rsidRDefault="0059431E" w:rsidP="008C5BCE">
      <w:pPr>
        <w:pStyle w:val="Body"/>
      </w:pPr>
    </w:p>
    <w:p w:rsidR="00F04D44" w:rsidRPr="00BC4E63" w:rsidRDefault="0059431E" w:rsidP="008C5BCE">
      <w:pPr>
        <w:pStyle w:val="Body"/>
      </w:pPr>
      <w:r w:rsidRPr="00BC4E63">
        <w:br w:type="page"/>
      </w:r>
    </w:p>
    <w:p w:rsidR="00F04D44" w:rsidRPr="00BC4E63" w:rsidRDefault="00DE1E18" w:rsidP="008C5BCE">
      <w:pPr>
        <w:pStyle w:val="Body"/>
        <w:rPr>
          <w:color w:val="999999"/>
        </w:rPr>
      </w:pPr>
      <w:r w:rsidRPr="00BC4E63">
        <w:rPr>
          <w:noProof/>
          <w:color w:val="999999"/>
          <w:lang w:eastAsia="en-AU"/>
        </w:rPr>
        <w:lastRenderedPageBreak/>
        <w:drawing>
          <wp:anchor distT="0" distB="0" distL="114300" distR="114300" simplePos="0" relativeHeight="251667968" behindDoc="0" locked="1" layoutInCell="1" allowOverlap="1" wp14:anchorId="2500F990" wp14:editId="3172CD33">
            <wp:simplePos x="0" y="0"/>
            <wp:positionH relativeFrom="page">
              <wp:align>center</wp:align>
            </wp:positionH>
            <wp:positionV relativeFrom="margin">
              <wp:align>bottom</wp:align>
            </wp:positionV>
            <wp:extent cx="851535" cy="819785"/>
            <wp:effectExtent l="0" t="0" r="5715" b="0"/>
            <wp:wrapNone/>
            <wp:docPr id="263" name="Picture 263" descr="Logo_Option_3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ogo_Option_3_tr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E63">
        <w:rPr>
          <w:noProof/>
          <w:color w:val="999999"/>
          <w:lang w:eastAsia="en-AU"/>
        </w:rPr>
        <mc:AlternateContent>
          <mc:Choice Requires="wps">
            <w:drawing>
              <wp:anchor distT="0" distB="0" distL="114300" distR="114300" simplePos="0" relativeHeight="251664896" behindDoc="0" locked="1" layoutInCell="1" allowOverlap="1" wp14:anchorId="1C36E6BC" wp14:editId="013E7F89">
                <wp:simplePos x="0" y="0"/>
                <wp:positionH relativeFrom="page">
                  <wp:align>center</wp:align>
                </wp:positionH>
                <wp:positionV relativeFrom="page">
                  <wp:align>center</wp:align>
                </wp:positionV>
                <wp:extent cx="2416175" cy="571500"/>
                <wp:effectExtent l="0" t="0" r="0" b="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571500"/>
                        </a:xfrm>
                        <a:prstGeom prst="rect">
                          <a:avLst/>
                        </a:prstGeom>
                        <a:noFill/>
                        <a:ln>
                          <a:noFill/>
                        </a:ln>
                        <a:extLst/>
                      </wps:spPr>
                      <wps:txbx>
                        <w:txbxContent>
                          <w:p w:rsidR="00625E2C" w:rsidRPr="00F04D44" w:rsidRDefault="00625E2C" w:rsidP="00F04D44">
                            <w:pPr>
                              <w:rPr>
                                <w:sz w:val="56"/>
                                <w:szCs w:val="56"/>
                              </w:rPr>
                            </w:pPr>
                            <w:hyperlink r:id="rId28" w:history="1">
                              <w:r w:rsidRPr="00F04D44">
                                <w:rPr>
                                  <w:rStyle w:val="Hyperlink"/>
                                  <w:color w:val="auto"/>
                                  <w:sz w:val="56"/>
                                  <w:szCs w:val="56"/>
                                  <w:u w:val="none"/>
                                </w:rPr>
                                <w:t>www.ghd.com</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6E6BC" id="_x0000_t202" coordsize="21600,21600" o:spt="202" path="m,l,21600r21600,l21600,xe">
                <v:stroke joinstyle="miter"/>
                <v:path gradientshapeok="t" o:connecttype="rect"/>
              </v:shapetype>
              <v:shape id="Text Box 171" o:spid="_x0000_s1026" type="#_x0000_t202" style="position:absolute;left:0;text-align:left;margin-left:0;margin-top:0;width:190.25pt;height:45pt;z-index:25166489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" filled="f" stroked="f">
                <v:textbox>
                  <w:txbxContent>
                    <w:p w:rsidR="00625E2C" w:rsidRPr="00F04D44" w:rsidRDefault="00625E2C" w:rsidP="00F04D44">
                      <w:pPr>
                        <w:rPr>
                          <w:sz w:val="56"/>
                          <w:szCs w:val="56"/>
                        </w:rPr>
                      </w:pPr>
                      <w:hyperlink r:id="rId29" w:history="1">
                        <w:r w:rsidRPr="00F04D44">
                          <w:rPr>
                            <w:rStyle w:val="Hyperlink"/>
                            <w:color w:val="auto"/>
                            <w:sz w:val="56"/>
                            <w:szCs w:val="56"/>
                            <w:u w:val="none"/>
                          </w:rPr>
                          <w:t>www.ghd.com</w:t>
                        </w:r>
                      </w:hyperlink>
                    </w:p>
                  </w:txbxContent>
                </v:textbox>
                <w10:wrap anchorx="page" anchory="page"/>
                <w10:anchorlock/>
              </v:shape>
            </w:pict>
          </mc:Fallback>
        </mc:AlternateContent>
      </w:r>
    </w:p>
    <w:sectPr w:rsidR="00F04D44" w:rsidRPr="00BC4E63" w:rsidSect="002577D5">
      <w:headerReference w:type="even" r:id="rId30"/>
      <w:footerReference w:type="even" r:id="rId31"/>
      <w:footerReference w:type="default" r:id="rId32"/>
      <w:type w:val="oddPage"/>
      <w:pgSz w:w="11907" w:h="16839" w:code="9"/>
      <w:pgMar w:top="1134" w:right="1134" w:bottom="1134" w:left="1701" w:header="181" w:footer="227"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2C" w:rsidRDefault="00625E2C">
      <w:r>
        <w:separator/>
      </w:r>
    </w:p>
  </w:endnote>
  <w:endnote w:type="continuationSeparator" w:id="0">
    <w:p w:rsidR="00625E2C" w:rsidRDefault="0062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Black">
    <w:charset w:val="00"/>
    <w:family w:val="auto"/>
    <w:pitch w:val="variable"/>
    <w:sig w:usb0="00000007" w:usb1="00000000" w:usb2="00000000" w:usb3="00000000" w:csb0="0000001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59431E" w:rsidRDefault="00625E2C" w:rsidP="00594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Footer"/>
    </w:pPr>
    <w:r>
      <w:rPr>
        <w:noProof/>
        <w:lang w:eastAsia="en-AU"/>
      </w:rPr>
      <w:drawing>
        <wp:anchor distT="0" distB="0" distL="114300" distR="114300" simplePos="0" relativeHeight="251656192" behindDoc="1" locked="0" layoutInCell="1" allowOverlap="1" wp14:anchorId="51048F3E" wp14:editId="36F8279F">
          <wp:simplePos x="0" y="0"/>
          <wp:positionH relativeFrom="page">
            <wp:posOffset>873125</wp:posOffset>
          </wp:positionH>
          <wp:positionV relativeFrom="bottomMargin">
            <wp:posOffset>332740</wp:posOffset>
          </wp:positionV>
          <wp:extent cx="6120000" cy="29160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2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15064F" w:rsidRDefault="00625E2C" w:rsidP="00223F35">
    <w:pPr>
      <w:pStyle w:val="Footer"/>
      <w:tabs>
        <w:tab w:val="right" w:pos="14500"/>
      </w:tabs>
      <w:ind w:left="0"/>
    </w:pPr>
    <w:r>
      <w:rPr>
        <w:rStyle w:val="PageNumber"/>
      </w:rPr>
      <w:fldChar w:fldCharType="begin"/>
    </w:r>
    <w:r>
      <w:rPr>
        <w:rStyle w:val="PageNumber"/>
      </w:rPr>
      <w:instrText xml:space="preserve"> PAGE </w:instrText>
    </w:r>
    <w:r>
      <w:rPr>
        <w:rStyle w:val="PageNumber"/>
      </w:rPr>
      <w:fldChar w:fldCharType="separate"/>
    </w:r>
    <w:r w:rsidR="006225A8">
      <w:rPr>
        <w:rStyle w:val="PageNumber"/>
        <w:noProof/>
      </w:rPr>
      <w:t>14</w:t>
    </w:r>
    <w:r>
      <w:rPr>
        <w:rStyle w:val="PageNumber"/>
      </w:rPr>
      <w:fldChar w:fldCharType="end"/>
    </w:r>
    <w:r>
      <w:rPr>
        <w:rStyle w:val="PageNumber"/>
      </w:rPr>
      <w:t xml:space="preserve"> | </w:t>
    </w:r>
    <w:r w:rsidRPr="00FA1258">
      <w:rPr>
        <w:b/>
      </w:rPr>
      <w:t>GHD</w:t>
    </w:r>
    <w:r w:rsidRPr="003F0147">
      <w:t xml:space="preserve"> | </w:t>
    </w:r>
    <w:r>
      <w:t>Report</w:t>
    </w:r>
    <w:r w:rsidRPr="003F0147">
      <w:t xml:space="preserve"> for </w:t>
    </w:r>
    <w:fldSimple w:instr=" DOCPROPERTY  Client  \* MERGEFORMAT ">
      <w:r w:rsidR="006225A8">
        <w:t>Department of the Environment</w:t>
      </w:r>
    </w:fldSimple>
    <w:r>
      <w:t xml:space="preserve"> - </w:t>
    </w:r>
    <w:fldSimple w:instr=" DOCPROPERTY  Project  \* MERGEFORMAT ">
      <w:r w:rsidR="006225A8" w:rsidRPr="006225A8">
        <w:rPr>
          <w:bCs/>
          <w:lang w:val="en-US"/>
        </w:rPr>
        <w:t>Thermal</w:t>
      </w:r>
      <w:r w:rsidR="006225A8">
        <w:t xml:space="preserve"> Augment Project</w:t>
      </w:r>
    </w:fldSimple>
    <w:r>
      <w:t xml:space="preserve">, </w:t>
    </w:r>
    <w:fldSimple w:instr=" DOCPROPERTY  &quot;JobNumber&quot;  \* MERGEFORMAT ">
      <w:r w:rsidR="006225A8">
        <w:t>21/25157</w:t>
      </w:r>
    </w:fldSimple>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15064F" w:rsidRDefault="00625E2C" w:rsidP="00D34492">
    <w:pPr>
      <w:pStyle w:val="Footer"/>
      <w:tabs>
        <w:tab w:val="right" w:pos="14500"/>
      </w:tabs>
      <w:jc w:val="right"/>
    </w:pPr>
    <w:r w:rsidRPr="00FA1258">
      <w:rPr>
        <w:b/>
      </w:rPr>
      <w:t>GHD</w:t>
    </w:r>
    <w:r w:rsidRPr="003F0147">
      <w:t xml:space="preserve"> | </w:t>
    </w:r>
    <w:r>
      <w:t>Report</w:t>
    </w:r>
    <w:r w:rsidRPr="003F0147">
      <w:t xml:space="preserve"> for </w:t>
    </w:r>
    <w:fldSimple w:instr=" DOCPROPERTY  Client  \* MERGEFORMAT ">
      <w:r w:rsidR="006225A8">
        <w:t>Department of the Environment</w:t>
      </w:r>
    </w:fldSimple>
    <w:r>
      <w:t xml:space="preserve"> - </w:t>
    </w:r>
    <w:fldSimple w:instr=" DOCPROPERTY  Project  \* MERGEFORMAT ">
      <w:r w:rsidR="006225A8" w:rsidRPr="006225A8">
        <w:rPr>
          <w:bCs/>
          <w:lang w:val="en-US"/>
        </w:rPr>
        <w:t>Thermal</w:t>
      </w:r>
      <w:r w:rsidR="006225A8">
        <w:t xml:space="preserve"> Augment Project</w:t>
      </w:r>
    </w:fldSimple>
    <w:r>
      <w:t xml:space="preserve">, </w:t>
    </w:r>
    <w:fldSimple w:instr=" DOCPROPERTY  &quot;JobNumber&quot;  \* MERGEFORMAT ">
      <w:r w:rsidR="006225A8" w:rsidRPr="006225A8">
        <w:rPr>
          <w:bCs/>
          <w:lang w:val="en-US"/>
        </w:rPr>
        <w:t>21</w:t>
      </w:r>
      <w:r w:rsidR="006225A8">
        <w:t>/25157</w:t>
      </w:r>
    </w:fldSimple>
    <w:r>
      <w:t xml:space="preserve"> | </w:t>
    </w:r>
    <w:r>
      <w:rPr>
        <w:rStyle w:val="PageNumber"/>
      </w:rPr>
      <w:fldChar w:fldCharType="begin"/>
    </w:r>
    <w:r>
      <w:rPr>
        <w:rStyle w:val="PageNumber"/>
      </w:rPr>
      <w:instrText xml:space="preserve"> PAGE </w:instrText>
    </w:r>
    <w:r>
      <w:rPr>
        <w:rStyle w:val="PageNumber"/>
      </w:rPr>
      <w:fldChar w:fldCharType="separate"/>
    </w:r>
    <w:r w:rsidR="006225A8">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E577CB" w:rsidRDefault="00625E2C" w:rsidP="00E577C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9B66BC" w:rsidRDefault="00625E2C" w:rsidP="00EB57E5">
    <w:pPr>
      <w:pStyle w:val="Footer"/>
      <w:tabs>
        <w:tab w:val="right" w:pos="14500"/>
      </w:tabs>
      <w:jc w:val="right"/>
    </w:pPr>
    <w:r w:rsidRPr="00FA1258">
      <w:rPr>
        <w:b/>
      </w:rPr>
      <w:t>GHD</w:t>
    </w:r>
    <w:r w:rsidRPr="003F0147">
      <w:t xml:space="preserve"> | </w:t>
    </w:r>
    <w:r>
      <w:t>Report</w:t>
    </w:r>
    <w:r w:rsidRPr="003F0147">
      <w:t xml:space="preserve"> for </w:t>
    </w:r>
    <w:fldSimple w:instr=" DOCPROPERTY  Client  \* MERGEFORMAT ">
      <w:r w:rsidR="006225A8">
        <w:t>Department of the Environment</w:t>
      </w:r>
    </w:fldSimple>
    <w:r>
      <w:t xml:space="preserve"> - </w:t>
    </w:r>
    <w:fldSimple w:instr=" DOCPROPERTY  Project  \* MERGEFORMAT ">
      <w:r w:rsidR="006225A8" w:rsidRPr="006225A8">
        <w:rPr>
          <w:bCs/>
          <w:lang w:val="en-US"/>
        </w:rPr>
        <w:t>Thermal</w:t>
      </w:r>
      <w:r w:rsidR="006225A8">
        <w:t xml:space="preserve"> Augment Project</w:t>
      </w:r>
    </w:fldSimple>
    <w:r>
      <w:t xml:space="preserve">, </w:t>
    </w:r>
    <w:fldSimple w:instr=" DOCPROPERTY  &quot;JobNumber&quot;  \* MERGEFORMAT ">
      <w:r w:rsidR="006225A8">
        <w:t>21/25157</w:t>
      </w:r>
    </w:fldSimple>
    <w:r w:rsidRPr="003F0147">
      <w:t xml:space="preserve"> | </w:t>
    </w:r>
    <w:r>
      <w:rPr>
        <w:rStyle w:val="PageNumber"/>
      </w:rPr>
      <w:fldChar w:fldCharType="begin"/>
    </w:r>
    <w:r>
      <w:rPr>
        <w:rStyle w:val="PageNumber"/>
      </w:rPr>
      <w:instrText xml:space="preserve"> PAGE </w:instrText>
    </w:r>
    <w:r>
      <w:rPr>
        <w:rStyle w:val="PageNumber"/>
      </w:rPr>
      <w:fldChar w:fldCharType="separate"/>
    </w:r>
    <w:r w:rsidR="006225A8">
      <w:rPr>
        <w:rStyle w:val="PageNumber"/>
        <w:noProof/>
      </w:rPr>
      <w:t>15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E577CB" w:rsidRDefault="00625E2C" w:rsidP="00886D52">
    <w:pPr>
      <w:pStyle w:val="Footer"/>
      <w:tabs>
        <w:tab w:val="right" w:pos="14500"/>
      </w:tabs>
      <w:ind w:left="0"/>
    </w:pPr>
    <w:r w:rsidRPr="00C166DD">
      <w:rPr>
        <w:b/>
      </w:rPr>
      <w:t>GHD</w:t>
    </w:r>
    <w:r w:rsidRPr="003F0147">
      <w:t xml:space="preserve"> | </w:t>
    </w:r>
    <w:r>
      <w:t>Report</w:t>
    </w:r>
    <w:r w:rsidRPr="003F0147">
      <w:t xml:space="preserve"> for </w:t>
    </w:r>
    <w:fldSimple w:instr=" DOCPROPERTY  Client  \* MERGEFORMAT ">
      <w:r w:rsidR="006225A8">
        <w:t>Department of the Environment</w:t>
      </w:r>
    </w:fldSimple>
    <w:r>
      <w:t xml:space="preserve"> - </w:t>
    </w:r>
    <w:fldSimple w:instr=" DOCPROPERTY  Project  \* MERGEFORMAT ">
      <w:r w:rsidR="006225A8" w:rsidRPr="006225A8">
        <w:rPr>
          <w:bCs/>
          <w:lang w:val="en-US"/>
        </w:rPr>
        <w:t>Thermal</w:t>
      </w:r>
      <w:r w:rsidR="006225A8">
        <w:t xml:space="preserve"> Augment Project</w:t>
      </w:r>
    </w:fldSimple>
    <w:r>
      <w:t xml:space="preserve">, </w:t>
    </w:r>
    <w:fldSimple w:instr=" DOCPROPERTY  &quot;JobNumber&quot;  \* MERGEFORMAT ">
      <w:r w:rsidR="006225A8">
        <w:t>21/25157</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Pr="0059431E" w:rsidRDefault="00625E2C" w:rsidP="00594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2C" w:rsidRDefault="00625E2C">
      <w:r>
        <w:separator/>
      </w:r>
    </w:p>
  </w:footnote>
  <w:footnote w:type="continuationSeparator" w:id="0">
    <w:p w:rsidR="00625E2C" w:rsidRDefault="00625E2C">
      <w:r>
        <w:continuationSeparator/>
      </w:r>
    </w:p>
  </w:footnote>
  <w:footnote w:id="1">
    <w:p w:rsidR="00625E2C" w:rsidRPr="00E873EA" w:rsidRDefault="00625E2C">
      <w:pPr>
        <w:pStyle w:val="FootnoteText"/>
        <w:rPr>
          <w:sz w:val="16"/>
          <w:szCs w:val="16"/>
        </w:rPr>
      </w:pPr>
      <w:r w:rsidRPr="00E873EA">
        <w:rPr>
          <w:rStyle w:val="FootnoteReference"/>
          <w:sz w:val="16"/>
          <w:szCs w:val="16"/>
        </w:rPr>
        <w:footnoteRef/>
      </w:r>
      <w:r w:rsidRPr="00E873EA">
        <w:rPr>
          <w:sz w:val="16"/>
          <w:szCs w:val="16"/>
        </w:rPr>
        <w:t xml:space="preserve"> </w:t>
      </w:r>
      <w:r>
        <w:rPr>
          <w:sz w:val="16"/>
          <w:szCs w:val="16"/>
        </w:rPr>
        <w:t xml:space="preserve">Host facility is a </w:t>
      </w:r>
      <w:r w:rsidRPr="00E873EA">
        <w:rPr>
          <w:sz w:val="16"/>
          <w:szCs w:val="16"/>
        </w:rPr>
        <w:t>waste treatment facility located for the purposes of treating site-generated waste. They are usually not available for other commercial waste treatment operations.</w:t>
      </w:r>
    </w:p>
  </w:footnote>
  <w:footnote w:id="2">
    <w:p w:rsidR="00625E2C" w:rsidRPr="006D626D" w:rsidRDefault="00625E2C">
      <w:pPr>
        <w:pStyle w:val="FootnoteText"/>
        <w:rPr>
          <w:sz w:val="16"/>
          <w:szCs w:val="16"/>
        </w:rPr>
      </w:pPr>
      <w:r w:rsidRPr="006D626D">
        <w:rPr>
          <w:rStyle w:val="FootnoteReference"/>
          <w:sz w:val="16"/>
          <w:szCs w:val="16"/>
        </w:rPr>
        <w:footnoteRef/>
      </w:r>
      <w:r w:rsidRPr="006D626D">
        <w:rPr>
          <w:sz w:val="16"/>
          <w:szCs w:val="16"/>
        </w:rPr>
        <w:t xml:space="preserve"> Ibid</w:t>
      </w:r>
    </w:p>
  </w:footnote>
  <w:footnote w:id="3">
    <w:p w:rsidR="00625E2C" w:rsidRPr="006D626D" w:rsidRDefault="00625E2C">
      <w:pPr>
        <w:pStyle w:val="FootnoteText"/>
        <w:rPr>
          <w:sz w:val="16"/>
          <w:szCs w:val="16"/>
        </w:rPr>
      </w:pPr>
      <w:r w:rsidRPr="006D626D">
        <w:rPr>
          <w:rStyle w:val="FootnoteReference"/>
          <w:sz w:val="16"/>
          <w:szCs w:val="16"/>
        </w:rPr>
        <w:footnoteRef/>
      </w:r>
      <w:r w:rsidRPr="006D626D">
        <w:rPr>
          <w:sz w:val="16"/>
          <w:szCs w:val="16"/>
        </w:rPr>
        <w:t xml:space="preserve"> Ibid</w:t>
      </w:r>
    </w:p>
  </w:footnote>
  <w:footnote w:id="4">
    <w:p w:rsidR="00625E2C" w:rsidRPr="006D626D" w:rsidRDefault="00625E2C">
      <w:pPr>
        <w:pStyle w:val="FootnoteText"/>
        <w:rPr>
          <w:sz w:val="16"/>
          <w:szCs w:val="16"/>
        </w:rPr>
      </w:pPr>
      <w:r w:rsidRPr="006D626D">
        <w:rPr>
          <w:rStyle w:val="FootnoteReference"/>
          <w:sz w:val="16"/>
          <w:szCs w:val="16"/>
        </w:rPr>
        <w:footnoteRef/>
      </w:r>
      <w:r w:rsidRPr="006D626D">
        <w:rPr>
          <w:sz w:val="16"/>
          <w:szCs w:val="16"/>
        </w:rPr>
        <w:t xml:space="preserve"> Ibid</w:t>
      </w:r>
    </w:p>
  </w:footnote>
  <w:footnote w:id="5">
    <w:p w:rsidR="00625E2C" w:rsidRDefault="00625E2C">
      <w:pPr>
        <w:pStyle w:val="FootnoteText"/>
      </w:pPr>
      <w:r>
        <w:rPr>
          <w:rStyle w:val="FootnoteReference"/>
        </w:rPr>
        <w:footnoteRef/>
      </w:r>
      <w:r>
        <w:t xml:space="preserve"> </w:t>
      </w:r>
      <w:r>
        <w:rPr>
          <w:sz w:val="16"/>
          <w:szCs w:val="16"/>
        </w:rPr>
        <w:t>Host facility is a</w:t>
      </w:r>
      <w:r w:rsidRPr="00E873EA">
        <w:rPr>
          <w:sz w:val="16"/>
          <w:szCs w:val="16"/>
        </w:rPr>
        <w:t xml:space="preserve"> waste treatment </w:t>
      </w:r>
      <w:r>
        <w:rPr>
          <w:sz w:val="16"/>
          <w:szCs w:val="16"/>
        </w:rPr>
        <w:t>facility</w:t>
      </w:r>
      <w:r w:rsidRPr="00E873EA">
        <w:rPr>
          <w:sz w:val="16"/>
          <w:szCs w:val="16"/>
        </w:rPr>
        <w:t xml:space="preserve"> located for the purposes of treating site-generated waste. They are usually not available for other commercial waste treatment operations.</w:t>
      </w:r>
    </w:p>
  </w:footnote>
  <w:footnote w:id="6">
    <w:p w:rsidR="00625E2C" w:rsidRPr="006D626D" w:rsidRDefault="00625E2C">
      <w:pPr>
        <w:pStyle w:val="FootnoteText"/>
        <w:rPr>
          <w:sz w:val="16"/>
          <w:szCs w:val="16"/>
        </w:rPr>
      </w:pPr>
      <w:r w:rsidRPr="006D626D">
        <w:rPr>
          <w:rStyle w:val="FootnoteReference"/>
          <w:sz w:val="16"/>
          <w:szCs w:val="16"/>
        </w:rPr>
        <w:footnoteRef/>
      </w:r>
      <w:r w:rsidRPr="006D626D">
        <w:rPr>
          <w:sz w:val="16"/>
          <w:szCs w:val="16"/>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53120" behindDoc="0" locked="1" layoutInCell="1" allowOverlap="1" wp14:anchorId="71DCB0BE" wp14:editId="3A756448">
              <wp:simplePos x="0" y="0"/>
              <wp:positionH relativeFrom="page">
                <wp:posOffset>0</wp:posOffset>
              </wp:positionH>
              <wp:positionV relativeFrom="page">
                <wp:posOffset>0</wp:posOffset>
              </wp:positionV>
              <wp:extent cx="10692130" cy="179705"/>
              <wp:effectExtent l="0" t="0" r="4445" b="127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A34F31" id="Rectangle 23" o:spid="_x0000_s1026" style="position:absolute;margin-left:0;margin-top:0;width:841.9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UfwIAAP0EAAAOAAAAZHJzL2Uyb0RvYy54bWysVNuO0zAQfUfiHyy/d3PZ9JJo01W3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KGT7ZR/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54144" behindDoc="0" locked="1" layoutInCell="1" allowOverlap="1" wp14:anchorId="4494F05A" wp14:editId="20D59081">
              <wp:simplePos x="0" y="0"/>
              <wp:positionH relativeFrom="page">
                <wp:posOffset>0</wp:posOffset>
              </wp:positionH>
              <wp:positionV relativeFrom="page">
                <wp:posOffset>0</wp:posOffset>
              </wp:positionV>
              <wp:extent cx="10692130" cy="179705"/>
              <wp:effectExtent l="0" t="0" r="4445" b="127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32B2BA" id="Rectangle 24" o:spid="_x0000_s1026" style="position:absolute;margin-left:0;margin-top:0;width:841.9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GuN01J/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p w:rsidR="00625E2C" w:rsidRDefault="00625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55168" behindDoc="0" locked="1" layoutInCell="1" allowOverlap="1" wp14:anchorId="6914E064" wp14:editId="60F1502A">
              <wp:simplePos x="0" y="0"/>
              <wp:positionH relativeFrom="page">
                <wp:posOffset>635</wp:posOffset>
              </wp:positionH>
              <wp:positionV relativeFrom="page">
                <wp:posOffset>0</wp:posOffset>
              </wp:positionV>
              <wp:extent cx="10692130" cy="180000"/>
              <wp:effectExtent l="0" t="0" r="1905"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2851EE" id="Rectangle 35" o:spid="_x0000_s1026" style="position:absolute;margin-left:.05pt;margin-top:0;width:841.9pt;height:14.15pt;z-index:2516551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" fillcolor="#a7a9ac" stroked="f">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59264" behindDoc="0" locked="1" layoutInCell="1" allowOverlap="1" wp14:anchorId="249D546B" wp14:editId="42BC5BB2">
              <wp:simplePos x="0" y="0"/>
              <wp:positionH relativeFrom="page">
                <wp:posOffset>0</wp:posOffset>
              </wp:positionH>
              <wp:positionV relativeFrom="page">
                <wp:posOffset>0</wp:posOffset>
              </wp:positionV>
              <wp:extent cx="10692000" cy="18000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00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0DB7C0" id="Rectangle 28" o:spid="_x0000_s1026" style="position:absolute;margin-left:0;margin-top:0;width:841.9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I7/WAB/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61312" behindDoc="1" locked="0" layoutInCell="1" allowOverlap="1" wp14:anchorId="4F1698CD" wp14:editId="30F0C1D9">
              <wp:simplePos x="0" y="0"/>
              <wp:positionH relativeFrom="page">
                <wp:align>center</wp:align>
              </wp:positionH>
              <wp:positionV relativeFrom="bottomMargin">
                <wp:posOffset>-179705</wp:posOffset>
              </wp:positionV>
              <wp:extent cx="6600825" cy="762000"/>
              <wp:effectExtent l="0" t="0" r="9525" b="0"/>
              <wp:wrapNone/>
              <wp:docPr id="258" name="GHD-DISCL-52"/>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625E2C" w:rsidRPr="00525FF6" w:rsidRDefault="00625E2C" w:rsidP="00525FF6">
                          <w:pPr>
                            <w:jc w:val="both"/>
                            <w:rPr>
                              <w:rFonts w:cs="Arial"/>
                              <w:color w:val="4F81BD"/>
                              <w:sz w:val="16"/>
                            </w:rPr>
                          </w:pPr>
                          <w:r w:rsidRPr="00525FF6">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4F1698CD" id="GHD-DISCL-52" o:spid="_x0000_s1027" style="position:absolute;margin-left:0;margin-top:-14.15pt;width:519.75pt;height:60pt;z-index:-251655168;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" filled="f" fillcolor="#0065a4 [3204]" stroked="f" strokecolor="#003251 [1604]" strokeweight="2pt">
              <v:textbox inset="0,,0">
                <w:txbxContent>
                  <w:p w:rsidR="00625E2C" w:rsidRPr="00525FF6" w:rsidRDefault="00625E2C" w:rsidP="00525FF6">
                    <w:pPr>
                      <w:jc w:val="both"/>
                      <w:rPr>
                        <w:rFonts w:cs="Arial"/>
                        <w:color w:val="4F81BD"/>
                        <w:sz w:val="16"/>
                      </w:rPr>
                    </w:pPr>
                    <w:r w:rsidRPr="00525FF6">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2038350" cy="685800"/>
              <wp:effectExtent l="0" t="628650" r="0" b="628650"/>
              <wp:wrapNone/>
              <wp:docPr id="8" name="GHD-DRAFT-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25E2C" w:rsidRDefault="00625E2C" w:rsidP="00610E32">
                          <w:pPr>
                            <w:pStyle w:val="NormalWeb"/>
                            <w:spacing w:before="0" w:beforeAutospacing="0" w:after="0" w:afterAutospacing="0"/>
                            <w:jc w:val="center"/>
                          </w:pPr>
                          <w:r>
                            <w:rPr>
                              <w:rFonts w:ascii="Arial" w:hAnsi="Arial" w:cs="Arial"/>
                              <w:color w:val="D1D2D4"/>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GHD-DRAFT-52" o:spid="_x0000_s1028" type="#_x0000_t202" style="position:absolute;margin-left:0;margin-top:0;width:160.5pt;height:54pt;rotation:-45;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" filled="f" stroked="f">
              <v:stroke joinstyle="round"/>
              <o:lock v:ext="edit" shapetype="t"/>
              <v:textbox style="mso-fit-shape-to-text:t">
                <w:txbxContent>
                  <w:p w:rsidR="00625E2C" w:rsidRDefault="00625E2C" w:rsidP="00610E32">
                    <w:pPr>
                      <w:pStyle w:val="NormalWeb"/>
                      <w:spacing w:before="0" w:beforeAutospacing="0" w:after="0" w:afterAutospacing="0"/>
                      <w:jc w:val="center"/>
                    </w:pPr>
                    <w:r>
                      <w:rPr>
                        <w:rFonts w:ascii="Arial" w:hAnsi="Arial" w:cs="Arial"/>
                        <w:color w:val="D1D2D4"/>
                        <w:sz w:val="96"/>
                        <w:szCs w:val="96"/>
                      </w:rPr>
                      <w:t>DRAFT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60288" behindDoc="0" locked="1" layoutInCell="1" allowOverlap="1" wp14:anchorId="421D9A8B" wp14:editId="04BEAF40">
              <wp:simplePos x="0" y="0"/>
              <wp:positionH relativeFrom="page">
                <wp:align>left</wp:align>
              </wp:positionH>
              <wp:positionV relativeFrom="page">
                <wp:align>top</wp:align>
              </wp:positionV>
              <wp:extent cx="10692000" cy="1800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00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CCE8780" id="Rectangle 28" o:spid="_x0000_s1026" style="position:absolute;margin-left:0;margin-top:0;width:841.9pt;height:14.15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" fillcolor="#a7a9ac" stroked="f">
              <w10:wrap anchorx="page" anchory="page"/>
              <w10:anchorlock/>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2C" w:rsidRDefault="00625E2C">
    <w:pPr>
      <w:pStyle w:val="Header"/>
    </w:pPr>
    <w:r>
      <w:rPr>
        <w:noProof/>
        <w:lang w:eastAsia="en-AU"/>
      </w:rPr>
      <mc:AlternateContent>
        <mc:Choice Requires="wps">
          <w:drawing>
            <wp:anchor distT="0" distB="0" distL="114300" distR="114300" simplePos="0" relativeHeight="251657216" behindDoc="0" locked="1" layoutInCell="1" allowOverlap="1" wp14:anchorId="5584726F" wp14:editId="5526FC91">
              <wp:simplePos x="0" y="0"/>
              <wp:positionH relativeFrom="page">
                <wp:align>left</wp:align>
              </wp:positionH>
              <wp:positionV relativeFrom="page">
                <wp:align>top</wp:align>
              </wp:positionV>
              <wp:extent cx="10692000" cy="180000"/>
              <wp:effectExtent l="0" t="0" r="0" b="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00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684649" id="Rectangle 28" o:spid="_x0000_s1026" style="position:absolute;margin-left:0;margin-top:0;width:841.9pt;height:14.1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" fillcolor="#a7a9ac"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B08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2483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8CE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27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E2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282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63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ED2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248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27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71C39"/>
    <w:multiLevelType w:val="hybridMultilevel"/>
    <w:tmpl w:val="1F5ED3FA"/>
    <w:lvl w:ilvl="0" w:tplc="D206B1D8">
      <w:start w:val="1"/>
      <w:numFmt w:val="bullet"/>
      <w:lvlText w:val="–"/>
      <w:lvlJc w:val="left"/>
      <w:pPr>
        <w:tabs>
          <w:tab w:val="num" w:pos="360"/>
        </w:tabs>
        <w:ind w:left="36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22D87"/>
    <w:multiLevelType w:val="multilevel"/>
    <w:tmpl w:val="902EE0A0"/>
    <w:name w:val="GDHBulletTemplate"/>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791"/>
        </w:tabs>
        <w:ind w:left="791" w:hanging="360"/>
      </w:pPr>
      <w:rPr>
        <w:rFonts w:ascii="Symbol" w:hAnsi="Symbol" w:hint="default"/>
      </w:rPr>
    </w:lvl>
    <w:lvl w:ilvl="2">
      <w:start w:val="1"/>
      <w:numFmt w:val="decimal"/>
      <w:suff w:val="space"/>
      <w:lvlText w:val="%2"/>
      <w:lvlJc w:val="left"/>
      <w:pPr>
        <w:ind w:left="1079" w:hanging="360"/>
      </w:pPr>
      <w:rPr>
        <w:rFonts w:hint="default"/>
        <w:b w:val="0"/>
      </w:rPr>
    </w:lvl>
    <w:lvl w:ilvl="3">
      <w:start w:val="1"/>
      <w:numFmt w:val="decimal"/>
      <w:suff w:val="space"/>
      <w:lvlText w:val="%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12" w15:restartNumberingAfterBreak="0">
    <w:nsid w:val="12033E32"/>
    <w:multiLevelType w:val="hybridMultilevel"/>
    <w:tmpl w:val="AE78C1DE"/>
    <w:lvl w:ilvl="0" w:tplc="58F41F5E">
      <w:start w:val="1"/>
      <w:numFmt w:val="bullet"/>
      <w:lvlText w:val="–"/>
      <w:lvlJc w:val="left"/>
      <w:pPr>
        <w:tabs>
          <w:tab w:val="num" w:pos="360"/>
        </w:tabs>
        <w:ind w:left="36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569AE"/>
    <w:multiLevelType w:val="multilevel"/>
    <w:tmpl w:val="30F2055C"/>
    <w:numStyleLink w:val="Style1"/>
  </w:abstractNum>
  <w:abstractNum w:abstractNumId="14" w15:restartNumberingAfterBreak="0">
    <w:nsid w:val="17C64BFF"/>
    <w:multiLevelType w:val="multilevel"/>
    <w:tmpl w:val="37064C74"/>
    <w:name w:val="GHDListTemplate1"/>
    <w:lvl w:ilvl="0">
      <w:start w:val="1"/>
      <w:numFmt w:val="decimal"/>
      <w:isLgl/>
      <w:suff w:val="nothing"/>
      <w:lvlText w:val=""/>
      <w:lvlJc w:val="left"/>
      <w:pPr>
        <w:ind w:left="0" w:firstLine="0"/>
      </w:pPr>
    </w:lvl>
    <w:lvl w:ilvl="1">
      <w:start w:val="1"/>
      <w:numFmt w:val="lowerLetter"/>
      <w:lvlText w:val="%2."/>
      <w:lvlJc w:val="left"/>
      <w:pPr>
        <w:ind w:left="288" w:hanging="288"/>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24211A"/>
    <w:multiLevelType w:val="multilevel"/>
    <w:tmpl w:val="C9600AEE"/>
    <w:lvl w:ilvl="0">
      <w:start w:val="1"/>
      <w:numFmt w:val="upperLetter"/>
      <w:lvlText w:val="%1."/>
      <w:lvlJc w:val="left"/>
      <w:pPr>
        <w:ind w:left="288" w:hanging="288"/>
      </w:pPr>
      <w:rPr>
        <w:rFonts w:ascii="Arial MT Black" w:hAnsi="Arial MT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8B4950"/>
    <w:multiLevelType w:val="multilevel"/>
    <w:tmpl w:val="30F2055C"/>
    <w:numStyleLink w:val="Style1"/>
  </w:abstractNum>
  <w:abstractNum w:abstractNumId="17" w15:restartNumberingAfterBreak="0">
    <w:nsid w:val="2DDB6923"/>
    <w:multiLevelType w:val="hybridMultilevel"/>
    <w:tmpl w:val="74E60EC8"/>
    <w:lvl w:ilvl="0" w:tplc="F76C7C34">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2E9556E5"/>
    <w:multiLevelType w:val="hybridMultilevel"/>
    <w:tmpl w:val="8996AE4C"/>
    <w:lvl w:ilvl="0" w:tplc="192C2F86">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A52861"/>
    <w:multiLevelType w:val="hybridMultilevel"/>
    <w:tmpl w:val="C7A0EF2C"/>
    <w:name w:val="GHDOutlineTemplate"/>
    <w:lvl w:ilvl="0" w:tplc="9F0CFDA8">
      <w:numFmt w:val="bullet"/>
      <w:lvlText w:val="-"/>
      <w:lvlJc w:val="left"/>
      <w:pPr>
        <w:tabs>
          <w:tab w:val="num" w:pos="720"/>
        </w:tabs>
        <w:ind w:left="720" w:hanging="360"/>
      </w:pPr>
      <w:rPr>
        <w:rFonts w:ascii="Arial" w:eastAsia="Times New Roman" w:hAnsi="Arial" w:cs="Arial" w:hint="default"/>
      </w:rPr>
    </w:lvl>
    <w:lvl w:ilvl="1" w:tplc="A658F720" w:tentative="1">
      <w:start w:val="1"/>
      <w:numFmt w:val="bullet"/>
      <w:lvlText w:val="o"/>
      <w:lvlJc w:val="left"/>
      <w:pPr>
        <w:tabs>
          <w:tab w:val="num" w:pos="1440"/>
        </w:tabs>
        <w:ind w:left="1440" w:hanging="360"/>
      </w:pPr>
      <w:rPr>
        <w:rFonts w:ascii="Courier New" w:hAnsi="Courier New" w:cs="Courier New" w:hint="default"/>
      </w:rPr>
    </w:lvl>
    <w:lvl w:ilvl="2" w:tplc="329E4680" w:tentative="1">
      <w:start w:val="1"/>
      <w:numFmt w:val="bullet"/>
      <w:lvlText w:val=""/>
      <w:lvlJc w:val="left"/>
      <w:pPr>
        <w:tabs>
          <w:tab w:val="num" w:pos="2160"/>
        </w:tabs>
        <w:ind w:left="2160" w:hanging="360"/>
      </w:pPr>
      <w:rPr>
        <w:rFonts w:ascii="Wingdings" w:hAnsi="Wingdings" w:hint="default"/>
      </w:rPr>
    </w:lvl>
    <w:lvl w:ilvl="3" w:tplc="074070A4" w:tentative="1">
      <w:start w:val="1"/>
      <w:numFmt w:val="bullet"/>
      <w:lvlText w:val=""/>
      <w:lvlJc w:val="left"/>
      <w:pPr>
        <w:tabs>
          <w:tab w:val="num" w:pos="2880"/>
        </w:tabs>
        <w:ind w:left="2880" w:hanging="360"/>
      </w:pPr>
      <w:rPr>
        <w:rFonts w:ascii="Symbol" w:hAnsi="Symbol" w:hint="default"/>
      </w:rPr>
    </w:lvl>
    <w:lvl w:ilvl="4" w:tplc="C33EBE4E" w:tentative="1">
      <w:start w:val="1"/>
      <w:numFmt w:val="bullet"/>
      <w:lvlText w:val="o"/>
      <w:lvlJc w:val="left"/>
      <w:pPr>
        <w:tabs>
          <w:tab w:val="num" w:pos="3600"/>
        </w:tabs>
        <w:ind w:left="3600" w:hanging="360"/>
      </w:pPr>
      <w:rPr>
        <w:rFonts w:ascii="Courier New" w:hAnsi="Courier New" w:cs="Courier New" w:hint="default"/>
      </w:rPr>
    </w:lvl>
    <w:lvl w:ilvl="5" w:tplc="5C2434B6" w:tentative="1">
      <w:start w:val="1"/>
      <w:numFmt w:val="bullet"/>
      <w:lvlText w:val=""/>
      <w:lvlJc w:val="left"/>
      <w:pPr>
        <w:tabs>
          <w:tab w:val="num" w:pos="4320"/>
        </w:tabs>
        <w:ind w:left="4320" w:hanging="360"/>
      </w:pPr>
      <w:rPr>
        <w:rFonts w:ascii="Wingdings" w:hAnsi="Wingdings" w:hint="default"/>
      </w:rPr>
    </w:lvl>
    <w:lvl w:ilvl="6" w:tplc="BAEEE372" w:tentative="1">
      <w:start w:val="1"/>
      <w:numFmt w:val="bullet"/>
      <w:lvlText w:val=""/>
      <w:lvlJc w:val="left"/>
      <w:pPr>
        <w:tabs>
          <w:tab w:val="num" w:pos="5040"/>
        </w:tabs>
        <w:ind w:left="5040" w:hanging="360"/>
      </w:pPr>
      <w:rPr>
        <w:rFonts w:ascii="Symbol" w:hAnsi="Symbol" w:hint="default"/>
      </w:rPr>
    </w:lvl>
    <w:lvl w:ilvl="7" w:tplc="1C08B6FA" w:tentative="1">
      <w:start w:val="1"/>
      <w:numFmt w:val="bullet"/>
      <w:lvlText w:val="o"/>
      <w:lvlJc w:val="left"/>
      <w:pPr>
        <w:tabs>
          <w:tab w:val="num" w:pos="5760"/>
        </w:tabs>
        <w:ind w:left="5760" w:hanging="360"/>
      </w:pPr>
      <w:rPr>
        <w:rFonts w:ascii="Courier New" w:hAnsi="Courier New" w:cs="Courier New" w:hint="default"/>
      </w:rPr>
    </w:lvl>
    <w:lvl w:ilvl="8" w:tplc="05F257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7050FE"/>
    <w:multiLevelType w:val="multilevel"/>
    <w:tmpl w:val="4E36E556"/>
    <w:name w:val="GHDOutlineTemplate1"/>
    <w:lvl w:ilvl="0">
      <w:start w:val="1"/>
      <w:numFmt w:val="decimal"/>
      <w:pStyle w:val="Heading1"/>
      <w:lvlText w:val="%1."/>
      <w:lvlJc w:val="left"/>
      <w:pPr>
        <w:tabs>
          <w:tab w:val="num" w:pos="567"/>
        </w:tabs>
        <w:ind w:left="567" w:hanging="1134"/>
      </w:pPr>
      <w:rPr>
        <w:b w:val="0"/>
      </w:rPr>
    </w:lvl>
    <w:lvl w:ilvl="1">
      <w:start w:val="1"/>
      <w:numFmt w:val="decimal"/>
      <w:pStyle w:val="Heading2"/>
      <w:lvlText w:val="%1.%2"/>
      <w:lvlJc w:val="left"/>
      <w:pPr>
        <w:tabs>
          <w:tab w:val="num" w:pos="1417"/>
        </w:tabs>
        <w:ind w:left="1417" w:hanging="850"/>
      </w:pPr>
      <w:rPr>
        <w:b w:val="0"/>
      </w:rPr>
    </w:lvl>
    <w:lvl w:ilvl="2">
      <w:start w:val="1"/>
      <w:numFmt w:val="decimal"/>
      <w:pStyle w:val="Heading3"/>
      <w:lvlText w:val="%1.%2.%3"/>
      <w:lvlJc w:val="left"/>
      <w:pPr>
        <w:tabs>
          <w:tab w:val="num" w:pos="1417"/>
        </w:tabs>
        <w:ind w:left="1417" w:hanging="85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884EB1"/>
    <w:multiLevelType w:val="hybridMultilevel"/>
    <w:tmpl w:val="D65064EA"/>
    <w:lvl w:ilvl="0" w:tplc="40B6CFA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6C618EE"/>
    <w:multiLevelType w:val="multilevel"/>
    <w:tmpl w:val="D42068DE"/>
    <w:lvl w:ilvl="0">
      <w:start w:val="1"/>
      <w:numFmt w:val="upperLetter"/>
      <w:lvlText w:val="%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E323DCC"/>
    <w:multiLevelType w:val="multilevel"/>
    <w:tmpl w:val="30F2055C"/>
    <w:numStyleLink w:val="Style1"/>
  </w:abstractNum>
  <w:abstractNum w:abstractNumId="24" w15:restartNumberingAfterBreak="0">
    <w:nsid w:val="41D4225C"/>
    <w:multiLevelType w:val="multilevel"/>
    <w:tmpl w:val="902EE0A0"/>
    <w:name w:val="myAppendixTemplate"/>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791"/>
        </w:tabs>
        <w:ind w:left="791" w:hanging="360"/>
      </w:pPr>
      <w:rPr>
        <w:rFonts w:ascii="Symbol" w:hAnsi="Symbol" w:hint="default"/>
      </w:rPr>
    </w:lvl>
    <w:lvl w:ilvl="2">
      <w:start w:val="1"/>
      <w:numFmt w:val="decimal"/>
      <w:suff w:val="space"/>
      <w:lvlText w:val="%2"/>
      <w:lvlJc w:val="left"/>
      <w:pPr>
        <w:ind w:left="1079" w:hanging="360"/>
      </w:pPr>
      <w:rPr>
        <w:rFonts w:hint="default"/>
        <w:b w:val="0"/>
      </w:rPr>
    </w:lvl>
    <w:lvl w:ilvl="3">
      <w:start w:val="1"/>
      <w:numFmt w:val="decimal"/>
      <w:suff w:val="space"/>
      <w:lvlText w:val="%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25" w15:restartNumberingAfterBreak="0">
    <w:nsid w:val="4B677710"/>
    <w:multiLevelType w:val="multilevel"/>
    <w:tmpl w:val="644E80AC"/>
    <w:name w:val="GDHBulletTemplate2"/>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227"/>
        </w:tabs>
        <w:ind w:left="397" w:hanging="397"/>
      </w:pPr>
      <w:rPr>
        <w:rFonts w:ascii="Symbol" w:hAnsi="Symbol" w:hint="default"/>
      </w:rPr>
    </w:lvl>
    <w:lvl w:ilvl="2">
      <w:start w:val="1"/>
      <w:numFmt w:val="bullet"/>
      <w:suff w:val="space"/>
      <w:lvlText w:val=""/>
      <w:lvlJc w:val="left"/>
      <w:pPr>
        <w:ind w:left="794" w:hanging="75"/>
      </w:pPr>
      <w:rPr>
        <w:rFonts w:ascii="Symbol" w:hAnsi="Symbol" w:hint="default"/>
        <w:b w:val="0"/>
      </w:rPr>
    </w:lvl>
    <w:lvl w:ilvl="3">
      <w:start w:val="1"/>
      <w:numFmt w:val="none"/>
      <w:suff w:val="space"/>
      <w:lvlText w:val="%4%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26" w15:restartNumberingAfterBreak="0">
    <w:nsid w:val="4FA70B21"/>
    <w:multiLevelType w:val="multilevel"/>
    <w:tmpl w:val="3908358A"/>
    <w:lvl w:ilvl="0">
      <w:start w:val="1"/>
      <w:numFmt w:val="upperLetter"/>
      <w:lvlText w:val="%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980DC9"/>
    <w:multiLevelType w:val="hybridMultilevel"/>
    <w:tmpl w:val="8E1C28E0"/>
    <w:lvl w:ilvl="0" w:tplc="B82863BC">
      <w:start w:val="1"/>
      <w:numFmt w:val="bullet"/>
      <w:pStyle w:val="Bullet"/>
      <w:lvlText w:val="—"/>
      <w:lvlJc w:val="left"/>
      <w:pPr>
        <w:tabs>
          <w:tab w:val="num" w:pos="1908"/>
        </w:tabs>
        <w:ind w:left="1908" w:hanging="1341"/>
      </w:pPr>
      <w:rPr>
        <w:rFonts w:ascii="Wingdings 2" w:hAnsi="Wingdings 2"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443D9"/>
    <w:multiLevelType w:val="multilevel"/>
    <w:tmpl w:val="D1E27A68"/>
    <w:name w:val="GDHBulletTemplate3"/>
    <w:lvl w:ilvl="0">
      <w:start w:val="1"/>
      <w:numFmt w:val="upperLetter"/>
      <w:lvlText w:val="Appendix %1"/>
      <w:lvlJc w:val="left"/>
      <w:pPr>
        <w:tabs>
          <w:tab w:val="num" w:pos="0"/>
        </w:tabs>
        <w:ind w:left="288" w:hanging="288"/>
      </w:pPr>
      <w:rPr>
        <w:rFonts w:ascii="Arial Black" w:hAnsi="Arial Black" w:hint="default"/>
        <w:b w:val="0"/>
        <w:i w:val="0"/>
        <w:color w:val="000000"/>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9600156"/>
    <w:multiLevelType w:val="multilevel"/>
    <w:tmpl w:val="553E8A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6B4E47"/>
    <w:multiLevelType w:val="hybridMultilevel"/>
    <w:tmpl w:val="5A165772"/>
    <w:name w:val="myAppendixTemplate2"/>
    <w:lvl w:ilvl="0" w:tplc="BD469ED0">
      <w:start w:val="1"/>
      <w:numFmt w:val="decimal"/>
      <w:lvlText w:val="%1."/>
      <w:lvlJc w:val="left"/>
      <w:pPr>
        <w:tabs>
          <w:tab w:val="num" w:pos="720"/>
        </w:tabs>
        <w:ind w:left="720" w:hanging="360"/>
      </w:pPr>
    </w:lvl>
    <w:lvl w:ilvl="1" w:tplc="31A25918" w:tentative="1">
      <w:start w:val="1"/>
      <w:numFmt w:val="lowerLetter"/>
      <w:lvlText w:val="%2."/>
      <w:lvlJc w:val="left"/>
      <w:pPr>
        <w:tabs>
          <w:tab w:val="num" w:pos="1440"/>
        </w:tabs>
        <w:ind w:left="1440" w:hanging="360"/>
      </w:pPr>
    </w:lvl>
    <w:lvl w:ilvl="2" w:tplc="7048098C" w:tentative="1">
      <w:start w:val="1"/>
      <w:numFmt w:val="lowerRoman"/>
      <w:lvlText w:val="%3."/>
      <w:lvlJc w:val="right"/>
      <w:pPr>
        <w:tabs>
          <w:tab w:val="num" w:pos="2160"/>
        </w:tabs>
        <w:ind w:left="2160" w:hanging="180"/>
      </w:pPr>
    </w:lvl>
    <w:lvl w:ilvl="3" w:tplc="8278B31C" w:tentative="1">
      <w:start w:val="1"/>
      <w:numFmt w:val="decimal"/>
      <w:lvlText w:val="%4."/>
      <w:lvlJc w:val="left"/>
      <w:pPr>
        <w:tabs>
          <w:tab w:val="num" w:pos="2880"/>
        </w:tabs>
        <w:ind w:left="2880" w:hanging="360"/>
      </w:pPr>
    </w:lvl>
    <w:lvl w:ilvl="4" w:tplc="D3FADC06" w:tentative="1">
      <w:start w:val="1"/>
      <w:numFmt w:val="lowerLetter"/>
      <w:lvlText w:val="%5."/>
      <w:lvlJc w:val="left"/>
      <w:pPr>
        <w:tabs>
          <w:tab w:val="num" w:pos="3600"/>
        </w:tabs>
        <w:ind w:left="3600" w:hanging="360"/>
      </w:pPr>
    </w:lvl>
    <w:lvl w:ilvl="5" w:tplc="95EE6A0A" w:tentative="1">
      <w:start w:val="1"/>
      <w:numFmt w:val="lowerRoman"/>
      <w:lvlText w:val="%6."/>
      <w:lvlJc w:val="right"/>
      <w:pPr>
        <w:tabs>
          <w:tab w:val="num" w:pos="4320"/>
        </w:tabs>
        <w:ind w:left="4320" w:hanging="180"/>
      </w:pPr>
    </w:lvl>
    <w:lvl w:ilvl="6" w:tplc="A090256E" w:tentative="1">
      <w:start w:val="1"/>
      <w:numFmt w:val="decimal"/>
      <w:lvlText w:val="%7."/>
      <w:lvlJc w:val="left"/>
      <w:pPr>
        <w:tabs>
          <w:tab w:val="num" w:pos="5040"/>
        </w:tabs>
        <w:ind w:left="5040" w:hanging="360"/>
      </w:pPr>
    </w:lvl>
    <w:lvl w:ilvl="7" w:tplc="5CFCBD32" w:tentative="1">
      <w:start w:val="1"/>
      <w:numFmt w:val="lowerLetter"/>
      <w:lvlText w:val="%8."/>
      <w:lvlJc w:val="left"/>
      <w:pPr>
        <w:tabs>
          <w:tab w:val="num" w:pos="5760"/>
        </w:tabs>
        <w:ind w:left="5760" w:hanging="360"/>
      </w:pPr>
    </w:lvl>
    <w:lvl w:ilvl="8" w:tplc="95F6ADFA" w:tentative="1">
      <w:start w:val="1"/>
      <w:numFmt w:val="lowerRoman"/>
      <w:lvlText w:val="%9."/>
      <w:lvlJc w:val="right"/>
      <w:pPr>
        <w:tabs>
          <w:tab w:val="num" w:pos="6480"/>
        </w:tabs>
        <w:ind w:left="6480" w:hanging="180"/>
      </w:pPr>
    </w:lvl>
  </w:abstractNum>
  <w:abstractNum w:abstractNumId="31" w15:restartNumberingAfterBreak="0">
    <w:nsid w:val="5D490D10"/>
    <w:multiLevelType w:val="multilevel"/>
    <w:tmpl w:val="F85C7E68"/>
    <w:name w:val="GHD_NumberList"/>
    <w:lvl w:ilvl="0">
      <w:start w:val="1"/>
      <w:numFmt w:val="decimal"/>
      <w:pStyle w:val="RestartNumbering"/>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0C4B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5A7CD7"/>
    <w:multiLevelType w:val="hybridMultilevel"/>
    <w:tmpl w:val="0C2AEC68"/>
    <w:lvl w:ilvl="0" w:tplc="EBDCE21C">
      <w:start w:val="1"/>
      <w:numFmt w:val="bullet"/>
      <w:lvlText w:val="–"/>
      <w:lvlJc w:val="left"/>
      <w:pPr>
        <w:tabs>
          <w:tab w:val="num" w:pos="644"/>
        </w:tabs>
        <w:ind w:left="644"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94C41"/>
    <w:multiLevelType w:val="multilevel"/>
    <w:tmpl w:val="E690A394"/>
    <w:name w:val="MyListTemplat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360"/>
      </w:pPr>
      <w:rPr>
        <w:rFonts w:ascii="Symbol" w:hAnsi="Symbol" w:hint="default"/>
      </w:rPr>
    </w:lvl>
    <w:lvl w:ilvl="2">
      <w:start w:val="1"/>
      <w:numFmt w:val="decimal"/>
      <w:suff w:val="space"/>
      <w:lvlText w:val="%2.%3."/>
      <w:lvlJc w:val="left"/>
      <w:pPr>
        <w:ind w:left="1080" w:hanging="360"/>
      </w:pPr>
      <w:rPr>
        <w:b w:val="0"/>
      </w:rPr>
    </w:lvl>
    <w:lvl w:ilvl="3">
      <w:start w:val="1"/>
      <w:numFmt w:val="decimal"/>
      <w:suff w:val="space"/>
      <w:lvlText w:val="%2.%3.%4."/>
      <w:lvlJc w:val="left"/>
      <w:pPr>
        <w:ind w:left="1512" w:hanging="504"/>
      </w:pPr>
      <w:rPr>
        <w:b w:val="0"/>
      </w:rPr>
    </w:lvl>
    <w:lvl w:ilvl="4">
      <w:start w:val="1"/>
      <w:numFmt w:val="decimal"/>
      <w:suff w:val="space"/>
      <w:lvlText w:val="%2.%3.%4.%5."/>
      <w:lvlJc w:val="left"/>
      <w:pPr>
        <w:ind w:left="1944" w:hanging="648"/>
      </w:pPr>
      <w:rPr>
        <w:b w:val="0"/>
      </w:rPr>
    </w:lvl>
    <w:lvl w:ilvl="5">
      <w:start w:val="1"/>
      <w:numFmt w:val="decimal"/>
      <w:suff w:val="space"/>
      <w:lvlText w:val="%2.%3.%4.%5.%6."/>
      <w:lvlJc w:val="left"/>
      <w:pPr>
        <w:ind w:left="2376" w:hanging="792"/>
      </w:pPr>
      <w:rPr>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E442F8"/>
    <w:multiLevelType w:val="multilevel"/>
    <w:tmpl w:val="E3FCC98E"/>
    <w:name w:val="GHDOutlineTemplate2"/>
    <w:lvl w:ilvl="0">
      <w:start w:val="1"/>
      <w:numFmt w:val="bullet"/>
      <w:lvlText w:val=""/>
      <w:lvlJc w:val="left"/>
      <w:pPr>
        <w:tabs>
          <w:tab w:val="num" w:pos="359"/>
        </w:tabs>
        <w:ind w:left="359" w:hanging="360"/>
      </w:pPr>
      <w:rPr>
        <w:rFonts w:ascii="Symbol" w:hAnsi="Symbol" w:hint="default"/>
      </w:rPr>
    </w:lvl>
    <w:lvl w:ilvl="1">
      <w:start w:val="1"/>
      <w:numFmt w:val="bullet"/>
      <w:lvlRestart w:val="0"/>
      <w:lvlText w:val=""/>
      <w:lvlJc w:val="left"/>
      <w:pPr>
        <w:tabs>
          <w:tab w:val="num" w:pos="454"/>
        </w:tabs>
        <w:ind w:left="680" w:hanging="340"/>
      </w:pPr>
      <w:rPr>
        <w:rFonts w:ascii="Symbol" w:hAnsi="Symbol" w:hint="default"/>
      </w:rPr>
    </w:lvl>
    <w:lvl w:ilvl="2">
      <w:start w:val="1"/>
      <w:numFmt w:val="bullet"/>
      <w:suff w:val="space"/>
      <w:lvlText w:val=""/>
      <w:lvlJc w:val="left"/>
      <w:pPr>
        <w:ind w:left="794" w:hanging="75"/>
      </w:pPr>
      <w:rPr>
        <w:rFonts w:ascii="Symbol" w:hAnsi="Symbol" w:hint="default"/>
        <w:b w:val="0"/>
      </w:rPr>
    </w:lvl>
    <w:lvl w:ilvl="3">
      <w:start w:val="1"/>
      <w:numFmt w:val="none"/>
      <w:suff w:val="space"/>
      <w:lvlText w:val="%4%2"/>
      <w:lvlJc w:val="left"/>
      <w:pPr>
        <w:ind w:left="1511" w:hanging="504"/>
      </w:pPr>
      <w:rPr>
        <w:rFonts w:hint="default"/>
        <w:b w:val="0"/>
      </w:rPr>
    </w:lvl>
    <w:lvl w:ilvl="4">
      <w:start w:val="1"/>
      <w:numFmt w:val="decimal"/>
      <w:suff w:val="space"/>
      <w:lvlText w:val="%2"/>
      <w:lvlJc w:val="left"/>
      <w:pPr>
        <w:ind w:left="1943" w:hanging="648"/>
      </w:pPr>
      <w:rPr>
        <w:rFonts w:hint="default"/>
        <w:b w:val="0"/>
      </w:rPr>
    </w:lvl>
    <w:lvl w:ilvl="5">
      <w:start w:val="1"/>
      <w:numFmt w:val="decimal"/>
      <w:suff w:val="space"/>
      <w:lvlText w:val="%2"/>
      <w:lvlJc w:val="left"/>
      <w:pPr>
        <w:ind w:left="2375" w:hanging="792"/>
      </w:pPr>
      <w:rPr>
        <w:rFonts w:hint="default"/>
        <w:b w:val="0"/>
      </w:rPr>
    </w:lvl>
    <w:lvl w:ilvl="6">
      <w:start w:val="1"/>
      <w:numFmt w:val="none"/>
      <w:lvlText w:val=""/>
      <w:lvlJc w:val="left"/>
      <w:pPr>
        <w:tabs>
          <w:tab w:val="num" w:pos="5039"/>
        </w:tabs>
        <w:ind w:left="5039" w:hanging="360"/>
      </w:pPr>
      <w:rPr>
        <w:rFonts w:hint="default"/>
      </w:rPr>
    </w:lvl>
    <w:lvl w:ilvl="7">
      <w:start w:val="1"/>
      <w:numFmt w:val="none"/>
      <w:lvlText w:val=""/>
      <w:lvlJc w:val="left"/>
      <w:pPr>
        <w:tabs>
          <w:tab w:val="num" w:pos="5759"/>
        </w:tabs>
        <w:ind w:left="5759" w:hanging="360"/>
      </w:pPr>
      <w:rPr>
        <w:rFonts w:hint="default"/>
      </w:rPr>
    </w:lvl>
    <w:lvl w:ilvl="8">
      <w:start w:val="1"/>
      <w:numFmt w:val="none"/>
      <w:lvlText w:val=""/>
      <w:lvlJc w:val="right"/>
      <w:pPr>
        <w:tabs>
          <w:tab w:val="num" w:pos="6479"/>
        </w:tabs>
        <w:ind w:left="6479" w:hanging="180"/>
      </w:pPr>
      <w:rPr>
        <w:rFonts w:hint="default"/>
      </w:rPr>
    </w:lvl>
  </w:abstractNum>
  <w:abstractNum w:abstractNumId="36" w15:restartNumberingAfterBreak="0">
    <w:nsid w:val="67C533E1"/>
    <w:multiLevelType w:val="multilevel"/>
    <w:tmpl w:val="251866AE"/>
    <w:lvl w:ilvl="0">
      <w:start w:val="1"/>
      <w:numFmt w:val="bullet"/>
      <w:lvlText w:val="–"/>
      <w:lvlJc w:val="left"/>
      <w:pPr>
        <w:tabs>
          <w:tab w:val="num" w:pos="321"/>
        </w:tabs>
        <w:ind w:left="321" w:hanging="9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11A31"/>
    <w:multiLevelType w:val="multilevel"/>
    <w:tmpl w:val="30F2055C"/>
    <w:styleLink w:val="Style1"/>
    <w:lvl w:ilvl="0">
      <w:start w:val="1"/>
      <w:numFmt w:val="upperLetter"/>
      <w:pStyle w:val="Appendix"/>
      <w:suff w:val="space"/>
      <w:lvlText w:val="Appendix %1"/>
      <w:lvlJc w:val="left"/>
      <w:pPr>
        <w:ind w:left="0" w:firstLine="0"/>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4FC2B22"/>
    <w:multiLevelType w:val="multilevel"/>
    <w:tmpl w:val="30F2055C"/>
    <w:numStyleLink w:val="Style1"/>
  </w:abstractNum>
  <w:num w:numId="1">
    <w:abstractNumId w:val="22"/>
  </w:num>
  <w:num w:numId="2">
    <w:abstractNumId w:val="20"/>
  </w:num>
  <w:num w:numId="3">
    <w:abstractNumId w:val="14"/>
  </w:num>
  <w:num w:numId="4">
    <w:abstractNumId w:val="33"/>
  </w:num>
  <w:num w:numId="5">
    <w:abstractNumId w:val="18"/>
  </w:num>
  <w:num w:numId="6">
    <w:abstractNumId w:val="32"/>
  </w:num>
  <w:num w:numId="7">
    <w:abstractNumId w:val="12"/>
  </w:num>
  <w:num w:numId="8">
    <w:abstractNumId w:val="10"/>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29"/>
  </w:num>
  <w:num w:numId="22">
    <w:abstractNumId w:val="31"/>
  </w:num>
  <w:num w:numId="23">
    <w:abstractNumId w:val="22"/>
  </w:num>
  <w:num w:numId="24">
    <w:abstractNumId w:val="15"/>
  </w:num>
  <w:num w:numId="25">
    <w:abstractNumId w:val="26"/>
  </w:num>
  <w:num w:numId="26">
    <w:abstractNumId w:val="37"/>
  </w:num>
  <w:num w:numId="27">
    <w:abstractNumId w:val="13"/>
  </w:num>
  <w:num w:numId="28">
    <w:abstractNumId w:val="16"/>
  </w:num>
  <w:num w:numId="29">
    <w:abstractNumId w:val="23"/>
  </w:num>
  <w:num w:numId="30">
    <w:abstractNumId w:val="38"/>
  </w:num>
  <w:num w:numId="31">
    <w:abstractNumId w:val="17"/>
  </w:num>
  <w:num w:numId="32">
    <w:abstractNumId w:val="2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10241" style="mso-position-horizontal-relative:page;mso-position-vertical-relative:page" fillcolor="#a7a9ac" stroke="f">
      <v:fill color="#a7a9ac"/>
      <v:stroke on="f"/>
      <o:colormru v:ext="edit" colors="#00599c,#8f8f8c,#0065a4,#a7a9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68"/>
    <w:rsid w:val="00000333"/>
    <w:rsid w:val="000029F0"/>
    <w:rsid w:val="00003EDA"/>
    <w:rsid w:val="00006CD4"/>
    <w:rsid w:val="00011219"/>
    <w:rsid w:val="00012078"/>
    <w:rsid w:val="000121E7"/>
    <w:rsid w:val="0001228D"/>
    <w:rsid w:val="0001605D"/>
    <w:rsid w:val="00016408"/>
    <w:rsid w:val="00016C46"/>
    <w:rsid w:val="00024477"/>
    <w:rsid w:val="00026977"/>
    <w:rsid w:val="00037AD1"/>
    <w:rsid w:val="00045036"/>
    <w:rsid w:val="00045AB5"/>
    <w:rsid w:val="00052704"/>
    <w:rsid w:val="00053740"/>
    <w:rsid w:val="00053F5E"/>
    <w:rsid w:val="0006113E"/>
    <w:rsid w:val="000663E9"/>
    <w:rsid w:val="00070008"/>
    <w:rsid w:val="00070C70"/>
    <w:rsid w:val="000713ED"/>
    <w:rsid w:val="00071608"/>
    <w:rsid w:val="000716FB"/>
    <w:rsid w:val="00071A47"/>
    <w:rsid w:val="00072A63"/>
    <w:rsid w:val="00075174"/>
    <w:rsid w:val="00076F83"/>
    <w:rsid w:val="00080AAE"/>
    <w:rsid w:val="00090DEA"/>
    <w:rsid w:val="0009287A"/>
    <w:rsid w:val="0009607A"/>
    <w:rsid w:val="000A3057"/>
    <w:rsid w:val="000A3C71"/>
    <w:rsid w:val="000A4D05"/>
    <w:rsid w:val="000A6D5E"/>
    <w:rsid w:val="000A7C0F"/>
    <w:rsid w:val="000B4703"/>
    <w:rsid w:val="000B6953"/>
    <w:rsid w:val="000B7962"/>
    <w:rsid w:val="000C6742"/>
    <w:rsid w:val="0010339C"/>
    <w:rsid w:val="00104C7C"/>
    <w:rsid w:val="00104E51"/>
    <w:rsid w:val="001061C8"/>
    <w:rsid w:val="001079D8"/>
    <w:rsid w:val="001252E8"/>
    <w:rsid w:val="00126AA5"/>
    <w:rsid w:val="00130308"/>
    <w:rsid w:val="00130326"/>
    <w:rsid w:val="001304C6"/>
    <w:rsid w:val="00130B15"/>
    <w:rsid w:val="00137DBF"/>
    <w:rsid w:val="001422F1"/>
    <w:rsid w:val="0014524B"/>
    <w:rsid w:val="00146033"/>
    <w:rsid w:val="001463EB"/>
    <w:rsid w:val="0015064F"/>
    <w:rsid w:val="001517D1"/>
    <w:rsid w:val="00154DC1"/>
    <w:rsid w:val="0015573E"/>
    <w:rsid w:val="00160647"/>
    <w:rsid w:val="00160BD8"/>
    <w:rsid w:val="0016403E"/>
    <w:rsid w:val="001666A0"/>
    <w:rsid w:val="00170E2F"/>
    <w:rsid w:val="00171362"/>
    <w:rsid w:val="001722A3"/>
    <w:rsid w:val="00173126"/>
    <w:rsid w:val="00191FAC"/>
    <w:rsid w:val="001955CC"/>
    <w:rsid w:val="00196469"/>
    <w:rsid w:val="001A204F"/>
    <w:rsid w:val="001A39D2"/>
    <w:rsid w:val="001A5349"/>
    <w:rsid w:val="001A65AF"/>
    <w:rsid w:val="001B0C87"/>
    <w:rsid w:val="001B13D1"/>
    <w:rsid w:val="001B2552"/>
    <w:rsid w:val="001B3523"/>
    <w:rsid w:val="001B3BC7"/>
    <w:rsid w:val="001C6434"/>
    <w:rsid w:val="001C6DDD"/>
    <w:rsid w:val="001D5E4E"/>
    <w:rsid w:val="001D79A6"/>
    <w:rsid w:val="001E0092"/>
    <w:rsid w:val="001E2FF5"/>
    <w:rsid w:val="001E4601"/>
    <w:rsid w:val="001E4D46"/>
    <w:rsid w:val="001E6B54"/>
    <w:rsid w:val="001F5921"/>
    <w:rsid w:val="002026D9"/>
    <w:rsid w:val="00204455"/>
    <w:rsid w:val="00205361"/>
    <w:rsid w:val="00206C71"/>
    <w:rsid w:val="002079FD"/>
    <w:rsid w:val="002103FA"/>
    <w:rsid w:val="002157D5"/>
    <w:rsid w:val="00221C66"/>
    <w:rsid w:val="00223F35"/>
    <w:rsid w:val="002272E6"/>
    <w:rsid w:val="002273F9"/>
    <w:rsid w:val="0023118B"/>
    <w:rsid w:val="00233245"/>
    <w:rsid w:val="00234E33"/>
    <w:rsid w:val="00237502"/>
    <w:rsid w:val="002379D6"/>
    <w:rsid w:val="00241401"/>
    <w:rsid w:val="00245AF5"/>
    <w:rsid w:val="002577D5"/>
    <w:rsid w:val="00264330"/>
    <w:rsid w:val="002647B8"/>
    <w:rsid w:val="00264D3F"/>
    <w:rsid w:val="00265EF5"/>
    <w:rsid w:val="00270E84"/>
    <w:rsid w:val="00271A8E"/>
    <w:rsid w:val="00276FAF"/>
    <w:rsid w:val="002813F6"/>
    <w:rsid w:val="00283154"/>
    <w:rsid w:val="00287EB5"/>
    <w:rsid w:val="00291F72"/>
    <w:rsid w:val="00295077"/>
    <w:rsid w:val="002965FF"/>
    <w:rsid w:val="00296668"/>
    <w:rsid w:val="00296DA9"/>
    <w:rsid w:val="002974D4"/>
    <w:rsid w:val="002A07F7"/>
    <w:rsid w:val="002A1755"/>
    <w:rsid w:val="002A303B"/>
    <w:rsid w:val="002A3CE0"/>
    <w:rsid w:val="002A770B"/>
    <w:rsid w:val="002B03AF"/>
    <w:rsid w:val="002B093E"/>
    <w:rsid w:val="002B2602"/>
    <w:rsid w:val="002B67B4"/>
    <w:rsid w:val="002B74AE"/>
    <w:rsid w:val="002C1114"/>
    <w:rsid w:val="002C1D38"/>
    <w:rsid w:val="002C1EF9"/>
    <w:rsid w:val="002C28B0"/>
    <w:rsid w:val="002C4C04"/>
    <w:rsid w:val="002C4F94"/>
    <w:rsid w:val="002C62C2"/>
    <w:rsid w:val="002D01D4"/>
    <w:rsid w:val="002D0CCC"/>
    <w:rsid w:val="002E7D48"/>
    <w:rsid w:val="002F0130"/>
    <w:rsid w:val="002F2736"/>
    <w:rsid w:val="002F4AC7"/>
    <w:rsid w:val="002F55D4"/>
    <w:rsid w:val="002F59F5"/>
    <w:rsid w:val="002F5FF2"/>
    <w:rsid w:val="00302077"/>
    <w:rsid w:val="00304F8A"/>
    <w:rsid w:val="00305159"/>
    <w:rsid w:val="00311100"/>
    <w:rsid w:val="00312412"/>
    <w:rsid w:val="00315E91"/>
    <w:rsid w:val="00323478"/>
    <w:rsid w:val="0032641B"/>
    <w:rsid w:val="0032646F"/>
    <w:rsid w:val="00334EC8"/>
    <w:rsid w:val="00343147"/>
    <w:rsid w:val="00354B23"/>
    <w:rsid w:val="00355B36"/>
    <w:rsid w:val="003569BA"/>
    <w:rsid w:val="00356D05"/>
    <w:rsid w:val="00360F7B"/>
    <w:rsid w:val="0036188D"/>
    <w:rsid w:val="00361FBF"/>
    <w:rsid w:val="003655FF"/>
    <w:rsid w:val="00367523"/>
    <w:rsid w:val="00367601"/>
    <w:rsid w:val="0036771C"/>
    <w:rsid w:val="00374F91"/>
    <w:rsid w:val="003762E0"/>
    <w:rsid w:val="0038042D"/>
    <w:rsid w:val="003806A1"/>
    <w:rsid w:val="0038315E"/>
    <w:rsid w:val="00385D04"/>
    <w:rsid w:val="0039049E"/>
    <w:rsid w:val="00392068"/>
    <w:rsid w:val="0039534A"/>
    <w:rsid w:val="00396397"/>
    <w:rsid w:val="003A006B"/>
    <w:rsid w:val="003A0552"/>
    <w:rsid w:val="003A07EC"/>
    <w:rsid w:val="003A1826"/>
    <w:rsid w:val="003A4D64"/>
    <w:rsid w:val="003B27F5"/>
    <w:rsid w:val="003B2BC7"/>
    <w:rsid w:val="003B2FA3"/>
    <w:rsid w:val="003B4141"/>
    <w:rsid w:val="003B4C12"/>
    <w:rsid w:val="003D7765"/>
    <w:rsid w:val="003E52D8"/>
    <w:rsid w:val="003F0147"/>
    <w:rsid w:val="003F37ED"/>
    <w:rsid w:val="003F433B"/>
    <w:rsid w:val="003F5EC9"/>
    <w:rsid w:val="00405467"/>
    <w:rsid w:val="004057D3"/>
    <w:rsid w:val="00406502"/>
    <w:rsid w:val="004078FD"/>
    <w:rsid w:val="00407A17"/>
    <w:rsid w:val="004124DE"/>
    <w:rsid w:val="00412D9F"/>
    <w:rsid w:val="00413C66"/>
    <w:rsid w:val="00414214"/>
    <w:rsid w:val="004164F7"/>
    <w:rsid w:val="004205F8"/>
    <w:rsid w:val="00422195"/>
    <w:rsid w:val="00422628"/>
    <w:rsid w:val="004241A8"/>
    <w:rsid w:val="00425B6A"/>
    <w:rsid w:val="00426E5B"/>
    <w:rsid w:val="00431C34"/>
    <w:rsid w:val="00432D1D"/>
    <w:rsid w:val="00433F1A"/>
    <w:rsid w:val="00434399"/>
    <w:rsid w:val="00434734"/>
    <w:rsid w:val="00436688"/>
    <w:rsid w:val="004469D5"/>
    <w:rsid w:val="00447154"/>
    <w:rsid w:val="00453988"/>
    <w:rsid w:val="0045448F"/>
    <w:rsid w:val="004612E4"/>
    <w:rsid w:val="00463884"/>
    <w:rsid w:val="00467F5E"/>
    <w:rsid w:val="00473C70"/>
    <w:rsid w:val="00475C13"/>
    <w:rsid w:val="00476D44"/>
    <w:rsid w:val="00483680"/>
    <w:rsid w:val="004875AC"/>
    <w:rsid w:val="00487F4B"/>
    <w:rsid w:val="00490F13"/>
    <w:rsid w:val="00491972"/>
    <w:rsid w:val="0049525E"/>
    <w:rsid w:val="00495E9E"/>
    <w:rsid w:val="00496FF4"/>
    <w:rsid w:val="004A0136"/>
    <w:rsid w:val="004A4BC0"/>
    <w:rsid w:val="004A595C"/>
    <w:rsid w:val="004B09ED"/>
    <w:rsid w:val="004B0C2B"/>
    <w:rsid w:val="004B101B"/>
    <w:rsid w:val="004B1702"/>
    <w:rsid w:val="004B52C1"/>
    <w:rsid w:val="004B6DBC"/>
    <w:rsid w:val="004C28CA"/>
    <w:rsid w:val="004C5DAA"/>
    <w:rsid w:val="004D2FF4"/>
    <w:rsid w:val="004D65B1"/>
    <w:rsid w:val="004E0255"/>
    <w:rsid w:val="004E3934"/>
    <w:rsid w:val="004E3953"/>
    <w:rsid w:val="004E3C51"/>
    <w:rsid w:val="004E3FDD"/>
    <w:rsid w:val="004F173D"/>
    <w:rsid w:val="004F1DCD"/>
    <w:rsid w:val="004F3D23"/>
    <w:rsid w:val="004F69C0"/>
    <w:rsid w:val="004F7956"/>
    <w:rsid w:val="005039D5"/>
    <w:rsid w:val="00503BBE"/>
    <w:rsid w:val="0050524C"/>
    <w:rsid w:val="00506186"/>
    <w:rsid w:val="00507102"/>
    <w:rsid w:val="00511425"/>
    <w:rsid w:val="00512448"/>
    <w:rsid w:val="00520354"/>
    <w:rsid w:val="005217E3"/>
    <w:rsid w:val="00521FBD"/>
    <w:rsid w:val="00522077"/>
    <w:rsid w:val="00525FF6"/>
    <w:rsid w:val="00531B8A"/>
    <w:rsid w:val="005345F5"/>
    <w:rsid w:val="005362EE"/>
    <w:rsid w:val="005437F7"/>
    <w:rsid w:val="00544560"/>
    <w:rsid w:val="00547FEA"/>
    <w:rsid w:val="00550ADB"/>
    <w:rsid w:val="005521E4"/>
    <w:rsid w:val="005540C7"/>
    <w:rsid w:val="0055533A"/>
    <w:rsid w:val="00555F1E"/>
    <w:rsid w:val="00570830"/>
    <w:rsid w:val="005742E2"/>
    <w:rsid w:val="0057459C"/>
    <w:rsid w:val="0058157F"/>
    <w:rsid w:val="00583D3B"/>
    <w:rsid w:val="00584CA6"/>
    <w:rsid w:val="00585F52"/>
    <w:rsid w:val="005867CA"/>
    <w:rsid w:val="00590A2C"/>
    <w:rsid w:val="005938FB"/>
    <w:rsid w:val="0059431E"/>
    <w:rsid w:val="00595C52"/>
    <w:rsid w:val="005A11E8"/>
    <w:rsid w:val="005A3A66"/>
    <w:rsid w:val="005A4E0F"/>
    <w:rsid w:val="005A614E"/>
    <w:rsid w:val="005B500E"/>
    <w:rsid w:val="005B74B8"/>
    <w:rsid w:val="005C0444"/>
    <w:rsid w:val="005C0793"/>
    <w:rsid w:val="005C76FC"/>
    <w:rsid w:val="005D2600"/>
    <w:rsid w:val="005D69AE"/>
    <w:rsid w:val="005E3316"/>
    <w:rsid w:val="005E5B5E"/>
    <w:rsid w:val="005E5BDE"/>
    <w:rsid w:val="005F114B"/>
    <w:rsid w:val="005F546E"/>
    <w:rsid w:val="005F5E6B"/>
    <w:rsid w:val="00601809"/>
    <w:rsid w:val="00605E0A"/>
    <w:rsid w:val="00606812"/>
    <w:rsid w:val="0061024C"/>
    <w:rsid w:val="00610E32"/>
    <w:rsid w:val="0061309A"/>
    <w:rsid w:val="00617428"/>
    <w:rsid w:val="006225A8"/>
    <w:rsid w:val="006238FD"/>
    <w:rsid w:val="00625E2C"/>
    <w:rsid w:val="00626C51"/>
    <w:rsid w:val="00630AB0"/>
    <w:rsid w:val="00632277"/>
    <w:rsid w:val="00632C9C"/>
    <w:rsid w:val="00632DFF"/>
    <w:rsid w:val="006334C2"/>
    <w:rsid w:val="00634888"/>
    <w:rsid w:val="00635E0B"/>
    <w:rsid w:val="00636311"/>
    <w:rsid w:val="00637B03"/>
    <w:rsid w:val="0064402F"/>
    <w:rsid w:val="00647D8A"/>
    <w:rsid w:val="0065337E"/>
    <w:rsid w:val="00661DDB"/>
    <w:rsid w:val="00662E9E"/>
    <w:rsid w:val="00663FF0"/>
    <w:rsid w:val="006640B8"/>
    <w:rsid w:val="006677C0"/>
    <w:rsid w:val="006716E4"/>
    <w:rsid w:val="006735EB"/>
    <w:rsid w:val="00676F34"/>
    <w:rsid w:val="006805E9"/>
    <w:rsid w:val="00681782"/>
    <w:rsid w:val="006827A2"/>
    <w:rsid w:val="006827D1"/>
    <w:rsid w:val="00683489"/>
    <w:rsid w:val="00683BD4"/>
    <w:rsid w:val="00694D0B"/>
    <w:rsid w:val="006A0B3A"/>
    <w:rsid w:val="006A30DC"/>
    <w:rsid w:val="006A46E6"/>
    <w:rsid w:val="006B0C56"/>
    <w:rsid w:val="006B35CA"/>
    <w:rsid w:val="006B7991"/>
    <w:rsid w:val="006C2D42"/>
    <w:rsid w:val="006C2ED3"/>
    <w:rsid w:val="006C3838"/>
    <w:rsid w:val="006C5ACD"/>
    <w:rsid w:val="006C5E66"/>
    <w:rsid w:val="006D1002"/>
    <w:rsid w:val="006D626D"/>
    <w:rsid w:val="006E0B65"/>
    <w:rsid w:val="006E359D"/>
    <w:rsid w:val="006E613E"/>
    <w:rsid w:val="006F0BD1"/>
    <w:rsid w:val="006F1861"/>
    <w:rsid w:val="007020C5"/>
    <w:rsid w:val="007039FF"/>
    <w:rsid w:val="0072486E"/>
    <w:rsid w:val="007260C6"/>
    <w:rsid w:val="007329C2"/>
    <w:rsid w:val="00732BE2"/>
    <w:rsid w:val="00733652"/>
    <w:rsid w:val="00736372"/>
    <w:rsid w:val="00737C9E"/>
    <w:rsid w:val="007432FA"/>
    <w:rsid w:val="00744C1C"/>
    <w:rsid w:val="0074588B"/>
    <w:rsid w:val="00745A14"/>
    <w:rsid w:val="007558F6"/>
    <w:rsid w:val="0075672E"/>
    <w:rsid w:val="007603BB"/>
    <w:rsid w:val="00761845"/>
    <w:rsid w:val="00763958"/>
    <w:rsid w:val="00764B9D"/>
    <w:rsid w:val="00765E5E"/>
    <w:rsid w:val="00766F98"/>
    <w:rsid w:val="007772CA"/>
    <w:rsid w:val="00790A25"/>
    <w:rsid w:val="0079146D"/>
    <w:rsid w:val="00792377"/>
    <w:rsid w:val="007923CC"/>
    <w:rsid w:val="00793CB6"/>
    <w:rsid w:val="00794329"/>
    <w:rsid w:val="007949D2"/>
    <w:rsid w:val="00794BFA"/>
    <w:rsid w:val="0079650D"/>
    <w:rsid w:val="00797333"/>
    <w:rsid w:val="007975FB"/>
    <w:rsid w:val="007A2BA5"/>
    <w:rsid w:val="007A30D0"/>
    <w:rsid w:val="007A3A60"/>
    <w:rsid w:val="007B14B6"/>
    <w:rsid w:val="007B1A77"/>
    <w:rsid w:val="007C1ACD"/>
    <w:rsid w:val="007C1FD0"/>
    <w:rsid w:val="007C4B45"/>
    <w:rsid w:val="007D0DD8"/>
    <w:rsid w:val="007D3BE9"/>
    <w:rsid w:val="007D3D0B"/>
    <w:rsid w:val="007D7375"/>
    <w:rsid w:val="007D7BAA"/>
    <w:rsid w:val="007E531D"/>
    <w:rsid w:val="007F0CC2"/>
    <w:rsid w:val="007F2AF4"/>
    <w:rsid w:val="008004C3"/>
    <w:rsid w:val="0080173E"/>
    <w:rsid w:val="00802E87"/>
    <w:rsid w:val="00803E8E"/>
    <w:rsid w:val="008065A5"/>
    <w:rsid w:val="008113C0"/>
    <w:rsid w:val="00814DC9"/>
    <w:rsid w:val="008248F3"/>
    <w:rsid w:val="00827016"/>
    <w:rsid w:val="00833B9E"/>
    <w:rsid w:val="00834B0C"/>
    <w:rsid w:val="00836E81"/>
    <w:rsid w:val="008426C7"/>
    <w:rsid w:val="0084376B"/>
    <w:rsid w:val="00843B29"/>
    <w:rsid w:val="00845A00"/>
    <w:rsid w:val="00847D3B"/>
    <w:rsid w:val="0085182E"/>
    <w:rsid w:val="00851E7D"/>
    <w:rsid w:val="008526BE"/>
    <w:rsid w:val="00855CAB"/>
    <w:rsid w:val="0086214D"/>
    <w:rsid w:val="00864A17"/>
    <w:rsid w:val="00864A2D"/>
    <w:rsid w:val="00870EC1"/>
    <w:rsid w:val="00871958"/>
    <w:rsid w:val="00874526"/>
    <w:rsid w:val="00877563"/>
    <w:rsid w:val="00882034"/>
    <w:rsid w:val="00883AA6"/>
    <w:rsid w:val="00886D52"/>
    <w:rsid w:val="0089668F"/>
    <w:rsid w:val="00896A0A"/>
    <w:rsid w:val="00897A67"/>
    <w:rsid w:val="008A3448"/>
    <w:rsid w:val="008B0E5E"/>
    <w:rsid w:val="008B3D03"/>
    <w:rsid w:val="008B4BA6"/>
    <w:rsid w:val="008B7440"/>
    <w:rsid w:val="008C0C7A"/>
    <w:rsid w:val="008C2349"/>
    <w:rsid w:val="008C452A"/>
    <w:rsid w:val="008C5BCE"/>
    <w:rsid w:val="008C7C2B"/>
    <w:rsid w:val="008D0091"/>
    <w:rsid w:val="008D32BF"/>
    <w:rsid w:val="008D4BB1"/>
    <w:rsid w:val="008D664D"/>
    <w:rsid w:val="008D6A6E"/>
    <w:rsid w:val="008D7CCA"/>
    <w:rsid w:val="008E08C4"/>
    <w:rsid w:val="008E126D"/>
    <w:rsid w:val="008E16AE"/>
    <w:rsid w:val="008E566B"/>
    <w:rsid w:val="008F18A6"/>
    <w:rsid w:val="008F3AEC"/>
    <w:rsid w:val="008F49ED"/>
    <w:rsid w:val="008F5549"/>
    <w:rsid w:val="008F5612"/>
    <w:rsid w:val="008F5A31"/>
    <w:rsid w:val="008F73C6"/>
    <w:rsid w:val="008F7F33"/>
    <w:rsid w:val="00900052"/>
    <w:rsid w:val="00901AC2"/>
    <w:rsid w:val="00902138"/>
    <w:rsid w:val="0090314D"/>
    <w:rsid w:val="00905800"/>
    <w:rsid w:val="009059FC"/>
    <w:rsid w:val="00911DBE"/>
    <w:rsid w:val="00912612"/>
    <w:rsid w:val="00912732"/>
    <w:rsid w:val="00916CDC"/>
    <w:rsid w:val="00923046"/>
    <w:rsid w:val="00923239"/>
    <w:rsid w:val="009251A9"/>
    <w:rsid w:val="0092595A"/>
    <w:rsid w:val="00934F5B"/>
    <w:rsid w:val="00936500"/>
    <w:rsid w:val="00940486"/>
    <w:rsid w:val="00945258"/>
    <w:rsid w:val="0094552D"/>
    <w:rsid w:val="009567B0"/>
    <w:rsid w:val="00962372"/>
    <w:rsid w:val="00963C97"/>
    <w:rsid w:val="00963CB2"/>
    <w:rsid w:val="00964124"/>
    <w:rsid w:val="00964822"/>
    <w:rsid w:val="009648CD"/>
    <w:rsid w:val="009650A4"/>
    <w:rsid w:val="00965844"/>
    <w:rsid w:val="00967A7A"/>
    <w:rsid w:val="009710F1"/>
    <w:rsid w:val="00975381"/>
    <w:rsid w:val="009757E1"/>
    <w:rsid w:val="00976813"/>
    <w:rsid w:val="009800FE"/>
    <w:rsid w:val="00980499"/>
    <w:rsid w:val="00981CC1"/>
    <w:rsid w:val="00982530"/>
    <w:rsid w:val="00994282"/>
    <w:rsid w:val="00994A73"/>
    <w:rsid w:val="00995E9D"/>
    <w:rsid w:val="009973FC"/>
    <w:rsid w:val="009A2670"/>
    <w:rsid w:val="009A405A"/>
    <w:rsid w:val="009B088D"/>
    <w:rsid w:val="009B3EBB"/>
    <w:rsid w:val="009B40C1"/>
    <w:rsid w:val="009B5538"/>
    <w:rsid w:val="009B66BC"/>
    <w:rsid w:val="009C1DF2"/>
    <w:rsid w:val="009C59EF"/>
    <w:rsid w:val="009D4A72"/>
    <w:rsid w:val="009D7BA4"/>
    <w:rsid w:val="009E16DF"/>
    <w:rsid w:val="009E6DB1"/>
    <w:rsid w:val="009F299A"/>
    <w:rsid w:val="009F588E"/>
    <w:rsid w:val="009F5F8C"/>
    <w:rsid w:val="00A0074B"/>
    <w:rsid w:val="00A01CC7"/>
    <w:rsid w:val="00A02252"/>
    <w:rsid w:val="00A02E23"/>
    <w:rsid w:val="00A061CE"/>
    <w:rsid w:val="00A10EC3"/>
    <w:rsid w:val="00A11F55"/>
    <w:rsid w:val="00A13CAA"/>
    <w:rsid w:val="00A140DF"/>
    <w:rsid w:val="00A15E49"/>
    <w:rsid w:val="00A16390"/>
    <w:rsid w:val="00A22AA8"/>
    <w:rsid w:val="00A23442"/>
    <w:rsid w:val="00A23626"/>
    <w:rsid w:val="00A24730"/>
    <w:rsid w:val="00A2582E"/>
    <w:rsid w:val="00A263B5"/>
    <w:rsid w:val="00A353D5"/>
    <w:rsid w:val="00A35B5B"/>
    <w:rsid w:val="00A36B5E"/>
    <w:rsid w:val="00A4681A"/>
    <w:rsid w:val="00A47BE6"/>
    <w:rsid w:val="00A52687"/>
    <w:rsid w:val="00A52FE0"/>
    <w:rsid w:val="00A53FA2"/>
    <w:rsid w:val="00A549E1"/>
    <w:rsid w:val="00A55809"/>
    <w:rsid w:val="00A70445"/>
    <w:rsid w:val="00A706E4"/>
    <w:rsid w:val="00A733EE"/>
    <w:rsid w:val="00A74DE0"/>
    <w:rsid w:val="00A8734C"/>
    <w:rsid w:val="00A901C8"/>
    <w:rsid w:val="00A90E01"/>
    <w:rsid w:val="00A91F91"/>
    <w:rsid w:val="00A95DCA"/>
    <w:rsid w:val="00A96D94"/>
    <w:rsid w:val="00AA32C2"/>
    <w:rsid w:val="00AA5DC7"/>
    <w:rsid w:val="00AB5B07"/>
    <w:rsid w:val="00AB6CDF"/>
    <w:rsid w:val="00AB7BC4"/>
    <w:rsid w:val="00AC182D"/>
    <w:rsid w:val="00AC24A3"/>
    <w:rsid w:val="00AD08EC"/>
    <w:rsid w:val="00AD0D44"/>
    <w:rsid w:val="00AD3D0B"/>
    <w:rsid w:val="00AD552A"/>
    <w:rsid w:val="00AD6BB6"/>
    <w:rsid w:val="00AD71E8"/>
    <w:rsid w:val="00AE10CC"/>
    <w:rsid w:val="00AE5299"/>
    <w:rsid w:val="00AE5678"/>
    <w:rsid w:val="00AE7C66"/>
    <w:rsid w:val="00AF3E0A"/>
    <w:rsid w:val="00AF5984"/>
    <w:rsid w:val="00AF6322"/>
    <w:rsid w:val="00AF6F24"/>
    <w:rsid w:val="00B00FA0"/>
    <w:rsid w:val="00B02F7A"/>
    <w:rsid w:val="00B0778D"/>
    <w:rsid w:val="00B11071"/>
    <w:rsid w:val="00B13190"/>
    <w:rsid w:val="00B1387D"/>
    <w:rsid w:val="00B155AD"/>
    <w:rsid w:val="00B24A24"/>
    <w:rsid w:val="00B3255C"/>
    <w:rsid w:val="00B3304B"/>
    <w:rsid w:val="00B35A65"/>
    <w:rsid w:val="00B426DC"/>
    <w:rsid w:val="00B4294E"/>
    <w:rsid w:val="00B50369"/>
    <w:rsid w:val="00B5416C"/>
    <w:rsid w:val="00B55928"/>
    <w:rsid w:val="00B5786D"/>
    <w:rsid w:val="00B60004"/>
    <w:rsid w:val="00B60C8F"/>
    <w:rsid w:val="00B67FD2"/>
    <w:rsid w:val="00B71855"/>
    <w:rsid w:val="00B75B46"/>
    <w:rsid w:val="00B80853"/>
    <w:rsid w:val="00B81C5D"/>
    <w:rsid w:val="00B81CDE"/>
    <w:rsid w:val="00B842EB"/>
    <w:rsid w:val="00B862A8"/>
    <w:rsid w:val="00B96CCC"/>
    <w:rsid w:val="00B97DDD"/>
    <w:rsid w:val="00BA0977"/>
    <w:rsid w:val="00BA0E24"/>
    <w:rsid w:val="00BA3263"/>
    <w:rsid w:val="00BA47B9"/>
    <w:rsid w:val="00BA4B87"/>
    <w:rsid w:val="00BA57DA"/>
    <w:rsid w:val="00BB2273"/>
    <w:rsid w:val="00BC329C"/>
    <w:rsid w:val="00BC40E5"/>
    <w:rsid w:val="00BC4E63"/>
    <w:rsid w:val="00BC5074"/>
    <w:rsid w:val="00BC5183"/>
    <w:rsid w:val="00BC57B7"/>
    <w:rsid w:val="00BD28E7"/>
    <w:rsid w:val="00BD373B"/>
    <w:rsid w:val="00BD3A98"/>
    <w:rsid w:val="00BD5DA9"/>
    <w:rsid w:val="00BD7ADC"/>
    <w:rsid w:val="00BE1189"/>
    <w:rsid w:val="00BE2B11"/>
    <w:rsid w:val="00BE3868"/>
    <w:rsid w:val="00BE6372"/>
    <w:rsid w:val="00BF494E"/>
    <w:rsid w:val="00BF62F8"/>
    <w:rsid w:val="00C00B06"/>
    <w:rsid w:val="00C00E24"/>
    <w:rsid w:val="00C02321"/>
    <w:rsid w:val="00C11CED"/>
    <w:rsid w:val="00C13007"/>
    <w:rsid w:val="00C14E89"/>
    <w:rsid w:val="00C15954"/>
    <w:rsid w:val="00C15E04"/>
    <w:rsid w:val="00C16525"/>
    <w:rsid w:val="00C166DD"/>
    <w:rsid w:val="00C32D13"/>
    <w:rsid w:val="00C3438D"/>
    <w:rsid w:val="00C34CD1"/>
    <w:rsid w:val="00C355CF"/>
    <w:rsid w:val="00C37420"/>
    <w:rsid w:val="00C437CC"/>
    <w:rsid w:val="00C46BEF"/>
    <w:rsid w:val="00C53C3A"/>
    <w:rsid w:val="00C55D52"/>
    <w:rsid w:val="00C55F50"/>
    <w:rsid w:val="00C61228"/>
    <w:rsid w:val="00C643FD"/>
    <w:rsid w:val="00C71534"/>
    <w:rsid w:val="00C71EA7"/>
    <w:rsid w:val="00C74251"/>
    <w:rsid w:val="00C76ED7"/>
    <w:rsid w:val="00C81F88"/>
    <w:rsid w:val="00C96682"/>
    <w:rsid w:val="00C97B29"/>
    <w:rsid w:val="00CA110C"/>
    <w:rsid w:val="00CA5BDC"/>
    <w:rsid w:val="00CA658A"/>
    <w:rsid w:val="00CA7A27"/>
    <w:rsid w:val="00CB09CE"/>
    <w:rsid w:val="00CB3353"/>
    <w:rsid w:val="00CB781D"/>
    <w:rsid w:val="00CC0126"/>
    <w:rsid w:val="00CC22ED"/>
    <w:rsid w:val="00CC2D31"/>
    <w:rsid w:val="00CC4CA8"/>
    <w:rsid w:val="00CC5395"/>
    <w:rsid w:val="00CD0195"/>
    <w:rsid w:val="00CD0DE8"/>
    <w:rsid w:val="00CD102E"/>
    <w:rsid w:val="00CD320C"/>
    <w:rsid w:val="00CD52AE"/>
    <w:rsid w:val="00CE128F"/>
    <w:rsid w:val="00CF2443"/>
    <w:rsid w:val="00CF3142"/>
    <w:rsid w:val="00CF6789"/>
    <w:rsid w:val="00D0391D"/>
    <w:rsid w:val="00D03AFE"/>
    <w:rsid w:val="00D0435A"/>
    <w:rsid w:val="00D0527F"/>
    <w:rsid w:val="00D053F3"/>
    <w:rsid w:val="00D07C2E"/>
    <w:rsid w:val="00D11CD1"/>
    <w:rsid w:val="00D1267B"/>
    <w:rsid w:val="00D12C74"/>
    <w:rsid w:val="00D137C7"/>
    <w:rsid w:val="00D16DE0"/>
    <w:rsid w:val="00D20D1F"/>
    <w:rsid w:val="00D328D0"/>
    <w:rsid w:val="00D34492"/>
    <w:rsid w:val="00D43FC5"/>
    <w:rsid w:val="00D454A4"/>
    <w:rsid w:val="00D454B3"/>
    <w:rsid w:val="00D47517"/>
    <w:rsid w:val="00D51016"/>
    <w:rsid w:val="00D54B48"/>
    <w:rsid w:val="00D62B6B"/>
    <w:rsid w:val="00D6323C"/>
    <w:rsid w:val="00D65604"/>
    <w:rsid w:val="00D66B3D"/>
    <w:rsid w:val="00D66C47"/>
    <w:rsid w:val="00D67281"/>
    <w:rsid w:val="00D71E73"/>
    <w:rsid w:val="00D740C6"/>
    <w:rsid w:val="00D81794"/>
    <w:rsid w:val="00D838D8"/>
    <w:rsid w:val="00D86F39"/>
    <w:rsid w:val="00D92EB3"/>
    <w:rsid w:val="00D97FE2"/>
    <w:rsid w:val="00DA42FC"/>
    <w:rsid w:val="00DA5F27"/>
    <w:rsid w:val="00DA60F2"/>
    <w:rsid w:val="00DB2659"/>
    <w:rsid w:val="00DB31E7"/>
    <w:rsid w:val="00DC22BB"/>
    <w:rsid w:val="00DC53F3"/>
    <w:rsid w:val="00DC7421"/>
    <w:rsid w:val="00DD18FA"/>
    <w:rsid w:val="00DD68B4"/>
    <w:rsid w:val="00DD6ED8"/>
    <w:rsid w:val="00DE022B"/>
    <w:rsid w:val="00DE1E18"/>
    <w:rsid w:val="00DE2F85"/>
    <w:rsid w:val="00DE3B13"/>
    <w:rsid w:val="00DE415C"/>
    <w:rsid w:val="00DE68F6"/>
    <w:rsid w:val="00DE7467"/>
    <w:rsid w:val="00DE7F6A"/>
    <w:rsid w:val="00E00409"/>
    <w:rsid w:val="00E02A69"/>
    <w:rsid w:val="00E03EF3"/>
    <w:rsid w:val="00E07783"/>
    <w:rsid w:val="00E07C56"/>
    <w:rsid w:val="00E112E4"/>
    <w:rsid w:val="00E14974"/>
    <w:rsid w:val="00E17FA0"/>
    <w:rsid w:val="00E20399"/>
    <w:rsid w:val="00E2698F"/>
    <w:rsid w:val="00E32B90"/>
    <w:rsid w:val="00E40443"/>
    <w:rsid w:val="00E432A4"/>
    <w:rsid w:val="00E43403"/>
    <w:rsid w:val="00E47D20"/>
    <w:rsid w:val="00E56253"/>
    <w:rsid w:val="00E56983"/>
    <w:rsid w:val="00E577CB"/>
    <w:rsid w:val="00E57DBD"/>
    <w:rsid w:val="00E57FA2"/>
    <w:rsid w:val="00E6061D"/>
    <w:rsid w:val="00E639DD"/>
    <w:rsid w:val="00E65B15"/>
    <w:rsid w:val="00E7056E"/>
    <w:rsid w:val="00E723AC"/>
    <w:rsid w:val="00E731F2"/>
    <w:rsid w:val="00E76003"/>
    <w:rsid w:val="00E80329"/>
    <w:rsid w:val="00E811DD"/>
    <w:rsid w:val="00E8460D"/>
    <w:rsid w:val="00E852CF"/>
    <w:rsid w:val="00E863EF"/>
    <w:rsid w:val="00E873EA"/>
    <w:rsid w:val="00E8770C"/>
    <w:rsid w:val="00E87A4E"/>
    <w:rsid w:val="00E917FA"/>
    <w:rsid w:val="00E953FC"/>
    <w:rsid w:val="00EA011B"/>
    <w:rsid w:val="00EA0A0E"/>
    <w:rsid w:val="00EA1478"/>
    <w:rsid w:val="00EA38F5"/>
    <w:rsid w:val="00EA5A5D"/>
    <w:rsid w:val="00EB54E7"/>
    <w:rsid w:val="00EB57E5"/>
    <w:rsid w:val="00EB7393"/>
    <w:rsid w:val="00EC2A53"/>
    <w:rsid w:val="00EC3D1D"/>
    <w:rsid w:val="00EC4B27"/>
    <w:rsid w:val="00EC761C"/>
    <w:rsid w:val="00ED775D"/>
    <w:rsid w:val="00EE027D"/>
    <w:rsid w:val="00EE1CD5"/>
    <w:rsid w:val="00EE4569"/>
    <w:rsid w:val="00EE5353"/>
    <w:rsid w:val="00EF0256"/>
    <w:rsid w:val="00EF0EE4"/>
    <w:rsid w:val="00F015B7"/>
    <w:rsid w:val="00F02F42"/>
    <w:rsid w:val="00F033D0"/>
    <w:rsid w:val="00F0379E"/>
    <w:rsid w:val="00F045AE"/>
    <w:rsid w:val="00F04D44"/>
    <w:rsid w:val="00F10AFC"/>
    <w:rsid w:val="00F12CBD"/>
    <w:rsid w:val="00F135B8"/>
    <w:rsid w:val="00F135FC"/>
    <w:rsid w:val="00F138BD"/>
    <w:rsid w:val="00F141A2"/>
    <w:rsid w:val="00F20576"/>
    <w:rsid w:val="00F35109"/>
    <w:rsid w:val="00F36A95"/>
    <w:rsid w:val="00F40265"/>
    <w:rsid w:val="00F42E23"/>
    <w:rsid w:val="00F4567D"/>
    <w:rsid w:val="00F51529"/>
    <w:rsid w:val="00F61760"/>
    <w:rsid w:val="00F676CF"/>
    <w:rsid w:val="00F67BC8"/>
    <w:rsid w:val="00F7410F"/>
    <w:rsid w:val="00F74A10"/>
    <w:rsid w:val="00F74B43"/>
    <w:rsid w:val="00F754B3"/>
    <w:rsid w:val="00F76696"/>
    <w:rsid w:val="00F8072F"/>
    <w:rsid w:val="00F80774"/>
    <w:rsid w:val="00F81A4F"/>
    <w:rsid w:val="00F83892"/>
    <w:rsid w:val="00F84A04"/>
    <w:rsid w:val="00F852FC"/>
    <w:rsid w:val="00F85841"/>
    <w:rsid w:val="00F91E17"/>
    <w:rsid w:val="00F93B70"/>
    <w:rsid w:val="00F942FA"/>
    <w:rsid w:val="00F94904"/>
    <w:rsid w:val="00F955E9"/>
    <w:rsid w:val="00FA0BFD"/>
    <w:rsid w:val="00FA1115"/>
    <w:rsid w:val="00FA1258"/>
    <w:rsid w:val="00FA46DB"/>
    <w:rsid w:val="00FB085F"/>
    <w:rsid w:val="00FB2FC5"/>
    <w:rsid w:val="00FB3964"/>
    <w:rsid w:val="00FC05E0"/>
    <w:rsid w:val="00FC2D3B"/>
    <w:rsid w:val="00FC4178"/>
    <w:rsid w:val="00FC7044"/>
    <w:rsid w:val="00FD0C18"/>
    <w:rsid w:val="00FD79C7"/>
    <w:rsid w:val="00FE1826"/>
    <w:rsid w:val="00FE22B9"/>
    <w:rsid w:val="00FF0B37"/>
    <w:rsid w:val="00FF1D41"/>
    <w:rsid w:val="00FF6996"/>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fillcolor="#a7a9ac" stroke="f">
      <v:fill color="#a7a9ac"/>
      <v:stroke on="f"/>
      <o:colormru v:ext="edit" colors="#00599c,#8f8f8c,#0065a4,#a7a9ac"/>
    </o:shapedefaults>
    <o:shapelayout v:ext="edit">
      <o:idmap v:ext="edit" data="1"/>
    </o:shapelayout>
  </w:shapeDefaults>
  <w:decimalSymbol w:val="."/>
  <w:listSeparator w:val=","/>
  <w15:docId w15:val="{7A04365D-7CC4-4DF8-B1B1-C85899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A47B9"/>
    <w:pPr>
      <w:spacing w:after="40"/>
    </w:pPr>
    <w:rPr>
      <w:rFonts w:ascii="Arial" w:hAnsi="Arial"/>
      <w:szCs w:val="24"/>
      <w:lang w:eastAsia="en-US"/>
    </w:rPr>
  </w:style>
  <w:style w:type="paragraph" w:styleId="Heading1">
    <w:name w:val="heading 1"/>
    <w:aliases w:val="H1"/>
    <w:basedOn w:val="Body"/>
    <w:next w:val="Body"/>
    <w:qFormat/>
    <w:rsid w:val="00BA47B9"/>
    <w:pPr>
      <w:keepNext/>
      <w:numPr>
        <w:numId w:val="2"/>
      </w:numPr>
      <w:spacing w:before="240" w:after="240" w:line="240" w:lineRule="auto"/>
      <w:outlineLvl w:val="0"/>
    </w:pPr>
    <w:rPr>
      <w:rFonts w:ascii="Arial Black" w:hAnsi="Arial Black" w:cs="Arial"/>
      <w:bCs/>
      <w:kern w:val="32"/>
      <w:sz w:val="40"/>
      <w:szCs w:val="32"/>
    </w:rPr>
  </w:style>
  <w:style w:type="paragraph" w:styleId="Heading2">
    <w:name w:val="heading 2"/>
    <w:aliases w:val="H2"/>
    <w:basedOn w:val="Body"/>
    <w:next w:val="Body"/>
    <w:qFormat/>
    <w:rsid w:val="00BA47B9"/>
    <w:pPr>
      <w:keepNext/>
      <w:numPr>
        <w:ilvl w:val="1"/>
        <w:numId w:val="2"/>
      </w:numPr>
      <w:spacing w:before="240"/>
      <w:outlineLvl w:val="1"/>
    </w:pPr>
    <w:rPr>
      <w:rFonts w:ascii="Arial Black" w:hAnsi="Arial Black" w:cs="Arial"/>
      <w:bCs/>
      <w:iCs/>
      <w:color w:val="0065A4"/>
      <w:sz w:val="23"/>
      <w:szCs w:val="28"/>
    </w:rPr>
  </w:style>
  <w:style w:type="paragraph" w:styleId="Heading3">
    <w:name w:val="heading 3"/>
    <w:aliases w:val="H3"/>
    <w:basedOn w:val="Body"/>
    <w:next w:val="Body"/>
    <w:qFormat/>
    <w:rsid w:val="00BA47B9"/>
    <w:pPr>
      <w:keepNext/>
      <w:numPr>
        <w:ilvl w:val="2"/>
        <w:numId w:val="2"/>
      </w:numPr>
      <w:spacing w:before="240"/>
      <w:outlineLvl w:val="2"/>
    </w:pPr>
    <w:rPr>
      <w:rFonts w:ascii="Arial Black" w:hAnsi="Arial Black" w:cs="Arial"/>
      <w:bCs/>
      <w:szCs w:val="26"/>
    </w:rPr>
  </w:style>
  <w:style w:type="paragraph" w:styleId="Heading4">
    <w:name w:val="heading 4"/>
    <w:basedOn w:val="Normal"/>
    <w:next w:val="Normal"/>
    <w:qFormat/>
    <w:rsid w:val="00BA47B9"/>
    <w:pPr>
      <w:keepNext/>
      <w:spacing w:before="240" w:after="60"/>
      <w:ind w:left="567"/>
      <w:outlineLvl w:val="3"/>
    </w:pPr>
    <w:rPr>
      <w:b/>
      <w:bCs/>
      <w:i/>
      <w:color w:val="0065A4"/>
      <w:szCs w:val="28"/>
    </w:rPr>
  </w:style>
  <w:style w:type="paragraph" w:styleId="Heading5">
    <w:name w:val="heading 5"/>
    <w:basedOn w:val="Normal"/>
    <w:next w:val="Normal"/>
    <w:semiHidden/>
    <w:qFormat/>
    <w:rsid w:val="00BA47B9"/>
    <w:pPr>
      <w:spacing w:before="240" w:after="60"/>
      <w:outlineLvl w:val="4"/>
    </w:pPr>
    <w:rPr>
      <w:b/>
      <w:bCs/>
      <w:i/>
      <w:iCs/>
      <w:sz w:val="26"/>
      <w:szCs w:val="26"/>
    </w:rPr>
  </w:style>
  <w:style w:type="paragraph" w:styleId="Heading6">
    <w:name w:val="heading 6"/>
    <w:basedOn w:val="Normal"/>
    <w:next w:val="Normal"/>
    <w:semiHidden/>
    <w:qFormat/>
    <w:rsid w:val="00BA47B9"/>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A47B9"/>
    <w:pPr>
      <w:spacing w:before="240" w:after="60"/>
      <w:outlineLvl w:val="6"/>
    </w:pPr>
    <w:rPr>
      <w:rFonts w:ascii="Times New Roman" w:hAnsi="Times New Roman"/>
      <w:sz w:val="24"/>
    </w:rPr>
  </w:style>
  <w:style w:type="paragraph" w:styleId="Heading8">
    <w:name w:val="heading 8"/>
    <w:basedOn w:val="Normal"/>
    <w:next w:val="Normal"/>
    <w:semiHidden/>
    <w:qFormat/>
    <w:rsid w:val="00BA47B9"/>
    <w:pPr>
      <w:spacing w:before="240" w:after="60"/>
      <w:outlineLvl w:val="7"/>
    </w:pPr>
    <w:rPr>
      <w:rFonts w:ascii="Times New Roman" w:hAnsi="Times New Roman"/>
      <w:i/>
      <w:iCs/>
      <w:sz w:val="24"/>
    </w:rPr>
  </w:style>
  <w:style w:type="paragraph" w:styleId="Heading9">
    <w:name w:val="heading 9"/>
    <w:basedOn w:val="Normal"/>
    <w:next w:val="Normal"/>
    <w:semiHidden/>
    <w:qFormat/>
    <w:rsid w:val="00BA47B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47B9"/>
    <w:rPr>
      <w:rFonts w:ascii="Tahoma" w:hAnsi="Tahoma" w:cs="Tahoma"/>
      <w:sz w:val="16"/>
      <w:szCs w:val="16"/>
    </w:rPr>
  </w:style>
  <w:style w:type="paragraph" w:styleId="Header">
    <w:name w:val="header"/>
    <w:basedOn w:val="Normal"/>
    <w:semiHidden/>
    <w:rsid w:val="00BA47B9"/>
    <w:pPr>
      <w:tabs>
        <w:tab w:val="center" w:pos="4153"/>
        <w:tab w:val="right" w:pos="8306"/>
      </w:tabs>
      <w:spacing w:before="240"/>
    </w:pPr>
  </w:style>
  <w:style w:type="paragraph" w:styleId="Footer">
    <w:name w:val="footer"/>
    <w:basedOn w:val="Body"/>
    <w:semiHidden/>
    <w:rsid w:val="00BA47B9"/>
    <w:rPr>
      <w:sz w:val="16"/>
    </w:rPr>
  </w:style>
  <w:style w:type="paragraph" w:styleId="DocumentMap">
    <w:name w:val="Document Map"/>
    <w:basedOn w:val="Normal"/>
    <w:semiHidden/>
    <w:rsid w:val="00BA47B9"/>
    <w:pPr>
      <w:shd w:val="clear" w:color="auto" w:fill="000080"/>
    </w:pPr>
    <w:rPr>
      <w:rFonts w:ascii="Tahoma" w:hAnsi="Tahoma" w:cs="Tahoma"/>
      <w:szCs w:val="20"/>
    </w:rPr>
  </w:style>
  <w:style w:type="paragraph" w:customStyle="1" w:styleId="RestartNumbering">
    <w:name w:val="Restart Numbering"/>
    <w:basedOn w:val="Normal"/>
    <w:next w:val="Normal"/>
    <w:semiHidden/>
    <w:rsid w:val="00BA47B9"/>
    <w:pPr>
      <w:numPr>
        <w:numId w:val="22"/>
      </w:numPr>
    </w:pPr>
    <w:rPr>
      <w:sz w:val="2"/>
    </w:rPr>
  </w:style>
  <w:style w:type="paragraph" w:customStyle="1" w:styleId="BulletNumber">
    <w:name w:val="Bullet Number"/>
    <w:aliases w:val="bn"/>
    <w:basedOn w:val="Body"/>
    <w:rsid w:val="00BA47B9"/>
    <w:pPr>
      <w:numPr>
        <w:ilvl w:val="1"/>
        <w:numId w:val="22"/>
      </w:numPr>
    </w:pPr>
  </w:style>
  <w:style w:type="paragraph" w:customStyle="1" w:styleId="NumberedLev2">
    <w:name w:val="Numbered Lev2"/>
    <w:basedOn w:val="Body"/>
    <w:semiHidden/>
    <w:rsid w:val="00BA47B9"/>
    <w:pPr>
      <w:numPr>
        <w:ilvl w:val="2"/>
        <w:numId w:val="21"/>
      </w:numPr>
    </w:pPr>
  </w:style>
  <w:style w:type="paragraph" w:customStyle="1" w:styleId="NumberedLev3">
    <w:name w:val="Numbered Lev3"/>
    <w:basedOn w:val="Body"/>
    <w:semiHidden/>
    <w:rsid w:val="00BA47B9"/>
    <w:pPr>
      <w:numPr>
        <w:ilvl w:val="3"/>
        <w:numId w:val="21"/>
      </w:numPr>
    </w:pPr>
  </w:style>
  <w:style w:type="paragraph" w:customStyle="1" w:styleId="NumberedLev4">
    <w:name w:val="Numbered Lev4"/>
    <w:basedOn w:val="Body"/>
    <w:semiHidden/>
    <w:rsid w:val="00BA47B9"/>
    <w:pPr>
      <w:numPr>
        <w:ilvl w:val="4"/>
        <w:numId w:val="21"/>
      </w:numPr>
    </w:pPr>
  </w:style>
  <w:style w:type="paragraph" w:customStyle="1" w:styleId="NumberedLev5">
    <w:name w:val="Numbered Lev5"/>
    <w:basedOn w:val="Body"/>
    <w:semiHidden/>
    <w:rsid w:val="00BA47B9"/>
    <w:pPr>
      <w:numPr>
        <w:ilvl w:val="5"/>
        <w:numId w:val="21"/>
      </w:numPr>
    </w:pPr>
  </w:style>
  <w:style w:type="paragraph" w:customStyle="1" w:styleId="Bullet">
    <w:name w:val="Bullet"/>
    <w:aliases w:val="b1,Bullet for no #'s,body Char Char,body Char Char Char5,body Char Char Char Char,body Char Char Char Char Char Char Char Char,body Char Char Char Char Char Char Char,body Char Char Char Char Char,MA Bullet 1,Alt.,bu1,body1,bod,Body11"/>
    <w:basedOn w:val="Body"/>
    <w:rsid w:val="00BA47B9"/>
    <w:pPr>
      <w:numPr>
        <w:numId w:val="9"/>
      </w:numPr>
      <w:tabs>
        <w:tab w:val="clear" w:pos="1908"/>
        <w:tab w:val="left" w:pos="1134"/>
      </w:tabs>
      <w:ind w:left="1134" w:hanging="567"/>
    </w:pPr>
  </w:style>
  <w:style w:type="paragraph" w:customStyle="1" w:styleId="Cover-Client">
    <w:name w:val="Cover-Client"/>
    <w:next w:val="Project"/>
    <w:rsid w:val="00BA47B9"/>
    <w:pPr>
      <w:spacing w:after="120" w:line="280" w:lineRule="atLeast"/>
      <w:jc w:val="right"/>
    </w:pPr>
    <w:rPr>
      <w:rFonts w:ascii="Arial Black" w:hAnsi="Arial Black"/>
      <w:bCs/>
      <w:color w:val="0065A4"/>
      <w:sz w:val="40"/>
      <w:lang w:eastAsia="en-US"/>
    </w:rPr>
  </w:style>
  <w:style w:type="paragraph" w:customStyle="1" w:styleId="Project">
    <w:name w:val="Project"/>
    <w:next w:val="Subject"/>
    <w:rsid w:val="00BA47B9"/>
    <w:pPr>
      <w:spacing w:before="120" w:after="120" w:line="280" w:lineRule="atLeast"/>
      <w:jc w:val="right"/>
    </w:pPr>
    <w:rPr>
      <w:rFonts w:ascii="Arial" w:hAnsi="Arial" w:cs="Arial"/>
      <w:sz w:val="36"/>
      <w:lang w:eastAsia="en-US"/>
    </w:rPr>
  </w:style>
  <w:style w:type="paragraph" w:customStyle="1" w:styleId="Subject">
    <w:name w:val="Subject"/>
    <w:basedOn w:val="Project"/>
    <w:next w:val="Normal"/>
    <w:rsid w:val="00BA47B9"/>
    <w:pPr>
      <w:framePr w:hSpace="181" w:wrap="around" w:hAnchor="page" w:xAlign="center" w:yAlign="bottom"/>
    </w:pPr>
  </w:style>
  <w:style w:type="paragraph" w:customStyle="1" w:styleId="CoverDate">
    <w:name w:val="CoverDate"/>
    <w:basedOn w:val="Normal"/>
    <w:rsid w:val="00BA47B9"/>
    <w:pPr>
      <w:framePr w:hSpace="181" w:wrap="around" w:vAnchor="page" w:hAnchor="page" w:xAlign="center" w:y="9141"/>
      <w:jc w:val="right"/>
    </w:pPr>
    <w:rPr>
      <w:noProof/>
    </w:rPr>
  </w:style>
  <w:style w:type="paragraph" w:customStyle="1" w:styleId="Heading1-NoTOC">
    <w:name w:val="Heading1-NoTOC"/>
    <w:basedOn w:val="Normal"/>
    <w:next w:val="Body"/>
    <w:rsid w:val="00BA47B9"/>
    <w:pPr>
      <w:spacing w:before="240" w:after="240"/>
      <w:ind w:left="-567"/>
    </w:pPr>
    <w:rPr>
      <w:rFonts w:ascii="Arial Black" w:hAnsi="Arial Black"/>
      <w:sz w:val="40"/>
    </w:rPr>
  </w:style>
  <w:style w:type="paragraph" w:customStyle="1" w:styleId="IntroLetter">
    <w:name w:val="IntroLetter"/>
    <w:basedOn w:val="Normal"/>
    <w:semiHidden/>
    <w:rsid w:val="00BA47B9"/>
    <w:pPr>
      <w:ind w:left="2268" w:right="5103"/>
    </w:pPr>
  </w:style>
  <w:style w:type="paragraph" w:styleId="TOC1">
    <w:name w:val="toc 1"/>
    <w:basedOn w:val="Body"/>
    <w:next w:val="Body"/>
    <w:autoRedefine/>
    <w:uiPriority w:val="39"/>
    <w:rsid w:val="00BA47B9"/>
    <w:pPr>
      <w:tabs>
        <w:tab w:val="right" w:leader="dot" w:pos="9071"/>
      </w:tabs>
      <w:spacing w:before="120"/>
      <w:ind w:right="851" w:hanging="567"/>
    </w:pPr>
    <w:rPr>
      <w:bCs/>
      <w:szCs w:val="20"/>
    </w:rPr>
  </w:style>
  <w:style w:type="character" w:styleId="PageNumber">
    <w:name w:val="page number"/>
    <w:basedOn w:val="DefaultParagraphFont"/>
    <w:semiHidden/>
    <w:rsid w:val="00BA47B9"/>
  </w:style>
  <w:style w:type="table" w:styleId="TableGrid">
    <w:name w:val="Table Grid"/>
    <w:basedOn w:val="Table-Style3"/>
    <w:rsid w:val="00BA47B9"/>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customStyle="1" w:styleId="Pull-Quote-Style1">
    <w:name w:val="Pull-Quote-Style1"/>
    <w:next w:val="Pull-Quote-Ref-Style1"/>
    <w:semiHidden/>
    <w:rsid w:val="00BA47B9"/>
    <w:pPr>
      <w:keepNext/>
      <w:keepLines/>
      <w:spacing w:before="240" w:after="240"/>
    </w:pPr>
    <w:rPr>
      <w:rFonts w:ascii="Arial" w:hAnsi="Arial"/>
      <w:b/>
      <w:color w:val="FFFFFF"/>
      <w:sz w:val="40"/>
      <w:szCs w:val="24"/>
      <w:lang w:val="en-US" w:eastAsia="en-US"/>
    </w:rPr>
  </w:style>
  <w:style w:type="paragraph" w:customStyle="1" w:styleId="Pull-Quote-Ref-Style1">
    <w:name w:val="Pull-Quote-Ref-Style1"/>
    <w:next w:val="Normal"/>
    <w:semiHidden/>
    <w:rsid w:val="00BA47B9"/>
    <w:pPr>
      <w:spacing w:after="240"/>
      <w:jc w:val="right"/>
    </w:pPr>
    <w:rPr>
      <w:rFonts w:ascii="Arial" w:hAnsi="Arial"/>
      <w:color w:val="FFFFFF"/>
      <w:szCs w:val="24"/>
      <w:lang w:val="en-US" w:eastAsia="en-US"/>
    </w:rPr>
  </w:style>
  <w:style w:type="paragraph" w:customStyle="1" w:styleId="Pull-Quote-Style2">
    <w:name w:val="Pull-Quote-Style2"/>
    <w:basedOn w:val="Pull-Quote-Style1"/>
    <w:semiHidden/>
    <w:rsid w:val="00BA47B9"/>
    <w:rPr>
      <w:rFonts w:ascii="Arial Bold" w:hAnsi="Arial Bold"/>
      <w:b w:val="0"/>
      <w:color w:val="00599C"/>
    </w:rPr>
  </w:style>
  <w:style w:type="paragraph" w:customStyle="1" w:styleId="Pull-Quote-Ref-Style2">
    <w:name w:val="Pull-Quote-Ref-Style2"/>
    <w:basedOn w:val="Pull-Quote-Ref-Style1"/>
    <w:semiHidden/>
    <w:rsid w:val="00BA47B9"/>
    <w:rPr>
      <w:color w:val="00599C"/>
    </w:rPr>
  </w:style>
  <w:style w:type="table" w:customStyle="1" w:styleId="Table-Style3">
    <w:name w:val="Table-Style3"/>
    <w:basedOn w:val="TableNormal"/>
    <w:rsid w:val="00BA47B9"/>
    <w:rPr>
      <w:rFonts w:ascii="Arial" w:hAnsi="Arial"/>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599C"/>
      </w:tcPr>
    </w:tblStylePr>
  </w:style>
  <w:style w:type="paragraph" w:customStyle="1" w:styleId="CaseStudy-Head">
    <w:name w:val="CaseStudy-Head"/>
    <w:next w:val="CaseStudy-Text"/>
    <w:semiHidden/>
    <w:rsid w:val="00BA47B9"/>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BA47B9"/>
    <w:rPr>
      <w:color w:val="FFFFFF"/>
      <w:sz w:val="24"/>
    </w:rPr>
  </w:style>
  <w:style w:type="paragraph" w:styleId="TOC2">
    <w:name w:val="toc 2"/>
    <w:basedOn w:val="Normal"/>
    <w:next w:val="Normal"/>
    <w:autoRedefine/>
    <w:uiPriority w:val="39"/>
    <w:rsid w:val="00BA47B9"/>
    <w:pPr>
      <w:tabs>
        <w:tab w:val="right" w:leader="dot" w:pos="9071"/>
      </w:tabs>
      <w:spacing w:before="120" w:after="120"/>
      <w:ind w:left="1134" w:right="851" w:hanging="567"/>
    </w:pPr>
    <w:rPr>
      <w:szCs w:val="20"/>
    </w:rPr>
  </w:style>
  <w:style w:type="table" w:customStyle="1" w:styleId="Table-Style2">
    <w:name w:val="Table-Style2"/>
    <w:basedOn w:val="TableNormal"/>
    <w:rsid w:val="00BA47B9"/>
    <w:rPr>
      <w:rFonts w:ascii="Arial" w:hAnsi="Arial"/>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3">
    <w:name w:val="toc 3"/>
    <w:basedOn w:val="Normal"/>
    <w:next w:val="Normal"/>
    <w:autoRedefine/>
    <w:semiHidden/>
    <w:rsid w:val="00BA47B9"/>
    <w:pPr>
      <w:spacing w:after="0"/>
      <w:ind w:left="400"/>
    </w:pPr>
    <w:rPr>
      <w:rFonts w:ascii="Times New Roman" w:hAnsi="Times New Roman"/>
      <w:i/>
      <w:iCs/>
      <w:szCs w:val="20"/>
    </w:rPr>
  </w:style>
  <w:style w:type="table" w:customStyle="1" w:styleId="Table-Project">
    <w:name w:val="Table-Project"/>
    <w:basedOn w:val="TableNormal"/>
    <w:semiHidden/>
    <w:rsid w:val="00BA47B9"/>
    <w:pPr>
      <w:jc w:val="center"/>
    </w:pPr>
    <w:rPr>
      <w:rFonts w:ascii="Arial" w:hAnsi="Arial"/>
      <w: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paragraph" w:customStyle="1" w:styleId="Heading-CV-Name">
    <w:name w:val="Heading-CV-Name"/>
    <w:basedOn w:val="Normal"/>
    <w:semiHidden/>
    <w:rsid w:val="00BA47B9"/>
    <w:rPr>
      <w:sz w:val="28"/>
    </w:rPr>
  </w:style>
  <w:style w:type="table" w:customStyle="1" w:styleId="Table-CV">
    <w:name w:val="Table-CV"/>
    <w:basedOn w:val="TableNormal"/>
    <w:semiHidden/>
    <w:rsid w:val="00BA47B9"/>
    <w:rPr>
      <w:rFonts w:ascii="Arial" w:hAnsi="Arial"/>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paragraph" w:customStyle="1" w:styleId="CV-Heading-Color">
    <w:name w:val="CV-Heading-Color"/>
    <w:basedOn w:val="Normal"/>
    <w:next w:val="Body"/>
    <w:link w:val="CV-Heading-ColorChar"/>
    <w:semiHidden/>
    <w:rsid w:val="00BA47B9"/>
    <w:pPr>
      <w:spacing w:before="60" w:after="60"/>
    </w:pPr>
    <w:rPr>
      <w:b/>
      <w:sz w:val="24"/>
    </w:rPr>
  </w:style>
  <w:style w:type="character" w:styleId="Hyperlink">
    <w:name w:val="Hyperlink"/>
    <w:semiHidden/>
    <w:rsid w:val="00BA47B9"/>
    <w:rPr>
      <w:color w:val="0000FF"/>
      <w:u w:val="single"/>
    </w:rPr>
  </w:style>
  <w:style w:type="paragraph" w:styleId="TOC4">
    <w:name w:val="toc 4"/>
    <w:basedOn w:val="Normal"/>
    <w:next w:val="Normal"/>
    <w:autoRedefine/>
    <w:semiHidden/>
    <w:rsid w:val="00BA47B9"/>
    <w:pPr>
      <w:spacing w:after="0"/>
      <w:ind w:left="600"/>
    </w:pPr>
    <w:rPr>
      <w:rFonts w:ascii="Times New Roman" w:hAnsi="Times New Roman"/>
      <w:sz w:val="18"/>
      <w:szCs w:val="18"/>
    </w:rPr>
  </w:style>
  <w:style w:type="paragraph" w:customStyle="1" w:styleId="CV-LineSpacer">
    <w:name w:val="CV-LineSpacer"/>
    <w:basedOn w:val="Normal"/>
    <w:semiHidden/>
    <w:rsid w:val="00BA47B9"/>
    <w:pPr>
      <w:pBdr>
        <w:top w:val="single" w:sz="8" w:space="1" w:color="auto"/>
      </w:pBdr>
    </w:pPr>
    <w:rPr>
      <w:sz w:val="16"/>
    </w:rPr>
  </w:style>
  <w:style w:type="paragraph" w:styleId="TOC5">
    <w:name w:val="toc 5"/>
    <w:basedOn w:val="TOC1"/>
    <w:next w:val="Body"/>
    <w:autoRedefine/>
    <w:semiHidden/>
    <w:rsid w:val="00BA47B9"/>
    <w:pPr>
      <w:tabs>
        <w:tab w:val="left" w:pos="1134"/>
      </w:tabs>
      <w:spacing w:after="0"/>
      <w:ind w:left="800"/>
    </w:pPr>
    <w:rPr>
      <w:szCs w:val="18"/>
    </w:rPr>
  </w:style>
  <w:style w:type="paragraph" w:customStyle="1" w:styleId="Bold-ItalicHeading">
    <w:name w:val="Bold-Italic_Heading"/>
    <w:basedOn w:val="Body"/>
    <w:next w:val="Body"/>
    <w:rsid w:val="00BA47B9"/>
    <w:pPr>
      <w:keepNext/>
      <w:spacing w:before="200"/>
    </w:pPr>
    <w:rPr>
      <w:b/>
      <w:i/>
      <w:color w:val="0065A4"/>
    </w:rPr>
  </w:style>
  <w:style w:type="paragraph" w:customStyle="1" w:styleId="StyleCV-Heading-ColorCustomColorRGB0101164">
    <w:name w:val="Style CV-Heading-Color + Custom Color(RGB(0101164))"/>
    <w:basedOn w:val="CV-Heading-Color"/>
    <w:next w:val="Body"/>
    <w:link w:val="StyleCV-Heading-ColorCustomColorRGB0101164Char"/>
    <w:semiHidden/>
    <w:rsid w:val="00BA47B9"/>
    <w:rPr>
      <w:bCs/>
      <w:color w:val="0065A4"/>
    </w:rPr>
  </w:style>
  <w:style w:type="character" w:customStyle="1" w:styleId="CV-Heading-ColorChar">
    <w:name w:val="CV-Heading-Color Char"/>
    <w:link w:val="CV-Heading-Color"/>
    <w:semiHidden/>
    <w:rsid w:val="00BA47B9"/>
    <w:rPr>
      <w:rFonts w:ascii="Arial" w:hAnsi="Arial"/>
      <w:b/>
      <w:sz w:val="24"/>
      <w:szCs w:val="24"/>
      <w:lang w:eastAsia="en-US"/>
    </w:rPr>
  </w:style>
  <w:style w:type="character" w:customStyle="1" w:styleId="StyleCV-Heading-ColorCustomColorRGB0101164Char">
    <w:name w:val="Style CV-Heading-Color + Custom Color(RGB(0101164)) Char"/>
    <w:link w:val="StyleCV-Heading-ColorCustomColorRGB0101164"/>
    <w:semiHidden/>
    <w:rsid w:val="00BA47B9"/>
    <w:rPr>
      <w:rFonts w:ascii="Arial" w:hAnsi="Arial"/>
      <w:b/>
      <w:bCs/>
      <w:color w:val="0065A4"/>
      <w:sz w:val="24"/>
      <w:szCs w:val="24"/>
      <w:lang w:eastAsia="en-US"/>
    </w:rPr>
  </w:style>
  <w:style w:type="paragraph" w:customStyle="1" w:styleId="Status">
    <w:name w:val="Status"/>
    <w:basedOn w:val="Normal"/>
    <w:semiHidden/>
    <w:rsid w:val="00BA47B9"/>
    <w:pPr>
      <w:spacing w:before="60" w:after="120" w:line="280" w:lineRule="atLeast"/>
    </w:pPr>
    <w:rPr>
      <w:szCs w:val="20"/>
    </w:rPr>
  </w:style>
  <w:style w:type="paragraph" w:styleId="Caption">
    <w:name w:val="caption"/>
    <w:basedOn w:val="Body"/>
    <w:next w:val="Body"/>
    <w:qFormat/>
    <w:rsid w:val="00BA47B9"/>
    <w:pPr>
      <w:keepNext/>
      <w:keepLines/>
      <w:tabs>
        <w:tab w:val="left" w:pos="1134"/>
      </w:tabs>
      <w:ind w:left="1701" w:hanging="1134"/>
    </w:pPr>
    <w:rPr>
      <w:rFonts w:ascii="Arial Black" w:hAnsi="Arial Black"/>
      <w:bCs/>
      <w:color w:val="00599C"/>
      <w:szCs w:val="20"/>
    </w:rPr>
  </w:style>
  <w:style w:type="table" w:styleId="TableProfessional">
    <w:name w:val="Table Professional"/>
    <w:basedOn w:val="TableNormal"/>
    <w:semiHidden/>
    <w:rsid w:val="00BA47B9"/>
    <w:rPr>
      <w:rFonts w:ascii="Arial" w:hAnsi="Arial"/>
    </w:rPr>
    <w:tblPr/>
    <w:tcPr>
      <w:shd w:val="clear" w:color="auto" w:fill="auto"/>
    </w:tcPr>
    <w:tblStylePr w:type="firstRow">
      <w:rPr>
        <w:rFonts w:ascii="Arial" w:hAnsi="Arial"/>
        <w:b w:val="0"/>
        <w:bCs/>
        <w:color w:val="auto"/>
        <w:sz w:val="20"/>
      </w:rPr>
    </w:tblStylePr>
  </w:style>
  <w:style w:type="paragraph" w:customStyle="1" w:styleId="Body-Italic-Color">
    <w:name w:val="Body - Italic - Color"/>
    <w:basedOn w:val="Body"/>
    <w:rsid w:val="00BA47B9"/>
    <w:rPr>
      <w:i/>
      <w:color w:val="0065A4"/>
    </w:rPr>
  </w:style>
  <w:style w:type="paragraph" w:customStyle="1" w:styleId="Appendix">
    <w:name w:val="Appendix"/>
    <w:next w:val="Body"/>
    <w:rsid w:val="00BA47B9"/>
    <w:pPr>
      <w:numPr>
        <w:numId w:val="30"/>
      </w:numPr>
      <w:spacing w:before="240" w:after="240"/>
    </w:pPr>
    <w:rPr>
      <w:rFonts w:ascii="Arial" w:hAnsi="Arial" w:cs="Arial"/>
      <w:bCs/>
      <w:kern w:val="32"/>
      <w:sz w:val="36"/>
      <w:szCs w:val="32"/>
      <w:lang w:eastAsia="en-US"/>
    </w:rPr>
  </w:style>
  <w:style w:type="table" w:customStyle="1" w:styleId="Table-Style1">
    <w:name w:val="Table-Style1"/>
    <w:basedOn w:val="TableNormal"/>
    <w:rsid w:val="00BA47B9"/>
    <w:rPr>
      <w:rFonts w:ascii="Arial" w:hAnsi="Arial"/>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paragraph" w:styleId="TOC6">
    <w:name w:val="toc 6"/>
    <w:basedOn w:val="Normal"/>
    <w:next w:val="Normal"/>
    <w:autoRedefine/>
    <w:semiHidden/>
    <w:rsid w:val="00BA47B9"/>
    <w:pPr>
      <w:spacing w:after="0"/>
      <w:ind w:left="1000"/>
    </w:pPr>
    <w:rPr>
      <w:rFonts w:ascii="Times New Roman" w:hAnsi="Times New Roman"/>
      <w:sz w:val="18"/>
      <w:szCs w:val="18"/>
    </w:rPr>
  </w:style>
  <w:style w:type="paragraph" w:styleId="TOC7">
    <w:name w:val="toc 7"/>
    <w:basedOn w:val="Normal"/>
    <w:next w:val="Normal"/>
    <w:autoRedefine/>
    <w:semiHidden/>
    <w:rsid w:val="00BA47B9"/>
    <w:pPr>
      <w:spacing w:after="0"/>
      <w:ind w:left="1200"/>
    </w:pPr>
    <w:rPr>
      <w:rFonts w:ascii="Times New Roman" w:hAnsi="Times New Roman"/>
      <w:sz w:val="18"/>
      <w:szCs w:val="18"/>
    </w:rPr>
  </w:style>
  <w:style w:type="paragraph" w:styleId="TOC8">
    <w:name w:val="toc 8"/>
    <w:basedOn w:val="Normal"/>
    <w:next w:val="Normal"/>
    <w:autoRedefine/>
    <w:semiHidden/>
    <w:rsid w:val="00BA47B9"/>
    <w:pPr>
      <w:spacing w:after="0"/>
      <w:ind w:left="1400"/>
    </w:pPr>
    <w:rPr>
      <w:rFonts w:ascii="Times New Roman" w:hAnsi="Times New Roman"/>
      <w:sz w:val="18"/>
      <w:szCs w:val="18"/>
    </w:rPr>
  </w:style>
  <w:style w:type="paragraph" w:styleId="TOC9">
    <w:name w:val="toc 9"/>
    <w:basedOn w:val="Normal"/>
    <w:next w:val="Normal"/>
    <w:autoRedefine/>
    <w:semiHidden/>
    <w:rsid w:val="00BA47B9"/>
    <w:pPr>
      <w:spacing w:after="0"/>
      <w:ind w:left="1600"/>
    </w:pPr>
    <w:rPr>
      <w:rFonts w:ascii="Times New Roman" w:hAnsi="Times New Roman"/>
      <w:sz w:val="18"/>
      <w:szCs w:val="18"/>
    </w:rPr>
  </w:style>
  <w:style w:type="paragraph" w:styleId="TableofFigures">
    <w:name w:val="table of figures"/>
    <w:basedOn w:val="TOC1"/>
    <w:next w:val="Body"/>
    <w:uiPriority w:val="99"/>
    <w:rsid w:val="00BA47B9"/>
    <w:pPr>
      <w:tabs>
        <w:tab w:val="left" w:pos="1134"/>
      </w:tabs>
      <w:ind w:left="1134" w:hanging="1134"/>
    </w:pPr>
  </w:style>
  <w:style w:type="paragraph" w:customStyle="1" w:styleId="KeyPeople">
    <w:name w:val="Key People"/>
    <w:basedOn w:val="Heading1-NoTOC"/>
    <w:next w:val="Body"/>
    <w:semiHidden/>
    <w:rsid w:val="00BA47B9"/>
    <w:pPr>
      <w:spacing w:after="120"/>
    </w:pPr>
    <w:rPr>
      <w:lang w:val="en-US"/>
    </w:rPr>
  </w:style>
  <w:style w:type="paragraph" w:customStyle="1" w:styleId="Body">
    <w:name w:val="Body"/>
    <w:aliases w:val="b,B,bullet,bu,body,b Char Char Char,b Char Char Char Char Char Char,b Char Char,Body Char1 Char1,b Char Char Char Char Char Char Char Char,Body1,b Char Char Char Char Char,Text,Block,First,Indent,Macro,Plain,bold,B1,bullet1,Bullet 1,bullet 1,A,ba"/>
    <w:basedOn w:val="Normal"/>
    <w:link w:val="BodyChar"/>
    <w:rsid w:val="00BA47B9"/>
    <w:pPr>
      <w:spacing w:before="60" w:after="120" w:line="280" w:lineRule="atLeast"/>
      <w:ind w:left="567"/>
    </w:pPr>
  </w:style>
  <w:style w:type="paragraph" w:customStyle="1" w:styleId="Bullet2">
    <w:name w:val="Bullet 2"/>
    <w:aliases w:val="b2"/>
    <w:basedOn w:val="Body"/>
    <w:rsid w:val="00BA47B9"/>
    <w:pPr>
      <w:numPr>
        <w:numId w:val="5"/>
      </w:numPr>
      <w:tabs>
        <w:tab w:val="left" w:pos="1417"/>
      </w:tabs>
      <w:spacing w:before="0" w:after="60"/>
      <w:ind w:left="1417" w:hanging="283"/>
    </w:pPr>
  </w:style>
  <w:style w:type="paragraph" w:customStyle="1" w:styleId="StyleHeading2h2Before19ptAfter4ptLinespacings">
    <w:name w:val="Style Heading 2h2 + Before:  19 pt After:  4 pt Line spacing:  s..."/>
    <w:basedOn w:val="Heading2"/>
    <w:next w:val="Body"/>
    <w:semiHidden/>
    <w:rsid w:val="00BA47B9"/>
    <w:pPr>
      <w:spacing w:before="380" w:after="80" w:line="240" w:lineRule="auto"/>
      <w:ind w:left="720" w:hanging="720"/>
    </w:pPr>
    <w:rPr>
      <w:rFonts w:cs="Times New Roman"/>
      <w:bCs w:val="0"/>
      <w:iCs w:val="0"/>
      <w:szCs w:val="20"/>
    </w:rPr>
  </w:style>
  <w:style w:type="paragraph" w:styleId="HTMLPreformatted">
    <w:name w:val="HTML Preformatted"/>
    <w:basedOn w:val="Normal"/>
    <w:semiHidden/>
    <w:rsid w:val="00BA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Cs w:val="20"/>
      <w:lang w:val="en-US"/>
    </w:rPr>
  </w:style>
  <w:style w:type="character" w:styleId="HTMLCode">
    <w:name w:val="HTML Code"/>
    <w:semiHidden/>
    <w:rsid w:val="00BA47B9"/>
    <w:rPr>
      <w:rFonts w:ascii="Courier New" w:eastAsia="Times New Roman" w:hAnsi="Courier New" w:cs="Courier New"/>
      <w:sz w:val="20"/>
      <w:szCs w:val="20"/>
    </w:rPr>
  </w:style>
  <w:style w:type="paragraph" w:customStyle="1" w:styleId="StyleHeading3h3Before19ptAfter4pt">
    <w:name w:val="Style Heading 3h3 + Before:  19 pt After:  4 pt"/>
    <w:basedOn w:val="Heading3"/>
    <w:next w:val="Body"/>
    <w:semiHidden/>
    <w:rsid w:val="00BA47B9"/>
    <w:pPr>
      <w:spacing w:before="380" w:after="80"/>
      <w:ind w:left="720" w:hanging="720"/>
    </w:pPr>
    <w:rPr>
      <w:rFonts w:cs="Times New Roman"/>
      <w:bCs w:val="0"/>
      <w:szCs w:val="20"/>
    </w:rPr>
  </w:style>
  <w:style w:type="paragraph" w:customStyle="1" w:styleId="AlphaList">
    <w:name w:val="Alpha_List"/>
    <w:basedOn w:val="BulletNumber"/>
    <w:rsid w:val="00BA47B9"/>
    <w:pPr>
      <w:numPr>
        <w:numId w:val="21"/>
      </w:numPr>
    </w:pPr>
  </w:style>
  <w:style w:type="paragraph" w:customStyle="1" w:styleId="BoldHeading">
    <w:name w:val="Bold_Heading"/>
    <w:basedOn w:val="Bold-ItalicHeading"/>
    <w:next w:val="Body"/>
    <w:rsid w:val="00BA47B9"/>
    <w:rPr>
      <w:i w:val="0"/>
    </w:rPr>
  </w:style>
  <w:style w:type="table" w:customStyle="1" w:styleId="CoverTable">
    <w:name w:val="CoverTable"/>
    <w:basedOn w:val="TableNormal"/>
    <w:rsid w:val="00BA47B9"/>
    <w:rPr>
      <w:rFonts w:ascii="Arial" w:hAnsi="Arial"/>
    </w:rPr>
    <w:tblPr/>
    <w:tcPr>
      <w:shd w:val="clear" w:color="auto" w:fill="auto"/>
    </w:tcPr>
  </w:style>
  <w:style w:type="paragraph" w:customStyle="1" w:styleId="RestartAlphaList">
    <w:name w:val="RestartAlphaList"/>
    <w:basedOn w:val="RestartNumbering"/>
    <w:next w:val="Body"/>
    <w:semiHidden/>
    <w:rsid w:val="00BA47B9"/>
    <w:pPr>
      <w:numPr>
        <w:numId w:val="21"/>
      </w:numPr>
    </w:pPr>
  </w:style>
  <w:style w:type="paragraph" w:customStyle="1" w:styleId="KeyPeopleGraphic">
    <w:name w:val="KeyPeopleGraphic"/>
    <w:basedOn w:val="Normal"/>
    <w:semiHidden/>
    <w:qFormat/>
    <w:rsid w:val="00BA47B9"/>
    <w:pPr>
      <w:spacing w:after="0"/>
    </w:pPr>
    <w:rPr>
      <w:b/>
      <w:noProof/>
      <w:lang w:eastAsia="en-AU"/>
    </w:rPr>
  </w:style>
  <w:style w:type="character" w:customStyle="1" w:styleId="BodyChar">
    <w:name w:val="Body Char"/>
    <w:aliases w:val="Body Char2,b Char2,B Char1,b3,body Char1,Body Char1,b Char1,B Char,b Char,bullet Char,bu Char,body Char,Body1 Char,b Char Char Char Char,b Char Char Char Char Char Char Char,b Char Char Char Char Char Char1,b31,b311,b Char Char1,Block Char1,b5"/>
    <w:link w:val="Body"/>
    <w:rsid w:val="00BA47B9"/>
    <w:rPr>
      <w:rFonts w:ascii="Arial" w:hAnsi="Arial"/>
      <w:szCs w:val="24"/>
      <w:lang w:eastAsia="en-US"/>
    </w:rPr>
  </w:style>
  <w:style w:type="paragraph" w:customStyle="1" w:styleId="Appendix-Block">
    <w:name w:val="Appendix-Block"/>
    <w:next w:val="Appendix"/>
    <w:semiHidden/>
    <w:qFormat/>
    <w:rsid w:val="00BA47B9"/>
    <w:rPr>
      <w:rFonts w:ascii="Arial Black" w:hAnsi="Arial Black" w:cs="Arial"/>
      <w:bCs/>
      <w:color w:val="FFFFFF"/>
      <w:kern w:val="32"/>
      <w:sz w:val="40"/>
      <w:szCs w:val="32"/>
      <w:lang w:val="en-US" w:eastAsia="en-US"/>
    </w:rPr>
  </w:style>
  <w:style w:type="paragraph" w:customStyle="1" w:styleId="RevisionTable">
    <w:name w:val="RevisionTable"/>
    <w:semiHidden/>
    <w:qFormat/>
    <w:rsid w:val="00BA47B9"/>
    <w:pPr>
      <w:framePr w:hSpace="181" w:wrap="around" w:hAnchor="margin" w:yAlign="bottom"/>
    </w:pPr>
    <w:rPr>
      <w:rFonts w:ascii="Arial" w:hAnsi="Arial"/>
      <w:sz w:val="18"/>
      <w:szCs w:val="24"/>
      <w:lang w:eastAsia="en-US"/>
    </w:rPr>
  </w:style>
  <w:style w:type="paragraph" w:customStyle="1" w:styleId="Volume">
    <w:name w:val="Volume"/>
    <w:basedOn w:val="Subject"/>
    <w:qFormat/>
    <w:rsid w:val="00BA47B9"/>
    <w:pPr>
      <w:framePr w:wrap="around"/>
    </w:pPr>
    <w:rPr>
      <w:sz w:val="28"/>
    </w:rPr>
  </w:style>
  <w:style w:type="numbering" w:customStyle="1" w:styleId="Style1">
    <w:name w:val="Style1"/>
    <w:uiPriority w:val="99"/>
    <w:rsid w:val="00BA47B9"/>
    <w:pPr>
      <w:numPr>
        <w:numId w:val="26"/>
      </w:numPr>
    </w:pPr>
  </w:style>
  <w:style w:type="character" w:styleId="PlaceholderText">
    <w:name w:val="Placeholder Text"/>
    <w:basedOn w:val="DefaultParagraphFont"/>
    <w:uiPriority w:val="99"/>
    <w:semiHidden/>
    <w:rsid w:val="00BA47B9"/>
    <w:rPr>
      <w:color w:val="808080"/>
    </w:rPr>
  </w:style>
  <w:style w:type="paragraph" w:styleId="NormalWeb">
    <w:name w:val="Normal (Web)"/>
    <w:basedOn w:val="Normal"/>
    <w:uiPriority w:val="99"/>
    <w:unhideWhenUsed/>
    <w:rsid w:val="00BA47B9"/>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rsid w:val="005A3A66"/>
    <w:rPr>
      <w:sz w:val="16"/>
      <w:szCs w:val="16"/>
    </w:rPr>
  </w:style>
  <w:style w:type="paragraph" w:styleId="CommentText">
    <w:name w:val="annotation text"/>
    <w:basedOn w:val="Normal"/>
    <w:link w:val="CommentTextChar"/>
    <w:rsid w:val="005A3A66"/>
    <w:rPr>
      <w:szCs w:val="20"/>
    </w:rPr>
  </w:style>
  <w:style w:type="character" w:customStyle="1" w:styleId="CommentTextChar">
    <w:name w:val="Comment Text Char"/>
    <w:basedOn w:val="DefaultParagraphFont"/>
    <w:link w:val="CommentText"/>
    <w:rsid w:val="005A3A66"/>
    <w:rPr>
      <w:rFonts w:ascii="Arial" w:hAnsi="Arial"/>
      <w:lang w:eastAsia="en-US"/>
    </w:rPr>
  </w:style>
  <w:style w:type="paragraph" w:styleId="CommentSubject">
    <w:name w:val="annotation subject"/>
    <w:basedOn w:val="CommentText"/>
    <w:next w:val="CommentText"/>
    <w:link w:val="CommentSubjectChar"/>
    <w:rsid w:val="005A3A66"/>
    <w:rPr>
      <w:b/>
      <w:bCs/>
    </w:rPr>
  </w:style>
  <w:style w:type="character" w:customStyle="1" w:styleId="CommentSubjectChar">
    <w:name w:val="Comment Subject Char"/>
    <w:basedOn w:val="CommentTextChar"/>
    <w:link w:val="CommentSubject"/>
    <w:rsid w:val="005A3A66"/>
    <w:rPr>
      <w:rFonts w:ascii="Arial" w:hAnsi="Arial"/>
      <w:b/>
      <w:bCs/>
      <w:lang w:eastAsia="en-US"/>
    </w:rPr>
  </w:style>
  <w:style w:type="paragraph" w:styleId="Revision">
    <w:name w:val="Revision"/>
    <w:hidden/>
    <w:uiPriority w:val="99"/>
    <w:semiHidden/>
    <w:rsid w:val="00171362"/>
    <w:rPr>
      <w:rFonts w:ascii="Arial" w:hAnsi="Arial"/>
      <w:szCs w:val="24"/>
      <w:lang w:eastAsia="en-US"/>
    </w:rPr>
  </w:style>
  <w:style w:type="paragraph" w:styleId="FootnoteText">
    <w:name w:val="footnote text"/>
    <w:basedOn w:val="Normal"/>
    <w:link w:val="FootnoteTextChar"/>
    <w:semiHidden/>
    <w:unhideWhenUsed/>
    <w:rsid w:val="00E873EA"/>
    <w:pPr>
      <w:spacing w:after="0"/>
    </w:pPr>
    <w:rPr>
      <w:szCs w:val="20"/>
    </w:rPr>
  </w:style>
  <w:style w:type="character" w:customStyle="1" w:styleId="FootnoteTextChar">
    <w:name w:val="Footnote Text Char"/>
    <w:basedOn w:val="DefaultParagraphFont"/>
    <w:link w:val="FootnoteText"/>
    <w:semiHidden/>
    <w:rsid w:val="00E873EA"/>
    <w:rPr>
      <w:rFonts w:ascii="Arial" w:hAnsi="Arial"/>
      <w:lang w:eastAsia="en-US"/>
    </w:rPr>
  </w:style>
  <w:style w:type="character" w:styleId="FootnoteReference">
    <w:name w:val="footnote reference"/>
    <w:basedOn w:val="DefaultParagraphFont"/>
    <w:semiHidden/>
    <w:unhideWhenUsed/>
    <w:rsid w:val="00E87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0030">
      <w:bodyDiv w:val="1"/>
      <w:marLeft w:val="0"/>
      <w:marRight w:val="0"/>
      <w:marTop w:val="0"/>
      <w:marBottom w:val="0"/>
      <w:divBdr>
        <w:top w:val="none" w:sz="0" w:space="0" w:color="auto"/>
        <w:left w:val="none" w:sz="0" w:space="0" w:color="auto"/>
        <w:bottom w:val="none" w:sz="0" w:space="0" w:color="auto"/>
        <w:right w:val="none" w:sz="0" w:space="0" w:color="auto"/>
      </w:divBdr>
    </w:div>
    <w:div w:id="337540490">
      <w:bodyDiv w:val="1"/>
      <w:marLeft w:val="0"/>
      <w:marRight w:val="0"/>
      <w:marTop w:val="0"/>
      <w:marBottom w:val="0"/>
      <w:divBdr>
        <w:top w:val="none" w:sz="0" w:space="0" w:color="auto"/>
        <w:left w:val="none" w:sz="0" w:space="0" w:color="auto"/>
        <w:bottom w:val="none" w:sz="0" w:space="0" w:color="auto"/>
        <w:right w:val="none" w:sz="0" w:space="0" w:color="auto"/>
      </w:divBdr>
    </w:div>
    <w:div w:id="699936119">
      <w:bodyDiv w:val="1"/>
      <w:marLeft w:val="0"/>
      <w:marRight w:val="0"/>
      <w:marTop w:val="0"/>
      <w:marBottom w:val="0"/>
      <w:divBdr>
        <w:top w:val="none" w:sz="0" w:space="0" w:color="auto"/>
        <w:left w:val="none" w:sz="0" w:space="0" w:color="auto"/>
        <w:bottom w:val="none" w:sz="0" w:space="0" w:color="auto"/>
        <w:right w:val="none" w:sz="0" w:space="0" w:color="auto"/>
      </w:divBdr>
    </w:div>
    <w:div w:id="770778803">
      <w:bodyDiv w:val="1"/>
      <w:marLeft w:val="0"/>
      <w:marRight w:val="0"/>
      <w:marTop w:val="0"/>
      <w:marBottom w:val="0"/>
      <w:divBdr>
        <w:top w:val="none" w:sz="0" w:space="0" w:color="auto"/>
        <w:left w:val="none" w:sz="0" w:space="0" w:color="auto"/>
        <w:bottom w:val="none" w:sz="0" w:space="0" w:color="auto"/>
        <w:right w:val="none" w:sz="0" w:space="0" w:color="auto"/>
      </w:divBdr>
    </w:div>
    <w:div w:id="855853593">
      <w:bodyDiv w:val="1"/>
      <w:marLeft w:val="0"/>
      <w:marRight w:val="0"/>
      <w:marTop w:val="0"/>
      <w:marBottom w:val="0"/>
      <w:divBdr>
        <w:top w:val="none" w:sz="0" w:space="0" w:color="auto"/>
        <w:left w:val="none" w:sz="0" w:space="0" w:color="auto"/>
        <w:bottom w:val="none" w:sz="0" w:space="0" w:color="auto"/>
        <w:right w:val="none" w:sz="0" w:space="0" w:color="auto"/>
      </w:divBdr>
    </w:div>
    <w:div w:id="955598129">
      <w:bodyDiv w:val="1"/>
      <w:marLeft w:val="0"/>
      <w:marRight w:val="0"/>
      <w:marTop w:val="0"/>
      <w:marBottom w:val="0"/>
      <w:divBdr>
        <w:top w:val="none" w:sz="0" w:space="0" w:color="auto"/>
        <w:left w:val="none" w:sz="0" w:space="0" w:color="auto"/>
        <w:bottom w:val="none" w:sz="0" w:space="0" w:color="auto"/>
        <w:right w:val="none" w:sz="0" w:space="0" w:color="auto"/>
      </w:divBdr>
    </w:div>
    <w:div w:id="1078865999">
      <w:bodyDiv w:val="1"/>
      <w:marLeft w:val="0"/>
      <w:marRight w:val="0"/>
      <w:marTop w:val="0"/>
      <w:marBottom w:val="0"/>
      <w:divBdr>
        <w:top w:val="none" w:sz="0" w:space="0" w:color="auto"/>
        <w:left w:val="none" w:sz="0" w:space="0" w:color="auto"/>
        <w:bottom w:val="none" w:sz="0" w:space="0" w:color="auto"/>
        <w:right w:val="none" w:sz="0" w:space="0" w:color="auto"/>
      </w:divBdr>
    </w:div>
    <w:div w:id="1093287187">
      <w:bodyDiv w:val="1"/>
      <w:marLeft w:val="0"/>
      <w:marRight w:val="0"/>
      <w:marTop w:val="0"/>
      <w:marBottom w:val="0"/>
      <w:divBdr>
        <w:top w:val="none" w:sz="0" w:space="0" w:color="auto"/>
        <w:left w:val="none" w:sz="0" w:space="0" w:color="auto"/>
        <w:bottom w:val="none" w:sz="0" w:space="0" w:color="auto"/>
        <w:right w:val="none" w:sz="0" w:space="0" w:color="auto"/>
      </w:divBdr>
    </w:div>
    <w:div w:id="1157379565">
      <w:bodyDiv w:val="1"/>
      <w:marLeft w:val="0"/>
      <w:marRight w:val="0"/>
      <w:marTop w:val="0"/>
      <w:marBottom w:val="0"/>
      <w:divBdr>
        <w:top w:val="none" w:sz="0" w:space="0" w:color="auto"/>
        <w:left w:val="none" w:sz="0" w:space="0" w:color="auto"/>
        <w:bottom w:val="none" w:sz="0" w:space="0" w:color="auto"/>
        <w:right w:val="none" w:sz="0" w:space="0" w:color="auto"/>
      </w:divBdr>
    </w:div>
    <w:div w:id="1187868652">
      <w:bodyDiv w:val="1"/>
      <w:marLeft w:val="0"/>
      <w:marRight w:val="0"/>
      <w:marTop w:val="0"/>
      <w:marBottom w:val="0"/>
      <w:divBdr>
        <w:top w:val="none" w:sz="0" w:space="0" w:color="auto"/>
        <w:left w:val="none" w:sz="0" w:space="0" w:color="auto"/>
        <w:bottom w:val="none" w:sz="0" w:space="0" w:color="auto"/>
        <w:right w:val="none" w:sz="0" w:space="0" w:color="auto"/>
      </w:divBdr>
    </w:div>
    <w:div w:id="1326208968">
      <w:bodyDiv w:val="1"/>
      <w:marLeft w:val="0"/>
      <w:marRight w:val="0"/>
      <w:marTop w:val="0"/>
      <w:marBottom w:val="0"/>
      <w:divBdr>
        <w:top w:val="none" w:sz="0" w:space="0" w:color="auto"/>
        <w:left w:val="none" w:sz="0" w:space="0" w:color="auto"/>
        <w:bottom w:val="none" w:sz="0" w:space="0" w:color="auto"/>
        <w:right w:val="none" w:sz="0" w:space="0" w:color="auto"/>
      </w:divBdr>
      <w:divsChild>
        <w:div w:id="202446508">
          <w:marLeft w:val="0"/>
          <w:marRight w:val="0"/>
          <w:marTop w:val="0"/>
          <w:marBottom w:val="0"/>
          <w:divBdr>
            <w:top w:val="none" w:sz="0" w:space="0" w:color="auto"/>
            <w:left w:val="none" w:sz="0" w:space="0" w:color="auto"/>
            <w:bottom w:val="none" w:sz="0" w:space="0" w:color="auto"/>
            <w:right w:val="none" w:sz="0" w:space="0" w:color="auto"/>
          </w:divBdr>
          <w:divsChild>
            <w:div w:id="1047030718">
              <w:marLeft w:val="0"/>
              <w:marRight w:val="0"/>
              <w:marTop w:val="0"/>
              <w:marBottom w:val="0"/>
              <w:divBdr>
                <w:top w:val="none" w:sz="0" w:space="0" w:color="auto"/>
                <w:left w:val="none" w:sz="0" w:space="0" w:color="auto"/>
                <w:bottom w:val="none" w:sz="0" w:space="0" w:color="auto"/>
                <w:right w:val="none" w:sz="0" w:space="0" w:color="auto"/>
              </w:divBdr>
              <w:divsChild>
                <w:div w:id="1450316322">
                  <w:marLeft w:val="0"/>
                  <w:marRight w:val="0"/>
                  <w:marTop w:val="0"/>
                  <w:marBottom w:val="0"/>
                  <w:divBdr>
                    <w:top w:val="none" w:sz="0" w:space="0" w:color="auto"/>
                    <w:left w:val="none" w:sz="0" w:space="0" w:color="auto"/>
                    <w:bottom w:val="none" w:sz="0" w:space="0" w:color="auto"/>
                    <w:right w:val="none" w:sz="0" w:space="0" w:color="auto"/>
                  </w:divBdr>
                  <w:divsChild>
                    <w:div w:id="1529560808">
                      <w:marLeft w:val="0"/>
                      <w:marRight w:val="0"/>
                      <w:marTop w:val="0"/>
                      <w:marBottom w:val="0"/>
                      <w:divBdr>
                        <w:top w:val="none" w:sz="0" w:space="0" w:color="auto"/>
                        <w:left w:val="none" w:sz="0" w:space="0" w:color="auto"/>
                        <w:bottom w:val="none" w:sz="0" w:space="0" w:color="auto"/>
                        <w:right w:val="none" w:sz="0" w:space="0" w:color="auto"/>
                      </w:divBdr>
                      <w:divsChild>
                        <w:div w:id="895239876">
                          <w:marLeft w:val="0"/>
                          <w:marRight w:val="0"/>
                          <w:marTop w:val="0"/>
                          <w:marBottom w:val="0"/>
                          <w:divBdr>
                            <w:top w:val="none" w:sz="0" w:space="0" w:color="auto"/>
                            <w:left w:val="none" w:sz="0" w:space="0" w:color="auto"/>
                            <w:bottom w:val="none" w:sz="0" w:space="0" w:color="auto"/>
                            <w:right w:val="none" w:sz="0" w:space="0" w:color="auto"/>
                          </w:divBdr>
                          <w:divsChild>
                            <w:div w:id="598369515">
                              <w:marLeft w:val="0"/>
                              <w:marRight w:val="0"/>
                              <w:marTop w:val="0"/>
                              <w:marBottom w:val="0"/>
                              <w:divBdr>
                                <w:top w:val="none" w:sz="0" w:space="0" w:color="auto"/>
                                <w:left w:val="none" w:sz="0" w:space="0" w:color="auto"/>
                                <w:bottom w:val="none" w:sz="0" w:space="0" w:color="auto"/>
                                <w:right w:val="none" w:sz="0" w:space="0" w:color="auto"/>
                              </w:divBdr>
                              <w:divsChild>
                                <w:div w:id="1071737110">
                                  <w:marLeft w:val="0"/>
                                  <w:marRight w:val="0"/>
                                  <w:marTop w:val="0"/>
                                  <w:marBottom w:val="0"/>
                                  <w:divBdr>
                                    <w:top w:val="none" w:sz="0" w:space="0" w:color="auto"/>
                                    <w:left w:val="none" w:sz="0" w:space="0" w:color="auto"/>
                                    <w:bottom w:val="none" w:sz="0" w:space="0" w:color="auto"/>
                                    <w:right w:val="none" w:sz="0" w:space="0" w:color="auto"/>
                                  </w:divBdr>
                                  <w:divsChild>
                                    <w:div w:id="2106610936">
                                      <w:marLeft w:val="0"/>
                                      <w:marRight w:val="0"/>
                                      <w:marTop w:val="0"/>
                                      <w:marBottom w:val="0"/>
                                      <w:divBdr>
                                        <w:top w:val="none" w:sz="0" w:space="0" w:color="auto"/>
                                        <w:left w:val="none" w:sz="0" w:space="0" w:color="auto"/>
                                        <w:bottom w:val="none" w:sz="0" w:space="0" w:color="auto"/>
                                        <w:right w:val="none" w:sz="0" w:space="0" w:color="auto"/>
                                      </w:divBdr>
                                      <w:divsChild>
                                        <w:div w:id="3927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198871">
      <w:bodyDiv w:val="1"/>
      <w:marLeft w:val="0"/>
      <w:marRight w:val="0"/>
      <w:marTop w:val="0"/>
      <w:marBottom w:val="0"/>
      <w:divBdr>
        <w:top w:val="none" w:sz="0" w:space="0" w:color="auto"/>
        <w:left w:val="none" w:sz="0" w:space="0" w:color="auto"/>
        <w:bottom w:val="none" w:sz="0" w:space="0" w:color="auto"/>
        <w:right w:val="none" w:sz="0" w:space="0" w:color="auto"/>
      </w:divBdr>
    </w:div>
    <w:div w:id="1615284978">
      <w:bodyDiv w:val="1"/>
      <w:marLeft w:val="0"/>
      <w:marRight w:val="0"/>
      <w:marTop w:val="0"/>
      <w:marBottom w:val="0"/>
      <w:divBdr>
        <w:top w:val="none" w:sz="0" w:space="0" w:color="auto"/>
        <w:left w:val="none" w:sz="0" w:space="0" w:color="auto"/>
        <w:bottom w:val="none" w:sz="0" w:space="0" w:color="auto"/>
        <w:right w:val="none" w:sz="0" w:space="0" w:color="auto"/>
      </w:divBdr>
    </w:div>
    <w:div w:id="20336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yperlink" Target="file:///\\192.168.0.50\ids_media\IDS\Work\GHD\MSO2010\2010_ReportTemplate\www.gh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yperlink" Target="file:///\\192.168.0.50\ids_media\IDS\Work\GHD\MSO2010\2010_ReportTemplate\www.ghd.com"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header" Target="header10.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2010\DTC-A4\GHD_Report_2012.dotm" TargetMode="External"/></Relationships>
</file>

<file path=word/theme/theme1.xml><?xml version="1.0" encoding="utf-8"?>
<a:theme xmlns:a="http://schemas.openxmlformats.org/drawingml/2006/main" name="GHDTheme">
  <a:themeElements>
    <a:clrScheme name="GHDTheme">
      <a:dk1>
        <a:sysClr val="windowText" lastClr="000000"/>
      </a:dk1>
      <a:lt1>
        <a:sysClr val="window" lastClr="FFFFFF"/>
      </a:lt1>
      <a:dk2>
        <a:srgbClr val="0065A4"/>
      </a:dk2>
      <a:lt2>
        <a:srgbClr val="F2F2F2"/>
      </a:lt2>
      <a:accent1>
        <a:srgbClr val="0065A4"/>
      </a:accent1>
      <a:accent2>
        <a:srgbClr val="E50E63"/>
      </a:accent2>
      <a:accent3>
        <a:srgbClr val="8DC63F"/>
      </a:accent3>
      <a:accent4>
        <a:srgbClr val="FFD200"/>
      </a:accent4>
      <a:accent5>
        <a:srgbClr val="7F7F7F"/>
      </a:accent5>
      <a:accent6>
        <a:srgbClr val="000000"/>
      </a:accent6>
      <a:hlink>
        <a:srgbClr val="1645D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607C-C7AC-4876-9BE3-E8D92EEF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GHD_Report_2012.dotm</Template>
  <TotalTime>15</TotalTime>
  <Pages>38</Pages>
  <Words>7251</Words>
  <Characters>45539</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Report on Thermal Capacity Opportunities in Australian Hazardous Waste Infrastructure</vt:lpstr>
    </vt:vector>
  </TitlesOfParts>
  <Company>GHD</Company>
  <LinksUpToDate>false</LinksUpToDate>
  <CharactersWithSpaces>52685</CharactersWithSpaces>
  <SharedDoc>false</SharedDoc>
  <HLinks>
    <vt:vector size="6" baseType="variant">
      <vt:variant>
        <vt:i4>3997816</vt:i4>
      </vt:variant>
      <vt:variant>
        <vt:i4>0</vt:i4>
      </vt:variant>
      <vt:variant>
        <vt:i4>0</vt:i4>
      </vt:variant>
      <vt:variant>
        <vt:i4>5</vt:i4>
      </vt:variant>
      <vt:variant>
        <vt:lpwstr>C:\Work\GHD\GHD-Prop-Template\www.ghd.com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Thermal Capacity Opportunities in Australian Hazardous Waste Infrastructure</dc:title>
  <dc:creator>GHD</dc:creator>
  <cp:lastModifiedBy>Ruth, Jodie</cp:lastModifiedBy>
  <cp:revision>5</cp:revision>
  <cp:lastPrinted>2016-10-19T22:18:00Z</cp:lastPrinted>
  <dcterms:created xsi:type="dcterms:W3CDTF">2016-07-27T04:18:00Z</dcterms:created>
  <dcterms:modified xsi:type="dcterms:W3CDTF">2016-10-19T22:19:00Z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2016-07-27T04:17:53Z</vt:filetime>
  </property>
  <property fmtid="{D5CDD505-2E9C-101B-9397-08002B2CF9AE}" pid="3" name="PropStyle">
    <vt:lpwstr>Part-</vt:lpwstr>
  </property>
  <property fmtid="{D5CDD505-2E9C-101B-9397-08002B2CF9AE}" pid="4" name="Client">
    <vt:lpwstr>Department of the Environment</vt:lpwstr>
  </property>
  <property fmtid="{D5CDD505-2E9C-101B-9397-08002B2CF9AE}" pid="5" name="Project">
    <vt:lpwstr>Thermal Augment Project</vt:lpwstr>
  </property>
  <property fmtid="{D5CDD505-2E9C-101B-9397-08002B2CF9AE}" pid="6" name="StyleColor">
    <vt:lpwstr>0,89,156</vt:lpwstr>
  </property>
  <property fmtid="{D5CDD505-2E9C-101B-9397-08002B2CF9AE}" pid="7" name="GHDAuthor">
    <vt:lpwstr>Linda Slechta</vt:lpwstr>
  </property>
  <property fmtid="{D5CDD505-2E9C-101B-9397-08002B2CF9AE}" pid="8" name="GHDSubject">
    <vt:lpwstr>Report on Thermal Capacity Opportunities in Australian Hazardous Waste Infrastructure</vt:lpwstr>
  </property>
  <property fmtid="{D5CDD505-2E9C-101B-9397-08002B2CF9AE}" pid="9" name="ImagePath">
    <vt:lpwstr>C:\Tmp\Images\</vt:lpwstr>
  </property>
  <property fmtid="{D5CDD505-2E9C-101B-9397-08002B2CF9AE}" pid="10" name="LC-enable">
    <vt:lpwstr>True</vt:lpwstr>
  </property>
  <property fmtid="{D5CDD505-2E9C-101B-9397-08002B2CF9AE}" pid="11" name="DocNumber">
    <vt:lpwstr>215460</vt:lpwstr>
  </property>
  <property fmtid="{D5CDD505-2E9C-101B-9397-08002B2CF9AE}" pid="12" name="JobNumber">
    <vt:lpwstr>21/25157</vt:lpwstr>
  </property>
  <property fmtid="{D5CDD505-2E9C-101B-9397-08002B2CF9AE}" pid="13" name="ToCompany">
    <vt:lpwstr>Department of the Environment</vt:lpwstr>
  </property>
  <property fmtid="{D5CDD505-2E9C-101B-9397-08002B2CF9AE}" pid="14" name="ToContact">
    <vt:lpwstr/>
  </property>
  <property fmtid="{D5CDD505-2E9C-101B-9397-08002B2CF9AE}" pid="15" name="ToTitle">
    <vt:lpwstr/>
  </property>
  <property fmtid="{D5CDD505-2E9C-101B-9397-08002B2CF9AE}" pid="16" name="ToStreet">
    <vt:lpwstr/>
  </property>
  <property fmtid="{D5CDD505-2E9C-101B-9397-08002B2CF9AE}" pid="17" name="ToSuburb">
    <vt:lpwstr/>
  </property>
  <property fmtid="{D5CDD505-2E9C-101B-9397-08002B2CF9AE}" pid="18" name="ToState">
    <vt:lpwstr/>
  </property>
  <property fmtid="{D5CDD505-2E9C-101B-9397-08002B2CF9AE}" pid="19" name="ToFax">
    <vt:lpwstr/>
  </property>
  <property fmtid="{D5CDD505-2E9C-101B-9397-08002B2CF9AE}" pid="20" name="ToPhone">
    <vt:lpwstr/>
  </property>
  <property fmtid="{D5CDD505-2E9C-101B-9397-08002B2CF9AE}" pid="21" name="ToEmail">
    <vt:lpwstr/>
  </property>
  <property fmtid="{D5CDD505-2E9C-101B-9397-08002B2CF9AE}" pid="22" name="OfficeAddressFull">
    <vt:lpwstr>133 Castlereagh St  Sydney NSW 2000</vt:lpwstr>
  </property>
  <property fmtid="{D5CDD505-2E9C-101B-9397-08002B2CF9AE}" pid="23" name="OfficeAddressLine1">
    <vt:lpwstr>133 Castlereagh St  Sydney NSW 2000</vt:lpwstr>
  </property>
  <property fmtid="{D5CDD505-2E9C-101B-9397-08002B2CF9AE}" pid="24" name="OfficeAddressLine2">
    <vt:lpwstr>-</vt:lpwstr>
  </property>
  <property fmtid="{D5CDD505-2E9C-101B-9397-08002B2CF9AE}" pid="25" name="OfficeTelephone">
    <vt:lpwstr>+61 2 9239 7100</vt:lpwstr>
  </property>
  <property fmtid="{D5CDD505-2E9C-101B-9397-08002B2CF9AE}" pid="26" name="OfficeFax">
    <vt:lpwstr>+61 2 9239 7199</vt:lpwstr>
  </property>
  <property fmtid="{D5CDD505-2E9C-101B-9397-08002B2CF9AE}" pid="27" name="OfficeEmail">
    <vt:lpwstr>sydmail@ghd.com.au</vt:lpwstr>
  </property>
  <property fmtid="{D5CDD505-2E9C-101B-9397-08002B2CF9AE}" pid="28" name="AuthorName">
    <vt:lpwstr>Linda Slechta</vt:lpwstr>
  </property>
  <property fmtid="{D5CDD505-2E9C-101B-9397-08002B2CF9AE}" pid="29" name="AuthorInitials">
    <vt:lpwstr>LS</vt:lpwstr>
  </property>
  <property fmtid="{D5CDD505-2E9C-101B-9397-08002B2CF9AE}" pid="30" name="AuthorShortName">
    <vt:lpwstr>Linda</vt:lpwstr>
  </property>
  <property fmtid="{D5CDD505-2E9C-101B-9397-08002B2CF9AE}" pid="31" name="AuthorTitle">
    <vt:lpwstr>Environmental Scientist</vt:lpwstr>
  </property>
  <property fmtid="{D5CDD505-2E9C-101B-9397-08002B2CF9AE}" pid="32" name="AuthorDirectLine">
    <vt:lpwstr>02 9239 7443</vt:lpwstr>
  </property>
  <property fmtid="{D5CDD505-2E9C-101B-9397-08002B2CF9AE}" pid="33" name="AuthorFAXNumber">
    <vt:lpwstr>02 9239 7199</vt:lpwstr>
  </property>
  <property fmtid="{D5CDD505-2E9C-101B-9397-08002B2CF9AE}" pid="34" name="AuthorEmailAddress">
    <vt:lpwstr>linda.slechta@ghd.comu</vt:lpwstr>
  </property>
  <property fmtid="{D5CDD505-2E9C-101B-9397-08002B2CF9AE}" pid="35" name="Typist">
    <vt:lpwstr>ls</vt:lpwstr>
  </property>
  <property fmtid="{D5CDD505-2E9C-101B-9397-08002B2CF9AE}" pid="36" name="FileSavedAs">
    <vt:lpwstr>n:\au\sydney\projects\21\25157\WP\215460</vt:lpwstr>
  </property>
  <property fmtid="{D5CDD505-2E9C-101B-9397-08002B2CF9AE}" pid="37" name="DocType">
    <vt:lpwstr>8</vt:lpwstr>
  </property>
  <property fmtid="{D5CDD505-2E9C-101B-9397-08002B2CF9AE}" pid="38" name="ReplyRequested">
    <vt:lpwstr>No</vt:lpwstr>
  </property>
  <property fmtid="{D5CDD505-2E9C-101B-9397-08002B2CF9AE}" pid="39" name="DocDate">
    <vt:lpwstr>2 May 2016</vt:lpwstr>
  </property>
  <property fmtid="{D5CDD505-2E9C-101B-9397-08002B2CF9AE}" pid="40" name="ToPostCode">
    <vt:lpwstr/>
  </property>
  <property fmtid="{D5CDD505-2E9C-101B-9397-08002B2CF9AE}" pid="41" name="Recipient">
    <vt:lpwstr/>
  </property>
</Properties>
</file>