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CBF" w:rsidRDefault="005C3CBF" w:rsidP="00162EA4">
      <w:pPr>
        <w:pStyle w:val="01HEADING1"/>
        <w:ind w:left="0" w:firstLine="0"/>
      </w:pPr>
      <w:bookmarkStart w:id="0" w:name="_Toc253067271"/>
    </w:p>
    <w:p w:rsidR="007D20DB" w:rsidRDefault="007D20DB" w:rsidP="00162EA4">
      <w:pPr>
        <w:pStyle w:val="01HEADING1"/>
        <w:ind w:left="0" w:firstLine="0"/>
        <w:rPr>
          <w:rFonts w:ascii="MyriadPro-It" w:hAnsi="MyriadPro-It" w:cs="MyriadPro-It"/>
          <w:i/>
          <w:iCs/>
        </w:rPr>
      </w:pPr>
      <w:bookmarkStart w:id="1" w:name="OLE_LINK1"/>
      <w:bookmarkStart w:id="2" w:name="OLE_LINK2"/>
      <w:r>
        <w:t xml:space="preserve">Threat abatement plan for disease in natural ecosystems caused by </w:t>
      </w:r>
      <w:proofErr w:type="spellStart"/>
      <w:r>
        <w:rPr>
          <w:rFonts w:ascii="MyriadPro-It" w:hAnsi="MyriadPro-It" w:cs="MyriadPro-It"/>
          <w:i/>
          <w:iCs/>
        </w:rPr>
        <w:t>Phytophthora</w:t>
      </w:r>
      <w:proofErr w:type="spellEnd"/>
      <w:r>
        <w:rPr>
          <w:rFonts w:ascii="MyriadPro-It" w:hAnsi="MyriadPro-It" w:cs="MyriadPro-It"/>
          <w:i/>
          <w:iCs/>
        </w:rPr>
        <w:t xml:space="preserve"> </w:t>
      </w:r>
      <w:proofErr w:type="spellStart"/>
      <w:r>
        <w:rPr>
          <w:rFonts w:ascii="MyriadPro-It" w:hAnsi="MyriadPro-It" w:cs="MyriadPro-It"/>
          <w:i/>
          <w:iCs/>
        </w:rPr>
        <w:t>cinnamomi</w:t>
      </w:r>
      <w:bookmarkEnd w:id="0"/>
      <w:proofErr w:type="spellEnd"/>
    </w:p>
    <w:bookmarkEnd w:id="1"/>
    <w:bookmarkEnd w:id="2"/>
    <w:p w:rsidR="00837391" w:rsidRDefault="00837391" w:rsidP="00837391">
      <w:pPr>
        <w:pStyle w:val="CoverdateCOVERSTYLES"/>
      </w:pPr>
      <w:r>
        <w:t>January 2014</w:t>
      </w:r>
    </w:p>
    <w:p w:rsidR="00837391" w:rsidRDefault="00837391" w:rsidP="00837391">
      <w:pPr>
        <w:pStyle w:val="CoverdateCOVERSTYLES"/>
      </w:pPr>
    </w:p>
    <w:p w:rsidR="00837391" w:rsidRDefault="00837391" w:rsidP="00837391">
      <w:pPr>
        <w:pStyle w:val="CoverdateCOVERSTYLES"/>
      </w:pPr>
    </w:p>
    <w:p w:rsidR="00837391" w:rsidRDefault="00837391" w:rsidP="00837391">
      <w:pPr>
        <w:pStyle w:val="CoverdateCOVERSTYLES"/>
      </w:pPr>
    </w:p>
    <w:p w:rsidR="00837391" w:rsidRDefault="00837391" w:rsidP="00837391">
      <w:pPr>
        <w:pStyle w:val="CoverdateCOVERSTYLES"/>
      </w:pPr>
    </w:p>
    <w:p w:rsidR="00837391" w:rsidRDefault="00837391" w:rsidP="00837391">
      <w:pPr>
        <w:pStyle w:val="CoverdateCOVERSTYLES"/>
      </w:pPr>
    </w:p>
    <w:p w:rsidR="00837391" w:rsidRDefault="00837391" w:rsidP="00837391">
      <w:pPr>
        <w:pStyle w:val="CoverdateCOVERSTYLES"/>
      </w:pPr>
    </w:p>
    <w:p w:rsidR="00837391" w:rsidRDefault="00837391" w:rsidP="00837391">
      <w:pPr>
        <w:pStyle w:val="CoverdateCOVERSTYLES"/>
      </w:pPr>
    </w:p>
    <w:p w:rsidR="007D20DB" w:rsidRDefault="007D20DB" w:rsidP="007D20DB">
      <w:pPr>
        <w:pStyle w:val="05BODYTEXT"/>
        <w:spacing w:after="113"/>
      </w:pPr>
      <w:r>
        <w:t>© Copyright Commonwealth of Australia, 2014</w:t>
      </w:r>
    </w:p>
    <w:p w:rsidR="007D20DB" w:rsidRDefault="007D20DB" w:rsidP="007D20DB">
      <w:pPr>
        <w:pStyle w:val="05BODYTEXT"/>
        <w:spacing w:after="113"/>
      </w:pPr>
      <w:r>
        <w:t>ISBN: 978-1-921733-93-2</w:t>
      </w:r>
    </w:p>
    <w:p w:rsidR="007D20DB" w:rsidRDefault="007D20DB" w:rsidP="007D20DB">
      <w:pPr>
        <w:pStyle w:val="CAPTION"/>
        <w:spacing w:before="170"/>
      </w:pPr>
    </w:p>
    <w:p w:rsidR="007D20DB" w:rsidRDefault="007D20DB" w:rsidP="007D20DB">
      <w:pPr>
        <w:pStyle w:val="05BODYTEXT"/>
      </w:pPr>
      <w:r>
        <w:t>The</w:t>
      </w:r>
      <w:r>
        <w:rPr>
          <w:rFonts w:ascii="AGaramondPro-Bold" w:hAnsi="AGaramondPro-Bold" w:cs="AGaramondPro-Bold"/>
          <w:b/>
          <w:bCs/>
        </w:rPr>
        <w:t xml:space="preserve"> Threat abatement plan for disease in natural ecosystems caused by </w:t>
      </w:r>
      <w:proofErr w:type="spellStart"/>
      <w:r>
        <w:rPr>
          <w:rFonts w:ascii="AGaramondPro-BoldItalic" w:hAnsi="AGaramondPro-BoldItalic" w:cs="AGaramondPro-BoldItalic"/>
          <w:b/>
          <w:bCs/>
          <w:i/>
          <w:iCs/>
        </w:rPr>
        <w:t>Phytophthora</w:t>
      </w:r>
      <w:proofErr w:type="spellEnd"/>
      <w:r>
        <w:rPr>
          <w:rFonts w:ascii="AGaramondPro-BoldItalic" w:hAnsi="AGaramondPro-BoldItalic" w:cs="AGaramondPro-BoldItalic"/>
          <w:b/>
          <w:bCs/>
          <w:i/>
          <w:iCs/>
        </w:rPr>
        <w:t xml:space="preserve"> </w:t>
      </w:r>
      <w:proofErr w:type="spellStart"/>
      <w:r>
        <w:rPr>
          <w:rFonts w:ascii="AGaramondPro-BoldItalic" w:hAnsi="AGaramondPro-BoldItalic" w:cs="AGaramondPro-BoldItalic"/>
          <w:b/>
          <w:bCs/>
          <w:i/>
          <w:iCs/>
        </w:rPr>
        <w:t>cinnamomi</w:t>
      </w:r>
      <w:proofErr w:type="spellEnd"/>
      <w:r>
        <w:rPr>
          <w:rFonts w:ascii="AGaramondPro-BoldItalic" w:hAnsi="AGaramondPro-BoldItalic" w:cs="AGaramondPro-BoldItalic"/>
          <w:b/>
          <w:bCs/>
          <w:i/>
          <w:iCs/>
        </w:rPr>
        <w:t xml:space="preserve"> </w:t>
      </w:r>
      <w:r>
        <w:t xml:space="preserve">is licensed by the Commonwealth of Australia for use under a Creative Commons By Attribution 3.0 Australia </w:t>
      </w:r>
      <w:proofErr w:type="spellStart"/>
      <w:r>
        <w:t>licence</w:t>
      </w:r>
      <w:proofErr w:type="spellEnd"/>
      <w:r>
        <w:t xml:space="preserve"> with the exception of the Coat of Arms of the Commonwealth of Australia, the logo of the agency responsible for publishing the report, content supplied by third parties, and any images depicting people. </w:t>
      </w:r>
      <w:r>
        <w:br/>
        <w:t xml:space="preserve">For </w:t>
      </w:r>
      <w:proofErr w:type="spellStart"/>
      <w:r>
        <w:t>licence</w:t>
      </w:r>
      <w:proofErr w:type="spellEnd"/>
      <w:r>
        <w:t xml:space="preserve"> conditions see: http://creativecommons.org/licenses/by/3.0/au/.</w:t>
      </w:r>
    </w:p>
    <w:p w:rsidR="007D20DB" w:rsidRDefault="007D20DB" w:rsidP="007D20DB">
      <w:pPr>
        <w:pStyle w:val="05BODYTEXT"/>
      </w:pPr>
      <w:r>
        <w:t xml:space="preserve">This report should be attributed as ‘Threat abatement plan for disease in natural ecosystems caused by </w:t>
      </w:r>
      <w:proofErr w:type="spellStart"/>
      <w:r>
        <w:rPr>
          <w:rStyle w:val="ITALIC"/>
        </w:rPr>
        <w:t>Phytophthora</w:t>
      </w:r>
      <w:proofErr w:type="spellEnd"/>
      <w:r>
        <w:rPr>
          <w:rStyle w:val="ITALIC"/>
        </w:rPr>
        <w:t xml:space="preserve"> </w:t>
      </w:r>
      <w:proofErr w:type="spellStart"/>
      <w:r>
        <w:rPr>
          <w:rStyle w:val="ITALIC"/>
        </w:rPr>
        <w:t>cinnamomi</w:t>
      </w:r>
      <w:proofErr w:type="spellEnd"/>
      <w:r>
        <w:t>, Commonwealth of Australia, 2014’.</w:t>
      </w:r>
    </w:p>
    <w:p w:rsidR="007D20DB" w:rsidRDefault="007D20DB" w:rsidP="007D20DB">
      <w:pPr>
        <w:pStyle w:val="05BODYTEXT"/>
      </w:pPr>
      <w:r>
        <w:t>The views and opinions expressed in this publication are those of the authors and do not necessarily reflect those of the Australian Government or the Minister for the Environment.</w:t>
      </w:r>
    </w:p>
    <w:p w:rsidR="007D20DB" w:rsidRDefault="007D20DB" w:rsidP="007D20DB">
      <w:pPr>
        <w:pStyle w:val="05BODYTEXT"/>
      </w:pPr>
      <w:r>
        <w:t xml:space="preserve">The contents of this document have been compiled using a range of source materials and are valid as at </w:t>
      </w:r>
      <w:r>
        <w:br/>
        <w:t>August 2013.</w:t>
      </w:r>
    </w:p>
    <w:p w:rsidR="00837391" w:rsidRDefault="007D20DB" w:rsidP="00837391">
      <w:pPr>
        <w:pStyle w:val="05BODYTEXT"/>
      </w:pPr>
      <w:r>
        <w:t xml:space="preserve">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w:t>
      </w:r>
      <w:proofErr w:type="gramStart"/>
      <w:r>
        <w:lastRenderedPageBreak/>
        <w:t>publication</w:t>
      </w:r>
      <w:proofErr w:type="gramEnd"/>
      <w:r>
        <w:t>.</w:t>
      </w:r>
    </w:p>
    <w:bookmarkStart w:id="3" w:name="_Toc252875033" w:displacedByCustomXml="next"/>
    <w:bookmarkStart w:id="4" w:name="_Toc253067272" w:displacedByCustomXml="next"/>
    <w:sdt>
      <w:sdtPr>
        <w:rPr>
          <w:rFonts w:ascii="Times New Roman" w:hAnsi="Times New Roman" w:cs="Times New Roman"/>
          <w:color w:val="auto"/>
          <w:sz w:val="24"/>
          <w:szCs w:val="24"/>
          <w:lang w:val="en-AU" w:eastAsia="en-US"/>
        </w:rPr>
        <w:id w:val="-1406526541"/>
        <w:docPartObj>
          <w:docPartGallery w:val="Table of Contents"/>
          <w:docPartUnique/>
        </w:docPartObj>
      </w:sdtPr>
      <w:sdtEndPr>
        <w:rPr>
          <w:b/>
          <w:bCs/>
          <w:noProof/>
        </w:rPr>
      </w:sdtEndPr>
      <w:sdtContent>
        <w:p w:rsidR="00162EA4" w:rsidRDefault="003C6CBC" w:rsidP="00162EA4">
          <w:pPr>
            <w:pStyle w:val="01HEADING1"/>
          </w:pPr>
          <w:r>
            <w:t>Table of Contents</w:t>
          </w:r>
          <w:bookmarkEnd w:id="4"/>
          <w:bookmarkEnd w:id="3"/>
        </w:p>
        <w:p w:rsidR="00162EA4" w:rsidRDefault="00162EA4">
          <w:pPr>
            <w:pStyle w:val="TOC1"/>
            <w:tabs>
              <w:tab w:val="right" w:leader="dot" w:pos="9628"/>
            </w:tabs>
          </w:pPr>
        </w:p>
        <w:p w:rsidR="00162EA4" w:rsidRDefault="00D623D7">
          <w:pPr>
            <w:pStyle w:val="TOC1"/>
            <w:tabs>
              <w:tab w:val="right" w:leader="dot" w:pos="9628"/>
            </w:tabs>
            <w:rPr>
              <w:rFonts w:cstheme="minorBidi"/>
              <w:b w:val="0"/>
              <w:noProof/>
              <w:lang w:val="en-US" w:eastAsia="ja-JP"/>
            </w:rPr>
          </w:pPr>
          <w:r w:rsidRPr="00D623D7">
            <w:fldChar w:fldCharType="begin"/>
          </w:r>
          <w:r w:rsidR="003C6CBC">
            <w:instrText xml:space="preserve"> TOC \o "1-3" \t "01 HEADING 1,1,02 HEADING 2,2,03 HEADING 3,3" </w:instrText>
          </w:r>
          <w:r w:rsidRPr="00D623D7">
            <w:fldChar w:fldCharType="separate"/>
          </w:r>
          <w:r w:rsidR="00162EA4">
            <w:rPr>
              <w:noProof/>
            </w:rPr>
            <w:t xml:space="preserve">Threat abatement plan for disease in natural ecosystems caused by </w:t>
          </w:r>
          <w:r w:rsidR="00162EA4">
            <w:rPr>
              <w:noProof/>
            </w:rPr>
            <w:br/>
          </w:r>
          <w:r w:rsidR="00162EA4" w:rsidRPr="005D27F9">
            <w:rPr>
              <w:rFonts w:ascii="MyriadPro-It" w:hAnsi="MyriadPro-It" w:cs="MyriadPro-It"/>
              <w:i/>
              <w:iCs/>
              <w:noProof/>
            </w:rPr>
            <w:t>Phytophthora cinnamomi</w:t>
          </w:r>
          <w:r w:rsidR="00162EA4">
            <w:rPr>
              <w:noProof/>
            </w:rPr>
            <w:tab/>
          </w:r>
          <w:r>
            <w:rPr>
              <w:noProof/>
            </w:rPr>
            <w:fldChar w:fldCharType="begin"/>
          </w:r>
          <w:r w:rsidR="00162EA4">
            <w:rPr>
              <w:noProof/>
            </w:rPr>
            <w:instrText xml:space="preserve"> PAGEREF _Toc253067271 \h </w:instrText>
          </w:r>
          <w:r>
            <w:rPr>
              <w:noProof/>
            </w:rPr>
          </w:r>
          <w:r>
            <w:rPr>
              <w:noProof/>
            </w:rPr>
            <w:fldChar w:fldCharType="separate"/>
          </w:r>
          <w:r w:rsidR="00CB7E3D">
            <w:rPr>
              <w:noProof/>
            </w:rPr>
            <w:t>1</w:t>
          </w:r>
          <w:r>
            <w:rPr>
              <w:noProof/>
            </w:rPr>
            <w:fldChar w:fldCharType="end"/>
          </w:r>
        </w:p>
        <w:p w:rsidR="00162EA4" w:rsidRDefault="00162EA4">
          <w:pPr>
            <w:pStyle w:val="TOC1"/>
            <w:tabs>
              <w:tab w:val="right" w:leader="dot" w:pos="9628"/>
            </w:tabs>
            <w:rPr>
              <w:rFonts w:cstheme="minorBidi"/>
              <w:b w:val="0"/>
              <w:noProof/>
              <w:lang w:val="en-US" w:eastAsia="ja-JP"/>
            </w:rPr>
          </w:pPr>
          <w:r>
            <w:rPr>
              <w:noProof/>
            </w:rPr>
            <w:t>1. Introduction</w:t>
          </w:r>
          <w:r>
            <w:rPr>
              <w:noProof/>
            </w:rPr>
            <w:tab/>
          </w:r>
          <w:r w:rsidR="00D623D7">
            <w:rPr>
              <w:noProof/>
            </w:rPr>
            <w:fldChar w:fldCharType="begin"/>
          </w:r>
          <w:r>
            <w:rPr>
              <w:noProof/>
            </w:rPr>
            <w:instrText xml:space="preserve"> PAGEREF _Toc253067273 \h </w:instrText>
          </w:r>
          <w:r w:rsidR="00D623D7">
            <w:rPr>
              <w:noProof/>
            </w:rPr>
          </w:r>
          <w:r w:rsidR="00D623D7">
            <w:rPr>
              <w:noProof/>
            </w:rPr>
            <w:fldChar w:fldCharType="separate"/>
          </w:r>
          <w:r w:rsidR="00CB7E3D">
            <w:rPr>
              <w:noProof/>
            </w:rPr>
            <w:t>3</w:t>
          </w:r>
          <w:r w:rsidR="00D623D7">
            <w:rPr>
              <w:noProof/>
            </w:rPr>
            <w:fldChar w:fldCharType="end"/>
          </w:r>
        </w:p>
        <w:p w:rsidR="00162EA4" w:rsidRDefault="00162EA4">
          <w:pPr>
            <w:pStyle w:val="TOC2"/>
            <w:tabs>
              <w:tab w:val="left" w:pos="792"/>
              <w:tab w:val="right" w:leader="dot" w:pos="9628"/>
            </w:tabs>
            <w:rPr>
              <w:rFonts w:cstheme="minorBidi"/>
              <w:b w:val="0"/>
              <w:noProof/>
              <w:sz w:val="24"/>
              <w:szCs w:val="24"/>
              <w:lang w:val="en-US" w:eastAsia="ja-JP"/>
            </w:rPr>
          </w:pPr>
          <w:r>
            <w:rPr>
              <w:noProof/>
            </w:rPr>
            <w:t>1.1</w:t>
          </w:r>
          <w:r>
            <w:rPr>
              <w:rFonts w:cstheme="minorBidi"/>
              <w:b w:val="0"/>
              <w:noProof/>
              <w:sz w:val="24"/>
              <w:szCs w:val="24"/>
              <w:lang w:val="en-US" w:eastAsia="ja-JP"/>
            </w:rPr>
            <w:tab/>
          </w:r>
          <w:r>
            <w:rPr>
              <w:noProof/>
            </w:rPr>
            <w:t>Threat abatement plans and implementation</w:t>
          </w:r>
          <w:r>
            <w:rPr>
              <w:noProof/>
            </w:rPr>
            <w:tab/>
          </w:r>
          <w:r w:rsidR="00D623D7">
            <w:rPr>
              <w:noProof/>
            </w:rPr>
            <w:fldChar w:fldCharType="begin"/>
          </w:r>
          <w:r>
            <w:rPr>
              <w:noProof/>
            </w:rPr>
            <w:instrText xml:space="preserve"> PAGEREF _Toc253067274 \h </w:instrText>
          </w:r>
          <w:r w:rsidR="00D623D7">
            <w:rPr>
              <w:noProof/>
            </w:rPr>
          </w:r>
          <w:r w:rsidR="00D623D7">
            <w:rPr>
              <w:noProof/>
            </w:rPr>
            <w:fldChar w:fldCharType="separate"/>
          </w:r>
          <w:r w:rsidR="00CB7E3D">
            <w:rPr>
              <w:noProof/>
            </w:rPr>
            <w:t>4</w:t>
          </w:r>
          <w:r w:rsidR="00D623D7">
            <w:rPr>
              <w:noProof/>
            </w:rPr>
            <w:fldChar w:fldCharType="end"/>
          </w:r>
        </w:p>
        <w:p w:rsidR="00162EA4" w:rsidRDefault="00162EA4">
          <w:pPr>
            <w:pStyle w:val="TOC2"/>
            <w:tabs>
              <w:tab w:val="left" w:pos="792"/>
              <w:tab w:val="right" w:leader="dot" w:pos="9628"/>
            </w:tabs>
            <w:rPr>
              <w:rFonts w:cstheme="minorBidi"/>
              <w:b w:val="0"/>
              <w:noProof/>
              <w:sz w:val="24"/>
              <w:szCs w:val="24"/>
              <w:lang w:val="en-US" w:eastAsia="ja-JP"/>
            </w:rPr>
          </w:pPr>
          <w:r>
            <w:rPr>
              <w:noProof/>
            </w:rPr>
            <w:t>1.2</w:t>
          </w:r>
          <w:r>
            <w:rPr>
              <w:rFonts w:cstheme="minorBidi"/>
              <w:b w:val="0"/>
              <w:noProof/>
              <w:sz w:val="24"/>
              <w:szCs w:val="24"/>
              <w:lang w:val="en-US" w:eastAsia="ja-JP"/>
            </w:rPr>
            <w:tab/>
          </w:r>
          <w:r>
            <w:rPr>
              <w:noProof/>
            </w:rPr>
            <w:t>The pathogen</w:t>
          </w:r>
          <w:r>
            <w:rPr>
              <w:noProof/>
            </w:rPr>
            <w:tab/>
          </w:r>
          <w:r w:rsidR="00D623D7">
            <w:rPr>
              <w:noProof/>
            </w:rPr>
            <w:fldChar w:fldCharType="begin"/>
          </w:r>
          <w:r>
            <w:rPr>
              <w:noProof/>
            </w:rPr>
            <w:instrText xml:space="preserve"> PAGEREF _Toc253067275 \h </w:instrText>
          </w:r>
          <w:r w:rsidR="00D623D7">
            <w:rPr>
              <w:noProof/>
            </w:rPr>
          </w:r>
          <w:r w:rsidR="00D623D7">
            <w:rPr>
              <w:noProof/>
            </w:rPr>
            <w:fldChar w:fldCharType="separate"/>
          </w:r>
          <w:r w:rsidR="00CB7E3D">
            <w:rPr>
              <w:noProof/>
            </w:rPr>
            <w:t>5</w:t>
          </w:r>
          <w:r w:rsidR="00D623D7">
            <w:rPr>
              <w:noProof/>
            </w:rPr>
            <w:fldChar w:fldCharType="end"/>
          </w:r>
        </w:p>
        <w:p w:rsidR="00162EA4" w:rsidRDefault="00162EA4">
          <w:pPr>
            <w:pStyle w:val="TOC2"/>
            <w:tabs>
              <w:tab w:val="left" w:pos="840"/>
              <w:tab w:val="right" w:leader="dot" w:pos="9628"/>
            </w:tabs>
            <w:rPr>
              <w:rFonts w:cstheme="minorBidi"/>
              <w:b w:val="0"/>
              <w:noProof/>
              <w:sz w:val="24"/>
              <w:szCs w:val="24"/>
              <w:lang w:val="en-US" w:eastAsia="ja-JP"/>
            </w:rPr>
          </w:pPr>
          <w:r>
            <w:rPr>
              <w:noProof/>
            </w:rPr>
            <w:t xml:space="preserve">1.3 </w:t>
          </w:r>
          <w:r>
            <w:rPr>
              <w:rFonts w:cstheme="minorBidi"/>
              <w:b w:val="0"/>
              <w:noProof/>
              <w:sz w:val="24"/>
              <w:szCs w:val="24"/>
              <w:lang w:val="en-US" w:eastAsia="ja-JP"/>
            </w:rPr>
            <w:tab/>
          </w:r>
          <w:r>
            <w:rPr>
              <w:noProof/>
            </w:rPr>
            <w:t xml:space="preserve">Impacts of </w:t>
          </w:r>
          <w:r w:rsidRPr="005D27F9">
            <w:rPr>
              <w:i/>
              <w:noProof/>
            </w:rPr>
            <w:t>Phytophthora cinnamomi</w:t>
          </w:r>
          <w:r>
            <w:rPr>
              <w:noProof/>
            </w:rPr>
            <w:tab/>
          </w:r>
          <w:r w:rsidR="00D623D7">
            <w:rPr>
              <w:noProof/>
            </w:rPr>
            <w:fldChar w:fldCharType="begin"/>
          </w:r>
          <w:r>
            <w:rPr>
              <w:noProof/>
            </w:rPr>
            <w:instrText xml:space="preserve"> PAGEREF _Toc253067276 \h </w:instrText>
          </w:r>
          <w:r w:rsidR="00D623D7">
            <w:rPr>
              <w:noProof/>
            </w:rPr>
          </w:r>
          <w:r w:rsidR="00D623D7">
            <w:rPr>
              <w:noProof/>
            </w:rPr>
            <w:fldChar w:fldCharType="separate"/>
          </w:r>
          <w:r w:rsidR="00CB7E3D">
            <w:rPr>
              <w:noProof/>
            </w:rPr>
            <w:t>6</w:t>
          </w:r>
          <w:r w:rsidR="00D623D7">
            <w:rPr>
              <w:noProof/>
            </w:rPr>
            <w:fldChar w:fldCharType="end"/>
          </w:r>
        </w:p>
        <w:p w:rsidR="00162EA4" w:rsidRDefault="00162EA4" w:rsidP="00162EA4">
          <w:pPr>
            <w:pStyle w:val="TOC3"/>
            <w:tabs>
              <w:tab w:val="left" w:pos="1418"/>
              <w:tab w:val="right" w:leader="dot" w:pos="9628"/>
            </w:tabs>
            <w:ind w:left="1134" w:hanging="283"/>
            <w:rPr>
              <w:rFonts w:cstheme="minorBidi"/>
              <w:noProof/>
              <w:sz w:val="24"/>
              <w:szCs w:val="24"/>
              <w:lang w:val="en-US" w:eastAsia="ja-JP"/>
            </w:rPr>
          </w:pPr>
          <w:r>
            <w:rPr>
              <w:noProof/>
            </w:rPr>
            <w:t xml:space="preserve">1.3.1 </w:t>
          </w:r>
          <w:r>
            <w:rPr>
              <w:rFonts w:cstheme="minorBidi"/>
              <w:noProof/>
              <w:sz w:val="24"/>
              <w:szCs w:val="24"/>
              <w:lang w:val="en-US" w:eastAsia="ja-JP"/>
            </w:rPr>
            <w:tab/>
          </w:r>
          <w:r>
            <w:rPr>
              <w:noProof/>
            </w:rPr>
            <w:t>Ecological impacts on plants</w:t>
          </w:r>
          <w:r>
            <w:rPr>
              <w:noProof/>
            </w:rPr>
            <w:tab/>
          </w:r>
          <w:r w:rsidR="00D623D7">
            <w:rPr>
              <w:noProof/>
            </w:rPr>
            <w:fldChar w:fldCharType="begin"/>
          </w:r>
          <w:r>
            <w:rPr>
              <w:noProof/>
            </w:rPr>
            <w:instrText xml:space="preserve"> PAGEREF _Toc253067277 \h </w:instrText>
          </w:r>
          <w:r w:rsidR="00D623D7">
            <w:rPr>
              <w:noProof/>
            </w:rPr>
          </w:r>
          <w:r w:rsidR="00D623D7">
            <w:rPr>
              <w:noProof/>
            </w:rPr>
            <w:fldChar w:fldCharType="separate"/>
          </w:r>
          <w:r w:rsidR="00CB7E3D">
            <w:rPr>
              <w:noProof/>
            </w:rPr>
            <w:t>6</w:t>
          </w:r>
          <w:r w:rsidR="00D623D7">
            <w:rPr>
              <w:noProof/>
            </w:rPr>
            <w:fldChar w:fldCharType="end"/>
          </w:r>
        </w:p>
        <w:p w:rsidR="00162EA4" w:rsidRDefault="00162EA4" w:rsidP="00162EA4">
          <w:pPr>
            <w:pStyle w:val="TOC3"/>
            <w:tabs>
              <w:tab w:val="left" w:pos="1418"/>
              <w:tab w:val="right" w:leader="dot" w:pos="9628"/>
            </w:tabs>
            <w:ind w:left="1134" w:hanging="283"/>
            <w:rPr>
              <w:rFonts w:cstheme="minorBidi"/>
              <w:noProof/>
              <w:sz w:val="24"/>
              <w:szCs w:val="24"/>
              <w:lang w:val="en-US" w:eastAsia="ja-JP"/>
            </w:rPr>
          </w:pPr>
          <w:r>
            <w:rPr>
              <w:noProof/>
            </w:rPr>
            <w:t xml:space="preserve">1.3.2 </w:t>
          </w:r>
          <w:r>
            <w:rPr>
              <w:rFonts w:cstheme="minorBidi"/>
              <w:noProof/>
              <w:sz w:val="24"/>
              <w:szCs w:val="24"/>
              <w:lang w:val="en-US" w:eastAsia="ja-JP"/>
            </w:rPr>
            <w:tab/>
          </w:r>
          <w:r>
            <w:rPr>
              <w:noProof/>
            </w:rPr>
            <w:t>Ecological impacts on wildlife</w:t>
          </w:r>
          <w:r>
            <w:rPr>
              <w:noProof/>
            </w:rPr>
            <w:tab/>
          </w:r>
          <w:r w:rsidR="00D623D7">
            <w:rPr>
              <w:noProof/>
            </w:rPr>
            <w:fldChar w:fldCharType="begin"/>
          </w:r>
          <w:r>
            <w:rPr>
              <w:noProof/>
            </w:rPr>
            <w:instrText xml:space="preserve"> PAGEREF _Toc253067278 \h </w:instrText>
          </w:r>
          <w:r w:rsidR="00D623D7">
            <w:rPr>
              <w:noProof/>
            </w:rPr>
          </w:r>
          <w:r w:rsidR="00D623D7">
            <w:rPr>
              <w:noProof/>
            </w:rPr>
            <w:fldChar w:fldCharType="separate"/>
          </w:r>
          <w:r w:rsidR="00CB7E3D">
            <w:rPr>
              <w:noProof/>
            </w:rPr>
            <w:t>7</w:t>
          </w:r>
          <w:r w:rsidR="00D623D7">
            <w:rPr>
              <w:noProof/>
            </w:rPr>
            <w:fldChar w:fldCharType="end"/>
          </w:r>
        </w:p>
        <w:p w:rsidR="00162EA4" w:rsidRDefault="00162EA4" w:rsidP="00162EA4">
          <w:pPr>
            <w:pStyle w:val="TOC3"/>
            <w:tabs>
              <w:tab w:val="left" w:pos="1176"/>
              <w:tab w:val="left" w:pos="1418"/>
              <w:tab w:val="right" w:leader="dot" w:pos="9628"/>
            </w:tabs>
            <w:ind w:left="1134" w:hanging="283"/>
            <w:rPr>
              <w:rFonts w:cstheme="minorBidi"/>
              <w:noProof/>
              <w:sz w:val="24"/>
              <w:szCs w:val="24"/>
              <w:lang w:val="en-US" w:eastAsia="ja-JP"/>
            </w:rPr>
          </w:pPr>
          <w:r>
            <w:rPr>
              <w:noProof/>
            </w:rPr>
            <w:t>1.3.3</w:t>
          </w:r>
          <w:r>
            <w:rPr>
              <w:rFonts w:cstheme="minorBidi"/>
              <w:noProof/>
              <w:sz w:val="24"/>
              <w:szCs w:val="24"/>
              <w:lang w:val="en-US" w:eastAsia="ja-JP"/>
            </w:rPr>
            <w:tab/>
          </w:r>
          <w:r>
            <w:rPr>
              <w:noProof/>
            </w:rPr>
            <w:t>Impacts on matters of national environmental significance</w:t>
          </w:r>
          <w:r>
            <w:rPr>
              <w:noProof/>
            </w:rPr>
            <w:tab/>
          </w:r>
          <w:r w:rsidR="00D623D7">
            <w:rPr>
              <w:noProof/>
            </w:rPr>
            <w:fldChar w:fldCharType="begin"/>
          </w:r>
          <w:r>
            <w:rPr>
              <w:noProof/>
            </w:rPr>
            <w:instrText xml:space="preserve"> PAGEREF _Toc253067279 \h </w:instrText>
          </w:r>
          <w:r w:rsidR="00D623D7">
            <w:rPr>
              <w:noProof/>
            </w:rPr>
          </w:r>
          <w:r w:rsidR="00D623D7">
            <w:rPr>
              <w:noProof/>
            </w:rPr>
            <w:fldChar w:fldCharType="separate"/>
          </w:r>
          <w:r w:rsidR="00CB7E3D">
            <w:rPr>
              <w:noProof/>
            </w:rPr>
            <w:t>7</w:t>
          </w:r>
          <w:r w:rsidR="00D623D7">
            <w:rPr>
              <w:noProof/>
            </w:rPr>
            <w:fldChar w:fldCharType="end"/>
          </w:r>
        </w:p>
        <w:p w:rsidR="00162EA4" w:rsidRDefault="00162EA4">
          <w:pPr>
            <w:pStyle w:val="TOC2"/>
            <w:tabs>
              <w:tab w:val="left" w:pos="840"/>
              <w:tab w:val="right" w:leader="dot" w:pos="9628"/>
            </w:tabs>
            <w:rPr>
              <w:rFonts w:cstheme="minorBidi"/>
              <w:b w:val="0"/>
              <w:noProof/>
              <w:sz w:val="24"/>
              <w:szCs w:val="24"/>
              <w:lang w:val="en-US" w:eastAsia="ja-JP"/>
            </w:rPr>
          </w:pPr>
          <w:r>
            <w:rPr>
              <w:noProof/>
            </w:rPr>
            <w:t xml:space="preserve">1.4 </w:t>
          </w:r>
          <w:r>
            <w:rPr>
              <w:rFonts w:cstheme="minorBidi"/>
              <w:b w:val="0"/>
              <w:noProof/>
              <w:sz w:val="24"/>
              <w:szCs w:val="24"/>
              <w:lang w:val="en-US" w:eastAsia="ja-JP"/>
            </w:rPr>
            <w:tab/>
          </w:r>
          <w:r>
            <w:rPr>
              <w:noProof/>
            </w:rPr>
            <w:t>Managing the threat</w:t>
          </w:r>
          <w:r>
            <w:rPr>
              <w:noProof/>
            </w:rPr>
            <w:tab/>
          </w:r>
          <w:r w:rsidR="00D623D7">
            <w:rPr>
              <w:noProof/>
            </w:rPr>
            <w:fldChar w:fldCharType="begin"/>
          </w:r>
          <w:r>
            <w:rPr>
              <w:noProof/>
            </w:rPr>
            <w:instrText xml:space="preserve"> PAGEREF _Toc253067280 \h </w:instrText>
          </w:r>
          <w:r w:rsidR="00D623D7">
            <w:rPr>
              <w:noProof/>
            </w:rPr>
          </w:r>
          <w:r w:rsidR="00D623D7">
            <w:rPr>
              <w:noProof/>
            </w:rPr>
            <w:fldChar w:fldCharType="separate"/>
          </w:r>
          <w:r w:rsidR="00CB7E3D">
            <w:rPr>
              <w:noProof/>
            </w:rPr>
            <w:t>8</w:t>
          </w:r>
          <w:r w:rsidR="00D623D7">
            <w:rPr>
              <w:noProof/>
            </w:rPr>
            <w:fldChar w:fldCharType="end"/>
          </w:r>
        </w:p>
        <w:p w:rsidR="00162EA4" w:rsidRDefault="00162EA4" w:rsidP="00162EA4">
          <w:pPr>
            <w:pStyle w:val="TOC3"/>
            <w:tabs>
              <w:tab w:val="left" w:pos="1224"/>
              <w:tab w:val="right" w:leader="dot" w:pos="9628"/>
            </w:tabs>
            <w:ind w:left="1418" w:hanging="567"/>
            <w:rPr>
              <w:rFonts w:cstheme="minorBidi"/>
              <w:noProof/>
              <w:sz w:val="24"/>
              <w:szCs w:val="24"/>
              <w:lang w:val="en-US" w:eastAsia="ja-JP"/>
            </w:rPr>
          </w:pPr>
          <w:r>
            <w:rPr>
              <w:noProof/>
            </w:rPr>
            <w:t xml:space="preserve">1.4.1 </w:t>
          </w:r>
          <w:r>
            <w:rPr>
              <w:rFonts w:cstheme="minorBidi"/>
              <w:noProof/>
              <w:sz w:val="24"/>
              <w:szCs w:val="24"/>
              <w:lang w:val="en-US" w:eastAsia="ja-JP"/>
            </w:rPr>
            <w:tab/>
          </w:r>
          <w:r>
            <w:rPr>
              <w:noProof/>
            </w:rPr>
            <w:t>Minimising the spread</w:t>
          </w:r>
          <w:r>
            <w:rPr>
              <w:noProof/>
            </w:rPr>
            <w:tab/>
          </w:r>
          <w:r w:rsidR="00D623D7">
            <w:rPr>
              <w:noProof/>
            </w:rPr>
            <w:fldChar w:fldCharType="begin"/>
          </w:r>
          <w:r>
            <w:rPr>
              <w:noProof/>
            </w:rPr>
            <w:instrText xml:space="preserve"> PAGEREF _Toc253067281 \h </w:instrText>
          </w:r>
          <w:r w:rsidR="00D623D7">
            <w:rPr>
              <w:noProof/>
            </w:rPr>
          </w:r>
          <w:r w:rsidR="00D623D7">
            <w:rPr>
              <w:noProof/>
            </w:rPr>
            <w:fldChar w:fldCharType="separate"/>
          </w:r>
          <w:r w:rsidR="00CB7E3D">
            <w:rPr>
              <w:noProof/>
            </w:rPr>
            <w:t>9</w:t>
          </w:r>
          <w:r w:rsidR="00D623D7">
            <w:rPr>
              <w:noProof/>
            </w:rPr>
            <w:fldChar w:fldCharType="end"/>
          </w:r>
        </w:p>
        <w:p w:rsidR="00162EA4" w:rsidRDefault="00162EA4" w:rsidP="00162EA4">
          <w:pPr>
            <w:pStyle w:val="TOC3"/>
            <w:tabs>
              <w:tab w:val="left" w:pos="1176"/>
              <w:tab w:val="right" w:leader="dot" w:pos="9628"/>
            </w:tabs>
            <w:ind w:left="1418" w:hanging="567"/>
            <w:rPr>
              <w:rFonts w:cstheme="minorBidi"/>
              <w:noProof/>
              <w:sz w:val="24"/>
              <w:szCs w:val="24"/>
              <w:lang w:val="en-US" w:eastAsia="ja-JP"/>
            </w:rPr>
          </w:pPr>
          <w:r>
            <w:rPr>
              <w:noProof/>
            </w:rPr>
            <w:t>1.4.2</w:t>
          </w:r>
          <w:r>
            <w:rPr>
              <w:rFonts w:cstheme="minorBidi"/>
              <w:noProof/>
              <w:sz w:val="24"/>
              <w:szCs w:val="24"/>
              <w:lang w:val="en-US" w:eastAsia="ja-JP"/>
            </w:rPr>
            <w:tab/>
          </w:r>
          <w:r>
            <w:rPr>
              <w:noProof/>
            </w:rPr>
            <w:t>Mitigating the impact</w:t>
          </w:r>
          <w:r>
            <w:rPr>
              <w:noProof/>
            </w:rPr>
            <w:tab/>
          </w:r>
          <w:r w:rsidR="00D623D7">
            <w:rPr>
              <w:noProof/>
            </w:rPr>
            <w:fldChar w:fldCharType="begin"/>
          </w:r>
          <w:r>
            <w:rPr>
              <w:noProof/>
            </w:rPr>
            <w:instrText xml:space="preserve"> PAGEREF _Toc253067282 \h </w:instrText>
          </w:r>
          <w:r w:rsidR="00D623D7">
            <w:rPr>
              <w:noProof/>
            </w:rPr>
          </w:r>
          <w:r w:rsidR="00D623D7">
            <w:rPr>
              <w:noProof/>
            </w:rPr>
            <w:fldChar w:fldCharType="separate"/>
          </w:r>
          <w:r w:rsidR="00CB7E3D">
            <w:rPr>
              <w:noProof/>
            </w:rPr>
            <w:t>11</w:t>
          </w:r>
          <w:r w:rsidR="00D623D7">
            <w:rPr>
              <w:noProof/>
            </w:rPr>
            <w:fldChar w:fldCharType="end"/>
          </w:r>
        </w:p>
        <w:p w:rsidR="00162EA4" w:rsidRDefault="00162EA4">
          <w:pPr>
            <w:pStyle w:val="TOC2"/>
            <w:tabs>
              <w:tab w:val="left" w:pos="792"/>
              <w:tab w:val="right" w:leader="dot" w:pos="9628"/>
            </w:tabs>
            <w:rPr>
              <w:rFonts w:cstheme="minorBidi"/>
              <w:b w:val="0"/>
              <w:noProof/>
              <w:sz w:val="24"/>
              <w:szCs w:val="24"/>
              <w:lang w:val="en-US" w:eastAsia="ja-JP"/>
            </w:rPr>
          </w:pPr>
          <w:r>
            <w:rPr>
              <w:noProof/>
            </w:rPr>
            <w:t>1.5</w:t>
          </w:r>
          <w:r>
            <w:rPr>
              <w:rFonts w:cstheme="minorBidi"/>
              <w:b w:val="0"/>
              <w:noProof/>
              <w:sz w:val="24"/>
              <w:szCs w:val="24"/>
              <w:lang w:val="en-US" w:eastAsia="ja-JP"/>
            </w:rPr>
            <w:tab/>
          </w:r>
          <w:r>
            <w:rPr>
              <w:noProof/>
            </w:rPr>
            <w:t>Climate change</w:t>
          </w:r>
          <w:r>
            <w:rPr>
              <w:noProof/>
            </w:rPr>
            <w:tab/>
          </w:r>
          <w:r w:rsidR="00D623D7">
            <w:rPr>
              <w:noProof/>
            </w:rPr>
            <w:fldChar w:fldCharType="begin"/>
          </w:r>
          <w:r>
            <w:rPr>
              <w:noProof/>
            </w:rPr>
            <w:instrText xml:space="preserve"> PAGEREF _Toc253067283 \h </w:instrText>
          </w:r>
          <w:r w:rsidR="00D623D7">
            <w:rPr>
              <w:noProof/>
            </w:rPr>
          </w:r>
          <w:r w:rsidR="00D623D7">
            <w:rPr>
              <w:noProof/>
            </w:rPr>
            <w:fldChar w:fldCharType="separate"/>
          </w:r>
          <w:r w:rsidR="00CB7E3D">
            <w:rPr>
              <w:noProof/>
            </w:rPr>
            <w:t>12</w:t>
          </w:r>
          <w:r w:rsidR="00D623D7">
            <w:rPr>
              <w:noProof/>
            </w:rPr>
            <w:fldChar w:fldCharType="end"/>
          </w:r>
        </w:p>
        <w:p w:rsidR="00162EA4" w:rsidRDefault="00162EA4">
          <w:pPr>
            <w:pStyle w:val="TOC1"/>
            <w:tabs>
              <w:tab w:val="left" w:pos="491"/>
              <w:tab w:val="right" w:leader="dot" w:pos="9628"/>
            </w:tabs>
            <w:rPr>
              <w:rFonts w:cstheme="minorBidi"/>
              <w:b w:val="0"/>
              <w:noProof/>
              <w:lang w:val="en-US" w:eastAsia="ja-JP"/>
            </w:rPr>
          </w:pPr>
          <w:r>
            <w:rPr>
              <w:noProof/>
            </w:rPr>
            <w:t>2. Objectives and Actions</w:t>
          </w:r>
          <w:r>
            <w:rPr>
              <w:noProof/>
            </w:rPr>
            <w:tab/>
          </w:r>
          <w:r w:rsidR="00D623D7">
            <w:rPr>
              <w:noProof/>
            </w:rPr>
            <w:fldChar w:fldCharType="begin"/>
          </w:r>
          <w:r>
            <w:rPr>
              <w:noProof/>
            </w:rPr>
            <w:instrText xml:space="preserve"> PAGEREF _Toc253067284 \h </w:instrText>
          </w:r>
          <w:r w:rsidR="00D623D7">
            <w:rPr>
              <w:noProof/>
            </w:rPr>
          </w:r>
          <w:r w:rsidR="00D623D7">
            <w:rPr>
              <w:noProof/>
            </w:rPr>
            <w:fldChar w:fldCharType="separate"/>
          </w:r>
          <w:r w:rsidR="00CB7E3D">
            <w:rPr>
              <w:noProof/>
            </w:rPr>
            <w:t>13</w:t>
          </w:r>
          <w:r w:rsidR="00D623D7">
            <w:rPr>
              <w:noProof/>
            </w:rPr>
            <w:fldChar w:fldCharType="end"/>
          </w:r>
        </w:p>
        <w:p w:rsidR="00162EA4" w:rsidRDefault="00162EA4">
          <w:pPr>
            <w:pStyle w:val="TOC2"/>
            <w:tabs>
              <w:tab w:val="right" w:leader="dot" w:pos="9628"/>
            </w:tabs>
            <w:rPr>
              <w:rFonts w:cstheme="minorBidi"/>
              <w:b w:val="0"/>
              <w:noProof/>
              <w:sz w:val="24"/>
              <w:szCs w:val="24"/>
              <w:lang w:val="en-US" w:eastAsia="ja-JP"/>
            </w:rPr>
          </w:pPr>
          <w:r>
            <w:rPr>
              <w:noProof/>
            </w:rPr>
            <w:t xml:space="preserve">Objective 1: Identify and prioritise for protection biodiversity assets that are, or may be, impacted by </w:t>
          </w:r>
          <w:r w:rsidRPr="005D27F9">
            <w:rPr>
              <w:rFonts w:ascii="MyriadPro-SemiboldIt" w:hAnsi="MyriadPro-SemiboldIt" w:cs="MyriadPro-SemiboldIt"/>
              <w:i/>
              <w:iCs/>
              <w:noProof/>
            </w:rPr>
            <w:t>Phytophthora cinnamomi</w:t>
          </w:r>
          <w:r>
            <w:rPr>
              <w:noProof/>
            </w:rPr>
            <w:tab/>
          </w:r>
          <w:r w:rsidR="00D623D7">
            <w:rPr>
              <w:noProof/>
            </w:rPr>
            <w:fldChar w:fldCharType="begin"/>
          </w:r>
          <w:r>
            <w:rPr>
              <w:noProof/>
            </w:rPr>
            <w:instrText xml:space="preserve"> PAGEREF _Toc253067285 \h </w:instrText>
          </w:r>
          <w:r w:rsidR="00D623D7">
            <w:rPr>
              <w:noProof/>
            </w:rPr>
          </w:r>
          <w:r w:rsidR="00D623D7">
            <w:rPr>
              <w:noProof/>
            </w:rPr>
            <w:fldChar w:fldCharType="separate"/>
          </w:r>
          <w:r w:rsidR="00CB7E3D">
            <w:rPr>
              <w:noProof/>
            </w:rPr>
            <w:t>13</w:t>
          </w:r>
          <w:r w:rsidR="00D623D7">
            <w:rPr>
              <w:noProof/>
            </w:rPr>
            <w:fldChar w:fldCharType="end"/>
          </w:r>
        </w:p>
        <w:p w:rsidR="00162EA4" w:rsidRDefault="00162EA4">
          <w:pPr>
            <w:pStyle w:val="TOC2"/>
            <w:tabs>
              <w:tab w:val="right" w:leader="dot" w:pos="9628"/>
            </w:tabs>
            <w:rPr>
              <w:rFonts w:cstheme="minorBidi"/>
              <w:b w:val="0"/>
              <w:noProof/>
              <w:sz w:val="24"/>
              <w:szCs w:val="24"/>
              <w:lang w:val="en-US" w:eastAsia="ja-JP"/>
            </w:rPr>
          </w:pPr>
          <w:r>
            <w:rPr>
              <w:noProof/>
            </w:rPr>
            <w:t xml:space="preserve">Objective 2: Protect priority biodiversity assets through reducing the spread and mitigating the impacts of </w:t>
          </w:r>
          <w:r w:rsidRPr="005D27F9">
            <w:rPr>
              <w:rFonts w:ascii="MyriadPro-SemiboldIt" w:hAnsi="MyriadPro-SemiboldIt" w:cs="MyriadPro-SemiboldIt"/>
              <w:i/>
              <w:iCs/>
              <w:noProof/>
            </w:rPr>
            <w:t>Phytophthora cinnamomi</w:t>
          </w:r>
          <w:r>
            <w:rPr>
              <w:noProof/>
            </w:rPr>
            <w:tab/>
          </w:r>
          <w:r w:rsidR="00D623D7">
            <w:rPr>
              <w:noProof/>
            </w:rPr>
            <w:fldChar w:fldCharType="begin"/>
          </w:r>
          <w:r>
            <w:rPr>
              <w:noProof/>
            </w:rPr>
            <w:instrText xml:space="preserve"> PAGEREF _Toc253067286 \h </w:instrText>
          </w:r>
          <w:r w:rsidR="00D623D7">
            <w:rPr>
              <w:noProof/>
            </w:rPr>
          </w:r>
          <w:r w:rsidR="00D623D7">
            <w:rPr>
              <w:noProof/>
            </w:rPr>
            <w:fldChar w:fldCharType="separate"/>
          </w:r>
          <w:r w:rsidR="00CB7E3D">
            <w:rPr>
              <w:noProof/>
            </w:rPr>
            <w:t>15</w:t>
          </w:r>
          <w:r w:rsidR="00D623D7">
            <w:rPr>
              <w:noProof/>
            </w:rPr>
            <w:fldChar w:fldCharType="end"/>
          </w:r>
        </w:p>
        <w:p w:rsidR="00162EA4" w:rsidRDefault="00162EA4">
          <w:pPr>
            <w:pStyle w:val="TOC2"/>
            <w:tabs>
              <w:tab w:val="right" w:leader="dot" w:pos="9628"/>
            </w:tabs>
            <w:rPr>
              <w:rFonts w:cstheme="minorBidi"/>
              <w:b w:val="0"/>
              <w:noProof/>
              <w:sz w:val="24"/>
              <w:szCs w:val="24"/>
              <w:lang w:val="en-US" w:eastAsia="ja-JP"/>
            </w:rPr>
          </w:pPr>
          <w:r>
            <w:rPr>
              <w:noProof/>
            </w:rPr>
            <w:t>Objective 3: Communication and training</w:t>
          </w:r>
          <w:r>
            <w:rPr>
              <w:noProof/>
            </w:rPr>
            <w:tab/>
          </w:r>
          <w:r w:rsidR="00D623D7">
            <w:rPr>
              <w:noProof/>
            </w:rPr>
            <w:fldChar w:fldCharType="begin"/>
          </w:r>
          <w:r>
            <w:rPr>
              <w:noProof/>
            </w:rPr>
            <w:instrText xml:space="preserve"> PAGEREF _Toc253067287 \h </w:instrText>
          </w:r>
          <w:r w:rsidR="00D623D7">
            <w:rPr>
              <w:noProof/>
            </w:rPr>
          </w:r>
          <w:r w:rsidR="00D623D7">
            <w:rPr>
              <w:noProof/>
            </w:rPr>
            <w:fldChar w:fldCharType="separate"/>
          </w:r>
          <w:r w:rsidR="00CB7E3D">
            <w:rPr>
              <w:noProof/>
            </w:rPr>
            <w:t>17</w:t>
          </w:r>
          <w:r w:rsidR="00D623D7">
            <w:rPr>
              <w:noProof/>
            </w:rPr>
            <w:fldChar w:fldCharType="end"/>
          </w:r>
        </w:p>
        <w:p w:rsidR="00162EA4" w:rsidRDefault="00162EA4">
          <w:pPr>
            <w:pStyle w:val="TOC2"/>
            <w:tabs>
              <w:tab w:val="right" w:leader="dot" w:pos="9628"/>
            </w:tabs>
            <w:rPr>
              <w:rFonts w:cstheme="minorBidi"/>
              <w:b w:val="0"/>
              <w:noProof/>
              <w:sz w:val="24"/>
              <w:szCs w:val="24"/>
              <w:lang w:val="en-US" w:eastAsia="ja-JP"/>
            </w:rPr>
          </w:pPr>
          <w:r>
            <w:rPr>
              <w:noProof/>
            </w:rPr>
            <w:t>Research actions</w:t>
          </w:r>
          <w:r>
            <w:rPr>
              <w:noProof/>
            </w:rPr>
            <w:tab/>
          </w:r>
          <w:r w:rsidR="00D623D7">
            <w:rPr>
              <w:noProof/>
            </w:rPr>
            <w:fldChar w:fldCharType="begin"/>
          </w:r>
          <w:r>
            <w:rPr>
              <w:noProof/>
            </w:rPr>
            <w:instrText xml:space="preserve"> PAGEREF _Toc253067288 \h </w:instrText>
          </w:r>
          <w:r w:rsidR="00D623D7">
            <w:rPr>
              <w:noProof/>
            </w:rPr>
          </w:r>
          <w:r w:rsidR="00D623D7">
            <w:rPr>
              <w:noProof/>
            </w:rPr>
            <w:fldChar w:fldCharType="separate"/>
          </w:r>
          <w:r w:rsidR="00CB7E3D">
            <w:rPr>
              <w:noProof/>
            </w:rPr>
            <w:t>19</w:t>
          </w:r>
          <w:r w:rsidR="00D623D7">
            <w:rPr>
              <w:noProof/>
            </w:rPr>
            <w:fldChar w:fldCharType="end"/>
          </w:r>
        </w:p>
        <w:p w:rsidR="00162EA4" w:rsidRDefault="00162EA4">
          <w:pPr>
            <w:pStyle w:val="TOC1"/>
            <w:tabs>
              <w:tab w:val="left" w:pos="491"/>
              <w:tab w:val="right" w:leader="dot" w:pos="9628"/>
            </w:tabs>
            <w:rPr>
              <w:rFonts w:cstheme="minorBidi"/>
              <w:b w:val="0"/>
              <w:noProof/>
              <w:lang w:val="en-US" w:eastAsia="ja-JP"/>
            </w:rPr>
          </w:pPr>
          <w:r>
            <w:rPr>
              <w:noProof/>
            </w:rPr>
            <w:t>3. Duration, Review, Funding and Implementation</w:t>
          </w:r>
          <w:r>
            <w:rPr>
              <w:noProof/>
            </w:rPr>
            <w:tab/>
          </w:r>
          <w:r w:rsidR="00D623D7">
            <w:rPr>
              <w:noProof/>
            </w:rPr>
            <w:fldChar w:fldCharType="begin"/>
          </w:r>
          <w:r>
            <w:rPr>
              <w:noProof/>
            </w:rPr>
            <w:instrText xml:space="preserve"> PAGEREF _Toc253067289 \h </w:instrText>
          </w:r>
          <w:r w:rsidR="00D623D7">
            <w:rPr>
              <w:noProof/>
            </w:rPr>
          </w:r>
          <w:r w:rsidR="00D623D7">
            <w:rPr>
              <w:noProof/>
            </w:rPr>
            <w:fldChar w:fldCharType="separate"/>
          </w:r>
          <w:r w:rsidR="00CB7E3D">
            <w:rPr>
              <w:noProof/>
            </w:rPr>
            <w:t>23</w:t>
          </w:r>
          <w:r w:rsidR="00D623D7">
            <w:rPr>
              <w:noProof/>
            </w:rPr>
            <w:fldChar w:fldCharType="end"/>
          </w:r>
        </w:p>
        <w:p w:rsidR="00162EA4" w:rsidRDefault="00162EA4">
          <w:pPr>
            <w:pStyle w:val="TOC2"/>
            <w:tabs>
              <w:tab w:val="left" w:pos="840"/>
              <w:tab w:val="right" w:leader="dot" w:pos="9628"/>
            </w:tabs>
            <w:rPr>
              <w:rFonts w:cstheme="minorBidi"/>
              <w:b w:val="0"/>
              <w:noProof/>
              <w:sz w:val="24"/>
              <w:szCs w:val="24"/>
              <w:lang w:val="en-US" w:eastAsia="ja-JP"/>
            </w:rPr>
          </w:pPr>
          <w:r>
            <w:rPr>
              <w:noProof/>
            </w:rPr>
            <w:t xml:space="preserve">3.1 </w:t>
          </w:r>
          <w:r>
            <w:rPr>
              <w:rFonts w:cstheme="minorBidi"/>
              <w:b w:val="0"/>
              <w:noProof/>
              <w:sz w:val="24"/>
              <w:szCs w:val="24"/>
              <w:lang w:val="en-US" w:eastAsia="ja-JP"/>
            </w:rPr>
            <w:tab/>
          </w:r>
          <w:r>
            <w:rPr>
              <w:noProof/>
            </w:rPr>
            <w:t>Duration and review of the plan</w:t>
          </w:r>
          <w:r>
            <w:rPr>
              <w:noProof/>
            </w:rPr>
            <w:tab/>
          </w:r>
          <w:r w:rsidR="00D623D7">
            <w:rPr>
              <w:noProof/>
            </w:rPr>
            <w:fldChar w:fldCharType="begin"/>
          </w:r>
          <w:r>
            <w:rPr>
              <w:noProof/>
            </w:rPr>
            <w:instrText xml:space="preserve"> PAGEREF _Toc253067290 \h </w:instrText>
          </w:r>
          <w:r w:rsidR="00D623D7">
            <w:rPr>
              <w:noProof/>
            </w:rPr>
          </w:r>
          <w:r w:rsidR="00D623D7">
            <w:rPr>
              <w:noProof/>
            </w:rPr>
            <w:fldChar w:fldCharType="separate"/>
          </w:r>
          <w:r w:rsidR="00CB7E3D">
            <w:rPr>
              <w:noProof/>
            </w:rPr>
            <w:t>23</w:t>
          </w:r>
          <w:r w:rsidR="00D623D7">
            <w:rPr>
              <w:noProof/>
            </w:rPr>
            <w:fldChar w:fldCharType="end"/>
          </w:r>
        </w:p>
        <w:p w:rsidR="00162EA4" w:rsidRDefault="00162EA4">
          <w:pPr>
            <w:pStyle w:val="TOC2"/>
            <w:tabs>
              <w:tab w:val="left" w:pos="840"/>
              <w:tab w:val="right" w:leader="dot" w:pos="9628"/>
            </w:tabs>
            <w:rPr>
              <w:rFonts w:cstheme="minorBidi"/>
              <w:b w:val="0"/>
              <w:noProof/>
              <w:sz w:val="24"/>
              <w:szCs w:val="24"/>
              <w:lang w:val="en-US" w:eastAsia="ja-JP"/>
            </w:rPr>
          </w:pPr>
          <w:r>
            <w:rPr>
              <w:noProof/>
            </w:rPr>
            <w:t xml:space="preserve">3.2 </w:t>
          </w:r>
          <w:r>
            <w:rPr>
              <w:rFonts w:cstheme="minorBidi"/>
              <w:b w:val="0"/>
              <w:noProof/>
              <w:sz w:val="24"/>
              <w:szCs w:val="24"/>
              <w:lang w:val="en-US" w:eastAsia="ja-JP"/>
            </w:rPr>
            <w:tab/>
          </w:r>
          <w:r>
            <w:rPr>
              <w:noProof/>
            </w:rPr>
            <w:t>Funding and implementation</w:t>
          </w:r>
          <w:r>
            <w:rPr>
              <w:noProof/>
            </w:rPr>
            <w:tab/>
          </w:r>
          <w:r w:rsidR="00D623D7">
            <w:rPr>
              <w:noProof/>
            </w:rPr>
            <w:fldChar w:fldCharType="begin"/>
          </w:r>
          <w:r>
            <w:rPr>
              <w:noProof/>
            </w:rPr>
            <w:instrText xml:space="preserve"> PAGEREF _Toc253067291 \h </w:instrText>
          </w:r>
          <w:r w:rsidR="00D623D7">
            <w:rPr>
              <w:noProof/>
            </w:rPr>
          </w:r>
          <w:r w:rsidR="00D623D7">
            <w:rPr>
              <w:noProof/>
            </w:rPr>
            <w:fldChar w:fldCharType="separate"/>
          </w:r>
          <w:r w:rsidR="00CB7E3D">
            <w:rPr>
              <w:noProof/>
            </w:rPr>
            <w:t>23</w:t>
          </w:r>
          <w:r w:rsidR="00D623D7">
            <w:rPr>
              <w:noProof/>
            </w:rPr>
            <w:fldChar w:fldCharType="end"/>
          </w:r>
        </w:p>
        <w:p w:rsidR="00162EA4" w:rsidRDefault="00162EA4">
          <w:pPr>
            <w:pStyle w:val="TOC1"/>
            <w:tabs>
              <w:tab w:val="left" w:pos="438"/>
              <w:tab w:val="right" w:leader="dot" w:pos="9628"/>
            </w:tabs>
            <w:rPr>
              <w:rFonts w:cstheme="minorBidi"/>
              <w:b w:val="0"/>
              <w:noProof/>
              <w:lang w:val="en-US" w:eastAsia="ja-JP"/>
            </w:rPr>
          </w:pPr>
          <w:r>
            <w:rPr>
              <w:noProof/>
            </w:rPr>
            <w:t>4.</w:t>
          </w:r>
          <w:r>
            <w:rPr>
              <w:rFonts w:cstheme="minorBidi"/>
              <w:b w:val="0"/>
              <w:noProof/>
              <w:lang w:val="en-US" w:eastAsia="ja-JP"/>
            </w:rPr>
            <w:tab/>
          </w:r>
          <w:r>
            <w:rPr>
              <w:noProof/>
            </w:rPr>
            <w:t>Glossary and Abbreviations</w:t>
          </w:r>
          <w:r>
            <w:rPr>
              <w:noProof/>
            </w:rPr>
            <w:tab/>
          </w:r>
          <w:r w:rsidR="00D623D7">
            <w:rPr>
              <w:noProof/>
            </w:rPr>
            <w:fldChar w:fldCharType="begin"/>
          </w:r>
          <w:r>
            <w:rPr>
              <w:noProof/>
            </w:rPr>
            <w:instrText xml:space="preserve"> PAGEREF _Toc253067292 \h </w:instrText>
          </w:r>
          <w:r w:rsidR="00D623D7">
            <w:rPr>
              <w:noProof/>
            </w:rPr>
          </w:r>
          <w:r w:rsidR="00D623D7">
            <w:rPr>
              <w:noProof/>
            </w:rPr>
            <w:fldChar w:fldCharType="separate"/>
          </w:r>
          <w:r w:rsidR="00CB7E3D">
            <w:rPr>
              <w:noProof/>
            </w:rPr>
            <w:t>24</w:t>
          </w:r>
          <w:r w:rsidR="00D623D7">
            <w:rPr>
              <w:noProof/>
            </w:rPr>
            <w:fldChar w:fldCharType="end"/>
          </w:r>
        </w:p>
        <w:p w:rsidR="00162EA4" w:rsidRDefault="00162EA4">
          <w:pPr>
            <w:pStyle w:val="TOC1"/>
            <w:tabs>
              <w:tab w:val="left" w:pos="438"/>
              <w:tab w:val="right" w:leader="dot" w:pos="9628"/>
            </w:tabs>
            <w:rPr>
              <w:rFonts w:cstheme="minorBidi"/>
              <w:b w:val="0"/>
              <w:noProof/>
              <w:lang w:val="en-US" w:eastAsia="ja-JP"/>
            </w:rPr>
          </w:pPr>
          <w:r>
            <w:rPr>
              <w:noProof/>
            </w:rPr>
            <w:t>5.</w:t>
          </w:r>
          <w:r>
            <w:rPr>
              <w:rFonts w:cstheme="minorBidi"/>
              <w:b w:val="0"/>
              <w:noProof/>
              <w:lang w:val="en-US" w:eastAsia="ja-JP"/>
            </w:rPr>
            <w:tab/>
          </w:r>
          <w:r>
            <w:rPr>
              <w:noProof/>
            </w:rPr>
            <w:t>References</w:t>
          </w:r>
          <w:r>
            <w:rPr>
              <w:noProof/>
            </w:rPr>
            <w:tab/>
          </w:r>
          <w:r w:rsidR="00D623D7">
            <w:rPr>
              <w:noProof/>
            </w:rPr>
            <w:fldChar w:fldCharType="begin"/>
          </w:r>
          <w:r>
            <w:rPr>
              <w:noProof/>
            </w:rPr>
            <w:instrText xml:space="preserve"> PAGEREF _Toc253067293 \h </w:instrText>
          </w:r>
          <w:r w:rsidR="00D623D7">
            <w:rPr>
              <w:noProof/>
            </w:rPr>
          </w:r>
          <w:r w:rsidR="00D623D7">
            <w:rPr>
              <w:noProof/>
            </w:rPr>
            <w:fldChar w:fldCharType="separate"/>
          </w:r>
          <w:r w:rsidR="00CB7E3D">
            <w:rPr>
              <w:noProof/>
            </w:rPr>
            <w:t>26</w:t>
          </w:r>
          <w:r w:rsidR="00D623D7">
            <w:rPr>
              <w:noProof/>
            </w:rPr>
            <w:fldChar w:fldCharType="end"/>
          </w:r>
        </w:p>
        <w:p w:rsidR="00162EA4" w:rsidRDefault="00162EA4">
          <w:pPr>
            <w:pStyle w:val="TOC1"/>
            <w:tabs>
              <w:tab w:val="right" w:leader="dot" w:pos="9628"/>
            </w:tabs>
            <w:rPr>
              <w:rFonts w:cstheme="minorBidi"/>
              <w:b w:val="0"/>
              <w:noProof/>
              <w:lang w:val="en-US" w:eastAsia="ja-JP"/>
            </w:rPr>
          </w:pPr>
          <w:r>
            <w:rPr>
              <w:noProof/>
            </w:rPr>
            <w:t>Appendix A</w:t>
          </w:r>
          <w:r>
            <w:rPr>
              <w:noProof/>
            </w:rPr>
            <w:tab/>
          </w:r>
          <w:r w:rsidR="00D623D7">
            <w:rPr>
              <w:noProof/>
            </w:rPr>
            <w:fldChar w:fldCharType="begin"/>
          </w:r>
          <w:r>
            <w:rPr>
              <w:noProof/>
            </w:rPr>
            <w:instrText xml:space="preserve"> PAGEREF _Toc253067294 \h </w:instrText>
          </w:r>
          <w:r w:rsidR="00D623D7">
            <w:rPr>
              <w:noProof/>
            </w:rPr>
          </w:r>
          <w:r w:rsidR="00D623D7">
            <w:rPr>
              <w:noProof/>
            </w:rPr>
            <w:fldChar w:fldCharType="separate"/>
          </w:r>
          <w:r w:rsidR="00CB7E3D">
            <w:rPr>
              <w:noProof/>
            </w:rPr>
            <w:t>30</w:t>
          </w:r>
          <w:r w:rsidR="00D623D7">
            <w:rPr>
              <w:noProof/>
            </w:rPr>
            <w:fldChar w:fldCharType="end"/>
          </w:r>
        </w:p>
        <w:p w:rsidR="00162EA4" w:rsidRDefault="00162EA4">
          <w:pPr>
            <w:pStyle w:val="TOC2"/>
            <w:tabs>
              <w:tab w:val="right" w:leader="dot" w:pos="9628"/>
            </w:tabs>
            <w:rPr>
              <w:rFonts w:cstheme="minorBidi"/>
              <w:b w:val="0"/>
              <w:noProof/>
              <w:sz w:val="24"/>
              <w:szCs w:val="24"/>
              <w:lang w:val="en-US" w:eastAsia="ja-JP"/>
            </w:rPr>
          </w:pPr>
          <w:r>
            <w:rPr>
              <w:noProof/>
            </w:rPr>
            <w:t xml:space="preserve">Threatened flora species known to be susceptible to </w:t>
          </w:r>
          <w:r w:rsidRPr="005D27F9">
            <w:rPr>
              <w:rFonts w:ascii="MyriadPro-SemiboldIt" w:hAnsi="MyriadPro-SemiboldIt" w:cs="MyriadPro-SemiboldIt"/>
              <w:i/>
              <w:iCs/>
              <w:noProof/>
            </w:rPr>
            <w:t>Phytophthora cinnamomi</w:t>
          </w:r>
          <w:r>
            <w:rPr>
              <w:noProof/>
            </w:rPr>
            <w:tab/>
          </w:r>
          <w:r w:rsidR="00D623D7">
            <w:rPr>
              <w:noProof/>
            </w:rPr>
            <w:fldChar w:fldCharType="begin"/>
          </w:r>
          <w:r>
            <w:rPr>
              <w:noProof/>
            </w:rPr>
            <w:instrText xml:space="preserve"> PAGEREF _Toc253067295 \h </w:instrText>
          </w:r>
          <w:r w:rsidR="00D623D7">
            <w:rPr>
              <w:noProof/>
            </w:rPr>
          </w:r>
          <w:r w:rsidR="00D623D7">
            <w:rPr>
              <w:noProof/>
            </w:rPr>
            <w:fldChar w:fldCharType="separate"/>
          </w:r>
          <w:r w:rsidR="00CB7E3D">
            <w:rPr>
              <w:noProof/>
            </w:rPr>
            <w:t>30</w:t>
          </w:r>
          <w:r w:rsidR="00D623D7">
            <w:rPr>
              <w:noProof/>
            </w:rPr>
            <w:fldChar w:fldCharType="end"/>
          </w:r>
        </w:p>
        <w:p w:rsidR="00162EA4" w:rsidRDefault="00162EA4">
          <w:pPr>
            <w:pStyle w:val="TOC1"/>
            <w:tabs>
              <w:tab w:val="right" w:leader="dot" w:pos="9628"/>
            </w:tabs>
            <w:rPr>
              <w:rFonts w:cstheme="minorBidi"/>
              <w:b w:val="0"/>
              <w:noProof/>
              <w:lang w:val="en-US" w:eastAsia="ja-JP"/>
            </w:rPr>
          </w:pPr>
          <w:r>
            <w:rPr>
              <w:noProof/>
            </w:rPr>
            <w:t>Appendix B</w:t>
          </w:r>
          <w:r>
            <w:rPr>
              <w:noProof/>
            </w:rPr>
            <w:tab/>
          </w:r>
          <w:r w:rsidR="00D623D7">
            <w:rPr>
              <w:noProof/>
            </w:rPr>
            <w:fldChar w:fldCharType="begin"/>
          </w:r>
          <w:r>
            <w:rPr>
              <w:noProof/>
            </w:rPr>
            <w:instrText xml:space="preserve"> PAGEREF _Toc253067296 \h </w:instrText>
          </w:r>
          <w:r w:rsidR="00D623D7">
            <w:rPr>
              <w:noProof/>
            </w:rPr>
          </w:r>
          <w:r w:rsidR="00D623D7">
            <w:rPr>
              <w:noProof/>
            </w:rPr>
            <w:fldChar w:fldCharType="separate"/>
          </w:r>
          <w:r w:rsidR="00CB7E3D">
            <w:rPr>
              <w:noProof/>
            </w:rPr>
            <w:t>36</w:t>
          </w:r>
          <w:r w:rsidR="00D623D7">
            <w:rPr>
              <w:noProof/>
            </w:rPr>
            <w:fldChar w:fldCharType="end"/>
          </w:r>
        </w:p>
        <w:p w:rsidR="00162EA4" w:rsidRDefault="00162EA4">
          <w:pPr>
            <w:pStyle w:val="TOC2"/>
            <w:tabs>
              <w:tab w:val="right" w:leader="dot" w:pos="9628"/>
            </w:tabs>
            <w:rPr>
              <w:rFonts w:cstheme="minorBidi"/>
              <w:b w:val="0"/>
              <w:noProof/>
              <w:sz w:val="24"/>
              <w:szCs w:val="24"/>
              <w:lang w:val="en-US" w:eastAsia="ja-JP"/>
            </w:rPr>
          </w:pPr>
          <w:r>
            <w:rPr>
              <w:noProof/>
            </w:rPr>
            <w:t xml:space="preserve">Threatened ecological communities listed under the EPBC Act that may be impacted by </w:t>
          </w:r>
          <w:r w:rsidRPr="005D27F9">
            <w:rPr>
              <w:rFonts w:ascii="MyriadPro-SemiboldIt" w:hAnsi="MyriadPro-SemiboldIt" w:cs="MyriadPro-SemiboldIt"/>
              <w:i/>
              <w:iCs/>
              <w:noProof/>
            </w:rPr>
            <w:t>Phytophthora cinnamomi</w:t>
          </w:r>
          <w:r>
            <w:rPr>
              <w:noProof/>
            </w:rPr>
            <w:tab/>
          </w:r>
          <w:r w:rsidR="00D623D7">
            <w:rPr>
              <w:noProof/>
            </w:rPr>
            <w:fldChar w:fldCharType="begin"/>
          </w:r>
          <w:r>
            <w:rPr>
              <w:noProof/>
            </w:rPr>
            <w:instrText xml:space="preserve"> PAGEREF _Toc253067297 \h </w:instrText>
          </w:r>
          <w:r w:rsidR="00D623D7">
            <w:rPr>
              <w:noProof/>
            </w:rPr>
          </w:r>
          <w:r w:rsidR="00D623D7">
            <w:rPr>
              <w:noProof/>
            </w:rPr>
            <w:fldChar w:fldCharType="separate"/>
          </w:r>
          <w:r w:rsidR="00CB7E3D">
            <w:rPr>
              <w:noProof/>
            </w:rPr>
            <w:t>36</w:t>
          </w:r>
          <w:r w:rsidR="00D623D7">
            <w:rPr>
              <w:noProof/>
            </w:rPr>
            <w:fldChar w:fldCharType="end"/>
          </w:r>
        </w:p>
        <w:p w:rsidR="003C6CBC" w:rsidRDefault="00D623D7">
          <w:r>
            <w:fldChar w:fldCharType="end"/>
          </w:r>
        </w:p>
      </w:sdtContent>
    </w:sdt>
    <w:p w:rsidR="007D20DB" w:rsidRPr="007D20DB" w:rsidRDefault="00837391" w:rsidP="007D20DB">
      <w:pPr>
        <w:pStyle w:val="01HEADING1"/>
      </w:pPr>
      <w:r>
        <w:rPr>
          <w:rFonts w:ascii="MyriadPro-It" w:hAnsi="MyriadPro-It" w:cs="MyriadPro-It"/>
          <w:i/>
          <w:iCs/>
        </w:rPr>
        <w:br w:type="page"/>
      </w:r>
      <w:bookmarkStart w:id="5" w:name="_Toc253067273"/>
      <w:r w:rsidR="007D20DB" w:rsidRPr="007D20DB">
        <w:lastRenderedPageBreak/>
        <w:t>1. Introduction</w:t>
      </w:r>
      <w:bookmarkEnd w:id="5"/>
    </w:p>
    <w:p w:rsidR="007D20DB" w:rsidRPr="007D20DB" w:rsidRDefault="007D20DB" w:rsidP="007D20DB">
      <w:pPr>
        <w:widowControl w:val="0"/>
        <w:suppressAutoHyphens/>
        <w:autoSpaceDE w:val="0"/>
        <w:autoSpaceDN w:val="0"/>
        <w:adjustRightInd w:val="0"/>
        <w:spacing w:before="113" w:after="907" w:line="480" w:lineRule="atLeast"/>
        <w:textAlignment w:val="center"/>
        <w:rPr>
          <w:rFonts w:ascii="MyriadPro-Regular" w:hAnsi="MyriadPro-Regular" w:cs="MyriadPro-Regular"/>
          <w:color w:val="000000"/>
          <w:sz w:val="40"/>
          <w:szCs w:val="40"/>
          <w:lang w:val="en-US" w:eastAsia="ja-JP"/>
        </w:rPr>
      </w:pPr>
      <w:r w:rsidRPr="007D20DB">
        <w:rPr>
          <w:rFonts w:ascii="MyriadPro-Regular" w:hAnsi="MyriadPro-Regular" w:cs="MyriadPro-Regular"/>
          <w:color w:val="000000"/>
          <w:sz w:val="40"/>
          <w:szCs w:val="40"/>
          <w:lang w:val="en-US" w:eastAsia="ja-JP"/>
        </w:rPr>
        <w:t>This national threat abatement plan (TAP) has been developed to address the key threatening process ‘Dieback caused by the root-rot fungus</w:t>
      </w:r>
      <w:r w:rsidRPr="007D20DB">
        <w:rPr>
          <w:rFonts w:ascii="MyriadPro-Regular" w:hAnsi="MyriadPro-Regular" w:cs="MyriadPro-Regular"/>
          <w:color w:val="000000"/>
          <w:sz w:val="40"/>
          <w:szCs w:val="40"/>
          <w:vertAlign w:val="superscript"/>
          <w:lang w:val="en-US" w:eastAsia="ja-JP"/>
        </w:rPr>
        <w:footnoteReference w:id="1"/>
      </w:r>
      <w:r w:rsidRPr="007D20DB">
        <w:rPr>
          <w:rFonts w:ascii="MyriadPro-Regular" w:hAnsi="MyriadPro-Regular" w:cs="MyriadPro-Regular"/>
          <w:color w:val="000000"/>
          <w:sz w:val="40"/>
          <w:szCs w:val="40"/>
          <w:lang w:val="en-US" w:eastAsia="ja-JP"/>
        </w:rPr>
        <w:t xml:space="preserve"> </w:t>
      </w:r>
      <w:proofErr w:type="spellStart"/>
      <w:r w:rsidRPr="007D20DB">
        <w:rPr>
          <w:rFonts w:ascii="MyriadPro-It" w:hAnsi="MyriadPro-It" w:cs="MyriadPro-It"/>
          <w:i/>
          <w:iCs/>
          <w:color w:val="000000"/>
          <w:sz w:val="40"/>
          <w:szCs w:val="40"/>
          <w:lang w:val="en-US" w:eastAsia="ja-JP"/>
        </w:rPr>
        <w:t>Phytophthora</w:t>
      </w:r>
      <w:proofErr w:type="spellEnd"/>
      <w:r w:rsidRPr="007D20DB">
        <w:rPr>
          <w:rFonts w:ascii="MyriadPro-It" w:hAnsi="MyriadPro-It" w:cs="MyriadPro-It"/>
          <w:i/>
          <w:iCs/>
          <w:color w:val="000000"/>
          <w:sz w:val="40"/>
          <w:szCs w:val="40"/>
          <w:lang w:val="en-US" w:eastAsia="ja-JP"/>
        </w:rPr>
        <w:t xml:space="preserve"> </w:t>
      </w:r>
      <w:proofErr w:type="spellStart"/>
      <w:r w:rsidRPr="007D20DB">
        <w:rPr>
          <w:rFonts w:ascii="MyriadPro-It" w:hAnsi="MyriadPro-It" w:cs="MyriadPro-It"/>
          <w:i/>
          <w:iCs/>
          <w:color w:val="000000"/>
          <w:sz w:val="40"/>
          <w:szCs w:val="40"/>
          <w:lang w:val="en-US" w:eastAsia="ja-JP"/>
        </w:rPr>
        <w:t>cinnamomi</w:t>
      </w:r>
      <w:proofErr w:type="spellEnd"/>
      <w:r w:rsidRPr="007D20DB">
        <w:rPr>
          <w:rFonts w:ascii="MyriadPro-It" w:hAnsi="MyriadPro-It" w:cs="MyriadPro-It"/>
          <w:i/>
          <w:iCs/>
          <w:color w:val="000000"/>
          <w:sz w:val="40"/>
          <w:szCs w:val="40"/>
          <w:lang w:val="en-US" w:eastAsia="ja-JP"/>
        </w:rPr>
        <w:t>,</w:t>
      </w:r>
      <w:r w:rsidRPr="007D20DB">
        <w:rPr>
          <w:rFonts w:ascii="MyriadPro-Regular" w:hAnsi="MyriadPro-Regular" w:cs="MyriadPro-Regular"/>
          <w:color w:val="000000"/>
          <w:sz w:val="40"/>
          <w:szCs w:val="40"/>
          <w:lang w:val="en-US" w:eastAsia="ja-JP"/>
        </w:rPr>
        <w:t xml:space="preserve"> which is</w:t>
      </w:r>
      <w:r w:rsidRPr="007D20DB">
        <w:rPr>
          <w:rFonts w:ascii="MyriadPro-It" w:hAnsi="MyriadPro-It" w:cs="MyriadPro-It"/>
          <w:i/>
          <w:iCs/>
          <w:color w:val="000000"/>
          <w:sz w:val="40"/>
          <w:szCs w:val="40"/>
          <w:lang w:val="en-US" w:eastAsia="ja-JP"/>
        </w:rPr>
        <w:t xml:space="preserve"> </w:t>
      </w:r>
      <w:r w:rsidRPr="007D20DB">
        <w:rPr>
          <w:rFonts w:ascii="MyriadPro-Regular" w:hAnsi="MyriadPro-Regular" w:cs="MyriadPro-Regular"/>
          <w:color w:val="000000"/>
          <w:sz w:val="40"/>
          <w:szCs w:val="40"/>
          <w:lang w:val="en-US" w:eastAsia="ja-JP"/>
        </w:rPr>
        <w:t xml:space="preserve">listed under the Commonwealth </w:t>
      </w:r>
      <w:r w:rsidRPr="007D20DB">
        <w:rPr>
          <w:rFonts w:ascii="MyriadPro-It" w:hAnsi="MyriadPro-It" w:cs="MyriadPro-It"/>
          <w:i/>
          <w:iCs/>
          <w:color w:val="000000"/>
          <w:sz w:val="40"/>
          <w:szCs w:val="40"/>
          <w:lang w:val="en-US" w:eastAsia="ja-JP"/>
        </w:rPr>
        <w:t xml:space="preserve">Environment Protection and Biodiversity Conservation Act 1999 </w:t>
      </w:r>
      <w:r w:rsidRPr="007D20DB">
        <w:rPr>
          <w:rFonts w:ascii="MyriadPro-Regular" w:hAnsi="MyriadPro-Regular" w:cs="MyriadPro-Regular"/>
          <w:color w:val="000000"/>
          <w:sz w:val="40"/>
          <w:szCs w:val="40"/>
          <w:lang w:val="en-US" w:eastAsia="ja-JP"/>
        </w:rPr>
        <w:t xml:space="preserve">(EPBC Act). </w:t>
      </w:r>
    </w:p>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The TAP establishes a national framework to guide and coordinate Australia’s response to </w:t>
      </w:r>
      <w:r w:rsidRPr="007D20DB">
        <w:rPr>
          <w:rFonts w:ascii="AGaramondPro-Italic" w:hAnsi="AGaramondPro-Italic" w:cs="AGaramondPro-Italic"/>
          <w:i/>
          <w:iCs/>
          <w:color w:val="000000"/>
          <w:sz w:val="20"/>
          <w:szCs w:val="20"/>
          <w:lang w:val="en-US" w:eastAsia="ja-JP"/>
        </w:rPr>
        <w:t>P.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It sets out the actions necessary to abate impacts of the listed key threatening process and was developed to comply with the requirements under the EPBC Act for the development of threat abatement plans. It identifies the research, management and other actions needed in Australia’s response to this pathogen and replaces the threat abatement plan published in 2001 (Environment Australia, 2001).</w:t>
      </w:r>
    </w:p>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The plan has been developed with the involvement and cooperation of a broad range of stakeholders, but the making or adoption of this plan does not necessarily indicate the commitment of individual stakeholders to undertaking any specific actions. Proposed actions may be subject to modification over the life of the plan due to developments in understanding of the organism and its impacts.</w:t>
      </w:r>
    </w:p>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The Australian Government Department of the Environment (Department of the Environment) is responsible for preparing this TAP. Its development has been informed by:</w:t>
      </w:r>
    </w:p>
    <w:p w:rsidR="007D20DB" w:rsidRPr="007D20DB" w:rsidRDefault="007D20DB" w:rsidP="007D20DB">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r>
      <w:proofErr w:type="gramStart"/>
      <w:r w:rsidRPr="007D20DB">
        <w:rPr>
          <w:rFonts w:ascii="AGaramondPro-Regular" w:hAnsi="AGaramondPro-Regular" w:cs="AGaramondPro-Regular"/>
          <w:color w:val="000000"/>
          <w:sz w:val="20"/>
          <w:szCs w:val="20"/>
          <w:lang w:val="en-US" w:eastAsia="ja-JP"/>
        </w:rPr>
        <w:t>the</w:t>
      </w:r>
      <w:proofErr w:type="gramEnd"/>
      <w:r w:rsidRPr="007D20DB">
        <w:rPr>
          <w:rFonts w:ascii="AGaramondPro-Regular" w:hAnsi="AGaramondPro-Regular" w:cs="AGaramondPro-Regular"/>
          <w:color w:val="000000"/>
          <w:sz w:val="20"/>
          <w:szCs w:val="20"/>
          <w:lang w:val="en-US" w:eastAsia="ja-JP"/>
        </w:rPr>
        <w:t xml:space="preserve"> current threat abatement plan (published in 2001)</w:t>
      </w:r>
    </w:p>
    <w:p w:rsidR="007D20DB" w:rsidRPr="007D20DB" w:rsidRDefault="007D20DB" w:rsidP="007D20DB">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r>
      <w:proofErr w:type="gramStart"/>
      <w:r w:rsidRPr="007D20DB">
        <w:rPr>
          <w:rFonts w:ascii="AGaramondPro-Regular" w:hAnsi="AGaramondPro-Regular" w:cs="AGaramondPro-Regular"/>
          <w:color w:val="000000"/>
          <w:sz w:val="20"/>
          <w:szCs w:val="20"/>
          <w:lang w:val="en-US" w:eastAsia="ja-JP"/>
        </w:rPr>
        <w:t>a</w:t>
      </w:r>
      <w:proofErr w:type="gramEnd"/>
      <w:r w:rsidRPr="007D20DB">
        <w:rPr>
          <w:rFonts w:ascii="AGaramondPro-Regular" w:hAnsi="AGaramondPro-Regular" w:cs="AGaramondPro-Regular"/>
          <w:color w:val="000000"/>
          <w:sz w:val="20"/>
          <w:szCs w:val="20"/>
          <w:lang w:val="en-US" w:eastAsia="ja-JP"/>
        </w:rPr>
        <w:t xml:space="preserve"> review and evaluation of the 2001 TAP undertaken by the Australian Government (CPSM, 2006)</w:t>
      </w:r>
    </w:p>
    <w:p w:rsidR="007D20DB" w:rsidRPr="007D20DB" w:rsidRDefault="007D20DB" w:rsidP="007D20DB">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r>
      <w:proofErr w:type="gramStart"/>
      <w:r w:rsidRPr="007D20DB">
        <w:rPr>
          <w:rFonts w:ascii="AGaramondPro-Regular" w:hAnsi="AGaramondPro-Regular" w:cs="AGaramondPro-Regular"/>
          <w:color w:val="000000"/>
          <w:sz w:val="20"/>
          <w:szCs w:val="20"/>
          <w:lang w:val="en-US" w:eastAsia="ja-JP"/>
        </w:rPr>
        <w:t>information</w:t>
      </w:r>
      <w:proofErr w:type="gramEnd"/>
      <w:r w:rsidRPr="007D20DB">
        <w:rPr>
          <w:rFonts w:ascii="AGaramondPro-Regular" w:hAnsi="AGaramondPro-Regular" w:cs="AGaramondPro-Regular"/>
          <w:color w:val="000000"/>
          <w:sz w:val="20"/>
          <w:szCs w:val="20"/>
          <w:lang w:val="en-US" w:eastAsia="ja-JP"/>
        </w:rPr>
        <w:t xml:space="preserve"> provided by key stakeholders between 2010 and 2013.</w:t>
      </w:r>
    </w:p>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This plan should be read in conjunction with the document ‘Background: Threat abatement plan for disease in natural ecosystems caused by </w:t>
      </w:r>
      <w:proofErr w:type="spellStart"/>
      <w:r w:rsidRPr="007D20DB">
        <w:rPr>
          <w:rFonts w:ascii="AGaramondPro-Italic" w:hAnsi="AGaramondPro-Italic" w:cs="AGaramondPro-Italic"/>
          <w:i/>
          <w:iCs/>
          <w:color w:val="000000"/>
          <w:sz w:val="20"/>
          <w:szCs w:val="20"/>
          <w:lang w:val="en-US" w:eastAsia="ja-JP"/>
        </w:rPr>
        <w:t>Phytophthora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(the background document) (Department of the Environment, 2014). The background document provides information on the scope of the problem; the characteristics, biology and distribution of the pathogen; impacts on the environment and management practices (as at 2013).</w:t>
      </w:r>
    </w:p>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The goal of this TAP is to identify and protect environmental assets (threatened species and ecological communities listed under the EPBC Act and other matters of national environmental significance) from the impacts of </w:t>
      </w:r>
      <w:r w:rsidRPr="007D20DB">
        <w:rPr>
          <w:rFonts w:ascii="AGaramondPro-Italic" w:hAnsi="AGaramondPro-Italic" w:cs="AGaramondPro-Italic"/>
          <w:i/>
          <w:iCs/>
          <w:color w:val="000000"/>
          <w:sz w:val="20"/>
          <w:szCs w:val="20"/>
          <w:lang w:val="en-US" w:eastAsia="ja-JP"/>
        </w:rPr>
        <w:t>P.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It integrates: strategies to prevent </w:t>
      </w:r>
      <w:r w:rsidRPr="007D20DB">
        <w:rPr>
          <w:rFonts w:ascii="AGaramondPro-Italic" w:hAnsi="AGaramondPro-Italic" w:cs="AGaramondPro-Italic"/>
          <w:i/>
          <w:iCs/>
          <w:color w:val="000000"/>
          <w:sz w:val="20"/>
          <w:szCs w:val="20"/>
          <w:lang w:val="en-US" w:eastAsia="ja-JP"/>
        </w:rPr>
        <w:t>P.</w:t>
      </w:r>
      <w:r w:rsidRPr="007D20DB">
        <w:rPr>
          <w:rFonts w:ascii="AGaramondPro-Regular" w:hAnsi="AGaramondPro-Regular" w:cs="AGaramondPro-Regular"/>
          <w:color w:val="000000"/>
          <w:sz w:val="20"/>
          <w:szCs w:val="20"/>
          <w:rtl/>
          <w:lang w:val="en-US" w:eastAsia="ja-JP" w:bidi="ar-YE"/>
        </w:rPr>
        <w:t>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spreading into areas that are free of disease; strategies to reduce the impacts in infested areas; and recovery actions for the conservation of biodiversity assets currently being impacted.</w:t>
      </w:r>
    </w:p>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The Department of the Environment </w:t>
      </w:r>
      <w:proofErr w:type="spellStart"/>
      <w:r w:rsidRPr="007D20DB">
        <w:rPr>
          <w:rFonts w:ascii="AGaramondPro-Regular" w:hAnsi="AGaramondPro-Regular" w:cs="AGaramondPro-Regular"/>
          <w:color w:val="000000"/>
          <w:sz w:val="20"/>
          <w:szCs w:val="20"/>
          <w:lang w:val="en-US" w:eastAsia="ja-JP"/>
        </w:rPr>
        <w:t>recognises</w:t>
      </w:r>
      <w:proofErr w:type="spellEnd"/>
      <w:r w:rsidRPr="007D20DB">
        <w:rPr>
          <w:rFonts w:ascii="AGaramondPro-Regular" w:hAnsi="AGaramondPro-Regular" w:cs="AGaramondPro-Regular"/>
          <w:color w:val="000000"/>
          <w:sz w:val="20"/>
          <w:szCs w:val="20"/>
          <w:lang w:val="en-US" w:eastAsia="ja-JP"/>
        </w:rPr>
        <w:t xml:space="preserve"> that a number of the state and territory governments that own land impacted by </w:t>
      </w:r>
      <w:r w:rsidRPr="007D20DB">
        <w:rPr>
          <w:rFonts w:ascii="AGaramondPro-Italic" w:hAnsi="AGaramondPro-Italic" w:cs="AGaramondPro-Italic"/>
          <w:i/>
          <w:iCs/>
          <w:color w:val="000000"/>
          <w:sz w:val="20"/>
          <w:szCs w:val="20"/>
          <w:lang w:val="en-US" w:eastAsia="ja-JP"/>
        </w:rPr>
        <w:t>P.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have developed management plans and operational guides to abate this threat within their own jurisdictions. This TAP aims to complement state and territory approaches to managing </w:t>
      </w:r>
      <w:r w:rsidRPr="007D20DB">
        <w:rPr>
          <w:rFonts w:ascii="AGaramondPro-Italic" w:hAnsi="AGaramondPro-Italic" w:cs="AGaramondPro-Italic"/>
          <w:i/>
          <w:iCs/>
          <w:color w:val="000000"/>
          <w:sz w:val="20"/>
          <w:szCs w:val="20"/>
          <w:lang w:val="en-US" w:eastAsia="ja-JP"/>
        </w:rPr>
        <w:t>P.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w:t>
      </w:r>
    </w:p>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Although this TAP applies to </w:t>
      </w:r>
      <w:r w:rsidRPr="007D20DB">
        <w:rPr>
          <w:rFonts w:ascii="AGaramondPro-Italic" w:hAnsi="AGaramondPro-Italic" w:cs="AGaramondPro-Italic"/>
          <w:i/>
          <w:iCs/>
          <w:color w:val="000000"/>
          <w:sz w:val="20"/>
          <w:szCs w:val="20"/>
          <w:lang w:val="en-US" w:eastAsia="ja-JP"/>
        </w:rPr>
        <w:t>P.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the Department of the Environment acknowledges that recent diagnostic techniques have allowed other species of </w:t>
      </w:r>
      <w:proofErr w:type="spellStart"/>
      <w:r w:rsidRPr="007D20DB">
        <w:rPr>
          <w:rFonts w:ascii="AGaramondPro-Italic" w:hAnsi="AGaramondPro-Italic" w:cs="AGaramondPro-Italic"/>
          <w:i/>
          <w:iCs/>
          <w:color w:val="000000"/>
          <w:sz w:val="20"/>
          <w:szCs w:val="20"/>
          <w:lang w:val="en-US" w:eastAsia="ja-JP"/>
        </w:rPr>
        <w:t>Phytophthora</w:t>
      </w:r>
      <w:proofErr w:type="spellEnd"/>
      <w:r w:rsidRPr="007D20DB">
        <w:rPr>
          <w:rFonts w:ascii="AGaramondPro-Regular" w:hAnsi="AGaramondPro-Regular" w:cs="AGaramondPro-Regular"/>
          <w:color w:val="000000"/>
          <w:sz w:val="20"/>
          <w:szCs w:val="20"/>
          <w:lang w:val="en-US" w:eastAsia="ja-JP"/>
        </w:rPr>
        <w:t xml:space="preserve"> to be identified in Australia. Some of these species may be widespread and can lead to disease impacts similar to </w:t>
      </w:r>
      <w:r w:rsidRPr="007D20DB">
        <w:rPr>
          <w:rFonts w:ascii="AGaramondPro-Italic" w:hAnsi="AGaramondPro-Italic" w:cs="AGaramondPro-Italic"/>
          <w:i/>
          <w:iCs/>
          <w:color w:val="000000"/>
          <w:sz w:val="20"/>
          <w:szCs w:val="20"/>
          <w:lang w:val="en-US" w:eastAsia="ja-JP"/>
        </w:rPr>
        <w:t>P.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Italic" w:hAnsi="AGaramondPro-Italic" w:cs="AGaramondPro-Italic"/>
          <w:i/>
          <w:iCs/>
          <w:color w:val="000000"/>
          <w:sz w:val="20"/>
          <w:szCs w:val="20"/>
          <w:lang w:val="en-US" w:eastAsia="ja-JP"/>
        </w:rPr>
        <w:t xml:space="preserve"> </w:t>
      </w:r>
      <w:r w:rsidRPr="007D20DB">
        <w:rPr>
          <w:rFonts w:ascii="AGaramondPro-Regular" w:hAnsi="AGaramondPro-Regular" w:cs="AGaramondPro-Regular"/>
          <w:color w:val="000000"/>
          <w:sz w:val="20"/>
          <w:szCs w:val="20"/>
          <w:lang w:val="en-US" w:eastAsia="ja-JP"/>
        </w:rPr>
        <w:t xml:space="preserve">within native ecosystems. For further information on these species, a </w:t>
      </w:r>
      <w:r w:rsidRPr="007D20DB">
        <w:rPr>
          <w:rFonts w:ascii="AGaramondPro-Regular" w:hAnsi="AGaramondPro-Regular" w:cs="AGaramondPro-Regular"/>
          <w:color w:val="000000"/>
          <w:sz w:val="20"/>
          <w:szCs w:val="20"/>
          <w:lang w:val="en-US" w:eastAsia="ja-JP"/>
        </w:rPr>
        <w:lastRenderedPageBreak/>
        <w:t xml:space="preserve">reference list is provided at Appendix B in the background document (Department of the Environment 2014). The control of pathways for the spread of </w:t>
      </w:r>
      <w:r w:rsidRPr="007D20DB">
        <w:rPr>
          <w:rFonts w:ascii="AGaramondPro-Italic" w:hAnsi="AGaramondPro-Italic" w:cs="AGaramondPro-Italic"/>
          <w:i/>
          <w:iCs/>
          <w:color w:val="000000"/>
          <w:sz w:val="20"/>
          <w:szCs w:val="20"/>
          <w:lang w:val="en-US" w:eastAsia="ja-JP"/>
        </w:rPr>
        <w:t>P.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Italic" w:hAnsi="AGaramondPro-Italic" w:cs="AGaramondPro-Italic"/>
          <w:i/>
          <w:iCs/>
          <w:color w:val="000000"/>
          <w:sz w:val="20"/>
          <w:szCs w:val="20"/>
          <w:lang w:val="en-US" w:eastAsia="ja-JP"/>
        </w:rPr>
        <w:t xml:space="preserve"> </w:t>
      </w:r>
      <w:r w:rsidRPr="007D20DB">
        <w:rPr>
          <w:rFonts w:ascii="AGaramondPro-Regular" w:hAnsi="AGaramondPro-Regular" w:cs="AGaramondPro-Regular"/>
          <w:color w:val="000000"/>
          <w:sz w:val="20"/>
          <w:szCs w:val="20"/>
          <w:lang w:val="en-US" w:eastAsia="ja-JP"/>
        </w:rPr>
        <w:t xml:space="preserve">and the development of improved control and remediation tools and techniques will also reduce the potential spread and impacts of other </w:t>
      </w:r>
      <w:proofErr w:type="spellStart"/>
      <w:r w:rsidRPr="007D20DB">
        <w:rPr>
          <w:rFonts w:ascii="AGaramondPro-Italic" w:hAnsi="AGaramondPro-Italic" w:cs="AGaramondPro-Italic"/>
          <w:i/>
          <w:iCs/>
          <w:color w:val="000000"/>
          <w:sz w:val="20"/>
          <w:szCs w:val="20"/>
          <w:lang w:val="en-US" w:eastAsia="ja-JP"/>
        </w:rPr>
        <w:t>Phytophthora</w:t>
      </w:r>
      <w:proofErr w:type="spellEnd"/>
      <w:r w:rsidRPr="007D20DB">
        <w:rPr>
          <w:rFonts w:ascii="AGaramondPro-Regular" w:hAnsi="AGaramondPro-Regular" w:cs="AGaramondPro-Regular"/>
          <w:color w:val="000000"/>
          <w:sz w:val="20"/>
          <w:szCs w:val="20"/>
          <w:lang w:val="en-US" w:eastAsia="ja-JP"/>
        </w:rPr>
        <w:t xml:space="preserve"> species.</w:t>
      </w:r>
    </w:p>
    <w:p w:rsidR="007D20DB" w:rsidRPr="007D20DB" w:rsidRDefault="007D20DB" w:rsidP="00704644">
      <w:pPr>
        <w:pStyle w:val="02HEADING20"/>
      </w:pPr>
      <w:bookmarkStart w:id="6" w:name="_Toc253067274"/>
      <w:r w:rsidRPr="007D20DB">
        <w:t>1.1</w:t>
      </w:r>
      <w:r w:rsidRPr="007D20DB">
        <w:tab/>
        <w:t>Threat abatement plans and implementation</w:t>
      </w:r>
      <w:bookmarkEnd w:id="6"/>
    </w:p>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The EPBC Act prescribes the process, content and consultation to be followed when making a TAP to address a listed key threatening process. Under Section 270(A) of the EPBC Act, the Australian Government:</w:t>
      </w:r>
    </w:p>
    <w:p w:rsidR="007D20DB" w:rsidRPr="007D20DB" w:rsidRDefault="007D20DB" w:rsidP="007D20DB">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t>develops TAPs where the Minister agrees that the making of a TAP is a feasible, efficient and effective way to abate a key threatening process.</w:t>
      </w:r>
    </w:p>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Under Section 269 of the EPBC Act, the Australian Government:</w:t>
      </w:r>
    </w:p>
    <w:p w:rsidR="007D20DB" w:rsidRPr="007D20DB" w:rsidRDefault="007D20DB" w:rsidP="007D20DB">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r>
      <w:proofErr w:type="gramStart"/>
      <w:r w:rsidRPr="007D20DB">
        <w:rPr>
          <w:rFonts w:ascii="AGaramondPro-Regular" w:hAnsi="AGaramondPro-Regular" w:cs="AGaramondPro-Regular"/>
          <w:color w:val="000000"/>
          <w:sz w:val="20"/>
          <w:szCs w:val="20"/>
          <w:lang w:val="en-US" w:eastAsia="ja-JP"/>
        </w:rPr>
        <w:t>implements</w:t>
      </w:r>
      <w:proofErr w:type="gramEnd"/>
      <w:r w:rsidRPr="007D20DB">
        <w:rPr>
          <w:rFonts w:ascii="AGaramondPro-Regular" w:hAnsi="AGaramondPro-Regular" w:cs="AGaramondPro-Regular"/>
          <w:color w:val="000000"/>
          <w:sz w:val="20"/>
          <w:szCs w:val="20"/>
          <w:lang w:val="en-US" w:eastAsia="ja-JP"/>
        </w:rPr>
        <w:t xml:space="preserve"> TAPs to the extent they apply in areas under Australian Government control and responsibility. Australian Government agencies must not take any actions that contravene a TAP</w:t>
      </w:r>
    </w:p>
    <w:p w:rsidR="007D20DB" w:rsidRPr="007D20DB" w:rsidRDefault="007D20DB" w:rsidP="007D20DB">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t>seeks the cooperation of the affected jurisdictions in situations where a TAP applies outside Australian Government areas in states or territories, with a view to jointly implementing the TAP.</w:t>
      </w:r>
    </w:p>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The success of this TAP will depend on a high level of cooperation between all key stakeholders, including:</w:t>
      </w:r>
    </w:p>
    <w:p w:rsidR="007D20DB" w:rsidRPr="007D20DB" w:rsidRDefault="007D20DB" w:rsidP="007D20DB">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t>Australian Government departments and agencies</w:t>
      </w:r>
    </w:p>
    <w:p w:rsidR="007D20DB" w:rsidRPr="007D20DB" w:rsidRDefault="007D20DB" w:rsidP="007D20DB">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r>
      <w:proofErr w:type="gramStart"/>
      <w:r w:rsidRPr="007D20DB">
        <w:rPr>
          <w:rFonts w:ascii="AGaramondPro-Regular" w:hAnsi="AGaramondPro-Regular" w:cs="AGaramondPro-Regular"/>
          <w:color w:val="000000"/>
          <w:sz w:val="20"/>
          <w:szCs w:val="20"/>
          <w:lang w:val="en-US" w:eastAsia="ja-JP"/>
        </w:rPr>
        <w:t>state</w:t>
      </w:r>
      <w:proofErr w:type="gramEnd"/>
      <w:r w:rsidRPr="007D20DB">
        <w:rPr>
          <w:rFonts w:ascii="AGaramondPro-Regular" w:hAnsi="AGaramondPro-Regular" w:cs="AGaramondPro-Regular"/>
          <w:color w:val="000000"/>
          <w:sz w:val="20"/>
          <w:szCs w:val="20"/>
          <w:lang w:val="en-US" w:eastAsia="ja-JP"/>
        </w:rPr>
        <w:t xml:space="preserve"> and territory conservation and natural resource management agencies</w:t>
      </w:r>
    </w:p>
    <w:p w:rsidR="007D20DB" w:rsidRPr="007D20DB" w:rsidRDefault="007D20DB" w:rsidP="007D20DB">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r>
      <w:proofErr w:type="gramStart"/>
      <w:r w:rsidRPr="007D20DB">
        <w:rPr>
          <w:rFonts w:ascii="AGaramondPro-Regular" w:hAnsi="AGaramondPro-Regular" w:cs="AGaramondPro-Regular"/>
          <w:color w:val="000000"/>
          <w:sz w:val="20"/>
          <w:szCs w:val="20"/>
          <w:lang w:val="en-US" w:eastAsia="ja-JP"/>
        </w:rPr>
        <w:t>local</w:t>
      </w:r>
      <w:proofErr w:type="gramEnd"/>
      <w:r w:rsidRPr="007D20DB">
        <w:rPr>
          <w:rFonts w:ascii="AGaramondPro-Regular" w:hAnsi="AGaramondPro-Regular" w:cs="AGaramondPro-Regular"/>
          <w:color w:val="000000"/>
          <w:sz w:val="20"/>
          <w:szCs w:val="20"/>
          <w:lang w:val="en-US" w:eastAsia="ja-JP"/>
        </w:rPr>
        <w:t xml:space="preserve"> governments</w:t>
      </w:r>
    </w:p>
    <w:p w:rsidR="007D20DB" w:rsidRPr="007D20DB" w:rsidRDefault="007D20DB" w:rsidP="007D20DB">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r>
      <w:proofErr w:type="gramStart"/>
      <w:r w:rsidRPr="007D20DB">
        <w:rPr>
          <w:rFonts w:ascii="AGaramondPro-Regular" w:hAnsi="AGaramondPro-Regular" w:cs="AGaramondPro-Regular"/>
          <w:color w:val="000000"/>
          <w:sz w:val="20"/>
          <w:szCs w:val="20"/>
          <w:lang w:val="en-US" w:eastAsia="ja-JP"/>
        </w:rPr>
        <w:t>research</w:t>
      </w:r>
      <w:proofErr w:type="gramEnd"/>
      <w:r w:rsidRPr="007D20DB">
        <w:rPr>
          <w:rFonts w:ascii="AGaramondPro-Regular" w:hAnsi="AGaramondPro-Regular" w:cs="AGaramondPro-Regular"/>
          <w:color w:val="000000"/>
          <w:sz w:val="20"/>
          <w:szCs w:val="20"/>
          <w:lang w:val="en-US" w:eastAsia="ja-JP"/>
        </w:rPr>
        <w:t xml:space="preserve"> institutes</w:t>
      </w:r>
    </w:p>
    <w:p w:rsidR="007D20DB" w:rsidRPr="007D20DB" w:rsidRDefault="007D20DB" w:rsidP="007D20DB">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r>
      <w:proofErr w:type="gramStart"/>
      <w:r w:rsidRPr="007D20DB">
        <w:rPr>
          <w:rFonts w:ascii="AGaramondPro-Regular" w:hAnsi="AGaramondPro-Regular" w:cs="AGaramondPro-Regular"/>
          <w:color w:val="000000"/>
          <w:sz w:val="20"/>
          <w:szCs w:val="20"/>
          <w:lang w:val="en-US" w:eastAsia="ja-JP"/>
        </w:rPr>
        <w:t>industry</w:t>
      </w:r>
      <w:proofErr w:type="gramEnd"/>
      <w:r w:rsidRPr="007D20DB">
        <w:rPr>
          <w:rFonts w:ascii="AGaramondPro-Regular" w:hAnsi="AGaramondPro-Regular" w:cs="AGaramondPro-Regular"/>
          <w:color w:val="000000"/>
          <w:sz w:val="20"/>
          <w:szCs w:val="20"/>
          <w:lang w:val="en-US" w:eastAsia="ja-JP"/>
        </w:rPr>
        <w:t xml:space="preserve"> and entrepreneurs, including the forestry, garden and nursery, mining, and road construction industries</w:t>
      </w:r>
    </w:p>
    <w:p w:rsidR="007D20DB" w:rsidRPr="007D20DB" w:rsidRDefault="007D20DB" w:rsidP="007D20DB">
      <w:pPr>
        <w:widowControl w:val="0"/>
        <w:suppressAutoHyphens/>
        <w:autoSpaceDE w:val="0"/>
        <w:autoSpaceDN w:val="0"/>
        <w:adjustRightInd w:val="0"/>
        <w:spacing w:after="170" w:line="280" w:lineRule="atLeast"/>
        <w:ind w:left="283"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t xml:space="preserve">the general community, including non-government environmental </w:t>
      </w:r>
      <w:proofErr w:type="spellStart"/>
      <w:r w:rsidRPr="007D20DB">
        <w:rPr>
          <w:rFonts w:ascii="AGaramondPro-Regular" w:hAnsi="AGaramondPro-Regular" w:cs="AGaramondPro-Regular"/>
          <w:color w:val="000000"/>
          <w:sz w:val="20"/>
          <w:szCs w:val="20"/>
          <w:lang w:val="en-US" w:eastAsia="ja-JP"/>
        </w:rPr>
        <w:t>organisations</w:t>
      </w:r>
      <w:proofErr w:type="spellEnd"/>
      <w:r w:rsidRPr="007D20DB">
        <w:rPr>
          <w:rFonts w:ascii="AGaramondPro-Regular" w:hAnsi="AGaramondPro-Regular" w:cs="AGaramondPro-Regular"/>
          <w:color w:val="000000"/>
          <w:sz w:val="20"/>
          <w:szCs w:val="20"/>
          <w:lang w:val="en-US" w:eastAsia="ja-JP"/>
        </w:rPr>
        <w:t xml:space="preserve"> and private conservation land management bodies, private landholders, Indigenous communities and natural resource management groups.</w:t>
      </w:r>
    </w:p>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It will be important that land managers assess the threats and impacts of </w:t>
      </w:r>
      <w:r w:rsidRPr="007D20DB">
        <w:rPr>
          <w:rFonts w:ascii="AGaramondPro-Italic" w:hAnsi="AGaramondPro-Italic" w:cs="AGaramondPro-Italic"/>
          <w:i/>
          <w:iCs/>
          <w:color w:val="000000"/>
          <w:sz w:val="20"/>
          <w:szCs w:val="20"/>
          <w:lang w:val="en-US" w:eastAsia="ja-JP"/>
        </w:rPr>
        <w:t>P.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Italic" w:hAnsi="AGaramondPro-Italic" w:cs="AGaramondPro-Italic"/>
          <w:i/>
          <w:iCs/>
          <w:color w:val="000000"/>
          <w:sz w:val="20"/>
          <w:szCs w:val="20"/>
          <w:lang w:val="en-US" w:eastAsia="ja-JP"/>
        </w:rPr>
        <w:t xml:space="preserve"> </w:t>
      </w:r>
      <w:r w:rsidRPr="007D20DB">
        <w:rPr>
          <w:rFonts w:ascii="AGaramondPro-Regular" w:hAnsi="AGaramondPro-Regular" w:cs="AGaramondPro-Regular"/>
          <w:color w:val="000000"/>
          <w:sz w:val="20"/>
          <w:szCs w:val="20"/>
          <w:lang w:val="en-US" w:eastAsia="ja-JP"/>
        </w:rPr>
        <w:t xml:space="preserve">and allocate adequate resources towards effective on-ground prevention of spread and management of impacts, improving the effectiveness of prevention and management programs, and measuring and assessing outcomes. </w:t>
      </w:r>
    </w:p>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In order to successfully implement this TAP, the Department of the Environment will:</w:t>
      </w:r>
    </w:p>
    <w:p w:rsidR="007D20DB" w:rsidRPr="007D20DB" w:rsidRDefault="007D20DB" w:rsidP="007D20DB">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t>coordinate its implementation as it applies to Commonwealth land and act in accordance with the provisions of the TAP, as required under the EPBC Act</w:t>
      </w:r>
    </w:p>
    <w:p w:rsidR="007D20DB" w:rsidRPr="007D20DB" w:rsidRDefault="007D20DB" w:rsidP="007D20DB">
      <w:pPr>
        <w:widowControl w:val="0"/>
        <w:suppressAutoHyphens/>
        <w:autoSpaceDE w:val="0"/>
        <w:autoSpaceDN w:val="0"/>
        <w:adjustRightInd w:val="0"/>
        <w:spacing w:after="113" w:line="280" w:lineRule="atLeast"/>
        <w:ind w:left="283" w:hanging="283"/>
        <w:textAlignment w:val="center"/>
        <w:rPr>
          <w:rFonts w:ascii="AGaramondPro-Italic" w:hAnsi="AGaramondPro-Italic" w:cs="AGaramondPro-Italic"/>
          <w:i/>
          <w:iCs/>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t xml:space="preserve">seek stronger coordination of national action on </w:t>
      </w:r>
      <w:r w:rsidRPr="007D20DB">
        <w:rPr>
          <w:rFonts w:ascii="AGaramondPro-Italic" w:hAnsi="AGaramondPro-Italic" w:cs="AGaramondPro-Italic"/>
          <w:i/>
          <w:iCs/>
          <w:color w:val="000000"/>
          <w:sz w:val="20"/>
          <w:szCs w:val="20"/>
          <w:lang w:val="en-US" w:eastAsia="ja-JP"/>
        </w:rPr>
        <w:t>P.</w:t>
      </w:r>
      <w:r w:rsidRPr="007D20DB">
        <w:rPr>
          <w:rFonts w:ascii="AGaramondPro-Regular" w:hAnsi="AGaramondPro-Regular" w:cs="AGaramondPro-Regular"/>
          <w:color w:val="000000"/>
          <w:sz w:val="20"/>
          <w:szCs w:val="20"/>
          <w:rtl/>
          <w:lang w:val="en-US" w:eastAsia="ja-JP" w:bidi="ar-YE"/>
        </w:rPr>
        <w:t> </w:t>
      </w:r>
      <w:proofErr w:type="spellStart"/>
      <w:r w:rsidRPr="007D20DB">
        <w:rPr>
          <w:rFonts w:ascii="AGaramondPro-Italic" w:hAnsi="AGaramondPro-Italic" w:cs="AGaramondPro-Italic"/>
          <w:i/>
          <w:iCs/>
          <w:color w:val="000000"/>
          <w:sz w:val="20"/>
          <w:szCs w:val="20"/>
          <w:lang w:val="en-US" w:eastAsia="ja-JP"/>
        </w:rPr>
        <w:t>cinnamomi</w:t>
      </w:r>
      <w:proofErr w:type="spellEnd"/>
    </w:p>
    <w:p w:rsidR="007D20DB" w:rsidRPr="007D20DB" w:rsidRDefault="007D20DB" w:rsidP="007D20DB">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t xml:space="preserve">draw on expertise from state and territory agencies and non-government </w:t>
      </w:r>
      <w:proofErr w:type="spellStart"/>
      <w:r w:rsidRPr="007D20DB">
        <w:rPr>
          <w:rFonts w:ascii="AGaramondPro-Regular" w:hAnsi="AGaramondPro-Regular" w:cs="AGaramondPro-Regular"/>
          <w:color w:val="000000"/>
          <w:sz w:val="20"/>
          <w:szCs w:val="20"/>
          <w:lang w:val="en-US" w:eastAsia="ja-JP"/>
        </w:rPr>
        <w:t>organisations</w:t>
      </w:r>
      <w:proofErr w:type="spellEnd"/>
    </w:p>
    <w:p w:rsidR="007D20DB" w:rsidRPr="007D20DB" w:rsidRDefault="007D20DB" w:rsidP="007D20DB">
      <w:pPr>
        <w:widowControl w:val="0"/>
        <w:suppressAutoHyphens/>
        <w:autoSpaceDE w:val="0"/>
        <w:autoSpaceDN w:val="0"/>
        <w:adjustRightInd w:val="0"/>
        <w:spacing w:after="170" w:line="280" w:lineRule="atLeast"/>
        <w:ind w:left="283"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t xml:space="preserve">encourage involvement of key stakeholders and experts in </w:t>
      </w:r>
      <w:r w:rsidRPr="007D20DB">
        <w:rPr>
          <w:rFonts w:ascii="AGaramondPro-Italic" w:hAnsi="AGaramondPro-Italic" w:cs="AGaramondPro-Italic"/>
          <w:i/>
          <w:iCs/>
          <w:color w:val="000000"/>
          <w:sz w:val="20"/>
          <w:szCs w:val="20"/>
          <w:lang w:val="en-US" w:eastAsia="ja-JP"/>
        </w:rPr>
        <w:t>P.</w:t>
      </w:r>
      <w:r w:rsidRPr="007D20DB">
        <w:rPr>
          <w:rFonts w:ascii="AGaramondPro-Regular" w:hAnsi="AGaramondPro-Regular" w:cs="AGaramondPro-Regular"/>
          <w:color w:val="000000"/>
          <w:sz w:val="20"/>
          <w:szCs w:val="20"/>
          <w:rtl/>
          <w:lang w:val="en-US" w:eastAsia="ja-JP" w:bidi="ar-YE"/>
        </w:rPr>
        <w:t>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Italic" w:hAnsi="AGaramondPro-Italic" w:cs="AGaramondPro-Italic"/>
          <w:i/>
          <w:iCs/>
          <w:color w:val="000000"/>
          <w:sz w:val="20"/>
          <w:szCs w:val="20"/>
          <w:lang w:val="en-US" w:eastAsia="ja-JP"/>
        </w:rPr>
        <w:t xml:space="preserve"> </w:t>
      </w:r>
      <w:r w:rsidRPr="007D20DB">
        <w:rPr>
          <w:rFonts w:ascii="AGaramondPro-Regular" w:hAnsi="AGaramondPro-Regular" w:cs="AGaramondPro-Regular"/>
          <w:color w:val="000000"/>
          <w:sz w:val="20"/>
          <w:szCs w:val="20"/>
          <w:lang w:val="en-US" w:eastAsia="ja-JP"/>
        </w:rPr>
        <w:t>related research and management.</w:t>
      </w:r>
    </w:p>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The Australian Government will monitor the uptake and effectiveness of management actions by all parties as part of a review of the TAP under Section 279 of the EPBC Act. Where the Australian Government and state and territory governments have mutual obligations, negotiation of appropriate actions and funding of management actions will be undertaken.</w:t>
      </w:r>
    </w:p>
    <w:p w:rsidR="007D20DB" w:rsidRPr="007D20DB" w:rsidRDefault="007D20DB" w:rsidP="00162EA4">
      <w:pPr>
        <w:pStyle w:val="02HEADING20"/>
      </w:pPr>
      <w:bookmarkStart w:id="7" w:name="_Toc253067275"/>
      <w:r w:rsidRPr="007D20DB">
        <w:t>1.2</w:t>
      </w:r>
      <w:r w:rsidRPr="007D20DB">
        <w:tab/>
        <w:t>The pathogen</w:t>
      </w:r>
      <w:bookmarkEnd w:id="7"/>
    </w:p>
    <w:p w:rsidR="007D20DB" w:rsidRPr="007D20DB" w:rsidRDefault="007D20DB" w:rsidP="00162EA4">
      <w:pPr>
        <w:widowControl w:val="0"/>
        <w:suppressAutoHyphens/>
        <w:autoSpaceDE w:val="0"/>
        <w:autoSpaceDN w:val="0"/>
        <w:adjustRightInd w:val="0"/>
        <w:spacing w:after="170" w:line="276" w:lineRule="atLeast"/>
        <w:textAlignment w:val="center"/>
        <w:rPr>
          <w:rFonts w:ascii="AGaramondPro-Italic" w:hAnsi="AGaramondPro-Italic" w:cs="AGaramondPro-Italic"/>
          <w:i/>
          <w:iCs/>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Phytophthora</w:t>
      </w:r>
      <w:proofErr w:type="spellEnd"/>
      <w:r w:rsidRPr="007D20DB">
        <w:rPr>
          <w:rFonts w:ascii="AGaramondPro-Italic" w:hAnsi="AGaramondPro-Italic" w:cs="AGaramondPro-Italic"/>
          <w:i/>
          <w:iCs/>
          <w:color w:val="000000"/>
          <w:sz w:val="20"/>
          <w:szCs w:val="20"/>
          <w:lang w:val="en-US" w:eastAsia="ja-JP"/>
        </w:rPr>
        <w:t xml:space="preserve"> </w:t>
      </w:r>
      <w:r w:rsidRPr="007D20DB">
        <w:rPr>
          <w:rFonts w:ascii="AGaramondPro-Regular" w:hAnsi="AGaramondPro-Regular" w:cs="AGaramondPro-Regular"/>
          <w:color w:val="000000"/>
          <w:sz w:val="20"/>
          <w:szCs w:val="20"/>
          <w:lang w:val="en-US" w:eastAsia="ja-JP"/>
        </w:rPr>
        <w:t xml:space="preserve">is a major genus within the diploid, alga-like phylum </w:t>
      </w:r>
      <w:proofErr w:type="spellStart"/>
      <w:r w:rsidRPr="007D20DB">
        <w:rPr>
          <w:rFonts w:ascii="AGaramondPro-Regular" w:hAnsi="AGaramondPro-Regular" w:cs="AGaramondPro-Regular"/>
          <w:color w:val="000000"/>
          <w:sz w:val="20"/>
          <w:szCs w:val="20"/>
          <w:lang w:val="en-US" w:eastAsia="ja-JP"/>
        </w:rPr>
        <w:t>Oomycota</w:t>
      </w:r>
      <w:proofErr w:type="spellEnd"/>
      <w:r w:rsidRPr="007D20DB">
        <w:rPr>
          <w:rFonts w:ascii="AGaramondPro-Regular" w:hAnsi="AGaramondPro-Regular" w:cs="AGaramondPro-Regular"/>
          <w:color w:val="000000"/>
          <w:sz w:val="20"/>
          <w:szCs w:val="20"/>
          <w:lang w:val="en-US" w:eastAsia="ja-JP"/>
        </w:rPr>
        <w:t xml:space="preserve"> (Cooke et al., 2000). This group is currently referred to as water moulds and, although it was previously referred to as fungi, in taxonomic terms it is more closely related to algae. As </w:t>
      </w:r>
      <w:r w:rsidRPr="007D20DB">
        <w:rPr>
          <w:rFonts w:ascii="AGaramondPro-Italic" w:hAnsi="AGaramondPro-Italic" w:cs="AGaramondPro-Italic"/>
          <w:i/>
          <w:iCs/>
          <w:color w:val="000000"/>
          <w:sz w:val="20"/>
          <w:szCs w:val="20"/>
          <w:lang w:val="en-US" w:eastAsia="ja-JP"/>
        </w:rPr>
        <w:t>P.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has the ability to cause plant disease and plant death, this document refers to this species of water </w:t>
      </w:r>
      <w:r w:rsidRPr="007D20DB">
        <w:rPr>
          <w:rFonts w:ascii="AGaramondPro-Regular" w:hAnsi="AGaramondPro-Regular" w:cs="AGaramondPro-Regular"/>
          <w:color w:val="000000"/>
          <w:sz w:val="20"/>
          <w:szCs w:val="20"/>
          <w:lang w:val="en-US" w:eastAsia="ja-JP"/>
        </w:rPr>
        <w:lastRenderedPageBreak/>
        <w:t xml:space="preserve">mould as a pathogen. At least 32 species of </w:t>
      </w:r>
      <w:proofErr w:type="spellStart"/>
      <w:r w:rsidRPr="007D20DB">
        <w:rPr>
          <w:rFonts w:ascii="AGaramondPro-Italic" w:hAnsi="AGaramondPro-Italic" w:cs="AGaramondPro-Italic"/>
          <w:i/>
          <w:iCs/>
          <w:color w:val="000000"/>
          <w:sz w:val="20"/>
          <w:szCs w:val="20"/>
          <w:lang w:val="en-US" w:eastAsia="ja-JP"/>
        </w:rPr>
        <w:t>Phytophthora</w:t>
      </w:r>
      <w:proofErr w:type="spellEnd"/>
      <w:r w:rsidRPr="007D20DB">
        <w:rPr>
          <w:rFonts w:ascii="AGaramondPro-Italic" w:hAnsi="AGaramondPro-Italic" w:cs="AGaramondPro-Italic"/>
          <w:i/>
          <w:iCs/>
          <w:color w:val="000000"/>
          <w:sz w:val="20"/>
          <w:szCs w:val="20"/>
          <w:lang w:val="en-US" w:eastAsia="ja-JP"/>
        </w:rPr>
        <w:t xml:space="preserve"> </w:t>
      </w:r>
      <w:r w:rsidRPr="007D20DB">
        <w:rPr>
          <w:rFonts w:ascii="AGaramondPro-Regular" w:hAnsi="AGaramondPro-Regular" w:cs="AGaramondPro-Regular"/>
          <w:color w:val="000000"/>
          <w:sz w:val="20"/>
          <w:szCs w:val="20"/>
          <w:lang w:val="en-US" w:eastAsia="ja-JP"/>
        </w:rPr>
        <w:t xml:space="preserve">occur in various parts of Australia. Other species of </w:t>
      </w:r>
      <w:proofErr w:type="spellStart"/>
      <w:r w:rsidRPr="007D20DB">
        <w:rPr>
          <w:rFonts w:ascii="AGaramondPro-Italic" w:hAnsi="AGaramondPro-Italic" w:cs="AGaramondPro-Italic"/>
          <w:i/>
          <w:iCs/>
          <w:color w:val="000000"/>
          <w:sz w:val="20"/>
          <w:szCs w:val="20"/>
          <w:lang w:val="en-US" w:eastAsia="ja-JP"/>
        </w:rPr>
        <w:t>Phytophthora</w:t>
      </w:r>
      <w:proofErr w:type="spellEnd"/>
      <w:r w:rsidRPr="007D20DB">
        <w:rPr>
          <w:rFonts w:ascii="AGaramondPro-Regular" w:hAnsi="AGaramondPro-Regular" w:cs="AGaramondPro-Regular"/>
          <w:color w:val="000000"/>
          <w:sz w:val="20"/>
          <w:szCs w:val="20"/>
          <w:lang w:val="en-US" w:eastAsia="ja-JP"/>
        </w:rPr>
        <w:t xml:space="preserve">, including </w:t>
      </w:r>
      <w:r w:rsidRPr="007D20DB">
        <w:rPr>
          <w:rFonts w:ascii="AGaramondPro-Italic" w:hAnsi="AGaramondPro-Italic" w:cs="AGaramondPro-Italic"/>
          <w:i/>
          <w:iCs/>
          <w:color w:val="000000"/>
          <w:sz w:val="20"/>
          <w:szCs w:val="20"/>
          <w:lang w:val="en-US" w:eastAsia="ja-JP"/>
        </w:rPr>
        <w:t>P.</w:t>
      </w:r>
      <w:r w:rsidRPr="007D20DB">
        <w:rPr>
          <w:rFonts w:ascii="AGaramondPro-Regular" w:hAnsi="AGaramondPro-Regular" w:cs="AGaramondPro-Regular"/>
          <w:color w:val="000000"/>
          <w:sz w:val="20"/>
          <w:szCs w:val="20"/>
          <w:rtl/>
          <w:lang w:val="en-US" w:eastAsia="ja-JP" w:bidi="ar-YE"/>
        </w:rPr>
        <w:t> </w:t>
      </w:r>
      <w:proofErr w:type="spellStart"/>
      <w:r w:rsidRPr="007D20DB">
        <w:rPr>
          <w:rFonts w:ascii="AGaramondPro-Italic" w:hAnsi="AGaramondPro-Italic" w:cs="AGaramondPro-Italic"/>
          <w:i/>
          <w:iCs/>
          <w:color w:val="000000"/>
          <w:sz w:val="20"/>
          <w:szCs w:val="20"/>
          <w:lang w:val="en-US" w:eastAsia="ja-JP"/>
        </w:rPr>
        <w:t>cryptogea</w:t>
      </w:r>
      <w:proofErr w:type="spellEnd"/>
      <w:r w:rsidRPr="007D20DB">
        <w:rPr>
          <w:rFonts w:ascii="AGaramondPro-Regular" w:hAnsi="AGaramondPro-Regular" w:cs="AGaramondPro-Regular"/>
          <w:color w:val="000000"/>
          <w:sz w:val="20"/>
          <w:szCs w:val="20"/>
          <w:lang w:val="en-US" w:eastAsia="ja-JP"/>
        </w:rPr>
        <w:t xml:space="preserve">, </w:t>
      </w:r>
      <w:r w:rsidRPr="007D20DB">
        <w:rPr>
          <w:rFonts w:ascii="AGaramondPro-Italic" w:hAnsi="AGaramondPro-Italic" w:cs="AGaramondPro-Italic"/>
          <w:i/>
          <w:iCs/>
          <w:color w:val="000000"/>
          <w:sz w:val="20"/>
          <w:szCs w:val="20"/>
          <w:lang w:val="en-US" w:eastAsia="ja-JP"/>
        </w:rPr>
        <w:t>P.</w:t>
      </w:r>
      <w:r w:rsidRPr="007D20DB">
        <w:rPr>
          <w:rFonts w:ascii="AGaramondPro-Regular" w:hAnsi="AGaramondPro-Regular" w:cs="AGaramondPro-Regular"/>
          <w:color w:val="000000"/>
          <w:sz w:val="20"/>
          <w:szCs w:val="20"/>
          <w:rtl/>
          <w:lang w:val="en-US" w:eastAsia="ja-JP" w:bidi="ar-YE"/>
        </w:rPr>
        <w:t> </w:t>
      </w:r>
      <w:proofErr w:type="spellStart"/>
      <w:r w:rsidRPr="007D20DB">
        <w:rPr>
          <w:rFonts w:ascii="AGaramondPro-Italic" w:hAnsi="AGaramondPro-Italic" w:cs="AGaramondPro-Italic"/>
          <w:i/>
          <w:iCs/>
          <w:color w:val="000000"/>
          <w:sz w:val="20"/>
          <w:szCs w:val="20"/>
          <w:lang w:val="en-US" w:eastAsia="ja-JP"/>
        </w:rPr>
        <w:t>megasperma</w:t>
      </w:r>
      <w:proofErr w:type="spellEnd"/>
      <w:r w:rsidRPr="007D20DB">
        <w:rPr>
          <w:rFonts w:ascii="AGaramondPro-Regular" w:hAnsi="AGaramondPro-Regular" w:cs="AGaramondPro-Regular"/>
          <w:color w:val="000000"/>
          <w:sz w:val="20"/>
          <w:szCs w:val="20"/>
          <w:lang w:val="en-US" w:eastAsia="ja-JP"/>
        </w:rPr>
        <w:t xml:space="preserve">, </w:t>
      </w:r>
      <w:r w:rsidRPr="007D20DB">
        <w:rPr>
          <w:rFonts w:ascii="AGaramondPro-Italic" w:hAnsi="AGaramondPro-Italic" w:cs="AGaramondPro-Italic"/>
          <w:i/>
          <w:iCs/>
          <w:color w:val="000000"/>
          <w:sz w:val="20"/>
          <w:szCs w:val="20"/>
          <w:lang w:val="en-US" w:eastAsia="ja-JP"/>
        </w:rPr>
        <w:t>P. </w:t>
      </w:r>
      <w:proofErr w:type="spellStart"/>
      <w:r w:rsidRPr="007D20DB">
        <w:rPr>
          <w:rFonts w:ascii="AGaramondPro-Italic" w:hAnsi="AGaramondPro-Italic" w:cs="AGaramondPro-Italic"/>
          <w:i/>
          <w:iCs/>
          <w:color w:val="000000"/>
          <w:sz w:val="20"/>
          <w:szCs w:val="20"/>
          <w:lang w:val="en-US" w:eastAsia="ja-JP"/>
        </w:rPr>
        <w:t>multivora</w:t>
      </w:r>
      <w:proofErr w:type="spellEnd"/>
      <w:r w:rsidRPr="007D20DB">
        <w:rPr>
          <w:rFonts w:ascii="AGaramondPro-Italic" w:hAnsi="AGaramondPro-Italic" w:cs="AGaramondPro-Italic"/>
          <w:i/>
          <w:iCs/>
          <w:color w:val="000000"/>
          <w:sz w:val="20"/>
          <w:szCs w:val="20"/>
          <w:lang w:val="en-US" w:eastAsia="ja-JP"/>
        </w:rPr>
        <w:t xml:space="preserve"> and P. </w:t>
      </w:r>
      <w:proofErr w:type="spellStart"/>
      <w:r w:rsidRPr="007D20DB">
        <w:rPr>
          <w:rFonts w:ascii="AGaramondPro-Italic" w:hAnsi="AGaramondPro-Italic" w:cs="AGaramondPro-Italic"/>
          <w:i/>
          <w:iCs/>
          <w:color w:val="000000"/>
          <w:sz w:val="20"/>
          <w:szCs w:val="20"/>
          <w:lang w:val="en-US" w:eastAsia="ja-JP"/>
        </w:rPr>
        <w:t>arenaria</w:t>
      </w:r>
      <w:proofErr w:type="spellEnd"/>
      <w:r w:rsidRPr="007D20DB">
        <w:rPr>
          <w:rFonts w:ascii="AGaramondPro-Regular" w:hAnsi="AGaramondPro-Regular" w:cs="AGaramondPro-Regular"/>
          <w:color w:val="000000"/>
          <w:sz w:val="20"/>
          <w:szCs w:val="20"/>
          <w:lang w:val="en-US" w:eastAsia="ja-JP"/>
        </w:rPr>
        <w:t xml:space="preserve"> are also known to cause significant damage in the wild, particularly in Western Australia. However, much more extensive damage has resulted from the presence of </w:t>
      </w:r>
      <w:r w:rsidRPr="007D20DB">
        <w:rPr>
          <w:rFonts w:ascii="AGaramondPro-Italic" w:hAnsi="AGaramondPro-Italic" w:cs="AGaramondPro-Italic"/>
          <w:i/>
          <w:iCs/>
          <w:color w:val="000000"/>
          <w:sz w:val="20"/>
          <w:szCs w:val="20"/>
          <w:lang w:val="en-US" w:eastAsia="ja-JP"/>
        </w:rPr>
        <w:t>P.</w:t>
      </w:r>
      <w:r w:rsidRPr="007D20DB">
        <w:rPr>
          <w:rFonts w:ascii="AGaramondPro-Regular" w:hAnsi="AGaramondPro-Regular" w:cs="AGaramondPro-Regular"/>
          <w:color w:val="000000"/>
          <w:sz w:val="20"/>
          <w:szCs w:val="20"/>
          <w:rtl/>
          <w:lang w:val="en-US" w:eastAsia="ja-JP" w:bidi="ar-YE"/>
        </w:rPr>
        <w:t>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Italic" w:hAnsi="AGaramondPro-Italic" w:cs="AGaramondPro-Italic"/>
          <w:i/>
          <w:iCs/>
          <w:color w:val="000000"/>
          <w:sz w:val="20"/>
          <w:szCs w:val="20"/>
          <w:lang w:val="en-US" w:eastAsia="ja-JP"/>
        </w:rPr>
        <w:t>.</w:t>
      </w:r>
    </w:p>
    <w:p w:rsidR="007D20DB" w:rsidRPr="007D20DB" w:rsidRDefault="007D20DB" w:rsidP="00162EA4">
      <w:pPr>
        <w:widowControl w:val="0"/>
        <w:suppressAutoHyphens/>
        <w:autoSpaceDE w:val="0"/>
        <w:autoSpaceDN w:val="0"/>
        <w:adjustRightInd w:val="0"/>
        <w:spacing w:after="170" w:line="276" w:lineRule="atLeast"/>
        <w:textAlignment w:val="center"/>
        <w:rPr>
          <w:rFonts w:ascii="AGaramondPro-Regular" w:hAnsi="AGaramondPro-Regular" w:cs="AGaramondPro-Regular"/>
          <w:color w:val="000000"/>
          <w:sz w:val="20"/>
          <w:szCs w:val="20"/>
          <w:lang w:val="en-US" w:eastAsia="ja-JP"/>
        </w:rPr>
      </w:pPr>
      <w:r w:rsidRPr="007D20DB">
        <w:rPr>
          <w:rFonts w:ascii="AGaramondPro-Italic" w:hAnsi="AGaramondPro-Italic" w:cs="AGaramondPro-Italic"/>
          <w:i/>
          <w:iCs/>
          <w:color w:val="000000"/>
          <w:sz w:val="20"/>
          <w:szCs w:val="20"/>
          <w:lang w:val="en-US" w:eastAsia="ja-JP"/>
        </w:rPr>
        <w:t>P.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Italic" w:hAnsi="AGaramondPro-Italic" w:cs="AGaramondPro-Italic"/>
          <w:i/>
          <w:iCs/>
          <w:color w:val="000000"/>
          <w:sz w:val="20"/>
          <w:szCs w:val="20"/>
          <w:lang w:val="en-US" w:eastAsia="ja-JP"/>
        </w:rPr>
        <w:t xml:space="preserve"> </w:t>
      </w:r>
      <w:r w:rsidRPr="007D20DB">
        <w:rPr>
          <w:rFonts w:ascii="AGaramondPro-Regular" w:hAnsi="AGaramondPro-Regular" w:cs="AGaramondPro-Regular"/>
          <w:color w:val="000000"/>
          <w:sz w:val="20"/>
          <w:szCs w:val="20"/>
          <w:lang w:val="en-US" w:eastAsia="ja-JP"/>
        </w:rPr>
        <w:t xml:space="preserve">was probably introduced to Australia with European settlement and since the mid-1960s, has been </w:t>
      </w:r>
      <w:proofErr w:type="spellStart"/>
      <w:r w:rsidRPr="007D20DB">
        <w:rPr>
          <w:rFonts w:ascii="AGaramondPro-Regular" w:hAnsi="AGaramondPro-Regular" w:cs="AGaramondPro-Regular"/>
          <w:color w:val="000000"/>
          <w:sz w:val="20"/>
          <w:szCs w:val="20"/>
          <w:lang w:val="en-US" w:eastAsia="ja-JP"/>
        </w:rPr>
        <w:t>recognised</w:t>
      </w:r>
      <w:proofErr w:type="spellEnd"/>
      <w:r w:rsidRPr="007D20DB">
        <w:rPr>
          <w:rFonts w:ascii="AGaramondPro-Regular" w:hAnsi="AGaramondPro-Regular" w:cs="AGaramondPro-Regular"/>
          <w:color w:val="000000"/>
          <w:sz w:val="20"/>
          <w:szCs w:val="20"/>
          <w:lang w:val="en-US" w:eastAsia="ja-JP"/>
        </w:rPr>
        <w:t xml:space="preserve"> as a serious threat to many native plants and ecosystems, important crops and horticultural plants. </w:t>
      </w:r>
    </w:p>
    <w:p w:rsidR="007D20DB" w:rsidRPr="007D20DB" w:rsidRDefault="007D20DB" w:rsidP="00162EA4">
      <w:pPr>
        <w:widowControl w:val="0"/>
        <w:suppressAutoHyphens/>
        <w:autoSpaceDE w:val="0"/>
        <w:autoSpaceDN w:val="0"/>
        <w:adjustRightInd w:val="0"/>
        <w:spacing w:after="170" w:line="276" w:lineRule="atLeast"/>
        <w:textAlignment w:val="center"/>
        <w:rPr>
          <w:rFonts w:ascii="AGaramondPro-Regular" w:hAnsi="AGaramondPro-Regular" w:cs="AGaramondPro-Regular"/>
          <w:color w:val="000000"/>
          <w:sz w:val="20"/>
          <w:szCs w:val="20"/>
          <w:lang w:val="en-US" w:eastAsia="ja-JP"/>
        </w:rPr>
      </w:pPr>
      <w:r w:rsidRPr="007D20DB">
        <w:rPr>
          <w:rFonts w:ascii="AGaramondPro-Italic" w:hAnsi="AGaramondPro-Italic" w:cs="AGaramondPro-Italic"/>
          <w:i/>
          <w:iCs/>
          <w:color w:val="000000"/>
          <w:sz w:val="20"/>
          <w:szCs w:val="20"/>
          <w:lang w:val="en-US" w:eastAsia="ja-JP"/>
        </w:rPr>
        <w:t>P.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is known to occur in all Australian states and territories; with the exception of the Northern Territory, where it is generally accepted that the environmental conditions are not conducive to the pathogen’s establishment and persistence in susceptible native plant communities. The area of Australian native vegetation affected by </w:t>
      </w:r>
      <w:proofErr w:type="spellStart"/>
      <w:r w:rsidRPr="007D20DB">
        <w:rPr>
          <w:rFonts w:ascii="AGaramondPro-Italic" w:hAnsi="AGaramondPro-Italic" w:cs="AGaramondPro-Italic"/>
          <w:i/>
          <w:iCs/>
          <w:color w:val="000000"/>
          <w:sz w:val="20"/>
          <w:szCs w:val="20"/>
          <w:lang w:val="en-US" w:eastAsia="ja-JP"/>
        </w:rPr>
        <w:t>Phytophthora</w:t>
      </w:r>
      <w:proofErr w:type="spellEnd"/>
      <w:r w:rsidRPr="007D20DB">
        <w:rPr>
          <w:rFonts w:ascii="AGaramondPro-Regular" w:hAnsi="AGaramondPro-Regular" w:cs="AGaramondPro-Regular"/>
          <w:color w:val="000000"/>
          <w:sz w:val="20"/>
          <w:szCs w:val="20"/>
          <w:lang w:val="en-US" w:eastAsia="ja-JP"/>
        </w:rPr>
        <w:t xml:space="preserve"> species exceeds a million hectares, and continues to increase. It has been reported that more than 1 million hectares are affected in Western Australia alone. Recorded isolations, records of impact and a broad climatic envelope of </w:t>
      </w:r>
      <w:proofErr w:type="spellStart"/>
      <w:r w:rsidRPr="007D20DB">
        <w:rPr>
          <w:rFonts w:ascii="AGaramondPro-Italic" w:hAnsi="AGaramondPro-Italic" w:cs="AGaramondPro-Italic"/>
          <w:i/>
          <w:iCs/>
          <w:color w:val="000000"/>
          <w:sz w:val="20"/>
          <w:szCs w:val="20"/>
          <w:lang w:val="en-US" w:eastAsia="ja-JP"/>
        </w:rPr>
        <w:t>Phytophthora</w:t>
      </w:r>
      <w:proofErr w:type="spellEnd"/>
      <w:r w:rsidRPr="007D20DB">
        <w:rPr>
          <w:rFonts w:ascii="AGaramondPro-Italic" w:hAnsi="AGaramondPro-Italic" w:cs="AGaramondPro-Italic"/>
          <w:i/>
          <w:iCs/>
          <w:color w:val="000000"/>
          <w:sz w:val="20"/>
          <w:szCs w:val="20"/>
          <w:lang w:val="en-US" w:eastAsia="ja-JP"/>
        </w:rPr>
        <w:t xml:space="preserve"> </w:t>
      </w:r>
      <w:r w:rsidRPr="007D20DB">
        <w:rPr>
          <w:rFonts w:ascii="AGaramondPro-Regular" w:hAnsi="AGaramondPro-Regular" w:cs="AGaramondPro-Regular"/>
          <w:color w:val="000000"/>
          <w:sz w:val="20"/>
          <w:szCs w:val="20"/>
          <w:lang w:val="en-US" w:eastAsia="ja-JP"/>
        </w:rPr>
        <w:t>species</w:t>
      </w:r>
      <w:r w:rsidRPr="007D20DB">
        <w:rPr>
          <w:rFonts w:ascii="AGaramondPro-Italic" w:hAnsi="AGaramondPro-Italic" w:cs="AGaramondPro-Italic"/>
          <w:i/>
          <w:iCs/>
          <w:color w:val="000000"/>
          <w:sz w:val="20"/>
          <w:szCs w:val="20"/>
          <w:lang w:val="en-US" w:eastAsia="ja-JP"/>
        </w:rPr>
        <w:t xml:space="preserve"> </w:t>
      </w:r>
      <w:r w:rsidRPr="007D20DB">
        <w:rPr>
          <w:rFonts w:ascii="AGaramondPro-Regular" w:hAnsi="AGaramondPro-Regular" w:cs="AGaramondPro-Regular"/>
          <w:color w:val="000000"/>
          <w:sz w:val="20"/>
          <w:szCs w:val="20"/>
          <w:lang w:val="en-US" w:eastAsia="ja-JP"/>
        </w:rPr>
        <w:t>susceptibility in Australia</w:t>
      </w:r>
      <w:r w:rsidRPr="007D20DB">
        <w:rPr>
          <w:rFonts w:ascii="AGaramondPro-Italic" w:hAnsi="AGaramondPro-Italic" w:cs="AGaramondPro-Italic"/>
          <w:i/>
          <w:iCs/>
          <w:color w:val="000000"/>
          <w:sz w:val="20"/>
          <w:szCs w:val="20"/>
          <w:lang w:val="en-US" w:eastAsia="ja-JP"/>
        </w:rPr>
        <w:t xml:space="preserve"> </w:t>
      </w:r>
      <w:r w:rsidRPr="007D20DB">
        <w:rPr>
          <w:rFonts w:ascii="AGaramondPro-Regular" w:hAnsi="AGaramondPro-Regular" w:cs="AGaramondPro-Regular"/>
          <w:color w:val="000000"/>
          <w:sz w:val="20"/>
          <w:szCs w:val="20"/>
          <w:lang w:val="en-US" w:eastAsia="ja-JP"/>
        </w:rPr>
        <w:t>are depicted in a map in the background document (Department of the Environment, 2014).</w:t>
      </w:r>
    </w:p>
    <w:p w:rsidR="007D20DB" w:rsidRPr="007D20DB" w:rsidRDefault="007D20DB" w:rsidP="00162EA4">
      <w:pPr>
        <w:widowControl w:val="0"/>
        <w:suppressAutoHyphens/>
        <w:autoSpaceDE w:val="0"/>
        <w:autoSpaceDN w:val="0"/>
        <w:adjustRightInd w:val="0"/>
        <w:spacing w:after="170" w:line="276"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The pathogen is now well established in many of the country’s higher rainfall areas (areas with a mean annual rainfall greater than 600 </w:t>
      </w:r>
      <w:proofErr w:type="spellStart"/>
      <w:r w:rsidRPr="007D20DB">
        <w:rPr>
          <w:rFonts w:ascii="AGaramondPro-Regular" w:hAnsi="AGaramondPro-Regular" w:cs="AGaramondPro-Regular"/>
          <w:color w:val="000000"/>
          <w:sz w:val="20"/>
          <w:szCs w:val="20"/>
          <w:lang w:val="en-US" w:eastAsia="ja-JP"/>
        </w:rPr>
        <w:t>millimetres</w:t>
      </w:r>
      <w:proofErr w:type="spellEnd"/>
      <w:r w:rsidRPr="007D20DB">
        <w:rPr>
          <w:rFonts w:ascii="AGaramondPro-Regular" w:hAnsi="AGaramondPro-Regular" w:cs="AGaramondPro-Regular"/>
          <w:color w:val="000000"/>
          <w:sz w:val="20"/>
          <w:szCs w:val="20"/>
          <w:lang w:val="en-US" w:eastAsia="ja-JP"/>
        </w:rPr>
        <w:t xml:space="preserve">). Although higher rainfall areas are more </w:t>
      </w:r>
      <w:proofErr w:type="spellStart"/>
      <w:r w:rsidRPr="007D20DB">
        <w:rPr>
          <w:rFonts w:ascii="AGaramondPro-Regular" w:hAnsi="AGaramondPro-Regular" w:cs="AGaramondPro-Regular"/>
          <w:color w:val="000000"/>
          <w:sz w:val="20"/>
          <w:szCs w:val="20"/>
          <w:lang w:val="en-US" w:eastAsia="ja-JP"/>
        </w:rPr>
        <w:t>favourable</w:t>
      </w:r>
      <w:proofErr w:type="spellEnd"/>
      <w:r w:rsidRPr="007D20DB">
        <w:rPr>
          <w:rFonts w:ascii="AGaramondPro-Regular" w:hAnsi="AGaramondPro-Regular" w:cs="AGaramondPro-Regular"/>
          <w:color w:val="000000"/>
          <w:sz w:val="20"/>
          <w:szCs w:val="20"/>
          <w:lang w:val="en-US" w:eastAsia="ja-JP"/>
        </w:rPr>
        <w:t xml:space="preserve">, the distribution of </w:t>
      </w:r>
      <w:r w:rsidRPr="007D20DB">
        <w:rPr>
          <w:rFonts w:ascii="AGaramondPro-Italic" w:hAnsi="AGaramondPro-Italic" w:cs="AGaramondPro-Italic"/>
          <w:i/>
          <w:iCs/>
          <w:color w:val="000000"/>
          <w:sz w:val="20"/>
          <w:szCs w:val="20"/>
          <w:lang w:val="en-US" w:eastAsia="ja-JP"/>
        </w:rPr>
        <w:t>P.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has been reported in areas with average yearly rainfall as low as 400 </w:t>
      </w:r>
      <w:proofErr w:type="spellStart"/>
      <w:r w:rsidRPr="007D20DB">
        <w:rPr>
          <w:rFonts w:ascii="AGaramondPro-Regular" w:hAnsi="AGaramondPro-Regular" w:cs="AGaramondPro-Regular"/>
          <w:color w:val="000000"/>
          <w:sz w:val="20"/>
          <w:szCs w:val="20"/>
          <w:lang w:val="en-US" w:eastAsia="ja-JP"/>
        </w:rPr>
        <w:t>millimetres</w:t>
      </w:r>
      <w:proofErr w:type="spellEnd"/>
      <w:r w:rsidRPr="007D20DB">
        <w:rPr>
          <w:rFonts w:ascii="AGaramondPro-Regular" w:hAnsi="AGaramondPro-Regular" w:cs="AGaramondPro-Regular"/>
          <w:color w:val="000000"/>
          <w:sz w:val="20"/>
          <w:szCs w:val="20"/>
          <w:lang w:val="en-US" w:eastAsia="ja-JP"/>
        </w:rPr>
        <w:t xml:space="preserve"> (</w:t>
      </w:r>
      <w:proofErr w:type="spellStart"/>
      <w:r w:rsidRPr="007D20DB">
        <w:rPr>
          <w:rFonts w:ascii="AGaramondPro-Regular" w:hAnsi="AGaramondPro-Regular" w:cs="AGaramondPro-Regular"/>
          <w:color w:val="000000"/>
          <w:sz w:val="20"/>
          <w:szCs w:val="20"/>
          <w:lang w:val="en-US" w:eastAsia="ja-JP"/>
        </w:rPr>
        <w:t>Brasier</w:t>
      </w:r>
      <w:proofErr w:type="spellEnd"/>
      <w:r w:rsidRPr="007D20DB">
        <w:rPr>
          <w:rFonts w:ascii="AGaramondPro-Regular" w:hAnsi="AGaramondPro-Regular" w:cs="AGaramondPro-Regular"/>
          <w:color w:val="000000"/>
          <w:sz w:val="20"/>
          <w:szCs w:val="20"/>
          <w:lang w:val="en-US" w:eastAsia="ja-JP"/>
        </w:rPr>
        <w:t xml:space="preserve"> and Scott, 1994). The most </w:t>
      </w:r>
      <w:proofErr w:type="spellStart"/>
      <w:r w:rsidRPr="007D20DB">
        <w:rPr>
          <w:rFonts w:ascii="AGaramondPro-Regular" w:hAnsi="AGaramondPro-Regular" w:cs="AGaramondPro-Regular"/>
          <w:color w:val="000000"/>
          <w:sz w:val="20"/>
          <w:szCs w:val="20"/>
          <w:lang w:val="en-US" w:eastAsia="ja-JP"/>
        </w:rPr>
        <w:t>favourable</w:t>
      </w:r>
      <w:proofErr w:type="spellEnd"/>
      <w:r w:rsidRPr="007D20DB">
        <w:rPr>
          <w:rFonts w:ascii="AGaramondPro-Regular" w:hAnsi="AGaramondPro-Regular" w:cs="AGaramondPro-Regular"/>
          <w:color w:val="000000"/>
          <w:sz w:val="20"/>
          <w:szCs w:val="20"/>
          <w:lang w:val="en-US" w:eastAsia="ja-JP"/>
        </w:rPr>
        <w:t xml:space="preserve"> conditions for spore production are free water and warm temperatures. Soils that are neutral pH to acidic are most </w:t>
      </w:r>
      <w:proofErr w:type="spellStart"/>
      <w:r w:rsidRPr="007D20DB">
        <w:rPr>
          <w:rFonts w:ascii="AGaramondPro-Regular" w:hAnsi="AGaramondPro-Regular" w:cs="AGaramondPro-Regular"/>
          <w:color w:val="000000"/>
          <w:sz w:val="20"/>
          <w:szCs w:val="20"/>
          <w:lang w:val="en-US" w:eastAsia="ja-JP"/>
        </w:rPr>
        <w:t>favourable</w:t>
      </w:r>
      <w:proofErr w:type="spellEnd"/>
      <w:r w:rsidRPr="007D20DB">
        <w:rPr>
          <w:rFonts w:ascii="AGaramondPro-Regular" w:hAnsi="AGaramondPro-Regular" w:cs="AGaramondPro-Regular"/>
          <w:color w:val="000000"/>
          <w:sz w:val="20"/>
          <w:szCs w:val="20"/>
          <w:lang w:val="en-US" w:eastAsia="ja-JP"/>
        </w:rPr>
        <w:t xml:space="preserve"> for the </w:t>
      </w:r>
      <w:proofErr w:type="spellStart"/>
      <w:r w:rsidRPr="007D20DB">
        <w:rPr>
          <w:rFonts w:ascii="AGaramondPro-Regular" w:hAnsi="AGaramondPro-Regular" w:cs="AGaramondPro-Regular"/>
          <w:color w:val="000000"/>
          <w:sz w:val="20"/>
          <w:szCs w:val="20"/>
          <w:lang w:val="en-US" w:eastAsia="ja-JP"/>
        </w:rPr>
        <w:t>sporulation</w:t>
      </w:r>
      <w:proofErr w:type="spellEnd"/>
      <w:r w:rsidRPr="007D20DB">
        <w:rPr>
          <w:rFonts w:ascii="AGaramondPro-Regular" w:hAnsi="AGaramondPro-Regular" w:cs="AGaramondPro-Regular"/>
          <w:color w:val="000000"/>
          <w:sz w:val="20"/>
          <w:szCs w:val="20"/>
          <w:lang w:val="en-US" w:eastAsia="ja-JP"/>
        </w:rPr>
        <w:t xml:space="preserve"> and survival of </w:t>
      </w:r>
      <w:r w:rsidRPr="007D20DB">
        <w:rPr>
          <w:rFonts w:ascii="AGaramondPro-Italic" w:hAnsi="AGaramondPro-Italic" w:cs="AGaramondPro-Italic"/>
          <w:i/>
          <w:iCs/>
          <w:color w:val="000000"/>
          <w:sz w:val="20"/>
          <w:szCs w:val="20"/>
          <w:lang w:val="en-US" w:eastAsia="ja-JP"/>
        </w:rPr>
        <w:t>P.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w:t>
      </w:r>
      <w:proofErr w:type="spellStart"/>
      <w:r w:rsidRPr="007D20DB">
        <w:rPr>
          <w:rFonts w:ascii="AGaramondPro-Regular" w:hAnsi="AGaramondPro-Regular" w:cs="AGaramondPro-Regular"/>
          <w:color w:val="000000"/>
          <w:sz w:val="20"/>
          <w:szCs w:val="20"/>
          <w:lang w:val="en-US" w:eastAsia="ja-JP"/>
        </w:rPr>
        <w:t>Zentmyer</w:t>
      </w:r>
      <w:proofErr w:type="spellEnd"/>
      <w:r w:rsidRPr="007D20DB">
        <w:rPr>
          <w:rFonts w:ascii="AGaramondPro-Regular" w:hAnsi="AGaramondPro-Regular" w:cs="AGaramondPro-Regular"/>
          <w:color w:val="000000"/>
          <w:sz w:val="20"/>
          <w:szCs w:val="20"/>
          <w:lang w:val="en-US" w:eastAsia="ja-JP"/>
        </w:rPr>
        <w:t>, 1980).</w:t>
      </w:r>
    </w:p>
    <w:p w:rsidR="007D20DB" w:rsidRPr="007D20DB" w:rsidRDefault="007D20DB" w:rsidP="00162EA4">
      <w:pPr>
        <w:widowControl w:val="0"/>
        <w:suppressAutoHyphens/>
        <w:autoSpaceDE w:val="0"/>
        <w:autoSpaceDN w:val="0"/>
        <w:adjustRightInd w:val="0"/>
        <w:spacing w:after="170" w:line="276"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The development of the disease, </w:t>
      </w:r>
      <w:proofErr w:type="spellStart"/>
      <w:r w:rsidRPr="007D20DB">
        <w:rPr>
          <w:rFonts w:ascii="AGaramondPro-Italic" w:hAnsi="AGaramondPro-Italic" w:cs="AGaramondPro-Italic"/>
          <w:i/>
          <w:iCs/>
          <w:color w:val="000000"/>
          <w:sz w:val="20"/>
          <w:szCs w:val="20"/>
          <w:lang w:val="en-US" w:eastAsia="ja-JP"/>
        </w:rPr>
        <w:t>Phytophthora</w:t>
      </w:r>
      <w:proofErr w:type="spellEnd"/>
      <w:r w:rsidRPr="007D20DB">
        <w:rPr>
          <w:rFonts w:ascii="AGaramondPro-Regular" w:hAnsi="AGaramondPro-Regular" w:cs="AGaramondPro-Regular"/>
          <w:color w:val="000000"/>
          <w:sz w:val="20"/>
          <w:szCs w:val="20"/>
          <w:lang w:val="en-US" w:eastAsia="ja-JP"/>
        </w:rPr>
        <w:t xml:space="preserve"> dieback, requires a number of factors that must operate in concert. These are: the presence of the pathogen; the presence of susceptible host plant species; and environmental conditions that </w:t>
      </w:r>
      <w:proofErr w:type="spellStart"/>
      <w:r w:rsidRPr="007D20DB">
        <w:rPr>
          <w:rFonts w:ascii="AGaramondPro-Regular" w:hAnsi="AGaramondPro-Regular" w:cs="AGaramondPro-Regular"/>
          <w:color w:val="000000"/>
          <w:sz w:val="20"/>
          <w:szCs w:val="20"/>
          <w:lang w:val="en-US" w:eastAsia="ja-JP"/>
        </w:rPr>
        <w:t>favour</w:t>
      </w:r>
      <w:proofErr w:type="spellEnd"/>
      <w:r w:rsidRPr="007D20DB">
        <w:rPr>
          <w:rFonts w:ascii="AGaramondPro-Regular" w:hAnsi="AGaramondPro-Regular" w:cs="AGaramondPro-Regular"/>
          <w:color w:val="000000"/>
          <w:sz w:val="20"/>
          <w:szCs w:val="20"/>
          <w:lang w:val="en-US" w:eastAsia="ja-JP"/>
        </w:rPr>
        <w:t xml:space="preserve"> infection and subsequent reproduction and spread of the disease (</w:t>
      </w:r>
      <w:proofErr w:type="spellStart"/>
      <w:r w:rsidRPr="007D20DB">
        <w:rPr>
          <w:rFonts w:ascii="AGaramondPro-Regular" w:hAnsi="AGaramondPro-Regular" w:cs="AGaramondPro-Regular"/>
          <w:color w:val="000000"/>
          <w:sz w:val="20"/>
          <w:szCs w:val="20"/>
          <w:lang w:val="en-US" w:eastAsia="ja-JP"/>
        </w:rPr>
        <w:t>Garkaklis</w:t>
      </w:r>
      <w:proofErr w:type="spellEnd"/>
      <w:r w:rsidRPr="007D20DB">
        <w:rPr>
          <w:rFonts w:ascii="AGaramondPro-Regular" w:hAnsi="AGaramondPro-Regular" w:cs="AGaramondPro-Regular"/>
          <w:color w:val="000000"/>
          <w:sz w:val="20"/>
          <w:szCs w:val="20"/>
          <w:lang w:val="en-US" w:eastAsia="ja-JP"/>
        </w:rPr>
        <w:t xml:space="preserve"> et al., 2004).</w:t>
      </w:r>
    </w:p>
    <w:p w:rsidR="007D20DB" w:rsidRPr="007D20DB" w:rsidRDefault="007D20DB" w:rsidP="00162EA4">
      <w:pPr>
        <w:widowControl w:val="0"/>
        <w:suppressAutoHyphens/>
        <w:autoSpaceDE w:val="0"/>
        <w:autoSpaceDN w:val="0"/>
        <w:adjustRightInd w:val="0"/>
        <w:spacing w:after="170" w:line="276"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Plants become visibly diseased when infection results in the impairment of the plant’s physiological and biochemical functions. Roots are a primary site of infection and therefore uptake of water is one of the first functions affected. This is why symptoms of </w:t>
      </w:r>
      <w:r w:rsidRPr="007D20DB">
        <w:rPr>
          <w:rFonts w:ascii="AGaramondPro-Italic" w:hAnsi="AGaramondPro-Italic" w:cs="AGaramondPro-Italic"/>
          <w:i/>
          <w:iCs/>
          <w:color w:val="000000"/>
          <w:sz w:val="20"/>
          <w:szCs w:val="20"/>
          <w:lang w:val="en-US" w:eastAsia="ja-JP"/>
        </w:rPr>
        <w:t>P.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infection have similarities, at least initially, with those of water-stress. For susceptible species, apparently healthy plants (in groups or individually) can suddenly die. Less susceptible species can show crown decline symptoms, including leaf yellowing and death of primary leaf-bearing branches. </w:t>
      </w:r>
      <w:proofErr w:type="spellStart"/>
      <w:r w:rsidRPr="007D20DB">
        <w:rPr>
          <w:rFonts w:ascii="AGaramondPro-Regular" w:hAnsi="AGaramondPro-Regular" w:cs="AGaramondPro-Regular"/>
          <w:color w:val="000000"/>
          <w:sz w:val="20"/>
          <w:szCs w:val="20"/>
          <w:lang w:val="en-US" w:eastAsia="ja-JP"/>
        </w:rPr>
        <w:t>Epicormic</w:t>
      </w:r>
      <w:proofErr w:type="spellEnd"/>
      <w:r w:rsidRPr="007D20DB">
        <w:rPr>
          <w:rFonts w:ascii="AGaramondPro-Regular" w:hAnsi="AGaramondPro-Regular" w:cs="AGaramondPro-Regular"/>
          <w:color w:val="000000"/>
          <w:sz w:val="20"/>
          <w:szCs w:val="20"/>
          <w:lang w:val="en-US" w:eastAsia="ja-JP"/>
        </w:rPr>
        <w:t xml:space="preserve"> branches with smaller leaves can develop, and over time </w:t>
      </w:r>
      <w:proofErr w:type="spellStart"/>
      <w:r w:rsidRPr="007D20DB">
        <w:rPr>
          <w:rFonts w:ascii="AGaramondPro-Regular" w:hAnsi="AGaramondPro-Regular" w:cs="AGaramondPro-Regular"/>
          <w:color w:val="000000"/>
          <w:sz w:val="20"/>
          <w:szCs w:val="20"/>
          <w:lang w:val="en-US" w:eastAsia="ja-JP"/>
        </w:rPr>
        <w:t>epicormic</w:t>
      </w:r>
      <w:proofErr w:type="spellEnd"/>
      <w:r w:rsidRPr="007D20DB">
        <w:rPr>
          <w:rFonts w:ascii="AGaramondPro-Regular" w:hAnsi="AGaramondPro-Regular" w:cs="AGaramondPro-Regular"/>
          <w:color w:val="000000"/>
          <w:sz w:val="20"/>
          <w:szCs w:val="20"/>
          <w:lang w:val="en-US" w:eastAsia="ja-JP"/>
        </w:rPr>
        <w:t xml:space="preserve"> branches will decline, with an overall thinning of the crown. Trees with such symptoms can take a number of years to decline and die. The removal of bark at the base of trees just above or below the soil line can reveal areas of necrosis. These necrotic areas effectively girdle the trees and cause death.</w:t>
      </w:r>
    </w:p>
    <w:p w:rsidR="007D20DB" w:rsidRPr="007D20DB" w:rsidRDefault="007D20DB" w:rsidP="00162EA4">
      <w:pPr>
        <w:widowControl w:val="0"/>
        <w:suppressAutoHyphens/>
        <w:autoSpaceDE w:val="0"/>
        <w:autoSpaceDN w:val="0"/>
        <w:adjustRightInd w:val="0"/>
        <w:spacing w:after="170" w:line="276" w:lineRule="atLeast"/>
        <w:textAlignment w:val="center"/>
        <w:rPr>
          <w:rFonts w:ascii="AGaramondPro-Regular" w:hAnsi="AGaramondPro-Regular" w:cs="AGaramondPro-Regular"/>
          <w:color w:val="000000"/>
          <w:sz w:val="20"/>
          <w:szCs w:val="20"/>
          <w:lang w:val="en-US" w:eastAsia="ja-JP"/>
        </w:rPr>
      </w:pPr>
      <w:r w:rsidRPr="007D20DB">
        <w:rPr>
          <w:rFonts w:ascii="AGaramondPro-Italic" w:hAnsi="AGaramondPro-Italic" w:cs="AGaramondPro-Italic"/>
          <w:i/>
          <w:iCs/>
          <w:color w:val="000000"/>
          <w:sz w:val="20"/>
          <w:szCs w:val="20"/>
          <w:lang w:val="en-US" w:eastAsia="ja-JP"/>
        </w:rPr>
        <w:t>P.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can be spread in water, soil or plant material that contains the pathogen and dispersal is </w:t>
      </w:r>
      <w:proofErr w:type="spellStart"/>
      <w:r w:rsidRPr="007D20DB">
        <w:rPr>
          <w:rFonts w:ascii="AGaramondPro-Regular" w:hAnsi="AGaramondPro-Regular" w:cs="AGaramondPro-Regular"/>
          <w:color w:val="000000"/>
          <w:sz w:val="20"/>
          <w:szCs w:val="20"/>
          <w:lang w:val="en-US" w:eastAsia="ja-JP"/>
        </w:rPr>
        <w:t>favoured</w:t>
      </w:r>
      <w:proofErr w:type="spellEnd"/>
      <w:r w:rsidRPr="007D20DB">
        <w:rPr>
          <w:rFonts w:ascii="AGaramondPro-Regular" w:hAnsi="AGaramondPro-Regular" w:cs="AGaramondPro-Regular"/>
          <w:color w:val="000000"/>
          <w:sz w:val="20"/>
          <w:szCs w:val="20"/>
          <w:lang w:val="en-US" w:eastAsia="ja-JP"/>
        </w:rPr>
        <w:t xml:space="preserve"> by moist or wet conditions. It</w:t>
      </w:r>
      <w:r w:rsidRPr="007D20DB">
        <w:rPr>
          <w:rFonts w:ascii="AGaramondPro-Italic" w:hAnsi="AGaramondPro-Italic" w:cs="AGaramondPro-Italic"/>
          <w:i/>
          <w:iCs/>
          <w:color w:val="000000"/>
          <w:sz w:val="20"/>
          <w:szCs w:val="20"/>
          <w:lang w:val="en-US" w:eastAsia="ja-JP"/>
        </w:rPr>
        <w:t xml:space="preserve"> </w:t>
      </w:r>
      <w:r w:rsidRPr="007D20DB">
        <w:rPr>
          <w:rFonts w:ascii="AGaramondPro-Regular" w:hAnsi="AGaramondPro-Regular" w:cs="AGaramondPro-Regular"/>
          <w:color w:val="000000"/>
          <w:sz w:val="20"/>
          <w:szCs w:val="20"/>
          <w:lang w:val="en-US" w:eastAsia="ja-JP"/>
        </w:rPr>
        <w:t xml:space="preserve">can be carried in both overland and subsurface water flow and by water moving infested soil or organic material. Native and feral animals have been implicated in spreading </w:t>
      </w:r>
      <w:r w:rsidRPr="007D20DB">
        <w:rPr>
          <w:rFonts w:ascii="AGaramondPro-Italic" w:hAnsi="AGaramondPro-Italic" w:cs="AGaramondPro-Italic"/>
          <w:i/>
          <w:iCs/>
          <w:color w:val="000000"/>
          <w:sz w:val="20"/>
          <w:szCs w:val="20"/>
          <w:lang w:val="en-US" w:eastAsia="ja-JP"/>
        </w:rPr>
        <w:t>P.</w:t>
      </w:r>
      <w:r w:rsidRPr="007D20DB">
        <w:rPr>
          <w:rFonts w:ascii="AGaramondPro-Italic" w:hAnsi="AGaramondPro-Italic" w:cs="AGaramondPro-Italic"/>
          <w:i/>
          <w:iCs/>
          <w:color w:val="000000"/>
          <w:sz w:val="20"/>
          <w:szCs w:val="20"/>
          <w:rtl/>
          <w:lang w:val="en-US" w:eastAsia="ja-JP" w:bidi="ar-YE"/>
        </w:rPr>
        <w:t>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particularly where there are digging </w:t>
      </w:r>
      <w:proofErr w:type="spellStart"/>
      <w:r w:rsidRPr="007D20DB">
        <w:rPr>
          <w:rFonts w:ascii="AGaramondPro-Regular" w:hAnsi="AGaramondPro-Regular" w:cs="AGaramondPro-Regular"/>
          <w:color w:val="000000"/>
          <w:sz w:val="20"/>
          <w:szCs w:val="20"/>
          <w:lang w:val="en-US" w:eastAsia="ja-JP"/>
        </w:rPr>
        <w:t>behaviours</w:t>
      </w:r>
      <w:proofErr w:type="spellEnd"/>
      <w:r w:rsidRPr="007D20DB">
        <w:rPr>
          <w:rFonts w:ascii="AGaramondPro-Regular" w:hAnsi="AGaramondPro-Regular" w:cs="AGaramondPro-Regular"/>
          <w:color w:val="000000"/>
          <w:sz w:val="20"/>
          <w:szCs w:val="20"/>
          <w:lang w:val="en-US" w:eastAsia="ja-JP"/>
        </w:rPr>
        <w:t xml:space="preserve">. Humans, however, have the capacity to disturb and transport more soil than any other vector. Most of the large </w:t>
      </w:r>
      <w:proofErr w:type="spellStart"/>
      <w:r w:rsidRPr="007D20DB">
        <w:rPr>
          <w:rFonts w:ascii="AGaramondPro-Regular" w:hAnsi="AGaramondPro-Regular" w:cs="AGaramondPro-Regular"/>
          <w:color w:val="000000"/>
          <w:sz w:val="20"/>
          <w:szCs w:val="20"/>
          <w:lang w:val="en-US" w:eastAsia="ja-JP"/>
        </w:rPr>
        <w:t>centres</w:t>
      </w:r>
      <w:proofErr w:type="spellEnd"/>
      <w:r w:rsidRPr="007D20DB">
        <w:rPr>
          <w:rFonts w:ascii="AGaramondPro-Regular" w:hAnsi="AGaramondPro-Regular" w:cs="AGaramondPro-Regular"/>
          <w:color w:val="000000"/>
          <w:sz w:val="20"/>
          <w:szCs w:val="20"/>
          <w:lang w:val="en-US" w:eastAsia="ja-JP"/>
        </w:rPr>
        <w:t xml:space="preserve"> of infestation that exist today in southern temperate Australia occurred as a result of human activity, often as a direct result of the introduction of infested soil or road-building materials to vulnerable un-infested areas (O’Gara et al., 2005b). A list of human assisted spread mechanisms is in section 1.4 of this TAP. </w:t>
      </w:r>
    </w:p>
    <w:p w:rsidR="007D20DB" w:rsidRPr="007D20DB" w:rsidRDefault="007D20DB" w:rsidP="00162EA4">
      <w:pPr>
        <w:widowControl w:val="0"/>
        <w:suppressAutoHyphens/>
        <w:autoSpaceDE w:val="0"/>
        <w:autoSpaceDN w:val="0"/>
        <w:adjustRightInd w:val="0"/>
        <w:spacing w:after="170" w:line="276"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Zoospores from the pathogen can swim short distances in free water. </w:t>
      </w:r>
      <w:r w:rsidRPr="007D20DB">
        <w:rPr>
          <w:rFonts w:ascii="AGaramondPro-Italic" w:hAnsi="AGaramondPro-Italic" w:cs="AGaramondPro-Italic"/>
          <w:i/>
          <w:iCs/>
          <w:color w:val="000000"/>
          <w:sz w:val="20"/>
          <w:szCs w:val="20"/>
          <w:lang w:val="en-US" w:eastAsia="ja-JP"/>
        </w:rPr>
        <w:t>P.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Italic" w:hAnsi="AGaramondPro-Italic" w:cs="AGaramondPro-Italic"/>
          <w:i/>
          <w:iCs/>
          <w:color w:val="000000"/>
          <w:sz w:val="20"/>
          <w:szCs w:val="20"/>
          <w:lang w:val="en-US" w:eastAsia="ja-JP"/>
        </w:rPr>
        <w:t xml:space="preserve"> </w:t>
      </w:r>
      <w:r w:rsidRPr="007D20DB">
        <w:rPr>
          <w:rFonts w:ascii="AGaramondPro-Regular" w:hAnsi="AGaramondPro-Regular" w:cs="AGaramondPro-Regular"/>
          <w:color w:val="000000"/>
          <w:sz w:val="20"/>
          <w:szCs w:val="20"/>
          <w:lang w:val="en-US" w:eastAsia="ja-JP"/>
        </w:rPr>
        <w:t>grows through roots and can spread to the roots of adjacent plants where root-to-root contact occurs. Root-to-root movement of the pathogen is thought to be one of the major ways in which the pathogen moves upslope (O’Gara et al</w:t>
      </w:r>
      <w:r w:rsidRPr="007D20DB">
        <w:rPr>
          <w:rFonts w:ascii="AGaramondPro-Italic" w:hAnsi="AGaramondPro-Italic" w:cs="AGaramondPro-Italic"/>
          <w:i/>
          <w:iCs/>
          <w:color w:val="000000"/>
          <w:sz w:val="20"/>
          <w:szCs w:val="20"/>
          <w:lang w:val="en-US" w:eastAsia="ja-JP"/>
        </w:rPr>
        <w:t>.,</w:t>
      </w:r>
      <w:r w:rsidRPr="007D20DB">
        <w:rPr>
          <w:rFonts w:ascii="AGaramondPro-Regular" w:hAnsi="AGaramondPro-Regular" w:cs="AGaramondPro-Regular"/>
          <w:color w:val="000000"/>
          <w:sz w:val="20"/>
          <w:szCs w:val="20"/>
          <w:lang w:val="en-US" w:eastAsia="ja-JP"/>
        </w:rPr>
        <w:t xml:space="preserve"> 2005b). Under less </w:t>
      </w:r>
      <w:proofErr w:type="spellStart"/>
      <w:r w:rsidRPr="007D20DB">
        <w:rPr>
          <w:rFonts w:ascii="AGaramondPro-Regular" w:hAnsi="AGaramondPro-Regular" w:cs="AGaramondPro-Regular"/>
          <w:color w:val="000000"/>
          <w:sz w:val="20"/>
          <w:szCs w:val="20"/>
          <w:lang w:val="en-US" w:eastAsia="ja-JP"/>
        </w:rPr>
        <w:t>favourable</w:t>
      </w:r>
      <w:proofErr w:type="spellEnd"/>
      <w:r w:rsidRPr="007D20DB">
        <w:rPr>
          <w:rFonts w:ascii="AGaramondPro-Regular" w:hAnsi="AGaramondPro-Regular" w:cs="AGaramondPro-Regular"/>
          <w:color w:val="000000"/>
          <w:sz w:val="20"/>
          <w:szCs w:val="20"/>
          <w:lang w:val="en-US" w:eastAsia="ja-JP"/>
        </w:rPr>
        <w:t xml:space="preserve"> conditions, </w:t>
      </w:r>
      <w:r w:rsidRPr="007D20DB">
        <w:rPr>
          <w:rFonts w:ascii="AGaramondPro-Italic" w:hAnsi="AGaramondPro-Italic" w:cs="AGaramondPro-Italic"/>
          <w:i/>
          <w:iCs/>
          <w:color w:val="000000"/>
          <w:sz w:val="20"/>
          <w:szCs w:val="20"/>
          <w:lang w:val="en-US" w:eastAsia="ja-JP"/>
        </w:rPr>
        <w:t>P.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produces asexual reproductive structures known as </w:t>
      </w:r>
      <w:proofErr w:type="spellStart"/>
      <w:r w:rsidRPr="007D20DB">
        <w:rPr>
          <w:rFonts w:ascii="AGaramondPro-Regular" w:hAnsi="AGaramondPro-Regular" w:cs="AGaramondPro-Regular"/>
          <w:color w:val="000000"/>
          <w:sz w:val="20"/>
          <w:szCs w:val="20"/>
          <w:lang w:val="en-US" w:eastAsia="ja-JP"/>
        </w:rPr>
        <w:t>chlamydospores</w:t>
      </w:r>
      <w:proofErr w:type="spellEnd"/>
      <w:r w:rsidRPr="007D20DB">
        <w:rPr>
          <w:rFonts w:ascii="AGaramondPro-Regular" w:hAnsi="AGaramondPro-Regular" w:cs="AGaramondPro-Regular"/>
          <w:color w:val="000000"/>
          <w:sz w:val="20"/>
          <w:szCs w:val="20"/>
          <w:lang w:val="en-US" w:eastAsia="ja-JP"/>
        </w:rPr>
        <w:t xml:space="preserve">, which can survive for several years until conditions improve. Recently, in Western Australia, </w:t>
      </w:r>
      <w:r w:rsidRPr="007D20DB">
        <w:rPr>
          <w:rFonts w:ascii="AGaramondPro-Italic" w:hAnsi="AGaramondPro-Italic" w:cs="AGaramondPro-Italic"/>
          <w:i/>
          <w:iCs/>
          <w:color w:val="000000"/>
          <w:sz w:val="20"/>
          <w:szCs w:val="20"/>
          <w:lang w:val="en-US" w:eastAsia="ja-JP"/>
        </w:rPr>
        <w:t>P.</w:t>
      </w:r>
      <w:r w:rsidRPr="007D20DB">
        <w:rPr>
          <w:rFonts w:ascii="AGaramondPro-Regular" w:hAnsi="AGaramondPro-Regular" w:cs="AGaramondPro-Regular"/>
          <w:color w:val="000000"/>
          <w:sz w:val="20"/>
          <w:szCs w:val="20"/>
          <w:rtl/>
          <w:lang w:val="en-US" w:eastAsia="ja-JP" w:bidi="ar-YE"/>
        </w:rPr>
        <w:t>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has been shown to survive asymptomatically in a range of native annual and herbaceous perennial species (Crone et al., 2012; Crone et al., 2013a) and in some species to survive as a </w:t>
      </w:r>
      <w:proofErr w:type="spellStart"/>
      <w:r w:rsidRPr="007D20DB">
        <w:rPr>
          <w:rFonts w:ascii="AGaramondPro-Regular" w:hAnsi="AGaramondPro-Regular" w:cs="AGaramondPro-Regular"/>
          <w:color w:val="000000"/>
          <w:sz w:val="20"/>
          <w:szCs w:val="20"/>
          <w:lang w:val="en-US" w:eastAsia="ja-JP"/>
        </w:rPr>
        <w:t>biotroph</w:t>
      </w:r>
      <w:proofErr w:type="spellEnd"/>
      <w:r w:rsidRPr="007D20DB">
        <w:rPr>
          <w:rFonts w:ascii="AGaramondPro-Regular" w:hAnsi="AGaramondPro-Regular" w:cs="AGaramondPro-Regular"/>
          <w:color w:val="000000"/>
          <w:sz w:val="20"/>
          <w:szCs w:val="20"/>
          <w:lang w:val="en-US" w:eastAsia="ja-JP"/>
        </w:rPr>
        <w:t xml:space="preserve">. In addition it can, in some hosts, produce numerous </w:t>
      </w:r>
      <w:proofErr w:type="spellStart"/>
      <w:r w:rsidRPr="007D20DB">
        <w:rPr>
          <w:rFonts w:ascii="AGaramondPro-Regular" w:hAnsi="AGaramondPro-Regular" w:cs="AGaramondPro-Regular"/>
          <w:color w:val="000000"/>
          <w:sz w:val="20"/>
          <w:szCs w:val="20"/>
          <w:lang w:val="en-US" w:eastAsia="ja-JP"/>
        </w:rPr>
        <w:t>selfed</w:t>
      </w:r>
      <w:proofErr w:type="spellEnd"/>
      <w:r w:rsidRPr="007D20DB">
        <w:rPr>
          <w:rFonts w:ascii="AGaramondPro-Regular" w:hAnsi="AGaramondPro-Regular" w:cs="AGaramondPro-Regular"/>
          <w:color w:val="000000"/>
          <w:sz w:val="20"/>
          <w:szCs w:val="20"/>
          <w:lang w:val="en-US" w:eastAsia="ja-JP"/>
        </w:rPr>
        <w:t xml:space="preserve"> oospores which would allow it to survive adverse conditions when necessary (Crone et al., 2013b). These research findings may have important implications for the future management of </w:t>
      </w:r>
      <w:r w:rsidRPr="007D20DB">
        <w:rPr>
          <w:rFonts w:ascii="AGaramondPro-Italic" w:hAnsi="AGaramondPro-Italic" w:cs="AGaramondPro-Italic"/>
          <w:i/>
          <w:iCs/>
          <w:color w:val="000000"/>
          <w:sz w:val="20"/>
          <w:szCs w:val="20"/>
          <w:lang w:val="en-US" w:eastAsia="ja-JP"/>
        </w:rPr>
        <w:t>P.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w:t>
      </w:r>
    </w:p>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It is important to note the intractable nature of disease caused by </w:t>
      </w:r>
      <w:r w:rsidRPr="007D20DB">
        <w:rPr>
          <w:rFonts w:ascii="AGaramondPro-Italic" w:hAnsi="AGaramondPro-Italic" w:cs="AGaramondPro-Italic"/>
          <w:i/>
          <w:iCs/>
          <w:color w:val="000000"/>
          <w:sz w:val="20"/>
          <w:szCs w:val="20"/>
          <w:lang w:val="en-US" w:eastAsia="ja-JP"/>
        </w:rPr>
        <w:t>P.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but also that actions which ameliorate its effects—particularly on endangered species and communities—are vital to the conservation of Australia’s biodiversity.</w:t>
      </w:r>
    </w:p>
    <w:p w:rsidR="007D20DB" w:rsidRPr="007D20DB" w:rsidRDefault="007D20DB" w:rsidP="00704644">
      <w:pPr>
        <w:pStyle w:val="02HEADING20"/>
        <w:rPr>
          <w:rFonts w:ascii="MyriadPro-BoldIt" w:hAnsi="MyriadPro-BoldIt" w:cs="MyriadPro-BoldIt"/>
          <w:b/>
          <w:bCs/>
        </w:rPr>
      </w:pPr>
      <w:bookmarkStart w:id="8" w:name="_Toc253067276"/>
      <w:r w:rsidRPr="007D20DB">
        <w:lastRenderedPageBreak/>
        <w:t xml:space="preserve">1.3 </w:t>
      </w:r>
      <w:r w:rsidRPr="007D20DB">
        <w:tab/>
        <w:t xml:space="preserve">Impacts of </w:t>
      </w:r>
      <w:proofErr w:type="spellStart"/>
      <w:r w:rsidRPr="00704644">
        <w:rPr>
          <w:i/>
        </w:rPr>
        <w:t>Phytophthora</w:t>
      </w:r>
      <w:proofErr w:type="spellEnd"/>
      <w:r w:rsidRPr="00704644">
        <w:rPr>
          <w:i/>
        </w:rPr>
        <w:t xml:space="preserve"> </w:t>
      </w:r>
      <w:proofErr w:type="spellStart"/>
      <w:r w:rsidRPr="00704644">
        <w:rPr>
          <w:i/>
        </w:rPr>
        <w:t>cinnamomi</w:t>
      </w:r>
      <w:bookmarkEnd w:id="8"/>
      <w:proofErr w:type="spellEnd"/>
    </w:p>
    <w:p w:rsidR="007D20DB" w:rsidRPr="007D20DB" w:rsidRDefault="007D20DB" w:rsidP="00704644">
      <w:pPr>
        <w:pStyle w:val="03HEADING3"/>
      </w:pPr>
      <w:bookmarkStart w:id="9" w:name="_Toc253067277"/>
      <w:r w:rsidRPr="007D20DB">
        <w:t xml:space="preserve">1.3.1 </w:t>
      </w:r>
      <w:r w:rsidRPr="007D20DB">
        <w:tab/>
        <w:t>Ecological impacts on plants</w:t>
      </w:r>
      <w:bookmarkEnd w:id="9"/>
    </w:p>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Healthy natural environments provide a range of direct and indirect benefits, which are threatened by disease caused by </w:t>
      </w:r>
      <w:r w:rsidRPr="007D20DB">
        <w:rPr>
          <w:rFonts w:ascii="AGaramondPro-Italic" w:hAnsi="AGaramondPro-Italic" w:cs="AGaramondPro-Italic"/>
          <w:i/>
          <w:iCs/>
          <w:color w:val="000000"/>
          <w:sz w:val="20"/>
          <w:szCs w:val="20"/>
          <w:lang w:val="en-US" w:eastAsia="ja-JP"/>
        </w:rPr>
        <w:t>P.</w:t>
      </w:r>
      <w:r w:rsidRPr="007D20DB">
        <w:rPr>
          <w:rFonts w:ascii="AGaramondPro-Regular" w:hAnsi="AGaramondPro-Regular" w:cs="AGaramondPro-Regular"/>
          <w:color w:val="000000"/>
          <w:sz w:val="20"/>
          <w:szCs w:val="20"/>
          <w:rtl/>
          <w:lang w:val="en-US" w:eastAsia="ja-JP" w:bidi="ar-YE"/>
        </w:rPr>
        <w:t>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This disease is often difficult to detect and its impact may be significant before it is detected. </w:t>
      </w:r>
    </w:p>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The consequences of infection of susceptible ecological communities include:</w:t>
      </w:r>
    </w:p>
    <w:p w:rsidR="007D20DB" w:rsidRPr="007D20DB" w:rsidRDefault="007D20DB" w:rsidP="007D20DB">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r>
      <w:proofErr w:type="gramStart"/>
      <w:r w:rsidRPr="007D20DB">
        <w:rPr>
          <w:rFonts w:ascii="AGaramondPro-Regular" w:hAnsi="AGaramondPro-Regular" w:cs="AGaramondPro-Regular"/>
          <w:color w:val="000000"/>
          <w:sz w:val="20"/>
          <w:szCs w:val="20"/>
          <w:lang w:val="en-US" w:eastAsia="ja-JP"/>
        </w:rPr>
        <w:t>a</w:t>
      </w:r>
      <w:proofErr w:type="gramEnd"/>
      <w:r w:rsidRPr="007D20DB">
        <w:rPr>
          <w:rFonts w:ascii="AGaramondPro-Regular" w:hAnsi="AGaramondPro-Regular" w:cs="AGaramondPro-Regular"/>
          <w:color w:val="000000"/>
          <w:sz w:val="20"/>
          <w:szCs w:val="20"/>
          <w:lang w:val="en-US" w:eastAsia="ja-JP"/>
        </w:rPr>
        <w:t xml:space="preserve"> dramatic modification of the structure and composition of the native plant communities </w:t>
      </w:r>
    </w:p>
    <w:p w:rsidR="007D20DB" w:rsidRPr="007D20DB" w:rsidRDefault="007D20DB" w:rsidP="007D20DB">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r>
      <w:proofErr w:type="gramStart"/>
      <w:r w:rsidRPr="007D20DB">
        <w:rPr>
          <w:rFonts w:ascii="AGaramondPro-Regular" w:hAnsi="AGaramondPro-Regular" w:cs="AGaramondPro-Regular"/>
          <w:color w:val="000000"/>
          <w:sz w:val="20"/>
          <w:szCs w:val="20"/>
          <w:lang w:val="en-US" w:eastAsia="ja-JP"/>
        </w:rPr>
        <w:t>a</w:t>
      </w:r>
      <w:proofErr w:type="gramEnd"/>
      <w:r w:rsidRPr="007D20DB">
        <w:rPr>
          <w:rFonts w:ascii="AGaramondPro-Regular" w:hAnsi="AGaramondPro-Regular" w:cs="AGaramondPro-Regular"/>
          <w:color w:val="000000"/>
          <w:sz w:val="20"/>
          <w:szCs w:val="20"/>
          <w:lang w:val="en-US" w:eastAsia="ja-JP"/>
        </w:rPr>
        <w:t xml:space="preserve"> significant reduction in primary productivity and functionality</w:t>
      </w:r>
    </w:p>
    <w:p w:rsidR="007D20DB" w:rsidRPr="007D20DB" w:rsidRDefault="007D20DB" w:rsidP="007D20DB">
      <w:pPr>
        <w:widowControl w:val="0"/>
        <w:suppressAutoHyphens/>
        <w:autoSpaceDE w:val="0"/>
        <w:autoSpaceDN w:val="0"/>
        <w:adjustRightInd w:val="0"/>
        <w:spacing w:after="170" w:line="280" w:lineRule="atLeast"/>
        <w:ind w:left="283"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r>
      <w:proofErr w:type="gramStart"/>
      <w:r w:rsidRPr="007D20DB">
        <w:rPr>
          <w:rFonts w:ascii="AGaramondPro-Regular" w:hAnsi="AGaramondPro-Regular" w:cs="AGaramondPro-Regular"/>
          <w:color w:val="000000"/>
          <w:sz w:val="20"/>
          <w:szCs w:val="20"/>
          <w:lang w:val="en-US" w:eastAsia="ja-JP"/>
        </w:rPr>
        <w:t>habitat</w:t>
      </w:r>
      <w:proofErr w:type="gramEnd"/>
      <w:r w:rsidRPr="007D20DB">
        <w:rPr>
          <w:rFonts w:ascii="AGaramondPro-Regular" w:hAnsi="AGaramondPro-Regular" w:cs="AGaramondPro-Regular"/>
          <w:color w:val="000000"/>
          <w:sz w:val="20"/>
          <w:szCs w:val="20"/>
          <w:lang w:val="en-US" w:eastAsia="ja-JP"/>
        </w:rPr>
        <w:t xml:space="preserve"> loss and degradation for dependent flora and fauna.</w:t>
      </w:r>
    </w:p>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Regular" w:hAnsi="AGaramondPro-Regular" w:cs="AGaramondPro-Regular"/>
          <w:color w:val="000000"/>
          <w:sz w:val="20"/>
          <w:szCs w:val="20"/>
          <w:lang w:val="en-US" w:eastAsia="ja-JP"/>
        </w:rPr>
        <w:t>Hardham</w:t>
      </w:r>
      <w:proofErr w:type="spellEnd"/>
      <w:r w:rsidRPr="007D20DB">
        <w:rPr>
          <w:rFonts w:ascii="AGaramondPro-Regular" w:hAnsi="AGaramondPro-Regular" w:cs="AGaramondPro-Regular"/>
          <w:color w:val="000000"/>
          <w:sz w:val="20"/>
          <w:szCs w:val="20"/>
          <w:lang w:val="en-US" w:eastAsia="ja-JP"/>
        </w:rPr>
        <w:t xml:space="preserve"> (2005) suggests that </w:t>
      </w:r>
      <w:r w:rsidRPr="007D20DB">
        <w:rPr>
          <w:rFonts w:ascii="AGaramondPro-Italic" w:hAnsi="AGaramondPro-Italic" w:cs="AGaramondPro-Italic"/>
          <w:i/>
          <w:iCs/>
          <w:color w:val="000000"/>
          <w:sz w:val="20"/>
          <w:szCs w:val="20"/>
          <w:lang w:val="en-US" w:eastAsia="ja-JP"/>
        </w:rPr>
        <w:t>P.</w:t>
      </w:r>
      <w:r w:rsidRPr="007D20DB">
        <w:rPr>
          <w:rFonts w:ascii="AGaramondPro-Regular" w:hAnsi="AGaramondPro-Regular" w:cs="AGaramondPro-Regular"/>
          <w:color w:val="000000"/>
          <w:sz w:val="20"/>
          <w:szCs w:val="20"/>
          <w:rtl/>
          <w:lang w:val="en-US" w:eastAsia="ja-JP" w:bidi="ar-YE"/>
        </w:rPr>
        <w:t>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is likely to infect over 2500 Australian native species. In the South-West Botanical Province Shearer et al. (2004) have shown that approximately 41per cent of 5710 vascular plant species are susceptible to the pathogen. The pathogen is a threat, or possible threat to 144 native plant species listed as threatened under the EPBC Act (see the list at Appendix A). It may threaten several of these plant species with extinction. </w:t>
      </w:r>
    </w:p>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Susceptibility of plant species to disease caused by </w:t>
      </w:r>
      <w:r w:rsidRPr="007D20DB">
        <w:rPr>
          <w:rFonts w:ascii="AGaramondPro-Italic" w:hAnsi="AGaramondPro-Italic" w:cs="AGaramondPro-Italic"/>
          <w:i/>
          <w:iCs/>
          <w:color w:val="000000"/>
          <w:sz w:val="20"/>
          <w:szCs w:val="20"/>
          <w:lang w:val="en-US" w:eastAsia="ja-JP"/>
        </w:rPr>
        <w:t>P.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is complex, with considerable variation occurring within plant taxonomic units, making occurrence within a plant family or genus a poor predictor of species susceptibility (Shearer, 2004). </w:t>
      </w:r>
    </w:p>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The Centre of </w:t>
      </w:r>
      <w:proofErr w:type="spellStart"/>
      <w:r w:rsidRPr="007D20DB">
        <w:rPr>
          <w:rFonts w:ascii="AGaramondPro-Italic" w:hAnsi="AGaramondPro-Italic" w:cs="AGaramondPro-Italic"/>
          <w:i/>
          <w:iCs/>
          <w:color w:val="000000"/>
          <w:sz w:val="20"/>
          <w:szCs w:val="20"/>
          <w:lang w:val="en-US" w:eastAsia="ja-JP"/>
        </w:rPr>
        <w:t>Phytophthora</w:t>
      </w:r>
      <w:proofErr w:type="spellEnd"/>
      <w:r w:rsidRPr="007D20DB">
        <w:rPr>
          <w:rFonts w:ascii="AGaramondPro-Regular" w:hAnsi="AGaramondPro-Regular" w:cs="AGaramondPro-Regular"/>
          <w:color w:val="000000"/>
          <w:sz w:val="20"/>
          <w:szCs w:val="20"/>
          <w:lang w:val="en-US" w:eastAsia="ja-JP"/>
        </w:rPr>
        <w:t xml:space="preserve"> Science and Management (CPSM) at Murdoch University </w:t>
      </w:r>
      <w:proofErr w:type="gramStart"/>
      <w:r w:rsidRPr="007D20DB">
        <w:rPr>
          <w:rFonts w:ascii="AGaramondPro-Regular" w:hAnsi="AGaramondPro-Regular" w:cs="AGaramondPro-Regular"/>
          <w:color w:val="000000"/>
          <w:sz w:val="20"/>
          <w:szCs w:val="20"/>
          <w:lang w:val="en-US" w:eastAsia="ja-JP"/>
        </w:rPr>
        <w:t>has</w:t>
      </w:r>
      <w:proofErr w:type="gramEnd"/>
      <w:r w:rsidRPr="007D20DB">
        <w:rPr>
          <w:rFonts w:ascii="AGaramondPro-Regular" w:hAnsi="AGaramondPro-Regular" w:cs="AGaramondPro-Regular"/>
          <w:color w:val="000000"/>
          <w:sz w:val="20"/>
          <w:szCs w:val="20"/>
          <w:lang w:val="en-US" w:eastAsia="ja-JP"/>
        </w:rPr>
        <w:t xml:space="preserve"> compiled lists of Western Australian native plant species that are resistant to disease caused by </w:t>
      </w:r>
      <w:r w:rsidRPr="007D20DB">
        <w:rPr>
          <w:rFonts w:ascii="AGaramondPro-Italic" w:hAnsi="AGaramondPro-Italic" w:cs="AGaramondPro-Italic"/>
          <w:i/>
          <w:iCs/>
          <w:color w:val="000000"/>
          <w:sz w:val="20"/>
          <w:szCs w:val="20"/>
          <w:lang w:val="en-US" w:eastAsia="ja-JP"/>
        </w:rPr>
        <w:t>P.</w:t>
      </w:r>
      <w:r w:rsidRPr="007D20DB">
        <w:rPr>
          <w:rFonts w:ascii="AGaramondPro-Italic" w:hAnsi="AGaramondPro-Italic" w:cs="AGaramondPro-Italic"/>
          <w:i/>
          <w:iCs/>
          <w:color w:val="000000"/>
          <w:sz w:val="20"/>
          <w:szCs w:val="20"/>
          <w:rtl/>
          <w:lang w:val="en-US" w:eastAsia="ja-JP" w:bidi="ar-YE"/>
        </w:rPr>
        <w:t>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(Groves et al., 2009a, 2009b). This information is available on the Dieback Working Group website (http://www.dwg.org.au/). Lists of field-resistant upland tropical rainforest species from Queensland are presented in </w:t>
      </w:r>
      <w:proofErr w:type="spellStart"/>
      <w:r w:rsidRPr="007D20DB">
        <w:rPr>
          <w:rFonts w:ascii="AGaramondPro-Regular" w:hAnsi="AGaramondPro-Regular" w:cs="AGaramondPro-Regular"/>
          <w:color w:val="000000"/>
          <w:sz w:val="20"/>
          <w:szCs w:val="20"/>
          <w:lang w:val="en-US" w:eastAsia="ja-JP"/>
        </w:rPr>
        <w:t>Worboys</w:t>
      </w:r>
      <w:proofErr w:type="spellEnd"/>
      <w:r w:rsidRPr="007D20DB">
        <w:rPr>
          <w:rFonts w:ascii="AGaramondPro-Regular" w:hAnsi="AGaramondPro-Regular" w:cs="AGaramondPro-Regular"/>
          <w:color w:val="000000"/>
          <w:sz w:val="20"/>
          <w:szCs w:val="20"/>
          <w:lang w:val="en-US" w:eastAsia="ja-JP"/>
        </w:rPr>
        <w:t xml:space="preserve"> and </w:t>
      </w:r>
      <w:proofErr w:type="spellStart"/>
      <w:r w:rsidRPr="007D20DB">
        <w:rPr>
          <w:rFonts w:ascii="AGaramondPro-Regular" w:hAnsi="AGaramondPro-Regular" w:cs="AGaramondPro-Regular"/>
          <w:color w:val="000000"/>
          <w:sz w:val="20"/>
          <w:szCs w:val="20"/>
          <w:lang w:val="en-US" w:eastAsia="ja-JP"/>
        </w:rPr>
        <w:t>Gadek</w:t>
      </w:r>
      <w:proofErr w:type="spellEnd"/>
      <w:r w:rsidRPr="007D20DB">
        <w:rPr>
          <w:rFonts w:ascii="AGaramondPro-Regular" w:hAnsi="AGaramondPro-Regular" w:cs="AGaramondPro-Regular"/>
          <w:color w:val="000000"/>
          <w:sz w:val="20"/>
          <w:szCs w:val="20"/>
          <w:lang w:val="en-US" w:eastAsia="ja-JP"/>
        </w:rPr>
        <w:t xml:space="preserve"> (2004). The lists have been compiled from field observations of resistance and the results of controlled experiments. However, the classification of a plant as resistant to </w:t>
      </w:r>
      <w:r w:rsidRPr="007D20DB">
        <w:rPr>
          <w:rFonts w:ascii="AGaramondPro-Italic" w:hAnsi="AGaramondPro-Italic" w:cs="AGaramondPro-Italic"/>
          <w:i/>
          <w:iCs/>
          <w:color w:val="000000"/>
          <w:sz w:val="20"/>
          <w:szCs w:val="20"/>
          <w:lang w:val="en-US" w:eastAsia="ja-JP"/>
        </w:rPr>
        <w:t>P.</w:t>
      </w:r>
      <w:r w:rsidRPr="007D20DB">
        <w:rPr>
          <w:rFonts w:ascii="AGaramondPro-Italic" w:hAnsi="AGaramondPro-Italic" w:cs="AGaramondPro-Italic"/>
          <w:i/>
          <w:iCs/>
          <w:color w:val="000000"/>
          <w:sz w:val="20"/>
          <w:szCs w:val="20"/>
          <w:rtl/>
          <w:lang w:val="en-US" w:eastAsia="ja-JP" w:bidi="ar-YE"/>
        </w:rPr>
        <w:t>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Italic" w:hAnsi="AGaramondPro-Italic" w:cs="AGaramondPro-Italic"/>
          <w:i/>
          <w:iCs/>
          <w:color w:val="000000"/>
          <w:sz w:val="20"/>
          <w:szCs w:val="20"/>
          <w:lang w:val="en-US" w:eastAsia="ja-JP"/>
        </w:rPr>
        <w:t xml:space="preserve"> </w:t>
      </w:r>
      <w:r w:rsidRPr="007D20DB">
        <w:rPr>
          <w:rFonts w:ascii="AGaramondPro-Regular" w:hAnsi="AGaramondPro-Regular" w:cs="AGaramondPro-Regular"/>
          <w:color w:val="000000"/>
          <w:sz w:val="20"/>
          <w:szCs w:val="20"/>
          <w:lang w:val="en-US" w:eastAsia="ja-JP"/>
        </w:rPr>
        <w:t xml:space="preserve">often depends on other environmental factors (including climate) which can influence susceptibility to the pathogen. A species’ resistance can also vary depending on the pathogen’s genotype (Howard, 2008). A plant species’ susceptibility occurs on a continuum between resistant and susceptible with genetic components within species, between species and within genera displaying variable susceptibility. As a result, a species should be considered as susceptible when greater than 50 per cent of the genetic population of the plant is killed when confronted by the pathogen. </w:t>
      </w:r>
    </w:p>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Investigations over several years have discovered the mechanisms by which a limited number of plants are able to survive infection, including the activation of </w:t>
      </w:r>
      <w:proofErr w:type="spellStart"/>
      <w:r w:rsidRPr="007D20DB">
        <w:rPr>
          <w:rFonts w:ascii="AGaramondPro-Regular" w:hAnsi="AGaramondPro-Regular" w:cs="AGaramondPro-Regular"/>
          <w:color w:val="000000"/>
          <w:sz w:val="20"/>
          <w:szCs w:val="20"/>
          <w:lang w:val="en-US" w:eastAsia="ja-JP"/>
        </w:rPr>
        <w:t>defence</w:t>
      </w:r>
      <w:proofErr w:type="spellEnd"/>
      <w:r w:rsidRPr="007D20DB">
        <w:rPr>
          <w:rFonts w:ascii="AGaramondPro-Regular" w:hAnsi="AGaramondPro-Regular" w:cs="AGaramondPro-Regular"/>
          <w:color w:val="000000"/>
          <w:sz w:val="20"/>
          <w:szCs w:val="20"/>
          <w:lang w:val="en-US" w:eastAsia="ja-JP"/>
        </w:rPr>
        <w:t xml:space="preserve">-related genes and </w:t>
      </w:r>
      <w:proofErr w:type="spellStart"/>
      <w:r w:rsidRPr="007D20DB">
        <w:rPr>
          <w:rFonts w:ascii="AGaramondPro-Regular" w:hAnsi="AGaramondPro-Regular" w:cs="AGaramondPro-Regular"/>
          <w:color w:val="000000"/>
          <w:sz w:val="20"/>
          <w:szCs w:val="20"/>
          <w:lang w:val="en-US" w:eastAsia="ja-JP"/>
        </w:rPr>
        <w:t>signalling</w:t>
      </w:r>
      <w:proofErr w:type="spellEnd"/>
      <w:r w:rsidRPr="007D20DB">
        <w:rPr>
          <w:rFonts w:ascii="AGaramondPro-Regular" w:hAnsi="AGaramondPro-Regular" w:cs="AGaramondPro-Regular"/>
          <w:color w:val="000000"/>
          <w:sz w:val="20"/>
          <w:szCs w:val="20"/>
          <w:lang w:val="en-US" w:eastAsia="ja-JP"/>
        </w:rPr>
        <w:t xml:space="preserve"> pathways, the reinforcement of cell walls and accumulation of toxic metabolites (Professor David Cahill, pers. comm., 2011). Genetically-based, intra-specific variation in resistance has been demonstrated in the Western Australia native hardwood, </w:t>
      </w:r>
      <w:r w:rsidRPr="007D20DB">
        <w:rPr>
          <w:rFonts w:ascii="AGaramondPro-Italic" w:hAnsi="AGaramondPro-Italic" w:cs="AGaramondPro-Italic"/>
          <w:i/>
          <w:iCs/>
          <w:color w:val="000000"/>
          <w:sz w:val="20"/>
          <w:szCs w:val="20"/>
          <w:lang w:val="en-US" w:eastAsia="ja-JP"/>
        </w:rPr>
        <w:t xml:space="preserve">Eucalyptus </w:t>
      </w:r>
      <w:proofErr w:type="spellStart"/>
      <w:r w:rsidRPr="007D20DB">
        <w:rPr>
          <w:rFonts w:ascii="AGaramondPro-Italic" w:hAnsi="AGaramondPro-Italic" w:cs="AGaramondPro-Italic"/>
          <w:i/>
          <w:iCs/>
          <w:color w:val="000000"/>
          <w:sz w:val="20"/>
          <w:szCs w:val="20"/>
          <w:lang w:val="en-US" w:eastAsia="ja-JP"/>
        </w:rPr>
        <w:t>marginata</w:t>
      </w:r>
      <w:proofErr w:type="spellEnd"/>
      <w:r w:rsidRPr="007D20DB">
        <w:rPr>
          <w:rFonts w:ascii="AGaramondPro-Italic" w:hAnsi="AGaramondPro-Italic" w:cs="AGaramondPro-Italic"/>
          <w:i/>
          <w:iCs/>
          <w:color w:val="000000"/>
          <w:sz w:val="20"/>
          <w:szCs w:val="20"/>
          <w:lang w:val="en-US" w:eastAsia="ja-JP"/>
        </w:rPr>
        <w:t xml:space="preserve"> </w:t>
      </w:r>
      <w:r w:rsidRPr="007D20DB">
        <w:rPr>
          <w:rFonts w:ascii="AGaramondPro-Regular" w:hAnsi="AGaramondPro-Regular" w:cs="AGaramondPro-Regular"/>
          <w:color w:val="000000"/>
          <w:sz w:val="20"/>
          <w:szCs w:val="20"/>
          <w:lang w:val="en-US" w:eastAsia="ja-JP"/>
        </w:rPr>
        <w:t>(</w:t>
      </w:r>
      <w:proofErr w:type="spellStart"/>
      <w:r w:rsidRPr="007D20DB">
        <w:rPr>
          <w:rFonts w:ascii="AGaramondPro-Regular" w:hAnsi="AGaramondPro-Regular" w:cs="AGaramondPro-Regular"/>
          <w:color w:val="000000"/>
          <w:sz w:val="20"/>
          <w:szCs w:val="20"/>
          <w:lang w:val="en-US" w:eastAsia="ja-JP"/>
        </w:rPr>
        <w:t>jarrah</w:t>
      </w:r>
      <w:proofErr w:type="spellEnd"/>
      <w:r w:rsidRPr="007D20DB">
        <w:rPr>
          <w:rFonts w:ascii="AGaramondPro-Regular" w:hAnsi="AGaramondPro-Regular" w:cs="AGaramondPro-Regular"/>
          <w:color w:val="000000"/>
          <w:sz w:val="20"/>
          <w:szCs w:val="20"/>
          <w:lang w:val="en-US" w:eastAsia="ja-JP"/>
        </w:rPr>
        <w:t>) (</w:t>
      </w:r>
      <w:proofErr w:type="spellStart"/>
      <w:r w:rsidRPr="007D20DB">
        <w:rPr>
          <w:rFonts w:ascii="AGaramondPro-Regular" w:hAnsi="AGaramondPro-Regular" w:cs="AGaramondPro-Regular"/>
          <w:color w:val="000000"/>
          <w:sz w:val="20"/>
          <w:szCs w:val="20"/>
          <w:lang w:val="en-US" w:eastAsia="ja-JP"/>
        </w:rPr>
        <w:t>Stukely</w:t>
      </w:r>
      <w:proofErr w:type="spellEnd"/>
      <w:r w:rsidRPr="007D20DB">
        <w:rPr>
          <w:rFonts w:ascii="AGaramondPro-Regular" w:hAnsi="AGaramondPro-Regular" w:cs="AGaramondPro-Regular"/>
          <w:color w:val="000000"/>
          <w:sz w:val="20"/>
          <w:szCs w:val="20"/>
          <w:lang w:val="en-US" w:eastAsia="ja-JP"/>
        </w:rPr>
        <w:t xml:space="preserve"> and Crane, 1994), and in the exotic plantation species </w:t>
      </w:r>
      <w:proofErr w:type="spellStart"/>
      <w:r w:rsidRPr="007D20DB">
        <w:rPr>
          <w:rFonts w:ascii="AGaramondPro-Italic" w:hAnsi="AGaramondPro-Italic" w:cs="AGaramondPro-Italic"/>
          <w:i/>
          <w:iCs/>
          <w:color w:val="000000"/>
          <w:sz w:val="20"/>
          <w:szCs w:val="20"/>
          <w:lang w:val="en-US" w:eastAsia="ja-JP"/>
        </w:rPr>
        <w:t>Pinus</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radiata</w:t>
      </w:r>
      <w:proofErr w:type="spellEnd"/>
      <w:r w:rsidRPr="007D20DB">
        <w:rPr>
          <w:rFonts w:ascii="AGaramondPro-Regular" w:hAnsi="AGaramondPro-Regular" w:cs="AGaramondPro-Regular"/>
          <w:color w:val="000000"/>
          <w:sz w:val="20"/>
          <w:szCs w:val="20"/>
          <w:lang w:val="en-US" w:eastAsia="ja-JP"/>
        </w:rPr>
        <w:t xml:space="preserve"> (Butcher et al., 1984).</w:t>
      </w:r>
    </w:p>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While </w:t>
      </w:r>
      <w:r w:rsidRPr="007D20DB">
        <w:rPr>
          <w:rFonts w:ascii="AGaramondPro-Italic" w:hAnsi="AGaramondPro-Italic" w:cs="AGaramondPro-Italic"/>
          <w:i/>
          <w:iCs/>
          <w:color w:val="000000"/>
          <w:sz w:val="20"/>
          <w:szCs w:val="20"/>
          <w:lang w:val="en-US" w:eastAsia="ja-JP"/>
        </w:rPr>
        <w:t>P.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directly threatens a range of individual plant species, it also threatens ecological communities and landscapes. Large areas of Western Australia, for example, where the pathogen is likely to have been present for over one hundred years, represent post dieback plant assemblages (Dr Joanna Young pers. comm., March 2012).</w:t>
      </w:r>
    </w:p>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Indirect impacts on flora have also been demonstrated, for example, in South Australia, EPBC Act listed orchid species (for example </w:t>
      </w:r>
      <w:proofErr w:type="spellStart"/>
      <w:r w:rsidRPr="007D20DB">
        <w:rPr>
          <w:rFonts w:ascii="AGaramondPro-Italic" w:hAnsi="AGaramondPro-Italic" w:cs="AGaramondPro-Italic"/>
          <w:i/>
          <w:iCs/>
          <w:color w:val="000000"/>
          <w:sz w:val="20"/>
          <w:szCs w:val="20"/>
          <w:lang w:val="en-US" w:eastAsia="ja-JP"/>
        </w:rPr>
        <w:t>Caladenia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argocalla</w:t>
      </w:r>
      <w:proofErr w:type="spellEnd"/>
      <w:r w:rsidRPr="007D20DB">
        <w:rPr>
          <w:rFonts w:ascii="AGaramondPro-Regular" w:hAnsi="AGaramondPro-Regular" w:cs="AGaramondPro-Regular"/>
          <w:color w:val="000000"/>
          <w:sz w:val="20"/>
          <w:szCs w:val="20"/>
          <w:lang w:val="en-US" w:eastAsia="ja-JP"/>
        </w:rPr>
        <w:t xml:space="preserve">, </w:t>
      </w:r>
      <w:r w:rsidRPr="007D20DB">
        <w:rPr>
          <w:rFonts w:ascii="AGaramondPro-Italic" w:hAnsi="AGaramondPro-Italic" w:cs="AGaramondPro-Italic"/>
          <w:i/>
          <w:iCs/>
          <w:color w:val="000000"/>
          <w:sz w:val="20"/>
          <w:szCs w:val="20"/>
          <w:lang w:val="en-US" w:eastAsia="ja-JP"/>
        </w:rPr>
        <w:t>C. </w:t>
      </w:r>
      <w:proofErr w:type="spellStart"/>
      <w:r w:rsidRPr="007D20DB">
        <w:rPr>
          <w:rFonts w:ascii="AGaramondPro-Italic" w:hAnsi="AGaramondPro-Italic" w:cs="AGaramondPro-Italic"/>
          <w:i/>
          <w:iCs/>
          <w:color w:val="000000"/>
          <w:sz w:val="20"/>
          <w:szCs w:val="20"/>
          <w:lang w:val="en-US" w:eastAsia="ja-JP"/>
        </w:rPr>
        <w:t>behrii</w:t>
      </w:r>
      <w:proofErr w:type="spellEnd"/>
      <w:r w:rsidRPr="007D20DB">
        <w:rPr>
          <w:rFonts w:ascii="AGaramondPro-Regular" w:hAnsi="AGaramondPro-Regular" w:cs="AGaramondPro-Regular"/>
          <w:color w:val="000000"/>
          <w:sz w:val="20"/>
          <w:szCs w:val="20"/>
          <w:lang w:val="en-US" w:eastAsia="ja-JP"/>
        </w:rPr>
        <w:t xml:space="preserve">, </w:t>
      </w:r>
      <w:r w:rsidRPr="007D20DB">
        <w:rPr>
          <w:rFonts w:ascii="AGaramondPro-Italic" w:hAnsi="AGaramondPro-Italic" w:cs="AGaramondPro-Italic"/>
          <w:i/>
          <w:iCs/>
          <w:color w:val="000000"/>
          <w:sz w:val="20"/>
          <w:szCs w:val="20"/>
          <w:lang w:val="en-US" w:eastAsia="ja-JP"/>
        </w:rPr>
        <w:t>C.</w:t>
      </w:r>
      <w:r w:rsidRPr="007D20DB">
        <w:rPr>
          <w:rFonts w:ascii="AGaramondPro-Regular" w:hAnsi="AGaramondPro-Regular" w:cs="AGaramondPro-Regular"/>
          <w:color w:val="000000"/>
          <w:sz w:val="20"/>
          <w:szCs w:val="20"/>
          <w:rtl/>
          <w:lang w:val="en-US" w:eastAsia="ja-JP" w:bidi="ar-YE"/>
        </w:rPr>
        <w:t> </w:t>
      </w:r>
      <w:proofErr w:type="spellStart"/>
      <w:r w:rsidRPr="007D20DB">
        <w:rPr>
          <w:rFonts w:ascii="AGaramondPro-Italic" w:hAnsi="AGaramondPro-Italic" w:cs="AGaramondPro-Italic"/>
          <w:i/>
          <w:iCs/>
          <w:color w:val="000000"/>
          <w:sz w:val="20"/>
          <w:szCs w:val="20"/>
          <w:lang w:val="en-US" w:eastAsia="ja-JP"/>
        </w:rPr>
        <w:t>rigida</w:t>
      </w:r>
      <w:proofErr w:type="spellEnd"/>
      <w:r w:rsidRPr="007D20DB">
        <w:rPr>
          <w:rFonts w:ascii="AGaramondPro-Regular" w:hAnsi="AGaramondPro-Regular" w:cs="AGaramondPro-Regular"/>
          <w:color w:val="000000"/>
          <w:sz w:val="20"/>
          <w:szCs w:val="20"/>
          <w:lang w:val="en-US" w:eastAsia="ja-JP"/>
        </w:rPr>
        <w:t xml:space="preserve">) are afforded some measure of protection from herbivores where they are found growing in close proximity to the fronds of </w:t>
      </w:r>
      <w:proofErr w:type="spellStart"/>
      <w:r w:rsidRPr="007D20DB">
        <w:rPr>
          <w:rFonts w:ascii="AGaramondPro-Italic" w:hAnsi="AGaramondPro-Italic" w:cs="AGaramondPro-Italic"/>
          <w:i/>
          <w:iCs/>
          <w:color w:val="000000"/>
          <w:sz w:val="20"/>
          <w:szCs w:val="20"/>
          <w:lang w:val="en-US" w:eastAsia="ja-JP"/>
        </w:rPr>
        <w:t>Xanthorrhoea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semiplana</w:t>
      </w:r>
      <w:proofErr w:type="spellEnd"/>
      <w:r w:rsidRPr="007D20DB">
        <w:rPr>
          <w:rFonts w:ascii="AGaramondPro-Italic" w:hAnsi="AGaramondPro-Italic" w:cs="AGaramondPro-Italic"/>
          <w:i/>
          <w:iCs/>
          <w:color w:val="000000"/>
          <w:sz w:val="20"/>
          <w:szCs w:val="20"/>
          <w:lang w:val="en-US" w:eastAsia="ja-JP"/>
        </w:rPr>
        <w:t xml:space="preserve"> </w:t>
      </w:r>
      <w:r w:rsidRPr="007D20DB">
        <w:rPr>
          <w:rFonts w:ascii="AGaramondPro-Regular" w:hAnsi="AGaramondPro-Regular" w:cs="AGaramondPro-Regular"/>
          <w:color w:val="000000"/>
          <w:sz w:val="20"/>
          <w:szCs w:val="20"/>
          <w:lang w:val="en-US" w:eastAsia="ja-JP"/>
        </w:rPr>
        <w:t xml:space="preserve">(grass trees). When grass trees become infected with </w:t>
      </w:r>
      <w:r w:rsidRPr="007D20DB">
        <w:rPr>
          <w:rFonts w:ascii="AGaramondPro-Italic" w:hAnsi="AGaramondPro-Italic" w:cs="AGaramondPro-Italic"/>
          <w:i/>
          <w:iCs/>
          <w:color w:val="000000"/>
          <w:sz w:val="20"/>
          <w:szCs w:val="20"/>
          <w:lang w:val="en-US" w:eastAsia="ja-JP"/>
        </w:rPr>
        <w:t>P.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and die, the orchids become exposed and are vulnerable to </w:t>
      </w:r>
      <w:proofErr w:type="spellStart"/>
      <w:r w:rsidRPr="007D20DB">
        <w:rPr>
          <w:rFonts w:ascii="AGaramondPro-Regular" w:hAnsi="AGaramondPro-Regular" w:cs="AGaramondPro-Regular"/>
          <w:color w:val="000000"/>
          <w:sz w:val="20"/>
          <w:szCs w:val="20"/>
          <w:lang w:val="en-US" w:eastAsia="ja-JP"/>
        </w:rPr>
        <w:t>herbivory</w:t>
      </w:r>
      <w:proofErr w:type="spellEnd"/>
      <w:r w:rsidRPr="007D20DB">
        <w:rPr>
          <w:rFonts w:ascii="AGaramondPro-Regular" w:hAnsi="AGaramondPro-Regular" w:cs="AGaramondPro-Regular"/>
          <w:color w:val="000000"/>
          <w:sz w:val="20"/>
          <w:szCs w:val="20"/>
          <w:lang w:val="en-US" w:eastAsia="ja-JP"/>
        </w:rPr>
        <w:t xml:space="preserve"> (Petit and Dickson, 2005). </w:t>
      </w:r>
    </w:p>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Multiple processes may interact with</w:t>
      </w:r>
      <w:r w:rsidRPr="007D20DB">
        <w:rPr>
          <w:rFonts w:ascii="AGaramondPro-Italic" w:hAnsi="AGaramondPro-Italic" w:cs="AGaramondPro-Italic"/>
          <w:i/>
          <w:iCs/>
          <w:color w:val="000000"/>
          <w:sz w:val="20"/>
          <w:szCs w:val="20"/>
          <w:lang w:val="en-US" w:eastAsia="ja-JP"/>
        </w:rPr>
        <w:t xml:space="preserve"> P.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to increase extinction risk (Barrett et al., 2008). For example, </w:t>
      </w:r>
      <w:r w:rsidRPr="007D20DB">
        <w:rPr>
          <w:rFonts w:ascii="AGaramondPro-Italic" w:hAnsi="AGaramondPro-Italic" w:cs="AGaramondPro-Italic"/>
          <w:i/>
          <w:iCs/>
          <w:color w:val="000000"/>
          <w:sz w:val="20"/>
          <w:szCs w:val="20"/>
          <w:lang w:val="en-US" w:eastAsia="ja-JP"/>
        </w:rPr>
        <w:t>P.</w:t>
      </w:r>
      <w:r w:rsidRPr="007D20DB">
        <w:rPr>
          <w:rFonts w:ascii="AGaramondPro-Italic" w:hAnsi="AGaramondPro-Italic" w:cs="AGaramondPro-Italic"/>
          <w:i/>
          <w:iCs/>
          <w:color w:val="000000"/>
          <w:sz w:val="20"/>
          <w:szCs w:val="20"/>
          <w:rtl/>
          <w:lang w:val="en-US" w:eastAsia="ja-JP" w:bidi="ar-YE"/>
        </w:rPr>
        <w:t>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Italic" w:hAnsi="AGaramondPro-Italic" w:cs="AGaramondPro-Italic"/>
          <w:i/>
          <w:iCs/>
          <w:color w:val="000000"/>
          <w:sz w:val="20"/>
          <w:szCs w:val="20"/>
          <w:lang w:val="en-US" w:eastAsia="ja-JP"/>
        </w:rPr>
        <w:t xml:space="preserve"> </w:t>
      </w:r>
      <w:r w:rsidRPr="007D20DB">
        <w:rPr>
          <w:rFonts w:ascii="AGaramondPro-Regular" w:hAnsi="AGaramondPro-Regular" w:cs="AGaramondPro-Regular"/>
          <w:color w:val="000000"/>
          <w:sz w:val="20"/>
          <w:szCs w:val="20"/>
          <w:lang w:val="en-US" w:eastAsia="ja-JP"/>
        </w:rPr>
        <w:t>activity might be greater in some circumstances following a fire because there are fewer plants to use the available water and sites are more prone to water logging (Cahill et al., 2008).</w:t>
      </w:r>
    </w:p>
    <w:p w:rsidR="007D20DB" w:rsidRPr="007D20DB" w:rsidRDefault="007D20DB" w:rsidP="00704644">
      <w:pPr>
        <w:pStyle w:val="03HEADING3"/>
      </w:pPr>
      <w:bookmarkStart w:id="10" w:name="_Toc253067278"/>
      <w:r w:rsidRPr="007D20DB">
        <w:t xml:space="preserve">1.3.2 </w:t>
      </w:r>
      <w:r w:rsidRPr="007D20DB">
        <w:tab/>
        <w:t>Ecological impacts on wildlife</w:t>
      </w:r>
      <w:bookmarkEnd w:id="10"/>
    </w:p>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Although there has been a substantial amount of research on the effects of </w:t>
      </w:r>
      <w:r w:rsidRPr="007D20DB">
        <w:rPr>
          <w:rFonts w:ascii="AGaramondPro-Italic" w:hAnsi="AGaramondPro-Italic" w:cs="AGaramondPro-Italic"/>
          <w:i/>
          <w:iCs/>
          <w:color w:val="000000"/>
          <w:sz w:val="20"/>
          <w:szCs w:val="20"/>
          <w:lang w:val="en-US" w:eastAsia="ja-JP"/>
        </w:rPr>
        <w:t>P.</w:t>
      </w:r>
      <w:r w:rsidRPr="007D20DB">
        <w:rPr>
          <w:rFonts w:ascii="AGaramondPro-Regular" w:hAnsi="AGaramondPro-Regular" w:cs="AGaramondPro-Regular"/>
          <w:color w:val="000000"/>
          <w:sz w:val="20"/>
          <w:szCs w:val="20"/>
          <w:rtl/>
          <w:lang w:val="en-US" w:eastAsia="ja-JP" w:bidi="ar-YE"/>
        </w:rPr>
        <w:t>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on vegetation in some states, there </w:t>
      </w:r>
      <w:r w:rsidRPr="007D20DB">
        <w:rPr>
          <w:rFonts w:ascii="AGaramondPro-Regular" w:hAnsi="AGaramondPro-Regular" w:cs="AGaramondPro-Regular"/>
          <w:color w:val="000000"/>
          <w:sz w:val="20"/>
          <w:szCs w:val="20"/>
          <w:lang w:val="en-US" w:eastAsia="ja-JP"/>
        </w:rPr>
        <w:lastRenderedPageBreak/>
        <w:t>has been comparatively little work that has investigated the indirect effects of the disease on faunal populations and communities where food sources or habitat is threatened by the disease (Cahill et al., 2008).</w:t>
      </w:r>
    </w:p>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Regular" w:hAnsi="AGaramondPro-Regular" w:cs="AGaramondPro-Regular"/>
          <w:color w:val="000000"/>
          <w:sz w:val="20"/>
          <w:szCs w:val="20"/>
          <w:lang w:val="en-US" w:eastAsia="ja-JP"/>
        </w:rPr>
        <w:t>Garkaklis</w:t>
      </w:r>
      <w:proofErr w:type="spellEnd"/>
      <w:r w:rsidRPr="007D20DB">
        <w:rPr>
          <w:rFonts w:ascii="AGaramondPro-Regular" w:hAnsi="AGaramondPro-Regular" w:cs="AGaramondPro-Regular"/>
          <w:color w:val="000000"/>
          <w:sz w:val="20"/>
          <w:szCs w:val="20"/>
          <w:lang w:val="en-US" w:eastAsia="ja-JP"/>
        </w:rPr>
        <w:t xml:space="preserve"> et al</w:t>
      </w:r>
      <w:r w:rsidRPr="007D20DB">
        <w:rPr>
          <w:rFonts w:ascii="AGaramondPro-Italic" w:hAnsi="AGaramondPro-Italic" w:cs="AGaramondPro-Italic"/>
          <w:i/>
          <w:iCs/>
          <w:color w:val="000000"/>
          <w:sz w:val="20"/>
          <w:szCs w:val="20"/>
          <w:lang w:val="en-US" w:eastAsia="ja-JP"/>
        </w:rPr>
        <w:t>.</w:t>
      </w:r>
      <w:r w:rsidRPr="007D20DB">
        <w:rPr>
          <w:rFonts w:ascii="AGaramondPro-Regular" w:hAnsi="AGaramondPro-Regular" w:cs="AGaramondPro-Regular"/>
          <w:color w:val="000000"/>
          <w:sz w:val="20"/>
          <w:szCs w:val="20"/>
          <w:lang w:val="en-US" w:eastAsia="ja-JP"/>
        </w:rPr>
        <w:t xml:space="preserve"> (2004) reviewed the literature on the responses of forest animal communities to the presence of </w:t>
      </w:r>
      <w:r w:rsidRPr="007D20DB">
        <w:rPr>
          <w:rFonts w:ascii="AGaramondPro-Italic" w:hAnsi="AGaramondPro-Italic" w:cs="AGaramondPro-Italic"/>
          <w:i/>
          <w:iCs/>
          <w:color w:val="000000"/>
          <w:sz w:val="20"/>
          <w:szCs w:val="20"/>
          <w:lang w:val="en-US" w:eastAsia="ja-JP"/>
        </w:rPr>
        <w:t>P.</w:t>
      </w:r>
      <w:r w:rsidRPr="007D20DB">
        <w:rPr>
          <w:rFonts w:ascii="AGaramondPro-Italic" w:hAnsi="AGaramondPro-Italic" w:cs="AGaramondPro-Italic"/>
          <w:i/>
          <w:iCs/>
          <w:color w:val="000000"/>
          <w:sz w:val="20"/>
          <w:szCs w:val="20"/>
          <w:rtl/>
          <w:lang w:val="en-US" w:eastAsia="ja-JP" w:bidi="ar-YE"/>
        </w:rPr>
        <w:t>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Italic" w:hAnsi="AGaramondPro-Italic" w:cs="AGaramondPro-Italic"/>
          <w:i/>
          <w:iCs/>
          <w:color w:val="000000"/>
          <w:sz w:val="20"/>
          <w:szCs w:val="20"/>
          <w:lang w:val="en-US" w:eastAsia="ja-JP"/>
        </w:rPr>
        <w:t>.</w:t>
      </w:r>
      <w:r w:rsidRPr="007D20DB">
        <w:rPr>
          <w:rFonts w:ascii="AGaramondPro-Regular" w:hAnsi="AGaramondPro-Regular" w:cs="AGaramondPro-Regular"/>
          <w:color w:val="000000"/>
          <w:sz w:val="20"/>
          <w:szCs w:val="20"/>
          <w:lang w:val="en-US" w:eastAsia="ja-JP"/>
        </w:rPr>
        <w:t xml:space="preserve"> This review indicated that, for a range of forest fauna, serious impacts were either occurring or were plausible but not yet demonstrated. Many of these impacts will arise because of changes in species richness and composition, and alterations to the structural composition of habitats. Species likely to be affected include some listed as endangered under the EPBC Act.</w:t>
      </w:r>
    </w:p>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An example recently demonstrated by </w:t>
      </w:r>
      <w:proofErr w:type="spellStart"/>
      <w:r w:rsidRPr="007D20DB">
        <w:rPr>
          <w:rFonts w:ascii="AGaramondPro-Regular" w:hAnsi="AGaramondPro-Regular" w:cs="AGaramondPro-Regular"/>
          <w:color w:val="000000"/>
          <w:sz w:val="20"/>
          <w:szCs w:val="20"/>
          <w:lang w:val="en-US" w:eastAsia="ja-JP"/>
        </w:rPr>
        <w:t>Dundas</w:t>
      </w:r>
      <w:proofErr w:type="spellEnd"/>
      <w:r w:rsidRPr="007D20DB">
        <w:rPr>
          <w:rFonts w:ascii="AGaramondPro-Regular" w:hAnsi="AGaramondPro-Regular" w:cs="AGaramondPro-Regular"/>
          <w:color w:val="000000"/>
          <w:sz w:val="20"/>
          <w:szCs w:val="20"/>
          <w:lang w:val="en-US" w:eastAsia="ja-JP"/>
        </w:rPr>
        <w:t xml:space="preserve"> et al. (2013), is </w:t>
      </w:r>
      <w:proofErr w:type="spellStart"/>
      <w:r w:rsidRPr="007D20DB">
        <w:rPr>
          <w:rFonts w:ascii="AGaramondPro-Italic" w:hAnsi="AGaramondPro-Italic" w:cs="AGaramondPro-Italic"/>
          <w:i/>
          <w:iCs/>
          <w:color w:val="000000"/>
          <w:sz w:val="20"/>
          <w:szCs w:val="20"/>
          <w:lang w:val="en-US" w:eastAsia="ja-JP"/>
        </w:rPr>
        <w:t>Tarsipes</w:t>
      </w:r>
      <w:proofErr w:type="spellEnd"/>
      <w:r w:rsidRPr="007D20DB">
        <w:rPr>
          <w:rFonts w:ascii="AGaramondPro-Regular" w:hAnsi="AGaramondPro-Regular" w:cs="AGaramondPro-Regular"/>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rostratus</w:t>
      </w:r>
      <w:proofErr w:type="spellEnd"/>
      <w:r w:rsidRPr="007D20DB">
        <w:rPr>
          <w:rFonts w:ascii="AGaramondPro-Regular" w:hAnsi="AGaramondPro-Regular" w:cs="AGaramondPro-Regular"/>
          <w:color w:val="000000"/>
          <w:sz w:val="20"/>
          <w:szCs w:val="20"/>
          <w:lang w:val="en-US" w:eastAsia="ja-JP"/>
        </w:rPr>
        <w:t xml:space="preserve"> (honey possum), that visits many </w:t>
      </w:r>
      <w:proofErr w:type="spellStart"/>
      <w:r w:rsidRPr="007D20DB">
        <w:rPr>
          <w:rFonts w:ascii="AGaramondPro-Regular" w:hAnsi="AGaramondPro-Regular" w:cs="AGaramondPro-Regular"/>
          <w:color w:val="000000"/>
          <w:sz w:val="20"/>
          <w:szCs w:val="20"/>
          <w:lang w:val="en-US" w:eastAsia="ja-JP"/>
        </w:rPr>
        <w:t>taxa</w:t>
      </w:r>
      <w:proofErr w:type="spellEnd"/>
      <w:r w:rsidRPr="007D20DB">
        <w:rPr>
          <w:rFonts w:ascii="AGaramondPro-Regular" w:hAnsi="AGaramondPro-Regular" w:cs="AGaramondPro-Regular"/>
          <w:color w:val="000000"/>
          <w:sz w:val="20"/>
          <w:szCs w:val="20"/>
          <w:lang w:val="en-US" w:eastAsia="ja-JP"/>
        </w:rPr>
        <w:t xml:space="preserve"> that are susceptible to </w:t>
      </w:r>
      <w:proofErr w:type="spellStart"/>
      <w:r w:rsidRPr="007D20DB">
        <w:rPr>
          <w:rFonts w:ascii="AGaramondPro-Italic" w:hAnsi="AGaramondPro-Italic" w:cs="AGaramondPro-Italic"/>
          <w:i/>
          <w:iCs/>
          <w:color w:val="000000"/>
          <w:sz w:val="20"/>
          <w:szCs w:val="20"/>
          <w:lang w:val="en-US" w:eastAsia="ja-JP"/>
        </w:rPr>
        <w:t>Phytophthora</w:t>
      </w:r>
      <w:proofErr w:type="spellEnd"/>
      <w:r w:rsidRPr="007D20DB">
        <w:rPr>
          <w:rFonts w:ascii="AGaramondPro-Regular" w:hAnsi="AGaramondPro-Regular" w:cs="AGaramondPro-Regular"/>
          <w:color w:val="000000"/>
          <w:sz w:val="20"/>
          <w:szCs w:val="20"/>
          <w:lang w:val="en-US" w:eastAsia="ja-JP"/>
        </w:rPr>
        <w:t xml:space="preserve"> dieback. The inevitable spread of </w:t>
      </w:r>
      <w:proofErr w:type="spellStart"/>
      <w:r w:rsidRPr="007D20DB">
        <w:rPr>
          <w:rFonts w:ascii="AGaramondPro-Italic" w:hAnsi="AGaramondPro-Italic" w:cs="AGaramondPro-Italic"/>
          <w:i/>
          <w:iCs/>
          <w:color w:val="000000"/>
          <w:sz w:val="20"/>
          <w:szCs w:val="20"/>
          <w:lang w:val="en-US" w:eastAsia="ja-JP"/>
        </w:rPr>
        <w:t>Phytophthora</w:t>
      </w:r>
      <w:proofErr w:type="spellEnd"/>
      <w:r w:rsidRPr="007D20DB">
        <w:rPr>
          <w:rFonts w:ascii="AGaramondPro-Regular" w:hAnsi="AGaramondPro-Regular" w:cs="AGaramondPro-Regular"/>
          <w:color w:val="000000"/>
          <w:sz w:val="20"/>
          <w:szCs w:val="20"/>
          <w:lang w:val="en-US" w:eastAsia="ja-JP"/>
        </w:rPr>
        <w:t xml:space="preserve"> and its associated changes to vegetation composition is postulated to result in the </w:t>
      </w:r>
      <w:proofErr w:type="spellStart"/>
      <w:r w:rsidRPr="007D20DB">
        <w:rPr>
          <w:rFonts w:ascii="AGaramondPro-Regular" w:hAnsi="AGaramondPro-Regular" w:cs="AGaramondPro-Regular"/>
          <w:color w:val="000000"/>
          <w:sz w:val="20"/>
          <w:szCs w:val="20"/>
          <w:lang w:val="en-US" w:eastAsia="ja-JP"/>
        </w:rPr>
        <w:t>localised</w:t>
      </w:r>
      <w:proofErr w:type="spellEnd"/>
      <w:r w:rsidRPr="007D20DB">
        <w:rPr>
          <w:rFonts w:ascii="AGaramondPro-Regular" w:hAnsi="AGaramondPro-Regular" w:cs="AGaramondPro-Regular"/>
          <w:color w:val="000000"/>
          <w:sz w:val="20"/>
          <w:szCs w:val="20"/>
          <w:lang w:val="en-US" w:eastAsia="ja-JP"/>
        </w:rPr>
        <w:t xml:space="preserve"> loss of resources for honey possums and is a concern for ongoing conservation management.</w:t>
      </w:r>
    </w:p>
    <w:p w:rsidR="007D20DB" w:rsidRPr="007D20DB" w:rsidRDefault="007D20DB" w:rsidP="00704644">
      <w:pPr>
        <w:pStyle w:val="03HEADING3"/>
      </w:pPr>
      <w:bookmarkStart w:id="11" w:name="_Toc253067279"/>
      <w:r w:rsidRPr="007D20DB">
        <w:t>1.3.3</w:t>
      </w:r>
      <w:r w:rsidRPr="007D20DB">
        <w:tab/>
        <w:t>Impacts on matters of national environmental significance</w:t>
      </w:r>
      <w:bookmarkEnd w:id="11"/>
      <w:r w:rsidRPr="007D20DB">
        <w:t xml:space="preserve"> </w:t>
      </w:r>
    </w:p>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EPBC Act listed threatened species or listed threatened ecological communities are matters of national environmental significance protected under the Act. Appendices A and B of this TAP provide details of listed threatened species and ecological communities that are being impacted or that have the potential to be impacted by </w:t>
      </w:r>
      <w:r w:rsidRPr="007D20DB">
        <w:rPr>
          <w:rFonts w:ascii="AGaramondPro-Italic" w:hAnsi="AGaramondPro-Italic" w:cs="AGaramondPro-Italic"/>
          <w:i/>
          <w:iCs/>
          <w:color w:val="000000"/>
          <w:sz w:val="20"/>
          <w:szCs w:val="20"/>
          <w:lang w:val="en-US" w:eastAsia="ja-JP"/>
        </w:rPr>
        <w:t>P.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w:t>
      </w:r>
    </w:p>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Under the EPBC Act, </w:t>
      </w:r>
      <w:r w:rsidRPr="007D20DB">
        <w:rPr>
          <w:rFonts w:ascii="AGaramondPro-Italic" w:hAnsi="AGaramondPro-Italic" w:cs="AGaramondPro-Italic"/>
          <w:i/>
          <w:iCs/>
          <w:color w:val="000000"/>
          <w:sz w:val="20"/>
          <w:szCs w:val="20"/>
          <w:lang w:val="en-US" w:eastAsia="ja-JP"/>
        </w:rPr>
        <w:t>P.</w:t>
      </w:r>
      <w:r w:rsidRPr="007D20DB">
        <w:rPr>
          <w:rFonts w:ascii="AGaramondPro-Italic" w:hAnsi="AGaramondPro-Italic" w:cs="AGaramondPro-Italic"/>
          <w:i/>
          <w:iCs/>
          <w:color w:val="000000"/>
          <w:sz w:val="20"/>
          <w:szCs w:val="20"/>
          <w:rtl/>
          <w:lang w:val="en-US" w:eastAsia="ja-JP" w:bidi="ar-YE"/>
        </w:rPr>
        <w:t>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is treated as a key threatening process as a result of these impacts or potential impacts, including the potential for the pathogen to cause native species or ecological communities not yet listed to become eligible for listing.</w:t>
      </w:r>
    </w:p>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Other</w:t>
      </w:r>
      <w:r w:rsidRPr="007D20DB">
        <w:rPr>
          <w:rFonts w:ascii="AGaramondPro-Italic" w:hAnsi="AGaramondPro-Italic" w:cs="AGaramondPro-Italic"/>
          <w:i/>
          <w:iCs/>
          <w:color w:val="000000"/>
          <w:sz w:val="20"/>
          <w:szCs w:val="20"/>
          <w:lang w:val="en-US" w:eastAsia="ja-JP"/>
        </w:rPr>
        <w:t xml:space="preserve"> </w:t>
      </w:r>
      <w:r w:rsidRPr="007D20DB">
        <w:rPr>
          <w:rFonts w:ascii="AGaramondPro-Regular" w:hAnsi="AGaramondPro-Regular" w:cs="AGaramondPro-Regular"/>
          <w:color w:val="000000"/>
          <w:sz w:val="20"/>
          <w:szCs w:val="20"/>
          <w:lang w:val="en-US" w:eastAsia="ja-JP"/>
        </w:rPr>
        <w:t>matters of national environmental significance impacted, or potentially impacted by the presence of</w:t>
      </w:r>
      <w:r w:rsidRPr="007D20DB">
        <w:rPr>
          <w:rFonts w:ascii="AGaramondPro-Italic" w:hAnsi="AGaramondPro-Italic" w:cs="AGaramondPro-Italic"/>
          <w:i/>
          <w:iCs/>
          <w:color w:val="000000"/>
          <w:sz w:val="20"/>
          <w:szCs w:val="20"/>
          <w:lang w:val="en-US" w:eastAsia="ja-JP"/>
        </w:rPr>
        <w:t xml:space="preserve"> P.</w:t>
      </w:r>
      <w:r w:rsidRPr="007D20DB">
        <w:rPr>
          <w:rFonts w:ascii="AGaramondPro-Italic" w:hAnsi="AGaramondPro-Italic" w:cs="AGaramondPro-Italic"/>
          <w:i/>
          <w:iCs/>
          <w:color w:val="000000"/>
          <w:sz w:val="20"/>
          <w:szCs w:val="20"/>
          <w:rtl/>
          <w:lang w:val="en-US" w:eastAsia="ja-JP" w:bidi="ar-YE"/>
        </w:rPr>
        <w:t>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(through destruction of vegetation and subsequent damage to an area’s significance) are:</w:t>
      </w:r>
    </w:p>
    <w:p w:rsidR="007D20DB" w:rsidRPr="007D20DB" w:rsidRDefault="007D20DB" w:rsidP="007D20DB">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r>
      <w:proofErr w:type="gramStart"/>
      <w:r w:rsidRPr="007D20DB">
        <w:rPr>
          <w:rFonts w:ascii="AGaramondPro-Regular" w:hAnsi="AGaramondPro-Regular" w:cs="AGaramondPro-Regular"/>
          <w:color w:val="000000"/>
          <w:sz w:val="20"/>
          <w:szCs w:val="20"/>
          <w:lang w:val="en-US" w:eastAsia="ja-JP"/>
        </w:rPr>
        <w:t>world</w:t>
      </w:r>
      <w:proofErr w:type="gramEnd"/>
      <w:r w:rsidRPr="007D20DB">
        <w:rPr>
          <w:rFonts w:ascii="AGaramondPro-Regular" w:hAnsi="AGaramondPro-Regular" w:cs="AGaramondPro-Regular"/>
          <w:color w:val="000000"/>
          <w:sz w:val="20"/>
          <w:szCs w:val="20"/>
          <w:lang w:val="en-US" w:eastAsia="ja-JP"/>
        </w:rPr>
        <w:t xml:space="preserve"> heritage areas </w:t>
      </w:r>
    </w:p>
    <w:p w:rsidR="007D20DB" w:rsidRPr="007D20DB" w:rsidRDefault="007D20DB" w:rsidP="007D20DB">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r>
      <w:proofErr w:type="gramStart"/>
      <w:r w:rsidRPr="007D20DB">
        <w:rPr>
          <w:rFonts w:ascii="AGaramondPro-Regular" w:hAnsi="AGaramondPro-Regular" w:cs="AGaramondPro-Regular"/>
          <w:color w:val="000000"/>
          <w:sz w:val="20"/>
          <w:szCs w:val="20"/>
          <w:lang w:val="en-US" w:eastAsia="ja-JP"/>
        </w:rPr>
        <w:t>national</w:t>
      </w:r>
      <w:proofErr w:type="gramEnd"/>
      <w:r w:rsidRPr="007D20DB">
        <w:rPr>
          <w:rFonts w:ascii="AGaramondPro-Regular" w:hAnsi="AGaramondPro-Regular" w:cs="AGaramondPro-Regular"/>
          <w:color w:val="000000"/>
          <w:sz w:val="20"/>
          <w:szCs w:val="20"/>
          <w:lang w:val="en-US" w:eastAsia="ja-JP"/>
        </w:rPr>
        <w:t xml:space="preserve"> heritage places</w:t>
      </w:r>
    </w:p>
    <w:p w:rsidR="007D20DB" w:rsidRPr="007D20DB" w:rsidRDefault="007D20DB" w:rsidP="007D20DB">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t>Commonwealth heritage on Commonwealth lands</w:t>
      </w:r>
    </w:p>
    <w:p w:rsidR="007D20DB" w:rsidRPr="007D20DB" w:rsidRDefault="007D20DB" w:rsidP="007D20DB">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r>
      <w:proofErr w:type="spellStart"/>
      <w:r w:rsidRPr="007D20DB">
        <w:rPr>
          <w:rFonts w:ascii="AGaramondPro-Regular" w:hAnsi="AGaramondPro-Regular" w:cs="AGaramondPro-Regular"/>
          <w:color w:val="000000"/>
          <w:sz w:val="20"/>
          <w:szCs w:val="20"/>
          <w:lang w:val="en-US" w:eastAsia="ja-JP"/>
        </w:rPr>
        <w:t>Ramsar</w:t>
      </w:r>
      <w:proofErr w:type="spellEnd"/>
      <w:r w:rsidRPr="007D20DB">
        <w:rPr>
          <w:rFonts w:ascii="AGaramondPro-Regular" w:hAnsi="AGaramondPro-Regular" w:cs="AGaramondPro-Regular"/>
          <w:color w:val="000000"/>
          <w:sz w:val="20"/>
          <w:szCs w:val="20"/>
          <w:lang w:val="en-US" w:eastAsia="ja-JP"/>
        </w:rPr>
        <w:t xml:space="preserve"> wetlands (i.e. wetlands listed under the Convention on Wetlands of International Importance).</w:t>
      </w:r>
    </w:p>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Italic" w:hAnsi="AGaramondPro-Italic" w:cs="AGaramondPro-Italic"/>
          <w:i/>
          <w:iCs/>
          <w:color w:val="000000"/>
          <w:sz w:val="20"/>
          <w:szCs w:val="20"/>
          <w:lang w:val="en-US" w:eastAsia="ja-JP"/>
        </w:rPr>
        <w:t>P.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is known to have impacted on the following world heritage areas:</w:t>
      </w:r>
    </w:p>
    <w:p w:rsidR="007D20DB" w:rsidRPr="007D20DB" w:rsidRDefault="007D20DB" w:rsidP="007D20DB">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t xml:space="preserve">Wet Tropics World Heritage Area of North Queensland. More than 200 patches infected with </w:t>
      </w:r>
      <w:r w:rsidRPr="007D20DB">
        <w:rPr>
          <w:rFonts w:ascii="AGaramondPro-Italic" w:hAnsi="AGaramondPro-Italic" w:cs="AGaramondPro-Italic"/>
          <w:i/>
          <w:iCs/>
          <w:color w:val="000000"/>
          <w:sz w:val="20"/>
          <w:szCs w:val="20"/>
          <w:lang w:val="en-US" w:eastAsia="ja-JP"/>
        </w:rPr>
        <w:t>P.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have been found, mostly in wet </w:t>
      </w:r>
      <w:proofErr w:type="spellStart"/>
      <w:r w:rsidRPr="007D20DB">
        <w:rPr>
          <w:rFonts w:ascii="AGaramondPro-Regular" w:hAnsi="AGaramondPro-Regular" w:cs="AGaramondPro-Regular"/>
          <w:color w:val="000000"/>
          <w:sz w:val="20"/>
          <w:szCs w:val="20"/>
          <w:lang w:val="en-US" w:eastAsia="ja-JP"/>
        </w:rPr>
        <w:t>notophyll</w:t>
      </w:r>
      <w:proofErr w:type="spellEnd"/>
      <w:r w:rsidRPr="007D20DB">
        <w:rPr>
          <w:rFonts w:ascii="AGaramondPro-Regular" w:hAnsi="AGaramondPro-Regular" w:cs="AGaramondPro-Regular"/>
          <w:color w:val="000000"/>
          <w:sz w:val="20"/>
          <w:szCs w:val="20"/>
          <w:lang w:val="en-US" w:eastAsia="ja-JP"/>
        </w:rPr>
        <w:t xml:space="preserve"> vine forests above 700 </w:t>
      </w:r>
      <w:proofErr w:type="spellStart"/>
      <w:r w:rsidRPr="007D20DB">
        <w:rPr>
          <w:rFonts w:ascii="AGaramondPro-Regular" w:hAnsi="AGaramondPro-Regular" w:cs="AGaramondPro-Regular"/>
          <w:color w:val="000000"/>
          <w:sz w:val="20"/>
          <w:szCs w:val="20"/>
          <w:lang w:val="en-US" w:eastAsia="ja-JP"/>
        </w:rPr>
        <w:t>metres</w:t>
      </w:r>
      <w:proofErr w:type="spellEnd"/>
      <w:r w:rsidRPr="007D20DB">
        <w:rPr>
          <w:rFonts w:ascii="AGaramondPro-Regular" w:hAnsi="AGaramondPro-Regular" w:cs="AGaramondPro-Regular"/>
          <w:color w:val="000000"/>
          <w:sz w:val="20"/>
          <w:szCs w:val="20"/>
          <w:lang w:val="en-US" w:eastAsia="ja-JP"/>
        </w:rPr>
        <w:t xml:space="preserve"> on acid volcanic soils. These forests comprise 14 per cent of the World Heritage Area.</w:t>
      </w:r>
    </w:p>
    <w:p w:rsidR="007D20DB" w:rsidRPr="007D20DB" w:rsidRDefault="007D20DB" w:rsidP="007D20DB">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US" w:eastAsia="ja-JP"/>
        </w:rPr>
      </w:pPr>
      <w:proofErr w:type="gramStart"/>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r>
      <w:proofErr w:type="spellStart"/>
      <w:r w:rsidRPr="007D20DB">
        <w:rPr>
          <w:rFonts w:ascii="AGaramondPro-Regular" w:hAnsi="AGaramondPro-Regular" w:cs="AGaramondPro-Regular"/>
          <w:color w:val="000000"/>
          <w:sz w:val="20"/>
          <w:szCs w:val="20"/>
          <w:lang w:val="en-US" w:eastAsia="ja-JP"/>
        </w:rPr>
        <w:t>Gondwana</w:t>
      </w:r>
      <w:proofErr w:type="spellEnd"/>
      <w:r w:rsidRPr="007D20DB">
        <w:rPr>
          <w:rFonts w:ascii="AGaramondPro-Regular" w:hAnsi="AGaramondPro-Regular" w:cs="AGaramondPro-Regular"/>
          <w:color w:val="000000"/>
          <w:sz w:val="20"/>
          <w:szCs w:val="20"/>
          <w:lang w:val="en-US" w:eastAsia="ja-JP"/>
        </w:rPr>
        <w:t xml:space="preserve"> Rainforests of Australia World Heritage Area of northern New South Wales and southern Queensland.</w:t>
      </w:r>
      <w:proofErr w:type="gramEnd"/>
    </w:p>
    <w:p w:rsidR="007D20DB" w:rsidRPr="007D20DB" w:rsidRDefault="007D20DB" w:rsidP="007D20DB">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t xml:space="preserve">Greater Blue Mountains World Heritage Area. </w:t>
      </w:r>
      <w:proofErr w:type="gramStart"/>
      <w:r w:rsidRPr="007D20DB">
        <w:rPr>
          <w:rFonts w:ascii="AGaramondPro-Regular" w:hAnsi="AGaramondPro-Regular" w:cs="AGaramondPro-Regular"/>
          <w:color w:val="000000"/>
          <w:sz w:val="20"/>
          <w:szCs w:val="20"/>
          <w:lang w:val="en-US" w:eastAsia="ja-JP"/>
        </w:rPr>
        <w:t>Detected in various sites including the Wollemi Pine (listed as endangered) site.</w:t>
      </w:r>
      <w:proofErr w:type="gramEnd"/>
    </w:p>
    <w:p w:rsidR="007D20DB" w:rsidRPr="007D20DB" w:rsidRDefault="007D20DB" w:rsidP="007D20DB">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t xml:space="preserve">Tasmanian Wilderness World Heritage Area. </w:t>
      </w:r>
      <w:r w:rsidRPr="007D20DB">
        <w:rPr>
          <w:rFonts w:ascii="AGaramondPro-Italic" w:hAnsi="AGaramondPro-Italic" w:cs="AGaramondPro-Italic"/>
          <w:i/>
          <w:iCs/>
          <w:color w:val="000000"/>
          <w:sz w:val="20"/>
          <w:szCs w:val="20"/>
          <w:lang w:val="en-US" w:eastAsia="ja-JP"/>
        </w:rPr>
        <w:t>P.</w:t>
      </w:r>
      <w:r w:rsidRPr="007D20DB">
        <w:rPr>
          <w:rFonts w:ascii="AGaramondPro-Regular" w:hAnsi="AGaramondPro-Regular" w:cs="AGaramondPro-Regular"/>
          <w:color w:val="000000"/>
          <w:sz w:val="20"/>
          <w:szCs w:val="20"/>
          <w:rtl/>
          <w:lang w:val="en-US" w:eastAsia="ja-JP" w:bidi="ar-YE"/>
        </w:rPr>
        <w:t>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Italic" w:hAnsi="AGaramondPro-Italic" w:cs="AGaramondPro-Italic"/>
          <w:i/>
          <w:iCs/>
          <w:color w:val="000000"/>
          <w:sz w:val="20"/>
          <w:szCs w:val="20"/>
          <w:lang w:val="en-US" w:eastAsia="ja-JP"/>
        </w:rPr>
        <w:t xml:space="preserve"> </w:t>
      </w:r>
      <w:r w:rsidRPr="007D20DB">
        <w:rPr>
          <w:rFonts w:ascii="AGaramondPro-Regular" w:hAnsi="AGaramondPro-Regular" w:cs="AGaramondPro-Regular"/>
          <w:color w:val="000000"/>
          <w:sz w:val="20"/>
          <w:szCs w:val="20"/>
          <w:lang w:val="en-US" w:eastAsia="ja-JP"/>
        </w:rPr>
        <w:t>is widespread across Tasmania and also occurs within the World Heritage Area.</w:t>
      </w:r>
    </w:p>
    <w:p w:rsidR="007D20DB" w:rsidRPr="007D20DB" w:rsidRDefault="007D20DB" w:rsidP="007D20DB">
      <w:pPr>
        <w:widowControl w:val="0"/>
        <w:suppressAutoHyphens/>
        <w:autoSpaceDE w:val="0"/>
        <w:autoSpaceDN w:val="0"/>
        <w:adjustRightInd w:val="0"/>
        <w:spacing w:after="170" w:line="280" w:lineRule="atLeast"/>
        <w:ind w:left="283"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t xml:space="preserve">Lord Howe Island World Heritage Area. </w:t>
      </w:r>
      <w:r w:rsidRPr="007D20DB">
        <w:rPr>
          <w:rFonts w:ascii="AGaramondPro-Italic" w:hAnsi="AGaramondPro-Italic" w:cs="AGaramondPro-Italic"/>
          <w:i/>
          <w:iCs/>
          <w:color w:val="000000"/>
          <w:sz w:val="20"/>
          <w:szCs w:val="20"/>
          <w:lang w:val="en-US" w:eastAsia="ja-JP"/>
        </w:rPr>
        <w:t>P.</w:t>
      </w:r>
      <w:r w:rsidRPr="007D20DB">
        <w:rPr>
          <w:rFonts w:ascii="AGaramondPro-Regular" w:hAnsi="AGaramondPro-Regular" w:cs="AGaramondPro-Regular"/>
          <w:color w:val="000000"/>
          <w:sz w:val="20"/>
          <w:szCs w:val="20"/>
          <w:rtl/>
          <w:lang w:val="en-US" w:eastAsia="ja-JP" w:bidi="ar-YE"/>
        </w:rPr>
        <w:t>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has been recorded from one lease in the southern part of the island’s settlement area and could potentially spread to the Lord Howe Island Permanent Park Preserve on footwear or vehicles (DECCW, 2010).</w:t>
      </w:r>
    </w:p>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National heritage places for which </w:t>
      </w:r>
      <w:r w:rsidRPr="007D20DB">
        <w:rPr>
          <w:rFonts w:ascii="AGaramondPro-Italic" w:hAnsi="AGaramondPro-Italic" w:cs="AGaramondPro-Italic"/>
          <w:i/>
          <w:iCs/>
          <w:color w:val="000000"/>
          <w:sz w:val="20"/>
          <w:szCs w:val="20"/>
          <w:lang w:val="en-US" w:eastAsia="ja-JP"/>
        </w:rPr>
        <w:t>P.</w:t>
      </w:r>
      <w:r w:rsidRPr="007D20DB">
        <w:rPr>
          <w:rFonts w:ascii="AGaramondPro-Italic" w:hAnsi="AGaramondPro-Italic" w:cs="AGaramondPro-Italic"/>
          <w:i/>
          <w:iCs/>
          <w:color w:val="000000"/>
          <w:sz w:val="20"/>
          <w:szCs w:val="20"/>
          <w:rtl/>
          <w:lang w:val="en-US" w:eastAsia="ja-JP" w:bidi="ar-YE"/>
        </w:rPr>
        <w:t>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is a threat include: </w:t>
      </w:r>
    </w:p>
    <w:p w:rsidR="007D20DB" w:rsidRPr="007D20DB" w:rsidRDefault="007D20DB" w:rsidP="007D20DB">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t xml:space="preserve">The </w:t>
      </w:r>
      <w:proofErr w:type="spellStart"/>
      <w:r w:rsidRPr="007D20DB">
        <w:rPr>
          <w:rFonts w:ascii="AGaramondPro-Regular" w:hAnsi="AGaramondPro-Regular" w:cs="AGaramondPro-Regular"/>
          <w:color w:val="000000"/>
          <w:sz w:val="20"/>
          <w:szCs w:val="20"/>
          <w:lang w:val="en-US" w:eastAsia="ja-JP"/>
        </w:rPr>
        <w:t>Stirling</w:t>
      </w:r>
      <w:proofErr w:type="spellEnd"/>
      <w:r w:rsidRPr="007D20DB">
        <w:rPr>
          <w:rFonts w:ascii="AGaramondPro-Regular" w:hAnsi="AGaramondPro-Regular" w:cs="AGaramondPro-Regular"/>
          <w:color w:val="000000"/>
          <w:sz w:val="20"/>
          <w:szCs w:val="20"/>
          <w:lang w:val="en-US" w:eastAsia="ja-JP"/>
        </w:rPr>
        <w:t xml:space="preserve"> Range National Park and </w:t>
      </w:r>
      <w:proofErr w:type="spellStart"/>
      <w:r w:rsidRPr="007D20DB">
        <w:rPr>
          <w:rFonts w:ascii="AGaramondPro-Regular" w:hAnsi="AGaramondPro-Regular" w:cs="AGaramondPro-Regular"/>
          <w:color w:val="000000"/>
          <w:sz w:val="20"/>
          <w:szCs w:val="20"/>
          <w:lang w:val="en-US" w:eastAsia="ja-JP"/>
        </w:rPr>
        <w:t>Porongurup</w:t>
      </w:r>
      <w:proofErr w:type="spellEnd"/>
      <w:r w:rsidRPr="007D20DB">
        <w:rPr>
          <w:rFonts w:ascii="AGaramondPro-Regular" w:hAnsi="AGaramondPro-Regular" w:cs="AGaramondPro-Regular"/>
          <w:color w:val="000000"/>
          <w:sz w:val="20"/>
          <w:szCs w:val="20"/>
          <w:lang w:val="en-US" w:eastAsia="ja-JP"/>
        </w:rPr>
        <w:t xml:space="preserve"> National Park in south-west Western Australia. </w:t>
      </w:r>
      <w:r w:rsidRPr="007D20DB">
        <w:rPr>
          <w:rFonts w:ascii="AGaramondPro-Italic" w:hAnsi="AGaramondPro-Italic" w:cs="AGaramondPro-Italic"/>
          <w:i/>
          <w:iCs/>
          <w:color w:val="000000"/>
          <w:sz w:val="20"/>
          <w:szCs w:val="20"/>
          <w:lang w:val="en-US" w:eastAsia="ja-JP"/>
        </w:rPr>
        <w:t>P.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is a significant threat to plant communities of outstanding richness and </w:t>
      </w:r>
      <w:proofErr w:type="spellStart"/>
      <w:r w:rsidRPr="007D20DB">
        <w:rPr>
          <w:rFonts w:ascii="AGaramondPro-Regular" w:hAnsi="AGaramondPro-Regular" w:cs="AGaramondPro-Regular"/>
          <w:color w:val="000000"/>
          <w:sz w:val="20"/>
          <w:szCs w:val="20"/>
          <w:lang w:val="en-US" w:eastAsia="ja-JP"/>
        </w:rPr>
        <w:t>endemicity</w:t>
      </w:r>
      <w:proofErr w:type="spellEnd"/>
      <w:r w:rsidRPr="007D20DB">
        <w:rPr>
          <w:rFonts w:ascii="AGaramondPro-Regular" w:hAnsi="AGaramondPro-Regular" w:cs="AGaramondPro-Regular"/>
          <w:color w:val="000000"/>
          <w:sz w:val="20"/>
          <w:szCs w:val="20"/>
          <w:lang w:val="en-US" w:eastAsia="ja-JP"/>
        </w:rPr>
        <w:t>.</w:t>
      </w:r>
    </w:p>
    <w:p w:rsidR="007D20DB" w:rsidRPr="007D20DB" w:rsidRDefault="007D20DB" w:rsidP="007D20DB">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t>The Grampians National Park (</w:t>
      </w:r>
      <w:proofErr w:type="spellStart"/>
      <w:r w:rsidRPr="007D20DB">
        <w:rPr>
          <w:rFonts w:ascii="AGaramondPro-Regular" w:hAnsi="AGaramondPro-Regular" w:cs="AGaramondPro-Regular"/>
          <w:color w:val="000000"/>
          <w:sz w:val="20"/>
          <w:szCs w:val="20"/>
          <w:lang w:val="en-US" w:eastAsia="ja-JP"/>
        </w:rPr>
        <w:t>Gariwerd</w:t>
      </w:r>
      <w:proofErr w:type="spellEnd"/>
      <w:r w:rsidRPr="007D20DB">
        <w:rPr>
          <w:rFonts w:ascii="AGaramondPro-Regular" w:hAnsi="AGaramondPro-Regular" w:cs="AGaramondPro-Regular"/>
          <w:color w:val="000000"/>
          <w:sz w:val="20"/>
          <w:szCs w:val="20"/>
          <w:lang w:val="en-US" w:eastAsia="ja-JP"/>
        </w:rPr>
        <w:t xml:space="preserve">) in Victoria, where </w:t>
      </w:r>
      <w:r w:rsidRPr="007D20DB">
        <w:rPr>
          <w:rFonts w:ascii="AGaramondPro-Italic" w:hAnsi="AGaramondPro-Italic" w:cs="AGaramondPro-Italic"/>
          <w:i/>
          <w:iCs/>
          <w:color w:val="000000"/>
          <w:sz w:val="20"/>
          <w:szCs w:val="20"/>
          <w:lang w:val="en-US" w:eastAsia="ja-JP"/>
        </w:rPr>
        <w:t>P.</w:t>
      </w:r>
      <w:r w:rsidRPr="007D20DB">
        <w:rPr>
          <w:rFonts w:ascii="AGaramondPro-Regular" w:hAnsi="AGaramondPro-Regular" w:cs="AGaramondPro-Regular"/>
          <w:color w:val="000000"/>
          <w:sz w:val="20"/>
          <w:szCs w:val="20"/>
          <w:rtl/>
          <w:lang w:val="en-US" w:eastAsia="ja-JP" w:bidi="ar-YE"/>
        </w:rPr>
        <w:t>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has been recorded at many sites</w:t>
      </w:r>
      <w:r w:rsidRPr="007D20DB">
        <w:rPr>
          <w:rFonts w:ascii="AGaramondPro-Italic" w:hAnsi="AGaramondPro-Italic" w:cs="AGaramondPro-Italic"/>
          <w:i/>
          <w:iCs/>
          <w:color w:val="000000"/>
          <w:sz w:val="20"/>
          <w:szCs w:val="20"/>
          <w:lang w:val="en-US" w:eastAsia="ja-JP"/>
        </w:rPr>
        <w:t xml:space="preserve"> </w:t>
      </w:r>
      <w:r w:rsidRPr="007D20DB">
        <w:rPr>
          <w:rFonts w:ascii="AGaramondPro-Regular" w:hAnsi="AGaramondPro-Regular" w:cs="AGaramondPro-Regular"/>
          <w:color w:val="000000"/>
          <w:sz w:val="20"/>
          <w:szCs w:val="20"/>
          <w:lang w:val="en-US" w:eastAsia="ja-JP"/>
        </w:rPr>
        <w:t>and longer term studies have shown wide-scale changes in their floristic composition.</w:t>
      </w:r>
    </w:p>
    <w:p w:rsidR="007D20DB" w:rsidRPr="007D20DB" w:rsidRDefault="007D20DB" w:rsidP="007D20DB">
      <w:pPr>
        <w:widowControl w:val="0"/>
        <w:suppressAutoHyphens/>
        <w:autoSpaceDE w:val="0"/>
        <w:autoSpaceDN w:val="0"/>
        <w:adjustRightInd w:val="0"/>
        <w:spacing w:after="170" w:line="280" w:lineRule="atLeast"/>
        <w:ind w:left="283"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lastRenderedPageBreak/>
        <w:t>•</w:t>
      </w:r>
      <w:r w:rsidRPr="007D20DB">
        <w:rPr>
          <w:rFonts w:ascii="AGaramondPro-Regular" w:hAnsi="AGaramondPro-Regular" w:cs="AGaramondPro-Regular"/>
          <w:color w:val="000000"/>
          <w:sz w:val="20"/>
          <w:szCs w:val="20"/>
          <w:lang w:val="en-US" w:eastAsia="ja-JP"/>
        </w:rPr>
        <w:tab/>
        <w:t>Western Tasmania Aboriginal Cultural Landscape.</w:t>
      </w:r>
    </w:p>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Italic" w:hAnsi="AGaramondPro-Italic" w:cs="AGaramondPro-Italic"/>
          <w:i/>
          <w:iCs/>
          <w:color w:val="000000"/>
          <w:sz w:val="20"/>
          <w:szCs w:val="20"/>
          <w:lang w:val="en-US" w:eastAsia="ja-JP"/>
        </w:rPr>
      </w:pPr>
      <w:proofErr w:type="spellStart"/>
      <w:r w:rsidRPr="007D20DB">
        <w:rPr>
          <w:rFonts w:ascii="AGaramondPro-Regular" w:hAnsi="AGaramondPro-Regular" w:cs="AGaramondPro-Regular"/>
          <w:color w:val="000000"/>
          <w:sz w:val="20"/>
          <w:szCs w:val="20"/>
          <w:lang w:val="en-US" w:eastAsia="ja-JP"/>
        </w:rPr>
        <w:t>Ramsar</w:t>
      </w:r>
      <w:proofErr w:type="spellEnd"/>
      <w:r w:rsidRPr="007D20DB">
        <w:rPr>
          <w:rFonts w:ascii="AGaramondPro-Regular" w:hAnsi="AGaramondPro-Regular" w:cs="AGaramondPro-Regular"/>
          <w:color w:val="000000"/>
          <w:sz w:val="20"/>
          <w:szCs w:val="20"/>
          <w:lang w:val="en-US" w:eastAsia="ja-JP"/>
        </w:rPr>
        <w:t xml:space="preserve"> listed sites known to be affected by </w:t>
      </w:r>
      <w:r w:rsidRPr="007D20DB">
        <w:rPr>
          <w:rFonts w:ascii="AGaramondPro-Italic" w:hAnsi="AGaramondPro-Italic" w:cs="AGaramondPro-Italic"/>
          <w:i/>
          <w:iCs/>
          <w:color w:val="000000"/>
          <w:sz w:val="20"/>
          <w:szCs w:val="20"/>
          <w:lang w:val="en-US" w:eastAsia="ja-JP"/>
        </w:rPr>
        <w:t>P.</w:t>
      </w:r>
      <w:r w:rsidRPr="007D20DB">
        <w:rPr>
          <w:rFonts w:ascii="AGaramondPro-Regular" w:hAnsi="AGaramondPro-Regular" w:cs="AGaramondPro-Regular"/>
          <w:color w:val="000000"/>
          <w:sz w:val="20"/>
          <w:szCs w:val="20"/>
          <w:rtl/>
          <w:lang w:val="en-US" w:eastAsia="ja-JP" w:bidi="ar-YE"/>
        </w:rPr>
        <w:t>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include </w:t>
      </w:r>
      <w:proofErr w:type="spellStart"/>
      <w:r w:rsidRPr="007D20DB">
        <w:rPr>
          <w:rFonts w:ascii="AGaramondPro-Regular" w:hAnsi="AGaramondPro-Regular" w:cs="AGaramondPro-Regular"/>
          <w:color w:val="000000"/>
          <w:sz w:val="20"/>
          <w:szCs w:val="20"/>
          <w:lang w:val="en-US" w:eastAsia="ja-JP"/>
        </w:rPr>
        <w:t>Lavinia</w:t>
      </w:r>
      <w:proofErr w:type="spellEnd"/>
      <w:r w:rsidRPr="007D20DB">
        <w:rPr>
          <w:rFonts w:ascii="AGaramondPro-Regular" w:hAnsi="AGaramondPro-Regular" w:cs="AGaramondPro-Regular"/>
          <w:color w:val="000000"/>
          <w:sz w:val="20"/>
          <w:szCs w:val="20"/>
          <w:lang w:val="en-US" w:eastAsia="ja-JP"/>
        </w:rPr>
        <w:t xml:space="preserve"> Wetland on the north-east coast of King Island, Tasmania (Parks and Wildlife Service, 2000); the Lake Warden System at Esperance, on the south coast of Western Australia (DEC, 2009); and </w:t>
      </w:r>
      <w:proofErr w:type="spellStart"/>
      <w:r w:rsidRPr="007D20DB">
        <w:rPr>
          <w:rFonts w:ascii="AGaramondPro-Regular" w:hAnsi="AGaramondPro-Regular" w:cs="AGaramondPro-Regular"/>
          <w:color w:val="000000"/>
          <w:sz w:val="20"/>
          <w:szCs w:val="20"/>
          <w:lang w:val="en-US" w:eastAsia="ja-JP"/>
        </w:rPr>
        <w:t>Forrestdale</w:t>
      </w:r>
      <w:proofErr w:type="spellEnd"/>
      <w:r w:rsidRPr="007D20DB">
        <w:rPr>
          <w:rFonts w:ascii="AGaramondPro-Regular" w:hAnsi="AGaramondPro-Regular" w:cs="AGaramondPro-Regular"/>
          <w:color w:val="000000"/>
          <w:sz w:val="20"/>
          <w:szCs w:val="20"/>
          <w:lang w:val="en-US" w:eastAsia="ja-JP"/>
        </w:rPr>
        <w:t xml:space="preserve"> Lake in Perth, Western Australia (Conservation Commission of Western Australia, 2005)</w:t>
      </w:r>
      <w:r w:rsidRPr="007D20DB">
        <w:rPr>
          <w:rFonts w:ascii="AGaramondPro-Italic" w:hAnsi="AGaramondPro-Italic" w:cs="AGaramondPro-Italic"/>
          <w:i/>
          <w:iCs/>
          <w:color w:val="000000"/>
          <w:sz w:val="20"/>
          <w:szCs w:val="20"/>
          <w:lang w:val="en-US" w:eastAsia="ja-JP"/>
        </w:rPr>
        <w:t>.</w:t>
      </w:r>
    </w:p>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Although not listed as a matter of national environmental significance under the EPBC Act, an area being significantly impacted by </w:t>
      </w:r>
      <w:proofErr w:type="spellStart"/>
      <w:r w:rsidRPr="007D20DB">
        <w:rPr>
          <w:rFonts w:ascii="AGaramondPro-Italic" w:hAnsi="AGaramondPro-Italic" w:cs="AGaramondPro-Italic"/>
          <w:i/>
          <w:iCs/>
          <w:color w:val="000000"/>
          <w:sz w:val="20"/>
          <w:szCs w:val="20"/>
          <w:lang w:val="en-US" w:eastAsia="ja-JP"/>
        </w:rPr>
        <w:t>Phytophthora</w:t>
      </w:r>
      <w:proofErr w:type="spellEnd"/>
      <w:r w:rsidRPr="007D20DB">
        <w:rPr>
          <w:rFonts w:ascii="AGaramondPro-Regular" w:hAnsi="AGaramondPro-Regular" w:cs="AGaramondPro-Regular"/>
          <w:color w:val="000000"/>
          <w:sz w:val="20"/>
          <w:szCs w:val="20"/>
          <w:lang w:val="en-US" w:eastAsia="ja-JP"/>
        </w:rPr>
        <w:t xml:space="preserve"> dieback that is of national importance is the Fitzroy River National Park in Western Australia. This area is a reserve site </w:t>
      </w:r>
      <w:proofErr w:type="spellStart"/>
      <w:r w:rsidRPr="007D20DB">
        <w:rPr>
          <w:rFonts w:ascii="AGaramondPro-Regular" w:hAnsi="AGaramondPro-Regular" w:cs="AGaramondPro-Regular"/>
          <w:color w:val="000000"/>
          <w:sz w:val="20"/>
          <w:szCs w:val="20"/>
          <w:lang w:val="en-US" w:eastAsia="ja-JP"/>
        </w:rPr>
        <w:t>recognised</w:t>
      </w:r>
      <w:proofErr w:type="spellEnd"/>
      <w:r w:rsidRPr="007D20DB">
        <w:rPr>
          <w:rFonts w:ascii="AGaramondPro-Regular" w:hAnsi="AGaramondPro-Regular" w:cs="AGaramondPro-Regular"/>
          <w:color w:val="000000"/>
          <w:sz w:val="20"/>
          <w:szCs w:val="20"/>
          <w:lang w:val="en-US" w:eastAsia="ja-JP"/>
        </w:rPr>
        <w:t xml:space="preserve"> under UNESCO’s</w:t>
      </w:r>
      <w:r w:rsidRPr="007D20DB">
        <w:rPr>
          <w:rFonts w:ascii="AGaramondPro-Regular" w:hAnsi="AGaramondPro-Regular" w:cs="AGaramondPro-Regular"/>
          <w:color w:val="000000"/>
          <w:sz w:val="20"/>
          <w:szCs w:val="20"/>
          <w:vertAlign w:val="superscript"/>
          <w:lang w:val="en-US" w:eastAsia="ja-JP"/>
        </w:rPr>
        <w:footnoteReference w:id="2"/>
      </w:r>
      <w:r w:rsidRPr="007D20DB">
        <w:rPr>
          <w:rFonts w:ascii="AGaramondPro-Regular" w:hAnsi="AGaramondPro-Regular" w:cs="AGaramondPro-Regular"/>
          <w:color w:val="000000"/>
          <w:sz w:val="20"/>
          <w:szCs w:val="20"/>
          <w:lang w:val="en-US" w:eastAsia="ja-JP"/>
        </w:rPr>
        <w:t xml:space="preserve"> Man and the Biosphere Program. The EPBC Act includes provisions for cooperative arrangements between the Commonwealth, states and territories in the development of biosphere reserves.</w:t>
      </w:r>
    </w:p>
    <w:p w:rsidR="007D20DB" w:rsidRPr="007D20DB" w:rsidRDefault="007D20DB" w:rsidP="00704644">
      <w:pPr>
        <w:pStyle w:val="02HEADING20"/>
      </w:pPr>
      <w:bookmarkStart w:id="12" w:name="_Toc253067280"/>
      <w:r w:rsidRPr="007D20DB">
        <w:t xml:space="preserve">1.4 </w:t>
      </w:r>
      <w:r w:rsidRPr="007D20DB">
        <w:tab/>
        <w:t>Managing the threat</w:t>
      </w:r>
      <w:bookmarkEnd w:id="12"/>
      <w:r w:rsidRPr="007D20DB">
        <w:t xml:space="preserve"> </w:t>
      </w:r>
    </w:p>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Although </w:t>
      </w:r>
      <w:r w:rsidRPr="007D20DB">
        <w:rPr>
          <w:rFonts w:ascii="AGaramondPro-Italic" w:hAnsi="AGaramondPro-Italic" w:cs="AGaramondPro-Italic"/>
          <w:i/>
          <w:iCs/>
          <w:color w:val="000000"/>
          <w:sz w:val="20"/>
          <w:szCs w:val="20"/>
          <w:lang w:val="en-US" w:eastAsia="ja-JP"/>
        </w:rPr>
        <w:t>P.</w:t>
      </w:r>
      <w:r w:rsidRPr="007D20DB">
        <w:rPr>
          <w:rFonts w:ascii="AGaramondPro-Regular" w:hAnsi="AGaramondPro-Regular" w:cs="AGaramondPro-Regular"/>
          <w:color w:val="000000"/>
          <w:sz w:val="20"/>
          <w:szCs w:val="20"/>
          <w:rtl/>
          <w:lang w:val="en-US" w:eastAsia="ja-JP" w:bidi="ar-YE"/>
        </w:rPr>
        <w:t>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can be eradicated from small sites and containment methods are available to prevent the spread of the pathogen (Dunstan et al., 2011) further work is required to: </w:t>
      </w:r>
    </w:p>
    <w:p w:rsidR="007D20DB" w:rsidRPr="007D20DB" w:rsidRDefault="007D20DB" w:rsidP="007D20DB">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r>
      <w:proofErr w:type="spellStart"/>
      <w:r w:rsidRPr="007D20DB">
        <w:rPr>
          <w:rFonts w:ascii="AGaramondPro-Regular" w:hAnsi="AGaramondPro-Regular" w:cs="AGaramondPro-Regular"/>
          <w:color w:val="000000"/>
          <w:sz w:val="20"/>
          <w:szCs w:val="20"/>
          <w:lang w:val="en-US" w:eastAsia="ja-JP"/>
        </w:rPr>
        <w:t>minimise</w:t>
      </w:r>
      <w:proofErr w:type="spellEnd"/>
      <w:r w:rsidRPr="007D20DB">
        <w:rPr>
          <w:rFonts w:ascii="AGaramondPro-Regular" w:hAnsi="AGaramondPro-Regular" w:cs="AGaramondPro-Regular"/>
          <w:color w:val="000000"/>
          <w:sz w:val="20"/>
          <w:szCs w:val="20"/>
          <w:lang w:val="en-US" w:eastAsia="ja-JP"/>
        </w:rPr>
        <w:t xml:space="preserve"> the spread of </w:t>
      </w:r>
      <w:r w:rsidRPr="007D20DB">
        <w:rPr>
          <w:rFonts w:ascii="AGaramondPro-Italic" w:hAnsi="AGaramondPro-Italic" w:cs="AGaramondPro-Italic"/>
          <w:i/>
          <w:iCs/>
          <w:color w:val="000000"/>
          <w:sz w:val="20"/>
          <w:szCs w:val="20"/>
          <w:lang w:val="en-US" w:eastAsia="ja-JP"/>
        </w:rPr>
        <w:t>P.</w:t>
      </w:r>
      <w:r w:rsidRPr="007D20DB">
        <w:rPr>
          <w:rFonts w:ascii="AGaramondPro-Italic" w:hAnsi="AGaramondPro-Italic" w:cs="AGaramondPro-Italic"/>
          <w:i/>
          <w:iCs/>
          <w:color w:val="000000"/>
          <w:sz w:val="20"/>
          <w:szCs w:val="20"/>
          <w:rtl/>
          <w:lang w:val="en-US" w:eastAsia="ja-JP" w:bidi="ar-YE"/>
        </w:rPr>
        <w:t>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to </w:t>
      </w:r>
      <w:proofErr w:type="spellStart"/>
      <w:r w:rsidRPr="007D20DB">
        <w:rPr>
          <w:rFonts w:ascii="AGaramondPro-Regular" w:hAnsi="AGaramondPro-Regular" w:cs="AGaramondPro-Regular"/>
          <w:color w:val="000000"/>
          <w:sz w:val="20"/>
          <w:szCs w:val="20"/>
          <w:lang w:val="en-US" w:eastAsia="ja-JP"/>
        </w:rPr>
        <w:t>uninfested</w:t>
      </w:r>
      <w:proofErr w:type="spellEnd"/>
      <w:r w:rsidRPr="007D20DB">
        <w:rPr>
          <w:rFonts w:ascii="AGaramondPro-Regular" w:hAnsi="AGaramondPro-Regular" w:cs="AGaramondPro-Regular"/>
          <w:color w:val="000000"/>
          <w:sz w:val="20"/>
          <w:szCs w:val="20"/>
          <w:lang w:val="en-US" w:eastAsia="ja-JP"/>
        </w:rPr>
        <w:t xml:space="preserve"> sites</w:t>
      </w:r>
    </w:p>
    <w:p w:rsidR="007D20DB" w:rsidRPr="007D20DB" w:rsidRDefault="007D20DB" w:rsidP="007D20DB">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t xml:space="preserve">mitigate the impact of </w:t>
      </w:r>
      <w:r w:rsidRPr="007D20DB">
        <w:rPr>
          <w:rFonts w:ascii="AGaramondPro-Italic" w:hAnsi="AGaramondPro-Italic" w:cs="AGaramondPro-Italic"/>
          <w:i/>
          <w:iCs/>
          <w:color w:val="000000"/>
          <w:sz w:val="20"/>
          <w:szCs w:val="20"/>
          <w:lang w:val="en-US" w:eastAsia="ja-JP"/>
        </w:rPr>
        <w:t>P.</w:t>
      </w:r>
      <w:r w:rsidRPr="007D20DB">
        <w:rPr>
          <w:rFonts w:ascii="AGaramondPro-Italic" w:hAnsi="AGaramondPro-Italic" w:cs="AGaramondPro-Italic"/>
          <w:i/>
          <w:iCs/>
          <w:color w:val="000000"/>
          <w:sz w:val="20"/>
          <w:szCs w:val="20"/>
          <w:rtl/>
          <w:lang w:val="en-US" w:eastAsia="ja-JP" w:bidi="ar-YE"/>
        </w:rPr>
        <w:t>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at infested sites.</w:t>
      </w:r>
    </w:p>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Italic" w:hAnsi="AGaramondPro-Italic" w:cs="AGaramondPro-Italic"/>
          <w:i/>
          <w:iCs/>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In order to address the key threatening process listing for </w:t>
      </w:r>
      <w:r w:rsidRPr="007D20DB">
        <w:rPr>
          <w:rFonts w:ascii="AGaramondPro-Italic" w:hAnsi="AGaramondPro-Italic" w:cs="AGaramondPro-Italic"/>
          <w:i/>
          <w:iCs/>
          <w:color w:val="000000"/>
          <w:sz w:val="20"/>
          <w:szCs w:val="20"/>
          <w:lang w:val="en-US" w:eastAsia="ja-JP"/>
        </w:rPr>
        <w:t>P.</w:t>
      </w:r>
      <w:r w:rsidRPr="007D20DB">
        <w:rPr>
          <w:rFonts w:ascii="AGaramondPro-Regular" w:hAnsi="AGaramondPro-Regular" w:cs="AGaramondPro-Regular"/>
          <w:color w:val="000000"/>
          <w:sz w:val="20"/>
          <w:szCs w:val="20"/>
          <w:rtl/>
          <w:lang w:val="en-US" w:eastAsia="ja-JP" w:bidi="ar-YE"/>
        </w:rPr>
        <w:t>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Italic" w:hAnsi="AGaramondPro-Italic" w:cs="AGaramondPro-Italic"/>
          <w:i/>
          <w:iCs/>
          <w:color w:val="000000"/>
          <w:sz w:val="20"/>
          <w:szCs w:val="20"/>
          <w:lang w:val="en-US" w:eastAsia="ja-JP"/>
        </w:rPr>
        <w:t xml:space="preserve"> </w:t>
      </w:r>
      <w:r w:rsidRPr="007D20DB">
        <w:rPr>
          <w:rFonts w:ascii="AGaramondPro-Regular" w:hAnsi="AGaramondPro-Regular" w:cs="AGaramondPro-Regular"/>
          <w:color w:val="000000"/>
          <w:sz w:val="20"/>
          <w:szCs w:val="20"/>
          <w:lang w:val="en-US" w:eastAsia="ja-JP"/>
        </w:rPr>
        <w:t xml:space="preserve">under Section 183 of the EPBC Act, priority must be given to mitigating the impact and </w:t>
      </w:r>
      <w:proofErr w:type="spellStart"/>
      <w:r w:rsidRPr="007D20DB">
        <w:rPr>
          <w:rFonts w:ascii="AGaramondPro-Regular" w:hAnsi="AGaramondPro-Regular" w:cs="AGaramondPro-Regular"/>
          <w:color w:val="000000"/>
          <w:sz w:val="20"/>
          <w:szCs w:val="20"/>
          <w:lang w:val="en-US" w:eastAsia="ja-JP"/>
        </w:rPr>
        <w:t>minimising</w:t>
      </w:r>
      <w:proofErr w:type="spellEnd"/>
      <w:r w:rsidRPr="007D20DB">
        <w:rPr>
          <w:rFonts w:ascii="AGaramondPro-Regular" w:hAnsi="AGaramondPro-Regular" w:cs="AGaramondPro-Regular"/>
          <w:color w:val="000000"/>
          <w:sz w:val="20"/>
          <w:szCs w:val="20"/>
          <w:lang w:val="en-US" w:eastAsia="ja-JP"/>
        </w:rPr>
        <w:t xml:space="preserve"> the spread of </w:t>
      </w:r>
      <w:r w:rsidRPr="007D20DB">
        <w:rPr>
          <w:rFonts w:ascii="AGaramondPro-Italic" w:hAnsi="AGaramondPro-Italic" w:cs="AGaramondPro-Italic"/>
          <w:i/>
          <w:iCs/>
          <w:color w:val="000000"/>
          <w:sz w:val="20"/>
          <w:szCs w:val="20"/>
          <w:lang w:val="en-US" w:eastAsia="ja-JP"/>
        </w:rPr>
        <w:t>P.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in areas containing biodiversity assets of high conservation value. These include areas that:</w:t>
      </w:r>
      <w:r w:rsidRPr="007D20DB">
        <w:rPr>
          <w:rFonts w:ascii="AGaramondPro-Italic" w:hAnsi="AGaramondPro-Italic" w:cs="AGaramondPro-Italic"/>
          <w:i/>
          <w:iCs/>
          <w:color w:val="000000"/>
          <w:sz w:val="20"/>
          <w:szCs w:val="20"/>
          <w:lang w:val="en-US" w:eastAsia="ja-JP"/>
        </w:rPr>
        <w:t xml:space="preserve"> </w:t>
      </w:r>
    </w:p>
    <w:p w:rsidR="007D20DB" w:rsidRPr="007D20DB" w:rsidRDefault="007D20DB" w:rsidP="007D20DB">
      <w:pPr>
        <w:widowControl w:val="0"/>
        <w:suppressAutoHyphens/>
        <w:autoSpaceDE w:val="0"/>
        <w:autoSpaceDN w:val="0"/>
        <w:adjustRightInd w:val="0"/>
        <w:spacing w:after="113" w:line="280" w:lineRule="atLeast"/>
        <w:ind w:left="283" w:hanging="283"/>
        <w:textAlignment w:val="center"/>
        <w:rPr>
          <w:rFonts w:ascii="AGaramondPro-Italic" w:hAnsi="AGaramondPro-Italic" w:cs="AGaramondPro-Italic"/>
          <w:i/>
          <w:iCs/>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t xml:space="preserve">contain threatened species or ecological communities susceptible to </w:t>
      </w:r>
      <w:r w:rsidRPr="007D20DB">
        <w:rPr>
          <w:rFonts w:ascii="AGaramondPro-Italic" w:hAnsi="AGaramondPro-Italic" w:cs="AGaramondPro-Italic"/>
          <w:i/>
          <w:iCs/>
          <w:color w:val="000000"/>
          <w:sz w:val="20"/>
          <w:szCs w:val="20"/>
          <w:lang w:val="en-US" w:eastAsia="ja-JP"/>
        </w:rPr>
        <w:t>P. </w:t>
      </w:r>
      <w:proofErr w:type="spellStart"/>
      <w:r w:rsidRPr="007D20DB">
        <w:rPr>
          <w:rFonts w:ascii="AGaramondPro-Italic" w:hAnsi="AGaramondPro-Italic" w:cs="AGaramondPro-Italic"/>
          <w:i/>
          <w:iCs/>
          <w:color w:val="000000"/>
          <w:sz w:val="20"/>
          <w:szCs w:val="20"/>
          <w:lang w:val="en-US" w:eastAsia="ja-JP"/>
        </w:rPr>
        <w:t>cinnamomi</w:t>
      </w:r>
      <w:proofErr w:type="spellEnd"/>
    </w:p>
    <w:p w:rsidR="007D20DB" w:rsidRPr="007D20DB" w:rsidRDefault="007D20DB" w:rsidP="007D20DB">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t xml:space="preserve">contain habitat susceptible to </w:t>
      </w:r>
      <w:r w:rsidRPr="007D20DB">
        <w:rPr>
          <w:rFonts w:ascii="AGaramondPro-Italic" w:hAnsi="AGaramondPro-Italic" w:cs="AGaramondPro-Italic"/>
          <w:i/>
          <w:iCs/>
          <w:color w:val="000000"/>
          <w:sz w:val="20"/>
          <w:szCs w:val="20"/>
          <w:lang w:val="en-US" w:eastAsia="ja-JP"/>
        </w:rPr>
        <w:t>P.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and critical to the survival of threatened fauna.</w:t>
      </w:r>
    </w:p>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Italic" w:hAnsi="AGaramondPro-Italic" w:cs="AGaramondPro-Italic"/>
          <w:i/>
          <w:iCs/>
          <w:color w:val="000000"/>
          <w:sz w:val="20"/>
          <w:szCs w:val="20"/>
          <w:lang w:val="en-US" w:eastAsia="ja-JP"/>
        </w:rPr>
        <w:t>P.</w:t>
      </w:r>
      <w:r w:rsidRPr="007D20DB">
        <w:rPr>
          <w:rFonts w:ascii="AGaramondPro-Regular" w:hAnsi="AGaramondPro-Regular" w:cs="AGaramondPro-Regular"/>
          <w:color w:val="000000"/>
          <w:sz w:val="20"/>
          <w:szCs w:val="20"/>
          <w:rtl/>
          <w:lang w:val="en-US" w:eastAsia="ja-JP" w:bidi="ar-YE"/>
        </w:rPr>
        <w:t>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may cause native species or ecological communities not yet listed under the EPBC Act to become eligible for listing (in any category, other than conservation dependent). This means that it is also important to address the impacts and spread of </w:t>
      </w:r>
      <w:r w:rsidRPr="007D20DB">
        <w:rPr>
          <w:rFonts w:ascii="AGaramondPro-Italic" w:hAnsi="AGaramondPro-Italic" w:cs="AGaramondPro-Italic"/>
          <w:i/>
          <w:iCs/>
          <w:color w:val="000000"/>
          <w:sz w:val="20"/>
          <w:szCs w:val="20"/>
          <w:lang w:val="en-US" w:eastAsia="ja-JP"/>
        </w:rPr>
        <w:t>P.</w:t>
      </w:r>
      <w:r w:rsidRPr="007D20DB">
        <w:rPr>
          <w:rFonts w:ascii="AGaramondPro-Regular" w:hAnsi="AGaramondPro-Regular" w:cs="AGaramondPro-Regular"/>
          <w:color w:val="000000"/>
          <w:sz w:val="20"/>
          <w:szCs w:val="20"/>
          <w:rtl/>
          <w:lang w:val="en-US" w:eastAsia="ja-JP" w:bidi="ar-YE"/>
        </w:rPr>
        <w:t>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in areas that, for example:</w:t>
      </w:r>
    </w:p>
    <w:p w:rsidR="007D20DB" w:rsidRPr="007D20DB" w:rsidRDefault="007D20DB" w:rsidP="007D20DB">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t xml:space="preserve">support high plant species </w:t>
      </w:r>
      <w:proofErr w:type="spellStart"/>
      <w:r w:rsidRPr="007D20DB">
        <w:rPr>
          <w:rFonts w:ascii="AGaramondPro-Regular" w:hAnsi="AGaramondPro-Regular" w:cs="AGaramondPro-Regular"/>
          <w:color w:val="000000"/>
          <w:sz w:val="20"/>
          <w:szCs w:val="20"/>
          <w:lang w:val="en-US" w:eastAsia="ja-JP"/>
        </w:rPr>
        <w:t>endemicity</w:t>
      </w:r>
      <w:proofErr w:type="spellEnd"/>
    </w:p>
    <w:p w:rsidR="007D20DB" w:rsidRPr="007D20DB" w:rsidRDefault="007D20DB" w:rsidP="007D20DB">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t>support high species diversity for a type of vegetation</w:t>
      </w:r>
    </w:p>
    <w:p w:rsidR="007D20DB" w:rsidRPr="007D20DB" w:rsidRDefault="007D20DB" w:rsidP="007D20DB">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t>support significant remnant vegetation as per state or territory criteria</w:t>
      </w:r>
    </w:p>
    <w:p w:rsidR="007D20DB" w:rsidRPr="007D20DB" w:rsidRDefault="007D20DB" w:rsidP="007D20DB">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t>are large, ecologically intact and mostly undisturbed</w:t>
      </w:r>
    </w:p>
    <w:p w:rsidR="007D20DB" w:rsidRPr="007D20DB" w:rsidRDefault="007D20DB" w:rsidP="007D20DB">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r>
      <w:proofErr w:type="gramStart"/>
      <w:r w:rsidRPr="007D20DB">
        <w:rPr>
          <w:rFonts w:ascii="AGaramondPro-Regular" w:hAnsi="AGaramondPro-Regular" w:cs="AGaramondPro-Regular"/>
          <w:color w:val="000000"/>
          <w:sz w:val="20"/>
          <w:szCs w:val="20"/>
          <w:lang w:val="en-US" w:eastAsia="ja-JP"/>
        </w:rPr>
        <w:t>support</w:t>
      </w:r>
      <w:proofErr w:type="gramEnd"/>
      <w:r w:rsidRPr="007D20DB">
        <w:rPr>
          <w:rFonts w:ascii="AGaramondPro-Regular" w:hAnsi="AGaramondPro-Regular" w:cs="AGaramondPro-Regular"/>
          <w:color w:val="000000"/>
          <w:sz w:val="20"/>
          <w:szCs w:val="20"/>
          <w:lang w:val="en-US" w:eastAsia="ja-JP"/>
        </w:rPr>
        <w:t xml:space="preserve"> susceptible species listed as threatened at the state or territory level, but not under the EPBC Act.</w:t>
      </w:r>
    </w:p>
    <w:p w:rsidR="007D20DB" w:rsidRPr="007D20DB" w:rsidRDefault="007D20DB" w:rsidP="00704644">
      <w:pPr>
        <w:pStyle w:val="03HEADING3"/>
      </w:pPr>
      <w:bookmarkStart w:id="13" w:name="_Toc253067281"/>
      <w:r w:rsidRPr="007D20DB">
        <w:t xml:space="preserve">1.4.1 </w:t>
      </w:r>
      <w:r w:rsidRPr="007D20DB">
        <w:tab/>
        <w:t>Minimising the spread</w:t>
      </w:r>
      <w:bookmarkEnd w:id="13"/>
      <w:r w:rsidRPr="007D20DB">
        <w:t xml:space="preserve"> </w:t>
      </w:r>
    </w:p>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Humans can spread </w:t>
      </w:r>
      <w:r w:rsidRPr="007D20DB">
        <w:rPr>
          <w:rFonts w:ascii="AGaramondPro-Italic" w:hAnsi="AGaramondPro-Italic" w:cs="AGaramondPro-Italic"/>
          <w:i/>
          <w:iCs/>
          <w:color w:val="000000"/>
          <w:sz w:val="20"/>
          <w:szCs w:val="20"/>
          <w:lang w:val="en-US" w:eastAsia="ja-JP"/>
        </w:rPr>
        <w:t>P.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further and faster than any other infestation vector. High risk activities for spread include:</w:t>
      </w:r>
    </w:p>
    <w:p w:rsidR="007D20DB" w:rsidRPr="007D20DB" w:rsidRDefault="007D20DB" w:rsidP="007D20DB">
      <w:pPr>
        <w:widowControl w:val="0"/>
        <w:suppressAutoHyphens/>
        <w:autoSpaceDE w:val="0"/>
        <w:autoSpaceDN w:val="0"/>
        <w:adjustRightInd w:val="0"/>
        <w:spacing w:after="170" w:line="280" w:lineRule="atLeast"/>
        <w:ind w:left="283" w:hanging="283"/>
        <w:textAlignment w:val="center"/>
        <w:rPr>
          <w:rFonts w:ascii="AGaramondPro-BoldItalic" w:hAnsi="AGaramondPro-BoldItalic" w:cs="AGaramondPro-BoldItalic"/>
          <w:b/>
          <w:bCs/>
          <w:i/>
          <w:iCs/>
          <w:color w:val="000000"/>
          <w:sz w:val="20"/>
          <w:szCs w:val="20"/>
          <w:lang w:val="en-US" w:eastAsia="ja-JP"/>
        </w:rPr>
      </w:pPr>
      <w:r w:rsidRPr="007D20DB">
        <w:rPr>
          <w:rFonts w:ascii="AGaramondPro-BoldItalic" w:hAnsi="AGaramondPro-BoldItalic" w:cs="AGaramondPro-BoldItalic"/>
          <w:b/>
          <w:bCs/>
          <w:i/>
          <w:iCs/>
          <w:color w:val="000000"/>
          <w:sz w:val="20"/>
          <w:szCs w:val="20"/>
          <w:lang w:val="en-US" w:eastAsia="ja-JP"/>
        </w:rPr>
        <w:t>a)</w:t>
      </w:r>
      <w:r w:rsidRPr="007D20DB">
        <w:rPr>
          <w:rFonts w:ascii="AGaramondPro-BoldItalic" w:hAnsi="AGaramondPro-BoldItalic" w:cs="AGaramondPro-BoldItalic"/>
          <w:b/>
          <w:bCs/>
          <w:i/>
          <w:iCs/>
          <w:color w:val="000000"/>
          <w:sz w:val="20"/>
          <w:szCs w:val="20"/>
          <w:lang w:val="en-US" w:eastAsia="ja-JP"/>
        </w:rPr>
        <w:tab/>
        <w:t>Emergency and land management activities</w:t>
      </w:r>
    </w:p>
    <w:p w:rsidR="007D20DB" w:rsidRPr="007D20DB" w:rsidRDefault="007D20DB" w:rsidP="007D20DB">
      <w:pPr>
        <w:widowControl w:val="0"/>
        <w:suppressAutoHyphens/>
        <w:autoSpaceDE w:val="0"/>
        <w:autoSpaceDN w:val="0"/>
        <w:adjustRightInd w:val="0"/>
        <w:spacing w:after="113" w:line="280" w:lineRule="atLeast"/>
        <w:ind w:left="567"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t>Fire management, including:</w:t>
      </w:r>
    </w:p>
    <w:p w:rsidR="007D20DB" w:rsidRPr="007D20DB" w:rsidRDefault="007D20DB" w:rsidP="007D20DB">
      <w:pPr>
        <w:widowControl w:val="0"/>
        <w:suppressAutoHyphens/>
        <w:autoSpaceDE w:val="0"/>
        <w:autoSpaceDN w:val="0"/>
        <w:adjustRightInd w:val="0"/>
        <w:spacing w:after="113" w:line="280" w:lineRule="atLeast"/>
        <w:ind w:left="850"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 </w:t>
      </w:r>
      <w:r w:rsidRPr="007D20DB">
        <w:rPr>
          <w:rFonts w:ascii="AGaramondPro-Regular" w:hAnsi="AGaramondPro-Regular" w:cs="AGaramondPro-Regular"/>
          <w:color w:val="000000"/>
          <w:sz w:val="20"/>
          <w:szCs w:val="20"/>
          <w:lang w:val="en-US" w:eastAsia="ja-JP"/>
        </w:rPr>
        <w:tab/>
      </w:r>
      <w:proofErr w:type="gramStart"/>
      <w:r w:rsidRPr="007D20DB">
        <w:rPr>
          <w:rFonts w:ascii="AGaramondPro-Regular" w:hAnsi="AGaramondPro-Regular" w:cs="AGaramondPro-Regular"/>
          <w:color w:val="000000"/>
          <w:sz w:val="20"/>
          <w:szCs w:val="20"/>
          <w:lang w:val="en-US" w:eastAsia="ja-JP"/>
        </w:rPr>
        <w:t>emergency</w:t>
      </w:r>
      <w:proofErr w:type="gramEnd"/>
      <w:r w:rsidRPr="007D20DB">
        <w:rPr>
          <w:rFonts w:ascii="AGaramondPro-Regular" w:hAnsi="AGaramondPro-Regular" w:cs="AGaramondPro-Regular"/>
          <w:color w:val="000000"/>
          <w:sz w:val="20"/>
          <w:szCs w:val="20"/>
          <w:lang w:val="en-US" w:eastAsia="ja-JP"/>
        </w:rPr>
        <w:t xml:space="preserve"> firebreak construction</w:t>
      </w:r>
    </w:p>
    <w:p w:rsidR="007D20DB" w:rsidRPr="007D20DB" w:rsidRDefault="007D20DB" w:rsidP="007D20DB">
      <w:pPr>
        <w:widowControl w:val="0"/>
        <w:suppressAutoHyphens/>
        <w:autoSpaceDE w:val="0"/>
        <w:autoSpaceDN w:val="0"/>
        <w:adjustRightInd w:val="0"/>
        <w:spacing w:after="113" w:line="280" w:lineRule="atLeast"/>
        <w:ind w:left="850"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 </w:t>
      </w:r>
      <w:r w:rsidRPr="007D20DB">
        <w:rPr>
          <w:rFonts w:ascii="AGaramondPro-Regular" w:hAnsi="AGaramondPro-Regular" w:cs="AGaramondPro-Regular"/>
          <w:color w:val="000000"/>
          <w:sz w:val="20"/>
          <w:szCs w:val="20"/>
          <w:lang w:val="en-US" w:eastAsia="ja-JP"/>
        </w:rPr>
        <w:tab/>
      </w:r>
      <w:proofErr w:type="gramStart"/>
      <w:r w:rsidRPr="007D20DB">
        <w:rPr>
          <w:rFonts w:ascii="AGaramondPro-Regular" w:hAnsi="AGaramondPro-Regular" w:cs="AGaramondPro-Regular"/>
          <w:color w:val="000000"/>
          <w:sz w:val="20"/>
          <w:szCs w:val="20"/>
          <w:lang w:val="en-US" w:eastAsia="ja-JP"/>
        </w:rPr>
        <w:t>fire</w:t>
      </w:r>
      <w:proofErr w:type="gramEnd"/>
      <w:r w:rsidRPr="007D20DB">
        <w:rPr>
          <w:rFonts w:ascii="AGaramondPro-Regular" w:hAnsi="AGaramondPro-Regular" w:cs="AGaramondPro-Regular"/>
          <w:color w:val="000000"/>
          <w:sz w:val="20"/>
          <w:szCs w:val="20"/>
          <w:lang w:val="en-US" w:eastAsia="ja-JP"/>
        </w:rPr>
        <w:t xml:space="preserve"> fighting using </w:t>
      </w:r>
      <w:r w:rsidRPr="007D20DB">
        <w:rPr>
          <w:rFonts w:ascii="AGaramondPro-Italic" w:hAnsi="AGaramondPro-Italic" w:cs="AGaramondPro-Italic"/>
          <w:i/>
          <w:iCs/>
          <w:color w:val="000000"/>
          <w:sz w:val="20"/>
          <w:szCs w:val="20"/>
          <w:lang w:val="en-US" w:eastAsia="ja-JP"/>
        </w:rPr>
        <w:t>P.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contaminated water and/or equipment</w:t>
      </w:r>
    </w:p>
    <w:p w:rsidR="007D20DB" w:rsidRPr="007D20DB" w:rsidRDefault="007D20DB" w:rsidP="007D20DB">
      <w:pPr>
        <w:widowControl w:val="0"/>
        <w:suppressAutoHyphens/>
        <w:autoSpaceDE w:val="0"/>
        <w:autoSpaceDN w:val="0"/>
        <w:adjustRightInd w:val="0"/>
        <w:spacing w:after="113" w:line="280" w:lineRule="atLeast"/>
        <w:ind w:left="850"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 </w:t>
      </w:r>
      <w:r w:rsidRPr="007D20DB">
        <w:rPr>
          <w:rFonts w:ascii="AGaramondPro-Regular" w:hAnsi="AGaramondPro-Regular" w:cs="AGaramondPro-Regular"/>
          <w:color w:val="000000"/>
          <w:sz w:val="20"/>
          <w:szCs w:val="20"/>
          <w:lang w:val="en-US" w:eastAsia="ja-JP"/>
        </w:rPr>
        <w:tab/>
      </w:r>
      <w:proofErr w:type="gramStart"/>
      <w:r w:rsidRPr="007D20DB">
        <w:rPr>
          <w:rFonts w:ascii="AGaramondPro-Regular" w:hAnsi="AGaramondPro-Regular" w:cs="AGaramondPro-Regular"/>
          <w:color w:val="000000"/>
          <w:sz w:val="20"/>
          <w:szCs w:val="20"/>
          <w:lang w:val="en-US" w:eastAsia="ja-JP"/>
        </w:rPr>
        <w:t>movement</w:t>
      </w:r>
      <w:proofErr w:type="gramEnd"/>
      <w:r w:rsidRPr="007D20DB">
        <w:rPr>
          <w:rFonts w:ascii="AGaramondPro-Regular" w:hAnsi="AGaramondPro-Regular" w:cs="AGaramondPro-Regular"/>
          <w:color w:val="000000"/>
          <w:sz w:val="20"/>
          <w:szCs w:val="20"/>
          <w:lang w:val="en-US" w:eastAsia="ja-JP"/>
        </w:rPr>
        <w:t xml:space="preserve"> of contaminated equipment into uncontaminated areas due to non-compliance with, or careless </w:t>
      </w:r>
      <w:r w:rsidRPr="007D20DB">
        <w:rPr>
          <w:rFonts w:ascii="AGaramondPro-Regular" w:hAnsi="AGaramondPro-Regular" w:cs="AGaramondPro-Regular"/>
          <w:color w:val="000000"/>
          <w:sz w:val="20"/>
          <w:szCs w:val="20"/>
          <w:lang w:val="en-US" w:eastAsia="ja-JP"/>
        </w:rPr>
        <w:lastRenderedPageBreak/>
        <w:t>implementation of, hygiene procedures</w:t>
      </w:r>
    </w:p>
    <w:p w:rsidR="007D20DB" w:rsidRPr="007D20DB" w:rsidRDefault="007D20DB" w:rsidP="007D20DB">
      <w:pPr>
        <w:widowControl w:val="0"/>
        <w:suppressAutoHyphens/>
        <w:autoSpaceDE w:val="0"/>
        <w:autoSpaceDN w:val="0"/>
        <w:adjustRightInd w:val="0"/>
        <w:spacing w:after="113" w:line="280" w:lineRule="atLeast"/>
        <w:ind w:left="567"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t>Flood mitigation works, involving:</w:t>
      </w:r>
    </w:p>
    <w:p w:rsidR="007D20DB" w:rsidRPr="007D20DB" w:rsidRDefault="007D20DB" w:rsidP="007D20DB">
      <w:pPr>
        <w:widowControl w:val="0"/>
        <w:suppressAutoHyphens/>
        <w:autoSpaceDE w:val="0"/>
        <w:autoSpaceDN w:val="0"/>
        <w:adjustRightInd w:val="0"/>
        <w:spacing w:after="113" w:line="280" w:lineRule="atLeast"/>
        <w:ind w:left="850"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 </w:t>
      </w:r>
      <w:r w:rsidRPr="007D20DB">
        <w:rPr>
          <w:rFonts w:ascii="AGaramondPro-Regular" w:hAnsi="AGaramondPro-Regular" w:cs="AGaramondPro-Regular"/>
          <w:color w:val="000000"/>
          <w:sz w:val="20"/>
          <w:szCs w:val="20"/>
          <w:lang w:val="en-US" w:eastAsia="ja-JP"/>
        </w:rPr>
        <w:tab/>
      </w:r>
      <w:proofErr w:type="gramStart"/>
      <w:r w:rsidRPr="007D20DB">
        <w:rPr>
          <w:rFonts w:ascii="AGaramondPro-Regular" w:hAnsi="AGaramondPro-Regular" w:cs="AGaramondPro-Regular"/>
          <w:color w:val="000000"/>
          <w:sz w:val="20"/>
          <w:szCs w:val="20"/>
          <w:lang w:val="en-US" w:eastAsia="ja-JP"/>
        </w:rPr>
        <w:t>movement</w:t>
      </w:r>
      <w:proofErr w:type="gramEnd"/>
      <w:r w:rsidRPr="007D20DB">
        <w:rPr>
          <w:rFonts w:ascii="AGaramondPro-Regular" w:hAnsi="AGaramondPro-Regular" w:cs="AGaramondPro-Regular"/>
          <w:color w:val="000000"/>
          <w:sz w:val="20"/>
          <w:szCs w:val="20"/>
          <w:lang w:val="en-US" w:eastAsia="ja-JP"/>
        </w:rPr>
        <w:t xml:space="preserve"> of contaminated gravel, sand, soil etc.</w:t>
      </w:r>
    </w:p>
    <w:p w:rsidR="007D20DB" w:rsidRPr="007D20DB" w:rsidRDefault="007D20DB" w:rsidP="007D20DB">
      <w:pPr>
        <w:widowControl w:val="0"/>
        <w:suppressAutoHyphens/>
        <w:autoSpaceDE w:val="0"/>
        <w:autoSpaceDN w:val="0"/>
        <w:adjustRightInd w:val="0"/>
        <w:spacing w:after="113" w:line="280" w:lineRule="atLeast"/>
        <w:ind w:left="850"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 </w:t>
      </w:r>
      <w:r w:rsidRPr="007D20DB">
        <w:rPr>
          <w:rFonts w:ascii="AGaramondPro-Regular" w:hAnsi="AGaramondPro-Regular" w:cs="AGaramondPro-Regular"/>
          <w:color w:val="000000"/>
          <w:sz w:val="20"/>
          <w:szCs w:val="20"/>
          <w:lang w:val="en-US" w:eastAsia="ja-JP"/>
        </w:rPr>
        <w:tab/>
      </w:r>
      <w:proofErr w:type="gramStart"/>
      <w:r w:rsidRPr="007D20DB">
        <w:rPr>
          <w:rFonts w:ascii="AGaramondPro-Regular" w:hAnsi="AGaramondPro-Regular" w:cs="AGaramondPro-Regular"/>
          <w:color w:val="000000"/>
          <w:sz w:val="20"/>
          <w:szCs w:val="20"/>
          <w:lang w:val="en-US" w:eastAsia="ja-JP"/>
        </w:rPr>
        <w:t>movement</w:t>
      </w:r>
      <w:proofErr w:type="gramEnd"/>
      <w:r w:rsidRPr="007D20DB">
        <w:rPr>
          <w:rFonts w:ascii="AGaramondPro-Regular" w:hAnsi="AGaramondPro-Regular" w:cs="AGaramondPro-Regular"/>
          <w:color w:val="000000"/>
          <w:sz w:val="20"/>
          <w:szCs w:val="20"/>
          <w:lang w:val="en-US" w:eastAsia="ja-JP"/>
        </w:rPr>
        <w:t xml:space="preserve"> of contaminated equipment</w:t>
      </w:r>
    </w:p>
    <w:p w:rsidR="007D20DB" w:rsidRPr="007D20DB" w:rsidRDefault="007D20DB" w:rsidP="007D20DB">
      <w:pPr>
        <w:widowControl w:val="0"/>
        <w:suppressAutoHyphens/>
        <w:autoSpaceDE w:val="0"/>
        <w:autoSpaceDN w:val="0"/>
        <w:adjustRightInd w:val="0"/>
        <w:spacing w:after="113" w:line="280" w:lineRule="atLeast"/>
        <w:ind w:left="567"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t xml:space="preserve">Use of contaminated nursery material and soil disturbance associated with </w:t>
      </w:r>
      <w:proofErr w:type="spellStart"/>
      <w:r w:rsidRPr="007D20DB">
        <w:rPr>
          <w:rFonts w:ascii="AGaramondPro-Regular" w:hAnsi="AGaramondPro-Regular" w:cs="AGaramondPro-Regular"/>
          <w:color w:val="000000"/>
          <w:sz w:val="20"/>
          <w:szCs w:val="20"/>
          <w:lang w:val="en-US" w:eastAsia="ja-JP"/>
        </w:rPr>
        <w:t>revegetation</w:t>
      </w:r>
      <w:proofErr w:type="spellEnd"/>
      <w:r w:rsidRPr="007D20DB">
        <w:rPr>
          <w:rFonts w:ascii="AGaramondPro-Regular" w:hAnsi="AGaramondPro-Regular" w:cs="AGaramondPro-Regular"/>
          <w:color w:val="000000"/>
          <w:sz w:val="20"/>
          <w:szCs w:val="20"/>
          <w:lang w:val="en-US" w:eastAsia="ja-JP"/>
        </w:rPr>
        <w:t xml:space="preserve"> and restoration activities</w:t>
      </w:r>
    </w:p>
    <w:p w:rsidR="007D20DB" w:rsidRPr="007D20DB" w:rsidRDefault="007D20DB" w:rsidP="007D20DB">
      <w:pPr>
        <w:widowControl w:val="0"/>
        <w:suppressAutoHyphens/>
        <w:autoSpaceDE w:val="0"/>
        <w:autoSpaceDN w:val="0"/>
        <w:adjustRightInd w:val="0"/>
        <w:spacing w:after="170" w:line="280" w:lineRule="atLeast"/>
        <w:ind w:left="567"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t>Weed and feral animal control activities</w:t>
      </w:r>
    </w:p>
    <w:p w:rsidR="007D20DB" w:rsidRPr="007D20DB" w:rsidRDefault="007D20DB" w:rsidP="007D20DB">
      <w:pPr>
        <w:widowControl w:val="0"/>
        <w:suppressAutoHyphens/>
        <w:autoSpaceDE w:val="0"/>
        <w:autoSpaceDN w:val="0"/>
        <w:adjustRightInd w:val="0"/>
        <w:spacing w:after="170" w:line="280" w:lineRule="atLeast"/>
        <w:ind w:left="283" w:hanging="283"/>
        <w:textAlignment w:val="center"/>
        <w:rPr>
          <w:rFonts w:ascii="AGaramondPro-BoldItalic" w:hAnsi="AGaramondPro-BoldItalic" w:cs="AGaramondPro-BoldItalic"/>
          <w:b/>
          <w:bCs/>
          <w:i/>
          <w:iCs/>
          <w:color w:val="000000"/>
          <w:sz w:val="20"/>
          <w:szCs w:val="20"/>
          <w:lang w:val="en-US" w:eastAsia="ja-JP"/>
        </w:rPr>
      </w:pPr>
      <w:r w:rsidRPr="007D20DB">
        <w:rPr>
          <w:rFonts w:ascii="AGaramondPro-BoldItalic" w:hAnsi="AGaramondPro-BoldItalic" w:cs="AGaramondPro-BoldItalic"/>
          <w:b/>
          <w:bCs/>
          <w:i/>
          <w:iCs/>
          <w:color w:val="000000"/>
          <w:sz w:val="20"/>
          <w:szCs w:val="20"/>
          <w:lang w:val="en-US" w:eastAsia="ja-JP"/>
        </w:rPr>
        <w:t xml:space="preserve">b) </w:t>
      </w:r>
      <w:r w:rsidRPr="007D20DB">
        <w:rPr>
          <w:rFonts w:ascii="AGaramondPro-BoldItalic" w:hAnsi="AGaramondPro-BoldItalic" w:cs="AGaramondPro-BoldItalic"/>
          <w:b/>
          <w:bCs/>
          <w:i/>
          <w:iCs/>
          <w:color w:val="000000"/>
          <w:sz w:val="20"/>
          <w:szCs w:val="20"/>
          <w:lang w:val="en-US" w:eastAsia="ja-JP"/>
        </w:rPr>
        <w:tab/>
        <w:t>Recreational activities</w:t>
      </w:r>
    </w:p>
    <w:p w:rsidR="007D20DB" w:rsidRPr="007D20DB" w:rsidRDefault="007D20DB" w:rsidP="00162EA4">
      <w:pPr>
        <w:widowControl w:val="0"/>
        <w:suppressAutoHyphens/>
        <w:autoSpaceDE w:val="0"/>
        <w:autoSpaceDN w:val="0"/>
        <w:adjustRightInd w:val="0"/>
        <w:spacing w:after="80" w:line="280" w:lineRule="atLeast"/>
        <w:ind w:left="568" w:hanging="284"/>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t>Camping</w:t>
      </w:r>
    </w:p>
    <w:p w:rsidR="007D20DB" w:rsidRPr="007D20DB" w:rsidRDefault="007D20DB" w:rsidP="00162EA4">
      <w:pPr>
        <w:widowControl w:val="0"/>
        <w:suppressAutoHyphens/>
        <w:autoSpaceDE w:val="0"/>
        <w:autoSpaceDN w:val="0"/>
        <w:adjustRightInd w:val="0"/>
        <w:spacing w:after="80" w:line="280" w:lineRule="atLeast"/>
        <w:ind w:left="568" w:hanging="284"/>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t xml:space="preserve">Bushwalking, </w:t>
      </w:r>
      <w:proofErr w:type="spellStart"/>
      <w:r w:rsidRPr="007D20DB">
        <w:rPr>
          <w:rFonts w:ascii="AGaramondPro-Regular" w:hAnsi="AGaramondPro-Regular" w:cs="AGaramondPro-Regular"/>
          <w:color w:val="000000"/>
          <w:sz w:val="20"/>
          <w:szCs w:val="20"/>
          <w:lang w:val="en-US" w:eastAsia="ja-JP"/>
        </w:rPr>
        <w:t>geocaching</w:t>
      </w:r>
      <w:proofErr w:type="spellEnd"/>
      <w:r w:rsidRPr="007D20DB">
        <w:rPr>
          <w:rFonts w:ascii="AGaramondPro-Regular" w:hAnsi="AGaramondPro-Regular" w:cs="AGaramondPro-Regular"/>
          <w:color w:val="000000"/>
          <w:sz w:val="20"/>
          <w:szCs w:val="20"/>
          <w:lang w:val="en-US" w:eastAsia="ja-JP"/>
        </w:rPr>
        <w:t xml:space="preserve">, </w:t>
      </w:r>
      <w:proofErr w:type="spellStart"/>
      <w:r w:rsidRPr="007D20DB">
        <w:rPr>
          <w:rFonts w:ascii="AGaramondPro-Regular" w:hAnsi="AGaramondPro-Regular" w:cs="AGaramondPro-Regular"/>
          <w:color w:val="000000"/>
          <w:sz w:val="20"/>
          <w:szCs w:val="20"/>
          <w:lang w:val="en-US" w:eastAsia="ja-JP"/>
        </w:rPr>
        <w:t>rogaining</w:t>
      </w:r>
      <w:proofErr w:type="spellEnd"/>
      <w:r w:rsidRPr="007D20DB">
        <w:rPr>
          <w:rFonts w:ascii="AGaramondPro-Regular" w:hAnsi="AGaramondPro-Regular" w:cs="AGaramondPro-Regular"/>
          <w:color w:val="000000"/>
          <w:sz w:val="20"/>
          <w:szCs w:val="20"/>
          <w:lang w:val="en-US" w:eastAsia="ja-JP"/>
        </w:rPr>
        <w:t>, orienteering</w:t>
      </w:r>
    </w:p>
    <w:p w:rsidR="007D20DB" w:rsidRPr="007D20DB" w:rsidRDefault="007D20DB" w:rsidP="00162EA4">
      <w:pPr>
        <w:widowControl w:val="0"/>
        <w:suppressAutoHyphens/>
        <w:autoSpaceDE w:val="0"/>
        <w:autoSpaceDN w:val="0"/>
        <w:adjustRightInd w:val="0"/>
        <w:spacing w:after="80" w:line="280" w:lineRule="atLeast"/>
        <w:ind w:left="568" w:hanging="284"/>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t xml:space="preserve">Fishing and </w:t>
      </w:r>
      <w:proofErr w:type="spellStart"/>
      <w:r w:rsidRPr="007D20DB">
        <w:rPr>
          <w:rFonts w:ascii="AGaramondPro-Regular" w:hAnsi="AGaramondPro-Regular" w:cs="AGaramondPro-Regular"/>
          <w:color w:val="000000"/>
          <w:sz w:val="20"/>
          <w:szCs w:val="20"/>
          <w:lang w:val="en-US" w:eastAsia="ja-JP"/>
        </w:rPr>
        <w:t>marroning</w:t>
      </w:r>
      <w:proofErr w:type="spellEnd"/>
      <w:r w:rsidRPr="007D20DB">
        <w:rPr>
          <w:rFonts w:ascii="AGaramondPro-Regular" w:hAnsi="AGaramondPro-Regular" w:cs="AGaramondPro-Regular"/>
          <w:color w:val="000000"/>
          <w:sz w:val="20"/>
          <w:szCs w:val="20"/>
          <w:lang w:val="en-US" w:eastAsia="ja-JP"/>
        </w:rPr>
        <w:t>/</w:t>
      </w:r>
      <w:proofErr w:type="spellStart"/>
      <w:r w:rsidRPr="007D20DB">
        <w:rPr>
          <w:rFonts w:ascii="AGaramondPro-Regular" w:hAnsi="AGaramondPro-Regular" w:cs="AGaramondPro-Regular"/>
          <w:color w:val="000000"/>
          <w:sz w:val="20"/>
          <w:szCs w:val="20"/>
          <w:lang w:val="en-US" w:eastAsia="ja-JP"/>
        </w:rPr>
        <w:t>yabbying</w:t>
      </w:r>
      <w:proofErr w:type="spellEnd"/>
    </w:p>
    <w:p w:rsidR="007D20DB" w:rsidRPr="007D20DB" w:rsidRDefault="007D20DB" w:rsidP="00162EA4">
      <w:pPr>
        <w:widowControl w:val="0"/>
        <w:suppressAutoHyphens/>
        <w:autoSpaceDE w:val="0"/>
        <w:autoSpaceDN w:val="0"/>
        <w:adjustRightInd w:val="0"/>
        <w:spacing w:after="80" w:line="280" w:lineRule="atLeast"/>
        <w:ind w:left="568" w:hanging="284"/>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t>Mountain bike riding</w:t>
      </w:r>
    </w:p>
    <w:p w:rsidR="007D20DB" w:rsidRPr="007D20DB" w:rsidRDefault="007D20DB" w:rsidP="00162EA4">
      <w:pPr>
        <w:widowControl w:val="0"/>
        <w:suppressAutoHyphens/>
        <w:autoSpaceDE w:val="0"/>
        <w:autoSpaceDN w:val="0"/>
        <w:adjustRightInd w:val="0"/>
        <w:spacing w:after="80" w:line="280" w:lineRule="atLeast"/>
        <w:ind w:left="568" w:hanging="284"/>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t>Horse riding</w:t>
      </w:r>
    </w:p>
    <w:p w:rsidR="007D20DB" w:rsidRPr="007D20DB" w:rsidRDefault="007D20DB" w:rsidP="00162EA4">
      <w:pPr>
        <w:widowControl w:val="0"/>
        <w:suppressAutoHyphens/>
        <w:autoSpaceDE w:val="0"/>
        <w:autoSpaceDN w:val="0"/>
        <w:adjustRightInd w:val="0"/>
        <w:spacing w:after="80" w:line="280" w:lineRule="atLeast"/>
        <w:ind w:left="568" w:hanging="284"/>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t>Recreational vehicles (for example motor bikes, quad bikes, four wheel drives).</w:t>
      </w:r>
    </w:p>
    <w:p w:rsidR="007D20DB" w:rsidRPr="007D20DB" w:rsidRDefault="007D20DB" w:rsidP="00162EA4">
      <w:pPr>
        <w:widowControl w:val="0"/>
        <w:suppressAutoHyphens/>
        <w:autoSpaceDE w:val="0"/>
        <w:autoSpaceDN w:val="0"/>
        <w:adjustRightInd w:val="0"/>
        <w:spacing w:after="80" w:line="280" w:lineRule="atLeast"/>
        <w:ind w:left="568" w:hanging="284"/>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t>Trail biking</w:t>
      </w:r>
    </w:p>
    <w:p w:rsidR="007D20DB" w:rsidRPr="007D20DB" w:rsidRDefault="007D20DB" w:rsidP="007D20DB">
      <w:pPr>
        <w:widowControl w:val="0"/>
        <w:suppressAutoHyphens/>
        <w:autoSpaceDE w:val="0"/>
        <w:autoSpaceDN w:val="0"/>
        <w:adjustRightInd w:val="0"/>
        <w:spacing w:after="170" w:line="280" w:lineRule="atLeast"/>
        <w:ind w:left="567"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t>Hunting</w:t>
      </w:r>
    </w:p>
    <w:p w:rsidR="007D20DB" w:rsidRPr="007D20DB" w:rsidRDefault="007D20DB" w:rsidP="007D20DB">
      <w:pPr>
        <w:widowControl w:val="0"/>
        <w:suppressAutoHyphens/>
        <w:autoSpaceDE w:val="0"/>
        <w:autoSpaceDN w:val="0"/>
        <w:adjustRightInd w:val="0"/>
        <w:spacing w:after="170" w:line="280" w:lineRule="atLeast"/>
        <w:ind w:left="283" w:hanging="283"/>
        <w:textAlignment w:val="center"/>
        <w:rPr>
          <w:rFonts w:ascii="AGaramondPro-BoldItalic" w:hAnsi="AGaramondPro-BoldItalic" w:cs="AGaramondPro-BoldItalic"/>
          <w:b/>
          <w:bCs/>
          <w:i/>
          <w:iCs/>
          <w:color w:val="000000"/>
          <w:sz w:val="20"/>
          <w:szCs w:val="20"/>
          <w:lang w:val="en-US" w:eastAsia="ja-JP"/>
        </w:rPr>
      </w:pPr>
      <w:r w:rsidRPr="007D20DB">
        <w:rPr>
          <w:rFonts w:ascii="AGaramondPro-BoldItalic" w:hAnsi="AGaramondPro-BoldItalic" w:cs="AGaramondPro-BoldItalic"/>
          <w:b/>
          <w:bCs/>
          <w:i/>
          <w:iCs/>
          <w:color w:val="000000"/>
          <w:sz w:val="20"/>
          <w:szCs w:val="20"/>
          <w:lang w:val="en-US" w:eastAsia="ja-JP"/>
        </w:rPr>
        <w:t xml:space="preserve">c) </w:t>
      </w:r>
      <w:r w:rsidRPr="007D20DB">
        <w:rPr>
          <w:rFonts w:ascii="AGaramondPro-BoldItalic" w:hAnsi="AGaramondPro-BoldItalic" w:cs="AGaramondPro-BoldItalic"/>
          <w:b/>
          <w:bCs/>
          <w:i/>
          <w:iCs/>
          <w:color w:val="000000"/>
          <w:sz w:val="20"/>
          <w:szCs w:val="20"/>
          <w:lang w:val="en-US" w:eastAsia="ja-JP"/>
        </w:rPr>
        <w:tab/>
        <w:t>Commercial and other activities</w:t>
      </w:r>
    </w:p>
    <w:p w:rsidR="007D20DB" w:rsidRPr="007D20DB" w:rsidRDefault="007D20DB" w:rsidP="00162EA4">
      <w:pPr>
        <w:widowControl w:val="0"/>
        <w:suppressAutoHyphens/>
        <w:autoSpaceDE w:val="0"/>
        <w:autoSpaceDN w:val="0"/>
        <w:adjustRightInd w:val="0"/>
        <w:spacing w:after="80" w:line="280" w:lineRule="atLeast"/>
        <w:ind w:left="568" w:hanging="284"/>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t>Environmental/ecological surveys or research activities (for example flora, fauna, vegetation mapping, geological surveying)</w:t>
      </w:r>
    </w:p>
    <w:p w:rsidR="007D20DB" w:rsidRPr="007D20DB" w:rsidRDefault="007D20DB" w:rsidP="00162EA4">
      <w:pPr>
        <w:widowControl w:val="0"/>
        <w:suppressAutoHyphens/>
        <w:autoSpaceDE w:val="0"/>
        <w:autoSpaceDN w:val="0"/>
        <w:adjustRightInd w:val="0"/>
        <w:spacing w:after="80" w:line="280" w:lineRule="atLeast"/>
        <w:ind w:left="568" w:hanging="284"/>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t>Tourism, particularly ecotourism</w:t>
      </w:r>
    </w:p>
    <w:p w:rsidR="007D20DB" w:rsidRPr="007D20DB" w:rsidRDefault="007D20DB" w:rsidP="00162EA4">
      <w:pPr>
        <w:widowControl w:val="0"/>
        <w:suppressAutoHyphens/>
        <w:autoSpaceDE w:val="0"/>
        <w:autoSpaceDN w:val="0"/>
        <w:adjustRightInd w:val="0"/>
        <w:spacing w:after="80" w:line="280" w:lineRule="atLeast"/>
        <w:ind w:left="568" w:hanging="284"/>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t>Timber and wild flora harvesting</w:t>
      </w:r>
    </w:p>
    <w:p w:rsidR="007D20DB" w:rsidRPr="007D20DB" w:rsidRDefault="007D20DB" w:rsidP="00162EA4">
      <w:pPr>
        <w:widowControl w:val="0"/>
        <w:suppressAutoHyphens/>
        <w:autoSpaceDE w:val="0"/>
        <w:autoSpaceDN w:val="0"/>
        <w:adjustRightInd w:val="0"/>
        <w:spacing w:after="80" w:line="280" w:lineRule="atLeast"/>
        <w:ind w:left="568" w:hanging="284"/>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r>
      <w:proofErr w:type="spellStart"/>
      <w:r w:rsidRPr="007D20DB">
        <w:rPr>
          <w:rFonts w:ascii="AGaramondPro-Regular" w:hAnsi="AGaramondPro-Regular" w:cs="AGaramondPro-Regular"/>
          <w:color w:val="000000"/>
          <w:sz w:val="20"/>
          <w:szCs w:val="20"/>
          <w:lang w:val="en-US" w:eastAsia="ja-JP"/>
        </w:rPr>
        <w:t>Defence</w:t>
      </w:r>
      <w:proofErr w:type="spellEnd"/>
      <w:r w:rsidRPr="007D20DB">
        <w:rPr>
          <w:rFonts w:ascii="AGaramondPro-Regular" w:hAnsi="AGaramondPro-Regular" w:cs="AGaramondPro-Regular"/>
          <w:color w:val="000000"/>
          <w:sz w:val="20"/>
          <w:szCs w:val="20"/>
          <w:lang w:val="en-US" w:eastAsia="ja-JP"/>
        </w:rPr>
        <w:t xml:space="preserve"> Force training</w:t>
      </w:r>
    </w:p>
    <w:p w:rsidR="007D20DB" w:rsidRPr="007D20DB" w:rsidRDefault="007D20DB" w:rsidP="00162EA4">
      <w:pPr>
        <w:widowControl w:val="0"/>
        <w:suppressAutoHyphens/>
        <w:autoSpaceDE w:val="0"/>
        <w:autoSpaceDN w:val="0"/>
        <w:adjustRightInd w:val="0"/>
        <w:spacing w:after="80" w:line="280" w:lineRule="atLeast"/>
        <w:ind w:left="568" w:hanging="284"/>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t>Mining exploration and mining</w:t>
      </w:r>
    </w:p>
    <w:p w:rsidR="007D20DB" w:rsidRPr="007D20DB" w:rsidRDefault="007D20DB" w:rsidP="00162EA4">
      <w:pPr>
        <w:widowControl w:val="0"/>
        <w:suppressAutoHyphens/>
        <w:autoSpaceDE w:val="0"/>
        <w:autoSpaceDN w:val="0"/>
        <w:adjustRightInd w:val="0"/>
        <w:spacing w:after="80" w:line="280" w:lineRule="atLeast"/>
        <w:ind w:left="568" w:hanging="284"/>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t>Seed collecting</w:t>
      </w:r>
    </w:p>
    <w:p w:rsidR="007D20DB" w:rsidRPr="007D20DB" w:rsidRDefault="007D20DB" w:rsidP="00162EA4">
      <w:pPr>
        <w:widowControl w:val="0"/>
        <w:suppressAutoHyphens/>
        <w:autoSpaceDE w:val="0"/>
        <w:autoSpaceDN w:val="0"/>
        <w:adjustRightInd w:val="0"/>
        <w:spacing w:after="80" w:line="280" w:lineRule="atLeast"/>
        <w:ind w:left="568" w:hanging="284"/>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t>Soil and gravel extraction</w:t>
      </w:r>
    </w:p>
    <w:p w:rsidR="007D20DB" w:rsidRPr="007D20DB" w:rsidRDefault="007D20DB" w:rsidP="00162EA4">
      <w:pPr>
        <w:widowControl w:val="0"/>
        <w:suppressAutoHyphens/>
        <w:autoSpaceDE w:val="0"/>
        <w:autoSpaceDN w:val="0"/>
        <w:adjustRightInd w:val="0"/>
        <w:spacing w:after="80" w:line="280" w:lineRule="atLeast"/>
        <w:ind w:left="568" w:hanging="284"/>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t>Firewood cutting</w:t>
      </w:r>
    </w:p>
    <w:p w:rsidR="007D20DB" w:rsidRPr="007D20DB" w:rsidRDefault="007D20DB" w:rsidP="00162EA4">
      <w:pPr>
        <w:widowControl w:val="0"/>
        <w:suppressAutoHyphens/>
        <w:autoSpaceDE w:val="0"/>
        <w:autoSpaceDN w:val="0"/>
        <w:adjustRightInd w:val="0"/>
        <w:spacing w:after="80" w:line="280" w:lineRule="atLeast"/>
        <w:ind w:left="568" w:hanging="284"/>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t xml:space="preserve">Apiculture (beekeeping) </w:t>
      </w:r>
    </w:p>
    <w:p w:rsidR="007D20DB" w:rsidRPr="007D20DB" w:rsidRDefault="007D20DB" w:rsidP="00162EA4">
      <w:pPr>
        <w:widowControl w:val="0"/>
        <w:suppressAutoHyphens/>
        <w:autoSpaceDE w:val="0"/>
        <w:autoSpaceDN w:val="0"/>
        <w:adjustRightInd w:val="0"/>
        <w:spacing w:after="80" w:line="280" w:lineRule="atLeast"/>
        <w:ind w:left="568" w:hanging="284"/>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t>Road construction (widening, realignment, maintenance)</w:t>
      </w:r>
    </w:p>
    <w:p w:rsidR="007D20DB" w:rsidRPr="007D20DB" w:rsidRDefault="007D20DB" w:rsidP="00162EA4">
      <w:pPr>
        <w:widowControl w:val="0"/>
        <w:suppressAutoHyphens/>
        <w:autoSpaceDE w:val="0"/>
        <w:autoSpaceDN w:val="0"/>
        <w:adjustRightInd w:val="0"/>
        <w:spacing w:after="80" w:line="280" w:lineRule="atLeast"/>
        <w:ind w:left="568" w:hanging="284"/>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t>Maintenance of recreational tracks and walking trails</w:t>
      </w:r>
    </w:p>
    <w:p w:rsidR="007D20DB" w:rsidRPr="007D20DB" w:rsidRDefault="007D20DB" w:rsidP="00162EA4">
      <w:pPr>
        <w:widowControl w:val="0"/>
        <w:suppressAutoHyphens/>
        <w:autoSpaceDE w:val="0"/>
        <w:autoSpaceDN w:val="0"/>
        <w:adjustRightInd w:val="0"/>
        <w:spacing w:after="80" w:line="280" w:lineRule="atLeast"/>
        <w:ind w:left="568" w:hanging="284"/>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t xml:space="preserve">Construction of straight line infrastructure (for example </w:t>
      </w:r>
      <w:proofErr w:type="spellStart"/>
      <w:r w:rsidRPr="007D20DB">
        <w:rPr>
          <w:rFonts w:ascii="AGaramondPro-Regular" w:hAnsi="AGaramondPro-Regular" w:cs="AGaramondPro-Regular"/>
          <w:color w:val="000000"/>
          <w:sz w:val="20"/>
          <w:szCs w:val="20"/>
          <w:lang w:val="en-US" w:eastAsia="ja-JP"/>
        </w:rPr>
        <w:t>powerlines</w:t>
      </w:r>
      <w:proofErr w:type="spellEnd"/>
      <w:r w:rsidRPr="007D20DB">
        <w:rPr>
          <w:rFonts w:ascii="AGaramondPro-Regular" w:hAnsi="AGaramondPro-Regular" w:cs="AGaramondPro-Regular"/>
          <w:color w:val="000000"/>
          <w:sz w:val="20"/>
          <w:szCs w:val="20"/>
          <w:lang w:val="en-US" w:eastAsia="ja-JP"/>
        </w:rPr>
        <w:t xml:space="preserve"> and telecommunication structures)</w:t>
      </w:r>
    </w:p>
    <w:p w:rsidR="007D20DB" w:rsidRPr="007D20DB" w:rsidRDefault="007D20DB" w:rsidP="00162EA4">
      <w:pPr>
        <w:widowControl w:val="0"/>
        <w:suppressAutoHyphens/>
        <w:autoSpaceDE w:val="0"/>
        <w:autoSpaceDN w:val="0"/>
        <w:adjustRightInd w:val="0"/>
        <w:spacing w:after="40" w:line="280" w:lineRule="atLeast"/>
        <w:ind w:left="568" w:hanging="284"/>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t>Propagation and distribution of infected plants, soil and mulch for commercial purposes (for example nursery and gardening industries)</w:t>
      </w:r>
    </w:p>
    <w:p w:rsidR="003B38AC" w:rsidRDefault="003B38AC"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The limited management options available focus on modifying human activities by education, restricting access to certain sites, and, when access is necessary, deploying and enforcing hygiene procedures to </w:t>
      </w:r>
      <w:proofErr w:type="spellStart"/>
      <w:r w:rsidRPr="007D20DB">
        <w:rPr>
          <w:rFonts w:ascii="AGaramondPro-Regular" w:hAnsi="AGaramondPro-Regular" w:cs="AGaramondPro-Regular"/>
          <w:color w:val="000000"/>
          <w:sz w:val="20"/>
          <w:szCs w:val="20"/>
          <w:lang w:val="en-US" w:eastAsia="ja-JP"/>
        </w:rPr>
        <w:t>minimise</w:t>
      </w:r>
      <w:proofErr w:type="spellEnd"/>
      <w:r w:rsidRPr="007D20DB">
        <w:rPr>
          <w:rFonts w:ascii="AGaramondPro-Regular" w:hAnsi="AGaramondPro-Regular" w:cs="AGaramondPro-Regular"/>
          <w:color w:val="000000"/>
          <w:sz w:val="20"/>
          <w:szCs w:val="20"/>
          <w:lang w:val="en-US" w:eastAsia="ja-JP"/>
        </w:rPr>
        <w:t xml:space="preserve"> the spread of </w:t>
      </w:r>
      <w:r w:rsidRPr="007D20DB">
        <w:rPr>
          <w:rFonts w:ascii="AGaramondPro-Italic" w:hAnsi="AGaramondPro-Italic" w:cs="AGaramondPro-Italic"/>
          <w:i/>
          <w:iCs/>
          <w:color w:val="000000"/>
          <w:sz w:val="20"/>
          <w:szCs w:val="20"/>
          <w:lang w:val="en-US" w:eastAsia="ja-JP"/>
        </w:rPr>
        <w:t>P.</w:t>
      </w:r>
      <w:r w:rsidRPr="007D20DB">
        <w:rPr>
          <w:rFonts w:ascii="AGaramondPro-Regular" w:hAnsi="AGaramondPro-Regular" w:cs="AGaramondPro-Regular"/>
          <w:color w:val="000000"/>
          <w:sz w:val="20"/>
          <w:szCs w:val="20"/>
          <w:rtl/>
          <w:lang w:val="en-US" w:eastAsia="ja-JP" w:bidi="ar-YE"/>
        </w:rPr>
        <w:t>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in the landscape. </w:t>
      </w:r>
    </w:p>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State government agencies have developed documents detailing hygiene methodologies for work and recreation in and around </w:t>
      </w:r>
      <w:r w:rsidRPr="007D20DB">
        <w:rPr>
          <w:rFonts w:ascii="AGaramondPro-Italic" w:hAnsi="AGaramondPro-Italic" w:cs="AGaramondPro-Italic"/>
          <w:i/>
          <w:iCs/>
          <w:color w:val="000000"/>
          <w:sz w:val="20"/>
          <w:szCs w:val="20"/>
          <w:lang w:val="en-US" w:eastAsia="ja-JP"/>
        </w:rPr>
        <w:t>P.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management areas. In addition, the Dieback Working Group (Western Australia) has produced </w:t>
      </w:r>
      <w:r w:rsidRPr="007D20DB">
        <w:rPr>
          <w:rFonts w:ascii="AGaramondPro-Italic" w:hAnsi="AGaramondPro-Italic" w:cs="AGaramondPro-Italic"/>
          <w:i/>
          <w:iCs/>
          <w:color w:val="000000"/>
          <w:sz w:val="20"/>
          <w:szCs w:val="20"/>
          <w:lang w:val="en-US" w:eastAsia="ja-JP"/>
        </w:rPr>
        <w:t xml:space="preserve">Managing </w:t>
      </w:r>
      <w:proofErr w:type="spellStart"/>
      <w:r w:rsidRPr="007D20DB">
        <w:rPr>
          <w:rFonts w:ascii="AGaramondPro-Italic" w:hAnsi="AGaramondPro-Italic" w:cs="AGaramondPro-Italic"/>
          <w:i/>
          <w:iCs/>
          <w:color w:val="000000"/>
          <w:sz w:val="20"/>
          <w:szCs w:val="20"/>
          <w:lang w:val="en-US" w:eastAsia="ja-JP"/>
        </w:rPr>
        <w:t>Phytophthora</w:t>
      </w:r>
      <w:proofErr w:type="spellEnd"/>
      <w:r w:rsidRPr="007D20DB">
        <w:rPr>
          <w:rFonts w:ascii="AGaramondPro-Italic" w:hAnsi="AGaramondPro-Italic" w:cs="AGaramondPro-Italic"/>
          <w:i/>
          <w:iCs/>
          <w:color w:val="000000"/>
          <w:sz w:val="20"/>
          <w:szCs w:val="20"/>
          <w:lang w:val="en-US" w:eastAsia="ja-JP"/>
        </w:rPr>
        <w:t xml:space="preserve"> dieback in </w:t>
      </w:r>
      <w:proofErr w:type="spellStart"/>
      <w:r w:rsidRPr="007D20DB">
        <w:rPr>
          <w:rFonts w:ascii="AGaramondPro-Italic" w:hAnsi="AGaramondPro-Italic" w:cs="AGaramondPro-Italic"/>
          <w:i/>
          <w:iCs/>
          <w:color w:val="000000"/>
          <w:sz w:val="20"/>
          <w:szCs w:val="20"/>
          <w:lang w:val="en-US" w:eastAsia="ja-JP"/>
        </w:rPr>
        <w:t>bushland</w:t>
      </w:r>
      <w:proofErr w:type="spellEnd"/>
      <w:r w:rsidRPr="007D20DB">
        <w:rPr>
          <w:rFonts w:ascii="AGaramondPro-Italic" w:hAnsi="AGaramondPro-Italic" w:cs="AGaramondPro-Italic"/>
          <w:i/>
          <w:iCs/>
          <w:color w:val="000000"/>
          <w:sz w:val="20"/>
          <w:szCs w:val="20"/>
          <w:lang w:val="en-US" w:eastAsia="ja-JP"/>
        </w:rPr>
        <w:t xml:space="preserve">—a guide for landholders and community conservation groups (2008) </w:t>
      </w:r>
      <w:r w:rsidRPr="007D20DB">
        <w:rPr>
          <w:rFonts w:ascii="AGaramondPro-Regular" w:hAnsi="AGaramondPro-Regular" w:cs="AGaramondPro-Regular"/>
          <w:color w:val="000000"/>
          <w:sz w:val="20"/>
          <w:szCs w:val="20"/>
          <w:lang w:val="en-US" w:eastAsia="ja-JP"/>
        </w:rPr>
        <w:t xml:space="preserve">and NRM South (Tasmania) has published </w:t>
      </w:r>
      <w:r w:rsidRPr="007D20DB">
        <w:rPr>
          <w:rFonts w:ascii="AGaramondPro-Italic" w:hAnsi="AGaramondPro-Italic" w:cs="AGaramondPro-Italic"/>
          <w:i/>
          <w:iCs/>
          <w:color w:val="000000"/>
          <w:sz w:val="20"/>
          <w:szCs w:val="20"/>
          <w:lang w:val="en-US" w:eastAsia="ja-JP"/>
        </w:rPr>
        <w:t>Keeping it Clean</w:t>
      </w:r>
      <w:r w:rsidRPr="007D20DB">
        <w:rPr>
          <w:rFonts w:ascii="AGaramondPro-Regular" w:hAnsi="AGaramondPro-Regular" w:cs="AGaramondPro-Regular"/>
          <w:color w:val="000000"/>
          <w:sz w:val="20"/>
          <w:szCs w:val="20"/>
          <w:lang w:val="en-US" w:eastAsia="ja-JP"/>
        </w:rPr>
        <w:t xml:space="preserve"> (Allan and </w:t>
      </w:r>
      <w:proofErr w:type="spellStart"/>
      <w:r w:rsidRPr="007D20DB">
        <w:rPr>
          <w:rFonts w:ascii="AGaramondPro-Regular" w:hAnsi="AGaramondPro-Regular" w:cs="AGaramondPro-Regular"/>
          <w:color w:val="000000"/>
          <w:sz w:val="20"/>
          <w:szCs w:val="20"/>
          <w:lang w:val="en-US" w:eastAsia="ja-JP"/>
        </w:rPr>
        <w:t>Gartenstein</w:t>
      </w:r>
      <w:proofErr w:type="spellEnd"/>
      <w:r w:rsidRPr="007D20DB">
        <w:rPr>
          <w:rFonts w:ascii="AGaramondPro-Regular" w:hAnsi="AGaramondPro-Regular" w:cs="AGaramondPro-Regular"/>
          <w:color w:val="000000"/>
          <w:sz w:val="20"/>
          <w:szCs w:val="20"/>
          <w:lang w:val="en-US" w:eastAsia="ja-JP"/>
        </w:rPr>
        <w:t>, 2010). These methodologies are applicable nationally.</w:t>
      </w:r>
    </w:p>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lastRenderedPageBreak/>
        <w:t xml:space="preserve">Leave No Trace Australia (www.LNT.org.au) is a national and international minimal impact education program for the recreation, tourism, outdoor education, and land and sea management sectors that focuses on </w:t>
      </w:r>
      <w:proofErr w:type="spellStart"/>
      <w:r w:rsidRPr="007D20DB">
        <w:rPr>
          <w:rFonts w:ascii="AGaramondPro-Regular" w:hAnsi="AGaramondPro-Regular" w:cs="AGaramondPro-Regular"/>
          <w:color w:val="000000"/>
          <w:sz w:val="20"/>
          <w:szCs w:val="20"/>
          <w:lang w:val="en-US" w:eastAsia="ja-JP"/>
        </w:rPr>
        <w:t>biosecurity</w:t>
      </w:r>
      <w:proofErr w:type="spellEnd"/>
      <w:r w:rsidRPr="007D20DB">
        <w:rPr>
          <w:rFonts w:ascii="AGaramondPro-Regular" w:hAnsi="AGaramondPro-Regular" w:cs="AGaramondPro-Regular"/>
          <w:color w:val="000000"/>
          <w:sz w:val="20"/>
          <w:szCs w:val="20"/>
          <w:lang w:val="en-US" w:eastAsia="ja-JP"/>
        </w:rPr>
        <w:t xml:space="preserve"> as one of its strategic awareness outcomes, including </w:t>
      </w:r>
      <w:proofErr w:type="spellStart"/>
      <w:r w:rsidRPr="007D20DB">
        <w:rPr>
          <w:rFonts w:ascii="AGaramondPro-Italic" w:hAnsi="AGaramondPro-Italic" w:cs="AGaramondPro-Italic"/>
          <w:i/>
          <w:iCs/>
          <w:color w:val="000000"/>
          <w:sz w:val="20"/>
          <w:szCs w:val="20"/>
          <w:lang w:val="en-US" w:eastAsia="ja-JP"/>
        </w:rPr>
        <w:t>Phytophthora</w:t>
      </w:r>
      <w:proofErr w:type="spellEnd"/>
      <w:r w:rsidRPr="007D20DB">
        <w:rPr>
          <w:rFonts w:ascii="AGaramondPro-Regular" w:hAnsi="AGaramondPro-Regular" w:cs="AGaramondPro-Regular"/>
          <w:color w:val="000000"/>
          <w:sz w:val="20"/>
          <w:szCs w:val="20"/>
          <w:lang w:val="en-US" w:eastAsia="ja-JP"/>
        </w:rPr>
        <w:t xml:space="preserve"> dieback awareness. Working with partners at a state, national, and international level across government, non-government and industry sectors, the Leave No Trace program is delivered as a community and formal education program that seeks to raise awareness of natural and cultural heritage values and the appropriate practices to mitigate the threats to those values.</w:t>
      </w:r>
    </w:p>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States have prepared useful approaches for training and awareness-raising directed at reducing the spread of the pathogen. For example: </w:t>
      </w:r>
    </w:p>
    <w:p w:rsidR="007D20DB" w:rsidRPr="007D20DB" w:rsidRDefault="007D20DB" w:rsidP="007D20DB">
      <w:pPr>
        <w:widowControl w:val="0"/>
        <w:suppressAutoHyphens/>
        <w:autoSpaceDE w:val="0"/>
        <w:autoSpaceDN w:val="0"/>
        <w:adjustRightInd w:val="0"/>
        <w:spacing w:after="170" w:line="280" w:lineRule="atLeast"/>
        <w:ind w:left="283"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t xml:space="preserve">The Western Australian Department of Parks and Wildlife (WA DPAW) is introducing a ‘green card’ program and an environmental code of conduct for contractors. Contractors working on-site are given one half day training on environmental threats, including </w:t>
      </w:r>
      <w:r w:rsidRPr="007D20DB">
        <w:rPr>
          <w:rFonts w:ascii="AGaramondPro-Italic" w:hAnsi="AGaramondPro-Italic" w:cs="AGaramondPro-Italic"/>
          <w:i/>
          <w:iCs/>
          <w:color w:val="000000"/>
          <w:sz w:val="20"/>
          <w:szCs w:val="20"/>
          <w:lang w:val="en-US" w:eastAsia="ja-JP"/>
        </w:rPr>
        <w:t>P.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and appropriate responses to these threats. This training could be redeveloped for national use to train staff and contractors working in high priority conservation areas, including land management agency staff.</w:t>
      </w:r>
    </w:p>
    <w:p w:rsidR="007D20DB" w:rsidRPr="007D20DB" w:rsidRDefault="007D20DB" w:rsidP="007D20DB">
      <w:pPr>
        <w:widowControl w:val="0"/>
        <w:suppressAutoHyphens/>
        <w:autoSpaceDE w:val="0"/>
        <w:autoSpaceDN w:val="0"/>
        <w:adjustRightInd w:val="0"/>
        <w:spacing w:after="170" w:line="280" w:lineRule="atLeast"/>
        <w:ind w:left="283"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t xml:space="preserve">The Victorian Department of Environment and Primary Industries has a one day workshop, the </w:t>
      </w:r>
      <w:proofErr w:type="spellStart"/>
      <w:r w:rsidRPr="007D20DB">
        <w:rPr>
          <w:rFonts w:ascii="AGaramondPro-Regular" w:hAnsi="AGaramondPro-Regular" w:cs="AGaramondPro-Regular"/>
          <w:color w:val="000000"/>
          <w:sz w:val="20"/>
          <w:szCs w:val="20"/>
          <w:lang w:val="en-US" w:eastAsia="ja-JP"/>
        </w:rPr>
        <w:t>WeedStop</w:t>
      </w:r>
      <w:proofErr w:type="spellEnd"/>
      <w:r w:rsidRPr="007D20DB">
        <w:rPr>
          <w:rFonts w:ascii="AGaramondPro-Regular" w:hAnsi="AGaramondPro-Regular" w:cs="AGaramondPro-Regular"/>
          <w:color w:val="000000"/>
          <w:sz w:val="20"/>
          <w:szCs w:val="20"/>
          <w:lang w:val="en-US" w:eastAsia="ja-JP"/>
        </w:rPr>
        <w:t xml:space="preserve"> Vehicle Hygiene Program, that can be </w:t>
      </w:r>
      <w:proofErr w:type="spellStart"/>
      <w:r w:rsidRPr="007D20DB">
        <w:rPr>
          <w:rFonts w:ascii="AGaramondPro-Regular" w:hAnsi="AGaramondPro-Regular" w:cs="AGaramondPro-Regular"/>
          <w:color w:val="000000"/>
          <w:sz w:val="20"/>
          <w:szCs w:val="20"/>
          <w:lang w:val="en-US" w:eastAsia="ja-JP"/>
        </w:rPr>
        <w:t>customised</w:t>
      </w:r>
      <w:proofErr w:type="spellEnd"/>
      <w:r w:rsidRPr="007D20DB">
        <w:rPr>
          <w:rFonts w:ascii="AGaramondPro-Regular" w:hAnsi="AGaramondPro-Regular" w:cs="AGaramondPro-Regular"/>
          <w:color w:val="000000"/>
          <w:sz w:val="20"/>
          <w:szCs w:val="20"/>
          <w:lang w:val="en-US" w:eastAsia="ja-JP"/>
        </w:rPr>
        <w:t xml:space="preserve"> to deal with </w:t>
      </w:r>
      <w:r w:rsidRPr="007D20DB">
        <w:rPr>
          <w:rFonts w:ascii="AGaramondPro-Italic" w:hAnsi="AGaramondPro-Italic" w:cs="AGaramondPro-Italic"/>
          <w:i/>
          <w:iCs/>
          <w:color w:val="000000"/>
          <w:sz w:val="20"/>
          <w:szCs w:val="20"/>
          <w:lang w:val="en-US" w:eastAsia="ja-JP"/>
        </w:rPr>
        <w:t>P.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from which participants qualify with a Certificate of Attainment in the nationally accredited unit.</w:t>
      </w:r>
    </w:p>
    <w:p w:rsidR="007D20DB" w:rsidRPr="007D20DB" w:rsidRDefault="007D20DB" w:rsidP="007D20DB">
      <w:pPr>
        <w:widowControl w:val="0"/>
        <w:suppressAutoHyphens/>
        <w:autoSpaceDE w:val="0"/>
        <w:autoSpaceDN w:val="0"/>
        <w:adjustRightInd w:val="0"/>
        <w:spacing w:after="170" w:line="280" w:lineRule="atLeast"/>
        <w:ind w:left="283"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t>Regional-scale hygiene methodologies have been developed for the Wet Tropics of North Queensland, where dieback management procedures apply to operational works within the World Heritage Area (</w:t>
      </w:r>
      <w:proofErr w:type="spellStart"/>
      <w:r w:rsidRPr="007D20DB">
        <w:rPr>
          <w:rFonts w:ascii="AGaramondPro-Regular" w:hAnsi="AGaramondPro-Regular" w:cs="AGaramondPro-Regular"/>
          <w:color w:val="000000"/>
          <w:sz w:val="20"/>
          <w:szCs w:val="20"/>
          <w:lang w:val="en-US" w:eastAsia="ja-JP"/>
        </w:rPr>
        <w:t>Worboys</w:t>
      </w:r>
      <w:proofErr w:type="spellEnd"/>
      <w:r w:rsidRPr="007D20DB">
        <w:rPr>
          <w:rFonts w:ascii="AGaramondPro-Regular" w:hAnsi="AGaramondPro-Regular" w:cs="AGaramondPro-Regular"/>
          <w:color w:val="000000"/>
          <w:sz w:val="20"/>
          <w:szCs w:val="20"/>
          <w:lang w:val="en-US" w:eastAsia="ja-JP"/>
        </w:rPr>
        <w:t xml:space="preserve"> and </w:t>
      </w:r>
      <w:proofErr w:type="spellStart"/>
      <w:r w:rsidRPr="007D20DB">
        <w:rPr>
          <w:rFonts w:ascii="AGaramondPro-Regular" w:hAnsi="AGaramondPro-Regular" w:cs="AGaramondPro-Regular"/>
          <w:color w:val="000000"/>
          <w:sz w:val="20"/>
          <w:szCs w:val="20"/>
          <w:lang w:val="en-US" w:eastAsia="ja-JP"/>
        </w:rPr>
        <w:t>Gadek</w:t>
      </w:r>
      <w:proofErr w:type="spellEnd"/>
      <w:r w:rsidRPr="007D20DB">
        <w:rPr>
          <w:rFonts w:ascii="AGaramondPro-Regular" w:hAnsi="AGaramondPro-Regular" w:cs="AGaramondPro-Regular"/>
          <w:color w:val="000000"/>
          <w:sz w:val="20"/>
          <w:szCs w:val="20"/>
          <w:lang w:val="en-US" w:eastAsia="ja-JP"/>
        </w:rPr>
        <w:t>, 2004).</w:t>
      </w:r>
    </w:p>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The use of the biodegradable, systemic fungicide </w:t>
      </w:r>
      <w:proofErr w:type="spellStart"/>
      <w:r w:rsidRPr="007D20DB">
        <w:rPr>
          <w:rFonts w:ascii="AGaramondPro-Regular" w:hAnsi="AGaramondPro-Regular" w:cs="AGaramondPro-Regular"/>
          <w:color w:val="000000"/>
          <w:sz w:val="20"/>
          <w:szCs w:val="20"/>
          <w:lang w:val="en-US" w:eastAsia="ja-JP"/>
        </w:rPr>
        <w:t>phosphite</w:t>
      </w:r>
      <w:proofErr w:type="spellEnd"/>
      <w:r w:rsidRPr="007D20DB">
        <w:rPr>
          <w:rFonts w:ascii="AGaramondPro-Regular" w:hAnsi="AGaramondPro-Regular" w:cs="AGaramondPro-Regular"/>
          <w:color w:val="000000"/>
          <w:sz w:val="20"/>
          <w:szCs w:val="20"/>
          <w:lang w:val="en-US" w:eastAsia="ja-JP"/>
        </w:rPr>
        <w:t xml:space="preserve"> to assist existing management strategies has been recommended for protection of susceptible vegetation communities (</w:t>
      </w:r>
      <w:proofErr w:type="spellStart"/>
      <w:r w:rsidRPr="007D20DB">
        <w:rPr>
          <w:rFonts w:ascii="AGaramondPro-Regular" w:hAnsi="AGaramondPro-Regular" w:cs="AGaramondPro-Regular"/>
          <w:color w:val="000000"/>
          <w:sz w:val="20"/>
          <w:szCs w:val="20"/>
          <w:lang w:val="en-US" w:eastAsia="ja-JP"/>
        </w:rPr>
        <w:t>Aberton</w:t>
      </w:r>
      <w:proofErr w:type="spellEnd"/>
      <w:r w:rsidRPr="007D20DB">
        <w:rPr>
          <w:rFonts w:ascii="AGaramondPro-Regular" w:hAnsi="AGaramondPro-Regular" w:cs="AGaramondPro-Regular"/>
          <w:color w:val="000000"/>
          <w:sz w:val="20"/>
          <w:szCs w:val="20"/>
          <w:lang w:val="en-US" w:eastAsia="ja-JP"/>
        </w:rPr>
        <w:t xml:space="preserve"> et al., 1999; </w:t>
      </w:r>
      <w:proofErr w:type="spellStart"/>
      <w:r w:rsidRPr="007D20DB">
        <w:rPr>
          <w:rFonts w:ascii="AGaramondPro-Regular" w:hAnsi="AGaramondPro-Regular" w:cs="AGaramondPro-Regular"/>
          <w:color w:val="000000"/>
          <w:sz w:val="20"/>
          <w:szCs w:val="20"/>
          <w:lang w:val="en-US" w:eastAsia="ja-JP"/>
        </w:rPr>
        <w:t>Aberton</w:t>
      </w:r>
      <w:proofErr w:type="spellEnd"/>
      <w:r w:rsidRPr="007D20DB">
        <w:rPr>
          <w:rFonts w:ascii="AGaramondPro-Regular" w:hAnsi="AGaramondPro-Regular" w:cs="AGaramondPro-Regular"/>
          <w:color w:val="000000"/>
          <w:sz w:val="20"/>
          <w:szCs w:val="20"/>
          <w:lang w:val="en-US" w:eastAsia="ja-JP"/>
        </w:rPr>
        <w:t xml:space="preserve">, 2003). The strategic application of </w:t>
      </w:r>
      <w:proofErr w:type="spellStart"/>
      <w:r w:rsidRPr="007D20DB">
        <w:rPr>
          <w:rFonts w:ascii="AGaramondPro-Regular" w:hAnsi="AGaramondPro-Regular" w:cs="AGaramondPro-Regular"/>
          <w:color w:val="000000"/>
          <w:sz w:val="20"/>
          <w:szCs w:val="20"/>
          <w:lang w:val="en-US" w:eastAsia="ja-JP"/>
        </w:rPr>
        <w:t>phosphite</w:t>
      </w:r>
      <w:proofErr w:type="spellEnd"/>
      <w:r w:rsidRPr="007D20DB">
        <w:rPr>
          <w:rFonts w:ascii="AGaramondPro-Regular" w:hAnsi="AGaramondPro-Regular" w:cs="AGaramondPro-Regular"/>
          <w:color w:val="000000"/>
          <w:sz w:val="20"/>
          <w:szCs w:val="20"/>
          <w:lang w:val="en-US" w:eastAsia="ja-JP"/>
        </w:rPr>
        <w:t xml:space="preserve"> has been shown to reduce the rate of autonomous spread of the pathogen. </w:t>
      </w:r>
      <w:proofErr w:type="spellStart"/>
      <w:r w:rsidRPr="007D20DB">
        <w:rPr>
          <w:rFonts w:ascii="AGaramondPro-Regular" w:hAnsi="AGaramondPro-Regular" w:cs="AGaramondPro-Regular"/>
          <w:color w:val="000000"/>
          <w:sz w:val="20"/>
          <w:szCs w:val="20"/>
          <w:lang w:val="en-US" w:eastAsia="ja-JP"/>
        </w:rPr>
        <w:t>Phosphite</w:t>
      </w:r>
      <w:proofErr w:type="spellEnd"/>
      <w:r w:rsidRPr="007D20DB">
        <w:rPr>
          <w:rFonts w:ascii="AGaramondPro-Regular" w:hAnsi="AGaramondPro-Regular" w:cs="AGaramondPro-Regular"/>
          <w:color w:val="000000"/>
          <w:sz w:val="20"/>
          <w:szCs w:val="20"/>
          <w:lang w:val="en-US" w:eastAsia="ja-JP"/>
        </w:rPr>
        <w:t xml:space="preserve"> is examined in more detail below. </w:t>
      </w:r>
    </w:p>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Major containment and eradication projects for </w:t>
      </w:r>
      <w:r w:rsidRPr="007D20DB">
        <w:rPr>
          <w:rFonts w:ascii="AGaramondPro-Italic" w:hAnsi="AGaramondPro-Italic" w:cs="AGaramondPro-Italic"/>
          <w:i/>
          <w:iCs/>
          <w:color w:val="000000"/>
          <w:sz w:val="20"/>
          <w:szCs w:val="20"/>
          <w:lang w:val="en-US" w:eastAsia="ja-JP"/>
        </w:rPr>
        <w:t>P.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have been undertaken by WA DPAW in both the Fitzgerald River and Cape Arid National Parks in Western Australia.</w:t>
      </w:r>
    </w:p>
    <w:p w:rsidR="007D20DB" w:rsidRPr="007D20DB" w:rsidRDefault="007D20DB" w:rsidP="00704644">
      <w:pPr>
        <w:pStyle w:val="03HEADING3"/>
      </w:pPr>
      <w:bookmarkStart w:id="14" w:name="_Toc253067282"/>
      <w:r w:rsidRPr="007D20DB">
        <w:t>1.4.2</w:t>
      </w:r>
      <w:r w:rsidRPr="007D20DB">
        <w:tab/>
        <w:t>Mitigating the impact</w:t>
      </w:r>
      <w:bookmarkEnd w:id="14"/>
    </w:p>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The tools available for mitigating the impact of </w:t>
      </w:r>
      <w:r w:rsidRPr="007D20DB">
        <w:rPr>
          <w:rFonts w:ascii="AGaramondPro-Italic" w:hAnsi="AGaramondPro-Italic" w:cs="AGaramondPro-Italic"/>
          <w:i/>
          <w:iCs/>
          <w:color w:val="000000"/>
          <w:sz w:val="20"/>
          <w:szCs w:val="20"/>
          <w:lang w:val="en-US" w:eastAsia="ja-JP"/>
        </w:rPr>
        <w:t>P.</w:t>
      </w:r>
      <w:r w:rsidRPr="007D20DB">
        <w:rPr>
          <w:rFonts w:ascii="AGaramondPro-Regular" w:hAnsi="AGaramondPro-Regular" w:cs="AGaramondPro-Regular"/>
          <w:color w:val="000000"/>
          <w:sz w:val="20"/>
          <w:szCs w:val="20"/>
          <w:rtl/>
          <w:lang w:val="en-US" w:eastAsia="ja-JP" w:bidi="ar-YE"/>
        </w:rPr>
        <w:t>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are limited. The strategic use of </w:t>
      </w:r>
      <w:proofErr w:type="spellStart"/>
      <w:r w:rsidRPr="007D20DB">
        <w:rPr>
          <w:rFonts w:ascii="AGaramondPro-Regular" w:hAnsi="AGaramondPro-Regular" w:cs="AGaramondPro-Regular"/>
          <w:color w:val="000000"/>
          <w:sz w:val="20"/>
          <w:szCs w:val="20"/>
          <w:lang w:val="en-US" w:eastAsia="ja-JP"/>
        </w:rPr>
        <w:t>phosphonic</w:t>
      </w:r>
      <w:proofErr w:type="spellEnd"/>
      <w:r w:rsidRPr="007D20DB">
        <w:rPr>
          <w:rFonts w:ascii="AGaramondPro-Regular" w:hAnsi="AGaramondPro-Regular" w:cs="AGaramondPro-Regular"/>
          <w:color w:val="000000"/>
          <w:sz w:val="20"/>
          <w:szCs w:val="20"/>
          <w:lang w:val="en-US" w:eastAsia="ja-JP"/>
        </w:rPr>
        <w:t xml:space="preserve"> acids (for example </w:t>
      </w:r>
      <w:proofErr w:type="spellStart"/>
      <w:r w:rsidRPr="007D20DB">
        <w:rPr>
          <w:rFonts w:ascii="AGaramondPro-Regular" w:hAnsi="AGaramondPro-Regular" w:cs="AGaramondPro-Regular"/>
          <w:color w:val="000000"/>
          <w:sz w:val="20"/>
          <w:szCs w:val="20"/>
          <w:lang w:val="en-US" w:eastAsia="ja-JP"/>
        </w:rPr>
        <w:t>phosphite</w:t>
      </w:r>
      <w:proofErr w:type="spellEnd"/>
      <w:r w:rsidRPr="007D20DB">
        <w:rPr>
          <w:rFonts w:ascii="AGaramondPro-Regular" w:hAnsi="AGaramondPro-Regular" w:cs="AGaramondPro-Regular"/>
          <w:color w:val="000000"/>
          <w:sz w:val="20"/>
          <w:szCs w:val="20"/>
          <w:lang w:val="en-US" w:eastAsia="ja-JP"/>
        </w:rPr>
        <w:t xml:space="preserve">) and selected fumigants has management potential for impact reduction, containment and eradication of the pathogen. An integrated approach with use of these chemicals, strict access and hygiene controls can successfully mitigate the impact and </w:t>
      </w:r>
      <w:proofErr w:type="spellStart"/>
      <w:r w:rsidRPr="007D20DB">
        <w:rPr>
          <w:rFonts w:ascii="AGaramondPro-Regular" w:hAnsi="AGaramondPro-Regular" w:cs="AGaramondPro-Regular"/>
          <w:color w:val="000000"/>
          <w:sz w:val="20"/>
          <w:szCs w:val="20"/>
          <w:lang w:val="en-US" w:eastAsia="ja-JP"/>
        </w:rPr>
        <w:t>minimise</w:t>
      </w:r>
      <w:proofErr w:type="spellEnd"/>
      <w:r w:rsidRPr="007D20DB">
        <w:rPr>
          <w:rFonts w:ascii="AGaramondPro-Regular" w:hAnsi="AGaramondPro-Regular" w:cs="AGaramondPro-Regular"/>
          <w:color w:val="000000"/>
          <w:sz w:val="20"/>
          <w:szCs w:val="20"/>
          <w:lang w:val="en-US" w:eastAsia="ja-JP"/>
        </w:rPr>
        <w:t xml:space="preserve"> the spread of the pathogen. </w:t>
      </w:r>
    </w:p>
    <w:p w:rsidR="007D20DB" w:rsidRPr="007D20DB" w:rsidRDefault="007D20DB" w:rsidP="007D20DB">
      <w:pPr>
        <w:widowControl w:val="0"/>
        <w:suppressAutoHyphens/>
        <w:autoSpaceDE w:val="0"/>
        <w:autoSpaceDN w:val="0"/>
        <w:adjustRightInd w:val="0"/>
        <w:spacing w:after="170" w:line="280" w:lineRule="atLeast"/>
        <w:ind w:left="283" w:hanging="283"/>
        <w:textAlignment w:val="center"/>
        <w:rPr>
          <w:rFonts w:ascii="AGaramondPro-BoldItalic" w:hAnsi="AGaramondPro-BoldItalic" w:cs="AGaramondPro-BoldItalic"/>
          <w:b/>
          <w:bCs/>
          <w:i/>
          <w:iCs/>
          <w:color w:val="000000"/>
          <w:sz w:val="20"/>
          <w:szCs w:val="20"/>
          <w:lang w:val="en-US" w:eastAsia="ja-JP"/>
        </w:rPr>
      </w:pPr>
      <w:r w:rsidRPr="007D20DB">
        <w:rPr>
          <w:rFonts w:ascii="AGaramondPro-BoldItalic" w:hAnsi="AGaramondPro-BoldItalic" w:cs="AGaramondPro-BoldItalic"/>
          <w:b/>
          <w:bCs/>
          <w:i/>
          <w:iCs/>
          <w:color w:val="000000"/>
          <w:sz w:val="20"/>
          <w:szCs w:val="20"/>
          <w:lang w:val="en-US" w:eastAsia="ja-JP"/>
        </w:rPr>
        <w:t>a)</w:t>
      </w:r>
      <w:r w:rsidRPr="007D20DB">
        <w:rPr>
          <w:rFonts w:ascii="AGaramondPro-BoldItalic" w:hAnsi="AGaramondPro-BoldItalic" w:cs="AGaramondPro-BoldItalic"/>
          <w:b/>
          <w:bCs/>
          <w:i/>
          <w:iCs/>
          <w:color w:val="000000"/>
          <w:sz w:val="20"/>
          <w:szCs w:val="20"/>
          <w:lang w:val="en-US" w:eastAsia="ja-JP"/>
        </w:rPr>
        <w:tab/>
      </w:r>
      <w:proofErr w:type="spellStart"/>
      <w:r w:rsidRPr="007D20DB">
        <w:rPr>
          <w:rFonts w:ascii="AGaramondPro-BoldItalic" w:hAnsi="AGaramondPro-BoldItalic" w:cs="AGaramondPro-BoldItalic"/>
          <w:b/>
          <w:bCs/>
          <w:i/>
          <w:iCs/>
          <w:color w:val="000000"/>
          <w:sz w:val="20"/>
          <w:szCs w:val="20"/>
          <w:lang w:val="en-US" w:eastAsia="ja-JP"/>
        </w:rPr>
        <w:t>Phosphite</w:t>
      </w:r>
      <w:proofErr w:type="spellEnd"/>
    </w:p>
    <w:p w:rsidR="007D20DB" w:rsidRPr="007D20DB" w:rsidRDefault="007D20DB" w:rsidP="007D20DB">
      <w:pPr>
        <w:widowControl w:val="0"/>
        <w:suppressAutoHyphens/>
        <w:autoSpaceDE w:val="0"/>
        <w:autoSpaceDN w:val="0"/>
        <w:adjustRightInd w:val="0"/>
        <w:spacing w:after="170" w:line="280" w:lineRule="atLeast"/>
        <w:ind w:left="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The term ‘</w:t>
      </w:r>
      <w:proofErr w:type="spellStart"/>
      <w:r w:rsidRPr="007D20DB">
        <w:rPr>
          <w:rFonts w:ascii="AGaramondPro-Regular" w:hAnsi="AGaramondPro-Regular" w:cs="AGaramondPro-Regular"/>
          <w:color w:val="000000"/>
          <w:sz w:val="20"/>
          <w:szCs w:val="20"/>
          <w:lang w:val="en-US" w:eastAsia="ja-JP"/>
        </w:rPr>
        <w:t>phosphite</w:t>
      </w:r>
      <w:proofErr w:type="spellEnd"/>
      <w:r w:rsidRPr="007D20DB">
        <w:rPr>
          <w:rFonts w:ascii="AGaramondPro-Regular" w:hAnsi="AGaramondPro-Regular" w:cs="AGaramondPro-Regular"/>
          <w:color w:val="000000"/>
          <w:sz w:val="20"/>
          <w:szCs w:val="20"/>
          <w:lang w:val="en-US" w:eastAsia="ja-JP"/>
        </w:rPr>
        <w:t xml:space="preserve">’ refers to salts of </w:t>
      </w:r>
      <w:proofErr w:type="spellStart"/>
      <w:r w:rsidRPr="007D20DB">
        <w:rPr>
          <w:rFonts w:ascii="AGaramondPro-Regular" w:hAnsi="AGaramondPro-Regular" w:cs="AGaramondPro-Regular"/>
          <w:color w:val="000000"/>
          <w:sz w:val="20"/>
          <w:szCs w:val="20"/>
          <w:lang w:val="en-US" w:eastAsia="ja-JP"/>
        </w:rPr>
        <w:t>phosphonic</w:t>
      </w:r>
      <w:proofErr w:type="spellEnd"/>
      <w:r w:rsidRPr="007D20DB">
        <w:rPr>
          <w:rFonts w:ascii="AGaramondPro-Regular" w:hAnsi="AGaramondPro-Regular" w:cs="AGaramondPro-Regular"/>
          <w:color w:val="000000"/>
          <w:sz w:val="20"/>
          <w:szCs w:val="20"/>
          <w:lang w:val="en-US" w:eastAsia="ja-JP"/>
        </w:rPr>
        <w:t xml:space="preserve"> acid (H</w:t>
      </w:r>
      <w:r w:rsidRPr="007D20DB">
        <w:rPr>
          <w:rFonts w:ascii="AGaramondPro-Regular" w:hAnsi="AGaramondPro-Regular" w:cs="AGaramondPro-Regular"/>
          <w:color w:val="000000"/>
          <w:sz w:val="20"/>
          <w:szCs w:val="20"/>
          <w:vertAlign w:val="subscript"/>
          <w:lang w:val="en-US" w:eastAsia="ja-JP"/>
        </w:rPr>
        <w:t>3</w:t>
      </w:r>
      <w:r w:rsidRPr="007D20DB">
        <w:rPr>
          <w:rFonts w:ascii="AGaramondPro-Regular" w:hAnsi="AGaramondPro-Regular" w:cs="AGaramondPro-Regular"/>
          <w:color w:val="000000"/>
          <w:sz w:val="20"/>
          <w:szCs w:val="20"/>
          <w:lang w:val="en-US" w:eastAsia="ja-JP"/>
        </w:rPr>
        <w:t>PO</w:t>
      </w:r>
      <w:r w:rsidRPr="007D20DB">
        <w:rPr>
          <w:rFonts w:ascii="AGaramondPro-Regular" w:hAnsi="AGaramondPro-Regular" w:cs="AGaramondPro-Regular"/>
          <w:color w:val="000000"/>
          <w:sz w:val="20"/>
          <w:szCs w:val="20"/>
          <w:vertAlign w:val="subscript"/>
          <w:lang w:val="en-US" w:eastAsia="ja-JP"/>
        </w:rPr>
        <w:t>3</w:t>
      </w:r>
      <w:r w:rsidRPr="007D20DB">
        <w:rPr>
          <w:rFonts w:ascii="AGaramondPro-Regular" w:hAnsi="AGaramondPro-Regular" w:cs="AGaramondPro-Regular"/>
          <w:color w:val="000000"/>
          <w:sz w:val="20"/>
          <w:szCs w:val="20"/>
          <w:lang w:val="en-US" w:eastAsia="ja-JP"/>
        </w:rPr>
        <w:t xml:space="preserve">). </w:t>
      </w:r>
      <w:proofErr w:type="spellStart"/>
      <w:r w:rsidRPr="007D20DB">
        <w:rPr>
          <w:rFonts w:ascii="AGaramondPro-Regular" w:hAnsi="AGaramondPro-Regular" w:cs="AGaramondPro-Regular"/>
          <w:color w:val="000000"/>
          <w:sz w:val="20"/>
          <w:szCs w:val="20"/>
          <w:lang w:val="en-US" w:eastAsia="ja-JP"/>
        </w:rPr>
        <w:t>Phosphite</w:t>
      </w:r>
      <w:proofErr w:type="spellEnd"/>
      <w:r w:rsidRPr="007D20DB">
        <w:rPr>
          <w:rFonts w:ascii="AGaramondPro-Regular" w:hAnsi="AGaramondPro-Regular" w:cs="AGaramondPro-Regular"/>
          <w:color w:val="000000"/>
          <w:sz w:val="20"/>
          <w:szCs w:val="20"/>
          <w:lang w:val="en-US" w:eastAsia="ja-JP"/>
        </w:rPr>
        <w:t xml:space="preserve"> treatment induces a strong and rapid </w:t>
      </w:r>
      <w:proofErr w:type="spellStart"/>
      <w:r w:rsidRPr="007D20DB">
        <w:rPr>
          <w:rFonts w:ascii="AGaramondPro-Regular" w:hAnsi="AGaramondPro-Regular" w:cs="AGaramondPro-Regular"/>
          <w:color w:val="000000"/>
          <w:sz w:val="20"/>
          <w:szCs w:val="20"/>
          <w:lang w:val="en-US" w:eastAsia="ja-JP"/>
        </w:rPr>
        <w:t>defence</w:t>
      </w:r>
      <w:proofErr w:type="spellEnd"/>
      <w:r w:rsidRPr="007D20DB">
        <w:rPr>
          <w:rFonts w:ascii="AGaramondPro-Regular" w:hAnsi="AGaramondPro-Regular" w:cs="AGaramondPro-Regular"/>
          <w:color w:val="000000"/>
          <w:sz w:val="20"/>
          <w:szCs w:val="20"/>
          <w:lang w:val="en-US" w:eastAsia="ja-JP"/>
        </w:rPr>
        <w:t xml:space="preserve"> response in the treated plant. These </w:t>
      </w:r>
      <w:proofErr w:type="spellStart"/>
      <w:r w:rsidRPr="007D20DB">
        <w:rPr>
          <w:rFonts w:ascii="AGaramondPro-Regular" w:hAnsi="AGaramondPro-Regular" w:cs="AGaramondPro-Regular"/>
          <w:color w:val="000000"/>
          <w:sz w:val="20"/>
          <w:szCs w:val="20"/>
          <w:lang w:val="en-US" w:eastAsia="ja-JP"/>
        </w:rPr>
        <w:t>defence</w:t>
      </w:r>
      <w:proofErr w:type="spellEnd"/>
      <w:r w:rsidRPr="007D20DB">
        <w:rPr>
          <w:rFonts w:ascii="AGaramondPro-Regular" w:hAnsi="AGaramondPro-Regular" w:cs="AGaramondPro-Regular"/>
          <w:color w:val="000000"/>
          <w:sz w:val="20"/>
          <w:szCs w:val="20"/>
          <w:lang w:val="en-US" w:eastAsia="ja-JP"/>
        </w:rPr>
        <w:t xml:space="preserve"> responses stop pathogen spread in a large number of hosts. </w:t>
      </w:r>
      <w:proofErr w:type="spellStart"/>
      <w:r w:rsidRPr="007D20DB">
        <w:rPr>
          <w:rFonts w:ascii="AGaramondPro-Regular" w:hAnsi="AGaramondPro-Regular" w:cs="AGaramondPro-Regular"/>
          <w:color w:val="000000"/>
          <w:sz w:val="20"/>
          <w:szCs w:val="20"/>
          <w:lang w:val="en-US" w:eastAsia="ja-JP"/>
        </w:rPr>
        <w:t>Phosphite</w:t>
      </w:r>
      <w:proofErr w:type="spellEnd"/>
      <w:r w:rsidRPr="007D20DB">
        <w:rPr>
          <w:rFonts w:ascii="AGaramondPro-Regular" w:hAnsi="AGaramondPro-Regular" w:cs="AGaramondPro-Regular"/>
          <w:color w:val="000000"/>
          <w:sz w:val="20"/>
          <w:szCs w:val="20"/>
          <w:lang w:val="en-US" w:eastAsia="ja-JP"/>
        </w:rPr>
        <w:t xml:space="preserve"> needs to enter a plant’s water transport system in order to be effective. This is achieved by stem injection of </w:t>
      </w:r>
      <w:proofErr w:type="spellStart"/>
      <w:r w:rsidRPr="007D20DB">
        <w:rPr>
          <w:rFonts w:ascii="AGaramondPro-Regular" w:hAnsi="AGaramondPro-Regular" w:cs="AGaramondPro-Regular"/>
          <w:color w:val="000000"/>
          <w:sz w:val="20"/>
          <w:szCs w:val="20"/>
          <w:lang w:val="en-US" w:eastAsia="ja-JP"/>
        </w:rPr>
        <w:t>phosphite</w:t>
      </w:r>
      <w:proofErr w:type="spellEnd"/>
      <w:r w:rsidRPr="007D20DB">
        <w:rPr>
          <w:rFonts w:ascii="AGaramondPro-Regular" w:hAnsi="AGaramondPro-Regular" w:cs="AGaramondPro-Regular"/>
          <w:color w:val="000000"/>
          <w:sz w:val="20"/>
          <w:szCs w:val="20"/>
          <w:lang w:val="en-US" w:eastAsia="ja-JP"/>
        </w:rPr>
        <w:t xml:space="preserve"> into trees, or spraying </w:t>
      </w:r>
      <w:proofErr w:type="spellStart"/>
      <w:r w:rsidRPr="007D20DB">
        <w:rPr>
          <w:rFonts w:ascii="AGaramondPro-Regular" w:hAnsi="AGaramondPro-Regular" w:cs="AGaramondPro-Regular"/>
          <w:color w:val="000000"/>
          <w:sz w:val="20"/>
          <w:szCs w:val="20"/>
          <w:lang w:val="en-US" w:eastAsia="ja-JP"/>
        </w:rPr>
        <w:t>phosphite</w:t>
      </w:r>
      <w:proofErr w:type="spellEnd"/>
      <w:r w:rsidRPr="007D20DB">
        <w:rPr>
          <w:rFonts w:ascii="AGaramondPro-Regular" w:hAnsi="AGaramondPro-Regular" w:cs="AGaramondPro-Regular"/>
          <w:color w:val="000000"/>
          <w:sz w:val="20"/>
          <w:szCs w:val="20"/>
          <w:lang w:val="en-US" w:eastAsia="ja-JP"/>
        </w:rPr>
        <w:t xml:space="preserve"> onto the leaves of accessible plants. Injection provides the trees with protection for up to 10 years, while spraying the leaves provides protection for up to one to two years. Efficacy may vary between and within species being treated.</w:t>
      </w:r>
    </w:p>
    <w:p w:rsidR="007D20DB" w:rsidRPr="007D20DB" w:rsidRDefault="007D20DB" w:rsidP="007D20DB">
      <w:pPr>
        <w:widowControl w:val="0"/>
        <w:suppressAutoHyphens/>
        <w:autoSpaceDE w:val="0"/>
        <w:autoSpaceDN w:val="0"/>
        <w:adjustRightInd w:val="0"/>
        <w:spacing w:after="170" w:line="280" w:lineRule="atLeast"/>
        <w:ind w:left="283"/>
        <w:textAlignment w:val="center"/>
        <w:rPr>
          <w:rFonts w:ascii="AGaramondPro-Regular" w:hAnsi="AGaramondPro-Regular" w:cs="AGaramondPro-Regular"/>
          <w:color w:val="000000"/>
          <w:sz w:val="20"/>
          <w:szCs w:val="20"/>
          <w:lang w:val="en-US" w:eastAsia="ja-JP"/>
        </w:rPr>
      </w:pPr>
      <w:proofErr w:type="spellStart"/>
      <w:r w:rsidRPr="007D20DB">
        <w:rPr>
          <w:rFonts w:ascii="AGaramondPro-Regular" w:hAnsi="AGaramondPro-Regular" w:cs="AGaramondPro-Regular"/>
          <w:color w:val="000000"/>
          <w:sz w:val="20"/>
          <w:szCs w:val="20"/>
          <w:lang w:val="en-US" w:eastAsia="ja-JP"/>
        </w:rPr>
        <w:t>Phosphite</w:t>
      </w:r>
      <w:proofErr w:type="spellEnd"/>
      <w:r w:rsidRPr="007D20DB">
        <w:rPr>
          <w:rFonts w:ascii="AGaramondPro-Regular" w:hAnsi="AGaramondPro-Regular" w:cs="AGaramondPro-Regular"/>
          <w:color w:val="000000"/>
          <w:sz w:val="20"/>
          <w:szCs w:val="20"/>
          <w:lang w:val="en-US" w:eastAsia="ja-JP"/>
        </w:rPr>
        <w:t xml:space="preserve"> has been used to mitigate the impacts of </w:t>
      </w:r>
      <w:r w:rsidRPr="007D20DB">
        <w:rPr>
          <w:rFonts w:ascii="AGaramondPro-Italic" w:hAnsi="AGaramondPro-Italic" w:cs="AGaramondPro-Italic"/>
          <w:i/>
          <w:iCs/>
          <w:color w:val="000000"/>
          <w:sz w:val="20"/>
          <w:szCs w:val="20"/>
          <w:lang w:val="en-US" w:eastAsia="ja-JP"/>
        </w:rPr>
        <w:t>P.</w:t>
      </w:r>
      <w:r w:rsidRPr="007D20DB">
        <w:rPr>
          <w:rFonts w:ascii="AGaramondPro-Regular" w:hAnsi="AGaramondPro-Regular" w:cs="AGaramondPro-Regular"/>
          <w:color w:val="000000"/>
          <w:sz w:val="20"/>
          <w:szCs w:val="20"/>
          <w:rtl/>
          <w:lang w:val="en-US" w:eastAsia="ja-JP" w:bidi="ar-YE"/>
        </w:rPr>
        <w:t>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on some vulnerable species at infested sites in Western Australia and Victoria. However, </w:t>
      </w:r>
      <w:proofErr w:type="spellStart"/>
      <w:r w:rsidRPr="007D20DB">
        <w:rPr>
          <w:rFonts w:ascii="AGaramondPro-Regular" w:hAnsi="AGaramondPro-Regular" w:cs="AGaramondPro-Regular"/>
          <w:color w:val="000000"/>
          <w:sz w:val="20"/>
          <w:szCs w:val="20"/>
          <w:lang w:val="en-US" w:eastAsia="ja-JP"/>
        </w:rPr>
        <w:t>phosphite</w:t>
      </w:r>
      <w:proofErr w:type="spellEnd"/>
      <w:r w:rsidRPr="007D20DB">
        <w:rPr>
          <w:rFonts w:ascii="AGaramondPro-Regular" w:hAnsi="AGaramondPro-Regular" w:cs="AGaramondPro-Regular"/>
          <w:color w:val="000000"/>
          <w:sz w:val="20"/>
          <w:szCs w:val="20"/>
          <w:lang w:val="en-US" w:eastAsia="ja-JP"/>
        </w:rPr>
        <w:t xml:space="preserve"> has been found to act as a </w:t>
      </w:r>
      <w:proofErr w:type="spellStart"/>
      <w:r w:rsidRPr="007D20DB">
        <w:rPr>
          <w:rFonts w:ascii="AGaramondPro-Regular" w:hAnsi="AGaramondPro-Regular" w:cs="AGaramondPro-Regular"/>
          <w:color w:val="000000"/>
          <w:sz w:val="20"/>
          <w:szCs w:val="20"/>
          <w:lang w:val="en-US" w:eastAsia="ja-JP"/>
        </w:rPr>
        <w:t>fertiliser</w:t>
      </w:r>
      <w:proofErr w:type="spellEnd"/>
      <w:r w:rsidRPr="007D20DB">
        <w:rPr>
          <w:rFonts w:ascii="AGaramondPro-Regular" w:hAnsi="AGaramondPro-Regular" w:cs="AGaramondPro-Regular"/>
          <w:color w:val="000000"/>
          <w:sz w:val="20"/>
          <w:szCs w:val="20"/>
          <w:lang w:val="en-US" w:eastAsia="ja-JP"/>
        </w:rPr>
        <w:t xml:space="preserve"> in some circumstances and requires further testing on a greater range of vulnerable species, particularly in other states and territories. Long term </w:t>
      </w:r>
      <w:proofErr w:type="spellStart"/>
      <w:r w:rsidRPr="007D20DB">
        <w:rPr>
          <w:rFonts w:ascii="AGaramondPro-Regular" w:hAnsi="AGaramondPro-Regular" w:cs="AGaramondPro-Regular"/>
          <w:color w:val="000000"/>
          <w:sz w:val="20"/>
          <w:szCs w:val="20"/>
          <w:lang w:val="en-US" w:eastAsia="ja-JP"/>
        </w:rPr>
        <w:t>phosphite</w:t>
      </w:r>
      <w:proofErr w:type="spellEnd"/>
      <w:r w:rsidRPr="007D20DB">
        <w:rPr>
          <w:rFonts w:ascii="AGaramondPro-Regular" w:hAnsi="AGaramondPro-Regular" w:cs="AGaramondPro-Regular"/>
          <w:color w:val="000000"/>
          <w:sz w:val="20"/>
          <w:szCs w:val="20"/>
          <w:lang w:val="en-US" w:eastAsia="ja-JP"/>
        </w:rPr>
        <w:t xml:space="preserve"> use may have a </w:t>
      </w:r>
      <w:proofErr w:type="spellStart"/>
      <w:r w:rsidRPr="007D20DB">
        <w:rPr>
          <w:rFonts w:ascii="AGaramondPro-Regular" w:hAnsi="AGaramondPro-Regular" w:cs="AGaramondPro-Regular"/>
          <w:color w:val="000000"/>
          <w:sz w:val="20"/>
          <w:szCs w:val="20"/>
          <w:lang w:val="en-US" w:eastAsia="ja-JP"/>
        </w:rPr>
        <w:t>fertiliser</w:t>
      </w:r>
      <w:proofErr w:type="spellEnd"/>
      <w:r w:rsidRPr="007D20DB">
        <w:rPr>
          <w:rFonts w:ascii="AGaramondPro-Regular" w:hAnsi="AGaramondPro-Regular" w:cs="AGaramondPro-Regular"/>
          <w:color w:val="000000"/>
          <w:sz w:val="20"/>
          <w:szCs w:val="20"/>
          <w:lang w:val="en-US" w:eastAsia="ja-JP"/>
        </w:rPr>
        <w:t xml:space="preserve"> effect in native plant communities occurring on soils with low phosphorous levels resulting in deleterious changes to the plant community (</w:t>
      </w:r>
      <w:proofErr w:type="spellStart"/>
      <w:r w:rsidRPr="007D20DB">
        <w:rPr>
          <w:rFonts w:ascii="AGaramondPro-Regular" w:hAnsi="AGaramondPro-Regular" w:cs="AGaramondPro-Regular"/>
          <w:color w:val="000000"/>
          <w:sz w:val="20"/>
          <w:szCs w:val="20"/>
          <w:lang w:val="en-US" w:eastAsia="ja-JP"/>
        </w:rPr>
        <w:t>Lambers</w:t>
      </w:r>
      <w:proofErr w:type="spellEnd"/>
      <w:r w:rsidRPr="007D20DB">
        <w:rPr>
          <w:rFonts w:ascii="AGaramondPro-Regular" w:hAnsi="AGaramondPro-Regular" w:cs="AGaramondPro-Regular"/>
          <w:color w:val="000000"/>
          <w:sz w:val="20"/>
          <w:szCs w:val="20"/>
          <w:lang w:val="en-US" w:eastAsia="ja-JP"/>
        </w:rPr>
        <w:t xml:space="preserve"> et al., 2013). The possible deleterious effects of treatment should be included in all monitoring where </w:t>
      </w:r>
      <w:proofErr w:type="spellStart"/>
      <w:r w:rsidRPr="007D20DB">
        <w:rPr>
          <w:rFonts w:ascii="AGaramondPro-Regular" w:hAnsi="AGaramondPro-Regular" w:cs="AGaramondPro-Regular"/>
          <w:color w:val="000000"/>
          <w:sz w:val="20"/>
          <w:szCs w:val="20"/>
          <w:lang w:val="en-US" w:eastAsia="ja-JP"/>
        </w:rPr>
        <w:t>phosphite</w:t>
      </w:r>
      <w:proofErr w:type="spellEnd"/>
      <w:r w:rsidRPr="007D20DB">
        <w:rPr>
          <w:rFonts w:ascii="AGaramondPro-Regular" w:hAnsi="AGaramondPro-Regular" w:cs="AGaramondPro-Regular"/>
          <w:color w:val="000000"/>
          <w:sz w:val="20"/>
          <w:szCs w:val="20"/>
          <w:lang w:val="en-US" w:eastAsia="ja-JP"/>
        </w:rPr>
        <w:t xml:space="preserve"> is being applied within native plant communities. Further research is required into alternatives to </w:t>
      </w:r>
      <w:proofErr w:type="spellStart"/>
      <w:r w:rsidRPr="007D20DB">
        <w:rPr>
          <w:rFonts w:ascii="AGaramondPro-Regular" w:hAnsi="AGaramondPro-Regular" w:cs="AGaramondPro-Regular"/>
          <w:color w:val="000000"/>
          <w:sz w:val="20"/>
          <w:szCs w:val="20"/>
          <w:lang w:val="en-US" w:eastAsia="ja-JP"/>
        </w:rPr>
        <w:t>phosphite</w:t>
      </w:r>
      <w:proofErr w:type="spellEnd"/>
      <w:r w:rsidRPr="007D20DB">
        <w:rPr>
          <w:rFonts w:ascii="AGaramondPro-Regular" w:hAnsi="AGaramondPro-Regular" w:cs="AGaramondPro-Regular"/>
          <w:color w:val="000000"/>
          <w:sz w:val="20"/>
          <w:szCs w:val="20"/>
          <w:lang w:val="en-US" w:eastAsia="ja-JP"/>
        </w:rPr>
        <w:t xml:space="preserve"> use.</w:t>
      </w:r>
    </w:p>
    <w:p w:rsidR="007D20DB" w:rsidRPr="007D20DB" w:rsidRDefault="007D20DB" w:rsidP="007D20DB">
      <w:pPr>
        <w:widowControl w:val="0"/>
        <w:suppressAutoHyphens/>
        <w:autoSpaceDE w:val="0"/>
        <w:autoSpaceDN w:val="0"/>
        <w:adjustRightInd w:val="0"/>
        <w:spacing w:after="170" w:line="280" w:lineRule="atLeast"/>
        <w:ind w:left="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The Dieback Working Group has produced instruction leaflets on spraying and </w:t>
      </w:r>
      <w:proofErr w:type="gramStart"/>
      <w:r w:rsidRPr="007D20DB">
        <w:rPr>
          <w:rFonts w:ascii="AGaramondPro-Regular" w:hAnsi="AGaramondPro-Regular" w:cs="AGaramondPro-Regular"/>
          <w:color w:val="000000"/>
          <w:sz w:val="20"/>
          <w:szCs w:val="20"/>
          <w:lang w:val="en-US" w:eastAsia="ja-JP"/>
        </w:rPr>
        <w:t>stem</w:t>
      </w:r>
      <w:proofErr w:type="gramEnd"/>
      <w:r w:rsidRPr="007D20DB">
        <w:rPr>
          <w:rFonts w:ascii="AGaramondPro-Regular" w:hAnsi="AGaramondPro-Regular" w:cs="AGaramondPro-Regular"/>
          <w:color w:val="000000"/>
          <w:sz w:val="20"/>
          <w:szCs w:val="20"/>
          <w:lang w:val="en-US" w:eastAsia="ja-JP"/>
        </w:rPr>
        <w:t xml:space="preserve"> injection of </w:t>
      </w:r>
      <w:proofErr w:type="spellStart"/>
      <w:r w:rsidRPr="007D20DB">
        <w:rPr>
          <w:rFonts w:ascii="AGaramondPro-Regular" w:hAnsi="AGaramondPro-Regular" w:cs="AGaramondPro-Regular"/>
          <w:color w:val="000000"/>
          <w:sz w:val="20"/>
          <w:szCs w:val="20"/>
          <w:lang w:val="en-US" w:eastAsia="ja-JP"/>
        </w:rPr>
        <w:t>phosphite</w:t>
      </w:r>
      <w:proofErr w:type="spellEnd"/>
      <w:r w:rsidRPr="007D20DB">
        <w:rPr>
          <w:rFonts w:ascii="AGaramondPro-Regular" w:hAnsi="AGaramondPro-Regular" w:cs="AGaramondPro-Regular"/>
          <w:color w:val="000000"/>
          <w:sz w:val="20"/>
          <w:szCs w:val="20"/>
          <w:lang w:val="en-US" w:eastAsia="ja-JP"/>
        </w:rPr>
        <w:t xml:space="preserve">. These are </w:t>
      </w:r>
      <w:r w:rsidRPr="007D20DB">
        <w:rPr>
          <w:rFonts w:ascii="AGaramondPro-Regular" w:hAnsi="AGaramondPro-Regular" w:cs="AGaramondPro-Regular"/>
          <w:color w:val="000000"/>
          <w:sz w:val="20"/>
          <w:szCs w:val="20"/>
          <w:lang w:val="en-US" w:eastAsia="ja-JP"/>
        </w:rPr>
        <w:lastRenderedPageBreak/>
        <w:t>available on the Dieback Working Group website (http://www.dwg.org.au/).</w:t>
      </w:r>
    </w:p>
    <w:p w:rsidR="007D20DB" w:rsidRPr="007D20DB" w:rsidRDefault="007D20DB" w:rsidP="007D20DB">
      <w:pPr>
        <w:widowControl w:val="0"/>
        <w:suppressAutoHyphens/>
        <w:autoSpaceDE w:val="0"/>
        <w:autoSpaceDN w:val="0"/>
        <w:adjustRightInd w:val="0"/>
        <w:spacing w:after="170" w:line="280" w:lineRule="atLeast"/>
        <w:ind w:left="283" w:hanging="283"/>
        <w:textAlignment w:val="center"/>
        <w:rPr>
          <w:rFonts w:ascii="AGaramondPro-BoldItalic" w:hAnsi="AGaramondPro-BoldItalic" w:cs="AGaramondPro-BoldItalic"/>
          <w:b/>
          <w:bCs/>
          <w:i/>
          <w:iCs/>
          <w:color w:val="000000"/>
          <w:sz w:val="20"/>
          <w:szCs w:val="20"/>
          <w:lang w:val="en-US" w:eastAsia="ja-JP"/>
        </w:rPr>
      </w:pPr>
      <w:r w:rsidRPr="007D20DB">
        <w:rPr>
          <w:rFonts w:ascii="AGaramondPro-BoldItalic" w:hAnsi="AGaramondPro-BoldItalic" w:cs="AGaramondPro-BoldItalic"/>
          <w:b/>
          <w:bCs/>
          <w:i/>
          <w:iCs/>
          <w:color w:val="000000"/>
          <w:sz w:val="20"/>
          <w:szCs w:val="20"/>
          <w:lang w:val="en-US" w:eastAsia="ja-JP"/>
        </w:rPr>
        <w:t>b)</w:t>
      </w:r>
      <w:r w:rsidRPr="007D20DB">
        <w:rPr>
          <w:rFonts w:ascii="AGaramondPro-BoldItalic" w:hAnsi="AGaramondPro-BoldItalic" w:cs="AGaramondPro-BoldItalic"/>
          <w:b/>
          <w:bCs/>
          <w:i/>
          <w:iCs/>
          <w:color w:val="000000"/>
          <w:sz w:val="20"/>
          <w:szCs w:val="20"/>
          <w:lang w:val="en-US" w:eastAsia="ja-JP"/>
        </w:rPr>
        <w:tab/>
        <w:t>Other impact mitigation methods</w:t>
      </w:r>
    </w:p>
    <w:p w:rsidR="007D20DB" w:rsidRPr="007D20DB" w:rsidRDefault="007D20DB" w:rsidP="007D20DB">
      <w:pPr>
        <w:widowControl w:val="0"/>
        <w:suppressAutoHyphens/>
        <w:autoSpaceDE w:val="0"/>
        <w:autoSpaceDN w:val="0"/>
        <w:adjustRightInd w:val="0"/>
        <w:spacing w:after="170" w:line="280" w:lineRule="atLeast"/>
        <w:ind w:left="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A method for eradicating small infestations of </w:t>
      </w:r>
      <w:r w:rsidRPr="007D20DB">
        <w:rPr>
          <w:rFonts w:ascii="AGaramondPro-Italic" w:hAnsi="AGaramondPro-Italic" w:cs="AGaramondPro-Italic"/>
          <w:i/>
          <w:iCs/>
          <w:color w:val="000000"/>
          <w:sz w:val="20"/>
          <w:szCs w:val="20"/>
          <w:lang w:val="en-US" w:eastAsia="ja-JP"/>
        </w:rPr>
        <w:t>P.</w:t>
      </w:r>
      <w:r w:rsidRPr="007D20DB">
        <w:rPr>
          <w:rFonts w:ascii="AGaramondPro-Italic" w:hAnsi="AGaramondPro-Italic" w:cs="AGaramondPro-Italic"/>
          <w:i/>
          <w:iCs/>
          <w:color w:val="000000"/>
          <w:sz w:val="20"/>
          <w:szCs w:val="20"/>
          <w:rtl/>
          <w:lang w:val="en-US" w:eastAsia="ja-JP" w:bidi="ar-YE"/>
        </w:rPr>
        <w:t>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has been developed and could be applied strategically in suitable areas where priority biodiversity assets occur. The process involves a sequence of treatments: vegetation (host) destruction, fungicide and fumigant treatments, and containment barriers to protect threatened vegetation </w:t>
      </w:r>
      <w:r w:rsidR="00945B4B" w:rsidRPr="007D20DB">
        <w:rPr>
          <w:rFonts w:ascii="AGaramondPro-Regular" w:hAnsi="AGaramondPro-Regular" w:cs="AGaramondPro-Regular"/>
          <w:color w:val="000000"/>
          <w:sz w:val="20"/>
          <w:szCs w:val="20"/>
          <w:lang w:val="en-US" w:eastAsia="ja-JP"/>
        </w:rPr>
        <w:t>(Dunstan et al., 2010</w:t>
      </w:r>
      <w:r w:rsidR="00945B4B">
        <w:rPr>
          <w:rFonts w:ascii="AGaramondPro-Regular" w:hAnsi="AGaramondPro-Regular" w:cs="AGaramondPro-Regular"/>
          <w:color w:val="000000"/>
          <w:sz w:val="20"/>
          <w:szCs w:val="20"/>
          <w:lang w:val="en-US" w:eastAsia="ja-JP"/>
        </w:rPr>
        <w:t>; Dunne et al., 2011</w:t>
      </w:r>
      <w:r w:rsidR="00945B4B"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 xml:space="preserve"> This method greatly increases the potential for eradicating </w:t>
      </w:r>
      <w:r w:rsidRPr="007D20DB">
        <w:rPr>
          <w:rFonts w:ascii="AGaramondPro-Italic" w:hAnsi="AGaramondPro-Italic" w:cs="AGaramondPro-Italic"/>
          <w:i/>
          <w:iCs/>
          <w:color w:val="000000"/>
          <w:sz w:val="20"/>
          <w:szCs w:val="20"/>
          <w:lang w:val="en-US" w:eastAsia="ja-JP"/>
        </w:rPr>
        <w:t>P.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Italic" w:hAnsi="AGaramondPro-Italic" w:cs="AGaramondPro-Italic"/>
          <w:i/>
          <w:iCs/>
          <w:color w:val="000000"/>
          <w:sz w:val="20"/>
          <w:szCs w:val="20"/>
          <w:lang w:val="en-US" w:eastAsia="ja-JP"/>
        </w:rPr>
        <w:t xml:space="preserve"> </w:t>
      </w:r>
      <w:r w:rsidRPr="007D20DB">
        <w:rPr>
          <w:rFonts w:ascii="AGaramondPro-Regular" w:hAnsi="AGaramondPro-Regular" w:cs="AGaramondPro-Regular"/>
          <w:color w:val="000000"/>
          <w:sz w:val="20"/>
          <w:szCs w:val="20"/>
          <w:lang w:val="en-US" w:eastAsia="ja-JP"/>
        </w:rPr>
        <w:t>in ecosystems with sandy soils, dominated by root-to-root transmission (refer to the case study in the background document for more detail). Eradication efforts in clay or rocky soils dominated by water associated spread have proven more problematic.</w:t>
      </w:r>
    </w:p>
    <w:p w:rsidR="007D20DB" w:rsidRPr="007D20DB" w:rsidRDefault="007D20DB" w:rsidP="007D20DB">
      <w:pPr>
        <w:widowControl w:val="0"/>
        <w:suppressAutoHyphens/>
        <w:autoSpaceDE w:val="0"/>
        <w:autoSpaceDN w:val="0"/>
        <w:adjustRightInd w:val="0"/>
        <w:spacing w:after="170" w:line="280" w:lineRule="atLeast"/>
        <w:ind w:left="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A more recent study by Crone et al. (2012) has shown that, from a management perspective, the above technique may not be successful if annual and herbaceous perennial plant species are allowed to remain. These plants, even without symptoms, may act as hosts of </w:t>
      </w:r>
      <w:r w:rsidRPr="007D20DB">
        <w:rPr>
          <w:rFonts w:ascii="AGaramondPro-Italic" w:hAnsi="AGaramondPro-Italic" w:cs="AGaramondPro-Italic"/>
          <w:i/>
          <w:iCs/>
          <w:color w:val="000000"/>
          <w:sz w:val="20"/>
          <w:szCs w:val="20"/>
          <w:lang w:val="en-US" w:eastAsia="ja-JP"/>
        </w:rPr>
        <w:t>P.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Careful consideration must therefore be made as to the circumstances under which host destruction methods are appropriate. </w:t>
      </w:r>
    </w:p>
    <w:p w:rsidR="007D20DB" w:rsidRPr="007D20DB" w:rsidRDefault="007D20DB" w:rsidP="007D20DB">
      <w:pPr>
        <w:widowControl w:val="0"/>
        <w:suppressAutoHyphens/>
        <w:autoSpaceDE w:val="0"/>
        <w:autoSpaceDN w:val="0"/>
        <w:adjustRightInd w:val="0"/>
        <w:spacing w:after="170" w:line="280" w:lineRule="atLeast"/>
        <w:ind w:left="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WA DPAW has developed an assessment of site variables that influence whether eradication or containment of </w:t>
      </w:r>
      <w:r w:rsidRPr="007D20DB">
        <w:rPr>
          <w:rFonts w:ascii="AGaramondPro-Italic" w:hAnsi="AGaramondPro-Italic" w:cs="AGaramondPro-Italic"/>
          <w:i/>
          <w:iCs/>
          <w:color w:val="000000"/>
          <w:sz w:val="20"/>
          <w:szCs w:val="20"/>
          <w:lang w:val="en-US" w:eastAsia="ja-JP"/>
        </w:rPr>
        <w:t>P.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Italic" w:hAnsi="AGaramondPro-Italic" w:cs="AGaramondPro-Italic"/>
          <w:i/>
          <w:iCs/>
          <w:color w:val="000000"/>
          <w:sz w:val="20"/>
          <w:szCs w:val="20"/>
          <w:lang w:val="en-US" w:eastAsia="ja-JP"/>
        </w:rPr>
        <w:t xml:space="preserve"> </w:t>
      </w:r>
      <w:r w:rsidRPr="007D20DB">
        <w:rPr>
          <w:rFonts w:ascii="AGaramondPro-Regular" w:hAnsi="AGaramondPro-Regular" w:cs="AGaramondPro-Regular"/>
          <w:color w:val="000000"/>
          <w:sz w:val="20"/>
          <w:szCs w:val="20"/>
          <w:lang w:val="en-US" w:eastAsia="ja-JP"/>
        </w:rPr>
        <w:t xml:space="preserve">is likely (see Appendix E in the background document (Department of the Environment, 2014)). </w:t>
      </w:r>
    </w:p>
    <w:p w:rsidR="007D20DB" w:rsidRPr="007D20DB" w:rsidRDefault="007D20DB" w:rsidP="007D20DB">
      <w:pPr>
        <w:widowControl w:val="0"/>
        <w:suppressAutoHyphens/>
        <w:autoSpaceDE w:val="0"/>
        <w:autoSpaceDN w:val="0"/>
        <w:adjustRightInd w:val="0"/>
        <w:spacing w:after="170" w:line="280" w:lineRule="atLeast"/>
        <w:ind w:left="283"/>
        <w:textAlignment w:val="center"/>
        <w:rPr>
          <w:rFonts w:ascii="AGaramondPro-Italic" w:hAnsi="AGaramondPro-Italic" w:cs="AGaramondPro-Italic"/>
          <w:i/>
          <w:iCs/>
          <w:color w:val="000000"/>
          <w:sz w:val="20"/>
          <w:szCs w:val="20"/>
          <w:lang w:val="en-US" w:eastAsia="ja-JP"/>
        </w:rPr>
      </w:pPr>
      <w:r w:rsidRPr="007D20DB">
        <w:rPr>
          <w:rFonts w:ascii="AGaramondPro-Italic" w:hAnsi="AGaramondPro-Italic" w:cs="AGaramondPro-Italic"/>
          <w:i/>
          <w:iCs/>
          <w:color w:val="000000"/>
          <w:sz w:val="20"/>
          <w:szCs w:val="20"/>
          <w:lang w:val="en-US" w:eastAsia="ja-JP"/>
        </w:rPr>
        <w:t>Ex situ</w:t>
      </w:r>
      <w:r w:rsidRPr="007D20DB">
        <w:rPr>
          <w:rFonts w:ascii="AGaramondPro-Regular" w:hAnsi="AGaramondPro-Regular" w:cs="AGaramondPro-Regular"/>
          <w:color w:val="000000"/>
          <w:sz w:val="20"/>
          <w:szCs w:val="20"/>
          <w:lang w:val="en-US" w:eastAsia="ja-JP"/>
        </w:rPr>
        <w:t xml:space="preserve"> conservation of </w:t>
      </w:r>
      <w:proofErr w:type="spellStart"/>
      <w:r w:rsidRPr="007D20DB">
        <w:rPr>
          <w:rFonts w:ascii="AGaramondPro-Regular" w:hAnsi="AGaramondPro-Regular" w:cs="AGaramondPro-Regular"/>
          <w:color w:val="000000"/>
          <w:sz w:val="20"/>
          <w:szCs w:val="20"/>
          <w:lang w:val="en-US" w:eastAsia="ja-JP"/>
        </w:rPr>
        <w:t>germplasm</w:t>
      </w:r>
      <w:proofErr w:type="spellEnd"/>
      <w:r w:rsidRPr="007D20DB">
        <w:rPr>
          <w:rFonts w:ascii="AGaramondPro-Regular" w:hAnsi="AGaramondPro-Regular" w:cs="AGaramondPro-Regular"/>
          <w:color w:val="000000"/>
          <w:sz w:val="20"/>
          <w:szCs w:val="20"/>
          <w:lang w:val="en-US" w:eastAsia="ja-JP"/>
        </w:rPr>
        <w:t xml:space="preserve"> in seed banks is a well-established technique used to conserve wild plant genetic diversity and may support the management and conservation of plant species and communities. Guidelines have been prepared for plant </w:t>
      </w:r>
      <w:proofErr w:type="spellStart"/>
      <w:r w:rsidRPr="007D20DB">
        <w:rPr>
          <w:rFonts w:ascii="AGaramondPro-Regular" w:hAnsi="AGaramondPro-Regular" w:cs="AGaramondPro-Regular"/>
          <w:color w:val="000000"/>
          <w:sz w:val="20"/>
          <w:szCs w:val="20"/>
          <w:lang w:val="en-US" w:eastAsia="ja-JP"/>
        </w:rPr>
        <w:t>germplasm</w:t>
      </w:r>
      <w:proofErr w:type="spellEnd"/>
      <w:r w:rsidRPr="007D20DB">
        <w:rPr>
          <w:rFonts w:ascii="AGaramondPro-Regular" w:hAnsi="AGaramondPro-Regular" w:cs="AGaramondPro-Regular"/>
          <w:color w:val="000000"/>
          <w:sz w:val="20"/>
          <w:szCs w:val="20"/>
          <w:lang w:val="en-US" w:eastAsia="ja-JP"/>
        </w:rPr>
        <w:t xml:space="preserve"> conservation in Australia (ANPC, 2009). By contributing to a project to collect and preserve viable seeds in conservation seed banks in Australia (ASBP, 2013), the Department of the Environment has assisted to build a comprehensive and genetically diverse </w:t>
      </w:r>
      <w:r w:rsidRPr="007D20DB">
        <w:rPr>
          <w:rFonts w:ascii="AGaramondPro-Italic" w:hAnsi="AGaramondPro-Italic" w:cs="AGaramondPro-Italic"/>
          <w:i/>
          <w:iCs/>
          <w:color w:val="000000"/>
          <w:sz w:val="20"/>
          <w:szCs w:val="20"/>
          <w:lang w:val="en-US" w:eastAsia="ja-JP"/>
        </w:rPr>
        <w:t>ex</w:t>
      </w:r>
      <w:r w:rsidRPr="007D20DB">
        <w:rPr>
          <w:rFonts w:ascii="AGaramondPro-Italic" w:hAnsi="AGaramondPro-Italic" w:cs="AGaramondPro-Italic"/>
          <w:i/>
          <w:iCs/>
          <w:color w:val="000000"/>
          <w:sz w:val="20"/>
          <w:szCs w:val="20"/>
          <w:rtl/>
          <w:lang w:val="en-US" w:eastAsia="ja-JP" w:bidi="ar-YE"/>
        </w:rPr>
        <w:t> </w:t>
      </w:r>
      <w:r w:rsidRPr="007D20DB">
        <w:rPr>
          <w:rFonts w:ascii="AGaramondPro-Italic" w:hAnsi="AGaramondPro-Italic" w:cs="AGaramondPro-Italic"/>
          <w:i/>
          <w:iCs/>
          <w:color w:val="000000"/>
          <w:sz w:val="20"/>
          <w:szCs w:val="20"/>
          <w:lang w:val="en-US" w:eastAsia="ja-JP"/>
        </w:rPr>
        <w:t>situ</w:t>
      </w:r>
      <w:r w:rsidRPr="007D20DB">
        <w:rPr>
          <w:rFonts w:ascii="AGaramondPro-Regular" w:hAnsi="AGaramondPro-Regular" w:cs="AGaramondPro-Regular"/>
          <w:color w:val="000000"/>
          <w:sz w:val="20"/>
          <w:szCs w:val="20"/>
          <w:lang w:val="en-US" w:eastAsia="ja-JP"/>
        </w:rPr>
        <w:t xml:space="preserve"> collection of native plant </w:t>
      </w:r>
      <w:proofErr w:type="spellStart"/>
      <w:r w:rsidRPr="007D20DB">
        <w:rPr>
          <w:rFonts w:ascii="AGaramondPro-Regular" w:hAnsi="AGaramondPro-Regular" w:cs="AGaramondPro-Regular"/>
          <w:color w:val="000000"/>
          <w:sz w:val="20"/>
          <w:szCs w:val="20"/>
          <w:lang w:val="en-US" w:eastAsia="ja-JP"/>
        </w:rPr>
        <w:t>taxa</w:t>
      </w:r>
      <w:proofErr w:type="spellEnd"/>
      <w:r w:rsidRPr="007D20DB">
        <w:rPr>
          <w:rFonts w:ascii="AGaramondPro-Regular" w:hAnsi="AGaramondPro-Regular" w:cs="AGaramondPro-Regular"/>
          <w:color w:val="000000"/>
          <w:sz w:val="20"/>
          <w:szCs w:val="20"/>
          <w:lang w:val="en-US" w:eastAsia="ja-JP"/>
        </w:rPr>
        <w:t xml:space="preserve"> that are listed as threatened under the EPBC Act that are at risk from </w:t>
      </w:r>
      <w:r w:rsidRPr="007D20DB">
        <w:rPr>
          <w:rFonts w:ascii="AGaramondPro-Italic" w:hAnsi="AGaramondPro-Italic" w:cs="AGaramondPro-Italic"/>
          <w:i/>
          <w:iCs/>
          <w:color w:val="000000"/>
          <w:sz w:val="20"/>
          <w:szCs w:val="20"/>
          <w:lang w:val="en-US" w:eastAsia="ja-JP"/>
        </w:rPr>
        <w:t>P.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Italic" w:hAnsi="AGaramondPro-Italic" w:cs="AGaramondPro-Italic"/>
          <w:i/>
          <w:iCs/>
          <w:color w:val="000000"/>
          <w:sz w:val="20"/>
          <w:szCs w:val="20"/>
          <w:lang w:val="en-US" w:eastAsia="ja-JP"/>
        </w:rPr>
        <w:t>.</w:t>
      </w:r>
    </w:p>
    <w:p w:rsidR="007D20DB" w:rsidRPr="007D20DB" w:rsidRDefault="007D20DB" w:rsidP="007D20DB">
      <w:pPr>
        <w:widowControl w:val="0"/>
        <w:suppressAutoHyphens/>
        <w:autoSpaceDE w:val="0"/>
        <w:autoSpaceDN w:val="0"/>
        <w:adjustRightInd w:val="0"/>
        <w:spacing w:after="170" w:line="280" w:lineRule="atLeast"/>
        <w:ind w:left="283"/>
        <w:textAlignment w:val="center"/>
        <w:rPr>
          <w:rFonts w:ascii="AGaramondPro-Italic" w:hAnsi="AGaramondPro-Italic" w:cs="AGaramondPro-Italic"/>
          <w:i/>
          <w:iCs/>
          <w:color w:val="000000"/>
          <w:sz w:val="20"/>
          <w:szCs w:val="20"/>
          <w:lang w:val="en-US" w:eastAsia="ja-JP"/>
        </w:rPr>
      </w:pPr>
    </w:p>
    <w:p w:rsidR="007D20DB" w:rsidRPr="007D20DB" w:rsidRDefault="007D20DB" w:rsidP="007D20DB">
      <w:pPr>
        <w:widowControl w:val="0"/>
        <w:suppressAutoHyphens/>
        <w:autoSpaceDE w:val="0"/>
        <w:autoSpaceDN w:val="0"/>
        <w:adjustRightInd w:val="0"/>
        <w:spacing w:after="170" w:line="280" w:lineRule="atLeast"/>
        <w:ind w:left="283"/>
        <w:textAlignment w:val="center"/>
        <w:rPr>
          <w:rFonts w:ascii="AGaramondPro-Regular" w:hAnsi="AGaramondPro-Regular" w:cs="AGaramondPro-Regular"/>
          <w:color w:val="000000"/>
          <w:sz w:val="20"/>
          <w:szCs w:val="20"/>
          <w:lang w:val="en-US" w:eastAsia="ja-JP"/>
        </w:rPr>
      </w:pPr>
      <w:r w:rsidRPr="007D20DB">
        <w:rPr>
          <w:rFonts w:ascii="AGaramondPro-Italic" w:hAnsi="AGaramondPro-Italic" w:cs="AGaramondPro-Italic"/>
          <w:i/>
          <w:iCs/>
          <w:color w:val="000000"/>
          <w:sz w:val="20"/>
          <w:szCs w:val="20"/>
          <w:lang w:val="en-US" w:eastAsia="ja-JP"/>
        </w:rPr>
        <w:t>In situ</w:t>
      </w:r>
      <w:r w:rsidRPr="007D20DB">
        <w:rPr>
          <w:rFonts w:ascii="AGaramondPro-Regular" w:hAnsi="AGaramondPro-Regular" w:cs="AGaramondPro-Regular"/>
          <w:color w:val="000000"/>
          <w:sz w:val="20"/>
          <w:szCs w:val="20"/>
          <w:lang w:val="en-US" w:eastAsia="ja-JP"/>
        </w:rPr>
        <w:t xml:space="preserve"> conservation, or translocation, can also be employed. This is the deliberate transfer of plants or regenerative plant material from one place to another for the purpose of enhancing genetic diversity and habitat for conservation. Guidelines for the translocation of threatened plants in Australia (</w:t>
      </w:r>
      <w:proofErr w:type="spellStart"/>
      <w:r w:rsidRPr="007D20DB">
        <w:rPr>
          <w:rFonts w:ascii="AGaramondPro-Regular" w:hAnsi="AGaramondPro-Regular" w:cs="AGaramondPro-Regular"/>
          <w:color w:val="000000"/>
          <w:sz w:val="20"/>
          <w:szCs w:val="20"/>
          <w:lang w:val="en-US" w:eastAsia="ja-JP"/>
        </w:rPr>
        <w:t>Vallee</w:t>
      </w:r>
      <w:proofErr w:type="spellEnd"/>
      <w:r w:rsidRPr="007D20DB">
        <w:rPr>
          <w:rFonts w:ascii="AGaramondPro-Regular" w:hAnsi="AGaramondPro-Regular" w:cs="AGaramondPro-Regular"/>
          <w:color w:val="000000"/>
          <w:sz w:val="20"/>
          <w:szCs w:val="20"/>
          <w:lang w:val="en-US" w:eastAsia="ja-JP"/>
        </w:rPr>
        <w:t xml:space="preserve"> et al., 2004) take into account the benefits, risks, planning and implementation associated with the strategy.</w:t>
      </w:r>
    </w:p>
    <w:p w:rsidR="007D20DB" w:rsidRPr="007D20DB" w:rsidRDefault="007D20DB" w:rsidP="007D20DB">
      <w:pPr>
        <w:widowControl w:val="0"/>
        <w:suppressAutoHyphens/>
        <w:autoSpaceDE w:val="0"/>
        <w:autoSpaceDN w:val="0"/>
        <w:adjustRightInd w:val="0"/>
        <w:spacing w:after="170" w:line="280" w:lineRule="atLeast"/>
        <w:ind w:left="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Breeding for resistance is another potential impact mitigation method. There is considerable variation in resistance within a species or between species within the same genus or subgenus. Enhancing the process of natural selection for resistance may be a longer term management option for many </w:t>
      </w:r>
      <w:proofErr w:type="spellStart"/>
      <w:r w:rsidRPr="007D20DB">
        <w:rPr>
          <w:rFonts w:ascii="AGaramondPro-Regular" w:hAnsi="AGaramondPro-Regular" w:cs="AGaramondPro-Regular"/>
          <w:color w:val="000000"/>
          <w:sz w:val="20"/>
          <w:szCs w:val="20"/>
          <w:lang w:val="en-US" w:eastAsia="ja-JP"/>
        </w:rPr>
        <w:t>taxa</w:t>
      </w:r>
      <w:proofErr w:type="spellEnd"/>
      <w:r w:rsidRPr="007D20DB">
        <w:rPr>
          <w:rFonts w:ascii="AGaramondPro-Regular" w:hAnsi="AGaramondPro-Regular" w:cs="AGaramondPro-Regular"/>
          <w:color w:val="000000"/>
          <w:sz w:val="20"/>
          <w:szCs w:val="20"/>
          <w:lang w:val="en-US" w:eastAsia="ja-JP"/>
        </w:rPr>
        <w:t xml:space="preserve">. Future research may also allow for the transfer of resistance genes into those </w:t>
      </w:r>
      <w:proofErr w:type="spellStart"/>
      <w:r w:rsidRPr="007D20DB">
        <w:rPr>
          <w:rFonts w:ascii="AGaramondPro-Regular" w:hAnsi="AGaramondPro-Regular" w:cs="AGaramondPro-Regular"/>
          <w:color w:val="000000"/>
          <w:sz w:val="20"/>
          <w:szCs w:val="20"/>
          <w:lang w:val="en-US" w:eastAsia="ja-JP"/>
        </w:rPr>
        <w:t>taxa</w:t>
      </w:r>
      <w:proofErr w:type="spellEnd"/>
      <w:r w:rsidRPr="007D20DB">
        <w:rPr>
          <w:rFonts w:ascii="AGaramondPro-Regular" w:hAnsi="AGaramondPro-Regular" w:cs="AGaramondPro-Regular"/>
          <w:color w:val="000000"/>
          <w:sz w:val="20"/>
          <w:szCs w:val="20"/>
          <w:lang w:val="en-US" w:eastAsia="ja-JP"/>
        </w:rPr>
        <w:t xml:space="preserve"> that at present appear to have no resistance. An improved understanding of the genetic basis of resistance and the genetic diversity of </w:t>
      </w:r>
      <w:r w:rsidRPr="007D20DB">
        <w:rPr>
          <w:rFonts w:ascii="AGaramondPro-Italic" w:hAnsi="AGaramondPro-Italic" w:cs="AGaramondPro-Italic"/>
          <w:i/>
          <w:iCs/>
          <w:color w:val="000000"/>
          <w:sz w:val="20"/>
          <w:szCs w:val="20"/>
          <w:lang w:val="en-US" w:eastAsia="ja-JP"/>
        </w:rPr>
        <w:t>P.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will be essential for this work. Initially, the availability of samples of </w:t>
      </w:r>
      <w:r w:rsidRPr="007D20DB">
        <w:rPr>
          <w:rFonts w:ascii="AGaramondPro-Italic" w:hAnsi="AGaramondPro-Italic" w:cs="AGaramondPro-Italic"/>
          <w:i/>
          <w:iCs/>
          <w:color w:val="000000"/>
          <w:sz w:val="20"/>
          <w:szCs w:val="20"/>
          <w:lang w:val="en-US" w:eastAsia="ja-JP"/>
        </w:rPr>
        <w:t>P.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cultures, isolated and collected from a wide range of natural ecosystems, would facilitate any research.</w:t>
      </w:r>
    </w:p>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More information on the use of </w:t>
      </w:r>
      <w:proofErr w:type="spellStart"/>
      <w:r w:rsidRPr="007D20DB">
        <w:rPr>
          <w:rFonts w:ascii="AGaramondPro-Regular" w:hAnsi="AGaramondPro-Regular" w:cs="AGaramondPro-Regular"/>
          <w:color w:val="000000"/>
          <w:sz w:val="20"/>
          <w:szCs w:val="20"/>
          <w:lang w:val="en-US" w:eastAsia="ja-JP"/>
        </w:rPr>
        <w:t>phosphite</w:t>
      </w:r>
      <w:proofErr w:type="spellEnd"/>
      <w:r w:rsidRPr="007D20DB">
        <w:rPr>
          <w:rFonts w:ascii="AGaramondPro-Regular" w:hAnsi="AGaramondPro-Regular" w:cs="AGaramondPro-Regular"/>
          <w:color w:val="000000"/>
          <w:sz w:val="20"/>
          <w:szCs w:val="20"/>
          <w:lang w:val="en-US" w:eastAsia="ja-JP"/>
        </w:rPr>
        <w:t>, containment activities and other management measures undertaken in Australia can be found in the background document (Department of the Environment, 2014).</w:t>
      </w:r>
    </w:p>
    <w:p w:rsidR="007D20DB" w:rsidRPr="007D20DB" w:rsidRDefault="007D20DB" w:rsidP="00704644">
      <w:pPr>
        <w:pStyle w:val="02HEADING20"/>
      </w:pPr>
      <w:bookmarkStart w:id="15" w:name="_Toc253067283"/>
      <w:r w:rsidRPr="007D20DB">
        <w:t>1.5</w:t>
      </w:r>
      <w:r w:rsidRPr="007D20DB">
        <w:tab/>
        <w:t>Climate change</w:t>
      </w:r>
      <w:bookmarkEnd w:id="15"/>
    </w:p>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It is difficult to predict how changing climate parameters will impact </w:t>
      </w:r>
      <w:proofErr w:type="spellStart"/>
      <w:r w:rsidRPr="007D20DB">
        <w:rPr>
          <w:rFonts w:ascii="AGaramondPro-Italic" w:hAnsi="AGaramondPro-Italic" w:cs="AGaramondPro-Italic"/>
          <w:i/>
          <w:iCs/>
          <w:color w:val="000000"/>
          <w:sz w:val="20"/>
          <w:szCs w:val="20"/>
          <w:lang w:val="en-US" w:eastAsia="ja-JP"/>
        </w:rPr>
        <w:t>Phytophthora</w:t>
      </w:r>
      <w:proofErr w:type="spellEnd"/>
      <w:r w:rsidRPr="007D20DB">
        <w:rPr>
          <w:rFonts w:ascii="AGaramondPro-Regular" w:hAnsi="AGaramondPro-Regular" w:cs="AGaramondPro-Regular"/>
          <w:color w:val="000000"/>
          <w:sz w:val="20"/>
          <w:szCs w:val="20"/>
          <w:lang w:val="en-US" w:eastAsia="ja-JP"/>
        </w:rPr>
        <w:t xml:space="preserve"> dieback, but it is likely that the distribution and severity of </w:t>
      </w:r>
      <w:r w:rsidRPr="007D20DB">
        <w:rPr>
          <w:rFonts w:ascii="AGaramondPro-Italic" w:hAnsi="AGaramondPro-Italic" w:cs="AGaramondPro-Italic"/>
          <w:i/>
          <w:iCs/>
          <w:color w:val="000000"/>
          <w:sz w:val="20"/>
          <w:szCs w:val="20"/>
          <w:lang w:val="en-US" w:eastAsia="ja-JP"/>
        </w:rPr>
        <w:t>P.</w:t>
      </w:r>
      <w:r w:rsidRPr="007D20DB">
        <w:rPr>
          <w:rFonts w:ascii="AGaramondPro-Italic" w:hAnsi="AGaramondPro-Italic" w:cs="AGaramondPro-Italic"/>
          <w:i/>
          <w:iCs/>
          <w:color w:val="000000"/>
          <w:sz w:val="20"/>
          <w:szCs w:val="20"/>
          <w:rtl/>
          <w:lang w:val="en-US" w:eastAsia="ja-JP" w:bidi="ar-YE"/>
        </w:rPr>
        <w:t>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Italic" w:hAnsi="AGaramondPro-Italic" w:cs="AGaramondPro-Italic"/>
          <w:i/>
          <w:iCs/>
          <w:color w:val="000000"/>
          <w:sz w:val="20"/>
          <w:szCs w:val="20"/>
          <w:lang w:val="en-US" w:eastAsia="ja-JP"/>
        </w:rPr>
        <w:t xml:space="preserve"> </w:t>
      </w:r>
      <w:r w:rsidRPr="007D20DB">
        <w:rPr>
          <w:rFonts w:ascii="AGaramondPro-Regular" w:hAnsi="AGaramondPro-Regular" w:cs="AGaramondPro-Regular"/>
          <w:color w:val="000000"/>
          <w:sz w:val="20"/>
          <w:szCs w:val="20"/>
          <w:lang w:val="en-US" w:eastAsia="ja-JP"/>
        </w:rPr>
        <w:t xml:space="preserve">infestations will be significantly altered because of climate change. With predicted average temperature increases of between 1°C and 5°C in Australia by the year 2070 (CSIRO and Bureau of Meteorology 2007-2012), it is probable that </w:t>
      </w:r>
      <w:proofErr w:type="spellStart"/>
      <w:r w:rsidRPr="007D20DB">
        <w:rPr>
          <w:rFonts w:ascii="AGaramondPro-Italic" w:hAnsi="AGaramondPro-Italic" w:cs="AGaramondPro-Italic"/>
          <w:i/>
          <w:iCs/>
          <w:color w:val="000000"/>
          <w:sz w:val="20"/>
          <w:szCs w:val="20"/>
          <w:lang w:val="en-US" w:eastAsia="ja-JP"/>
        </w:rPr>
        <w:t>Phytophthora</w:t>
      </w:r>
      <w:proofErr w:type="spellEnd"/>
      <w:r w:rsidRPr="007D20DB">
        <w:rPr>
          <w:rFonts w:ascii="AGaramondPro-Regular" w:hAnsi="AGaramondPro-Regular" w:cs="AGaramondPro-Regular"/>
          <w:color w:val="000000"/>
          <w:sz w:val="20"/>
          <w:szCs w:val="20"/>
          <w:lang w:val="en-US" w:eastAsia="ja-JP"/>
        </w:rPr>
        <w:t xml:space="preserve"> dieback will extend into areas (for example, arid and higher altitude regions) that were previously unsuitable for the establishment of the pathogen. In contrast, some areas predicted to have reductions in rainfall could become less conducive to pathogen activity or establishment. The effect of vegetation change on soil temperatures is harder to predict than air temperature changes. This may be a major determinant of the changed distribution of </w:t>
      </w:r>
      <w:r w:rsidRPr="007D20DB">
        <w:rPr>
          <w:rFonts w:ascii="AGaramondPro-Italic" w:hAnsi="AGaramondPro-Italic" w:cs="AGaramondPro-Italic"/>
          <w:i/>
          <w:iCs/>
          <w:color w:val="000000"/>
          <w:sz w:val="20"/>
          <w:szCs w:val="20"/>
          <w:lang w:val="en-US" w:eastAsia="ja-JP"/>
        </w:rPr>
        <w:t>P.</w:t>
      </w:r>
      <w:r w:rsidRPr="007D20DB">
        <w:rPr>
          <w:rFonts w:ascii="AGaramondPro-Bold" w:hAnsi="AGaramondPro-Bold" w:cs="AGaramondPro-Bold"/>
          <w:b/>
          <w:bCs/>
          <w:color w:val="000000"/>
          <w:sz w:val="20"/>
          <w:szCs w:val="20"/>
          <w:rtl/>
          <w:lang w:val="en-US" w:eastAsia="ja-JP" w:bidi="ar-YE"/>
        </w:rPr>
        <w:t>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Italic" w:hAnsi="AGaramondPro-Italic" w:cs="AGaramondPro-Italic"/>
          <w:i/>
          <w:iCs/>
          <w:color w:val="000000"/>
          <w:sz w:val="20"/>
          <w:szCs w:val="20"/>
          <w:lang w:val="en-US" w:eastAsia="ja-JP"/>
        </w:rPr>
        <w:t xml:space="preserve"> </w:t>
      </w:r>
      <w:r w:rsidRPr="007D20DB">
        <w:rPr>
          <w:rFonts w:ascii="AGaramondPro-Regular" w:hAnsi="AGaramondPro-Regular" w:cs="AGaramondPro-Regular"/>
          <w:color w:val="000000"/>
          <w:sz w:val="20"/>
          <w:szCs w:val="20"/>
          <w:lang w:val="en-US" w:eastAsia="ja-JP"/>
        </w:rPr>
        <w:t xml:space="preserve">in some situations. Recent </w:t>
      </w:r>
      <w:proofErr w:type="spellStart"/>
      <w:r w:rsidRPr="007D20DB">
        <w:rPr>
          <w:rFonts w:ascii="AGaramondPro-Regular" w:hAnsi="AGaramondPro-Regular" w:cs="AGaramondPro-Regular"/>
          <w:color w:val="000000"/>
          <w:sz w:val="20"/>
          <w:szCs w:val="20"/>
          <w:lang w:val="en-US" w:eastAsia="ja-JP"/>
        </w:rPr>
        <w:t>modelling</w:t>
      </w:r>
      <w:proofErr w:type="spellEnd"/>
      <w:r w:rsidRPr="007D20DB">
        <w:rPr>
          <w:rFonts w:ascii="AGaramondPro-Regular" w:hAnsi="AGaramondPro-Regular" w:cs="AGaramondPro-Regular"/>
          <w:color w:val="000000"/>
          <w:sz w:val="20"/>
          <w:szCs w:val="20"/>
          <w:lang w:val="en-US" w:eastAsia="ja-JP"/>
        </w:rPr>
        <w:t xml:space="preserve"> (CPSM, 2013) will be useful to managers and policy makers involved in ensuring the spread and impact of </w:t>
      </w:r>
      <w:r w:rsidRPr="007D20DB">
        <w:rPr>
          <w:rFonts w:ascii="AGaramondPro-Italic" w:hAnsi="AGaramondPro-Italic" w:cs="AGaramondPro-Italic"/>
          <w:i/>
          <w:iCs/>
          <w:color w:val="000000"/>
          <w:sz w:val="20"/>
          <w:szCs w:val="20"/>
          <w:lang w:val="en-US" w:eastAsia="ja-JP"/>
        </w:rPr>
        <w:t>P.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is contained in the future. For a more detailed </w:t>
      </w:r>
      <w:r w:rsidRPr="007D20DB">
        <w:rPr>
          <w:rFonts w:ascii="AGaramondPro-Regular" w:hAnsi="AGaramondPro-Regular" w:cs="AGaramondPro-Regular"/>
          <w:color w:val="000000"/>
          <w:sz w:val="20"/>
          <w:szCs w:val="20"/>
          <w:lang w:val="en-US" w:eastAsia="ja-JP"/>
        </w:rPr>
        <w:lastRenderedPageBreak/>
        <w:t xml:space="preserve">discussion of the potential interactions between </w:t>
      </w:r>
      <w:r w:rsidRPr="007D20DB">
        <w:rPr>
          <w:rFonts w:ascii="AGaramondPro-Italic" w:hAnsi="AGaramondPro-Italic" w:cs="AGaramondPro-Italic"/>
          <w:i/>
          <w:iCs/>
          <w:color w:val="000000"/>
          <w:sz w:val="20"/>
          <w:szCs w:val="20"/>
          <w:lang w:val="en-US" w:eastAsia="ja-JP"/>
        </w:rPr>
        <w:t>P.</w:t>
      </w:r>
      <w:r w:rsidRPr="007D20DB">
        <w:rPr>
          <w:rFonts w:ascii="AGaramondPro-Regular" w:hAnsi="AGaramondPro-Regular" w:cs="AGaramondPro-Regular"/>
          <w:color w:val="000000"/>
          <w:sz w:val="20"/>
          <w:szCs w:val="20"/>
          <w:rtl/>
          <w:lang w:val="en-US" w:eastAsia="ja-JP" w:bidi="ar-YE"/>
        </w:rPr>
        <w:t>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and climate change, please refer to the background document (Department of the Environment, 2014).</w:t>
      </w:r>
    </w:p>
    <w:p w:rsidR="007D20DB" w:rsidRPr="007D20DB" w:rsidRDefault="007D20DB" w:rsidP="007D20DB">
      <w:pPr>
        <w:keepNext/>
        <w:widowControl w:val="0"/>
        <w:suppressAutoHyphens/>
        <w:autoSpaceDE w:val="0"/>
        <w:autoSpaceDN w:val="0"/>
        <w:adjustRightInd w:val="0"/>
        <w:spacing w:after="170" w:line="280" w:lineRule="atLeast"/>
        <w:textAlignment w:val="center"/>
        <w:outlineLvl w:val="0"/>
        <w:rPr>
          <w:rFonts w:ascii="AGaramondPro-Bold" w:hAnsi="AGaramondPro-Bold" w:cs="AGaramondPro-Bold"/>
          <w:b/>
          <w:bCs/>
          <w:caps/>
          <w:color w:val="000000"/>
          <w:sz w:val="20"/>
          <w:szCs w:val="20"/>
          <w:lang w:val="en-US" w:eastAsia="ja-JP"/>
        </w:rPr>
      </w:pPr>
    </w:p>
    <w:p w:rsidR="00704644" w:rsidRDefault="00704644">
      <w:pPr>
        <w:rPr>
          <w:rFonts w:ascii="MyriadPro-Regular" w:hAnsi="MyriadPro-Regular" w:cs="MyriadPro-Regular"/>
          <w:color w:val="004484"/>
          <w:sz w:val="52"/>
          <w:szCs w:val="52"/>
          <w:lang w:val="en-US" w:eastAsia="ja-JP"/>
        </w:rPr>
      </w:pPr>
      <w:r>
        <w:rPr>
          <w:rFonts w:ascii="MyriadPro-Regular" w:hAnsi="MyriadPro-Regular" w:cs="MyriadPro-Regular"/>
          <w:color w:val="004484"/>
          <w:sz w:val="52"/>
          <w:szCs w:val="52"/>
          <w:lang w:val="en-US" w:eastAsia="ja-JP"/>
        </w:rPr>
        <w:br w:type="page"/>
      </w:r>
    </w:p>
    <w:p w:rsidR="007D20DB" w:rsidRPr="007D20DB" w:rsidRDefault="007D20DB" w:rsidP="00704644">
      <w:pPr>
        <w:pStyle w:val="01HEADING1"/>
      </w:pPr>
      <w:bookmarkStart w:id="16" w:name="_Toc253067284"/>
      <w:r w:rsidRPr="007D20DB">
        <w:lastRenderedPageBreak/>
        <w:t xml:space="preserve">2. </w:t>
      </w:r>
      <w:r w:rsidRPr="007D20DB">
        <w:tab/>
        <w:t>Objectives and Actions</w:t>
      </w:r>
      <w:bookmarkEnd w:id="16"/>
    </w:p>
    <w:p w:rsidR="007D20DB" w:rsidRPr="007D20DB" w:rsidRDefault="007D20DB" w:rsidP="007D20DB">
      <w:pPr>
        <w:widowControl w:val="0"/>
        <w:suppressAutoHyphens/>
        <w:autoSpaceDE w:val="0"/>
        <w:autoSpaceDN w:val="0"/>
        <w:adjustRightInd w:val="0"/>
        <w:spacing w:before="113" w:after="907" w:line="480" w:lineRule="atLeast"/>
        <w:textAlignment w:val="center"/>
        <w:rPr>
          <w:rFonts w:ascii="MyriadPro-Regular" w:hAnsi="MyriadPro-Regular" w:cs="MyriadPro-Regular"/>
          <w:color w:val="000000"/>
          <w:sz w:val="40"/>
          <w:szCs w:val="40"/>
          <w:lang w:val="en-US" w:eastAsia="ja-JP"/>
        </w:rPr>
      </w:pPr>
      <w:r w:rsidRPr="007D20DB">
        <w:rPr>
          <w:rFonts w:ascii="MyriadPro-Regular" w:hAnsi="MyriadPro-Regular" w:cs="MyriadPro-Regular"/>
          <w:color w:val="000000"/>
          <w:sz w:val="40"/>
          <w:szCs w:val="40"/>
          <w:lang w:val="en-US" w:eastAsia="ja-JP"/>
        </w:rPr>
        <w:t xml:space="preserve">The goal of this TAP is to </w:t>
      </w:r>
      <w:proofErr w:type="spellStart"/>
      <w:r w:rsidRPr="007D20DB">
        <w:rPr>
          <w:rFonts w:ascii="MyriadPro-Regular" w:hAnsi="MyriadPro-Regular" w:cs="MyriadPro-Regular"/>
          <w:color w:val="000000"/>
          <w:sz w:val="40"/>
          <w:szCs w:val="40"/>
          <w:lang w:val="en-US" w:eastAsia="ja-JP"/>
        </w:rPr>
        <w:t>minimise</w:t>
      </w:r>
      <w:proofErr w:type="spellEnd"/>
      <w:r w:rsidRPr="007D20DB">
        <w:rPr>
          <w:rFonts w:ascii="MyriadPro-Regular" w:hAnsi="MyriadPro-Regular" w:cs="MyriadPro-Regular"/>
          <w:color w:val="000000"/>
          <w:sz w:val="40"/>
          <w:szCs w:val="40"/>
          <w:lang w:val="en-US" w:eastAsia="ja-JP"/>
        </w:rPr>
        <w:t xml:space="preserve"> the impacts of </w:t>
      </w:r>
      <w:r w:rsidRPr="007D20DB">
        <w:rPr>
          <w:rFonts w:ascii="MyriadPro-It" w:hAnsi="MyriadPro-It" w:cs="MyriadPro-It"/>
          <w:i/>
          <w:iCs/>
          <w:color w:val="000000"/>
          <w:sz w:val="40"/>
          <w:szCs w:val="40"/>
          <w:lang w:val="en-US" w:eastAsia="ja-JP"/>
        </w:rPr>
        <w:t>P.</w:t>
      </w:r>
      <w:r w:rsidRPr="007D20DB">
        <w:rPr>
          <w:rFonts w:ascii="MyriadPro-Bold" w:hAnsi="MyriadPro-Bold" w:cs="MyriadPro-Bold"/>
          <w:b/>
          <w:bCs/>
          <w:color w:val="000000"/>
          <w:sz w:val="40"/>
          <w:szCs w:val="40"/>
          <w:rtl/>
          <w:lang w:val="en-US" w:eastAsia="ja-JP" w:bidi="ar-YE"/>
        </w:rPr>
        <w:t> </w:t>
      </w:r>
      <w:proofErr w:type="spellStart"/>
      <w:r w:rsidRPr="007D20DB">
        <w:rPr>
          <w:rFonts w:ascii="MyriadPro-It" w:hAnsi="MyriadPro-It" w:cs="MyriadPro-It"/>
          <w:i/>
          <w:iCs/>
          <w:color w:val="000000"/>
          <w:sz w:val="40"/>
          <w:szCs w:val="40"/>
          <w:lang w:val="en-US" w:eastAsia="ja-JP"/>
        </w:rPr>
        <w:t>cinnamomi</w:t>
      </w:r>
      <w:proofErr w:type="spellEnd"/>
      <w:r w:rsidRPr="007D20DB">
        <w:rPr>
          <w:rFonts w:ascii="MyriadPro-Regular" w:hAnsi="MyriadPro-Regular" w:cs="MyriadPro-Regular"/>
          <w:color w:val="000000"/>
          <w:sz w:val="40"/>
          <w:szCs w:val="40"/>
          <w:lang w:val="en-US" w:eastAsia="ja-JP"/>
        </w:rPr>
        <w:t xml:space="preserve"> on matters of national environmental significance (NES) under the EPBC Act and priority biodiversity assets (that will include matters of NES) identified by the actions of this TAP. To achieve this goal, the TAP has three objectives. </w:t>
      </w:r>
    </w:p>
    <w:p w:rsidR="007D20DB" w:rsidRPr="007D20DB" w:rsidRDefault="007D20DB" w:rsidP="007D20DB">
      <w:pPr>
        <w:widowControl w:val="0"/>
        <w:suppressAutoHyphens/>
        <w:autoSpaceDE w:val="0"/>
        <w:autoSpaceDN w:val="0"/>
        <w:adjustRightInd w:val="0"/>
        <w:spacing w:after="170" w:line="280" w:lineRule="atLeast"/>
        <w:ind w:left="283"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1. </w:t>
      </w:r>
      <w:r w:rsidRPr="007D20DB">
        <w:rPr>
          <w:rFonts w:ascii="AGaramondPro-Regular" w:hAnsi="AGaramondPro-Regular" w:cs="AGaramondPro-Regular"/>
          <w:color w:val="000000"/>
          <w:sz w:val="20"/>
          <w:szCs w:val="20"/>
          <w:lang w:val="en-US" w:eastAsia="ja-JP"/>
        </w:rPr>
        <w:tab/>
        <w:t xml:space="preserve">Identify and </w:t>
      </w:r>
      <w:proofErr w:type="spellStart"/>
      <w:r w:rsidRPr="007D20DB">
        <w:rPr>
          <w:rFonts w:ascii="AGaramondPro-Regular" w:hAnsi="AGaramondPro-Regular" w:cs="AGaramondPro-Regular"/>
          <w:color w:val="000000"/>
          <w:sz w:val="20"/>
          <w:szCs w:val="20"/>
          <w:lang w:val="en-US" w:eastAsia="ja-JP"/>
        </w:rPr>
        <w:t>prioritise</w:t>
      </w:r>
      <w:proofErr w:type="spellEnd"/>
      <w:r w:rsidRPr="007D20DB">
        <w:rPr>
          <w:rFonts w:ascii="AGaramondPro-Regular" w:hAnsi="AGaramondPro-Regular" w:cs="AGaramondPro-Regular"/>
          <w:color w:val="000000"/>
          <w:sz w:val="20"/>
          <w:szCs w:val="20"/>
          <w:lang w:val="en-US" w:eastAsia="ja-JP"/>
        </w:rPr>
        <w:t xml:space="preserve"> for protection:</w:t>
      </w:r>
    </w:p>
    <w:p w:rsidR="007D20DB" w:rsidRPr="007D20DB" w:rsidRDefault="007D20DB" w:rsidP="007D20DB">
      <w:pPr>
        <w:widowControl w:val="0"/>
        <w:suppressAutoHyphens/>
        <w:autoSpaceDE w:val="0"/>
        <w:autoSpaceDN w:val="0"/>
        <w:adjustRightInd w:val="0"/>
        <w:spacing w:after="113" w:line="280" w:lineRule="atLeast"/>
        <w:ind w:left="567"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r>
      <w:proofErr w:type="gramStart"/>
      <w:r w:rsidRPr="007D20DB">
        <w:rPr>
          <w:rFonts w:ascii="AGaramondPro-Regular" w:hAnsi="AGaramondPro-Regular" w:cs="AGaramondPro-Regular"/>
          <w:color w:val="000000"/>
          <w:sz w:val="20"/>
          <w:szCs w:val="20"/>
          <w:lang w:val="en-US" w:eastAsia="ja-JP"/>
        </w:rPr>
        <w:t>biodiversity</w:t>
      </w:r>
      <w:proofErr w:type="gramEnd"/>
      <w:r w:rsidRPr="007D20DB">
        <w:rPr>
          <w:rFonts w:ascii="AGaramondPro-Regular" w:hAnsi="AGaramondPro-Regular" w:cs="AGaramondPro-Regular"/>
          <w:color w:val="000000"/>
          <w:sz w:val="20"/>
          <w:szCs w:val="20"/>
          <w:lang w:val="en-US" w:eastAsia="ja-JP"/>
        </w:rPr>
        <w:t xml:space="preserve"> assets </w:t>
      </w:r>
    </w:p>
    <w:p w:rsidR="007D20DB" w:rsidRPr="007D20DB" w:rsidRDefault="007D20DB" w:rsidP="007D20DB">
      <w:pPr>
        <w:widowControl w:val="0"/>
        <w:suppressAutoHyphens/>
        <w:autoSpaceDE w:val="0"/>
        <w:autoSpaceDN w:val="0"/>
        <w:adjustRightInd w:val="0"/>
        <w:spacing w:after="113" w:line="280" w:lineRule="atLeast"/>
        <w:ind w:left="567"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t xml:space="preserve">areas where there is potential for </w:t>
      </w:r>
      <w:r w:rsidRPr="007D20DB">
        <w:rPr>
          <w:rFonts w:ascii="AGaramondPro-Italic" w:hAnsi="AGaramondPro-Italic" w:cs="AGaramondPro-Italic"/>
          <w:i/>
          <w:iCs/>
          <w:color w:val="000000"/>
          <w:sz w:val="20"/>
          <w:szCs w:val="20"/>
          <w:lang w:val="en-US" w:eastAsia="ja-JP"/>
        </w:rPr>
        <w:t>P.</w:t>
      </w:r>
      <w:r w:rsidRPr="007D20DB">
        <w:rPr>
          <w:rFonts w:ascii="AGaramondPro-Regular" w:hAnsi="AGaramondPro-Regular" w:cs="AGaramondPro-Regular"/>
          <w:color w:val="000000"/>
          <w:sz w:val="20"/>
          <w:szCs w:val="20"/>
          <w:rtl/>
          <w:lang w:val="en-US" w:eastAsia="ja-JP" w:bidi="ar-YE"/>
        </w:rPr>
        <w:t>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to cause native species or ecological communities not yet listed to become eligible for listing under the EPBC Act (in any category, other than conservation dependent).</w:t>
      </w:r>
    </w:p>
    <w:p w:rsidR="007D20DB" w:rsidRPr="007D20DB" w:rsidRDefault="007D20DB" w:rsidP="007D20DB">
      <w:pPr>
        <w:widowControl w:val="0"/>
        <w:suppressAutoHyphens/>
        <w:autoSpaceDE w:val="0"/>
        <w:autoSpaceDN w:val="0"/>
        <w:adjustRightInd w:val="0"/>
        <w:spacing w:after="170" w:line="280" w:lineRule="atLeast"/>
        <w:ind w:left="283"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2. </w:t>
      </w:r>
      <w:r w:rsidRPr="007D20DB">
        <w:rPr>
          <w:rFonts w:ascii="AGaramondPro-Regular" w:hAnsi="AGaramondPro-Regular" w:cs="AGaramondPro-Regular"/>
          <w:color w:val="000000"/>
          <w:sz w:val="20"/>
          <w:szCs w:val="20"/>
          <w:lang w:val="en-US" w:eastAsia="ja-JP"/>
        </w:rPr>
        <w:tab/>
        <w:t xml:space="preserve">Reduce the spread of </w:t>
      </w:r>
      <w:r w:rsidRPr="007D20DB">
        <w:rPr>
          <w:rFonts w:ascii="AGaramondPro-Italic" w:hAnsi="AGaramondPro-Italic" w:cs="AGaramondPro-Italic"/>
          <w:i/>
          <w:iCs/>
          <w:color w:val="000000"/>
          <w:sz w:val="20"/>
          <w:szCs w:val="20"/>
          <w:lang w:val="en-US" w:eastAsia="ja-JP"/>
        </w:rPr>
        <w:t>P.</w:t>
      </w:r>
      <w:r w:rsidRPr="007D20DB">
        <w:rPr>
          <w:rFonts w:ascii="AGaramondPro-Regular" w:hAnsi="AGaramondPro-Regular" w:cs="AGaramondPro-Regular"/>
          <w:color w:val="000000"/>
          <w:sz w:val="20"/>
          <w:szCs w:val="20"/>
          <w:rtl/>
          <w:lang w:val="en-US" w:eastAsia="ja-JP" w:bidi="ar-YE"/>
        </w:rPr>
        <w:t>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to, and reduce its impacts on: </w:t>
      </w:r>
    </w:p>
    <w:p w:rsidR="007D20DB" w:rsidRPr="007D20DB" w:rsidRDefault="007D20DB" w:rsidP="007D20DB">
      <w:pPr>
        <w:widowControl w:val="0"/>
        <w:suppressAutoHyphens/>
        <w:autoSpaceDE w:val="0"/>
        <w:autoSpaceDN w:val="0"/>
        <w:adjustRightInd w:val="0"/>
        <w:spacing w:after="113" w:line="280" w:lineRule="atLeast"/>
        <w:ind w:left="567"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t xml:space="preserve">identified priority biodiversity assets </w:t>
      </w:r>
    </w:p>
    <w:p w:rsidR="007D20DB" w:rsidRPr="007D20DB" w:rsidRDefault="007D20DB" w:rsidP="007D20DB">
      <w:pPr>
        <w:widowControl w:val="0"/>
        <w:suppressAutoHyphens/>
        <w:autoSpaceDE w:val="0"/>
        <w:autoSpaceDN w:val="0"/>
        <w:adjustRightInd w:val="0"/>
        <w:spacing w:after="113" w:line="280" w:lineRule="atLeast"/>
        <w:ind w:left="567"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t xml:space="preserve">areas where there is potential for </w:t>
      </w:r>
      <w:r w:rsidRPr="007D20DB">
        <w:rPr>
          <w:rFonts w:ascii="AGaramondPro-Italic" w:hAnsi="AGaramondPro-Italic" w:cs="AGaramondPro-Italic"/>
          <w:i/>
          <w:iCs/>
          <w:color w:val="000000"/>
          <w:sz w:val="20"/>
          <w:szCs w:val="20"/>
          <w:lang w:val="en-US" w:eastAsia="ja-JP"/>
        </w:rPr>
        <w:t>P.</w:t>
      </w:r>
      <w:r w:rsidRPr="007D20DB">
        <w:rPr>
          <w:rFonts w:ascii="AGaramondPro-Regular" w:hAnsi="AGaramondPro-Regular" w:cs="AGaramondPro-Regular"/>
          <w:color w:val="000000"/>
          <w:sz w:val="20"/>
          <w:szCs w:val="20"/>
          <w:rtl/>
          <w:lang w:val="en-US" w:eastAsia="ja-JP" w:bidi="ar-YE"/>
        </w:rPr>
        <w:t>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to cause native species or ecological communities not yet listed to become eligible for listing under the EPBC Act (in any category, other than conservation dependent).</w:t>
      </w:r>
    </w:p>
    <w:p w:rsidR="007D20DB" w:rsidRPr="007D20DB" w:rsidRDefault="007D20DB" w:rsidP="007D20DB">
      <w:pPr>
        <w:widowControl w:val="0"/>
        <w:suppressAutoHyphens/>
        <w:autoSpaceDE w:val="0"/>
        <w:autoSpaceDN w:val="0"/>
        <w:adjustRightInd w:val="0"/>
        <w:spacing w:after="170" w:line="280" w:lineRule="atLeast"/>
        <w:ind w:left="283"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3. </w:t>
      </w:r>
      <w:r w:rsidRPr="007D20DB">
        <w:rPr>
          <w:rFonts w:ascii="AGaramondPro-Regular" w:hAnsi="AGaramondPro-Regular" w:cs="AGaramondPro-Regular"/>
          <w:color w:val="000000"/>
          <w:sz w:val="20"/>
          <w:szCs w:val="20"/>
          <w:lang w:val="en-US" w:eastAsia="ja-JP"/>
        </w:rPr>
        <w:tab/>
        <w:t xml:space="preserve">Communicate information about </w:t>
      </w:r>
      <w:r w:rsidRPr="007D20DB">
        <w:rPr>
          <w:rFonts w:ascii="AGaramondPro-Italic" w:hAnsi="AGaramondPro-Italic" w:cs="AGaramondPro-Italic"/>
          <w:i/>
          <w:iCs/>
          <w:color w:val="000000"/>
          <w:sz w:val="20"/>
          <w:szCs w:val="20"/>
          <w:lang w:val="en-US" w:eastAsia="ja-JP"/>
        </w:rPr>
        <w:t>P.</w:t>
      </w:r>
      <w:r w:rsidRPr="007D20DB">
        <w:rPr>
          <w:rFonts w:ascii="AGaramondPro-Regular" w:hAnsi="AGaramondPro-Regular" w:cs="AGaramondPro-Regular"/>
          <w:color w:val="000000"/>
          <w:sz w:val="20"/>
          <w:szCs w:val="20"/>
          <w:rtl/>
          <w:lang w:val="en-US" w:eastAsia="ja-JP" w:bidi="ar-YE"/>
        </w:rPr>
        <w:t>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its impacts on biodiversity and actions under this TAP.</w:t>
      </w:r>
    </w:p>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Each objective is accompanied by a set of actions which, when implemented, will help achieve the goal of the TAP. Performance indicators have been established for each action. The priorities stated for actions are relative over the life of the TAP. Timeframes listed for the actions are:</w:t>
      </w:r>
    </w:p>
    <w:p w:rsidR="007D20DB" w:rsidRPr="007D20DB" w:rsidRDefault="007D20DB" w:rsidP="007D20DB">
      <w:pPr>
        <w:widowControl w:val="0"/>
        <w:suppressAutoHyphens/>
        <w:autoSpaceDE w:val="0"/>
        <w:autoSpaceDN w:val="0"/>
        <w:adjustRightInd w:val="0"/>
        <w:spacing w:line="280" w:lineRule="atLeast"/>
        <w:ind w:left="283"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r>
      <w:proofErr w:type="gramStart"/>
      <w:r w:rsidRPr="007D20DB">
        <w:rPr>
          <w:rFonts w:ascii="AGaramondPro-Regular" w:hAnsi="AGaramondPro-Regular" w:cs="AGaramondPro-Regular"/>
          <w:color w:val="000000"/>
          <w:sz w:val="20"/>
          <w:szCs w:val="20"/>
          <w:lang w:val="en-US" w:eastAsia="ja-JP"/>
        </w:rPr>
        <w:t>short</w:t>
      </w:r>
      <w:proofErr w:type="gramEnd"/>
      <w:r w:rsidRPr="007D20DB">
        <w:rPr>
          <w:rFonts w:ascii="AGaramondPro-Regular" w:hAnsi="AGaramondPro-Regular" w:cs="AGaramondPro-Regular"/>
          <w:color w:val="000000"/>
          <w:sz w:val="20"/>
          <w:szCs w:val="20"/>
          <w:lang w:val="en-US" w:eastAsia="ja-JP"/>
        </w:rPr>
        <w:t xml:space="preserve"> term, 1–3 years</w:t>
      </w:r>
    </w:p>
    <w:p w:rsidR="007D20DB" w:rsidRPr="007D20DB" w:rsidRDefault="007D20DB" w:rsidP="007D20DB">
      <w:pPr>
        <w:widowControl w:val="0"/>
        <w:suppressAutoHyphens/>
        <w:autoSpaceDE w:val="0"/>
        <w:autoSpaceDN w:val="0"/>
        <w:adjustRightInd w:val="0"/>
        <w:spacing w:line="280" w:lineRule="atLeast"/>
        <w:ind w:left="283"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r>
      <w:proofErr w:type="gramStart"/>
      <w:r w:rsidRPr="007D20DB">
        <w:rPr>
          <w:rFonts w:ascii="AGaramondPro-Regular" w:hAnsi="AGaramondPro-Regular" w:cs="AGaramondPro-Regular"/>
          <w:color w:val="000000"/>
          <w:sz w:val="20"/>
          <w:szCs w:val="20"/>
          <w:lang w:val="en-US" w:eastAsia="ja-JP"/>
        </w:rPr>
        <w:t>medium</w:t>
      </w:r>
      <w:proofErr w:type="gramEnd"/>
      <w:r w:rsidRPr="007D20DB">
        <w:rPr>
          <w:rFonts w:ascii="AGaramondPro-Regular" w:hAnsi="AGaramondPro-Regular" w:cs="AGaramondPro-Regular"/>
          <w:color w:val="000000"/>
          <w:sz w:val="20"/>
          <w:szCs w:val="20"/>
          <w:lang w:val="en-US" w:eastAsia="ja-JP"/>
        </w:rPr>
        <w:t xml:space="preserve"> term, 3–5 years</w:t>
      </w:r>
    </w:p>
    <w:p w:rsidR="007D20DB" w:rsidRPr="007D20DB" w:rsidRDefault="007D20DB" w:rsidP="007D20DB">
      <w:pPr>
        <w:widowControl w:val="0"/>
        <w:suppressAutoHyphens/>
        <w:autoSpaceDE w:val="0"/>
        <w:autoSpaceDN w:val="0"/>
        <w:adjustRightInd w:val="0"/>
        <w:spacing w:line="280" w:lineRule="atLeast"/>
        <w:ind w:left="283"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r>
      <w:proofErr w:type="gramStart"/>
      <w:r w:rsidRPr="007D20DB">
        <w:rPr>
          <w:rFonts w:ascii="AGaramondPro-Regular" w:hAnsi="AGaramondPro-Regular" w:cs="AGaramondPro-Regular"/>
          <w:color w:val="000000"/>
          <w:sz w:val="20"/>
          <w:szCs w:val="20"/>
          <w:lang w:val="en-US" w:eastAsia="ja-JP"/>
        </w:rPr>
        <w:t>long</w:t>
      </w:r>
      <w:proofErr w:type="gramEnd"/>
      <w:r w:rsidRPr="007D20DB">
        <w:rPr>
          <w:rFonts w:ascii="AGaramondPro-Regular" w:hAnsi="AGaramondPro-Regular" w:cs="AGaramondPro-Regular"/>
          <w:color w:val="000000"/>
          <w:sz w:val="20"/>
          <w:szCs w:val="20"/>
          <w:lang w:val="en-US" w:eastAsia="ja-JP"/>
        </w:rPr>
        <w:t xml:space="preserve"> term, more than 5 years</w:t>
      </w:r>
    </w:p>
    <w:p w:rsidR="007D20DB" w:rsidRPr="007D20DB" w:rsidRDefault="007D20DB" w:rsidP="007D20DB">
      <w:pPr>
        <w:widowControl w:val="0"/>
        <w:suppressAutoHyphens/>
        <w:autoSpaceDE w:val="0"/>
        <w:autoSpaceDN w:val="0"/>
        <w:adjustRightInd w:val="0"/>
        <w:spacing w:line="280" w:lineRule="atLeast"/>
        <w:ind w:left="283"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r>
      <w:proofErr w:type="gramStart"/>
      <w:r w:rsidRPr="007D20DB">
        <w:rPr>
          <w:rFonts w:ascii="AGaramondPro-Regular" w:hAnsi="AGaramondPro-Regular" w:cs="AGaramondPro-Regular"/>
          <w:color w:val="000000"/>
          <w:sz w:val="20"/>
          <w:szCs w:val="20"/>
          <w:lang w:val="en-US" w:eastAsia="ja-JP"/>
        </w:rPr>
        <w:t>ongoing</w:t>
      </w:r>
      <w:proofErr w:type="gramEnd"/>
      <w:r w:rsidRPr="007D20DB">
        <w:rPr>
          <w:rFonts w:ascii="AGaramondPro-Regular" w:hAnsi="AGaramondPro-Regular" w:cs="AGaramondPro-Regular"/>
          <w:color w:val="000000"/>
          <w:sz w:val="20"/>
          <w:szCs w:val="20"/>
          <w:lang w:val="en-US" w:eastAsia="ja-JP"/>
        </w:rPr>
        <w:t>.</w:t>
      </w:r>
    </w:p>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Research actions have been identified that will </w:t>
      </w:r>
      <w:proofErr w:type="spellStart"/>
      <w:r w:rsidRPr="007D20DB">
        <w:rPr>
          <w:rFonts w:ascii="AGaramondPro-Regular" w:hAnsi="AGaramondPro-Regular" w:cs="AGaramondPro-Regular"/>
          <w:color w:val="000000"/>
          <w:sz w:val="20"/>
          <w:szCs w:val="20"/>
          <w:lang w:val="en-US" w:eastAsia="ja-JP"/>
        </w:rPr>
        <w:t>the</w:t>
      </w:r>
      <w:proofErr w:type="spellEnd"/>
      <w:r w:rsidRPr="007D20DB">
        <w:rPr>
          <w:rFonts w:ascii="AGaramondPro-Regular" w:hAnsi="AGaramondPro-Regular" w:cs="AGaramondPro-Regular"/>
          <w:color w:val="000000"/>
          <w:sz w:val="20"/>
          <w:szCs w:val="20"/>
          <w:lang w:val="en-US" w:eastAsia="ja-JP"/>
        </w:rPr>
        <w:t xml:space="preserve"> support the TAP to achieve its goal. These are listed at the end of this section. </w:t>
      </w:r>
    </w:p>
    <w:p w:rsidR="007D20DB" w:rsidRPr="007D20DB" w:rsidRDefault="007D20DB" w:rsidP="00704644">
      <w:pPr>
        <w:pStyle w:val="02HEADING20"/>
        <w:ind w:left="0" w:firstLine="0"/>
        <w:rPr>
          <w:rFonts w:ascii="MyriadPro-SemiboldIt" w:hAnsi="MyriadPro-SemiboldIt" w:cs="MyriadPro-SemiboldIt"/>
          <w:i/>
          <w:iCs/>
        </w:rPr>
      </w:pPr>
      <w:bookmarkStart w:id="17" w:name="_Toc253067285"/>
      <w:r w:rsidRPr="007D20DB">
        <w:t xml:space="preserve">Objective 1: Identify and </w:t>
      </w:r>
      <w:proofErr w:type="spellStart"/>
      <w:r w:rsidRPr="007D20DB">
        <w:t>prioritise</w:t>
      </w:r>
      <w:proofErr w:type="spellEnd"/>
      <w:r w:rsidRPr="007D20DB">
        <w:t xml:space="preserve"> for protection biodiversity assets that are, or may be, impacted by </w:t>
      </w:r>
      <w:proofErr w:type="spellStart"/>
      <w:r w:rsidRPr="007D20DB">
        <w:rPr>
          <w:rFonts w:ascii="MyriadPro-SemiboldIt" w:hAnsi="MyriadPro-SemiboldIt" w:cs="MyriadPro-SemiboldIt"/>
          <w:i/>
          <w:iCs/>
        </w:rPr>
        <w:t>Phytophthora</w:t>
      </w:r>
      <w:proofErr w:type="spellEnd"/>
      <w:r w:rsidRPr="007D20DB">
        <w:rPr>
          <w:rFonts w:ascii="MyriadPro-SemiboldIt" w:hAnsi="MyriadPro-SemiboldIt" w:cs="MyriadPro-SemiboldIt"/>
          <w:i/>
          <w:iCs/>
        </w:rPr>
        <w:t xml:space="preserve"> </w:t>
      </w:r>
      <w:proofErr w:type="spellStart"/>
      <w:r w:rsidRPr="007D20DB">
        <w:rPr>
          <w:rFonts w:ascii="MyriadPro-SemiboldIt" w:hAnsi="MyriadPro-SemiboldIt" w:cs="MyriadPro-SemiboldIt"/>
          <w:i/>
          <w:iCs/>
        </w:rPr>
        <w:t>cinnamomi</w:t>
      </w:r>
      <w:bookmarkEnd w:id="17"/>
      <w:proofErr w:type="spellEnd"/>
    </w:p>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There is a need to determine the risks </w:t>
      </w:r>
      <w:r w:rsidRPr="007D20DB">
        <w:rPr>
          <w:rFonts w:ascii="AGaramondPro-Italic" w:hAnsi="AGaramondPro-Italic" w:cs="AGaramondPro-Italic"/>
          <w:i/>
          <w:iCs/>
          <w:color w:val="000000"/>
          <w:sz w:val="20"/>
          <w:szCs w:val="20"/>
          <w:lang w:val="en-US" w:eastAsia="ja-JP"/>
        </w:rPr>
        <w:t>P.</w:t>
      </w:r>
      <w:r w:rsidRPr="007D20DB">
        <w:rPr>
          <w:rFonts w:ascii="AGaramondPro-Italic" w:hAnsi="AGaramondPro-Italic" w:cs="AGaramondPro-Italic"/>
          <w:i/>
          <w:iCs/>
          <w:color w:val="000000"/>
          <w:sz w:val="20"/>
          <w:szCs w:val="20"/>
          <w:rtl/>
          <w:lang w:val="en-US" w:eastAsia="ja-JP" w:bidi="ar-YE"/>
        </w:rPr>
        <w:t>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poses to biodiversity assets across Australia and develop a list of national priority biodiversity assets for protection. Attention is drawn to the discussion in the background document on state-based approaches to the assessment of risks from </w:t>
      </w:r>
      <w:r w:rsidRPr="007D20DB">
        <w:rPr>
          <w:rFonts w:ascii="AGaramondPro-Italic" w:hAnsi="AGaramondPro-Italic" w:cs="AGaramondPro-Italic"/>
          <w:i/>
          <w:iCs/>
          <w:color w:val="000000"/>
          <w:sz w:val="20"/>
          <w:szCs w:val="20"/>
          <w:lang w:val="en-US" w:eastAsia="ja-JP"/>
        </w:rPr>
        <w:t>P.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w:t>
      </w:r>
    </w:p>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Appendix A shows EPBC Act listed plant species which may be at risk from </w:t>
      </w:r>
      <w:r w:rsidRPr="007D20DB">
        <w:rPr>
          <w:rFonts w:ascii="AGaramondPro-Italic" w:hAnsi="AGaramondPro-Italic" w:cs="AGaramondPro-Italic"/>
          <w:i/>
          <w:iCs/>
          <w:color w:val="000000"/>
          <w:sz w:val="20"/>
          <w:szCs w:val="20"/>
          <w:lang w:val="en-US" w:eastAsia="ja-JP"/>
        </w:rPr>
        <w:t>P.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Appendix B shows EPBC Act listed threatened ecological communities that may be at risk from </w:t>
      </w:r>
      <w:r w:rsidRPr="007D20DB">
        <w:rPr>
          <w:rFonts w:ascii="AGaramondPro-Italic" w:hAnsi="AGaramondPro-Italic" w:cs="AGaramondPro-Italic"/>
          <w:i/>
          <w:iCs/>
          <w:color w:val="000000"/>
          <w:sz w:val="20"/>
          <w:szCs w:val="20"/>
          <w:lang w:val="en-US" w:eastAsia="ja-JP"/>
        </w:rPr>
        <w:t>P.</w:t>
      </w:r>
      <w:r w:rsidRPr="007D20DB">
        <w:rPr>
          <w:rFonts w:ascii="AGaramondPro-Regular" w:hAnsi="AGaramondPro-Regular" w:cs="AGaramondPro-Regular"/>
          <w:color w:val="000000"/>
          <w:sz w:val="20"/>
          <w:szCs w:val="20"/>
          <w:rtl/>
          <w:lang w:val="en-US" w:eastAsia="ja-JP" w:bidi="ar-YE"/>
        </w:rPr>
        <w:t>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Although understanding of plant species’ susceptibility and impacts on dependent wildlife is still developing, these lists provide a starting point for </w:t>
      </w:r>
      <w:proofErr w:type="spellStart"/>
      <w:r w:rsidRPr="007D20DB">
        <w:rPr>
          <w:rFonts w:ascii="AGaramondPro-Regular" w:hAnsi="AGaramondPro-Regular" w:cs="AGaramondPro-Regular"/>
          <w:color w:val="000000"/>
          <w:sz w:val="20"/>
          <w:szCs w:val="20"/>
          <w:lang w:val="en-US" w:eastAsia="ja-JP"/>
        </w:rPr>
        <w:t>prioritisation</w:t>
      </w:r>
      <w:proofErr w:type="spellEnd"/>
      <w:r w:rsidRPr="007D20DB">
        <w:rPr>
          <w:rFonts w:ascii="AGaramondPro-Regular" w:hAnsi="AGaramondPro-Regular" w:cs="AGaramondPro-Regular"/>
          <w:color w:val="000000"/>
          <w:sz w:val="20"/>
          <w:szCs w:val="20"/>
          <w:lang w:val="en-US" w:eastAsia="ja-JP"/>
        </w:rPr>
        <w:t xml:space="preserve">. </w:t>
      </w:r>
    </w:p>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Threatened species and communities are also listed under state and territory legislation. Australian Government and </w:t>
      </w:r>
      <w:r w:rsidRPr="007D20DB">
        <w:rPr>
          <w:rFonts w:ascii="AGaramondPro-Regular" w:hAnsi="AGaramondPro-Regular" w:cs="AGaramondPro-Regular"/>
          <w:color w:val="000000"/>
          <w:sz w:val="20"/>
          <w:szCs w:val="20"/>
          <w:lang w:val="en-US" w:eastAsia="ja-JP"/>
        </w:rPr>
        <w:lastRenderedPageBreak/>
        <w:t>state/territory lists do not necessarily align, creating the potential for inconsistency in priorities.</w:t>
      </w:r>
    </w:p>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Risk assessment methodologies should be the basis for governments in setting management priorities and allocating resources. The risk assessment process extends beyond those susceptible plant species and ecological communities that are currently listed as threatened under the EPBC Act. It also covers those that are at risk of becoming listed due to factors such as proximity to infested areas, and extends to habitat dependent wildlife and plant species that may be impacted by </w:t>
      </w:r>
      <w:proofErr w:type="spellStart"/>
      <w:r w:rsidRPr="007D20DB">
        <w:rPr>
          <w:rFonts w:ascii="AGaramondPro-Italic" w:hAnsi="AGaramondPro-Italic" w:cs="AGaramondPro-Italic"/>
          <w:i/>
          <w:iCs/>
          <w:color w:val="000000"/>
          <w:sz w:val="20"/>
          <w:szCs w:val="20"/>
          <w:lang w:val="en-US" w:eastAsia="ja-JP"/>
        </w:rPr>
        <w:t>Phytophthora</w:t>
      </w:r>
      <w:proofErr w:type="spellEnd"/>
      <w:r w:rsidRPr="007D20DB">
        <w:rPr>
          <w:rFonts w:ascii="AGaramondPro-Italic" w:hAnsi="AGaramondPro-Italic" w:cs="AGaramondPro-Italic"/>
          <w:i/>
          <w:iCs/>
          <w:color w:val="000000"/>
          <w:sz w:val="20"/>
          <w:szCs w:val="20"/>
          <w:lang w:val="en-US" w:eastAsia="ja-JP"/>
        </w:rPr>
        <w:t xml:space="preserve"> </w:t>
      </w:r>
      <w:r w:rsidRPr="007D20DB">
        <w:rPr>
          <w:rFonts w:ascii="AGaramondPro-Regular" w:hAnsi="AGaramondPro-Regular" w:cs="AGaramondPro-Regular"/>
          <w:color w:val="000000"/>
          <w:sz w:val="20"/>
          <w:szCs w:val="20"/>
          <w:lang w:val="en-US" w:eastAsia="ja-JP"/>
        </w:rPr>
        <w:t>dieback.</w:t>
      </w:r>
    </w:p>
    <w:tbl>
      <w:tblPr>
        <w:tblW w:w="0" w:type="auto"/>
        <w:tblInd w:w="113" w:type="dxa"/>
        <w:tblLayout w:type="fixed"/>
        <w:tblCellMar>
          <w:left w:w="0" w:type="dxa"/>
          <w:right w:w="0" w:type="dxa"/>
        </w:tblCellMar>
        <w:tblLook w:val="0000"/>
      </w:tblPr>
      <w:tblGrid>
        <w:gridCol w:w="2022"/>
        <w:gridCol w:w="1843"/>
        <w:gridCol w:w="1254"/>
        <w:gridCol w:w="1417"/>
        <w:gridCol w:w="3103"/>
      </w:tblGrid>
      <w:tr w:rsidR="007D20DB" w:rsidRPr="007D20DB" w:rsidTr="00704644">
        <w:trPr>
          <w:trHeight w:val="60"/>
        </w:trPr>
        <w:tc>
          <w:tcPr>
            <w:tcW w:w="2022" w:type="dxa"/>
            <w:tcBorders>
              <w:top w:val="single" w:sz="2" w:space="0" w:color="004484"/>
              <w:left w:val="single" w:sz="2" w:space="0" w:color="004484"/>
              <w:bottom w:val="single" w:sz="2" w:space="0" w:color="004484"/>
              <w:right w:val="single" w:sz="2" w:space="0" w:color="004484"/>
            </w:tcBorders>
            <w:shd w:val="solid" w:color="004484"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FFFFFF" w:themeColor="background1"/>
                <w:sz w:val="19"/>
                <w:szCs w:val="19"/>
                <w:lang w:val="en-US" w:eastAsia="ja-JP"/>
              </w:rPr>
            </w:pPr>
            <w:r w:rsidRPr="00704644">
              <w:rPr>
                <w:rFonts w:ascii="AGaramondPro-Regular" w:hAnsi="AGaramondPro-Regular" w:cs="AGaramondPro-Regular"/>
                <w:b/>
                <w:bCs/>
                <w:color w:val="FFFFFF" w:themeColor="background1"/>
                <w:sz w:val="19"/>
                <w:szCs w:val="19"/>
                <w:lang w:val="en-US" w:eastAsia="ja-JP"/>
              </w:rPr>
              <w:t>Action</w:t>
            </w:r>
          </w:p>
        </w:tc>
        <w:tc>
          <w:tcPr>
            <w:tcW w:w="1843" w:type="dxa"/>
            <w:tcBorders>
              <w:top w:val="single" w:sz="2" w:space="0" w:color="004484"/>
              <w:left w:val="single" w:sz="2" w:space="0" w:color="004484"/>
              <w:bottom w:val="single" w:sz="2" w:space="0" w:color="004484"/>
              <w:right w:val="single" w:sz="2" w:space="0" w:color="004484"/>
            </w:tcBorders>
            <w:shd w:val="solid" w:color="004484"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FFFFFF" w:themeColor="background1"/>
                <w:sz w:val="19"/>
                <w:szCs w:val="19"/>
                <w:lang w:val="en-US" w:eastAsia="ja-JP"/>
              </w:rPr>
            </w:pPr>
            <w:r w:rsidRPr="00704644">
              <w:rPr>
                <w:rFonts w:ascii="AGaramondPro-Regular" w:hAnsi="AGaramondPro-Regular" w:cs="AGaramondPro-Regular"/>
                <w:b/>
                <w:bCs/>
                <w:color w:val="FFFFFF" w:themeColor="background1"/>
                <w:sz w:val="19"/>
                <w:szCs w:val="19"/>
                <w:lang w:val="en-US" w:eastAsia="ja-JP"/>
              </w:rPr>
              <w:t>Responsible party</w:t>
            </w:r>
          </w:p>
        </w:tc>
        <w:tc>
          <w:tcPr>
            <w:tcW w:w="1254" w:type="dxa"/>
            <w:tcBorders>
              <w:top w:val="single" w:sz="2" w:space="0" w:color="004484"/>
              <w:left w:val="single" w:sz="2" w:space="0" w:color="004484"/>
              <w:bottom w:val="single" w:sz="2" w:space="0" w:color="004484"/>
              <w:right w:val="single" w:sz="2" w:space="0" w:color="004484"/>
            </w:tcBorders>
            <w:shd w:val="solid" w:color="004484"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FFFFFF" w:themeColor="background1"/>
                <w:sz w:val="19"/>
                <w:szCs w:val="19"/>
                <w:lang w:val="en-US" w:eastAsia="ja-JP"/>
              </w:rPr>
            </w:pPr>
            <w:r w:rsidRPr="00704644">
              <w:rPr>
                <w:rFonts w:ascii="AGaramondPro-Regular" w:hAnsi="AGaramondPro-Regular" w:cs="AGaramondPro-Regular"/>
                <w:b/>
                <w:bCs/>
                <w:color w:val="FFFFFF" w:themeColor="background1"/>
                <w:sz w:val="19"/>
                <w:szCs w:val="19"/>
                <w:lang w:val="en-US" w:eastAsia="ja-JP"/>
              </w:rPr>
              <w:t>Priority</w:t>
            </w:r>
          </w:p>
        </w:tc>
        <w:tc>
          <w:tcPr>
            <w:tcW w:w="1417" w:type="dxa"/>
            <w:tcBorders>
              <w:top w:val="single" w:sz="2" w:space="0" w:color="004484"/>
              <w:left w:val="single" w:sz="2" w:space="0" w:color="004484"/>
              <w:bottom w:val="single" w:sz="2" w:space="0" w:color="004484"/>
              <w:right w:val="single" w:sz="2" w:space="0" w:color="004484"/>
            </w:tcBorders>
            <w:shd w:val="solid" w:color="004484"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FFFFFF" w:themeColor="background1"/>
                <w:sz w:val="19"/>
                <w:szCs w:val="19"/>
                <w:lang w:val="en-US" w:eastAsia="ja-JP"/>
              </w:rPr>
            </w:pPr>
            <w:r w:rsidRPr="00704644">
              <w:rPr>
                <w:rFonts w:ascii="AGaramondPro-Regular" w:hAnsi="AGaramondPro-Regular" w:cs="AGaramondPro-Regular"/>
                <w:b/>
                <w:bCs/>
                <w:color w:val="FFFFFF" w:themeColor="background1"/>
                <w:sz w:val="19"/>
                <w:szCs w:val="19"/>
                <w:lang w:val="en-US" w:eastAsia="ja-JP"/>
              </w:rPr>
              <w:t>Timeframe</w:t>
            </w:r>
          </w:p>
        </w:tc>
        <w:tc>
          <w:tcPr>
            <w:tcW w:w="3103" w:type="dxa"/>
            <w:tcBorders>
              <w:top w:val="single" w:sz="2" w:space="0" w:color="004484"/>
              <w:left w:val="single" w:sz="2" w:space="0" w:color="004484"/>
              <w:bottom w:val="single" w:sz="2" w:space="0" w:color="004484"/>
              <w:right w:val="single" w:sz="2" w:space="0" w:color="004484"/>
            </w:tcBorders>
            <w:shd w:val="solid" w:color="004484"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FFFFFF" w:themeColor="background1"/>
                <w:sz w:val="19"/>
                <w:szCs w:val="19"/>
                <w:lang w:val="en-US" w:eastAsia="ja-JP"/>
              </w:rPr>
            </w:pPr>
            <w:r w:rsidRPr="00704644">
              <w:rPr>
                <w:rFonts w:ascii="AGaramondPro-Regular" w:hAnsi="AGaramondPro-Regular" w:cs="AGaramondPro-Regular"/>
                <w:b/>
                <w:bCs/>
                <w:color w:val="FFFFFF" w:themeColor="background1"/>
                <w:sz w:val="19"/>
                <w:szCs w:val="19"/>
                <w:lang w:val="en-US" w:eastAsia="ja-JP"/>
              </w:rPr>
              <w:t>Performance indicators</w:t>
            </w:r>
          </w:p>
        </w:tc>
      </w:tr>
      <w:tr w:rsidR="007D20DB" w:rsidRPr="007D20DB" w:rsidTr="00704644">
        <w:trPr>
          <w:trHeight w:val="60"/>
        </w:trPr>
        <w:tc>
          <w:tcPr>
            <w:tcW w:w="2022"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57" w:line="288" w:lineRule="auto"/>
              <w:textAlignment w:val="center"/>
              <w:rPr>
                <w:rFonts w:ascii="AGaramondPro-Regular" w:hAnsi="AGaramondPro-Regular" w:cs="AGaramondPro-Regular"/>
                <w:b/>
                <w:bCs/>
                <w:color w:val="000000"/>
                <w:sz w:val="19"/>
                <w:szCs w:val="19"/>
                <w:lang w:val="en-US" w:eastAsia="ja-JP"/>
              </w:rPr>
            </w:pPr>
            <w:r w:rsidRPr="007D20DB">
              <w:rPr>
                <w:rFonts w:ascii="AGaramondPro-Regular" w:hAnsi="AGaramondPro-Regular" w:cs="AGaramondPro-Regular"/>
                <w:b/>
                <w:bCs/>
                <w:color w:val="000000"/>
                <w:sz w:val="19"/>
                <w:szCs w:val="19"/>
                <w:lang w:val="en-US" w:eastAsia="ja-JP"/>
              </w:rPr>
              <w:t>Action 1.1</w:t>
            </w:r>
          </w:p>
          <w:p w:rsidR="007D20DB" w:rsidRPr="007D20DB" w:rsidRDefault="007D20DB" w:rsidP="007D20DB">
            <w:pPr>
              <w:widowControl w:val="0"/>
              <w:suppressAutoHyphens/>
              <w:autoSpaceDE w:val="0"/>
              <w:autoSpaceDN w:val="0"/>
              <w:adjustRightInd w:val="0"/>
              <w:spacing w:after="57"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 xml:space="preserve">Identify species and communities at risk from </w:t>
            </w:r>
            <w:r w:rsidRPr="007D20DB">
              <w:rPr>
                <w:rFonts w:ascii="AGaramondPro-Regular" w:hAnsi="AGaramondPro-Regular" w:cs="AGaramondPro-Regular"/>
                <w:i/>
                <w:iCs/>
                <w:color w:val="000000"/>
                <w:sz w:val="19"/>
                <w:szCs w:val="19"/>
                <w:lang w:val="en-US" w:eastAsia="ja-JP"/>
              </w:rPr>
              <w:t>P. </w:t>
            </w:r>
            <w:proofErr w:type="spellStart"/>
            <w:r w:rsidRPr="007D20DB">
              <w:rPr>
                <w:rFonts w:ascii="AGaramondPro-Regular" w:hAnsi="AGaramondPro-Regular" w:cs="AGaramondPro-Regular"/>
                <w:i/>
                <w:iCs/>
                <w:color w:val="000000"/>
                <w:sz w:val="19"/>
                <w:szCs w:val="19"/>
                <w:lang w:val="en-US" w:eastAsia="ja-JP"/>
              </w:rPr>
              <w:t>cinnamomi</w:t>
            </w:r>
            <w:proofErr w:type="spellEnd"/>
            <w:r w:rsidRPr="007D20DB">
              <w:rPr>
                <w:rFonts w:ascii="AGaramondPro-Regular" w:hAnsi="AGaramondPro-Regular" w:cs="AGaramondPro-Regular"/>
                <w:i/>
                <w:iCs/>
                <w:color w:val="000000"/>
                <w:sz w:val="19"/>
                <w:szCs w:val="19"/>
                <w:lang w:val="en-US" w:eastAsia="ja-JP"/>
              </w:rPr>
              <w:t xml:space="preserve"> </w:t>
            </w:r>
            <w:r w:rsidRPr="007D20DB">
              <w:rPr>
                <w:rFonts w:ascii="AGaramondPro-Regular" w:hAnsi="AGaramondPro-Regular" w:cs="AGaramondPro-Regular"/>
                <w:color w:val="000000"/>
                <w:sz w:val="19"/>
                <w:szCs w:val="19"/>
                <w:lang w:val="en-US" w:eastAsia="ja-JP"/>
              </w:rPr>
              <w:t>through assessing state/territory and Commonwealth lists of threatened species.</w:t>
            </w:r>
          </w:p>
        </w:tc>
        <w:tc>
          <w:tcPr>
            <w:tcW w:w="184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F932FA"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Australian Government</w:t>
            </w:r>
            <w:r>
              <w:rPr>
                <w:rFonts w:ascii="AGaramondPro-Regular" w:hAnsi="AGaramondPro-Regular" w:cs="AGaramondPro-Regular"/>
                <w:color w:val="000000"/>
                <w:sz w:val="19"/>
                <w:szCs w:val="19"/>
                <w:lang w:val="en-US" w:eastAsia="ja-JP"/>
              </w:rPr>
              <w:t xml:space="preserve"> and state and territory governments</w:t>
            </w:r>
            <w:bookmarkStart w:id="18" w:name="_GoBack"/>
            <w:bookmarkEnd w:id="18"/>
          </w:p>
        </w:tc>
        <w:tc>
          <w:tcPr>
            <w:tcW w:w="1254"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High priority</w:t>
            </w:r>
          </w:p>
        </w:tc>
        <w:tc>
          <w:tcPr>
            <w:tcW w:w="141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Short term</w:t>
            </w:r>
          </w:p>
        </w:tc>
        <w:tc>
          <w:tcPr>
            <w:tcW w:w="310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Assessment of threatened species and communities that may be impacted completed and the Threatened Species Scientific Committee advised with 12 months of the making of this TAP.</w:t>
            </w:r>
          </w:p>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Gaps and synergies identified to inform management.</w:t>
            </w:r>
          </w:p>
        </w:tc>
      </w:tr>
      <w:tr w:rsidR="007D20DB" w:rsidRPr="007D20DB" w:rsidTr="00704644">
        <w:trPr>
          <w:trHeight w:val="60"/>
        </w:trPr>
        <w:tc>
          <w:tcPr>
            <w:tcW w:w="2022"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57" w:line="288" w:lineRule="auto"/>
              <w:textAlignment w:val="center"/>
              <w:rPr>
                <w:rFonts w:ascii="AGaramondPro-Regular" w:hAnsi="AGaramondPro-Regular" w:cs="AGaramondPro-Regular"/>
                <w:b/>
                <w:bCs/>
                <w:color w:val="000000"/>
                <w:sz w:val="19"/>
                <w:szCs w:val="19"/>
                <w:lang w:val="en-US" w:eastAsia="ja-JP"/>
              </w:rPr>
            </w:pPr>
            <w:r w:rsidRPr="007D20DB">
              <w:rPr>
                <w:rFonts w:ascii="AGaramondPro-Regular" w:hAnsi="AGaramondPro-Regular" w:cs="AGaramondPro-Regular"/>
                <w:b/>
                <w:bCs/>
                <w:color w:val="000000"/>
                <w:sz w:val="19"/>
                <w:szCs w:val="19"/>
                <w:lang w:val="en-US" w:eastAsia="ja-JP"/>
              </w:rPr>
              <w:t>Action 1.2</w:t>
            </w:r>
          </w:p>
          <w:p w:rsidR="007D20DB" w:rsidRPr="007D20DB" w:rsidRDefault="007D20DB" w:rsidP="007D20DB">
            <w:pPr>
              <w:widowControl w:val="0"/>
              <w:suppressAutoHyphens/>
              <w:autoSpaceDE w:val="0"/>
              <w:autoSpaceDN w:val="0"/>
              <w:adjustRightInd w:val="0"/>
              <w:spacing w:after="57"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 xml:space="preserve">Identify impacts and </w:t>
            </w:r>
            <w:proofErr w:type="spellStart"/>
            <w:r w:rsidRPr="007D20DB">
              <w:rPr>
                <w:rFonts w:ascii="AGaramondPro-Regular" w:hAnsi="AGaramondPro-Regular" w:cs="AGaramondPro-Regular"/>
                <w:color w:val="000000"/>
                <w:sz w:val="19"/>
                <w:szCs w:val="19"/>
                <w:lang w:val="en-US" w:eastAsia="ja-JP"/>
              </w:rPr>
              <w:t>prioritise</w:t>
            </w:r>
            <w:proofErr w:type="spellEnd"/>
            <w:r w:rsidRPr="007D20DB">
              <w:rPr>
                <w:rFonts w:ascii="AGaramondPro-Regular" w:hAnsi="AGaramondPro-Regular" w:cs="AGaramondPro-Regular"/>
                <w:color w:val="000000"/>
                <w:sz w:val="19"/>
                <w:szCs w:val="19"/>
                <w:lang w:val="en-US" w:eastAsia="ja-JP"/>
              </w:rPr>
              <w:t xml:space="preserve"> flora, fauna and communities at risk to inform </w:t>
            </w:r>
            <w:r w:rsidRPr="007D20DB">
              <w:rPr>
                <w:rFonts w:ascii="AGaramondPro-Regular" w:hAnsi="AGaramondPro-Regular" w:cs="AGaramondPro-Regular"/>
                <w:i/>
                <w:iCs/>
                <w:color w:val="000000"/>
                <w:sz w:val="19"/>
                <w:szCs w:val="19"/>
                <w:lang w:val="en-US" w:eastAsia="ja-JP"/>
              </w:rPr>
              <w:t>P. </w:t>
            </w:r>
            <w:proofErr w:type="spellStart"/>
            <w:r w:rsidRPr="007D20DB">
              <w:rPr>
                <w:rFonts w:ascii="AGaramondPro-Regular" w:hAnsi="AGaramondPro-Regular" w:cs="AGaramondPro-Regular"/>
                <w:i/>
                <w:iCs/>
                <w:color w:val="000000"/>
                <w:sz w:val="19"/>
                <w:szCs w:val="19"/>
                <w:lang w:val="en-US" w:eastAsia="ja-JP"/>
              </w:rPr>
              <w:t>cinnamomi</w:t>
            </w:r>
            <w:proofErr w:type="spellEnd"/>
            <w:r w:rsidRPr="007D20DB">
              <w:rPr>
                <w:rFonts w:ascii="AGaramondPro-Regular" w:hAnsi="AGaramondPro-Regular" w:cs="AGaramondPro-Regular"/>
                <w:color w:val="000000"/>
                <w:sz w:val="19"/>
                <w:szCs w:val="19"/>
                <w:lang w:val="en-US" w:eastAsia="ja-JP"/>
              </w:rPr>
              <w:t xml:space="preserve"> management. </w:t>
            </w:r>
          </w:p>
        </w:tc>
        <w:tc>
          <w:tcPr>
            <w:tcW w:w="184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Australian Government and state and territory governments</w:t>
            </w:r>
          </w:p>
        </w:tc>
        <w:tc>
          <w:tcPr>
            <w:tcW w:w="1254"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High priority</w:t>
            </w:r>
          </w:p>
        </w:tc>
        <w:tc>
          <w:tcPr>
            <w:tcW w:w="141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 xml:space="preserve">Medium term </w:t>
            </w:r>
          </w:p>
        </w:tc>
        <w:tc>
          <w:tcPr>
            <w:tcW w:w="310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 xml:space="preserve">Flora and fauna species at risk are identified and </w:t>
            </w:r>
            <w:proofErr w:type="spellStart"/>
            <w:r w:rsidRPr="007D20DB">
              <w:rPr>
                <w:rFonts w:ascii="AGaramondPro-Regular" w:hAnsi="AGaramondPro-Regular" w:cs="AGaramondPro-Regular"/>
                <w:color w:val="000000"/>
                <w:sz w:val="19"/>
                <w:szCs w:val="19"/>
                <w:lang w:val="en-US" w:eastAsia="ja-JP"/>
              </w:rPr>
              <w:t>prioritised</w:t>
            </w:r>
            <w:proofErr w:type="spellEnd"/>
            <w:r w:rsidRPr="007D20DB">
              <w:rPr>
                <w:rFonts w:ascii="AGaramondPro-Regular" w:hAnsi="AGaramondPro-Regular" w:cs="AGaramondPro-Regular"/>
                <w:color w:val="000000"/>
                <w:sz w:val="19"/>
                <w:szCs w:val="19"/>
                <w:lang w:val="en-US" w:eastAsia="ja-JP"/>
              </w:rPr>
              <w:t>.</w:t>
            </w:r>
          </w:p>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 xml:space="preserve">Ecological communities at risk are identified and </w:t>
            </w:r>
            <w:proofErr w:type="spellStart"/>
            <w:r w:rsidRPr="007D20DB">
              <w:rPr>
                <w:rFonts w:ascii="AGaramondPro-Regular" w:hAnsi="AGaramondPro-Regular" w:cs="AGaramondPro-Regular"/>
                <w:color w:val="000000"/>
                <w:sz w:val="19"/>
                <w:szCs w:val="19"/>
                <w:lang w:val="en-US" w:eastAsia="ja-JP"/>
              </w:rPr>
              <w:t>prioritised</w:t>
            </w:r>
            <w:proofErr w:type="spellEnd"/>
            <w:r w:rsidRPr="007D20DB">
              <w:rPr>
                <w:rFonts w:ascii="AGaramondPro-Regular" w:hAnsi="AGaramondPro-Regular" w:cs="AGaramondPro-Regular"/>
                <w:color w:val="000000"/>
                <w:sz w:val="19"/>
                <w:szCs w:val="19"/>
                <w:lang w:val="en-US" w:eastAsia="ja-JP"/>
              </w:rPr>
              <w:t>.</w:t>
            </w:r>
          </w:p>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 xml:space="preserve">The threat of </w:t>
            </w:r>
            <w:proofErr w:type="spellStart"/>
            <w:r w:rsidRPr="007D20DB">
              <w:rPr>
                <w:rFonts w:ascii="AGaramondPro-Regular" w:hAnsi="AGaramondPro-Regular" w:cs="AGaramondPro-Regular"/>
                <w:i/>
                <w:iCs/>
                <w:color w:val="000000"/>
                <w:sz w:val="19"/>
                <w:szCs w:val="19"/>
                <w:lang w:val="en-US" w:eastAsia="ja-JP"/>
              </w:rPr>
              <w:t>Phytophthora</w:t>
            </w:r>
            <w:proofErr w:type="spellEnd"/>
            <w:r w:rsidRPr="007D20DB">
              <w:rPr>
                <w:rFonts w:ascii="AGaramondPro-Regular" w:hAnsi="AGaramondPro-Regular" w:cs="AGaramondPro-Regular"/>
                <w:color w:val="000000"/>
                <w:sz w:val="19"/>
                <w:szCs w:val="19"/>
                <w:lang w:val="en-US" w:eastAsia="ja-JP"/>
              </w:rPr>
              <w:t xml:space="preserve"> dieback is evaluated in Commonwealth recovery plans.</w:t>
            </w:r>
          </w:p>
        </w:tc>
      </w:tr>
      <w:tr w:rsidR="007D20DB" w:rsidRPr="007D20DB" w:rsidTr="00704644">
        <w:trPr>
          <w:trHeight w:val="60"/>
        </w:trPr>
        <w:tc>
          <w:tcPr>
            <w:tcW w:w="2022"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57" w:line="288" w:lineRule="auto"/>
              <w:textAlignment w:val="center"/>
              <w:rPr>
                <w:rFonts w:ascii="AGaramondPro-Regular" w:hAnsi="AGaramondPro-Regular" w:cs="AGaramondPro-Regular"/>
                <w:b/>
                <w:bCs/>
                <w:color w:val="000000"/>
                <w:sz w:val="19"/>
                <w:szCs w:val="19"/>
                <w:lang w:val="en-US" w:eastAsia="ja-JP"/>
              </w:rPr>
            </w:pPr>
            <w:r w:rsidRPr="007D20DB">
              <w:rPr>
                <w:rFonts w:ascii="AGaramondPro-Regular" w:hAnsi="AGaramondPro-Regular" w:cs="AGaramondPro-Regular"/>
                <w:b/>
                <w:bCs/>
                <w:color w:val="000000"/>
                <w:sz w:val="19"/>
                <w:szCs w:val="19"/>
                <w:lang w:val="en-US" w:eastAsia="ja-JP"/>
              </w:rPr>
              <w:t>Action 1.3</w:t>
            </w:r>
          </w:p>
          <w:p w:rsidR="007D20DB" w:rsidRPr="007D20DB" w:rsidRDefault="007D20DB" w:rsidP="007D20DB">
            <w:pPr>
              <w:widowControl w:val="0"/>
              <w:suppressAutoHyphens/>
              <w:autoSpaceDE w:val="0"/>
              <w:autoSpaceDN w:val="0"/>
              <w:adjustRightInd w:val="0"/>
              <w:spacing w:after="57"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 xml:space="preserve">Identify risk areas spatially to generate lists of biodiversity assets at risk from </w:t>
            </w:r>
            <w:proofErr w:type="spellStart"/>
            <w:r w:rsidRPr="007D20DB">
              <w:rPr>
                <w:rFonts w:ascii="AGaramondPro-Regular" w:hAnsi="AGaramondPro-Regular" w:cs="AGaramondPro-Regular"/>
                <w:i/>
                <w:iCs/>
                <w:color w:val="000000"/>
                <w:sz w:val="19"/>
                <w:szCs w:val="19"/>
                <w:lang w:val="en-US" w:eastAsia="ja-JP"/>
              </w:rPr>
              <w:t>Phytophthora</w:t>
            </w:r>
            <w:proofErr w:type="spellEnd"/>
            <w:r w:rsidRPr="007D20DB">
              <w:rPr>
                <w:rFonts w:ascii="AGaramondPro-Regular" w:hAnsi="AGaramondPro-Regular" w:cs="AGaramondPro-Regular"/>
                <w:color w:val="000000"/>
                <w:sz w:val="19"/>
                <w:szCs w:val="19"/>
                <w:lang w:val="en-US" w:eastAsia="ja-JP"/>
              </w:rPr>
              <w:t xml:space="preserve"> dieback—develop or </w:t>
            </w:r>
            <w:proofErr w:type="spellStart"/>
            <w:r w:rsidRPr="007D20DB">
              <w:rPr>
                <w:rFonts w:ascii="AGaramondPro-Regular" w:hAnsi="AGaramondPro-Regular" w:cs="AGaramondPro-Regular"/>
                <w:color w:val="000000"/>
                <w:sz w:val="19"/>
                <w:szCs w:val="19"/>
                <w:lang w:val="en-US" w:eastAsia="ja-JP"/>
              </w:rPr>
              <w:t>utilise</w:t>
            </w:r>
            <w:proofErr w:type="spellEnd"/>
            <w:r w:rsidRPr="007D20DB">
              <w:rPr>
                <w:rFonts w:ascii="AGaramondPro-Regular" w:hAnsi="AGaramondPro-Regular" w:cs="AGaramondPro-Regular"/>
                <w:color w:val="000000"/>
                <w:sz w:val="19"/>
                <w:szCs w:val="19"/>
                <w:lang w:val="en-US" w:eastAsia="ja-JP"/>
              </w:rPr>
              <w:t xml:space="preserve"> existing </w:t>
            </w:r>
            <w:proofErr w:type="spellStart"/>
            <w:r w:rsidRPr="007D20DB">
              <w:rPr>
                <w:rFonts w:ascii="AGaramondPro-Regular" w:hAnsi="AGaramondPro-Regular" w:cs="AGaramondPro-Regular"/>
                <w:color w:val="000000"/>
                <w:sz w:val="19"/>
                <w:szCs w:val="19"/>
                <w:lang w:val="en-US" w:eastAsia="ja-JP"/>
              </w:rPr>
              <w:t>prioritisation</w:t>
            </w:r>
            <w:proofErr w:type="spellEnd"/>
            <w:r w:rsidRPr="007D20DB">
              <w:rPr>
                <w:rFonts w:ascii="AGaramondPro-Regular" w:hAnsi="AGaramondPro-Regular" w:cs="AGaramondPro-Regular"/>
                <w:color w:val="000000"/>
                <w:sz w:val="19"/>
                <w:szCs w:val="19"/>
                <w:lang w:val="en-US" w:eastAsia="ja-JP"/>
              </w:rPr>
              <w:t xml:space="preserve"> frameworks.</w:t>
            </w:r>
          </w:p>
        </w:tc>
        <w:tc>
          <w:tcPr>
            <w:tcW w:w="184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Australian Government and state and territory governments</w:t>
            </w:r>
          </w:p>
        </w:tc>
        <w:tc>
          <w:tcPr>
            <w:tcW w:w="1254"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High priority</w:t>
            </w:r>
          </w:p>
        </w:tc>
        <w:tc>
          <w:tcPr>
            <w:tcW w:w="141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Medium term</w:t>
            </w:r>
          </w:p>
        </w:tc>
        <w:tc>
          <w:tcPr>
            <w:tcW w:w="310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Risk areas identified spatially within three years of the making of this TAP through preparation of:</w:t>
            </w:r>
          </w:p>
          <w:p w:rsidR="007D20DB" w:rsidRPr="007D20DB" w:rsidRDefault="007D20DB" w:rsidP="007D20DB">
            <w:pPr>
              <w:widowControl w:val="0"/>
              <w:suppressAutoHyphens/>
              <w:autoSpaceDE w:val="0"/>
              <w:autoSpaceDN w:val="0"/>
              <w:adjustRightInd w:val="0"/>
              <w:spacing w:after="113" w:line="288" w:lineRule="auto"/>
              <w:ind w:left="227" w:hanging="227"/>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w:t>
            </w:r>
            <w:r w:rsidRPr="007D20DB">
              <w:rPr>
                <w:rFonts w:ascii="AGaramondPro-Regular" w:hAnsi="AGaramondPro-Regular" w:cs="AGaramondPro-Regular"/>
                <w:color w:val="000000"/>
                <w:sz w:val="19"/>
                <w:szCs w:val="19"/>
                <w:lang w:val="en-US" w:eastAsia="ja-JP"/>
              </w:rPr>
              <w:tab/>
              <w:t xml:space="preserve">maps of potential national distribution of pathogen </w:t>
            </w:r>
          </w:p>
          <w:p w:rsidR="007D20DB" w:rsidRPr="007D20DB" w:rsidRDefault="007D20DB" w:rsidP="007D20DB">
            <w:pPr>
              <w:widowControl w:val="0"/>
              <w:suppressAutoHyphens/>
              <w:autoSpaceDE w:val="0"/>
              <w:autoSpaceDN w:val="0"/>
              <w:adjustRightInd w:val="0"/>
              <w:spacing w:after="113" w:line="288" w:lineRule="auto"/>
              <w:ind w:left="227" w:hanging="227"/>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w:t>
            </w:r>
            <w:r w:rsidRPr="007D20DB">
              <w:rPr>
                <w:rFonts w:ascii="AGaramondPro-Regular" w:hAnsi="AGaramondPro-Regular" w:cs="AGaramondPro-Regular"/>
                <w:color w:val="000000"/>
                <w:sz w:val="19"/>
                <w:szCs w:val="19"/>
                <w:lang w:val="en-US" w:eastAsia="ja-JP"/>
              </w:rPr>
              <w:tab/>
            </w:r>
            <w:proofErr w:type="gramStart"/>
            <w:r w:rsidRPr="007D20DB">
              <w:rPr>
                <w:rFonts w:ascii="AGaramondPro-Regular" w:hAnsi="AGaramondPro-Regular" w:cs="AGaramondPro-Regular"/>
                <w:color w:val="000000"/>
                <w:sz w:val="19"/>
                <w:szCs w:val="19"/>
                <w:lang w:val="en-US" w:eastAsia="ja-JP"/>
              </w:rPr>
              <w:t>maps</w:t>
            </w:r>
            <w:proofErr w:type="gramEnd"/>
            <w:r w:rsidRPr="007D20DB">
              <w:rPr>
                <w:rFonts w:ascii="AGaramondPro-Regular" w:hAnsi="AGaramondPro-Regular" w:cs="AGaramondPro-Regular"/>
                <w:color w:val="000000"/>
                <w:sz w:val="19"/>
                <w:szCs w:val="19"/>
                <w:lang w:val="en-US" w:eastAsia="ja-JP"/>
              </w:rPr>
              <w:t xml:space="preserve"> of priority biodiversity assets. </w:t>
            </w:r>
          </w:p>
        </w:tc>
      </w:tr>
      <w:tr w:rsidR="007D20DB" w:rsidRPr="007D20DB" w:rsidTr="00704644">
        <w:trPr>
          <w:trHeight w:val="60"/>
        </w:trPr>
        <w:tc>
          <w:tcPr>
            <w:tcW w:w="2022"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57" w:line="288" w:lineRule="auto"/>
              <w:textAlignment w:val="center"/>
              <w:rPr>
                <w:rFonts w:ascii="AGaramondPro-Regular" w:hAnsi="AGaramondPro-Regular" w:cs="AGaramondPro-Regular"/>
                <w:b/>
                <w:bCs/>
                <w:color w:val="000000"/>
                <w:sz w:val="19"/>
                <w:szCs w:val="19"/>
                <w:lang w:val="en-US" w:eastAsia="ja-JP"/>
              </w:rPr>
            </w:pPr>
            <w:r w:rsidRPr="007D20DB">
              <w:rPr>
                <w:rFonts w:ascii="AGaramondPro-Regular" w:hAnsi="AGaramondPro-Regular" w:cs="AGaramondPro-Regular"/>
                <w:b/>
                <w:bCs/>
                <w:color w:val="000000"/>
                <w:sz w:val="19"/>
                <w:szCs w:val="19"/>
                <w:lang w:val="en-US" w:eastAsia="ja-JP"/>
              </w:rPr>
              <w:t>Action 1.4</w:t>
            </w:r>
          </w:p>
          <w:p w:rsidR="007D20DB" w:rsidRPr="007D20DB" w:rsidRDefault="007D20DB" w:rsidP="007D20DB">
            <w:pPr>
              <w:widowControl w:val="0"/>
              <w:suppressAutoHyphens/>
              <w:autoSpaceDE w:val="0"/>
              <w:autoSpaceDN w:val="0"/>
              <w:adjustRightInd w:val="0"/>
              <w:spacing w:after="57"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 xml:space="preserve">Identify priority biodiversity assets and areas for protection at a local scale—develop or </w:t>
            </w:r>
            <w:proofErr w:type="spellStart"/>
            <w:r w:rsidRPr="007D20DB">
              <w:rPr>
                <w:rFonts w:ascii="AGaramondPro-Regular" w:hAnsi="AGaramondPro-Regular" w:cs="AGaramondPro-Regular"/>
                <w:color w:val="000000"/>
                <w:sz w:val="19"/>
                <w:szCs w:val="19"/>
                <w:lang w:val="en-US" w:eastAsia="ja-JP"/>
              </w:rPr>
              <w:t>utilise</w:t>
            </w:r>
            <w:proofErr w:type="spellEnd"/>
            <w:r w:rsidRPr="007D20DB">
              <w:rPr>
                <w:rFonts w:ascii="AGaramondPro-Regular" w:hAnsi="AGaramondPro-Regular" w:cs="AGaramondPro-Regular"/>
                <w:color w:val="000000"/>
                <w:sz w:val="19"/>
                <w:szCs w:val="19"/>
                <w:lang w:val="en-US" w:eastAsia="ja-JP"/>
              </w:rPr>
              <w:t xml:space="preserve"> existing </w:t>
            </w:r>
            <w:proofErr w:type="spellStart"/>
            <w:r w:rsidRPr="007D20DB">
              <w:rPr>
                <w:rFonts w:ascii="AGaramondPro-Regular" w:hAnsi="AGaramondPro-Regular" w:cs="AGaramondPro-Regular"/>
                <w:color w:val="000000"/>
                <w:sz w:val="19"/>
                <w:szCs w:val="19"/>
                <w:lang w:val="en-US" w:eastAsia="ja-JP"/>
              </w:rPr>
              <w:t>prioritisation</w:t>
            </w:r>
            <w:proofErr w:type="spellEnd"/>
            <w:r w:rsidRPr="007D20DB">
              <w:rPr>
                <w:rFonts w:ascii="AGaramondPro-Regular" w:hAnsi="AGaramondPro-Regular" w:cs="AGaramondPro-Regular"/>
                <w:color w:val="000000"/>
                <w:sz w:val="19"/>
                <w:szCs w:val="19"/>
                <w:lang w:val="en-US" w:eastAsia="ja-JP"/>
              </w:rPr>
              <w:t xml:space="preserve"> frameworks.</w:t>
            </w:r>
          </w:p>
        </w:tc>
        <w:tc>
          <w:tcPr>
            <w:tcW w:w="184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State, territory and local governments</w:t>
            </w:r>
          </w:p>
        </w:tc>
        <w:tc>
          <w:tcPr>
            <w:tcW w:w="1254"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High priority</w:t>
            </w:r>
          </w:p>
        </w:tc>
        <w:tc>
          <w:tcPr>
            <w:tcW w:w="141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Medium term</w:t>
            </w:r>
          </w:p>
        </w:tc>
        <w:tc>
          <w:tcPr>
            <w:tcW w:w="310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Revise and produce local scale maps of priority biodiversity assets and protection areas.</w:t>
            </w:r>
          </w:p>
        </w:tc>
      </w:tr>
      <w:tr w:rsidR="007D20DB" w:rsidRPr="007D20DB" w:rsidTr="00704644">
        <w:trPr>
          <w:trHeight w:val="60"/>
        </w:trPr>
        <w:tc>
          <w:tcPr>
            <w:tcW w:w="2022"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57" w:line="288" w:lineRule="auto"/>
              <w:textAlignment w:val="center"/>
              <w:rPr>
                <w:rFonts w:ascii="AGaramondPro-Regular" w:hAnsi="AGaramondPro-Regular" w:cs="AGaramondPro-Regular"/>
                <w:b/>
                <w:bCs/>
                <w:color w:val="000000"/>
                <w:sz w:val="19"/>
                <w:szCs w:val="19"/>
                <w:lang w:val="en-US" w:eastAsia="ja-JP"/>
              </w:rPr>
            </w:pPr>
            <w:r w:rsidRPr="007D20DB">
              <w:rPr>
                <w:rFonts w:ascii="AGaramondPro-Regular" w:hAnsi="AGaramondPro-Regular" w:cs="AGaramondPro-Regular"/>
                <w:b/>
                <w:bCs/>
                <w:color w:val="000000"/>
                <w:sz w:val="19"/>
                <w:szCs w:val="19"/>
                <w:lang w:val="en-US" w:eastAsia="ja-JP"/>
              </w:rPr>
              <w:t>Action 1.5</w:t>
            </w:r>
          </w:p>
          <w:p w:rsidR="007D20DB" w:rsidRPr="007D20DB" w:rsidRDefault="007D20DB" w:rsidP="007D20DB">
            <w:pPr>
              <w:widowControl w:val="0"/>
              <w:suppressAutoHyphens/>
              <w:autoSpaceDE w:val="0"/>
              <w:autoSpaceDN w:val="0"/>
              <w:adjustRightInd w:val="0"/>
              <w:spacing w:after="57"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 xml:space="preserve">Improve and maintain </w:t>
            </w:r>
            <w:r w:rsidRPr="007D20DB">
              <w:rPr>
                <w:rFonts w:ascii="AGaramondPro-Regular" w:hAnsi="AGaramondPro-Regular" w:cs="AGaramondPro-Regular"/>
                <w:color w:val="000000"/>
                <w:sz w:val="19"/>
                <w:szCs w:val="19"/>
                <w:lang w:val="en-US" w:eastAsia="ja-JP"/>
              </w:rPr>
              <w:lastRenderedPageBreak/>
              <w:t>current monitoring programs.</w:t>
            </w:r>
          </w:p>
        </w:tc>
        <w:tc>
          <w:tcPr>
            <w:tcW w:w="184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lastRenderedPageBreak/>
              <w:t xml:space="preserve">Australian Government and </w:t>
            </w:r>
            <w:r w:rsidRPr="007D20DB">
              <w:rPr>
                <w:rFonts w:ascii="AGaramondPro-Regular" w:hAnsi="AGaramondPro-Regular" w:cs="AGaramondPro-Regular"/>
                <w:color w:val="000000"/>
                <w:sz w:val="19"/>
                <w:szCs w:val="19"/>
                <w:lang w:val="en-US" w:eastAsia="ja-JP"/>
              </w:rPr>
              <w:lastRenderedPageBreak/>
              <w:t>state and territory governments</w:t>
            </w:r>
          </w:p>
        </w:tc>
        <w:tc>
          <w:tcPr>
            <w:tcW w:w="1254"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lastRenderedPageBreak/>
              <w:t>Very high priority</w:t>
            </w:r>
          </w:p>
        </w:tc>
        <w:tc>
          <w:tcPr>
            <w:tcW w:w="141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Medium term</w:t>
            </w:r>
          </w:p>
        </w:tc>
        <w:tc>
          <w:tcPr>
            <w:tcW w:w="310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 xml:space="preserve">New infestations in areas of priority biodiversity assets and protection areas </w:t>
            </w:r>
            <w:r w:rsidRPr="007D20DB">
              <w:rPr>
                <w:rFonts w:ascii="AGaramondPro-Regular" w:hAnsi="AGaramondPro-Regular" w:cs="AGaramondPro-Regular"/>
                <w:color w:val="000000"/>
                <w:sz w:val="19"/>
                <w:szCs w:val="19"/>
                <w:lang w:val="en-US" w:eastAsia="ja-JP"/>
              </w:rPr>
              <w:lastRenderedPageBreak/>
              <w:t>are detected and monitored annually.</w:t>
            </w:r>
          </w:p>
        </w:tc>
      </w:tr>
    </w:tbl>
    <w:p w:rsidR="007D20DB" w:rsidRPr="007D20DB" w:rsidRDefault="007D20DB" w:rsidP="00704644">
      <w:pPr>
        <w:pStyle w:val="02HEADING20"/>
        <w:ind w:left="0" w:firstLine="0"/>
      </w:pPr>
      <w:bookmarkStart w:id="19" w:name="_Toc253067286"/>
      <w:r w:rsidRPr="007D20DB">
        <w:lastRenderedPageBreak/>
        <w:t xml:space="preserve">Objective 2: Protect priority biodiversity assets through reducing the spread and mitigating the impacts of </w:t>
      </w:r>
      <w:proofErr w:type="spellStart"/>
      <w:r w:rsidRPr="007D20DB">
        <w:rPr>
          <w:rFonts w:ascii="MyriadPro-SemiboldIt" w:hAnsi="MyriadPro-SemiboldIt" w:cs="MyriadPro-SemiboldIt"/>
          <w:i/>
          <w:iCs/>
        </w:rPr>
        <w:t>Phytophthora</w:t>
      </w:r>
      <w:proofErr w:type="spellEnd"/>
      <w:r w:rsidRPr="007D20DB">
        <w:rPr>
          <w:rFonts w:ascii="MyriadPro-SemiboldIt" w:hAnsi="MyriadPro-SemiboldIt" w:cs="MyriadPro-SemiboldIt"/>
          <w:i/>
          <w:iCs/>
        </w:rPr>
        <w:t xml:space="preserve"> </w:t>
      </w:r>
      <w:proofErr w:type="spellStart"/>
      <w:r w:rsidRPr="007D20DB">
        <w:rPr>
          <w:rFonts w:ascii="MyriadPro-SemiboldIt" w:hAnsi="MyriadPro-SemiboldIt" w:cs="MyriadPro-SemiboldIt"/>
          <w:i/>
          <w:iCs/>
        </w:rPr>
        <w:t>cinnamomi</w:t>
      </w:r>
      <w:bookmarkEnd w:id="19"/>
      <w:proofErr w:type="spellEnd"/>
    </w:p>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To direct the limited resources available for implementing threat abatement activities to the greatest benefit, this TAP directs action to safeguard priority biodiversity assets from the spread of </w:t>
      </w:r>
      <w:r w:rsidRPr="007D20DB">
        <w:rPr>
          <w:rFonts w:ascii="AGaramondPro-Italic" w:hAnsi="AGaramondPro-Italic" w:cs="AGaramondPro-Italic"/>
          <w:i/>
          <w:iCs/>
          <w:color w:val="000000"/>
          <w:sz w:val="20"/>
          <w:szCs w:val="20"/>
          <w:lang w:val="en-US" w:eastAsia="ja-JP"/>
        </w:rPr>
        <w:t>P.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both to them and within them. It also directs action to mitigate the impacts of </w:t>
      </w:r>
      <w:r w:rsidRPr="007D20DB">
        <w:rPr>
          <w:rFonts w:ascii="AGaramondPro-Italic" w:hAnsi="AGaramondPro-Italic" w:cs="AGaramondPro-Italic"/>
          <w:i/>
          <w:iCs/>
          <w:color w:val="000000"/>
          <w:sz w:val="20"/>
          <w:szCs w:val="20"/>
          <w:lang w:val="en-US" w:eastAsia="ja-JP"/>
        </w:rPr>
        <w:t>P.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on priority biodiversity assets. </w:t>
      </w:r>
    </w:p>
    <w:tbl>
      <w:tblPr>
        <w:tblW w:w="0" w:type="auto"/>
        <w:tblInd w:w="113" w:type="dxa"/>
        <w:tblLayout w:type="fixed"/>
        <w:tblCellMar>
          <w:left w:w="0" w:type="dxa"/>
          <w:right w:w="0" w:type="dxa"/>
        </w:tblCellMar>
        <w:tblLook w:val="0000"/>
      </w:tblPr>
      <w:tblGrid>
        <w:gridCol w:w="2209"/>
        <w:gridCol w:w="1843"/>
        <w:gridCol w:w="1275"/>
        <w:gridCol w:w="1417"/>
        <w:gridCol w:w="2246"/>
      </w:tblGrid>
      <w:tr w:rsidR="007D20DB" w:rsidRPr="007D20DB">
        <w:trPr>
          <w:trHeight w:val="60"/>
          <w:tblHeader/>
        </w:trPr>
        <w:tc>
          <w:tcPr>
            <w:tcW w:w="2209" w:type="dxa"/>
            <w:tcBorders>
              <w:top w:val="single" w:sz="2" w:space="0" w:color="004484"/>
              <w:left w:val="single" w:sz="2" w:space="0" w:color="004484"/>
              <w:bottom w:val="single" w:sz="2" w:space="0" w:color="004484"/>
              <w:right w:val="single" w:sz="2" w:space="0" w:color="004484"/>
            </w:tcBorders>
            <w:shd w:val="solid" w:color="004484"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57" w:line="288" w:lineRule="auto"/>
              <w:textAlignment w:val="center"/>
              <w:rPr>
                <w:rFonts w:ascii="AGaramondPro-Regular" w:hAnsi="AGaramondPro-Regular" w:cs="AGaramondPro-Regular"/>
                <w:color w:val="FFFFFF" w:themeColor="background1"/>
                <w:sz w:val="19"/>
                <w:szCs w:val="19"/>
                <w:lang w:val="en-US" w:eastAsia="ja-JP"/>
              </w:rPr>
            </w:pPr>
            <w:r w:rsidRPr="00704644">
              <w:rPr>
                <w:rFonts w:ascii="AGaramondPro-Regular" w:hAnsi="AGaramondPro-Regular" w:cs="AGaramondPro-Regular"/>
                <w:b/>
                <w:bCs/>
                <w:color w:val="FFFFFF" w:themeColor="background1"/>
                <w:sz w:val="19"/>
                <w:szCs w:val="19"/>
                <w:lang w:val="en-US" w:eastAsia="ja-JP"/>
              </w:rPr>
              <w:t>Action</w:t>
            </w:r>
          </w:p>
        </w:tc>
        <w:tc>
          <w:tcPr>
            <w:tcW w:w="1843" w:type="dxa"/>
            <w:tcBorders>
              <w:top w:val="single" w:sz="2" w:space="0" w:color="004484"/>
              <w:left w:val="single" w:sz="2" w:space="0" w:color="004484"/>
              <w:bottom w:val="single" w:sz="2" w:space="0" w:color="004484"/>
              <w:right w:val="single" w:sz="2" w:space="0" w:color="004484"/>
            </w:tcBorders>
            <w:shd w:val="solid" w:color="004484"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FFFFFF" w:themeColor="background1"/>
                <w:sz w:val="19"/>
                <w:szCs w:val="19"/>
                <w:lang w:val="en-US" w:eastAsia="ja-JP"/>
              </w:rPr>
            </w:pPr>
            <w:r w:rsidRPr="00704644">
              <w:rPr>
                <w:rFonts w:ascii="AGaramondPro-Regular" w:hAnsi="AGaramondPro-Regular" w:cs="AGaramondPro-Regular"/>
                <w:b/>
                <w:bCs/>
                <w:color w:val="FFFFFF" w:themeColor="background1"/>
                <w:sz w:val="19"/>
                <w:szCs w:val="19"/>
                <w:lang w:val="en-US" w:eastAsia="ja-JP"/>
              </w:rPr>
              <w:t>Responsible party</w:t>
            </w:r>
          </w:p>
        </w:tc>
        <w:tc>
          <w:tcPr>
            <w:tcW w:w="1275" w:type="dxa"/>
            <w:tcBorders>
              <w:top w:val="single" w:sz="2" w:space="0" w:color="004484"/>
              <w:left w:val="single" w:sz="2" w:space="0" w:color="004484"/>
              <w:bottom w:val="single" w:sz="2" w:space="0" w:color="004484"/>
              <w:right w:val="single" w:sz="2" w:space="0" w:color="004484"/>
            </w:tcBorders>
            <w:shd w:val="solid" w:color="004484"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FFFFFF" w:themeColor="background1"/>
                <w:sz w:val="19"/>
                <w:szCs w:val="19"/>
                <w:lang w:val="en-US" w:eastAsia="ja-JP"/>
              </w:rPr>
            </w:pPr>
            <w:r w:rsidRPr="00704644">
              <w:rPr>
                <w:rFonts w:ascii="AGaramondPro-Regular" w:hAnsi="AGaramondPro-Regular" w:cs="AGaramondPro-Regular"/>
                <w:b/>
                <w:bCs/>
                <w:color w:val="FFFFFF" w:themeColor="background1"/>
                <w:sz w:val="19"/>
                <w:szCs w:val="19"/>
                <w:lang w:val="en-US" w:eastAsia="ja-JP"/>
              </w:rPr>
              <w:t>Priority</w:t>
            </w:r>
          </w:p>
        </w:tc>
        <w:tc>
          <w:tcPr>
            <w:tcW w:w="1417" w:type="dxa"/>
            <w:tcBorders>
              <w:top w:val="single" w:sz="2" w:space="0" w:color="004484"/>
              <w:left w:val="single" w:sz="2" w:space="0" w:color="004484"/>
              <w:bottom w:val="single" w:sz="2" w:space="0" w:color="004484"/>
              <w:right w:val="single" w:sz="2" w:space="0" w:color="004484"/>
            </w:tcBorders>
            <w:shd w:val="solid" w:color="004484"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FFFFFF" w:themeColor="background1"/>
                <w:sz w:val="19"/>
                <w:szCs w:val="19"/>
                <w:lang w:val="en-US" w:eastAsia="ja-JP"/>
              </w:rPr>
            </w:pPr>
            <w:r w:rsidRPr="00704644">
              <w:rPr>
                <w:rFonts w:ascii="AGaramondPro-Regular" w:hAnsi="AGaramondPro-Regular" w:cs="AGaramondPro-Regular"/>
                <w:b/>
                <w:bCs/>
                <w:color w:val="FFFFFF" w:themeColor="background1"/>
                <w:sz w:val="19"/>
                <w:szCs w:val="19"/>
                <w:lang w:val="en-US" w:eastAsia="ja-JP"/>
              </w:rPr>
              <w:t>Timeframe</w:t>
            </w:r>
          </w:p>
        </w:tc>
        <w:tc>
          <w:tcPr>
            <w:tcW w:w="2246" w:type="dxa"/>
            <w:tcBorders>
              <w:top w:val="single" w:sz="2" w:space="0" w:color="004484"/>
              <w:left w:val="single" w:sz="2" w:space="0" w:color="004484"/>
              <w:bottom w:val="single" w:sz="2" w:space="0" w:color="004484"/>
              <w:right w:val="single" w:sz="2" w:space="0" w:color="004484"/>
            </w:tcBorders>
            <w:shd w:val="solid" w:color="004484"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FFFFFF" w:themeColor="background1"/>
                <w:sz w:val="19"/>
                <w:szCs w:val="19"/>
                <w:lang w:val="en-US" w:eastAsia="ja-JP"/>
              </w:rPr>
            </w:pPr>
            <w:r w:rsidRPr="00704644">
              <w:rPr>
                <w:rFonts w:ascii="AGaramondPro-Regular" w:hAnsi="AGaramondPro-Regular" w:cs="AGaramondPro-Regular"/>
                <w:b/>
                <w:bCs/>
                <w:color w:val="FFFFFF" w:themeColor="background1"/>
                <w:sz w:val="19"/>
                <w:szCs w:val="19"/>
                <w:lang w:val="en-US" w:eastAsia="ja-JP"/>
              </w:rPr>
              <w:t>Performance indicators</w:t>
            </w:r>
          </w:p>
        </w:tc>
      </w:tr>
      <w:tr w:rsidR="007D20DB" w:rsidRPr="007D20DB">
        <w:trPr>
          <w:trHeight w:val="60"/>
        </w:trPr>
        <w:tc>
          <w:tcPr>
            <w:tcW w:w="220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57" w:line="288" w:lineRule="auto"/>
              <w:textAlignment w:val="center"/>
              <w:rPr>
                <w:rFonts w:ascii="AGaramondPro-Bold" w:hAnsi="AGaramondPro-Bold" w:cs="AGaramondPro-Bold"/>
                <w:b/>
                <w:bCs/>
                <w:color w:val="000000"/>
                <w:sz w:val="19"/>
                <w:szCs w:val="19"/>
                <w:lang w:val="en-US" w:eastAsia="ja-JP"/>
              </w:rPr>
            </w:pPr>
            <w:r w:rsidRPr="007D20DB">
              <w:rPr>
                <w:rFonts w:ascii="AGaramondPro-Bold" w:hAnsi="AGaramondPro-Bold" w:cs="AGaramondPro-Bold"/>
                <w:b/>
                <w:bCs/>
                <w:color w:val="000000"/>
                <w:sz w:val="19"/>
                <w:szCs w:val="19"/>
                <w:lang w:val="en-US" w:eastAsia="ja-JP"/>
              </w:rPr>
              <w:t>Action 2.1</w:t>
            </w:r>
          </w:p>
          <w:p w:rsidR="007D20DB" w:rsidRPr="007D20DB" w:rsidRDefault="007D20DB" w:rsidP="007D20DB">
            <w:pPr>
              <w:widowControl w:val="0"/>
              <w:suppressAutoHyphens/>
              <w:autoSpaceDE w:val="0"/>
              <w:autoSpaceDN w:val="0"/>
              <w:adjustRightInd w:val="0"/>
              <w:spacing w:after="57"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 xml:space="preserve">Assess the appropriateness of registration of </w:t>
            </w:r>
            <w:proofErr w:type="spellStart"/>
            <w:r w:rsidRPr="007D20DB">
              <w:rPr>
                <w:rFonts w:ascii="AGaramondPro-Regular" w:hAnsi="AGaramondPro-Regular" w:cs="AGaramondPro-Regular"/>
                <w:color w:val="000000"/>
                <w:sz w:val="19"/>
                <w:szCs w:val="19"/>
                <w:lang w:val="en-US" w:eastAsia="ja-JP"/>
              </w:rPr>
              <w:t>phosphite</w:t>
            </w:r>
            <w:proofErr w:type="spellEnd"/>
            <w:r w:rsidRPr="007D20DB">
              <w:rPr>
                <w:rFonts w:ascii="AGaramondPro-Regular" w:hAnsi="AGaramondPro-Regular" w:cs="AGaramondPro-Regular"/>
                <w:color w:val="000000"/>
                <w:sz w:val="19"/>
                <w:szCs w:val="19"/>
                <w:lang w:val="en-US" w:eastAsia="ja-JP"/>
              </w:rPr>
              <w:t xml:space="preserve"> for management of </w:t>
            </w:r>
            <w:r w:rsidRPr="007D20DB">
              <w:rPr>
                <w:rFonts w:ascii="AGaramondPro-Italic" w:hAnsi="AGaramondPro-Italic" w:cs="AGaramondPro-Italic"/>
                <w:i/>
                <w:iCs/>
                <w:color w:val="000000"/>
                <w:sz w:val="19"/>
                <w:szCs w:val="19"/>
                <w:lang w:val="en-US" w:eastAsia="ja-JP"/>
              </w:rPr>
              <w:t>P. </w:t>
            </w:r>
            <w:proofErr w:type="spellStart"/>
            <w:r w:rsidRPr="007D20DB">
              <w:rPr>
                <w:rFonts w:ascii="AGaramondPro-Italic" w:hAnsi="AGaramondPro-Italic" w:cs="AGaramondPro-Italic"/>
                <w:i/>
                <w:iCs/>
                <w:color w:val="000000"/>
                <w:sz w:val="19"/>
                <w:szCs w:val="19"/>
                <w:lang w:val="en-US" w:eastAsia="ja-JP"/>
              </w:rPr>
              <w:t>cinnamomi</w:t>
            </w:r>
            <w:proofErr w:type="spellEnd"/>
            <w:r w:rsidRPr="007D20DB">
              <w:rPr>
                <w:rFonts w:ascii="AGaramondPro-Italic" w:hAnsi="AGaramondPro-Italic" w:cs="AGaramondPro-Italic"/>
                <w:i/>
                <w:iCs/>
                <w:color w:val="000000"/>
                <w:sz w:val="19"/>
                <w:szCs w:val="19"/>
                <w:lang w:val="en-US" w:eastAsia="ja-JP"/>
              </w:rPr>
              <w:t xml:space="preserve"> </w:t>
            </w:r>
            <w:r w:rsidRPr="007D20DB">
              <w:rPr>
                <w:rFonts w:ascii="AGaramondPro-Regular" w:hAnsi="AGaramondPro-Regular" w:cs="AGaramondPro-Regular"/>
                <w:color w:val="000000"/>
                <w:sz w:val="19"/>
                <w:szCs w:val="19"/>
                <w:lang w:val="en-US" w:eastAsia="ja-JP"/>
              </w:rPr>
              <w:t xml:space="preserve">in natural ecosystem contexts. </w:t>
            </w:r>
          </w:p>
          <w:p w:rsidR="007D20DB" w:rsidRPr="007D20DB" w:rsidRDefault="007D20DB" w:rsidP="007D20DB">
            <w:pPr>
              <w:widowControl w:val="0"/>
              <w:suppressAutoHyphens/>
              <w:autoSpaceDE w:val="0"/>
              <w:autoSpaceDN w:val="0"/>
              <w:adjustRightInd w:val="0"/>
              <w:spacing w:after="57"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 xml:space="preserve">If appropriate and feasible, initiate registration by the Australian Pesticides and Veterinary Management Authority. </w:t>
            </w:r>
          </w:p>
        </w:tc>
        <w:tc>
          <w:tcPr>
            <w:tcW w:w="184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State and territory governments</w:t>
            </w:r>
          </w:p>
        </w:tc>
        <w:tc>
          <w:tcPr>
            <w:tcW w:w="127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High priority</w:t>
            </w:r>
          </w:p>
        </w:tc>
        <w:tc>
          <w:tcPr>
            <w:tcW w:w="141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Short term</w:t>
            </w:r>
          </w:p>
        </w:tc>
        <w:tc>
          <w:tcPr>
            <w:tcW w:w="224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proofErr w:type="spellStart"/>
            <w:r w:rsidRPr="007D20DB">
              <w:rPr>
                <w:rFonts w:ascii="AGaramondPro-Regular" w:hAnsi="AGaramondPro-Regular" w:cs="AGaramondPro-Regular"/>
                <w:color w:val="000000"/>
                <w:sz w:val="19"/>
                <w:szCs w:val="19"/>
                <w:lang w:val="en-US" w:eastAsia="ja-JP"/>
              </w:rPr>
              <w:t>Phosphite</w:t>
            </w:r>
            <w:proofErr w:type="spellEnd"/>
            <w:r w:rsidRPr="007D20DB">
              <w:rPr>
                <w:rFonts w:ascii="AGaramondPro-Regular" w:hAnsi="AGaramondPro-Regular" w:cs="AGaramondPro-Regular"/>
                <w:color w:val="000000"/>
                <w:sz w:val="19"/>
                <w:szCs w:val="19"/>
                <w:lang w:val="en-US" w:eastAsia="ja-JP"/>
              </w:rPr>
              <w:t xml:space="preserve"> is assessed for its appropriateness to be registered as a control method for </w:t>
            </w:r>
            <w:proofErr w:type="spellStart"/>
            <w:r w:rsidRPr="007D20DB">
              <w:rPr>
                <w:rFonts w:ascii="AGaramondPro-Italic" w:hAnsi="AGaramondPro-Italic" w:cs="AGaramondPro-Italic"/>
                <w:i/>
                <w:iCs/>
                <w:color w:val="000000"/>
                <w:sz w:val="19"/>
                <w:szCs w:val="19"/>
                <w:lang w:val="en-US" w:eastAsia="ja-JP"/>
              </w:rPr>
              <w:t>Phytophthora</w:t>
            </w:r>
            <w:proofErr w:type="spellEnd"/>
            <w:r w:rsidRPr="007D20DB">
              <w:rPr>
                <w:rFonts w:ascii="AGaramondPro-Regular" w:hAnsi="AGaramondPro-Regular" w:cs="AGaramondPro-Regular"/>
                <w:color w:val="000000"/>
                <w:sz w:val="19"/>
                <w:szCs w:val="19"/>
                <w:lang w:val="en-US" w:eastAsia="ja-JP"/>
              </w:rPr>
              <w:t xml:space="preserve"> dieback in natural systems.</w:t>
            </w:r>
          </w:p>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Required research is identified and conducted for registration (if appropriate).</w:t>
            </w:r>
          </w:p>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 xml:space="preserve">Process for registration of </w:t>
            </w:r>
            <w:proofErr w:type="spellStart"/>
            <w:r w:rsidRPr="007D20DB">
              <w:rPr>
                <w:rFonts w:ascii="AGaramondPro-Regular" w:hAnsi="AGaramondPro-Regular" w:cs="AGaramondPro-Regular"/>
                <w:color w:val="000000"/>
                <w:sz w:val="19"/>
                <w:szCs w:val="19"/>
                <w:lang w:val="en-US" w:eastAsia="ja-JP"/>
              </w:rPr>
              <w:t>phosphite</w:t>
            </w:r>
            <w:proofErr w:type="spellEnd"/>
            <w:r w:rsidRPr="007D20DB">
              <w:rPr>
                <w:rFonts w:ascii="AGaramondPro-Regular" w:hAnsi="AGaramondPro-Regular" w:cs="AGaramondPro-Regular"/>
                <w:color w:val="000000"/>
                <w:sz w:val="19"/>
                <w:szCs w:val="19"/>
                <w:lang w:val="en-US" w:eastAsia="ja-JP"/>
              </w:rPr>
              <w:t xml:space="preserve"> for national use in natural ecosystem contexts has commenced (if appropriate). </w:t>
            </w:r>
          </w:p>
        </w:tc>
      </w:tr>
      <w:tr w:rsidR="007D20DB" w:rsidRPr="007D20DB">
        <w:trPr>
          <w:trHeight w:val="60"/>
        </w:trPr>
        <w:tc>
          <w:tcPr>
            <w:tcW w:w="220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57" w:line="288" w:lineRule="auto"/>
              <w:textAlignment w:val="center"/>
              <w:rPr>
                <w:rFonts w:ascii="AGaramondPro-Bold" w:hAnsi="AGaramondPro-Bold" w:cs="AGaramondPro-Bold"/>
                <w:b/>
                <w:bCs/>
                <w:color w:val="000000"/>
                <w:sz w:val="19"/>
                <w:szCs w:val="19"/>
                <w:lang w:val="en-US" w:eastAsia="ja-JP"/>
              </w:rPr>
            </w:pPr>
            <w:r w:rsidRPr="007D20DB">
              <w:rPr>
                <w:rFonts w:ascii="AGaramondPro-Bold" w:hAnsi="AGaramondPro-Bold" w:cs="AGaramondPro-Bold"/>
                <w:b/>
                <w:bCs/>
                <w:color w:val="000000"/>
                <w:sz w:val="19"/>
                <w:szCs w:val="19"/>
                <w:lang w:val="en-US" w:eastAsia="ja-JP"/>
              </w:rPr>
              <w:t>Action 2.2</w:t>
            </w:r>
          </w:p>
          <w:p w:rsidR="007D20DB" w:rsidRPr="007D20DB" w:rsidRDefault="007D20DB" w:rsidP="007D20DB">
            <w:pPr>
              <w:widowControl w:val="0"/>
              <w:suppressAutoHyphens/>
              <w:autoSpaceDE w:val="0"/>
              <w:autoSpaceDN w:val="0"/>
              <w:adjustRightInd w:val="0"/>
              <w:spacing w:after="57"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 xml:space="preserve">Implement control actions to protect priority biodiversity assets (as identified under Objective 1) from the impacts of </w:t>
            </w:r>
            <w:r w:rsidRPr="007D20DB">
              <w:rPr>
                <w:rFonts w:ascii="AGaramondPro-Italic" w:hAnsi="AGaramondPro-Italic" w:cs="AGaramondPro-Italic"/>
                <w:i/>
                <w:iCs/>
                <w:color w:val="000000"/>
                <w:sz w:val="19"/>
                <w:szCs w:val="19"/>
                <w:lang w:val="en-US" w:eastAsia="ja-JP"/>
              </w:rPr>
              <w:t>P.</w:t>
            </w:r>
            <w:r w:rsidRPr="007D20DB">
              <w:rPr>
                <w:rFonts w:ascii="AGaramondPro-Italic" w:hAnsi="AGaramondPro-Italic" w:cs="AGaramondPro-Italic"/>
                <w:i/>
                <w:iCs/>
                <w:color w:val="000000"/>
                <w:sz w:val="19"/>
                <w:szCs w:val="19"/>
                <w:rtl/>
                <w:lang w:val="en-US" w:eastAsia="ja-JP" w:bidi="ar-YE"/>
              </w:rPr>
              <w:t> </w:t>
            </w:r>
            <w:proofErr w:type="spellStart"/>
            <w:r w:rsidRPr="007D20DB">
              <w:rPr>
                <w:rFonts w:ascii="AGaramondPro-Italic" w:hAnsi="AGaramondPro-Italic" w:cs="AGaramondPro-Italic"/>
                <w:i/>
                <w:iCs/>
                <w:color w:val="000000"/>
                <w:sz w:val="19"/>
                <w:szCs w:val="19"/>
                <w:lang w:val="en-US" w:eastAsia="ja-JP"/>
              </w:rPr>
              <w:t>cinnamomi</w:t>
            </w:r>
            <w:proofErr w:type="spellEnd"/>
            <w:r w:rsidRPr="007D20DB">
              <w:rPr>
                <w:rFonts w:ascii="AGaramondPro-Italic" w:hAnsi="AGaramondPro-Italic" w:cs="AGaramondPro-Italic"/>
                <w:i/>
                <w:iCs/>
                <w:color w:val="000000"/>
                <w:sz w:val="19"/>
                <w:szCs w:val="19"/>
                <w:lang w:val="en-US" w:eastAsia="ja-JP"/>
              </w:rPr>
              <w:t>.</w:t>
            </w:r>
          </w:p>
        </w:tc>
        <w:tc>
          <w:tcPr>
            <w:tcW w:w="184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Australian Government and state, territory and local governments</w:t>
            </w:r>
          </w:p>
        </w:tc>
        <w:tc>
          <w:tcPr>
            <w:tcW w:w="127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High priority</w:t>
            </w:r>
          </w:p>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p>
        </w:tc>
        <w:tc>
          <w:tcPr>
            <w:tcW w:w="141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Ongoing</w:t>
            </w:r>
          </w:p>
        </w:tc>
        <w:tc>
          <w:tcPr>
            <w:tcW w:w="224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Quarantine and hygiene measures for priority biodiversity assets are implemented during the life of this TAP.</w:t>
            </w:r>
          </w:p>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Where suitable eradication, containment or control methods are applicable, these are implemented throughout the life of this TAP (e.g. eradicate small infestations to protect high value healthy catchments).</w:t>
            </w:r>
          </w:p>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Italic" w:hAnsi="AGaramondPro-Italic" w:cs="AGaramondPro-Italic"/>
                <w:i/>
                <w:iCs/>
                <w:color w:val="000000"/>
                <w:sz w:val="19"/>
                <w:szCs w:val="19"/>
                <w:lang w:val="en-US" w:eastAsia="ja-JP"/>
              </w:rPr>
              <w:t>Ex situ</w:t>
            </w:r>
            <w:r w:rsidRPr="007D20DB">
              <w:rPr>
                <w:rFonts w:ascii="AGaramondPro-Regular" w:hAnsi="AGaramondPro-Regular" w:cs="AGaramondPro-Regular"/>
                <w:color w:val="000000"/>
                <w:sz w:val="19"/>
                <w:szCs w:val="19"/>
                <w:lang w:val="en-US" w:eastAsia="ja-JP"/>
              </w:rPr>
              <w:t xml:space="preserve"> conservation of species at risk is undertaken at appropriate facilities that manage the risk of </w:t>
            </w:r>
            <w:r w:rsidRPr="007D20DB">
              <w:rPr>
                <w:rFonts w:ascii="AGaramondPro-Italic" w:hAnsi="AGaramondPro-Italic" w:cs="AGaramondPro-Italic"/>
                <w:i/>
                <w:iCs/>
                <w:color w:val="000000"/>
                <w:sz w:val="19"/>
                <w:szCs w:val="19"/>
                <w:lang w:val="en-US" w:eastAsia="ja-JP"/>
              </w:rPr>
              <w:t>P. </w:t>
            </w:r>
            <w:proofErr w:type="spellStart"/>
            <w:r w:rsidRPr="007D20DB">
              <w:rPr>
                <w:rFonts w:ascii="AGaramondPro-Italic" w:hAnsi="AGaramondPro-Italic" w:cs="AGaramondPro-Italic"/>
                <w:i/>
                <w:iCs/>
                <w:color w:val="000000"/>
                <w:sz w:val="19"/>
                <w:szCs w:val="19"/>
                <w:lang w:val="en-US" w:eastAsia="ja-JP"/>
              </w:rPr>
              <w:t>cinnamomi</w:t>
            </w:r>
            <w:proofErr w:type="spellEnd"/>
            <w:r w:rsidRPr="007D20DB">
              <w:rPr>
                <w:rFonts w:ascii="AGaramondPro-Italic" w:hAnsi="AGaramondPro-Italic" w:cs="AGaramondPro-Italic"/>
                <w:i/>
                <w:iCs/>
                <w:color w:val="000000"/>
                <w:sz w:val="19"/>
                <w:szCs w:val="19"/>
                <w:lang w:val="en-US" w:eastAsia="ja-JP"/>
              </w:rPr>
              <w:t xml:space="preserve"> </w:t>
            </w:r>
            <w:r w:rsidRPr="007D20DB">
              <w:rPr>
                <w:rFonts w:ascii="AGaramondPro-Regular" w:hAnsi="AGaramondPro-Regular" w:cs="AGaramondPro-Regular"/>
                <w:color w:val="000000"/>
                <w:sz w:val="19"/>
                <w:szCs w:val="19"/>
                <w:lang w:val="en-US" w:eastAsia="ja-JP"/>
              </w:rPr>
              <w:lastRenderedPageBreak/>
              <w:t>introduction.</w:t>
            </w:r>
          </w:p>
        </w:tc>
      </w:tr>
      <w:tr w:rsidR="007D20DB" w:rsidRPr="007D20DB">
        <w:trPr>
          <w:trHeight w:val="60"/>
        </w:trPr>
        <w:tc>
          <w:tcPr>
            <w:tcW w:w="220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57" w:line="288" w:lineRule="auto"/>
              <w:textAlignment w:val="center"/>
              <w:rPr>
                <w:rFonts w:ascii="AGaramondPro-Bold" w:hAnsi="AGaramondPro-Bold" w:cs="AGaramondPro-Bold"/>
                <w:b/>
                <w:bCs/>
                <w:color w:val="000000"/>
                <w:sz w:val="19"/>
                <w:szCs w:val="19"/>
                <w:lang w:val="en-US" w:eastAsia="ja-JP"/>
              </w:rPr>
            </w:pPr>
            <w:r w:rsidRPr="007D20DB">
              <w:rPr>
                <w:rFonts w:ascii="AGaramondPro-Bold" w:hAnsi="AGaramondPro-Bold" w:cs="AGaramondPro-Bold"/>
                <w:b/>
                <w:bCs/>
                <w:color w:val="000000"/>
                <w:sz w:val="19"/>
                <w:szCs w:val="19"/>
                <w:lang w:val="en-US" w:eastAsia="ja-JP"/>
              </w:rPr>
              <w:lastRenderedPageBreak/>
              <w:t>Action 2.3</w:t>
            </w:r>
          </w:p>
          <w:p w:rsidR="007D20DB" w:rsidRPr="007D20DB" w:rsidRDefault="007D20DB" w:rsidP="007D20DB">
            <w:pPr>
              <w:widowControl w:val="0"/>
              <w:suppressAutoHyphens/>
              <w:autoSpaceDE w:val="0"/>
              <w:autoSpaceDN w:val="0"/>
              <w:adjustRightInd w:val="0"/>
              <w:spacing w:after="57"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 xml:space="preserve">Develop and implement practices to </w:t>
            </w:r>
            <w:proofErr w:type="spellStart"/>
            <w:r w:rsidRPr="007D20DB">
              <w:rPr>
                <w:rFonts w:ascii="AGaramondPro-Regular" w:hAnsi="AGaramondPro-Regular" w:cs="AGaramondPro-Regular"/>
                <w:color w:val="000000"/>
                <w:sz w:val="19"/>
                <w:szCs w:val="19"/>
                <w:lang w:val="en-US" w:eastAsia="ja-JP"/>
              </w:rPr>
              <w:t>minimise</w:t>
            </w:r>
            <w:proofErr w:type="spellEnd"/>
            <w:r w:rsidRPr="007D20DB">
              <w:rPr>
                <w:rFonts w:ascii="AGaramondPro-Regular" w:hAnsi="AGaramondPro-Regular" w:cs="AGaramondPro-Regular"/>
                <w:color w:val="000000"/>
                <w:sz w:val="19"/>
                <w:szCs w:val="19"/>
                <w:lang w:val="en-US" w:eastAsia="ja-JP"/>
              </w:rPr>
              <w:t xml:space="preserve"> the inadvertent spread of </w:t>
            </w:r>
            <w:r w:rsidRPr="007D20DB">
              <w:rPr>
                <w:rFonts w:ascii="AGaramondPro-Italic" w:hAnsi="AGaramondPro-Italic" w:cs="AGaramondPro-Italic"/>
                <w:i/>
                <w:iCs/>
                <w:color w:val="000000"/>
                <w:sz w:val="19"/>
                <w:szCs w:val="19"/>
                <w:lang w:val="en-US" w:eastAsia="ja-JP"/>
              </w:rPr>
              <w:t>P. </w:t>
            </w:r>
            <w:proofErr w:type="spellStart"/>
            <w:r w:rsidRPr="007D20DB">
              <w:rPr>
                <w:rFonts w:ascii="AGaramondPro-Italic" w:hAnsi="AGaramondPro-Italic" w:cs="AGaramondPro-Italic"/>
                <w:i/>
                <w:iCs/>
                <w:color w:val="000000"/>
                <w:sz w:val="19"/>
                <w:szCs w:val="19"/>
                <w:lang w:val="en-US" w:eastAsia="ja-JP"/>
              </w:rPr>
              <w:t>cinnamomi</w:t>
            </w:r>
            <w:proofErr w:type="spellEnd"/>
            <w:r w:rsidRPr="007D20DB">
              <w:rPr>
                <w:rFonts w:ascii="AGaramondPro-Italic" w:hAnsi="AGaramondPro-Italic" w:cs="AGaramondPro-Italic"/>
                <w:i/>
                <w:iCs/>
                <w:color w:val="000000"/>
                <w:sz w:val="19"/>
                <w:szCs w:val="19"/>
                <w:lang w:val="en-US" w:eastAsia="ja-JP"/>
              </w:rPr>
              <w:t xml:space="preserve"> </w:t>
            </w:r>
            <w:r w:rsidRPr="007D20DB">
              <w:rPr>
                <w:rFonts w:ascii="AGaramondPro-Regular" w:hAnsi="AGaramondPro-Regular" w:cs="AGaramondPro-Regular"/>
                <w:color w:val="000000"/>
                <w:sz w:val="19"/>
                <w:szCs w:val="19"/>
                <w:lang w:val="en-US" w:eastAsia="ja-JP"/>
              </w:rPr>
              <w:t>to priority biodiversity assets.</w:t>
            </w:r>
          </w:p>
        </w:tc>
        <w:tc>
          <w:tcPr>
            <w:tcW w:w="184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 xml:space="preserve">Australian Government, state, territory and local governments and relevant industries conducting high-risk activities (e.g. forestry, garden/nursery, road construction, recreation, mining and tourism) </w:t>
            </w:r>
          </w:p>
        </w:tc>
        <w:tc>
          <w:tcPr>
            <w:tcW w:w="127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High priority</w:t>
            </w:r>
          </w:p>
        </w:tc>
        <w:tc>
          <w:tcPr>
            <w:tcW w:w="141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Short term and ongoing</w:t>
            </w:r>
          </w:p>
        </w:tc>
        <w:tc>
          <w:tcPr>
            <w:tcW w:w="224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Risk reduction plans (prevention, impact reduction, containment, stakeholder engagement, communication materials including signage, monitoring) for priority protection areas and biodiversity assets are prepared.</w:t>
            </w:r>
          </w:p>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Implement a voluntary certification scheme Australia-wide for high risk materials such as nursery materials, soils, quarry products and road and track building material.</w:t>
            </w:r>
          </w:p>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Pathogen-tested raw materials, compliant with a best practice certification scheme, are used in high-risk infestation pathways such as soil and nursery materials.</w:t>
            </w:r>
          </w:p>
        </w:tc>
      </w:tr>
      <w:tr w:rsidR="007D20DB" w:rsidRPr="007D20DB">
        <w:trPr>
          <w:trHeight w:val="60"/>
        </w:trPr>
        <w:tc>
          <w:tcPr>
            <w:tcW w:w="220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57" w:line="288" w:lineRule="auto"/>
              <w:textAlignment w:val="center"/>
              <w:rPr>
                <w:rFonts w:ascii="AGaramondPro-Bold" w:hAnsi="AGaramondPro-Bold" w:cs="AGaramondPro-Bold"/>
                <w:b/>
                <w:bCs/>
                <w:color w:val="000000"/>
                <w:sz w:val="19"/>
                <w:szCs w:val="19"/>
                <w:lang w:val="en-US" w:eastAsia="ja-JP"/>
              </w:rPr>
            </w:pPr>
            <w:r w:rsidRPr="007D20DB">
              <w:rPr>
                <w:rFonts w:ascii="AGaramondPro-Bold" w:hAnsi="AGaramondPro-Bold" w:cs="AGaramondPro-Bold"/>
                <w:b/>
                <w:bCs/>
                <w:color w:val="000000"/>
                <w:sz w:val="19"/>
                <w:szCs w:val="19"/>
                <w:lang w:val="en-US" w:eastAsia="ja-JP"/>
              </w:rPr>
              <w:t>Action 2.4</w:t>
            </w:r>
          </w:p>
          <w:p w:rsidR="007D20DB" w:rsidRPr="007D20DB" w:rsidRDefault="007D20DB" w:rsidP="007D20DB">
            <w:pPr>
              <w:widowControl w:val="0"/>
              <w:suppressAutoHyphens/>
              <w:autoSpaceDE w:val="0"/>
              <w:autoSpaceDN w:val="0"/>
              <w:adjustRightInd w:val="0"/>
              <w:spacing w:after="57"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 xml:space="preserve">Integrate management of </w:t>
            </w:r>
            <w:r w:rsidRPr="007D20DB">
              <w:rPr>
                <w:rFonts w:ascii="AGaramondPro-Italic" w:hAnsi="AGaramondPro-Italic" w:cs="AGaramondPro-Italic"/>
                <w:i/>
                <w:iCs/>
                <w:color w:val="000000"/>
                <w:sz w:val="19"/>
                <w:szCs w:val="19"/>
                <w:lang w:val="en-US" w:eastAsia="ja-JP"/>
              </w:rPr>
              <w:t>P. </w:t>
            </w:r>
            <w:proofErr w:type="spellStart"/>
            <w:r w:rsidRPr="007D20DB">
              <w:rPr>
                <w:rFonts w:ascii="AGaramondPro-Italic" w:hAnsi="AGaramondPro-Italic" w:cs="AGaramondPro-Italic"/>
                <w:i/>
                <w:iCs/>
                <w:color w:val="000000"/>
                <w:sz w:val="19"/>
                <w:szCs w:val="19"/>
                <w:lang w:val="en-US" w:eastAsia="ja-JP"/>
              </w:rPr>
              <w:t>cinnamomi</w:t>
            </w:r>
            <w:proofErr w:type="spellEnd"/>
            <w:r w:rsidRPr="007D20DB">
              <w:rPr>
                <w:rFonts w:ascii="AGaramondPro-Regular" w:hAnsi="AGaramondPro-Regular" w:cs="AGaramondPro-Regular"/>
                <w:color w:val="000000"/>
                <w:sz w:val="19"/>
                <w:szCs w:val="19"/>
                <w:lang w:val="en-US" w:eastAsia="ja-JP"/>
              </w:rPr>
              <w:t xml:space="preserve"> with other natural resource management systems.</w:t>
            </w:r>
          </w:p>
        </w:tc>
        <w:tc>
          <w:tcPr>
            <w:tcW w:w="184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Australian Government and state and territory governments</w:t>
            </w:r>
          </w:p>
        </w:tc>
        <w:tc>
          <w:tcPr>
            <w:tcW w:w="127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Medium priority</w:t>
            </w:r>
          </w:p>
        </w:tc>
        <w:tc>
          <w:tcPr>
            <w:tcW w:w="141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Medium term</w:t>
            </w:r>
          </w:p>
        </w:tc>
        <w:tc>
          <w:tcPr>
            <w:tcW w:w="224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State and territory governments have adopted integrated hygiene procedures for works in native vegetation to manage pests, weeds and disease risks.</w:t>
            </w:r>
          </w:p>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Italic" w:hAnsi="AGaramondPro-Italic" w:cs="AGaramondPro-Italic"/>
                <w:i/>
                <w:iCs/>
                <w:color w:val="000000"/>
                <w:sz w:val="19"/>
                <w:szCs w:val="19"/>
                <w:lang w:val="en-US" w:eastAsia="ja-JP"/>
              </w:rPr>
              <w:t>P.</w:t>
            </w:r>
            <w:r w:rsidRPr="007D20DB">
              <w:rPr>
                <w:rFonts w:ascii="AGaramondPro-Regular" w:hAnsi="AGaramondPro-Regular" w:cs="AGaramondPro-Regular"/>
                <w:color w:val="000000"/>
                <w:sz w:val="19"/>
                <w:szCs w:val="19"/>
                <w:rtl/>
                <w:lang w:val="en-US" w:eastAsia="ja-JP" w:bidi="ar-YE"/>
              </w:rPr>
              <w:t> </w:t>
            </w:r>
            <w:proofErr w:type="spellStart"/>
            <w:r w:rsidRPr="007D20DB">
              <w:rPr>
                <w:rFonts w:ascii="AGaramondPro-Italic" w:hAnsi="AGaramondPro-Italic" w:cs="AGaramondPro-Italic"/>
                <w:i/>
                <w:iCs/>
                <w:color w:val="000000"/>
                <w:sz w:val="19"/>
                <w:szCs w:val="19"/>
                <w:lang w:val="en-US" w:eastAsia="ja-JP"/>
              </w:rPr>
              <w:t>cinnamomi</w:t>
            </w:r>
            <w:proofErr w:type="spellEnd"/>
            <w:r w:rsidRPr="007D20DB">
              <w:rPr>
                <w:rFonts w:ascii="AGaramondPro-Regular" w:hAnsi="AGaramondPro-Regular" w:cs="AGaramondPro-Regular"/>
                <w:color w:val="000000"/>
                <w:sz w:val="19"/>
                <w:szCs w:val="19"/>
                <w:lang w:val="en-US" w:eastAsia="ja-JP"/>
              </w:rPr>
              <w:t xml:space="preserve"> management is integrated with other compatible land management programs such as </w:t>
            </w:r>
            <w:proofErr w:type="spellStart"/>
            <w:r w:rsidRPr="007D20DB">
              <w:rPr>
                <w:rFonts w:ascii="AGaramondPro-Regular" w:hAnsi="AGaramondPro-Regular" w:cs="AGaramondPro-Regular"/>
                <w:color w:val="000000"/>
                <w:sz w:val="19"/>
                <w:szCs w:val="19"/>
                <w:lang w:val="en-US" w:eastAsia="ja-JP"/>
              </w:rPr>
              <w:t>revegetation</w:t>
            </w:r>
            <w:proofErr w:type="spellEnd"/>
            <w:r w:rsidRPr="007D20DB">
              <w:rPr>
                <w:rFonts w:ascii="AGaramondPro-Regular" w:hAnsi="AGaramondPro-Regular" w:cs="AGaramondPro-Regular"/>
                <w:color w:val="000000"/>
                <w:sz w:val="19"/>
                <w:szCs w:val="19"/>
                <w:lang w:val="en-US" w:eastAsia="ja-JP"/>
              </w:rPr>
              <w:t xml:space="preserve">, fire, weed and pest management and road maintenance programs. </w:t>
            </w:r>
          </w:p>
        </w:tc>
      </w:tr>
      <w:tr w:rsidR="007D20DB" w:rsidRPr="007D20DB">
        <w:trPr>
          <w:trHeight w:val="60"/>
        </w:trPr>
        <w:tc>
          <w:tcPr>
            <w:tcW w:w="220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57" w:line="288" w:lineRule="auto"/>
              <w:textAlignment w:val="center"/>
              <w:rPr>
                <w:rFonts w:ascii="AGaramondPro-Bold" w:hAnsi="AGaramondPro-Bold" w:cs="AGaramondPro-Bold"/>
                <w:b/>
                <w:bCs/>
                <w:color w:val="000000"/>
                <w:sz w:val="19"/>
                <w:szCs w:val="19"/>
                <w:lang w:val="en-US" w:eastAsia="ja-JP"/>
              </w:rPr>
            </w:pPr>
            <w:r w:rsidRPr="007D20DB">
              <w:rPr>
                <w:rFonts w:ascii="AGaramondPro-Bold" w:hAnsi="AGaramondPro-Bold" w:cs="AGaramondPro-Bold"/>
                <w:b/>
                <w:bCs/>
                <w:color w:val="000000"/>
                <w:sz w:val="19"/>
                <w:szCs w:val="19"/>
                <w:lang w:val="en-US" w:eastAsia="ja-JP"/>
              </w:rPr>
              <w:t xml:space="preserve">Action 2.5 </w:t>
            </w:r>
          </w:p>
          <w:p w:rsidR="007D20DB" w:rsidRPr="007D20DB" w:rsidRDefault="007D20DB" w:rsidP="007D20DB">
            <w:pPr>
              <w:widowControl w:val="0"/>
              <w:suppressAutoHyphens/>
              <w:autoSpaceDE w:val="0"/>
              <w:autoSpaceDN w:val="0"/>
              <w:adjustRightInd w:val="0"/>
              <w:spacing w:after="57"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 xml:space="preserve">Prepare guidelines to </w:t>
            </w:r>
            <w:proofErr w:type="spellStart"/>
            <w:r w:rsidRPr="007D20DB">
              <w:rPr>
                <w:rFonts w:ascii="AGaramondPro-Regular" w:hAnsi="AGaramondPro-Regular" w:cs="AGaramondPro-Regular"/>
                <w:color w:val="000000"/>
                <w:sz w:val="19"/>
                <w:szCs w:val="19"/>
                <w:lang w:val="en-US" w:eastAsia="ja-JP"/>
              </w:rPr>
              <w:lastRenderedPageBreak/>
              <w:t>minimise</w:t>
            </w:r>
            <w:proofErr w:type="spellEnd"/>
            <w:r w:rsidRPr="007D20DB">
              <w:rPr>
                <w:rFonts w:ascii="AGaramondPro-Regular" w:hAnsi="AGaramondPro-Regular" w:cs="AGaramondPro-Regular"/>
                <w:color w:val="000000"/>
                <w:sz w:val="19"/>
                <w:szCs w:val="19"/>
                <w:lang w:val="en-US" w:eastAsia="ja-JP"/>
              </w:rPr>
              <w:t xml:space="preserve"> risks from </w:t>
            </w:r>
            <w:r w:rsidRPr="007D20DB">
              <w:rPr>
                <w:rFonts w:ascii="AGaramondPro-Italic" w:hAnsi="AGaramondPro-Italic" w:cs="AGaramondPro-Italic"/>
                <w:i/>
                <w:iCs/>
                <w:color w:val="000000"/>
                <w:sz w:val="19"/>
                <w:szCs w:val="19"/>
                <w:lang w:val="en-US" w:eastAsia="ja-JP"/>
              </w:rPr>
              <w:t>P. </w:t>
            </w:r>
            <w:proofErr w:type="spellStart"/>
            <w:r w:rsidRPr="007D20DB">
              <w:rPr>
                <w:rFonts w:ascii="AGaramondPro-Italic" w:hAnsi="AGaramondPro-Italic" w:cs="AGaramondPro-Italic"/>
                <w:i/>
                <w:iCs/>
                <w:color w:val="000000"/>
                <w:sz w:val="19"/>
                <w:szCs w:val="19"/>
                <w:lang w:val="en-US" w:eastAsia="ja-JP"/>
              </w:rPr>
              <w:t>cinnamomi</w:t>
            </w:r>
            <w:proofErr w:type="spellEnd"/>
            <w:r w:rsidRPr="007D20DB">
              <w:rPr>
                <w:rFonts w:ascii="AGaramondPro-Regular" w:hAnsi="AGaramondPro-Regular" w:cs="AGaramondPro-Regular"/>
                <w:color w:val="000000"/>
                <w:sz w:val="19"/>
                <w:szCs w:val="19"/>
                <w:lang w:val="en-US" w:eastAsia="ja-JP"/>
              </w:rPr>
              <w:t xml:space="preserve"> arising from Australian Government environment funding programs.</w:t>
            </w:r>
          </w:p>
        </w:tc>
        <w:tc>
          <w:tcPr>
            <w:tcW w:w="184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lastRenderedPageBreak/>
              <w:t xml:space="preserve">Australian Government </w:t>
            </w:r>
          </w:p>
        </w:tc>
        <w:tc>
          <w:tcPr>
            <w:tcW w:w="127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High Priority</w:t>
            </w:r>
          </w:p>
        </w:tc>
        <w:tc>
          <w:tcPr>
            <w:tcW w:w="141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Medium term</w:t>
            </w:r>
          </w:p>
        </w:tc>
        <w:tc>
          <w:tcPr>
            <w:tcW w:w="224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 xml:space="preserve">Guidelines to </w:t>
            </w:r>
            <w:proofErr w:type="spellStart"/>
            <w:r w:rsidRPr="007D20DB">
              <w:rPr>
                <w:rFonts w:ascii="AGaramondPro-Regular" w:hAnsi="AGaramondPro-Regular" w:cs="AGaramondPro-Regular"/>
                <w:color w:val="000000"/>
                <w:sz w:val="19"/>
                <w:szCs w:val="19"/>
                <w:lang w:val="en-US" w:eastAsia="ja-JP"/>
              </w:rPr>
              <w:t>minimise</w:t>
            </w:r>
            <w:proofErr w:type="spellEnd"/>
            <w:r w:rsidRPr="007D20DB">
              <w:rPr>
                <w:rFonts w:ascii="AGaramondPro-Regular" w:hAnsi="AGaramondPro-Regular" w:cs="AGaramondPro-Regular"/>
                <w:color w:val="000000"/>
                <w:sz w:val="19"/>
                <w:szCs w:val="19"/>
                <w:lang w:val="en-US" w:eastAsia="ja-JP"/>
              </w:rPr>
              <w:t xml:space="preserve"> risks from </w:t>
            </w:r>
            <w:r w:rsidRPr="007D20DB">
              <w:rPr>
                <w:rFonts w:ascii="AGaramondPro-Italic" w:hAnsi="AGaramondPro-Italic" w:cs="AGaramondPro-Italic"/>
                <w:i/>
                <w:iCs/>
                <w:color w:val="000000"/>
                <w:sz w:val="19"/>
                <w:szCs w:val="19"/>
                <w:lang w:val="en-US" w:eastAsia="ja-JP"/>
              </w:rPr>
              <w:t>P.</w:t>
            </w:r>
            <w:r w:rsidRPr="007D20DB">
              <w:rPr>
                <w:rFonts w:ascii="AGaramondPro-Regular" w:hAnsi="AGaramondPro-Regular" w:cs="AGaramondPro-Regular"/>
                <w:color w:val="000000"/>
                <w:sz w:val="19"/>
                <w:szCs w:val="19"/>
                <w:rtl/>
                <w:lang w:val="en-US" w:eastAsia="ja-JP" w:bidi="ar-YE"/>
              </w:rPr>
              <w:t> </w:t>
            </w:r>
            <w:proofErr w:type="spellStart"/>
            <w:r w:rsidRPr="007D20DB">
              <w:rPr>
                <w:rFonts w:ascii="AGaramondPro-Italic" w:hAnsi="AGaramondPro-Italic" w:cs="AGaramondPro-Italic"/>
                <w:i/>
                <w:iCs/>
                <w:color w:val="000000"/>
                <w:sz w:val="19"/>
                <w:szCs w:val="19"/>
                <w:lang w:val="en-US" w:eastAsia="ja-JP"/>
              </w:rPr>
              <w:t>cinnamomi</w:t>
            </w:r>
            <w:proofErr w:type="spellEnd"/>
            <w:r w:rsidRPr="007D20DB">
              <w:rPr>
                <w:rFonts w:ascii="AGaramondPro-Regular" w:hAnsi="AGaramondPro-Regular" w:cs="AGaramondPro-Regular"/>
                <w:color w:val="000000"/>
                <w:sz w:val="19"/>
                <w:szCs w:val="19"/>
                <w:lang w:val="en-US" w:eastAsia="ja-JP"/>
              </w:rPr>
              <w:t xml:space="preserve"> </w:t>
            </w:r>
            <w:r w:rsidRPr="007D20DB">
              <w:rPr>
                <w:rFonts w:ascii="AGaramondPro-Regular" w:hAnsi="AGaramondPro-Regular" w:cs="AGaramondPro-Regular"/>
                <w:color w:val="000000"/>
                <w:sz w:val="19"/>
                <w:szCs w:val="19"/>
                <w:lang w:val="en-US" w:eastAsia="ja-JP"/>
              </w:rPr>
              <w:lastRenderedPageBreak/>
              <w:t>arising from Australian Government environment funding programs are developed and communicated within 12 months of making this TAP.</w:t>
            </w:r>
          </w:p>
        </w:tc>
      </w:tr>
    </w:tbl>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
    <w:p w:rsidR="007D20DB" w:rsidRPr="007D20DB" w:rsidRDefault="007D20DB" w:rsidP="00704644">
      <w:pPr>
        <w:pStyle w:val="02HEADING20"/>
      </w:pPr>
      <w:bookmarkStart w:id="20" w:name="_Toc253067287"/>
      <w:r w:rsidRPr="007D20DB">
        <w:t>Objective 3: Communication and training</w:t>
      </w:r>
      <w:bookmarkEnd w:id="20"/>
      <w:r w:rsidRPr="007D20DB">
        <w:t xml:space="preserve"> </w:t>
      </w:r>
    </w:p>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Many people are unaware of the significance of </w:t>
      </w:r>
      <w:r w:rsidRPr="007D20DB">
        <w:rPr>
          <w:rFonts w:ascii="AGaramondPro-Italic" w:hAnsi="AGaramondPro-Italic" w:cs="AGaramondPro-Italic"/>
          <w:i/>
          <w:iCs/>
          <w:color w:val="000000"/>
          <w:sz w:val="20"/>
          <w:szCs w:val="20"/>
          <w:lang w:val="en-US" w:eastAsia="ja-JP"/>
        </w:rPr>
        <w:t>P.</w:t>
      </w:r>
      <w:r w:rsidRPr="007D20DB">
        <w:rPr>
          <w:rFonts w:ascii="AGaramondPro-Regular" w:hAnsi="AGaramondPro-Regular" w:cs="AGaramondPro-Regular"/>
          <w:color w:val="000000"/>
          <w:sz w:val="20"/>
          <w:szCs w:val="20"/>
          <w:rtl/>
          <w:lang w:val="en-US" w:eastAsia="ja-JP" w:bidi="ar-YE"/>
        </w:rPr>
        <w:t>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and the ways it can be spread. Ongoing delivery of awareness and capacity building programs in natural resource management at national, state and regional level can make a significant contribution to national implementation of the TAP. </w:t>
      </w:r>
    </w:p>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In order to inform and empower stakeholders, particularly land managers and land users, to take actions that collectively </w:t>
      </w:r>
      <w:proofErr w:type="spellStart"/>
      <w:r w:rsidRPr="007D20DB">
        <w:rPr>
          <w:rFonts w:ascii="AGaramondPro-Regular" w:hAnsi="AGaramondPro-Regular" w:cs="AGaramondPro-Regular"/>
          <w:color w:val="000000"/>
          <w:sz w:val="20"/>
          <w:szCs w:val="20"/>
          <w:lang w:val="en-US" w:eastAsia="ja-JP"/>
        </w:rPr>
        <w:t>minimise</w:t>
      </w:r>
      <w:proofErr w:type="spellEnd"/>
      <w:r w:rsidRPr="007D20DB">
        <w:rPr>
          <w:rFonts w:ascii="AGaramondPro-Regular" w:hAnsi="AGaramondPro-Regular" w:cs="AGaramondPro-Regular"/>
          <w:color w:val="000000"/>
          <w:sz w:val="20"/>
          <w:szCs w:val="20"/>
          <w:lang w:val="en-US" w:eastAsia="ja-JP"/>
        </w:rPr>
        <w:t xml:space="preserve"> the spread and reduce the impacts of </w:t>
      </w:r>
      <w:r w:rsidRPr="007D20DB">
        <w:rPr>
          <w:rFonts w:ascii="AGaramondPro-Italic" w:hAnsi="AGaramondPro-Italic" w:cs="AGaramondPro-Italic"/>
          <w:i/>
          <w:iCs/>
          <w:color w:val="000000"/>
          <w:sz w:val="20"/>
          <w:szCs w:val="20"/>
          <w:lang w:val="en-US" w:eastAsia="ja-JP"/>
        </w:rPr>
        <w:t>P.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Italic" w:hAnsi="AGaramondPro-Italic" w:cs="AGaramondPro-Italic"/>
          <w:i/>
          <w:iCs/>
          <w:color w:val="000000"/>
          <w:sz w:val="20"/>
          <w:szCs w:val="20"/>
          <w:lang w:val="en-US" w:eastAsia="ja-JP"/>
        </w:rPr>
        <w:t xml:space="preserve"> </w:t>
      </w:r>
      <w:r w:rsidRPr="007D20DB">
        <w:rPr>
          <w:rFonts w:ascii="AGaramondPro-Regular" w:hAnsi="AGaramondPro-Regular" w:cs="AGaramondPro-Regular"/>
          <w:color w:val="000000"/>
          <w:sz w:val="20"/>
          <w:szCs w:val="20"/>
          <w:lang w:val="en-US" w:eastAsia="ja-JP"/>
        </w:rPr>
        <w:t>it is necessary to effectively communicate:</w:t>
      </w:r>
    </w:p>
    <w:p w:rsidR="007D20DB" w:rsidRPr="007D20DB" w:rsidRDefault="007D20DB" w:rsidP="007D20DB">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r>
      <w:proofErr w:type="gramStart"/>
      <w:r w:rsidRPr="007D20DB">
        <w:rPr>
          <w:rFonts w:ascii="AGaramondPro-Regular" w:hAnsi="AGaramondPro-Regular" w:cs="AGaramondPro-Regular"/>
          <w:color w:val="000000"/>
          <w:sz w:val="20"/>
          <w:szCs w:val="20"/>
          <w:lang w:val="en-US" w:eastAsia="ja-JP"/>
        </w:rPr>
        <w:t>the</w:t>
      </w:r>
      <w:proofErr w:type="gramEnd"/>
      <w:r w:rsidRPr="007D20DB">
        <w:rPr>
          <w:rFonts w:ascii="AGaramondPro-Regular" w:hAnsi="AGaramondPro-Regular" w:cs="AGaramondPro-Regular"/>
          <w:color w:val="000000"/>
          <w:sz w:val="20"/>
          <w:szCs w:val="20"/>
          <w:lang w:val="en-US" w:eastAsia="ja-JP"/>
        </w:rPr>
        <w:t xml:space="preserve"> approach adopted in this TAP</w:t>
      </w:r>
    </w:p>
    <w:p w:rsidR="007D20DB" w:rsidRPr="007D20DB" w:rsidRDefault="007D20DB" w:rsidP="007D20DB">
      <w:pPr>
        <w:widowControl w:val="0"/>
        <w:suppressAutoHyphens/>
        <w:autoSpaceDE w:val="0"/>
        <w:autoSpaceDN w:val="0"/>
        <w:adjustRightInd w:val="0"/>
        <w:spacing w:after="113" w:line="280" w:lineRule="atLeast"/>
        <w:ind w:left="283" w:hanging="283"/>
        <w:textAlignment w:val="center"/>
        <w:rPr>
          <w:rFonts w:ascii="AGaramondPro-Italic" w:hAnsi="AGaramondPro-Italic" w:cs="AGaramondPro-Italic"/>
          <w:i/>
          <w:iCs/>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r>
      <w:proofErr w:type="gramStart"/>
      <w:r w:rsidRPr="007D20DB">
        <w:rPr>
          <w:rFonts w:ascii="AGaramondPro-Regular" w:hAnsi="AGaramondPro-Regular" w:cs="AGaramondPro-Regular"/>
          <w:color w:val="000000"/>
          <w:sz w:val="20"/>
          <w:szCs w:val="20"/>
          <w:lang w:val="en-US" w:eastAsia="ja-JP"/>
        </w:rPr>
        <w:t>the</w:t>
      </w:r>
      <w:proofErr w:type="gramEnd"/>
      <w:r w:rsidRPr="007D20DB">
        <w:rPr>
          <w:rFonts w:ascii="AGaramondPro-Regular" w:hAnsi="AGaramondPro-Regular" w:cs="AGaramondPro-Regular"/>
          <w:color w:val="000000"/>
          <w:sz w:val="20"/>
          <w:szCs w:val="20"/>
          <w:lang w:val="en-US" w:eastAsia="ja-JP"/>
        </w:rPr>
        <w:t xml:space="preserve"> scale of the threat to biodiversity posed by </w:t>
      </w:r>
      <w:r w:rsidRPr="007D20DB">
        <w:rPr>
          <w:rFonts w:ascii="AGaramondPro-Italic" w:hAnsi="AGaramondPro-Italic" w:cs="AGaramondPro-Italic"/>
          <w:i/>
          <w:iCs/>
          <w:color w:val="000000"/>
          <w:sz w:val="20"/>
          <w:szCs w:val="20"/>
          <w:lang w:val="en-US" w:eastAsia="ja-JP"/>
        </w:rPr>
        <w:t>P.</w:t>
      </w:r>
      <w:r w:rsidRPr="007D20DB">
        <w:rPr>
          <w:rFonts w:ascii="AGaramondPro-Regular" w:hAnsi="AGaramondPro-Regular" w:cs="AGaramondPro-Regular"/>
          <w:color w:val="000000"/>
          <w:sz w:val="20"/>
          <w:szCs w:val="20"/>
          <w:rtl/>
          <w:lang w:val="en-US" w:eastAsia="ja-JP" w:bidi="ar-YE"/>
        </w:rPr>
        <w:t> </w:t>
      </w:r>
      <w:proofErr w:type="spellStart"/>
      <w:r w:rsidRPr="007D20DB">
        <w:rPr>
          <w:rFonts w:ascii="AGaramondPro-Italic" w:hAnsi="AGaramondPro-Italic" w:cs="AGaramondPro-Italic"/>
          <w:i/>
          <w:iCs/>
          <w:color w:val="000000"/>
          <w:sz w:val="20"/>
          <w:szCs w:val="20"/>
          <w:lang w:val="en-US" w:eastAsia="ja-JP"/>
        </w:rPr>
        <w:t>cinnamomi</w:t>
      </w:r>
      <w:proofErr w:type="spellEnd"/>
    </w:p>
    <w:p w:rsidR="007D20DB" w:rsidRPr="007D20DB" w:rsidRDefault="007D20DB" w:rsidP="007D20DB">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r>
      <w:proofErr w:type="gramStart"/>
      <w:r w:rsidRPr="007D20DB">
        <w:rPr>
          <w:rFonts w:ascii="AGaramondPro-Regular" w:hAnsi="AGaramondPro-Regular" w:cs="AGaramondPro-Regular"/>
          <w:color w:val="000000"/>
          <w:sz w:val="20"/>
          <w:szCs w:val="20"/>
          <w:lang w:val="en-US" w:eastAsia="ja-JP"/>
        </w:rPr>
        <w:t>the</w:t>
      </w:r>
      <w:proofErr w:type="gramEnd"/>
      <w:r w:rsidRPr="007D20DB">
        <w:rPr>
          <w:rFonts w:ascii="AGaramondPro-Regular" w:hAnsi="AGaramondPro-Regular" w:cs="AGaramondPro-Regular"/>
          <w:color w:val="000000"/>
          <w:sz w:val="20"/>
          <w:szCs w:val="20"/>
          <w:lang w:val="en-US" w:eastAsia="ja-JP"/>
        </w:rPr>
        <w:t xml:space="preserve"> priority biodiversity assets that need protection</w:t>
      </w:r>
    </w:p>
    <w:p w:rsidR="007D20DB" w:rsidRPr="007D20DB" w:rsidRDefault="007D20DB" w:rsidP="007D20DB">
      <w:pPr>
        <w:widowControl w:val="0"/>
        <w:suppressAutoHyphens/>
        <w:autoSpaceDE w:val="0"/>
        <w:autoSpaceDN w:val="0"/>
        <w:adjustRightInd w:val="0"/>
        <w:spacing w:after="113" w:line="280" w:lineRule="atLeast"/>
        <w:ind w:left="283" w:hanging="283"/>
        <w:textAlignment w:val="center"/>
        <w:rPr>
          <w:rFonts w:ascii="AGaramondPro-Italic" w:hAnsi="AGaramondPro-Italic" w:cs="AGaramondPro-Italic"/>
          <w:i/>
          <w:iCs/>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r>
      <w:proofErr w:type="gramStart"/>
      <w:r w:rsidRPr="007D20DB">
        <w:rPr>
          <w:rFonts w:ascii="AGaramondPro-Regular" w:hAnsi="AGaramondPro-Regular" w:cs="AGaramondPro-Regular"/>
          <w:color w:val="000000"/>
          <w:sz w:val="20"/>
          <w:szCs w:val="20"/>
          <w:lang w:val="en-US" w:eastAsia="ja-JP"/>
        </w:rPr>
        <w:t>information</w:t>
      </w:r>
      <w:proofErr w:type="gramEnd"/>
      <w:r w:rsidRPr="007D20DB">
        <w:rPr>
          <w:rFonts w:ascii="AGaramondPro-Regular" w:hAnsi="AGaramondPro-Regular" w:cs="AGaramondPro-Regular"/>
          <w:color w:val="000000"/>
          <w:sz w:val="20"/>
          <w:szCs w:val="20"/>
          <w:lang w:val="en-US" w:eastAsia="ja-JP"/>
        </w:rPr>
        <w:t xml:space="preserve"> for land managers, recreational users, ecotourism operators and other stakeholders on the tools and practices that will </w:t>
      </w:r>
      <w:proofErr w:type="spellStart"/>
      <w:r w:rsidRPr="007D20DB">
        <w:rPr>
          <w:rFonts w:ascii="AGaramondPro-Regular" w:hAnsi="AGaramondPro-Regular" w:cs="AGaramondPro-Regular"/>
          <w:color w:val="000000"/>
          <w:sz w:val="20"/>
          <w:szCs w:val="20"/>
          <w:lang w:val="en-US" w:eastAsia="ja-JP"/>
        </w:rPr>
        <w:t>minimise</w:t>
      </w:r>
      <w:proofErr w:type="spellEnd"/>
      <w:r w:rsidRPr="007D20DB">
        <w:rPr>
          <w:rFonts w:ascii="AGaramondPro-Regular" w:hAnsi="AGaramondPro-Regular" w:cs="AGaramondPro-Regular"/>
          <w:color w:val="000000"/>
          <w:sz w:val="20"/>
          <w:szCs w:val="20"/>
          <w:lang w:val="en-US" w:eastAsia="ja-JP"/>
        </w:rPr>
        <w:t xml:space="preserve"> the inadvertent spread of </w:t>
      </w:r>
      <w:r w:rsidRPr="007D20DB">
        <w:rPr>
          <w:rFonts w:ascii="AGaramondPro-Italic" w:hAnsi="AGaramondPro-Italic" w:cs="AGaramondPro-Italic"/>
          <w:i/>
          <w:iCs/>
          <w:color w:val="000000"/>
          <w:sz w:val="20"/>
          <w:szCs w:val="20"/>
          <w:lang w:val="en-US" w:eastAsia="ja-JP"/>
        </w:rPr>
        <w:t>P. </w:t>
      </w:r>
      <w:proofErr w:type="spellStart"/>
      <w:r w:rsidRPr="007D20DB">
        <w:rPr>
          <w:rFonts w:ascii="AGaramondPro-Italic" w:hAnsi="AGaramondPro-Italic" w:cs="AGaramondPro-Italic"/>
          <w:i/>
          <w:iCs/>
          <w:color w:val="000000"/>
          <w:sz w:val="20"/>
          <w:szCs w:val="20"/>
          <w:lang w:val="en-US" w:eastAsia="ja-JP"/>
        </w:rPr>
        <w:t>cinnamomi</w:t>
      </w:r>
      <w:proofErr w:type="spellEnd"/>
    </w:p>
    <w:p w:rsidR="007D20DB" w:rsidRPr="007D20DB" w:rsidRDefault="007D20DB" w:rsidP="007D20DB">
      <w:pPr>
        <w:widowControl w:val="0"/>
        <w:suppressAutoHyphens/>
        <w:autoSpaceDE w:val="0"/>
        <w:autoSpaceDN w:val="0"/>
        <w:adjustRightInd w:val="0"/>
        <w:spacing w:after="113" w:line="280" w:lineRule="atLeast"/>
        <w:ind w:left="283" w:hanging="283"/>
        <w:textAlignment w:val="center"/>
        <w:rPr>
          <w:rFonts w:ascii="AGaramondPro-Italic" w:hAnsi="AGaramondPro-Italic" w:cs="AGaramondPro-Italic"/>
          <w:i/>
          <w:iCs/>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r>
      <w:proofErr w:type="gramStart"/>
      <w:r w:rsidRPr="007D20DB">
        <w:rPr>
          <w:rFonts w:ascii="AGaramondPro-Regular" w:hAnsi="AGaramondPro-Regular" w:cs="AGaramondPro-Regular"/>
          <w:color w:val="000000"/>
          <w:sz w:val="20"/>
          <w:szCs w:val="20"/>
          <w:lang w:val="en-US" w:eastAsia="ja-JP"/>
        </w:rPr>
        <w:t>the</w:t>
      </w:r>
      <w:proofErr w:type="gramEnd"/>
      <w:r w:rsidRPr="007D20DB">
        <w:rPr>
          <w:rFonts w:ascii="AGaramondPro-Regular" w:hAnsi="AGaramondPro-Regular" w:cs="AGaramondPro-Regular"/>
          <w:color w:val="000000"/>
          <w:sz w:val="20"/>
          <w:szCs w:val="20"/>
          <w:lang w:val="en-US" w:eastAsia="ja-JP"/>
        </w:rPr>
        <w:t xml:space="preserve"> necessity for land managers in conservation, forestry, horticulture, agriculture, and water resources to be trained to an appropriate level in the science and management of </w:t>
      </w:r>
      <w:r w:rsidRPr="007D20DB">
        <w:rPr>
          <w:rFonts w:ascii="AGaramondPro-Italic" w:hAnsi="AGaramondPro-Italic" w:cs="AGaramondPro-Italic"/>
          <w:i/>
          <w:iCs/>
          <w:color w:val="000000"/>
          <w:sz w:val="20"/>
          <w:szCs w:val="20"/>
          <w:lang w:val="en-US" w:eastAsia="ja-JP"/>
        </w:rPr>
        <w:t>P. </w:t>
      </w:r>
      <w:proofErr w:type="spellStart"/>
      <w:r w:rsidRPr="007D20DB">
        <w:rPr>
          <w:rFonts w:ascii="AGaramondPro-Italic" w:hAnsi="AGaramondPro-Italic" w:cs="AGaramondPro-Italic"/>
          <w:i/>
          <w:iCs/>
          <w:color w:val="000000"/>
          <w:sz w:val="20"/>
          <w:szCs w:val="20"/>
          <w:lang w:val="en-US" w:eastAsia="ja-JP"/>
        </w:rPr>
        <w:t>cinnamomi</w:t>
      </w:r>
      <w:proofErr w:type="spellEnd"/>
    </w:p>
    <w:p w:rsidR="007D20DB" w:rsidRPr="007D20DB" w:rsidRDefault="007D20DB" w:rsidP="007D20DB">
      <w:pPr>
        <w:widowControl w:val="0"/>
        <w:suppressAutoHyphens/>
        <w:autoSpaceDE w:val="0"/>
        <w:autoSpaceDN w:val="0"/>
        <w:adjustRightInd w:val="0"/>
        <w:spacing w:after="170" w:line="280" w:lineRule="atLeast"/>
        <w:ind w:left="283"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r>
      <w:proofErr w:type="gramStart"/>
      <w:r w:rsidRPr="007D20DB">
        <w:rPr>
          <w:rFonts w:ascii="AGaramondPro-Regular" w:hAnsi="AGaramondPro-Regular" w:cs="AGaramondPro-Regular"/>
          <w:color w:val="000000"/>
          <w:sz w:val="20"/>
          <w:szCs w:val="20"/>
          <w:lang w:val="en-US" w:eastAsia="ja-JP"/>
        </w:rPr>
        <w:t>the</w:t>
      </w:r>
      <w:proofErr w:type="gramEnd"/>
      <w:r w:rsidRPr="007D20DB">
        <w:rPr>
          <w:rFonts w:ascii="AGaramondPro-Regular" w:hAnsi="AGaramondPro-Regular" w:cs="AGaramondPro-Regular"/>
          <w:color w:val="000000"/>
          <w:sz w:val="20"/>
          <w:szCs w:val="20"/>
          <w:lang w:val="en-US" w:eastAsia="ja-JP"/>
        </w:rPr>
        <w:t xml:space="preserve"> need for integration of </w:t>
      </w:r>
      <w:r w:rsidRPr="007D20DB">
        <w:rPr>
          <w:rFonts w:ascii="AGaramondPro-Italic" w:hAnsi="AGaramondPro-Italic" w:cs="AGaramondPro-Italic"/>
          <w:i/>
          <w:iCs/>
          <w:color w:val="000000"/>
          <w:sz w:val="20"/>
          <w:szCs w:val="20"/>
          <w:lang w:val="en-US" w:eastAsia="ja-JP"/>
        </w:rPr>
        <w:t>P.</w:t>
      </w:r>
      <w:r w:rsidRPr="007D20DB">
        <w:rPr>
          <w:rFonts w:ascii="AGaramondPro-Regular" w:hAnsi="AGaramondPro-Regular" w:cs="AGaramondPro-Regular"/>
          <w:color w:val="000000"/>
          <w:sz w:val="20"/>
          <w:szCs w:val="20"/>
          <w:rtl/>
          <w:lang w:val="en-US" w:eastAsia="ja-JP" w:bidi="ar-YE"/>
        </w:rPr>
        <w:t>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management, education and training with other natural resource management activities.</w:t>
      </w:r>
    </w:p>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A number of networks of conservation groups and researchers with an interest in </w:t>
      </w:r>
      <w:r w:rsidRPr="007D20DB">
        <w:rPr>
          <w:rFonts w:ascii="AGaramondPro-Italic" w:hAnsi="AGaramondPro-Italic" w:cs="AGaramondPro-Italic"/>
          <w:i/>
          <w:iCs/>
          <w:color w:val="000000"/>
          <w:sz w:val="20"/>
          <w:szCs w:val="20"/>
          <w:lang w:val="en-US" w:eastAsia="ja-JP"/>
        </w:rPr>
        <w:t>P.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Italic" w:hAnsi="AGaramondPro-Italic" w:cs="AGaramondPro-Italic"/>
          <w:i/>
          <w:iCs/>
          <w:color w:val="000000"/>
          <w:sz w:val="20"/>
          <w:szCs w:val="20"/>
          <w:lang w:val="en-US" w:eastAsia="ja-JP"/>
        </w:rPr>
        <w:t xml:space="preserve"> </w:t>
      </w:r>
      <w:r w:rsidRPr="007D20DB">
        <w:rPr>
          <w:rFonts w:ascii="AGaramondPro-Regular" w:hAnsi="AGaramondPro-Regular" w:cs="AGaramondPro-Regular"/>
          <w:color w:val="000000"/>
          <w:sz w:val="20"/>
          <w:szCs w:val="20"/>
          <w:lang w:val="en-US" w:eastAsia="ja-JP"/>
        </w:rPr>
        <w:t xml:space="preserve">already exist. Networks such as the Dieback Working Group, Project Dieback in Western Australia, Leave No Trace Australia and the Australian Network for Plant Conservation can assist in communicating developments in the management of </w:t>
      </w:r>
      <w:r w:rsidRPr="007D20DB">
        <w:rPr>
          <w:rFonts w:ascii="AGaramondPro-Italic" w:hAnsi="AGaramondPro-Italic" w:cs="AGaramondPro-Italic"/>
          <w:i/>
          <w:iCs/>
          <w:color w:val="000000"/>
          <w:sz w:val="20"/>
          <w:szCs w:val="20"/>
          <w:lang w:val="en-US" w:eastAsia="ja-JP"/>
        </w:rPr>
        <w:t>P.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Italic" w:hAnsi="AGaramondPro-Italic" w:cs="AGaramondPro-Italic"/>
          <w:i/>
          <w:iCs/>
          <w:color w:val="000000"/>
          <w:sz w:val="20"/>
          <w:szCs w:val="20"/>
          <w:lang w:val="en-US" w:eastAsia="ja-JP"/>
        </w:rPr>
        <w:t xml:space="preserve">, </w:t>
      </w:r>
      <w:r w:rsidRPr="007D20DB">
        <w:rPr>
          <w:rFonts w:ascii="AGaramondPro-Regular" w:hAnsi="AGaramondPro-Regular" w:cs="AGaramondPro-Regular"/>
          <w:color w:val="000000"/>
          <w:sz w:val="20"/>
          <w:szCs w:val="20"/>
          <w:lang w:val="en-US" w:eastAsia="ja-JP"/>
        </w:rPr>
        <w:t>host susceptibility</w:t>
      </w:r>
      <w:r w:rsidRPr="007D20DB">
        <w:rPr>
          <w:rFonts w:ascii="AGaramondPro-Italic" w:hAnsi="AGaramondPro-Italic" w:cs="AGaramondPro-Italic"/>
          <w:i/>
          <w:iCs/>
          <w:color w:val="000000"/>
          <w:sz w:val="20"/>
          <w:szCs w:val="20"/>
          <w:lang w:val="en-US" w:eastAsia="ja-JP"/>
        </w:rPr>
        <w:t xml:space="preserve"> </w:t>
      </w:r>
      <w:r w:rsidRPr="007D20DB">
        <w:rPr>
          <w:rFonts w:ascii="AGaramondPro-Regular" w:hAnsi="AGaramondPro-Regular" w:cs="AGaramondPro-Regular"/>
          <w:color w:val="000000"/>
          <w:sz w:val="20"/>
          <w:szCs w:val="20"/>
          <w:lang w:val="en-US" w:eastAsia="ja-JP"/>
        </w:rPr>
        <w:t>and other issues. The appointment of a Dieback Coordinator to relevant local government areas may also assist in providing guidance and coordination for dieback matters at the local and regional scale.</w:t>
      </w:r>
    </w:p>
    <w:tbl>
      <w:tblPr>
        <w:tblW w:w="9781" w:type="dxa"/>
        <w:tblInd w:w="113" w:type="dxa"/>
        <w:tblLayout w:type="fixed"/>
        <w:tblCellMar>
          <w:left w:w="0" w:type="dxa"/>
          <w:right w:w="0" w:type="dxa"/>
        </w:tblCellMar>
        <w:tblLook w:val="0000"/>
      </w:tblPr>
      <w:tblGrid>
        <w:gridCol w:w="2209"/>
        <w:gridCol w:w="1814"/>
        <w:gridCol w:w="1304"/>
        <w:gridCol w:w="1417"/>
        <w:gridCol w:w="3037"/>
      </w:tblGrid>
      <w:tr w:rsidR="007D20DB" w:rsidRPr="007D20DB" w:rsidTr="00704644">
        <w:trPr>
          <w:trHeight w:val="60"/>
          <w:tblHeader/>
        </w:trPr>
        <w:tc>
          <w:tcPr>
            <w:tcW w:w="2209" w:type="dxa"/>
            <w:tcBorders>
              <w:top w:val="single" w:sz="2" w:space="0" w:color="004484"/>
              <w:left w:val="single" w:sz="2" w:space="0" w:color="004484"/>
              <w:bottom w:val="single" w:sz="2" w:space="0" w:color="004484"/>
              <w:right w:val="single" w:sz="2" w:space="0" w:color="004484"/>
            </w:tcBorders>
            <w:shd w:val="solid" w:color="004484"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57" w:line="288" w:lineRule="auto"/>
              <w:textAlignment w:val="center"/>
              <w:rPr>
                <w:rFonts w:ascii="AGaramondPro-Regular" w:hAnsi="AGaramondPro-Regular" w:cs="AGaramondPro-Regular"/>
                <w:color w:val="FFFFFF" w:themeColor="background1"/>
                <w:sz w:val="19"/>
                <w:szCs w:val="19"/>
                <w:lang w:val="en-US" w:eastAsia="ja-JP"/>
              </w:rPr>
            </w:pPr>
            <w:r w:rsidRPr="00704644">
              <w:rPr>
                <w:rFonts w:ascii="AGaramondPro-Bold" w:hAnsi="AGaramondPro-Bold" w:cs="AGaramondPro-Bold"/>
                <w:b/>
                <w:bCs/>
                <w:color w:val="FFFFFF" w:themeColor="background1"/>
                <w:sz w:val="19"/>
                <w:szCs w:val="19"/>
                <w:lang w:val="en-US" w:eastAsia="ja-JP"/>
              </w:rPr>
              <w:t>Action</w:t>
            </w:r>
          </w:p>
        </w:tc>
        <w:tc>
          <w:tcPr>
            <w:tcW w:w="1814" w:type="dxa"/>
            <w:tcBorders>
              <w:top w:val="single" w:sz="2" w:space="0" w:color="004484"/>
              <w:left w:val="single" w:sz="2" w:space="0" w:color="004484"/>
              <w:bottom w:val="single" w:sz="2" w:space="0" w:color="004484"/>
              <w:right w:val="single" w:sz="2" w:space="0" w:color="004484"/>
            </w:tcBorders>
            <w:shd w:val="solid" w:color="004484"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FFFFFF" w:themeColor="background1"/>
                <w:sz w:val="19"/>
                <w:szCs w:val="19"/>
                <w:lang w:val="en-US" w:eastAsia="ja-JP"/>
              </w:rPr>
            </w:pPr>
            <w:r w:rsidRPr="00704644">
              <w:rPr>
                <w:rFonts w:ascii="AGaramondPro-Bold" w:hAnsi="AGaramondPro-Bold" w:cs="AGaramondPro-Bold"/>
                <w:b/>
                <w:bCs/>
                <w:color w:val="FFFFFF" w:themeColor="background1"/>
                <w:sz w:val="19"/>
                <w:szCs w:val="19"/>
                <w:lang w:val="en-US" w:eastAsia="ja-JP"/>
              </w:rPr>
              <w:t>Responsible party</w:t>
            </w:r>
          </w:p>
        </w:tc>
        <w:tc>
          <w:tcPr>
            <w:tcW w:w="1304" w:type="dxa"/>
            <w:tcBorders>
              <w:top w:val="single" w:sz="2" w:space="0" w:color="004484"/>
              <w:left w:val="single" w:sz="2" w:space="0" w:color="004484"/>
              <w:bottom w:val="single" w:sz="2" w:space="0" w:color="004484"/>
              <w:right w:val="single" w:sz="2" w:space="0" w:color="004484"/>
            </w:tcBorders>
            <w:shd w:val="solid" w:color="004484"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FFFFFF" w:themeColor="background1"/>
                <w:sz w:val="19"/>
                <w:szCs w:val="19"/>
                <w:lang w:val="en-US" w:eastAsia="ja-JP"/>
              </w:rPr>
            </w:pPr>
            <w:r w:rsidRPr="00704644">
              <w:rPr>
                <w:rFonts w:ascii="AGaramondPro-Bold" w:hAnsi="AGaramondPro-Bold" w:cs="AGaramondPro-Bold"/>
                <w:b/>
                <w:bCs/>
                <w:color w:val="FFFFFF" w:themeColor="background1"/>
                <w:sz w:val="19"/>
                <w:szCs w:val="19"/>
                <w:lang w:val="en-US" w:eastAsia="ja-JP"/>
              </w:rPr>
              <w:t>Priority</w:t>
            </w:r>
          </w:p>
        </w:tc>
        <w:tc>
          <w:tcPr>
            <w:tcW w:w="1417" w:type="dxa"/>
            <w:tcBorders>
              <w:top w:val="single" w:sz="2" w:space="0" w:color="004484"/>
              <w:left w:val="single" w:sz="2" w:space="0" w:color="004484"/>
              <w:bottom w:val="single" w:sz="2" w:space="0" w:color="004484"/>
              <w:right w:val="single" w:sz="2" w:space="0" w:color="004484"/>
            </w:tcBorders>
            <w:shd w:val="solid" w:color="004484"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FFFFFF" w:themeColor="background1"/>
                <w:sz w:val="19"/>
                <w:szCs w:val="19"/>
                <w:lang w:val="en-US" w:eastAsia="ja-JP"/>
              </w:rPr>
            </w:pPr>
            <w:r w:rsidRPr="00704644">
              <w:rPr>
                <w:rFonts w:ascii="AGaramondPro-Bold" w:hAnsi="AGaramondPro-Bold" w:cs="AGaramondPro-Bold"/>
                <w:b/>
                <w:bCs/>
                <w:color w:val="FFFFFF" w:themeColor="background1"/>
                <w:sz w:val="19"/>
                <w:szCs w:val="19"/>
                <w:lang w:val="en-US" w:eastAsia="ja-JP"/>
              </w:rPr>
              <w:t>Timeframe</w:t>
            </w:r>
          </w:p>
        </w:tc>
        <w:tc>
          <w:tcPr>
            <w:tcW w:w="3037" w:type="dxa"/>
            <w:tcBorders>
              <w:top w:val="single" w:sz="2" w:space="0" w:color="004484"/>
              <w:left w:val="single" w:sz="2" w:space="0" w:color="004484"/>
              <w:bottom w:val="single" w:sz="2" w:space="0" w:color="004484"/>
              <w:right w:val="single" w:sz="2" w:space="0" w:color="004484"/>
            </w:tcBorders>
            <w:shd w:val="solid" w:color="004484"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FFFFFF" w:themeColor="background1"/>
                <w:sz w:val="19"/>
                <w:szCs w:val="19"/>
                <w:lang w:val="en-US" w:eastAsia="ja-JP"/>
              </w:rPr>
            </w:pPr>
            <w:r w:rsidRPr="00704644">
              <w:rPr>
                <w:rFonts w:ascii="AGaramondPro-Bold" w:hAnsi="AGaramondPro-Bold" w:cs="AGaramondPro-Bold"/>
                <w:b/>
                <w:bCs/>
                <w:color w:val="FFFFFF" w:themeColor="background1"/>
                <w:sz w:val="19"/>
                <w:szCs w:val="19"/>
                <w:lang w:val="en-US" w:eastAsia="ja-JP"/>
              </w:rPr>
              <w:t>Performance indicators</w:t>
            </w:r>
          </w:p>
        </w:tc>
      </w:tr>
      <w:tr w:rsidR="007D20DB" w:rsidRPr="007D20DB" w:rsidTr="00704644">
        <w:trPr>
          <w:trHeight w:val="60"/>
        </w:trPr>
        <w:tc>
          <w:tcPr>
            <w:tcW w:w="220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57" w:line="288" w:lineRule="auto"/>
              <w:textAlignment w:val="center"/>
              <w:rPr>
                <w:rFonts w:ascii="AGaramondPro-Bold" w:hAnsi="AGaramondPro-Bold" w:cs="AGaramondPro-Bold"/>
                <w:b/>
                <w:bCs/>
                <w:color w:val="000000"/>
                <w:sz w:val="19"/>
                <w:szCs w:val="19"/>
                <w:lang w:val="en-US" w:eastAsia="ja-JP"/>
              </w:rPr>
            </w:pPr>
            <w:r w:rsidRPr="007D20DB">
              <w:rPr>
                <w:rFonts w:ascii="AGaramondPro-Bold" w:hAnsi="AGaramondPro-Bold" w:cs="AGaramondPro-Bold"/>
                <w:b/>
                <w:bCs/>
                <w:color w:val="000000"/>
                <w:sz w:val="19"/>
                <w:szCs w:val="19"/>
                <w:lang w:val="en-US" w:eastAsia="ja-JP"/>
              </w:rPr>
              <w:t>Action 3.1</w:t>
            </w:r>
          </w:p>
          <w:p w:rsidR="007D20DB" w:rsidRPr="007D20DB" w:rsidRDefault="007D20DB" w:rsidP="007D20DB">
            <w:pPr>
              <w:widowControl w:val="0"/>
              <w:suppressAutoHyphens/>
              <w:autoSpaceDE w:val="0"/>
              <w:autoSpaceDN w:val="0"/>
              <w:adjustRightInd w:val="0"/>
              <w:spacing w:after="57"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 xml:space="preserve">Determine stakeholders, key messages and the most efficient means of communicating with stakeholders on issues relating to </w:t>
            </w:r>
            <w:r w:rsidRPr="007D20DB">
              <w:rPr>
                <w:rFonts w:ascii="AGaramondPro-Italic" w:hAnsi="AGaramondPro-Italic" w:cs="AGaramondPro-Italic"/>
                <w:i/>
                <w:iCs/>
                <w:color w:val="000000"/>
                <w:sz w:val="19"/>
                <w:szCs w:val="19"/>
                <w:lang w:val="en-US" w:eastAsia="ja-JP"/>
              </w:rPr>
              <w:t>P.</w:t>
            </w:r>
            <w:r w:rsidRPr="007D20DB">
              <w:rPr>
                <w:rFonts w:ascii="AGaramondPro-Regular" w:hAnsi="AGaramondPro-Regular" w:cs="AGaramondPro-Regular"/>
                <w:color w:val="000000"/>
                <w:sz w:val="19"/>
                <w:szCs w:val="19"/>
                <w:rtl/>
                <w:lang w:val="en-US" w:eastAsia="ja-JP" w:bidi="ar-YE"/>
              </w:rPr>
              <w:t> </w:t>
            </w:r>
            <w:proofErr w:type="spellStart"/>
            <w:r w:rsidRPr="007D20DB">
              <w:rPr>
                <w:rFonts w:ascii="AGaramondPro-Italic" w:hAnsi="AGaramondPro-Italic" w:cs="AGaramondPro-Italic"/>
                <w:i/>
                <w:iCs/>
                <w:color w:val="000000"/>
                <w:sz w:val="19"/>
                <w:szCs w:val="19"/>
                <w:lang w:val="en-US" w:eastAsia="ja-JP"/>
              </w:rPr>
              <w:t>cinnamomi</w:t>
            </w:r>
            <w:proofErr w:type="spellEnd"/>
            <w:r w:rsidRPr="007D20DB">
              <w:rPr>
                <w:rFonts w:ascii="AGaramondPro-Regular" w:hAnsi="AGaramondPro-Regular" w:cs="AGaramondPro-Regular"/>
                <w:color w:val="000000"/>
                <w:sz w:val="19"/>
                <w:szCs w:val="19"/>
                <w:lang w:val="en-US" w:eastAsia="ja-JP"/>
              </w:rPr>
              <w:t xml:space="preserve"> impacts on priority biodiversity assets. </w:t>
            </w:r>
          </w:p>
        </w:tc>
        <w:tc>
          <w:tcPr>
            <w:tcW w:w="1814"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Australian Government and state and territory governments</w:t>
            </w:r>
          </w:p>
        </w:tc>
        <w:tc>
          <w:tcPr>
            <w:tcW w:w="1304"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 xml:space="preserve">High priority </w:t>
            </w:r>
          </w:p>
        </w:tc>
        <w:tc>
          <w:tcPr>
            <w:tcW w:w="141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Medium term and ongoing</w:t>
            </w:r>
          </w:p>
        </w:tc>
        <w:tc>
          <w:tcPr>
            <w:tcW w:w="30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Effective communication actions are progressed during the life of the TAP.</w:t>
            </w:r>
          </w:p>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 xml:space="preserve">Research and other findings are assessed, documented and communicated to stakeholders. </w:t>
            </w:r>
          </w:p>
        </w:tc>
      </w:tr>
      <w:tr w:rsidR="007D20DB" w:rsidRPr="007D20DB" w:rsidTr="00704644">
        <w:trPr>
          <w:trHeight w:val="60"/>
        </w:trPr>
        <w:tc>
          <w:tcPr>
            <w:tcW w:w="220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57" w:line="288" w:lineRule="auto"/>
              <w:textAlignment w:val="center"/>
              <w:rPr>
                <w:rFonts w:ascii="AGaramondPro-Bold" w:hAnsi="AGaramondPro-Bold" w:cs="AGaramondPro-Bold"/>
                <w:b/>
                <w:bCs/>
                <w:color w:val="000000"/>
                <w:sz w:val="19"/>
                <w:szCs w:val="19"/>
                <w:lang w:val="en-US" w:eastAsia="ja-JP"/>
              </w:rPr>
            </w:pPr>
            <w:r w:rsidRPr="007D20DB">
              <w:rPr>
                <w:rFonts w:ascii="AGaramondPro-Bold" w:hAnsi="AGaramondPro-Bold" w:cs="AGaramondPro-Bold"/>
                <w:b/>
                <w:bCs/>
                <w:color w:val="000000"/>
                <w:sz w:val="19"/>
                <w:szCs w:val="19"/>
                <w:lang w:val="en-US" w:eastAsia="ja-JP"/>
              </w:rPr>
              <w:lastRenderedPageBreak/>
              <w:t>Action 3.2</w:t>
            </w:r>
          </w:p>
          <w:p w:rsidR="007D20DB" w:rsidRPr="007D20DB" w:rsidRDefault="007D20DB" w:rsidP="007D20DB">
            <w:pPr>
              <w:widowControl w:val="0"/>
              <w:suppressAutoHyphens/>
              <w:autoSpaceDE w:val="0"/>
              <w:autoSpaceDN w:val="0"/>
              <w:adjustRightInd w:val="0"/>
              <w:spacing w:after="57"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 xml:space="preserve">Build awareness and develop and provide training for industry, land and tourism managers, peak </w:t>
            </w:r>
            <w:proofErr w:type="spellStart"/>
            <w:r w:rsidRPr="007D20DB">
              <w:rPr>
                <w:rFonts w:ascii="AGaramondPro-Regular" w:hAnsi="AGaramondPro-Regular" w:cs="AGaramondPro-Regular"/>
                <w:color w:val="000000"/>
                <w:sz w:val="19"/>
                <w:szCs w:val="19"/>
                <w:lang w:val="en-US" w:eastAsia="ja-JP"/>
              </w:rPr>
              <w:t>organisations</w:t>
            </w:r>
            <w:proofErr w:type="spellEnd"/>
            <w:r w:rsidRPr="007D20DB">
              <w:rPr>
                <w:rFonts w:ascii="AGaramondPro-Regular" w:hAnsi="AGaramondPro-Regular" w:cs="AGaramondPro-Regular"/>
                <w:color w:val="000000"/>
                <w:sz w:val="19"/>
                <w:szCs w:val="19"/>
                <w:lang w:val="en-US" w:eastAsia="ja-JP"/>
              </w:rPr>
              <w:t xml:space="preserve"> (recreation and outdoor education) and recreation clubs and societies.</w:t>
            </w:r>
          </w:p>
        </w:tc>
        <w:tc>
          <w:tcPr>
            <w:tcW w:w="1814"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 xml:space="preserve">Australian Government, state and territory governments and industry </w:t>
            </w:r>
          </w:p>
        </w:tc>
        <w:tc>
          <w:tcPr>
            <w:tcW w:w="1304"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 xml:space="preserve">Medium priority </w:t>
            </w:r>
          </w:p>
        </w:tc>
        <w:tc>
          <w:tcPr>
            <w:tcW w:w="141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Short term and ongoing</w:t>
            </w:r>
          </w:p>
        </w:tc>
        <w:tc>
          <w:tcPr>
            <w:tcW w:w="30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 xml:space="preserve">Training material on the methodologies involved in detection, diagnosis and management of </w:t>
            </w:r>
            <w:r w:rsidRPr="007D20DB">
              <w:rPr>
                <w:rFonts w:ascii="AGaramondPro-Italic" w:hAnsi="AGaramondPro-Italic" w:cs="AGaramondPro-Italic"/>
                <w:i/>
                <w:iCs/>
                <w:color w:val="000000"/>
                <w:sz w:val="19"/>
                <w:szCs w:val="19"/>
                <w:lang w:val="en-US" w:eastAsia="ja-JP"/>
              </w:rPr>
              <w:t>P. </w:t>
            </w:r>
            <w:proofErr w:type="spellStart"/>
            <w:r w:rsidRPr="007D20DB">
              <w:rPr>
                <w:rFonts w:ascii="AGaramondPro-Italic" w:hAnsi="AGaramondPro-Italic" w:cs="AGaramondPro-Italic"/>
                <w:i/>
                <w:iCs/>
                <w:color w:val="000000"/>
                <w:sz w:val="19"/>
                <w:szCs w:val="19"/>
                <w:lang w:val="en-US" w:eastAsia="ja-JP"/>
              </w:rPr>
              <w:t>cinnamomi</w:t>
            </w:r>
            <w:proofErr w:type="spellEnd"/>
            <w:r w:rsidRPr="007D20DB">
              <w:rPr>
                <w:rFonts w:ascii="AGaramondPro-Regular" w:hAnsi="AGaramondPro-Regular" w:cs="AGaramondPro-Regular"/>
                <w:color w:val="000000"/>
                <w:sz w:val="19"/>
                <w:szCs w:val="19"/>
                <w:lang w:val="en-US" w:eastAsia="ja-JP"/>
              </w:rPr>
              <w:t xml:space="preserve"> are developed or updated, as required and made available. This material is then integrated into training associated with land planning and management, and biodiversity conservation.</w:t>
            </w:r>
          </w:p>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 xml:space="preserve">Industry-specific codes of practice for the management of </w:t>
            </w:r>
            <w:r w:rsidRPr="007D20DB">
              <w:rPr>
                <w:rFonts w:ascii="AGaramondPro-Italic" w:hAnsi="AGaramondPro-Italic" w:cs="AGaramondPro-Italic"/>
                <w:i/>
                <w:iCs/>
                <w:color w:val="000000"/>
                <w:sz w:val="19"/>
                <w:szCs w:val="19"/>
                <w:lang w:val="en-US" w:eastAsia="ja-JP"/>
              </w:rPr>
              <w:t>P. </w:t>
            </w:r>
            <w:proofErr w:type="spellStart"/>
            <w:r w:rsidRPr="007D20DB">
              <w:rPr>
                <w:rFonts w:ascii="AGaramondPro-Italic" w:hAnsi="AGaramondPro-Italic" w:cs="AGaramondPro-Italic"/>
                <w:i/>
                <w:iCs/>
                <w:color w:val="000000"/>
                <w:sz w:val="19"/>
                <w:szCs w:val="19"/>
                <w:lang w:val="en-US" w:eastAsia="ja-JP"/>
              </w:rPr>
              <w:t>cinnamomi</w:t>
            </w:r>
            <w:proofErr w:type="spellEnd"/>
            <w:r w:rsidRPr="007D20DB">
              <w:rPr>
                <w:rFonts w:ascii="AGaramondPro-Regular" w:hAnsi="AGaramondPro-Regular" w:cs="AGaramondPro-Regular"/>
                <w:color w:val="000000"/>
                <w:sz w:val="19"/>
                <w:szCs w:val="19"/>
                <w:lang w:val="en-US" w:eastAsia="ja-JP"/>
              </w:rPr>
              <w:t xml:space="preserve"> are readily available and implemented by the proponents of activities in high-risk areas and high-value sites, including: supply of nursery materials; transporting of soil; quarrying; road and track building; land restoration; natural area recreation such as bushwalking, </w:t>
            </w:r>
            <w:proofErr w:type="spellStart"/>
            <w:r w:rsidRPr="007D20DB">
              <w:rPr>
                <w:rFonts w:ascii="AGaramondPro-Regular" w:hAnsi="AGaramondPro-Regular" w:cs="AGaramondPro-Regular"/>
                <w:color w:val="000000"/>
                <w:sz w:val="19"/>
                <w:szCs w:val="19"/>
                <w:lang w:val="en-US" w:eastAsia="ja-JP"/>
              </w:rPr>
              <w:t>motorised</w:t>
            </w:r>
            <w:proofErr w:type="spellEnd"/>
            <w:r w:rsidRPr="007D20DB">
              <w:rPr>
                <w:rFonts w:ascii="AGaramondPro-Regular" w:hAnsi="AGaramondPro-Regular" w:cs="AGaramondPro-Regular"/>
                <w:color w:val="000000"/>
                <w:sz w:val="19"/>
                <w:szCs w:val="19"/>
                <w:lang w:val="en-US" w:eastAsia="ja-JP"/>
              </w:rPr>
              <w:t xml:space="preserve"> recreation, fishing, hunting and mountain-biking; agriculture and horticulture; and the disposal of </w:t>
            </w:r>
            <w:r w:rsidRPr="007D20DB">
              <w:rPr>
                <w:rFonts w:ascii="AGaramondPro-Italic" w:hAnsi="AGaramondPro-Italic" w:cs="AGaramondPro-Italic"/>
                <w:i/>
                <w:iCs/>
                <w:color w:val="000000"/>
                <w:sz w:val="19"/>
                <w:szCs w:val="19"/>
                <w:lang w:val="en-US" w:eastAsia="ja-JP"/>
              </w:rPr>
              <w:t>P.</w:t>
            </w:r>
            <w:r w:rsidRPr="007D20DB">
              <w:rPr>
                <w:rFonts w:ascii="AGaramondPro-Regular" w:hAnsi="AGaramondPro-Regular" w:cs="AGaramondPro-Regular"/>
                <w:color w:val="000000"/>
                <w:sz w:val="19"/>
                <w:szCs w:val="19"/>
                <w:rtl/>
                <w:lang w:val="en-US" w:eastAsia="ja-JP" w:bidi="ar-YE"/>
              </w:rPr>
              <w:t> </w:t>
            </w:r>
            <w:proofErr w:type="spellStart"/>
            <w:r w:rsidRPr="007D20DB">
              <w:rPr>
                <w:rFonts w:ascii="AGaramondPro-Italic" w:hAnsi="AGaramondPro-Italic" w:cs="AGaramondPro-Italic"/>
                <w:i/>
                <w:iCs/>
                <w:color w:val="000000"/>
                <w:sz w:val="19"/>
                <w:szCs w:val="19"/>
                <w:lang w:val="en-US" w:eastAsia="ja-JP"/>
              </w:rPr>
              <w:t>cinnamomi</w:t>
            </w:r>
            <w:proofErr w:type="spellEnd"/>
            <w:r w:rsidRPr="007D20DB">
              <w:rPr>
                <w:rFonts w:ascii="AGaramondPro-Italic" w:hAnsi="AGaramondPro-Italic" w:cs="AGaramondPro-Italic"/>
                <w:i/>
                <w:iCs/>
                <w:color w:val="000000"/>
                <w:sz w:val="19"/>
                <w:szCs w:val="19"/>
                <w:lang w:val="en-US" w:eastAsia="ja-JP"/>
              </w:rPr>
              <w:t xml:space="preserve"> </w:t>
            </w:r>
            <w:r w:rsidRPr="007D20DB">
              <w:rPr>
                <w:rFonts w:ascii="AGaramondPro-Regular" w:hAnsi="AGaramondPro-Regular" w:cs="AGaramondPro-Regular"/>
                <w:color w:val="000000"/>
                <w:sz w:val="19"/>
                <w:szCs w:val="19"/>
                <w:lang w:val="en-US" w:eastAsia="ja-JP"/>
              </w:rPr>
              <w:t>infested material.</w:t>
            </w:r>
          </w:p>
        </w:tc>
      </w:tr>
      <w:tr w:rsidR="007D20DB" w:rsidRPr="007D20DB" w:rsidTr="00704644">
        <w:trPr>
          <w:trHeight w:val="60"/>
        </w:trPr>
        <w:tc>
          <w:tcPr>
            <w:tcW w:w="220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57" w:line="288" w:lineRule="auto"/>
              <w:textAlignment w:val="center"/>
              <w:rPr>
                <w:rFonts w:ascii="AGaramondPro-Bold" w:hAnsi="AGaramondPro-Bold" w:cs="AGaramondPro-Bold"/>
                <w:b/>
                <w:bCs/>
                <w:color w:val="000000"/>
                <w:sz w:val="19"/>
                <w:szCs w:val="19"/>
                <w:lang w:val="en-US" w:eastAsia="ja-JP"/>
              </w:rPr>
            </w:pPr>
            <w:r w:rsidRPr="007D20DB">
              <w:rPr>
                <w:rFonts w:ascii="AGaramondPro-Bold" w:hAnsi="AGaramondPro-Bold" w:cs="AGaramondPro-Bold"/>
                <w:b/>
                <w:bCs/>
                <w:color w:val="000000"/>
                <w:sz w:val="19"/>
                <w:szCs w:val="19"/>
                <w:lang w:val="en-US" w:eastAsia="ja-JP"/>
              </w:rPr>
              <w:t>Action 3.3</w:t>
            </w:r>
          </w:p>
          <w:p w:rsidR="007D20DB" w:rsidRPr="007D20DB" w:rsidRDefault="007D20DB" w:rsidP="007D20DB">
            <w:pPr>
              <w:widowControl w:val="0"/>
              <w:suppressAutoHyphens/>
              <w:autoSpaceDE w:val="0"/>
              <w:autoSpaceDN w:val="0"/>
              <w:adjustRightInd w:val="0"/>
              <w:spacing w:after="57"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 xml:space="preserve">Ensure that guidelines, including codes of practice and standard operating procedures, for managing </w:t>
            </w:r>
            <w:r w:rsidRPr="007D20DB">
              <w:rPr>
                <w:rFonts w:ascii="AGaramondPro-Italic" w:hAnsi="AGaramondPro-Italic" w:cs="AGaramondPro-Italic"/>
                <w:i/>
                <w:iCs/>
                <w:color w:val="000000"/>
                <w:sz w:val="19"/>
                <w:szCs w:val="19"/>
                <w:lang w:val="en-US" w:eastAsia="ja-JP"/>
              </w:rPr>
              <w:t>P. </w:t>
            </w:r>
            <w:proofErr w:type="spellStart"/>
            <w:r w:rsidRPr="007D20DB">
              <w:rPr>
                <w:rFonts w:ascii="AGaramondPro-Italic" w:hAnsi="AGaramondPro-Italic" w:cs="AGaramondPro-Italic"/>
                <w:i/>
                <w:iCs/>
                <w:color w:val="000000"/>
                <w:sz w:val="19"/>
                <w:szCs w:val="19"/>
                <w:lang w:val="en-US" w:eastAsia="ja-JP"/>
              </w:rPr>
              <w:t>cinnamomi</w:t>
            </w:r>
            <w:proofErr w:type="spellEnd"/>
            <w:r w:rsidRPr="007D20DB">
              <w:rPr>
                <w:rFonts w:ascii="AGaramondPro-Italic" w:hAnsi="AGaramondPro-Italic" w:cs="AGaramondPro-Italic"/>
                <w:i/>
                <w:iCs/>
                <w:color w:val="000000"/>
                <w:sz w:val="19"/>
                <w:szCs w:val="19"/>
                <w:lang w:val="en-US" w:eastAsia="ja-JP"/>
              </w:rPr>
              <w:t xml:space="preserve"> </w:t>
            </w:r>
            <w:r w:rsidRPr="007D20DB">
              <w:rPr>
                <w:rFonts w:ascii="AGaramondPro-Regular" w:hAnsi="AGaramondPro-Regular" w:cs="AGaramondPro-Regular"/>
                <w:color w:val="000000"/>
                <w:sz w:val="19"/>
                <w:szCs w:val="19"/>
                <w:lang w:val="en-US" w:eastAsia="ja-JP"/>
              </w:rPr>
              <w:t>are available to key stakeholders and are implemented, reviewed and updated.</w:t>
            </w:r>
          </w:p>
        </w:tc>
        <w:tc>
          <w:tcPr>
            <w:tcW w:w="1814"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Australian Government and state, territory and local governments</w:t>
            </w:r>
          </w:p>
        </w:tc>
        <w:tc>
          <w:tcPr>
            <w:tcW w:w="1304"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High priority</w:t>
            </w:r>
          </w:p>
        </w:tc>
        <w:tc>
          <w:tcPr>
            <w:tcW w:w="141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Ongoing</w:t>
            </w:r>
          </w:p>
        </w:tc>
        <w:tc>
          <w:tcPr>
            <w:tcW w:w="30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Up to date guidelines, including codes of practice and standard operating procedures, are available electronically and in hard copy to key stakeholders and reviewed in terms of their effectiveness on an ongoing basis.</w:t>
            </w:r>
          </w:p>
        </w:tc>
      </w:tr>
      <w:tr w:rsidR="007D20DB" w:rsidRPr="007D20DB" w:rsidTr="00704644">
        <w:trPr>
          <w:trHeight w:val="60"/>
        </w:trPr>
        <w:tc>
          <w:tcPr>
            <w:tcW w:w="220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57" w:line="288" w:lineRule="auto"/>
              <w:textAlignment w:val="center"/>
              <w:rPr>
                <w:rFonts w:ascii="AGaramondPro-Bold" w:hAnsi="AGaramondPro-Bold" w:cs="AGaramondPro-Bold"/>
                <w:b/>
                <w:bCs/>
                <w:color w:val="000000"/>
                <w:sz w:val="19"/>
                <w:szCs w:val="19"/>
                <w:lang w:val="en-US" w:eastAsia="ja-JP"/>
              </w:rPr>
            </w:pPr>
            <w:r w:rsidRPr="007D20DB">
              <w:rPr>
                <w:rFonts w:ascii="AGaramondPro-Bold" w:hAnsi="AGaramondPro-Bold" w:cs="AGaramondPro-Bold"/>
                <w:b/>
                <w:bCs/>
                <w:color w:val="000000"/>
                <w:sz w:val="19"/>
                <w:szCs w:val="19"/>
                <w:lang w:val="en-US" w:eastAsia="ja-JP"/>
              </w:rPr>
              <w:t>Action 3.4</w:t>
            </w:r>
          </w:p>
          <w:p w:rsidR="007D20DB" w:rsidRPr="007D20DB" w:rsidRDefault="007D20DB" w:rsidP="007D20DB">
            <w:pPr>
              <w:widowControl w:val="0"/>
              <w:suppressAutoHyphens/>
              <w:autoSpaceDE w:val="0"/>
              <w:autoSpaceDN w:val="0"/>
              <w:adjustRightInd w:val="0"/>
              <w:spacing w:after="57"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Develop or adopt a national system of signage and alerts to guide park visitors and land managers in affected priority areas.</w:t>
            </w:r>
          </w:p>
        </w:tc>
        <w:tc>
          <w:tcPr>
            <w:tcW w:w="1814"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Australian Government and state, territory and local governments</w:t>
            </w:r>
          </w:p>
        </w:tc>
        <w:tc>
          <w:tcPr>
            <w:tcW w:w="1304"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Medium priority</w:t>
            </w:r>
          </w:p>
        </w:tc>
        <w:tc>
          <w:tcPr>
            <w:tcW w:w="141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Medium term</w:t>
            </w:r>
          </w:p>
        </w:tc>
        <w:tc>
          <w:tcPr>
            <w:tcW w:w="30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 xml:space="preserve">A national system of signage and alerts using </w:t>
            </w:r>
            <w:proofErr w:type="spellStart"/>
            <w:r w:rsidRPr="007D20DB">
              <w:rPr>
                <w:rFonts w:ascii="AGaramondPro-Regular" w:hAnsi="AGaramondPro-Regular" w:cs="AGaramondPro-Regular"/>
                <w:color w:val="000000"/>
                <w:sz w:val="19"/>
                <w:szCs w:val="19"/>
                <w:lang w:val="en-US" w:eastAsia="ja-JP"/>
              </w:rPr>
              <w:t>standardised</w:t>
            </w:r>
            <w:proofErr w:type="spellEnd"/>
            <w:r w:rsidRPr="007D20DB">
              <w:rPr>
                <w:rFonts w:ascii="AGaramondPro-Regular" w:hAnsi="AGaramondPro-Regular" w:cs="AGaramondPro-Regular"/>
                <w:color w:val="000000"/>
                <w:sz w:val="19"/>
                <w:szCs w:val="19"/>
                <w:lang w:val="en-US" w:eastAsia="ja-JP"/>
              </w:rPr>
              <w:t xml:space="preserve"> placement requirements and terminology is available for use in managing </w:t>
            </w:r>
            <w:r w:rsidRPr="007D20DB">
              <w:rPr>
                <w:rFonts w:ascii="AGaramondPro-Italic" w:hAnsi="AGaramondPro-Italic" w:cs="AGaramondPro-Italic"/>
                <w:i/>
                <w:iCs/>
                <w:color w:val="000000"/>
                <w:sz w:val="19"/>
                <w:szCs w:val="19"/>
                <w:lang w:val="en-US" w:eastAsia="ja-JP"/>
              </w:rPr>
              <w:t>P. </w:t>
            </w:r>
            <w:proofErr w:type="spellStart"/>
            <w:r w:rsidRPr="007D20DB">
              <w:rPr>
                <w:rFonts w:ascii="AGaramondPro-Italic" w:hAnsi="AGaramondPro-Italic" w:cs="AGaramondPro-Italic"/>
                <w:i/>
                <w:iCs/>
                <w:color w:val="000000"/>
                <w:sz w:val="19"/>
                <w:szCs w:val="19"/>
                <w:lang w:val="en-US" w:eastAsia="ja-JP"/>
              </w:rPr>
              <w:t>cinnamomi</w:t>
            </w:r>
            <w:proofErr w:type="spellEnd"/>
            <w:r w:rsidRPr="007D20DB">
              <w:rPr>
                <w:rFonts w:ascii="AGaramondPro-Italic" w:hAnsi="AGaramondPro-Italic" w:cs="AGaramondPro-Italic"/>
                <w:i/>
                <w:iCs/>
                <w:color w:val="000000"/>
                <w:sz w:val="19"/>
                <w:szCs w:val="19"/>
                <w:lang w:val="en-US" w:eastAsia="ja-JP"/>
              </w:rPr>
              <w:t xml:space="preserve"> </w:t>
            </w:r>
            <w:r w:rsidRPr="007D20DB">
              <w:rPr>
                <w:rFonts w:ascii="AGaramondPro-Regular" w:hAnsi="AGaramondPro-Regular" w:cs="AGaramondPro-Regular"/>
                <w:color w:val="000000"/>
                <w:sz w:val="19"/>
                <w:szCs w:val="19"/>
                <w:lang w:val="en-US" w:eastAsia="ja-JP"/>
              </w:rPr>
              <w:t xml:space="preserve">in priority areas. </w:t>
            </w:r>
          </w:p>
        </w:tc>
      </w:tr>
      <w:tr w:rsidR="007D20DB" w:rsidRPr="007D20DB" w:rsidTr="00704644">
        <w:trPr>
          <w:trHeight w:val="60"/>
        </w:trPr>
        <w:tc>
          <w:tcPr>
            <w:tcW w:w="220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57" w:line="288" w:lineRule="auto"/>
              <w:textAlignment w:val="center"/>
              <w:rPr>
                <w:rFonts w:ascii="AGaramondPro-Bold" w:hAnsi="AGaramondPro-Bold" w:cs="AGaramondPro-Bold"/>
                <w:b/>
                <w:bCs/>
                <w:color w:val="000000"/>
                <w:sz w:val="19"/>
                <w:szCs w:val="19"/>
                <w:lang w:val="en-US" w:eastAsia="ja-JP"/>
              </w:rPr>
            </w:pPr>
            <w:r w:rsidRPr="007D20DB">
              <w:rPr>
                <w:rFonts w:ascii="AGaramondPro-Bold" w:hAnsi="AGaramondPro-Bold" w:cs="AGaramondPro-Bold"/>
                <w:b/>
                <w:bCs/>
                <w:color w:val="000000"/>
                <w:sz w:val="19"/>
                <w:szCs w:val="19"/>
                <w:lang w:val="en-US" w:eastAsia="ja-JP"/>
              </w:rPr>
              <w:t>Action 3.5</w:t>
            </w:r>
          </w:p>
          <w:p w:rsidR="007D20DB" w:rsidRPr="007D20DB" w:rsidRDefault="007D20DB" w:rsidP="007D20DB">
            <w:pPr>
              <w:widowControl w:val="0"/>
              <w:suppressAutoHyphens/>
              <w:autoSpaceDE w:val="0"/>
              <w:autoSpaceDN w:val="0"/>
              <w:adjustRightInd w:val="0"/>
              <w:spacing w:after="57"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 xml:space="preserve">Acquire and maintain up to date information on </w:t>
            </w:r>
            <w:r w:rsidRPr="007D20DB">
              <w:rPr>
                <w:rFonts w:ascii="AGaramondPro-Italic" w:hAnsi="AGaramondPro-Italic" w:cs="AGaramondPro-Italic"/>
                <w:i/>
                <w:iCs/>
                <w:color w:val="000000"/>
                <w:sz w:val="19"/>
                <w:szCs w:val="19"/>
                <w:lang w:val="en-US" w:eastAsia="ja-JP"/>
              </w:rPr>
              <w:t>P. </w:t>
            </w:r>
            <w:proofErr w:type="spellStart"/>
            <w:r w:rsidRPr="007D20DB">
              <w:rPr>
                <w:rFonts w:ascii="AGaramondPro-Italic" w:hAnsi="AGaramondPro-Italic" w:cs="AGaramondPro-Italic"/>
                <w:i/>
                <w:iCs/>
                <w:color w:val="000000"/>
                <w:sz w:val="19"/>
                <w:szCs w:val="19"/>
                <w:lang w:val="en-US" w:eastAsia="ja-JP"/>
              </w:rPr>
              <w:t>cinnamomi</w:t>
            </w:r>
            <w:proofErr w:type="spellEnd"/>
            <w:r w:rsidRPr="007D20DB">
              <w:rPr>
                <w:rFonts w:ascii="AGaramondPro-Italic" w:hAnsi="AGaramondPro-Italic" w:cs="AGaramondPro-Italic"/>
                <w:i/>
                <w:iCs/>
                <w:color w:val="000000"/>
                <w:sz w:val="19"/>
                <w:szCs w:val="19"/>
                <w:lang w:val="en-US" w:eastAsia="ja-JP"/>
              </w:rPr>
              <w:t xml:space="preserve"> </w:t>
            </w:r>
            <w:r w:rsidRPr="007D20DB">
              <w:rPr>
                <w:rFonts w:ascii="AGaramondPro-Regular" w:hAnsi="AGaramondPro-Regular" w:cs="AGaramondPro-Regular"/>
                <w:color w:val="000000"/>
                <w:sz w:val="19"/>
                <w:szCs w:val="19"/>
                <w:lang w:val="en-US" w:eastAsia="ja-JP"/>
              </w:rPr>
              <w:t xml:space="preserve">and the progress of the TAP. </w:t>
            </w:r>
          </w:p>
        </w:tc>
        <w:tc>
          <w:tcPr>
            <w:tcW w:w="1814"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Australian Government</w:t>
            </w:r>
          </w:p>
        </w:tc>
        <w:tc>
          <w:tcPr>
            <w:tcW w:w="1304"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Medium priority</w:t>
            </w:r>
          </w:p>
        </w:tc>
        <w:tc>
          <w:tcPr>
            <w:tcW w:w="141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Ongoing</w:t>
            </w:r>
          </w:p>
        </w:tc>
        <w:tc>
          <w:tcPr>
            <w:tcW w:w="30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The Department of the Environment website holds and maintains up to date information reflecting the achievements against TAP actions.</w:t>
            </w:r>
          </w:p>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 xml:space="preserve">The Department of the Environment </w:t>
            </w:r>
            <w:r w:rsidRPr="007D20DB">
              <w:rPr>
                <w:rFonts w:ascii="AGaramondPro-Regular" w:hAnsi="AGaramondPro-Regular" w:cs="AGaramondPro-Regular"/>
                <w:color w:val="000000"/>
                <w:sz w:val="19"/>
                <w:szCs w:val="19"/>
                <w:lang w:val="en-US" w:eastAsia="ja-JP"/>
              </w:rPr>
              <w:lastRenderedPageBreak/>
              <w:t xml:space="preserve">hosts a forum with key stakeholders to assist in implementation of the plan and to review achievements of the plan. </w:t>
            </w:r>
          </w:p>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The Department of the Environment reviews research actions, disseminates new information and promotes the uptake of findings.</w:t>
            </w:r>
          </w:p>
        </w:tc>
      </w:tr>
    </w:tbl>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
    <w:p w:rsidR="00704644" w:rsidRDefault="00704644" w:rsidP="007D20DB">
      <w:pPr>
        <w:widowControl w:val="0"/>
        <w:suppressAutoHyphens/>
        <w:autoSpaceDE w:val="0"/>
        <w:autoSpaceDN w:val="0"/>
        <w:adjustRightInd w:val="0"/>
        <w:spacing w:before="397" w:after="170" w:line="380" w:lineRule="atLeast"/>
        <w:ind w:left="680" w:hanging="680"/>
        <w:textAlignment w:val="center"/>
        <w:rPr>
          <w:rFonts w:ascii="MyriadPro-Semibold" w:hAnsi="MyriadPro-Semibold" w:cs="MyriadPro-Semibold"/>
          <w:color w:val="004484"/>
          <w:sz w:val="32"/>
          <w:szCs w:val="32"/>
          <w:lang w:val="en-US" w:eastAsia="ja-JP"/>
        </w:rPr>
      </w:pPr>
    </w:p>
    <w:p w:rsidR="007D20DB" w:rsidRPr="007D20DB" w:rsidRDefault="007D20DB" w:rsidP="00704644">
      <w:pPr>
        <w:pStyle w:val="02HEADING20"/>
      </w:pPr>
      <w:bookmarkStart w:id="21" w:name="_Toc253067288"/>
      <w:r w:rsidRPr="007D20DB">
        <w:t>Research actions</w:t>
      </w:r>
      <w:bookmarkEnd w:id="21"/>
    </w:p>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Research will contribute to informing the implementation of the objectives of this plan through improving our understanding of the pathogen and developing control and restoration techniques.</w:t>
      </w:r>
    </w:p>
    <w:tbl>
      <w:tblPr>
        <w:tblW w:w="0" w:type="auto"/>
        <w:tblInd w:w="113" w:type="dxa"/>
        <w:tblLayout w:type="fixed"/>
        <w:tblCellMar>
          <w:left w:w="0" w:type="dxa"/>
          <w:right w:w="0" w:type="dxa"/>
        </w:tblCellMar>
        <w:tblLook w:val="0000"/>
      </w:tblPr>
      <w:tblGrid>
        <w:gridCol w:w="2303"/>
        <w:gridCol w:w="1843"/>
        <w:gridCol w:w="1275"/>
        <w:gridCol w:w="1417"/>
        <w:gridCol w:w="2801"/>
      </w:tblGrid>
      <w:tr w:rsidR="007D20DB" w:rsidRPr="007D20DB" w:rsidTr="00704644">
        <w:trPr>
          <w:trHeight w:val="60"/>
          <w:tblHeader/>
        </w:trPr>
        <w:tc>
          <w:tcPr>
            <w:tcW w:w="2303" w:type="dxa"/>
            <w:tcBorders>
              <w:top w:val="single" w:sz="2" w:space="0" w:color="004484"/>
              <w:left w:val="single" w:sz="2" w:space="0" w:color="004484"/>
              <w:bottom w:val="single" w:sz="2" w:space="0" w:color="004484"/>
              <w:right w:val="single" w:sz="2" w:space="0" w:color="004484"/>
            </w:tcBorders>
            <w:shd w:val="solid" w:color="004484"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57" w:line="288" w:lineRule="auto"/>
              <w:textAlignment w:val="center"/>
              <w:rPr>
                <w:rFonts w:ascii="AGaramondPro-Regular" w:hAnsi="AGaramondPro-Regular" w:cs="AGaramondPro-Regular"/>
                <w:color w:val="FFFFFF" w:themeColor="background1"/>
                <w:sz w:val="19"/>
                <w:szCs w:val="19"/>
                <w:lang w:val="en-US" w:eastAsia="ja-JP"/>
              </w:rPr>
            </w:pPr>
            <w:r w:rsidRPr="00704644">
              <w:rPr>
                <w:rFonts w:ascii="AGaramondPro-Regular" w:hAnsi="AGaramondPro-Regular" w:cs="AGaramondPro-Regular"/>
                <w:b/>
                <w:bCs/>
                <w:color w:val="FFFFFF" w:themeColor="background1"/>
                <w:sz w:val="19"/>
                <w:szCs w:val="19"/>
                <w:lang w:val="en-US" w:eastAsia="ja-JP"/>
              </w:rPr>
              <w:t>Action</w:t>
            </w:r>
          </w:p>
        </w:tc>
        <w:tc>
          <w:tcPr>
            <w:tcW w:w="1843" w:type="dxa"/>
            <w:tcBorders>
              <w:top w:val="single" w:sz="2" w:space="0" w:color="004484"/>
              <w:left w:val="single" w:sz="2" w:space="0" w:color="004484"/>
              <w:bottom w:val="single" w:sz="2" w:space="0" w:color="004484"/>
              <w:right w:val="single" w:sz="2" w:space="0" w:color="004484"/>
            </w:tcBorders>
            <w:shd w:val="solid" w:color="004484"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FFFFFF" w:themeColor="background1"/>
                <w:sz w:val="19"/>
                <w:szCs w:val="19"/>
                <w:lang w:val="en-US" w:eastAsia="ja-JP"/>
              </w:rPr>
            </w:pPr>
            <w:r w:rsidRPr="00704644">
              <w:rPr>
                <w:rFonts w:ascii="AGaramondPro-Regular" w:hAnsi="AGaramondPro-Regular" w:cs="AGaramondPro-Regular"/>
                <w:b/>
                <w:bCs/>
                <w:color w:val="FFFFFF" w:themeColor="background1"/>
                <w:sz w:val="19"/>
                <w:szCs w:val="19"/>
                <w:lang w:val="en-US" w:eastAsia="ja-JP"/>
              </w:rPr>
              <w:t>Responsible party</w:t>
            </w:r>
          </w:p>
        </w:tc>
        <w:tc>
          <w:tcPr>
            <w:tcW w:w="1275" w:type="dxa"/>
            <w:tcBorders>
              <w:top w:val="single" w:sz="2" w:space="0" w:color="004484"/>
              <w:left w:val="single" w:sz="2" w:space="0" w:color="004484"/>
              <w:bottom w:val="single" w:sz="2" w:space="0" w:color="004484"/>
              <w:right w:val="single" w:sz="2" w:space="0" w:color="004484"/>
            </w:tcBorders>
            <w:shd w:val="solid" w:color="004484"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FFFFFF" w:themeColor="background1"/>
                <w:sz w:val="19"/>
                <w:szCs w:val="19"/>
                <w:lang w:val="en-US" w:eastAsia="ja-JP"/>
              </w:rPr>
            </w:pPr>
            <w:r w:rsidRPr="00704644">
              <w:rPr>
                <w:rFonts w:ascii="AGaramondPro-Regular" w:hAnsi="AGaramondPro-Regular" w:cs="AGaramondPro-Regular"/>
                <w:b/>
                <w:bCs/>
                <w:color w:val="FFFFFF" w:themeColor="background1"/>
                <w:sz w:val="19"/>
                <w:szCs w:val="19"/>
                <w:lang w:val="en-US" w:eastAsia="ja-JP"/>
              </w:rPr>
              <w:t>Priority</w:t>
            </w:r>
          </w:p>
        </w:tc>
        <w:tc>
          <w:tcPr>
            <w:tcW w:w="1417" w:type="dxa"/>
            <w:tcBorders>
              <w:top w:val="single" w:sz="2" w:space="0" w:color="004484"/>
              <w:left w:val="single" w:sz="2" w:space="0" w:color="004484"/>
              <w:bottom w:val="single" w:sz="2" w:space="0" w:color="004484"/>
              <w:right w:val="single" w:sz="2" w:space="0" w:color="004484"/>
            </w:tcBorders>
            <w:shd w:val="solid" w:color="004484"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FFFFFF" w:themeColor="background1"/>
                <w:sz w:val="19"/>
                <w:szCs w:val="19"/>
                <w:lang w:val="en-US" w:eastAsia="ja-JP"/>
              </w:rPr>
            </w:pPr>
            <w:r w:rsidRPr="00704644">
              <w:rPr>
                <w:rFonts w:ascii="AGaramondPro-Regular" w:hAnsi="AGaramondPro-Regular" w:cs="AGaramondPro-Regular"/>
                <w:b/>
                <w:bCs/>
                <w:color w:val="FFFFFF" w:themeColor="background1"/>
                <w:sz w:val="19"/>
                <w:szCs w:val="19"/>
                <w:lang w:val="en-US" w:eastAsia="ja-JP"/>
              </w:rPr>
              <w:t>Timeframe</w:t>
            </w:r>
          </w:p>
        </w:tc>
        <w:tc>
          <w:tcPr>
            <w:tcW w:w="2801" w:type="dxa"/>
            <w:tcBorders>
              <w:top w:val="single" w:sz="2" w:space="0" w:color="004484"/>
              <w:left w:val="single" w:sz="2" w:space="0" w:color="004484"/>
              <w:bottom w:val="single" w:sz="2" w:space="0" w:color="004484"/>
              <w:right w:val="single" w:sz="2" w:space="0" w:color="004484"/>
            </w:tcBorders>
            <w:shd w:val="solid" w:color="004484"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FFFFFF" w:themeColor="background1"/>
                <w:sz w:val="19"/>
                <w:szCs w:val="19"/>
                <w:lang w:val="en-US" w:eastAsia="ja-JP"/>
              </w:rPr>
            </w:pPr>
            <w:r w:rsidRPr="00704644">
              <w:rPr>
                <w:rFonts w:ascii="AGaramondPro-Regular" w:hAnsi="AGaramondPro-Regular" w:cs="AGaramondPro-Regular"/>
                <w:b/>
                <w:bCs/>
                <w:color w:val="FFFFFF" w:themeColor="background1"/>
                <w:sz w:val="19"/>
                <w:szCs w:val="19"/>
                <w:lang w:val="en-US" w:eastAsia="ja-JP"/>
              </w:rPr>
              <w:t>Performance indicators</w:t>
            </w:r>
          </w:p>
        </w:tc>
      </w:tr>
      <w:tr w:rsidR="007D20DB" w:rsidRPr="007D20DB" w:rsidTr="00704644">
        <w:trPr>
          <w:trHeight w:val="60"/>
        </w:trPr>
        <w:tc>
          <w:tcPr>
            <w:tcW w:w="230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57" w:line="288" w:lineRule="auto"/>
              <w:textAlignment w:val="center"/>
              <w:rPr>
                <w:rFonts w:ascii="AGaramondPro-Bold" w:hAnsi="AGaramondPro-Bold" w:cs="AGaramondPro-Bold"/>
                <w:b/>
                <w:bCs/>
                <w:color w:val="000000"/>
                <w:sz w:val="19"/>
                <w:szCs w:val="19"/>
                <w:lang w:val="en-US" w:eastAsia="ja-JP"/>
              </w:rPr>
            </w:pPr>
            <w:r w:rsidRPr="007D20DB">
              <w:rPr>
                <w:rFonts w:ascii="AGaramondPro-Bold" w:hAnsi="AGaramondPro-Bold" w:cs="AGaramondPro-Bold"/>
                <w:b/>
                <w:bCs/>
                <w:color w:val="000000"/>
                <w:sz w:val="19"/>
                <w:szCs w:val="19"/>
                <w:lang w:val="en-US" w:eastAsia="ja-JP"/>
              </w:rPr>
              <w:t>Research action 1</w:t>
            </w:r>
          </w:p>
          <w:p w:rsidR="007D20DB" w:rsidRPr="007D20DB" w:rsidRDefault="007D20DB" w:rsidP="007D20DB">
            <w:pPr>
              <w:widowControl w:val="0"/>
              <w:suppressAutoHyphens/>
              <w:autoSpaceDE w:val="0"/>
              <w:autoSpaceDN w:val="0"/>
              <w:adjustRightInd w:val="0"/>
              <w:spacing w:after="57"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 xml:space="preserve">Encourage new partnerships (e.g. through the Australian Research Council or forestry, mining and nursery industries) to support the funding of research relating to the management of </w:t>
            </w:r>
            <w:r w:rsidRPr="007D20DB">
              <w:rPr>
                <w:rFonts w:ascii="AGaramondPro-Italic" w:hAnsi="AGaramondPro-Italic" w:cs="AGaramondPro-Italic"/>
                <w:i/>
                <w:iCs/>
                <w:color w:val="000000"/>
                <w:sz w:val="19"/>
                <w:szCs w:val="19"/>
                <w:lang w:val="en-US" w:eastAsia="ja-JP"/>
              </w:rPr>
              <w:t>P. </w:t>
            </w:r>
            <w:proofErr w:type="spellStart"/>
            <w:r w:rsidRPr="007D20DB">
              <w:rPr>
                <w:rFonts w:ascii="AGaramondPro-Italic" w:hAnsi="AGaramondPro-Italic" w:cs="AGaramondPro-Italic"/>
                <w:i/>
                <w:iCs/>
                <w:color w:val="000000"/>
                <w:sz w:val="19"/>
                <w:szCs w:val="19"/>
                <w:lang w:val="en-US" w:eastAsia="ja-JP"/>
              </w:rPr>
              <w:t>cinnamomi</w:t>
            </w:r>
            <w:proofErr w:type="spellEnd"/>
            <w:r w:rsidRPr="007D20DB">
              <w:rPr>
                <w:rFonts w:ascii="AGaramondPro-Italic" w:hAnsi="AGaramondPro-Italic" w:cs="AGaramondPro-Italic"/>
                <w:i/>
                <w:iCs/>
                <w:color w:val="000000"/>
                <w:sz w:val="19"/>
                <w:szCs w:val="19"/>
                <w:lang w:val="en-US" w:eastAsia="ja-JP"/>
              </w:rPr>
              <w:t xml:space="preserve"> </w:t>
            </w:r>
            <w:r w:rsidRPr="007D20DB">
              <w:rPr>
                <w:rFonts w:ascii="AGaramondPro-Regular" w:hAnsi="AGaramondPro-Regular" w:cs="AGaramondPro-Regular"/>
                <w:color w:val="000000"/>
                <w:sz w:val="19"/>
                <w:szCs w:val="19"/>
                <w:lang w:val="en-US" w:eastAsia="ja-JP"/>
              </w:rPr>
              <w:t xml:space="preserve">(and other </w:t>
            </w:r>
            <w:proofErr w:type="spellStart"/>
            <w:r w:rsidRPr="007D20DB">
              <w:rPr>
                <w:rFonts w:ascii="AGaramondPro-Italic" w:hAnsi="AGaramondPro-Italic" w:cs="AGaramondPro-Italic"/>
                <w:i/>
                <w:iCs/>
                <w:color w:val="000000"/>
                <w:sz w:val="19"/>
                <w:szCs w:val="19"/>
                <w:lang w:val="en-US" w:eastAsia="ja-JP"/>
              </w:rPr>
              <w:t>Phytophthora</w:t>
            </w:r>
            <w:proofErr w:type="spellEnd"/>
            <w:r w:rsidRPr="007D20DB">
              <w:rPr>
                <w:rFonts w:ascii="AGaramondPro-Regular" w:hAnsi="AGaramondPro-Regular" w:cs="AGaramondPro-Regular"/>
                <w:color w:val="000000"/>
                <w:sz w:val="19"/>
                <w:szCs w:val="19"/>
                <w:lang w:val="en-US" w:eastAsia="ja-JP"/>
              </w:rPr>
              <w:t xml:space="preserve"> species).</w:t>
            </w:r>
          </w:p>
        </w:tc>
        <w:tc>
          <w:tcPr>
            <w:tcW w:w="184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 xml:space="preserve">Australian Government, state and territory governments, research </w:t>
            </w:r>
            <w:proofErr w:type="spellStart"/>
            <w:r w:rsidRPr="007D20DB">
              <w:rPr>
                <w:rFonts w:ascii="AGaramondPro-Regular" w:hAnsi="AGaramondPro-Regular" w:cs="AGaramondPro-Regular"/>
                <w:color w:val="000000"/>
                <w:sz w:val="19"/>
                <w:szCs w:val="19"/>
                <w:lang w:val="en-US" w:eastAsia="ja-JP"/>
              </w:rPr>
              <w:t>organisations</w:t>
            </w:r>
            <w:proofErr w:type="spellEnd"/>
            <w:r w:rsidRPr="007D20DB">
              <w:rPr>
                <w:rFonts w:ascii="AGaramondPro-Regular" w:hAnsi="AGaramondPro-Regular" w:cs="AGaramondPro-Regular"/>
                <w:color w:val="000000"/>
                <w:sz w:val="19"/>
                <w:szCs w:val="19"/>
                <w:lang w:val="en-US" w:eastAsia="ja-JP"/>
              </w:rPr>
              <w:t xml:space="preserve"> and industry</w:t>
            </w:r>
          </w:p>
        </w:tc>
        <w:tc>
          <w:tcPr>
            <w:tcW w:w="127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High priority</w:t>
            </w:r>
          </w:p>
        </w:tc>
        <w:tc>
          <w:tcPr>
            <w:tcW w:w="141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Ongoing</w:t>
            </w:r>
          </w:p>
        </w:tc>
        <w:tc>
          <w:tcPr>
            <w:tcW w:w="280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Partnerships are initiated within 12 months of this TAP being made.</w:t>
            </w:r>
          </w:p>
        </w:tc>
      </w:tr>
      <w:tr w:rsidR="007D20DB" w:rsidRPr="007D20DB" w:rsidTr="00704644">
        <w:trPr>
          <w:trHeight w:val="60"/>
        </w:trPr>
        <w:tc>
          <w:tcPr>
            <w:tcW w:w="230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57" w:line="288" w:lineRule="auto"/>
              <w:textAlignment w:val="center"/>
              <w:rPr>
                <w:rFonts w:ascii="AGaramondPro-Bold" w:hAnsi="AGaramondPro-Bold" w:cs="AGaramondPro-Bold"/>
                <w:b/>
                <w:bCs/>
                <w:color w:val="000000"/>
                <w:sz w:val="19"/>
                <w:szCs w:val="19"/>
                <w:lang w:val="en-US" w:eastAsia="ja-JP"/>
              </w:rPr>
            </w:pPr>
            <w:r w:rsidRPr="007D20DB">
              <w:rPr>
                <w:rFonts w:ascii="AGaramondPro-Bold" w:hAnsi="AGaramondPro-Bold" w:cs="AGaramondPro-Bold"/>
                <w:b/>
                <w:bCs/>
                <w:color w:val="000000"/>
                <w:sz w:val="19"/>
                <w:szCs w:val="19"/>
                <w:lang w:val="en-US" w:eastAsia="ja-JP"/>
              </w:rPr>
              <w:t>Research action 2</w:t>
            </w:r>
          </w:p>
          <w:p w:rsidR="007D20DB" w:rsidRPr="007D20DB" w:rsidRDefault="007D20DB" w:rsidP="007D20DB">
            <w:pPr>
              <w:widowControl w:val="0"/>
              <w:suppressAutoHyphens/>
              <w:autoSpaceDE w:val="0"/>
              <w:autoSpaceDN w:val="0"/>
              <w:adjustRightInd w:val="0"/>
              <w:spacing w:after="57"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Increase understanding of factors affecting pathogen distribution and expression (including climate change).</w:t>
            </w:r>
          </w:p>
        </w:tc>
        <w:tc>
          <w:tcPr>
            <w:tcW w:w="184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 xml:space="preserve">Australian Government, state and territory governments, research </w:t>
            </w:r>
            <w:proofErr w:type="spellStart"/>
            <w:r w:rsidRPr="007D20DB">
              <w:rPr>
                <w:rFonts w:ascii="AGaramondPro-Regular" w:hAnsi="AGaramondPro-Regular" w:cs="AGaramondPro-Regular"/>
                <w:color w:val="000000"/>
                <w:sz w:val="19"/>
                <w:szCs w:val="19"/>
                <w:lang w:val="en-US" w:eastAsia="ja-JP"/>
              </w:rPr>
              <w:t>organisations</w:t>
            </w:r>
            <w:proofErr w:type="spellEnd"/>
            <w:r w:rsidRPr="007D20DB">
              <w:rPr>
                <w:rFonts w:ascii="AGaramondPro-Regular" w:hAnsi="AGaramondPro-Regular" w:cs="AGaramondPro-Regular"/>
                <w:color w:val="000000"/>
                <w:sz w:val="19"/>
                <w:szCs w:val="19"/>
                <w:lang w:val="en-US" w:eastAsia="ja-JP"/>
              </w:rPr>
              <w:t xml:space="preserve"> and industry</w:t>
            </w:r>
          </w:p>
        </w:tc>
        <w:tc>
          <w:tcPr>
            <w:tcW w:w="127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Medium priority</w:t>
            </w:r>
          </w:p>
        </w:tc>
        <w:tc>
          <w:tcPr>
            <w:tcW w:w="141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Medium term</w:t>
            </w:r>
          </w:p>
        </w:tc>
        <w:tc>
          <w:tcPr>
            <w:tcW w:w="280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Material on factors affecting pathogen distribution and expression is published.</w:t>
            </w:r>
          </w:p>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 xml:space="preserve">Further research is conducted into the mechanisms of spread and survival of </w:t>
            </w:r>
            <w:r w:rsidRPr="007D20DB">
              <w:rPr>
                <w:rFonts w:ascii="AGaramondPro-Italic" w:hAnsi="AGaramondPro-Italic" w:cs="AGaramondPro-Italic"/>
                <w:i/>
                <w:iCs/>
                <w:color w:val="000000"/>
                <w:sz w:val="19"/>
                <w:szCs w:val="19"/>
                <w:lang w:val="en-US" w:eastAsia="ja-JP"/>
              </w:rPr>
              <w:t>P. </w:t>
            </w:r>
            <w:proofErr w:type="spellStart"/>
            <w:r w:rsidRPr="007D20DB">
              <w:rPr>
                <w:rFonts w:ascii="AGaramondPro-Italic" w:hAnsi="AGaramondPro-Italic" w:cs="AGaramondPro-Italic"/>
                <w:i/>
                <w:iCs/>
                <w:color w:val="000000"/>
                <w:sz w:val="19"/>
                <w:szCs w:val="19"/>
                <w:lang w:val="en-US" w:eastAsia="ja-JP"/>
              </w:rPr>
              <w:t>cinnamomi</w:t>
            </w:r>
            <w:proofErr w:type="spellEnd"/>
            <w:r w:rsidRPr="007D20DB">
              <w:rPr>
                <w:rFonts w:ascii="AGaramondPro-Regular" w:hAnsi="AGaramondPro-Regular" w:cs="AGaramondPro-Regular"/>
                <w:color w:val="000000"/>
                <w:sz w:val="19"/>
                <w:szCs w:val="19"/>
                <w:lang w:val="en-US" w:eastAsia="ja-JP"/>
              </w:rPr>
              <w:t xml:space="preserve">, assessing its long term direct and indirect impacts in the range of priority ecosystems it affects. </w:t>
            </w:r>
          </w:p>
        </w:tc>
      </w:tr>
      <w:tr w:rsidR="007D20DB" w:rsidRPr="007D20DB" w:rsidTr="00704644">
        <w:trPr>
          <w:trHeight w:val="60"/>
        </w:trPr>
        <w:tc>
          <w:tcPr>
            <w:tcW w:w="230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57" w:line="288" w:lineRule="auto"/>
              <w:textAlignment w:val="center"/>
              <w:rPr>
                <w:rFonts w:ascii="AGaramondPro-Bold" w:hAnsi="AGaramondPro-Bold" w:cs="AGaramondPro-Bold"/>
                <w:b/>
                <w:bCs/>
                <w:color w:val="000000"/>
                <w:sz w:val="19"/>
                <w:szCs w:val="19"/>
                <w:lang w:val="en-US" w:eastAsia="ja-JP"/>
              </w:rPr>
            </w:pPr>
            <w:r w:rsidRPr="007D20DB">
              <w:rPr>
                <w:rFonts w:ascii="AGaramondPro-Bold" w:hAnsi="AGaramondPro-Bold" w:cs="AGaramondPro-Bold"/>
                <w:b/>
                <w:bCs/>
                <w:color w:val="000000"/>
                <w:sz w:val="19"/>
                <w:szCs w:val="19"/>
                <w:lang w:val="en-US" w:eastAsia="ja-JP"/>
              </w:rPr>
              <w:t>Research action 3</w:t>
            </w:r>
          </w:p>
          <w:p w:rsidR="007D20DB" w:rsidRPr="007D20DB" w:rsidRDefault="007D20DB" w:rsidP="007D20DB">
            <w:pPr>
              <w:widowControl w:val="0"/>
              <w:suppressAutoHyphens/>
              <w:autoSpaceDE w:val="0"/>
              <w:autoSpaceDN w:val="0"/>
              <w:adjustRightInd w:val="0"/>
              <w:spacing w:after="57"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 xml:space="preserve">Undertake susceptibility/natural </w:t>
            </w:r>
            <w:r w:rsidRPr="007D20DB">
              <w:rPr>
                <w:rFonts w:ascii="AGaramondPro-Regular" w:hAnsi="AGaramondPro-Regular" w:cs="AGaramondPro-Regular"/>
                <w:color w:val="000000"/>
                <w:sz w:val="19"/>
                <w:szCs w:val="19"/>
                <w:lang w:val="en-US" w:eastAsia="ja-JP"/>
              </w:rPr>
              <w:lastRenderedPageBreak/>
              <w:t xml:space="preserve">resistance screening of priority species. </w:t>
            </w:r>
          </w:p>
        </w:tc>
        <w:tc>
          <w:tcPr>
            <w:tcW w:w="184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lastRenderedPageBreak/>
              <w:t xml:space="preserve">State and territory governments, research </w:t>
            </w:r>
            <w:proofErr w:type="spellStart"/>
            <w:r w:rsidRPr="007D20DB">
              <w:rPr>
                <w:rFonts w:ascii="AGaramondPro-Regular" w:hAnsi="AGaramondPro-Regular" w:cs="AGaramondPro-Regular"/>
                <w:color w:val="000000"/>
                <w:sz w:val="19"/>
                <w:szCs w:val="19"/>
                <w:lang w:val="en-US" w:eastAsia="ja-JP"/>
              </w:rPr>
              <w:t>organisations</w:t>
            </w:r>
            <w:proofErr w:type="spellEnd"/>
            <w:r w:rsidRPr="007D20DB">
              <w:rPr>
                <w:rFonts w:ascii="AGaramondPro-Regular" w:hAnsi="AGaramondPro-Regular" w:cs="AGaramondPro-Regular"/>
                <w:color w:val="000000"/>
                <w:sz w:val="19"/>
                <w:szCs w:val="19"/>
                <w:lang w:val="en-US" w:eastAsia="ja-JP"/>
              </w:rPr>
              <w:t xml:space="preserve"> </w:t>
            </w:r>
            <w:r w:rsidRPr="007D20DB">
              <w:rPr>
                <w:rFonts w:ascii="AGaramondPro-Regular" w:hAnsi="AGaramondPro-Regular" w:cs="AGaramondPro-Regular"/>
                <w:color w:val="000000"/>
                <w:sz w:val="19"/>
                <w:szCs w:val="19"/>
                <w:lang w:val="en-US" w:eastAsia="ja-JP"/>
              </w:rPr>
              <w:lastRenderedPageBreak/>
              <w:t>and industry</w:t>
            </w:r>
          </w:p>
        </w:tc>
        <w:tc>
          <w:tcPr>
            <w:tcW w:w="127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lastRenderedPageBreak/>
              <w:t>Medium priority</w:t>
            </w:r>
          </w:p>
        </w:tc>
        <w:tc>
          <w:tcPr>
            <w:tcW w:w="141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Medium term</w:t>
            </w:r>
          </w:p>
        </w:tc>
        <w:tc>
          <w:tcPr>
            <w:tcW w:w="280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 xml:space="preserve">Susceptibility screening of priority species is undertaken at appropriate facilities using plant </w:t>
            </w:r>
            <w:r w:rsidRPr="007D20DB">
              <w:rPr>
                <w:rFonts w:ascii="AGaramondPro-Regular" w:hAnsi="AGaramondPro-Regular" w:cs="AGaramondPro-Regular"/>
                <w:color w:val="000000"/>
                <w:sz w:val="19"/>
                <w:szCs w:val="19"/>
                <w:lang w:val="en-US" w:eastAsia="ja-JP"/>
              </w:rPr>
              <w:lastRenderedPageBreak/>
              <w:t xml:space="preserve">material from </w:t>
            </w:r>
            <w:r w:rsidRPr="007D20DB">
              <w:rPr>
                <w:rFonts w:ascii="AGaramondPro-Italic" w:hAnsi="AGaramondPro-Italic" w:cs="AGaramondPro-Italic"/>
                <w:i/>
                <w:iCs/>
                <w:color w:val="000000"/>
                <w:sz w:val="19"/>
                <w:szCs w:val="19"/>
                <w:lang w:val="en-US" w:eastAsia="ja-JP"/>
              </w:rPr>
              <w:t>ex</w:t>
            </w:r>
            <w:r w:rsidRPr="007D20DB">
              <w:rPr>
                <w:rFonts w:ascii="AGaramondPro-Italic" w:hAnsi="AGaramondPro-Italic" w:cs="AGaramondPro-Italic"/>
                <w:i/>
                <w:iCs/>
                <w:color w:val="000000"/>
                <w:sz w:val="19"/>
                <w:szCs w:val="19"/>
                <w:rtl/>
                <w:lang w:val="en-US" w:eastAsia="ja-JP" w:bidi="ar-YE"/>
              </w:rPr>
              <w:t> </w:t>
            </w:r>
            <w:r w:rsidRPr="007D20DB">
              <w:rPr>
                <w:rFonts w:ascii="AGaramondPro-Italic" w:hAnsi="AGaramondPro-Italic" w:cs="AGaramondPro-Italic"/>
                <w:i/>
                <w:iCs/>
                <w:color w:val="000000"/>
                <w:sz w:val="19"/>
                <w:szCs w:val="19"/>
                <w:lang w:val="en-US" w:eastAsia="ja-JP"/>
              </w:rPr>
              <w:t>situ</w:t>
            </w:r>
            <w:r w:rsidRPr="007D20DB">
              <w:rPr>
                <w:rFonts w:ascii="AGaramondPro-Regular" w:hAnsi="AGaramondPro-Regular" w:cs="AGaramondPro-Regular"/>
                <w:color w:val="000000"/>
                <w:sz w:val="19"/>
                <w:szCs w:val="19"/>
                <w:lang w:val="en-US" w:eastAsia="ja-JP"/>
              </w:rPr>
              <w:t xml:space="preserve"> programs (where available).</w:t>
            </w:r>
          </w:p>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Infested sites are monitored for resistant individuals or populations to enable the sourcing of material for resistance screening.</w:t>
            </w:r>
          </w:p>
        </w:tc>
      </w:tr>
      <w:tr w:rsidR="007D20DB" w:rsidRPr="007D20DB" w:rsidTr="00704644">
        <w:trPr>
          <w:trHeight w:val="60"/>
        </w:trPr>
        <w:tc>
          <w:tcPr>
            <w:tcW w:w="230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57" w:line="288" w:lineRule="auto"/>
              <w:textAlignment w:val="center"/>
              <w:rPr>
                <w:rFonts w:ascii="AGaramondPro-Bold" w:hAnsi="AGaramondPro-Bold" w:cs="AGaramondPro-Bold"/>
                <w:b/>
                <w:bCs/>
                <w:color w:val="000000"/>
                <w:sz w:val="19"/>
                <w:szCs w:val="19"/>
                <w:lang w:val="en-US" w:eastAsia="ja-JP"/>
              </w:rPr>
            </w:pPr>
            <w:r w:rsidRPr="007D20DB">
              <w:rPr>
                <w:rFonts w:ascii="AGaramondPro-Bold" w:hAnsi="AGaramondPro-Bold" w:cs="AGaramondPro-Bold"/>
                <w:b/>
                <w:bCs/>
                <w:color w:val="000000"/>
                <w:sz w:val="19"/>
                <w:szCs w:val="19"/>
                <w:lang w:val="en-US" w:eastAsia="ja-JP"/>
              </w:rPr>
              <w:lastRenderedPageBreak/>
              <w:t>Research action 4</w:t>
            </w:r>
          </w:p>
          <w:p w:rsidR="007D20DB" w:rsidRPr="007D20DB" w:rsidRDefault="007D20DB" w:rsidP="007D20DB">
            <w:pPr>
              <w:widowControl w:val="0"/>
              <w:suppressAutoHyphens/>
              <w:autoSpaceDE w:val="0"/>
              <w:autoSpaceDN w:val="0"/>
              <w:adjustRightInd w:val="0"/>
              <w:spacing w:after="57"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 xml:space="preserve">Develop improved techniques for rapid diagnosis of </w:t>
            </w:r>
            <w:r w:rsidRPr="007D20DB">
              <w:rPr>
                <w:rFonts w:ascii="AGaramondPro-Italic" w:hAnsi="AGaramondPro-Italic" w:cs="AGaramondPro-Italic"/>
                <w:i/>
                <w:iCs/>
                <w:color w:val="000000"/>
                <w:sz w:val="19"/>
                <w:szCs w:val="19"/>
                <w:lang w:val="en-US" w:eastAsia="ja-JP"/>
              </w:rPr>
              <w:t>P. </w:t>
            </w:r>
            <w:proofErr w:type="spellStart"/>
            <w:r w:rsidRPr="007D20DB">
              <w:rPr>
                <w:rFonts w:ascii="AGaramondPro-Italic" w:hAnsi="AGaramondPro-Italic" w:cs="AGaramondPro-Italic"/>
                <w:i/>
                <w:iCs/>
                <w:color w:val="000000"/>
                <w:sz w:val="19"/>
                <w:szCs w:val="19"/>
                <w:lang w:val="en-US" w:eastAsia="ja-JP"/>
              </w:rPr>
              <w:t>cinnamomi</w:t>
            </w:r>
            <w:proofErr w:type="spellEnd"/>
            <w:r w:rsidRPr="007D20DB">
              <w:rPr>
                <w:rFonts w:ascii="AGaramondPro-Regular" w:hAnsi="AGaramondPro-Regular" w:cs="AGaramondPro-Regular"/>
                <w:color w:val="000000"/>
                <w:sz w:val="19"/>
                <w:szCs w:val="19"/>
                <w:lang w:val="en-US" w:eastAsia="ja-JP"/>
              </w:rPr>
              <w:t xml:space="preserve"> infestation, e.g. building on existing efforts for detection via water sampling, testing large volumes of soil (or quarried material) or remote methods such as use of digital multi-spectral imagery.</w:t>
            </w:r>
          </w:p>
        </w:tc>
        <w:tc>
          <w:tcPr>
            <w:tcW w:w="184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 xml:space="preserve">State and territory governments, research </w:t>
            </w:r>
            <w:proofErr w:type="spellStart"/>
            <w:r w:rsidRPr="007D20DB">
              <w:rPr>
                <w:rFonts w:ascii="AGaramondPro-Regular" w:hAnsi="AGaramondPro-Regular" w:cs="AGaramondPro-Regular"/>
                <w:color w:val="000000"/>
                <w:sz w:val="19"/>
                <w:szCs w:val="19"/>
                <w:lang w:val="en-US" w:eastAsia="ja-JP"/>
              </w:rPr>
              <w:t>organisations</w:t>
            </w:r>
            <w:proofErr w:type="spellEnd"/>
            <w:r w:rsidRPr="007D20DB">
              <w:rPr>
                <w:rFonts w:ascii="AGaramondPro-Regular" w:hAnsi="AGaramondPro-Regular" w:cs="AGaramondPro-Regular"/>
                <w:color w:val="000000"/>
                <w:sz w:val="19"/>
                <w:szCs w:val="19"/>
                <w:lang w:val="en-US" w:eastAsia="ja-JP"/>
              </w:rPr>
              <w:t xml:space="preserve"> and industry</w:t>
            </w:r>
          </w:p>
        </w:tc>
        <w:tc>
          <w:tcPr>
            <w:tcW w:w="127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Very high priority</w:t>
            </w:r>
          </w:p>
        </w:tc>
        <w:tc>
          <w:tcPr>
            <w:tcW w:w="141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Medium term</w:t>
            </w:r>
          </w:p>
        </w:tc>
        <w:tc>
          <w:tcPr>
            <w:tcW w:w="280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Rapid diagnosis systems for identifying</w:t>
            </w:r>
            <w:r w:rsidRPr="007D20DB">
              <w:rPr>
                <w:rFonts w:ascii="AGaramondPro-Italic" w:hAnsi="AGaramondPro-Italic" w:cs="AGaramondPro-Italic"/>
                <w:i/>
                <w:iCs/>
                <w:color w:val="000000"/>
                <w:sz w:val="19"/>
                <w:szCs w:val="19"/>
                <w:lang w:val="en-US" w:eastAsia="ja-JP"/>
              </w:rPr>
              <w:t xml:space="preserve"> P. </w:t>
            </w:r>
            <w:proofErr w:type="spellStart"/>
            <w:r w:rsidRPr="007D20DB">
              <w:rPr>
                <w:rFonts w:ascii="AGaramondPro-Italic" w:hAnsi="AGaramondPro-Italic" w:cs="AGaramondPro-Italic"/>
                <w:i/>
                <w:iCs/>
                <w:color w:val="000000"/>
                <w:sz w:val="19"/>
                <w:szCs w:val="19"/>
                <w:lang w:val="en-US" w:eastAsia="ja-JP"/>
              </w:rPr>
              <w:t>cinnamomi</w:t>
            </w:r>
            <w:proofErr w:type="spellEnd"/>
            <w:r w:rsidRPr="007D20DB">
              <w:rPr>
                <w:rFonts w:ascii="AGaramondPro-Regular" w:hAnsi="AGaramondPro-Regular" w:cs="AGaramondPro-Regular"/>
                <w:color w:val="000000"/>
                <w:sz w:val="19"/>
                <w:szCs w:val="19"/>
                <w:lang w:val="en-US" w:eastAsia="ja-JP"/>
              </w:rPr>
              <w:t xml:space="preserve"> infestations are evaluated for use in natural ecosystems.</w:t>
            </w:r>
          </w:p>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 xml:space="preserve">Cost effective and accurate methods for the rapid diagnosis of </w:t>
            </w:r>
            <w:r w:rsidRPr="007D20DB">
              <w:rPr>
                <w:rFonts w:ascii="AGaramondPro-Italic" w:hAnsi="AGaramondPro-Italic" w:cs="AGaramondPro-Italic"/>
                <w:i/>
                <w:iCs/>
                <w:color w:val="000000"/>
                <w:sz w:val="19"/>
                <w:szCs w:val="19"/>
                <w:lang w:val="en-US" w:eastAsia="ja-JP"/>
              </w:rPr>
              <w:t>P.</w:t>
            </w:r>
            <w:r w:rsidRPr="007D20DB">
              <w:rPr>
                <w:rFonts w:ascii="AGaramondPro-Regular" w:hAnsi="AGaramondPro-Regular" w:cs="AGaramondPro-Regular"/>
                <w:color w:val="000000"/>
                <w:sz w:val="19"/>
                <w:szCs w:val="19"/>
                <w:rtl/>
                <w:lang w:val="en-US" w:eastAsia="ja-JP" w:bidi="ar-YE"/>
              </w:rPr>
              <w:t> </w:t>
            </w:r>
            <w:proofErr w:type="spellStart"/>
            <w:r w:rsidRPr="007D20DB">
              <w:rPr>
                <w:rFonts w:ascii="AGaramondPro-Italic" w:hAnsi="AGaramondPro-Italic" w:cs="AGaramondPro-Italic"/>
                <w:i/>
                <w:iCs/>
                <w:color w:val="000000"/>
                <w:sz w:val="19"/>
                <w:szCs w:val="19"/>
                <w:lang w:val="en-US" w:eastAsia="ja-JP"/>
              </w:rPr>
              <w:t>cinnamomi</w:t>
            </w:r>
            <w:proofErr w:type="spellEnd"/>
            <w:r w:rsidRPr="007D20DB">
              <w:rPr>
                <w:rFonts w:ascii="AGaramondPro-Regular" w:hAnsi="AGaramondPro-Regular" w:cs="AGaramondPro-Regular"/>
                <w:color w:val="000000"/>
                <w:sz w:val="19"/>
                <w:szCs w:val="19"/>
                <w:lang w:val="en-US" w:eastAsia="ja-JP"/>
              </w:rPr>
              <w:t xml:space="preserve"> species are available.</w:t>
            </w:r>
          </w:p>
        </w:tc>
      </w:tr>
      <w:tr w:rsidR="007D20DB" w:rsidRPr="007D20DB" w:rsidTr="00704644">
        <w:trPr>
          <w:trHeight w:val="60"/>
        </w:trPr>
        <w:tc>
          <w:tcPr>
            <w:tcW w:w="230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57" w:line="288" w:lineRule="auto"/>
              <w:textAlignment w:val="center"/>
              <w:rPr>
                <w:rFonts w:ascii="AGaramondPro-Bold" w:hAnsi="AGaramondPro-Bold" w:cs="AGaramondPro-Bold"/>
                <w:b/>
                <w:bCs/>
                <w:color w:val="000000"/>
                <w:sz w:val="19"/>
                <w:szCs w:val="19"/>
                <w:lang w:val="en-US" w:eastAsia="ja-JP"/>
              </w:rPr>
            </w:pPr>
            <w:r w:rsidRPr="007D20DB">
              <w:rPr>
                <w:rFonts w:ascii="AGaramondPro-Bold" w:hAnsi="AGaramondPro-Bold" w:cs="AGaramondPro-Bold"/>
                <w:b/>
                <w:bCs/>
                <w:color w:val="000000"/>
                <w:sz w:val="19"/>
                <w:szCs w:val="19"/>
                <w:lang w:val="en-US" w:eastAsia="ja-JP"/>
              </w:rPr>
              <w:t>Research action 5</w:t>
            </w:r>
          </w:p>
          <w:p w:rsidR="007D20DB" w:rsidRPr="007D20DB" w:rsidRDefault="007D20DB" w:rsidP="007D20DB">
            <w:pPr>
              <w:widowControl w:val="0"/>
              <w:suppressAutoHyphens/>
              <w:autoSpaceDE w:val="0"/>
              <w:autoSpaceDN w:val="0"/>
              <w:adjustRightInd w:val="0"/>
              <w:spacing w:after="57"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Assess current disease management practices and explore scope for improvement.</w:t>
            </w:r>
          </w:p>
        </w:tc>
        <w:tc>
          <w:tcPr>
            <w:tcW w:w="184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 xml:space="preserve">Australian Government, state and territory governments and research </w:t>
            </w:r>
            <w:proofErr w:type="spellStart"/>
            <w:r w:rsidRPr="007D20DB">
              <w:rPr>
                <w:rFonts w:ascii="AGaramondPro-Regular" w:hAnsi="AGaramondPro-Regular" w:cs="AGaramondPro-Regular"/>
                <w:color w:val="000000"/>
                <w:sz w:val="19"/>
                <w:szCs w:val="19"/>
                <w:lang w:val="en-US" w:eastAsia="ja-JP"/>
              </w:rPr>
              <w:t>organisations</w:t>
            </w:r>
            <w:proofErr w:type="spellEnd"/>
            <w:r w:rsidRPr="007D20DB">
              <w:rPr>
                <w:rFonts w:ascii="AGaramondPro-Regular" w:hAnsi="AGaramondPro-Regular" w:cs="AGaramondPro-Regular"/>
                <w:color w:val="000000"/>
                <w:sz w:val="19"/>
                <w:szCs w:val="19"/>
                <w:lang w:val="en-US" w:eastAsia="ja-JP"/>
              </w:rPr>
              <w:t xml:space="preserve"> </w:t>
            </w:r>
          </w:p>
        </w:tc>
        <w:tc>
          <w:tcPr>
            <w:tcW w:w="127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High priority</w:t>
            </w:r>
          </w:p>
        </w:tc>
        <w:tc>
          <w:tcPr>
            <w:tcW w:w="141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Medium term</w:t>
            </w:r>
          </w:p>
        </w:tc>
        <w:tc>
          <w:tcPr>
            <w:tcW w:w="280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 xml:space="preserve">Methods to eradicate </w:t>
            </w:r>
            <w:r w:rsidRPr="007D20DB">
              <w:rPr>
                <w:rFonts w:ascii="AGaramondPro-Italic" w:hAnsi="AGaramondPro-Italic" w:cs="AGaramondPro-Italic"/>
                <w:i/>
                <w:iCs/>
                <w:color w:val="000000"/>
                <w:sz w:val="19"/>
                <w:szCs w:val="19"/>
                <w:lang w:val="en-US" w:eastAsia="ja-JP"/>
              </w:rPr>
              <w:t>P. </w:t>
            </w:r>
            <w:proofErr w:type="spellStart"/>
            <w:r w:rsidRPr="007D20DB">
              <w:rPr>
                <w:rFonts w:ascii="AGaramondPro-Italic" w:hAnsi="AGaramondPro-Italic" w:cs="AGaramondPro-Italic"/>
                <w:i/>
                <w:iCs/>
                <w:color w:val="000000"/>
                <w:sz w:val="19"/>
                <w:szCs w:val="19"/>
                <w:lang w:val="en-US" w:eastAsia="ja-JP"/>
              </w:rPr>
              <w:t>cinnamomi</w:t>
            </w:r>
            <w:proofErr w:type="spellEnd"/>
            <w:r w:rsidRPr="007D20DB">
              <w:rPr>
                <w:rFonts w:ascii="AGaramondPro-Regular" w:hAnsi="AGaramondPro-Regular" w:cs="AGaramondPro-Regular"/>
                <w:color w:val="000000"/>
                <w:sz w:val="19"/>
                <w:szCs w:val="19"/>
                <w:lang w:val="en-US" w:eastAsia="ja-JP"/>
              </w:rPr>
              <w:t xml:space="preserve"> from small, infested sites are identified and assessed for their relative efficacy.</w:t>
            </w:r>
          </w:p>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 xml:space="preserve">The efficacy of </w:t>
            </w:r>
            <w:proofErr w:type="spellStart"/>
            <w:r w:rsidRPr="007D20DB">
              <w:rPr>
                <w:rFonts w:ascii="AGaramondPro-Regular" w:hAnsi="AGaramondPro-Regular" w:cs="AGaramondPro-Regular"/>
                <w:color w:val="000000"/>
                <w:sz w:val="19"/>
                <w:szCs w:val="19"/>
                <w:lang w:val="en-US" w:eastAsia="ja-JP"/>
              </w:rPr>
              <w:t>phosphite</w:t>
            </w:r>
            <w:proofErr w:type="spellEnd"/>
            <w:r w:rsidRPr="007D20DB">
              <w:rPr>
                <w:rFonts w:ascii="AGaramondPro-Regular" w:hAnsi="AGaramondPro-Regular" w:cs="AGaramondPro-Regular"/>
                <w:color w:val="000000"/>
                <w:sz w:val="19"/>
                <w:szCs w:val="19"/>
                <w:lang w:val="en-US" w:eastAsia="ja-JP"/>
              </w:rPr>
              <w:t xml:space="preserve"> in the control of </w:t>
            </w:r>
            <w:r w:rsidRPr="007D20DB">
              <w:rPr>
                <w:rFonts w:ascii="AGaramondPro-Italic" w:hAnsi="AGaramondPro-Italic" w:cs="AGaramondPro-Italic"/>
                <w:i/>
                <w:iCs/>
                <w:color w:val="000000"/>
                <w:sz w:val="19"/>
                <w:szCs w:val="19"/>
                <w:lang w:val="en-US" w:eastAsia="ja-JP"/>
              </w:rPr>
              <w:t>P. </w:t>
            </w:r>
            <w:proofErr w:type="spellStart"/>
            <w:r w:rsidRPr="007D20DB">
              <w:rPr>
                <w:rFonts w:ascii="AGaramondPro-Italic" w:hAnsi="AGaramondPro-Italic" w:cs="AGaramondPro-Italic"/>
                <w:i/>
                <w:iCs/>
                <w:color w:val="000000"/>
                <w:sz w:val="19"/>
                <w:szCs w:val="19"/>
                <w:lang w:val="en-US" w:eastAsia="ja-JP"/>
              </w:rPr>
              <w:t>cinnamomi</w:t>
            </w:r>
            <w:proofErr w:type="spellEnd"/>
            <w:r w:rsidRPr="007D20DB">
              <w:rPr>
                <w:rFonts w:ascii="AGaramondPro-Regular" w:hAnsi="AGaramondPro-Regular" w:cs="AGaramondPro-Regular"/>
                <w:color w:val="000000"/>
                <w:sz w:val="19"/>
                <w:szCs w:val="19"/>
                <w:lang w:val="en-US" w:eastAsia="ja-JP"/>
              </w:rPr>
              <w:t xml:space="preserve"> across a range of susceptible ecological communities is determined.</w:t>
            </w:r>
          </w:p>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 xml:space="preserve">The effects of </w:t>
            </w:r>
            <w:proofErr w:type="spellStart"/>
            <w:r w:rsidRPr="007D20DB">
              <w:rPr>
                <w:rFonts w:ascii="AGaramondPro-Regular" w:hAnsi="AGaramondPro-Regular" w:cs="AGaramondPro-Regular"/>
                <w:color w:val="000000"/>
                <w:sz w:val="19"/>
                <w:szCs w:val="19"/>
                <w:lang w:val="en-US" w:eastAsia="ja-JP"/>
              </w:rPr>
              <w:t>phosphite</w:t>
            </w:r>
            <w:proofErr w:type="spellEnd"/>
            <w:r w:rsidRPr="007D20DB">
              <w:rPr>
                <w:rFonts w:ascii="AGaramondPro-Regular" w:hAnsi="AGaramondPro-Regular" w:cs="AGaramondPro-Regular"/>
                <w:color w:val="000000"/>
                <w:sz w:val="19"/>
                <w:szCs w:val="19"/>
                <w:lang w:val="en-US" w:eastAsia="ja-JP"/>
              </w:rPr>
              <w:t xml:space="preserve"> on non-target species are identified. </w:t>
            </w:r>
          </w:p>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 xml:space="preserve">Alternatives to </w:t>
            </w:r>
            <w:proofErr w:type="spellStart"/>
            <w:r w:rsidRPr="007D20DB">
              <w:rPr>
                <w:rFonts w:ascii="AGaramondPro-Regular" w:hAnsi="AGaramondPro-Regular" w:cs="AGaramondPro-Regular"/>
                <w:color w:val="000000"/>
                <w:sz w:val="19"/>
                <w:szCs w:val="19"/>
                <w:lang w:val="en-US" w:eastAsia="ja-JP"/>
              </w:rPr>
              <w:t>phosphite</w:t>
            </w:r>
            <w:proofErr w:type="spellEnd"/>
            <w:r w:rsidRPr="007D20DB">
              <w:rPr>
                <w:rFonts w:ascii="AGaramondPro-Regular" w:hAnsi="AGaramondPro-Regular" w:cs="AGaramondPro-Regular"/>
                <w:color w:val="000000"/>
                <w:sz w:val="19"/>
                <w:szCs w:val="19"/>
                <w:lang w:val="en-US" w:eastAsia="ja-JP"/>
              </w:rPr>
              <w:t xml:space="preserve"> for controlling </w:t>
            </w:r>
            <w:r w:rsidRPr="007D20DB">
              <w:rPr>
                <w:rFonts w:ascii="AGaramondPro-Italic" w:hAnsi="AGaramondPro-Italic" w:cs="AGaramondPro-Italic"/>
                <w:i/>
                <w:iCs/>
                <w:color w:val="000000"/>
                <w:sz w:val="19"/>
                <w:szCs w:val="19"/>
                <w:lang w:val="en-US" w:eastAsia="ja-JP"/>
              </w:rPr>
              <w:t>P. </w:t>
            </w:r>
            <w:proofErr w:type="spellStart"/>
            <w:r w:rsidRPr="007D20DB">
              <w:rPr>
                <w:rFonts w:ascii="AGaramondPro-Italic" w:hAnsi="AGaramondPro-Italic" w:cs="AGaramondPro-Italic"/>
                <w:i/>
                <w:iCs/>
                <w:color w:val="000000"/>
                <w:sz w:val="19"/>
                <w:szCs w:val="19"/>
                <w:lang w:val="en-US" w:eastAsia="ja-JP"/>
              </w:rPr>
              <w:t>cinnamomi</w:t>
            </w:r>
            <w:proofErr w:type="spellEnd"/>
            <w:r w:rsidRPr="007D20DB">
              <w:rPr>
                <w:rFonts w:ascii="AGaramondPro-Regular" w:hAnsi="AGaramondPro-Regular" w:cs="AGaramondPro-Regular"/>
                <w:color w:val="000000"/>
                <w:sz w:val="19"/>
                <w:szCs w:val="19"/>
                <w:lang w:val="en-US" w:eastAsia="ja-JP"/>
              </w:rPr>
              <w:t xml:space="preserve"> are identified and their relative efficacy assessed. This may include, but is not limited to: potential </w:t>
            </w:r>
            <w:proofErr w:type="spellStart"/>
            <w:r w:rsidRPr="007D20DB">
              <w:rPr>
                <w:rFonts w:ascii="AGaramondPro-Regular" w:hAnsi="AGaramondPro-Regular" w:cs="AGaramondPro-Regular"/>
                <w:color w:val="000000"/>
                <w:sz w:val="19"/>
                <w:szCs w:val="19"/>
                <w:lang w:val="en-US" w:eastAsia="ja-JP"/>
              </w:rPr>
              <w:t>biocontrol</w:t>
            </w:r>
            <w:proofErr w:type="spellEnd"/>
            <w:r w:rsidRPr="007D20DB">
              <w:rPr>
                <w:rFonts w:ascii="AGaramondPro-Regular" w:hAnsi="AGaramondPro-Regular" w:cs="AGaramondPro-Regular"/>
                <w:color w:val="000000"/>
                <w:sz w:val="19"/>
                <w:szCs w:val="19"/>
                <w:lang w:val="en-US" w:eastAsia="ja-JP"/>
              </w:rPr>
              <w:t xml:space="preserve"> options and other chemicals to augment/supplement phosphate.</w:t>
            </w:r>
          </w:p>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The efficacy of hygiene protocols for controlling disease spread are assessed and implementation improved (this could include the efficacy of implementation practices).</w:t>
            </w:r>
          </w:p>
        </w:tc>
      </w:tr>
      <w:tr w:rsidR="007D20DB" w:rsidRPr="007D20DB" w:rsidTr="00704644">
        <w:trPr>
          <w:trHeight w:val="60"/>
        </w:trPr>
        <w:tc>
          <w:tcPr>
            <w:tcW w:w="230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57" w:line="288" w:lineRule="auto"/>
              <w:textAlignment w:val="center"/>
              <w:rPr>
                <w:rFonts w:ascii="AGaramondPro-Bold" w:hAnsi="AGaramondPro-Bold" w:cs="AGaramondPro-Bold"/>
                <w:b/>
                <w:bCs/>
                <w:color w:val="000000"/>
                <w:sz w:val="19"/>
                <w:szCs w:val="19"/>
                <w:lang w:val="en-US" w:eastAsia="ja-JP"/>
              </w:rPr>
            </w:pPr>
            <w:r w:rsidRPr="007D20DB">
              <w:rPr>
                <w:rFonts w:ascii="AGaramondPro-Bold" w:hAnsi="AGaramondPro-Bold" w:cs="AGaramondPro-Bold"/>
                <w:b/>
                <w:bCs/>
                <w:color w:val="000000"/>
                <w:sz w:val="19"/>
                <w:szCs w:val="19"/>
                <w:lang w:val="en-US" w:eastAsia="ja-JP"/>
              </w:rPr>
              <w:lastRenderedPageBreak/>
              <w:t>Research action 6</w:t>
            </w:r>
          </w:p>
          <w:p w:rsidR="007D20DB" w:rsidRPr="007D20DB" w:rsidRDefault="007D20DB" w:rsidP="007D20DB">
            <w:pPr>
              <w:widowControl w:val="0"/>
              <w:suppressAutoHyphens/>
              <w:autoSpaceDE w:val="0"/>
              <w:autoSpaceDN w:val="0"/>
              <w:adjustRightInd w:val="0"/>
              <w:spacing w:after="57"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Undertake further (new) research into efficient and cost effective (nationally applicable) techniques for:</w:t>
            </w:r>
          </w:p>
          <w:p w:rsidR="007D20DB" w:rsidRPr="007D20DB" w:rsidRDefault="007D20DB" w:rsidP="007D20DB">
            <w:pPr>
              <w:widowControl w:val="0"/>
              <w:suppressAutoHyphens/>
              <w:autoSpaceDE w:val="0"/>
              <w:autoSpaceDN w:val="0"/>
              <w:adjustRightInd w:val="0"/>
              <w:spacing w:after="57" w:line="288" w:lineRule="auto"/>
              <w:ind w:left="283" w:hanging="283"/>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w:t>
            </w:r>
            <w:r w:rsidRPr="007D20DB">
              <w:rPr>
                <w:rFonts w:ascii="AGaramondPro-Regular" w:hAnsi="AGaramondPro-Regular" w:cs="AGaramondPro-Regular"/>
                <w:color w:val="000000"/>
                <w:sz w:val="19"/>
                <w:szCs w:val="19"/>
                <w:lang w:val="en-US" w:eastAsia="ja-JP"/>
              </w:rPr>
              <w:tab/>
              <w:t>eradication methods for soil types other than porous soils (for which a method exists)</w:t>
            </w:r>
          </w:p>
          <w:p w:rsidR="007D20DB" w:rsidRPr="007D20DB" w:rsidRDefault="007D20DB" w:rsidP="007D20DB">
            <w:pPr>
              <w:widowControl w:val="0"/>
              <w:suppressAutoHyphens/>
              <w:autoSpaceDE w:val="0"/>
              <w:autoSpaceDN w:val="0"/>
              <w:adjustRightInd w:val="0"/>
              <w:spacing w:after="57" w:line="288" w:lineRule="auto"/>
              <w:ind w:left="283" w:hanging="283"/>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w:t>
            </w:r>
            <w:r w:rsidRPr="007D20DB">
              <w:rPr>
                <w:rFonts w:ascii="AGaramondPro-Regular" w:hAnsi="AGaramondPro-Regular" w:cs="AGaramondPro-Regular"/>
                <w:color w:val="000000"/>
                <w:sz w:val="19"/>
                <w:szCs w:val="19"/>
                <w:lang w:val="en-US" w:eastAsia="ja-JP"/>
              </w:rPr>
              <w:tab/>
            </w:r>
            <w:proofErr w:type="gramStart"/>
            <w:r w:rsidRPr="007D20DB">
              <w:rPr>
                <w:rFonts w:ascii="AGaramondPro-Regular" w:hAnsi="AGaramondPro-Regular" w:cs="AGaramondPro-Regular"/>
                <w:color w:val="000000"/>
                <w:sz w:val="19"/>
                <w:szCs w:val="19"/>
                <w:lang w:val="en-US" w:eastAsia="ja-JP"/>
              </w:rPr>
              <w:t>management</w:t>
            </w:r>
            <w:proofErr w:type="gramEnd"/>
            <w:r w:rsidRPr="007D20DB">
              <w:rPr>
                <w:rFonts w:ascii="AGaramondPro-Regular" w:hAnsi="AGaramondPro-Regular" w:cs="AGaramondPro-Regular"/>
                <w:color w:val="000000"/>
                <w:sz w:val="19"/>
                <w:szCs w:val="19"/>
                <w:lang w:val="en-US" w:eastAsia="ja-JP"/>
              </w:rPr>
              <w:t xml:space="preserve"> of impact through transferring resistant genes into </w:t>
            </w:r>
            <w:proofErr w:type="spellStart"/>
            <w:r w:rsidRPr="007D20DB">
              <w:rPr>
                <w:rFonts w:ascii="AGaramondPro-Regular" w:hAnsi="AGaramondPro-Regular" w:cs="AGaramondPro-Regular"/>
                <w:color w:val="000000"/>
                <w:sz w:val="19"/>
                <w:szCs w:val="19"/>
                <w:lang w:val="en-US" w:eastAsia="ja-JP"/>
              </w:rPr>
              <w:t>taxa</w:t>
            </w:r>
            <w:proofErr w:type="spellEnd"/>
            <w:r w:rsidRPr="007D20DB">
              <w:rPr>
                <w:rFonts w:ascii="AGaramondPro-Regular" w:hAnsi="AGaramondPro-Regular" w:cs="AGaramondPro-Regular"/>
                <w:color w:val="000000"/>
                <w:sz w:val="19"/>
                <w:szCs w:val="19"/>
                <w:lang w:val="en-US" w:eastAsia="ja-JP"/>
              </w:rPr>
              <w:t xml:space="preserve"> that show little resistance to </w:t>
            </w:r>
            <w:r w:rsidRPr="007D20DB">
              <w:rPr>
                <w:rFonts w:ascii="AGaramondPro-Italic" w:hAnsi="AGaramondPro-Italic" w:cs="AGaramondPro-Italic"/>
                <w:i/>
                <w:iCs/>
                <w:color w:val="000000"/>
                <w:sz w:val="19"/>
                <w:szCs w:val="19"/>
                <w:lang w:val="en-US" w:eastAsia="ja-JP"/>
              </w:rPr>
              <w:t>P. </w:t>
            </w:r>
            <w:proofErr w:type="spellStart"/>
            <w:r w:rsidRPr="007D20DB">
              <w:rPr>
                <w:rFonts w:ascii="AGaramondPro-Italic" w:hAnsi="AGaramondPro-Italic" w:cs="AGaramondPro-Italic"/>
                <w:i/>
                <w:iCs/>
                <w:color w:val="000000"/>
                <w:sz w:val="19"/>
                <w:szCs w:val="19"/>
                <w:lang w:val="en-US" w:eastAsia="ja-JP"/>
              </w:rPr>
              <w:t>cinnamomi</w:t>
            </w:r>
            <w:proofErr w:type="spellEnd"/>
            <w:r w:rsidRPr="007D20DB">
              <w:rPr>
                <w:rFonts w:ascii="AGaramondPro-Regular" w:hAnsi="AGaramondPro-Regular" w:cs="AGaramondPro-Regular"/>
                <w:color w:val="000000"/>
                <w:sz w:val="19"/>
                <w:szCs w:val="19"/>
                <w:lang w:val="en-US" w:eastAsia="ja-JP"/>
              </w:rPr>
              <w:t>.</w:t>
            </w:r>
          </w:p>
        </w:tc>
        <w:tc>
          <w:tcPr>
            <w:tcW w:w="184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 xml:space="preserve">Australian Government, state and territory governments and research </w:t>
            </w:r>
            <w:proofErr w:type="spellStart"/>
            <w:r w:rsidRPr="007D20DB">
              <w:rPr>
                <w:rFonts w:ascii="AGaramondPro-Regular" w:hAnsi="AGaramondPro-Regular" w:cs="AGaramondPro-Regular"/>
                <w:color w:val="000000"/>
                <w:sz w:val="19"/>
                <w:szCs w:val="19"/>
                <w:lang w:val="en-US" w:eastAsia="ja-JP"/>
              </w:rPr>
              <w:t>organisations</w:t>
            </w:r>
            <w:proofErr w:type="spellEnd"/>
          </w:p>
        </w:tc>
        <w:tc>
          <w:tcPr>
            <w:tcW w:w="127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High priority</w:t>
            </w:r>
          </w:p>
        </w:tc>
        <w:tc>
          <w:tcPr>
            <w:tcW w:w="141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Ongoing</w:t>
            </w:r>
          </w:p>
        </w:tc>
        <w:tc>
          <w:tcPr>
            <w:tcW w:w="280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Collaborative applied research projects are undertaken to test and improve eradication and species resistance.</w:t>
            </w:r>
          </w:p>
        </w:tc>
      </w:tr>
      <w:tr w:rsidR="007D20DB" w:rsidRPr="007D20DB" w:rsidTr="00704644">
        <w:trPr>
          <w:trHeight w:val="60"/>
        </w:trPr>
        <w:tc>
          <w:tcPr>
            <w:tcW w:w="230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57" w:line="288" w:lineRule="auto"/>
              <w:textAlignment w:val="center"/>
              <w:rPr>
                <w:rFonts w:ascii="AGaramondPro-Bold" w:hAnsi="AGaramondPro-Bold" w:cs="AGaramondPro-Bold"/>
                <w:b/>
                <w:bCs/>
                <w:color w:val="000000"/>
                <w:sz w:val="19"/>
                <w:szCs w:val="19"/>
                <w:lang w:val="en-US" w:eastAsia="ja-JP"/>
              </w:rPr>
            </w:pPr>
            <w:r w:rsidRPr="007D20DB">
              <w:rPr>
                <w:rFonts w:ascii="AGaramondPro-Bold" w:hAnsi="AGaramondPro-Bold" w:cs="AGaramondPro-Bold"/>
                <w:b/>
                <w:bCs/>
                <w:color w:val="000000"/>
                <w:sz w:val="19"/>
                <w:szCs w:val="19"/>
                <w:lang w:val="en-US" w:eastAsia="ja-JP"/>
              </w:rPr>
              <w:t>Research action 7</w:t>
            </w:r>
          </w:p>
          <w:p w:rsidR="007D20DB" w:rsidRPr="007D20DB" w:rsidRDefault="007D20DB" w:rsidP="007D20DB">
            <w:pPr>
              <w:widowControl w:val="0"/>
              <w:suppressAutoHyphens/>
              <w:autoSpaceDE w:val="0"/>
              <w:autoSpaceDN w:val="0"/>
              <w:adjustRightInd w:val="0"/>
              <w:spacing w:after="57"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 xml:space="preserve">Develop methods for restoration of priority sites that are degraded by </w:t>
            </w:r>
            <w:r w:rsidRPr="007D20DB">
              <w:rPr>
                <w:rFonts w:ascii="AGaramondPro-Italic" w:hAnsi="AGaramondPro-Italic" w:cs="AGaramondPro-Italic"/>
                <w:i/>
                <w:iCs/>
                <w:color w:val="000000"/>
                <w:sz w:val="19"/>
                <w:szCs w:val="19"/>
                <w:lang w:val="en-US" w:eastAsia="ja-JP"/>
              </w:rPr>
              <w:t>P. </w:t>
            </w:r>
            <w:proofErr w:type="spellStart"/>
            <w:r w:rsidRPr="007D20DB">
              <w:rPr>
                <w:rFonts w:ascii="AGaramondPro-Italic" w:hAnsi="AGaramondPro-Italic" w:cs="AGaramondPro-Italic"/>
                <w:i/>
                <w:iCs/>
                <w:color w:val="000000"/>
                <w:sz w:val="19"/>
                <w:szCs w:val="19"/>
                <w:lang w:val="en-US" w:eastAsia="ja-JP"/>
              </w:rPr>
              <w:t>cinnamomi</w:t>
            </w:r>
            <w:proofErr w:type="spellEnd"/>
            <w:r w:rsidRPr="007D20DB">
              <w:rPr>
                <w:rFonts w:ascii="AGaramondPro-Regular" w:hAnsi="AGaramondPro-Regular" w:cs="AGaramondPro-Regular"/>
                <w:color w:val="000000"/>
                <w:sz w:val="19"/>
                <w:szCs w:val="19"/>
                <w:lang w:val="en-US" w:eastAsia="ja-JP"/>
              </w:rPr>
              <w:t>.</w:t>
            </w:r>
          </w:p>
        </w:tc>
        <w:tc>
          <w:tcPr>
            <w:tcW w:w="184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 xml:space="preserve">Australian Government, state and territory governments and research </w:t>
            </w:r>
            <w:proofErr w:type="spellStart"/>
            <w:r w:rsidRPr="007D20DB">
              <w:rPr>
                <w:rFonts w:ascii="AGaramondPro-Regular" w:hAnsi="AGaramondPro-Regular" w:cs="AGaramondPro-Regular"/>
                <w:color w:val="000000"/>
                <w:sz w:val="19"/>
                <w:szCs w:val="19"/>
                <w:lang w:val="en-US" w:eastAsia="ja-JP"/>
              </w:rPr>
              <w:t>organisations</w:t>
            </w:r>
            <w:proofErr w:type="spellEnd"/>
          </w:p>
        </w:tc>
        <w:tc>
          <w:tcPr>
            <w:tcW w:w="127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Medium priority</w:t>
            </w:r>
          </w:p>
        </w:tc>
        <w:tc>
          <w:tcPr>
            <w:tcW w:w="141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Ongoing</w:t>
            </w:r>
          </w:p>
        </w:tc>
        <w:tc>
          <w:tcPr>
            <w:tcW w:w="280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 xml:space="preserve">Novel restoration and </w:t>
            </w:r>
            <w:proofErr w:type="spellStart"/>
            <w:r w:rsidRPr="007D20DB">
              <w:rPr>
                <w:rFonts w:ascii="AGaramondPro-Regular" w:hAnsi="AGaramondPro-Regular" w:cs="AGaramondPro-Regular"/>
                <w:color w:val="000000"/>
                <w:sz w:val="19"/>
                <w:szCs w:val="19"/>
                <w:lang w:val="en-US" w:eastAsia="ja-JP"/>
              </w:rPr>
              <w:t>revegetation</w:t>
            </w:r>
            <w:proofErr w:type="spellEnd"/>
            <w:r w:rsidRPr="007D20DB">
              <w:rPr>
                <w:rFonts w:ascii="AGaramondPro-Regular" w:hAnsi="AGaramondPro-Regular" w:cs="AGaramondPro-Regular"/>
                <w:color w:val="000000"/>
                <w:sz w:val="19"/>
                <w:szCs w:val="19"/>
                <w:lang w:val="en-US" w:eastAsia="ja-JP"/>
              </w:rPr>
              <w:t xml:space="preserve"> techniques for priority sites degraded by </w:t>
            </w:r>
            <w:r w:rsidRPr="007D20DB">
              <w:rPr>
                <w:rFonts w:ascii="AGaramondPro-Italic" w:hAnsi="AGaramondPro-Italic" w:cs="AGaramondPro-Italic"/>
                <w:i/>
                <w:iCs/>
                <w:color w:val="000000"/>
                <w:sz w:val="19"/>
                <w:szCs w:val="19"/>
                <w:lang w:val="en-US" w:eastAsia="ja-JP"/>
              </w:rPr>
              <w:t>P.</w:t>
            </w:r>
            <w:r w:rsidRPr="007D20DB">
              <w:rPr>
                <w:rFonts w:ascii="AGaramondPro-Regular" w:hAnsi="AGaramondPro-Regular" w:cs="AGaramondPro-Regular"/>
                <w:color w:val="000000"/>
                <w:sz w:val="19"/>
                <w:szCs w:val="19"/>
                <w:rtl/>
                <w:lang w:val="en-US" w:eastAsia="ja-JP" w:bidi="ar-YE"/>
              </w:rPr>
              <w:t> </w:t>
            </w:r>
            <w:proofErr w:type="spellStart"/>
            <w:r w:rsidRPr="007D20DB">
              <w:rPr>
                <w:rFonts w:ascii="AGaramondPro-Italic" w:hAnsi="AGaramondPro-Italic" w:cs="AGaramondPro-Italic"/>
                <w:i/>
                <w:iCs/>
                <w:color w:val="000000"/>
                <w:sz w:val="19"/>
                <w:szCs w:val="19"/>
                <w:lang w:val="en-US" w:eastAsia="ja-JP"/>
              </w:rPr>
              <w:t>cinnamomi</w:t>
            </w:r>
            <w:proofErr w:type="spellEnd"/>
            <w:r w:rsidRPr="007D20DB">
              <w:rPr>
                <w:rFonts w:ascii="AGaramondPro-Regular" w:hAnsi="AGaramondPro-Regular" w:cs="AGaramondPro-Regular"/>
                <w:color w:val="000000"/>
                <w:sz w:val="19"/>
                <w:szCs w:val="19"/>
                <w:lang w:val="en-US" w:eastAsia="ja-JP"/>
              </w:rPr>
              <w:t xml:space="preserve"> are developed over the life of this TAP, using resistant plant species.</w:t>
            </w:r>
          </w:p>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Resistant species that may provide structure and food sources for priority species are introduced into impacted priority areas.</w:t>
            </w:r>
          </w:p>
        </w:tc>
      </w:tr>
      <w:tr w:rsidR="007D20DB" w:rsidRPr="007D20DB" w:rsidTr="00704644">
        <w:trPr>
          <w:trHeight w:val="60"/>
        </w:trPr>
        <w:tc>
          <w:tcPr>
            <w:tcW w:w="230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57" w:line="288" w:lineRule="auto"/>
              <w:textAlignment w:val="center"/>
              <w:rPr>
                <w:rFonts w:ascii="AGaramondPro-Bold" w:hAnsi="AGaramondPro-Bold" w:cs="AGaramondPro-Bold"/>
                <w:b/>
                <w:bCs/>
                <w:color w:val="000000"/>
                <w:sz w:val="19"/>
                <w:szCs w:val="19"/>
                <w:lang w:val="en-US" w:eastAsia="ja-JP"/>
              </w:rPr>
            </w:pPr>
            <w:r w:rsidRPr="007D20DB">
              <w:rPr>
                <w:rFonts w:ascii="AGaramondPro-Bold" w:hAnsi="AGaramondPro-Bold" w:cs="AGaramondPro-Bold"/>
                <w:b/>
                <w:bCs/>
                <w:color w:val="000000"/>
                <w:sz w:val="19"/>
                <w:szCs w:val="19"/>
                <w:lang w:val="en-US" w:eastAsia="ja-JP"/>
              </w:rPr>
              <w:t>Research action 8</w:t>
            </w:r>
          </w:p>
          <w:p w:rsidR="007D20DB" w:rsidRPr="007D20DB" w:rsidRDefault="007D20DB" w:rsidP="007D20DB">
            <w:pPr>
              <w:widowControl w:val="0"/>
              <w:suppressAutoHyphens/>
              <w:autoSpaceDE w:val="0"/>
              <w:autoSpaceDN w:val="0"/>
              <w:adjustRightInd w:val="0"/>
              <w:spacing w:after="57"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 xml:space="preserve">Establish repositories for collections of </w:t>
            </w:r>
            <w:r w:rsidRPr="007D20DB">
              <w:rPr>
                <w:rFonts w:ascii="AGaramondPro-Italic" w:hAnsi="AGaramondPro-Italic" w:cs="AGaramondPro-Italic"/>
                <w:i/>
                <w:iCs/>
                <w:color w:val="000000"/>
                <w:sz w:val="19"/>
                <w:szCs w:val="19"/>
                <w:lang w:val="en-US" w:eastAsia="ja-JP"/>
              </w:rPr>
              <w:t>P.</w:t>
            </w:r>
            <w:r w:rsidRPr="007D20DB">
              <w:rPr>
                <w:rFonts w:ascii="AGaramondPro-Regular" w:hAnsi="AGaramondPro-Regular" w:cs="AGaramondPro-Regular"/>
                <w:color w:val="000000"/>
                <w:sz w:val="19"/>
                <w:szCs w:val="19"/>
                <w:rtl/>
                <w:lang w:val="en-US" w:eastAsia="ja-JP" w:bidi="ar-YE"/>
              </w:rPr>
              <w:t> </w:t>
            </w:r>
            <w:proofErr w:type="spellStart"/>
            <w:r w:rsidRPr="007D20DB">
              <w:rPr>
                <w:rFonts w:ascii="AGaramondPro-Italic" w:hAnsi="AGaramondPro-Italic" w:cs="AGaramondPro-Italic"/>
                <w:i/>
                <w:iCs/>
                <w:color w:val="000000"/>
                <w:sz w:val="19"/>
                <w:szCs w:val="19"/>
                <w:lang w:val="en-US" w:eastAsia="ja-JP"/>
              </w:rPr>
              <w:t>cinnamomi</w:t>
            </w:r>
            <w:proofErr w:type="spellEnd"/>
            <w:r w:rsidRPr="007D20DB">
              <w:rPr>
                <w:rFonts w:ascii="AGaramondPro-Regular" w:hAnsi="AGaramondPro-Regular" w:cs="AGaramondPro-Regular"/>
                <w:color w:val="000000"/>
                <w:sz w:val="19"/>
                <w:szCs w:val="19"/>
                <w:lang w:val="en-US" w:eastAsia="ja-JP"/>
              </w:rPr>
              <w:t xml:space="preserve"> cultures and nationally available standards for collection and analysis of </w:t>
            </w:r>
            <w:r w:rsidRPr="007D20DB">
              <w:rPr>
                <w:rFonts w:ascii="AGaramondPro-Italic" w:hAnsi="AGaramondPro-Italic" w:cs="AGaramondPro-Italic"/>
                <w:i/>
                <w:iCs/>
                <w:color w:val="000000"/>
                <w:sz w:val="19"/>
                <w:szCs w:val="19"/>
                <w:lang w:val="en-US" w:eastAsia="ja-JP"/>
              </w:rPr>
              <w:t>P. </w:t>
            </w:r>
            <w:proofErr w:type="spellStart"/>
            <w:r w:rsidRPr="007D20DB">
              <w:rPr>
                <w:rFonts w:ascii="AGaramondPro-Italic" w:hAnsi="AGaramondPro-Italic" w:cs="AGaramondPro-Italic"/>
                <w:i/>
                <w:iCs/>
                <w:color w:val="000000"/>
                <w:sz w:val="19"/>
                <w:szCs w:val="19"/>
                <w:lang w:val="en-US" w:eastAsia="ja-JP"/>
              </w:rPr>
              <w:t>cinnamomi</w:t>
            </w:r>
            <w:proofErr w:type="spellEnd"/>
            <w:r w:rsidRPr="007D20DB">
              <w:rPr>
                <w:rFonts w:ascii="AGaramondPro-Regular" w:hAnsi="AGaramondPro-Regular" w:cs="AGaramondPro-Regular"/>
                <w:color w:val="000000"/>
                <w:sz w:val="19"/>
                <w:szCs w:val="19"/>
                <w:lang w:val="en-US" w:eastAsia="ja-JP"/>
              </w:rPr>
              <w:t xml:space="preserve"> samples, in order to facilitate research on the genetic basis of resistance and genetic diversity of </w:t>
            </w:r>
            <w:r w:rsidRPr="007D20DB">
              <w:rPr>
                <w:rFonts w:ascii="AGaramondPro-Italic" w:hAnsi="AGaramondPro-Italic" w:cs="AGaramondPro-Italic"/>
                <w:i/>
                <w:iCs/>
                <w:color w:val="000000"/>
                <w:sz w:val="19"/>
                <w:szCs w:val="19"/>
                <w:lang w:val="en-US" w:eastAsia="ja-JP"/>
              </w:rPr>
              <w:t>P.</w:t>
            </w:r>
            <w:r w:rsidRPr="007D20DB">
              <w:rPr>
                <w:rFonts w:ascii="AGaramondPro-Regular" w:hAnsi="AGaramondPro-Regular" w:cs="AGaramondPro-Regular"/>
                <w:color w:val="000000"/>
                <w:sz w:val="19"/>
                <w:szCs w:val="19"/>
                <w:rtl/>
                <w:lang w:val="en-US" w:eastAsia="ja-JP" w:bidi="ar-YE"/>
              </w:rPr>
              <w:t> </w:t>
            </w:r>
            <w:proofErr w:type="spellStart"/>
            <w:r w:rsidRPr="007D20DB">
              <w:rPr>
                <w:rFonts w:ascii="AGaramondPro-Italic" w:hAnsi="AGaramondPro-Italic" w:cs="AGaramondPro-Italic"/>
                <w:i/>
                <w:iCs/>
                <w:color w:val="000000"/>
                <w:sz w:val="19"/>
                <w:szCs w:val="19"/>
                <w:lang w:val="en-US" w:eastAsia="ja-JP"/>
              </w:rPr>
              <w:t>cinnamomi</w:t>
            </w:r>
            <w:proofErr w:type="spellEnd"/>
            <w:r w:rsidRPr="007D20DB">
              <w:rPr>
                <w:rFonts w:ascii="AGaramondPro-Italic" w:hAnsi="AGaramondPro-Italic" w:cs="AGaramondPro-Italic"/>
                <w:i/>
                <w:iCs/>
                <w:color w:val="000000"/>
                <w:sz w:val="19"/>
                <w:szCs w:val="19"/>
                <w:lang w:val="en-US" w:eastAsia="ja-JP"/>
              </w:rPr>
              <w:t>.</w:t>
            </w:r>
            <w:r w:rsidRPr="007D20DB">
              <w:rPr>
                <w:rFonts w:ascii="AGaramondPro-Regular" w:hAnsi="AGaramondPro-Regular" w:cs="AGaramondPro-Regular"/>
                <w:color w:val="000000"/>
                <w:sz w:val="19"/>
                <w:szCs w:val="19"/>
                <w:lang w:val="en-US" w:eastAsia="ja-JP"/>
              </w:rPr>
              <w:t xml:space="preserve"> </w:t>
            </w:r>
          </w:p>
        </w:tc>
        <w:tc>
          <w:tcPr>
            <w:tcW w:w="184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 xml:space="preserve">Australian Government, state and territory governments and research </w:t>
            </w:r>
            <w:proofErr w:type="spellStart"/>
            <w:r w:rsidRPr="007D20DB">
              <w:rPr>
                <w:rFonts w:ascii="AGaramondPro-Regular" w:hAnsi="AGaramondPro-Regular" w:cs="AGaramondPro-Regular"/>
                <w:color w:val="000000"/>
                <w:sz w:val="19"/>
                <w:szCs w:val="19"/>
                <w:lang w:val="en-US" w:eastAsia="ja-JP"/>
              </w:rPr>
              <w:t>organisations</w:t>
            </w:r>
            <w:proofErr w:type="spellEnd"/>
          </w:p>
        </w:tc>
        <w:tc>
          <w:tcPr>
            <w:tcW w:w="127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Medium priority</w:t>
            </w:r>
          </w:p>
        </w:tc>
        <w:tc>
          <w:tcPr>
            <w:tcW w:w="141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Medium term</w:t>
            </w:r>
          </w:p>
        </w:tc>
        <w:tc>
          <w:tcPr>
            <w:tcW w:w="280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 xml:space="preserve">Cultures of </w:t>
            </w:r>
            <w:r w:rsidRPr="007D20DB">
              <w:rPr>
                <w:rFonts w:ascii="AGaramondPro-Italic" w:hAnsi="AGaramondPro-Italic" w:cs="AGaramondPro-Italic"/>
                <w:i/>
                <w:iCs/>
                <w:color w:val="000000"/>
                <w:sz w:val="19"/>
                <w:szCs w:val="19"/>
                <w:lang w:val="en-US" w:eastAsia="ja-JP"/>
              </w:rPr>
              <w:t>P.</w:t>
            </w:r>
            <w:r w:rsidRPr="007D20DB">
              <w:rPr>
                <w:rFonts w:ascii="AGaramondPro-Regular" w:hAnsi="AGaramondPro-Regular" w:cs="AGaramondPro-Regular"/>
                <w:color w:val="000000"/>
                <w:sz w:val="19"/>
                <w:szCs w:val="19"/>
                <w:rtl/>
                <w:lang w:val="en-US" w:eastAsia="ja-JP" w:bidi="ar-YE"/>
              </w:rPr>
              <w:t> </w:t>
            </w:r>
            <w:proofErr w:type="spellStart"/>
            <w:r w:rsidRPr="007D20DB">
              <w:rPr>
                <w:rFonts w:ascii="AGaramondPro-Italic" w:hAnsi="AGaramondPro-Italic" w:cs="AGaramondPro-Italic"/>
                <w:i/>
                <w:iCs/>
                <w:color w:val="000000"/>
                <w:sz w:val="19"/>
                <w:szCs w:val="19"/>
                <w:lang w:val="en-US" w:eastAsia="ja-JP"/>
              </w:rPr>
              <w:t>cinnamomi</w:t>
            </w:r>
            <w:proofErr w:type="spellEnd"/>
            <w:r w:rsidRPr="007D20DB">
              <w:rPr>
                <w:rFonts w:ascii="AGaramondPro-Regular" w:hAnsi="AGaramondPro-Regular" w:cs="AGaramondPro-Regular"/>
                <w:color w:val="000000"/>
                <w:sz w:val="19"/>
                <w:szCs w:val="19"/>
                <w:lang w:val="en-US" w:eastAsia="ja-JP"/>
              </w:rPr>
              <w:t xml:space="preserve"> are able to be tested against samples available through a complete and accessible national repository for cultures of </w:t>
            </w:r>
            <w:r w:rsidRPr="007D20DB">
              <w:rPr>
                <w:rFonts w:ascii="AGaramondPro-Italic" w:hAnsi="AGaramondPro-Italic" w:cs="AGaramondPro-Italic"/>
                <w:i/>
                <w:iCs/>
                <w:color w:val="000000"/>
                <w:sz w:val="19"/>
                <w:szCs w:val="19"/>
                <w:lang w:val="en-US" w:eastAsia="ja-JP"/>
              </w:rPr>
              <w:t>P.</w:t>
            </w:r>
            <w:r w:rsidRPr="007D20DB">
              <w:rPr>
                <w:rFonts w:ascii="AGaramondPro-Regular" w:hAnsi="AGaramondPro-Regular" w:cs="AGaramondPro-Regular"/>
                <w:color w:val="000000"/>
                <w:sz w:val="19"/>
                <w:szCs w:val="19"/>
                <w:rtl/>
                <w:lang w:val="en-US" w:eastAsia="ja-JP" w:bidi="ar-YE"/>
              </w:rPr>
              <w:t> </w:t>
            </w:r>
            <w:proofErr w:type="spellStart"/>
            <w:r w:rsidRPr="007D20DB">
              <w:rPr>
                <w:rFonts w:ascii="AGaramondPro-Italic" w:hAnsi="AGaramondPro-Italic" w:cs="AGaramondPro-Italic"/>
                <w:i/>
                <w:iCs/>
                <w:color w:val="000000"/>
                <w:sz w:val="19"/>
                <w:szCs w:val="19"/>
                <w:lang w:val="en-US" w:eastAsia="ja-JP"/>
              </w:rPr>
              <w:t>cinnamomi</w:t>
            </w:r>
            <w:proofErr w:type="spellEnd"/>
            <w:r w:rsidRPr="007D20DB">
              <w:rPr>
                <w:rFonts w:ascii="AGaramondPro-Italic" w:hAnsi="AGaramondPro-Italic" w:cs="AGaramondPro-Italic"/>
                <w:i/>
                <w:iCs/>
                <w:color w:val="000000"/>
                <w:sz w:val="19"/>
                <w:szCs w:val="19"/>
                <w:lang w:val="en-US" w:eastAsia="ja-JP"/>
              </w:rPr>
              <w:t xml:space="preserve"> </w:t>
            </w:r>
            <w:r w:rsidRPr="007D20DB">
              <w:rPr>
                <w:rFonts w:ascii="AGaramondPro-Regular" w:hAnsi="AGaramondPro-Regular" w:cs="AGaramondPro-Regular"/>
                <w:color w:val="000000"/>
                <w:sz w:val="19"/>
                <w:szCs w:val="19"/>
                <w:lang w:val="en-US" w:eastAsia="ja-JP"/>
              </w:rPr>
              <w:t>isolated from natural ecosystems.</w:t>
            </w:r>
          </w:p>
          <w:p w:rsidR="007D20DB" w:rsidRPr="007D20DB" w:rsidRDefault="007D20DB" w:rsidP="007D20DB">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D20DB">
              <w:rPr>
                <w:rFonts w:ascii="AGaramondPro-Regular" w:hAnsi="AGaramondPro-Regular" w:cs="AGaramondPro-Regular"/>
                <w:color w:val="000000"/>
                <w:sz w:val="19"/>
                <w:szCs w:val="19"/>
                <w:lang w:val="en-US" w:eastAsia="ja-JP"/>
              </w:rPr>
              <w:t xml:space="preserve">National standard methods are used by laboratories for the collection and analysis of soil, plant and water samples for the presence of </w:t>
            </w:r>
            <w:r w:rsidRPr="007D20DB">
              <w:rPr>
                <w:rFonts w:ascii="AGaramondPro-Italic" w:hAnsi="AGaramondPro-Italic" w:cs="AGaramondPro-Italic"/>
                <w:i/>
                <w:iCs/>
                <w:color w:val="000000"/>
                <w:sz w:val="19"/>
                <w:szCs w:val="19"/>
                <w:lang w:val="en-US" w:eastAsia="ja-JP"/>
              </w:rPr>
              <w:t>P. </w:t>
            </w:r>
            <w:proofErr w:type="spellStart"/>
            <w:r w:rsidRPr="007D20DB">
              <w:rPr>
                <w:rFonts w:ascii="AGaramondPro-Italic" w:hAnsi="AGaramondPro-Italic" w:cs="AGaramondPro-Italic"/>
                <w:i/>
                <w:iCs/>
                <w:color w:val="000000"/>
                <w:sz w:val="19"/>
                <w:szCs w:val="19"/>
                <w:lang w:val="en-US" w:eastAsia="ja-JP"/>
              </w:rPr>
              <w:t>cinnamomi</w:t>
            </w:r>
            <w:proofErr w:type="spellEnd"/>
            <w:r w:rsidRPr="007D20DB">
              <w:rPr>
                <w:rFonts w:ascii="AGaramondPro-Regular" w:hAnsi="AGaramondPro-Regular" w:cs="AGaramondPro-Regular"/>
                <w:color w:val="000000"/>
                <w:sz w:val="19"/>
                <w:szCs w:val="19"/>
                <w:lang w:val="en-US" w:eastAsia="ja-JP"/>
              </w:rPr>
              <w:t>.</w:t>
            </w:r>
          </w:p>
        </w:tc>
      </w:tr>
    </w:tbl>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
    <w:p w:rsidR="007D20DB" w:rsidRPr="007D20DB" w:rsidRDefault="007D20DB" w:rsidP="007D20DB">
      <w:pPr>
        <w:widowControl w:val="0"/>
        <w:suppressAutoHyphens/>
        <w:autoSpaceDE w:val="0"/>
        <w:autoSpaceDN w:val="0"/>
        <w:adjustRightInd w:val="0"/>
        <w:spacing w:after="113" w:line="620" w:lineRule="atLeast"/>
        <w:ind w:left="680" w:hanging="680"/>
        <w:textAlignment w:val="center"/>
        <w:rPr>
          <w:rFonts w:ascii="MyriadPro-Regular" w:hAnsi="MyriadPro-Regular" w:cs="MyriadPro-Regular"/>
          <w:color w:val="004484"/>
          <w:sz w:val="52"/>
          <w:szCs w:val="52"/>
          <w:lang w:val="en-US" w:eastAsia="ja-JP"/>
        </w:rPr>
      </w:pPr>
    </w:p>
    <w:p w:rsidR="00704644" w:rsidRDefault="00704644">
      <w:pPr>
        <w:rPr>
          <w:rFonts w:ascii="MyriadPro-Regular" w:hAnsi="MyriadPro-Regular" w:cs="MyriadPro-Regular"/>
          <w:color w:val="004484"/>
          <w:sz w:val="52"/>
          <w:szCs w:val="52"/>
          <w:lang w:val="en-US" w:eastAsia="ja-JP"/>
        </w:rPr>
      </w:pPr>
      <w:r>
        <w:rPr>
          <w:rFonts w:ascii="MyriadPro-Regular" w:hAnsi="MyriadPro-Regular" w:cs="MyriadPro-Regular"/>
          <w:color w:val="004484"/>
          <w:sz w:val="52"/>
          <w:szCs w:val="52"/>
          <w:lang w:val="en-US" w:eastAsia="ja-JP"/>
        </w:rPr>
        <w:br w:type="page"/>
      </w:r>
    </w:p>
    <w:p w:rsidR="007D20DB" w:rsidRPr="007D20DB" w:rsidRDefault="007D20DB" w:rsidP="00704644">
      <w:pPr>
        <w:pStyle w:val="01HEADING1"/>
      </w:pPr>
      <w:bookmarkStart w:id="22" w:name="_Toc253067289"/>
      <w:r w:rsidRPr="007D20DB">
        <w:lastRenderedPageBreak/>
        <w:t xml:space="preserve">3. </w:t>
      </w:r>
      <w:r w:rsidRPr="007D20DB">
        <w:tab/>
        <w:t>Duration, Review, Funding and Implementation</w:t>
      </w:r>
      <w:bookmarkEnd w:id="22"/>
      <w:r w:rsidRPr="007D20DB">
        <w:t xml:space="preserve"> </w:t>
      </w:r>
    </w:p>
    <w:p w:rsidR="007D20DB" w:rsidRPr="007D20DB" w:rsidRDefault="007D20DB" w:rsidP="00704644">
      <w:pPr>
        <w:pStyle w:val="02HEADING20"/>
      </w:pPr>
      <w:bookmarkStart w:id="23" w:name="_Toc253067290"/>
      <w:r w:rsidRPr="007D20DB">
        <w:t xml:space="preserve">3.1 </w:t>
      </w:r>
      <w:r w:rsidRPr="007D20DB">
        <w:tab/>
        <w:t>Duration and review of the plan</w:t>
      </w:r>
      <w:bookmarkEnd w:id="23"/>
    </w:p>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Section 279 of the EPBC Act provides for the review of this TAP at any time and requires that it be reviewed by the Minister at intervals of no longer than five years. During the life of the TAP, the Minister’s scientific advisory committee (the Threatened Species Scientific Committee), will be provided with updates of actions taken under this TAP to aid them in advising the Minister on the effectiveness of the TAP in abating the key threatening process.</w:t>
      </w:r>
    </w:p>
    <w:p w:rsidR="007D20DB" w:rsidRPr="007D20DB" w:rsidRDefault="007D20DB" w:rsidP="00704644">
      <w:pPr>
        <w:pStyle w:val="02HEADING20"/>
      </w:pPr>
      <w:bookmarkStart w:id="24" w:name="_Toc253067291"/>
      <w:r w:rsidRPr="007D20DB">
        <w:t xml:space="preserve">3.2 </w:t>
      </w:r>
      <w:r w:rsidRPr="007D20DB">
        <w:tab/>
        <w:t>Funding and implementation</w:t>
      </w:r>
      <w:bookmarkEnd w:id="24"/>
    </w:p>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It is important to note that TAPs are not linked directly to any Australian Government funding programs. Each financial year, the Australian Government funds TAP development and implementation as part of a broader budget outcome related to biodiversity conservation (www.environment.gov.au/about/publications/budget/index.html). The Department of the Environment allocates its annual budget to a range of competing biodiversity conservation priorities. The </w:t>
      </w:r>
      <w:proofErr w:type="gramStart"/>
      <w:r w:rsidRPr="007D20DB">
        <w:rPr>
          <w:rFonts w:ascii="AGaramondPro-Regular" w:hAnsi="AGaramondPro-Regular" w:cs="AGaramondPro-Regular"/>
          <w:color w:val="000000"/>
          <w:sz w:val="20"/>
          <w:szCs w:val="20"/>
          <w:lang w:val="en-US" w:eastAsia="ja-JP"/>
        </w:rPr>
        <w:t>budget</w:t>
      </w:r>
      <w:proofErr w:type="gramEnd"/>
      <w:r w:rsidRPr="007D20DB">
        <w:rPr>
          <w:rFonts w:ascii="AGaramondPro-Regular" w:hAnsi="AGaramondPro-Regular" w:cs="AGaramondPro-Regular"/>
          <w:color w:val="000000"/>
          <w:sz w:val="20"/>
          <w:szCs w:val="20"/>
          <w:lang w:val="en-US" w:eastAsia="ja-JP"/>
        </w:rPr>
        <w:t xml:space="preserve"> provided by The Department of the Environment for the implementation of individual TAPs may vary from year to year as a range of biodiversity conservation priorities are addressed.</w:t>
      </w:r>
    </w:p>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The total cost of implementing this TAP cannot be quantified at the time of its writing. Projects that are to be undertaken by the Australian Government will need to be procured in accordance with the Commonwealth Procurement Rules. The cost of individual projects will not be accurately known until a process to test the market (for example to obtain quotes or tenders for those projects) has been undertaken. </w:t>
      </w:r>
    </w:p>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The Australian Government </w:t>
      </w:r>
      <w:proofErr w:type="spellStart"/>
      <w:r w:rsidRPr="007D20DB">
        <w:rPr>
          <w:rFonts w:ascii="AGaramondPro-Regular" w:hAnsi="AGaramondPro-Regular" w:cs="AGaramondPro-Regular"/>
          <w:color w:val="000000"/>
          <w:sz w:val="20"/>
          <w:szCs w:val="20"/>
          <w:lang w:val="en-US" w:eastAsia="ja-JP"/>
        </w:rPr>
        <w:t>recognises</w:t>
      </w:r>
      <w:proofErr w:type="spellEnd"/>
      <w:r w:rsidRPr="007D20DB">
        <w:rPr>
          <w:rFonts w:ascii="AGaramondPro-Regular" w:hAnsi="AGaramondPro-Regular" w:cs="AGaramondPro-Regular"/>
          <w:color w:val="000000"/>
          <w:sz w:val="20"/>
          <w:szCs w:val="20"/>
          <w:lang w:val="en-US" w:eastAsia="ja-JP"/>
        </w:rPr>
        <w:t xml:space="preserve"> that the capacity of each state or territory government to implement this TAP will be dependent on the resources of that state or territory and the methods of implementation they choose to adopt. </w:t>
      </w:r>
    </w:p>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The mining, tourism, horticulture and forestry industries have an interest in protecting biodiversity from the impacts of </w:t>
      </w:r>
      <w:r w:rsidRPr="007D20DB">
        <w:rPr>
          <w:rFonts w:ascii="AGaramondPro-Italic" w:hAnsi="AGaramondPro-Italic" w:cs="AGaramondPro-Italic"/>
          <w:i/>
          <w:iCs/>
          <w:color w:val="000000"/>
          <w:sz w:val="20"/>
          <w:szCs w:val="20"/>
          <w:lang w:val="en-US" w:eastAsia="ja-JP"/>
        </w:rPr>
        <w:t>P.</w:t>
      </w:r>
      <w:r w:rsidRPr="007D20DB">
        <w:rPr>
          <w:rFonts w:ascii="AGaramondPro-Regular" w:hAnsi="AGaramondPro-Regular" w:cs="AGaramondPro-Regular"/>
          <w:color w:val="000000"/>
          <w:sz w:val="20"/>
          <w:szCs w:val="20"/>
          <w:rtl/>
          <w:lang w:val="en-US" w:eastAsia="ja-JP" w:bidi="ar-YE"/>
        </w:rPr>
        <w:t>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Joint delivery of projects and/or corporate sponsorship from such groups for research and management should be encouraged. </w:t>
      </w:r>
    </w:p>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Italic" w:hAnsi="AGaramondPro-Italic" w:cs="AGaramondPro-Italic"/>
          <w:i/>
          <w:iCs/>
          <w:color w:val="000000"/>
          <w:sz w:val="20"/>
          <w:szCs w:val="20"/>
          <w:lang w:val="en-US" w:eastAsia="ja-JP"/>
        </w:rPr>
        <w:t>P.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Italic" w:hAnsi="AGaramondPro-Italic" w:cs="AGaramondPro-Italic"/>
          <w:i/>
          <w:iCs/>
          <w:color w:val="000000"/>
          <w:sz w:val="20"/>
          <w:szCs w:val="20"/>
          <w:lang w:val="en-US" w:eastAsia="ja-JP"/>
        </w:rPr>
        <w:t xml:space="preserve"> </w:t>
      </w:r>
      <w:r w:rsidRPr="007D20DB">
        <w:rPr>
          <w:rFonts w:ascii="AGaramondPro-Regular" w:hAnsi="AGaramondPro-Regular" w:cs="AGaramondPro-Regular"/>
          <w:color w:val="000000"/>
          <w:sz w:val="20"/>
          <w:szCs w:val="20"/>
          <w:lang w:val="en-US" w:eastAsia="ja-JP"/>
        </w:rPr>
        <w:t xml:space="preserve">occurs in dynamic and evolving cultural landscapes where customary rights and legal and land management changes acknowledge and enable customary activities to take place. Significant opportunities exist to engage and work with Indigenous </w:t>
      </w:r>
      <w:proofErr w:type="spellStart"/>
      <w:r w:rsidRPr="007D20DB">
        <w:rPr>
          <w:rFonts w:ascii="AGaramondPro-Regular" w:hAnsi="AGaramondPro-Regular" w:cs="AGaramondPro-Regular"/>
          <w:color w:val="000000"/>
          <w:sz w:val="20"/>
          <w:szCs w:val="20"/>
          <w:lang w:val="en-US" w:eastAsia="ja-JP"/>
        </w:rPr>
        <w:t>organisations</w:t>
      </w:r>
      <w:proofErr w:type="spellEnd"/>
      <w:r w:rsidRPr="007D20DB">
        <w:rPr>
          <w:rFonts w:ascii="AGaramondPro-Regular" w:hAnsi="AGaramondPro-Regular" w:cs="AGaramondPro-Regular"/>
          <w:color w:val="000000"/>
          <w:sz w:val="20"/>
          <w:szCs w:val="20"/>
          <w:lang w:val="en-US" w:eastAsia="ja-JP"/>
        </w:rPr>
        <w:t xml:space="preserve"> and custodians of country to achieve the objectives of this TAP.</w:t>
      </w:r>
    </w:p>
    <w:p w:rsidR="00704644" w:rsidRDefault="00704644">
      <w:pPr>
        <w:rPr>
          <w:rFonts w:ascii="MyriadPro-Regular" w:hAnsi="MyriadPro-Regular" w:cs="MyriadPro-Regular"/>
          <w:color w:val="004484"/>
          <w:sz w:val="52"/>
          <w:szCs w:val="52"/>
          <w:lang w:val="en-US" w:eastAsia="ja-JP"/>
        </w:rPr>
      </w:pPr>
      <w:r>
        <w:rPr>
          <w:rFonts w:ascii="MyriadPro-Regular" w:hAnsi="MyriadPro-Regular" w:cs="MyriadPro-Regular"/>
          <w:color w:val="004484"/>
          <w:sz w:val="52"/>
          <w:szCs w:val="52"/>
          <w:lang w:val="en-US" w:eastAsia="ja-JP"/>
        </w:rPr>
        <w:br w:type="page"/>
      </w:r>
    </w:p>
    <w:p w:rsidR="007D20DB" w:rsidRPr="007D20DB" w:rsidRDefault="007D20DB" w:rsidP="00704644">
      <w:pPr>
        <w:pStyle w:val="01HEADING1"/>
      </w:pPr>
      <w:bookmarkStart w:id="25" w:name="_Toc253067292"/>
      <w:r w:rsidRPr="007D20DB">
        <w:lastRenderedPageBreak/>
        <w:t>4.</w:t>
      </w:r>
      <w:r w:rsidRPr="007D20DB">
        <w:tab/>
        <w:t>Glossary and Abbreviations</w:t>
      </w:r>
      <w:bookmarkEnd w:id="25"/>
    </w:p>
    <w:tbl>
      <w:tblPr>
        <w:tblW w:w="0" w:type="auto"/>
        <w:tblLayout w:type="fixed"/>
        <w:tblCellMar>
          <w:left w:w="0" w:type="dxa"/>
          <w:right w:w="0" w:type="dxa"/>
        </w:tblCellMar>
        <w:tblLook w:val="0000"/>
      </w:tblPr>
      <w:tblGrid>
        <w:gridCol w:w="3085"/>
        <w:gridCol w:w="5702"/>
      </w:tblGrid>
      <w:tr w:rsidR="007D20DB" w:rsidRPr="007D20DB">
        <w:trPr>
          <w:trHeight w:val="60"/>
        </w:trPr>
        <w:tc>
          <w:tcPr>
            <w:tcW w:w="3085" w:type="dxa"/>
            <w:tcBorders>
              <w:top w:val="nil"/>
              <w:left w:val="nil"/>
              <w:bottom w:val="nil"/>
              <w:right w:val="nil"/>
            </w:tcBorders>
            <w:tcMar>
              <w:top w:w="0" w:type="dxa"/>
              <w:left w:w="0" w:type="dxa"/>
              <w:bottom w:w="283" w:type="dxa"/>
              <w:right w:w="0"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Biodiversity</w:t>
            </w:r>
          </w:p>
        </w:tc>
        <w:tc>
          <w:tcPr>
            <w:tcW w:w="5702" w:type="dxa"/>
            <w:tcBorders>
              <w:top w:val="nil"/>
              <w:left w:val="nil"/>
              <w:bottom w:val="nil"/>
              <w:right w:val="nil"/>
            </w:tcBorders>
            <w:tcMar>
              <w:top w:w="0" w:type="dxa"/>
              <w:left w:w="0" w:type="dxa"/>
              <w:bottom w:w="283" w:type="dxa"/>
              <w:right w:w="0"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Variability among living organisms from all sources (including terrestrial, marine and other ecosystems and ecological complexes of which they are part), which includes diversity within species and between species and diversity of ecosystems (</w:t>
            </w:r>
            <w:proofErr w:type="spellStart"/>
            <w:r w:rsidRPr="007D20DB">
              <w:rPr>
                <w:rFonts w:ascii="AGaramondPro-Regular" w:hAnsi="AGaramondPro-Regular" w:cs="AGaramondPro-Regular"/>
                <w:color w:val="000000"/>
                <w:sz w:val="20"/>
                <w:szCs w:val="20"/>
                <w:lang w:val="en-US" w:eastAsia="ja-JP"/>
              </w:rPr>
              <w:t>Beeton</w:t>
            </w:r>
            <w:proofErr w:type="spellEnd"/>
            <w:r w:rsidRPr="007D20DB">
              <w:rPr>
                <w:rFonts w:ascii="AGaramondPro-Regular" w:hAnsi="AGaramondPro-Regular" w:cs="AGaramondPro-Regular"/>
                <w:color w:val="000000"/>
                <w:sz w:val="20"/>
                <w:szCs w:val="20"/>
                <w:lang w:val="en-US" w:eastAsia="ja-JP"/>
              </w:rPr>
              <w:t xml:space="preserve"> et al</w:t>
            </w:r>
            <w:r w:rsidRPr="007D20DB">
              <w:rPr>
                <w:rFonts w:ascii="AGaramondPro-Italic" w:hAnsi="AGaramondPro-Italic" w:cs="AGaramondPro-Italic"/>
                <w:i/>
                <w:iCs/>
                <w:color w:val="000000"/>
                <w:sz w:val="20"/>
                <w:szCs w:val="20"/>
                <w:lang w:val="en-US" w:eastAsia="ja-JP"/>
              </w:rPr>
              <w:t>.,</w:t>
            </w:r>
            <w:r w:rsidRPr="007D20DB">
              <w:rPr>
                <w:rFonts w:ascii="AGaramondPro-Regular" w:hAnsi="AGaramondPro-Regular" w:cs="AGaramondPro-Regular"/>
                <w:color w:val="000000"/>
                <w:sz w:val="20"/>
                <w:szCs w:val="20"/>
                <w:lang w:val="en-US" w:eastAsia="ja-JP"/>
              </w:rPr>
              <w:t xml:space="preserve"> 2006).</w:t>
            </w:r>
          </w:p>
        </w:tc>
      </w:tr>
      <w:tr w:rsidR="007D20DB" w:rsidRPr="007D20DB">
        <w:trPr>
          <w:trHeight w:val="60"/>
        </w:trPr>
        <w:tc>
          <w:tcPr>
            <w:tcW w:w="3085" w:type="dxa"/>
            <w:tcBorders>
              <w:top w:val="nil"/>
              <w:left w:val="nil"/>
              <w:bottom w:val="nil"/>
              <w:right w:val="nil"/>
            </w:tcBorders>
            <w:tcMar>
              <w:top w:w="0" w:type="dxa"/>
              <w:left w:w="0" w:type="dxa"/>
              <w:bottom w:w="283" w:type="dxa"/>
              <w:right w:w="0"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Conservation dependent</w:t>
            </w:r>
          </w:p>
        </w:tc>
        <w:tc>
          <w:tcPr>
            <w:tcW w:w="5702" w:type="dxa"/>
            <w:tcBorders>
              <w:top w:val="nil"/>
              <w:left w:val="nil"/>
              <w:bottom w:val="nil"/>
              <w:right w:val="nil"/>
            </w:tcBorders>
            <w:tcMar>
              <w:top w:w="0" w:type="dxa"/>
              <w:left w:w="0" w:type="dxa"/>
              <w:bottom w:w="283" w:type="dxa"/>
              <w:right w:w="0"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A native species is eligible to be included in the conservation dependent category of the </w:t>
            </w:r>
            <w:r w:rsidRPr="007D20DB">
              <w:rPr>
                <w:rFonts w:ascii="AGaramondPro-Italic" w:hAnsi="AGaramondPro-Italic" w:cs="AGaramondPro-Italic"/>
                <w:i/>
                <w:iCs/>
                <w:color w:val="000000"/>
                <w:sz w:val="20"/>
                <w:szCs w:val="20"/>
                <w:lang w:val="en-US" w:eastAsia="ja-JP"/>
              </w:rPr>
              <w:t>Environment Protection and Biodiversity Conservation Act 1999</w:t>
            </w:r>
            <w:r w:rsidRPr="007D20DB">
              <w:rPr>
                <w:rFonts w:ascii="AGaramondPro-Regular" w:hAnsi="AGaramondPro-Regular" w:cs="AGaramondPro-Regular"/>
                <w:color w:val="000000"/>
                <w:sz w:val="20"/>
                <w:szCs w:val="20"/>
                <w:lang w:val="en-US" w:eastAsia="ja-JP"/>
              </w:rPr>
              <w:t xml:space="preserve"> at a particular time if, at that time the species is the focus of a specific conservation program the cessation of which would result in the species becoming vulnerable, endangered or critically endangered.</w:t>
            </w:r>
          </w:p>
        </w:tc>
      </w:tr>
      <w:tr w:rsidR="007D20DB" w:rsidRPr="007D20DB">
        <w:trPr>
          <w:trHeight w:val="60"/>
        </w:trPr>
        <w:tc>
          <w:tcPr>
            <w:tcW w:w="3085" w:type="dxa"/>
            <w:tcBorders>
              <w:top w:val="nil"/>
              <w:left w:val="nil"/>
              <w:bottom w:val="nil"/>
              <w:right w:val="nil"/>
            </w:tcBorders>
            <w:tcMar>
              <w:top w:w="0" w:type="dxa"/>
              <w:left w:w="0" w:type="dxa"/>
              <w:bottom w:w="283" w:type="dxa"/>
              <w:right w:w="0"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EPBC Act</w:t>
            </w:r>
          </w:p>
        </w:tc>
        <w:tc>
          <w:tcPr>
            <w:tcW w:w="5702" w:type="dxa"/>
            <w:tcBorders>
              <w:top w:val="nil"/>
              <w:left w:val="nil"/>
              <w:bottom w:val="nil"/>
              <w:right w:val="nil"/>
            </w:tcBorders>
            <w:tcMar>
              <w:top w:w="0" w:type="dxa"/>
              <w:left w:w="0" w:type="dxa"/>
              <w:bottom w:w="283" w:type="dxa"/>
              <w:right w:w="0"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Italic" w:hAnsi="AGaramondPro-Italic" w:cs="AGaramondPro-Italic"/>
                <w:i/>
                <w:iCs/>
                <w:color w:val="000000"/>
                <w:sz w:val="20"/>
                <w:szCs w:val="20"/>
                <w:lang w:val="en-US" w:eastAsia="ja-JP"/>
              </w:rPr>
              <w:t>Environment Protection and Biodiversity Conservation Act 1999</w:t>
            </w:r>
            <w:r w:rsidRPr="007D20DB">
              <w:rPr>
                <w:rFonts w:ascii="AGaramondPro-Regular" w:hAnsi="AGaramondPro-Regular" w:cs="AGaramondPro-Regular"/>
                <w:color w:val="000000"/>
                <w:sz w:val="20"/>
                <w:szCs w:val="20"/>
                <w:lang w:val="en-US" w:eastAsia="ja-JP"/>
              </w:rPr>
              <w:t xml:space="preserve"> (Commonwealth legislation).</w:t>
            </w:r>
          </w:p>
        </w:tc>
      </w:tr>
      <w:tr w:rsidR="007D20DB" w:rsidRPr="007D20DB">
        <w:trPr>
          <w:trHeight w:val="60"/>
        </w:trPr>
        <w:tc>
          <w:tcPr>
            <w:tcW w:w="3085" w:type="dxa"/>
            <w:tcBorders>
              <w:top w:val="nil"/>
              <w:left w:val="nil"/>
              <w:bottom w:val="nil"/>
              <w:right w:val="nil"/>
            </w:tcBorders>
            <w:tcMar>
              <w:top w:w="0" w:type="dxa"/>
              <w:left w:w="0" w:type="dxa"/>
              <w:bottom w:w="283" w:type="dxa"/>
              <w:right w:w="0"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Eradication</w:t>
            </w:r>
          </w:p>
        </w:tc>
        <w:tc>
          <w:tcPr>
            <w:tcW w:w="5702" w:type="dxa"/>
            <w:tcBorders>
              <w:top w:val="nil"/>
              <w:left w:val="nil"/>
              <w:bottom w:val="nil"/>
              <w:right w:val="nil"/>
            </w:tcBorders>
            <w:tcMar>
              <w:top w:w="0" w:type="dxa"/>
              <w:left w:w="0" w:type="dxa"/>
              <w:bottom w:w="283" w:type="dxa"/>
              <w:right w:w="0"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Application of measures to eliminate an invasive alien species from a defined area.</w:t>
            </w:r>
          </w:p>
        </w:tc>
      </w:tr>
      <w:tr w:rsidR="007D20DB" w:rsidRPr="007D20DB">
        <w:trPr>
          <w:trHeight w:val="60"/>
        </w:trPr>
        <w:tc>
          <w:tcPr>
            <w:tcW w:w="3085" w:type="dxa"/>
            <w:tcBorders>
              <w:top w:val="nil"/>
              <w:left w:val="nil"/>
              <w:bottom w:val="nil"/>
              <w:right w:val="nil"/>
            </w:tcBorders>
            <w:tcMar>
              <w:top w:w="0" w:type="dxa"/>
              <w:left w:w="0" w:type="dxa"/>
              <w:bottom w:w="283" w:type="dxa"/>
              <w:right w:w="0"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Key threatening process</w:t>
            </w:r>
          </w:p>
        </w:tc>
        <w:tc>
          <w:tcPr>
            <w:tcW w:w="5702" w:type="dxa"/>
            <w:tcBorders>
              <w:top w:val="nil"/>
              <w:left w:val="nil"/>
              <w:bottom w:val="nil"/>
              <w:right w:val="nil"/>
            </w:tcBorders>
            <w:tcMar>
              <w:top w:w="0" w:type="dxa"/>
              <w:left w:w="0" w:type="dxa"/>
              <w:bottom w:w="283" w:type="dxa"/>
              <w:right w:w="0"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As defined in and listed under the EPBC Act a process that threatens or may threaten the survival, abundance or evolutionary development of a native species or ecological community.</w:t>
            </w:r>
          </w:p>
        </w:tc>
      </w:tr>
      <w:tr w:rsidR="007D20DB" w:rsidRPr="007D20DB">
        <w:trPr>
          <w:trHeight w:val="60"/>
        </w:trPr>
        <w:tc>
          <w:tcPr>
            <w:tcW w:w="3085" w:type="dxa"/>
            <w:tcBorders>
              <w:top w:val="nil"/>
              <w:left w:val="nil"/>
              <w:bottom w:val="nil"/>
              <w:right w:val="nil"/>
            </w:tcBorders>
            <w:tcMar>
              <w:top w:w="0" w:type="dxa"/>
              <w:left w:w="0" w:type="dxa"/>
              <w:bottom w:w="283" w:type="dxa"/>
              <w:right w:w="0"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Matters of national environmental significance</w:t>
            </w:r>
          </w:p>
        </w:tc>
        <w:tc>
          <w:tcPr>
            <w:tcW w:w="5702" w:type="dxa"/>
            <w:tcBorders>
              <w:top w:val="nil"/>
              <w:left w:val="nil"/>
              <w:bottom w:val="nil"/>
              <w:right w:val="nil"/>
            </w:tcBorders>
            <w:tcMar>
              <w:top w:w="0" w:type="dxa"/>
              <w:left w:w="0" w:type="dxa"/>
              <w:bottom w:w="283" w:type="dxa"/>
              <w:right w:w="0"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Under the EPBC Act, actions that have, or are likely to have, </w:t>
            </w:r>
            <w:proofErr w:type="gramStart"/>
            <w:r w:rsidRPr="007D20DB">
              <w:rPr>
                <w:rFonts w:ascii="AGaramondPro-Regular" w:hAnsi="AGaramondPro-Regular" w:cs="AGaramondPro-Regular"/>
                <w:color w:val="000000"/>
                <w:sz w:val="20"/>
                <w:szCs w:val="20"/>
                <w:lang w:val="en-US" w:eastAsia="ja-JP"/>
              </w:rPr>
              <w:t>a significant impact on a matter of national environmental significance require</w:t>
            </w:r>
            <w:proofErr w:type="gramEnd"/>
            <w:r w:rsidRPr="007D20DB">
              <w:rPr>
                <w:rFonts w:ascii="AGaramondPro-Regular" w:hAnsi="AGaramondPro-Regular" w:cs="AGaramondPro-Regular"/>
                <w:color w:val="000000"/>
                <w:sz w:val="20"/>
                <w:szCs w:val="20"/>
                <w:lang w:val="en-US" w:eastAsia="ja-JP"/>
              </w:rPr>
              <w:t xml:space="preserve"> approval from the Australian Government Minister for the Environment (the Minister). The Minister will decide whether assessment and approval is required under the EPBC Act.</w:t>
            </w:r>
          </w:p>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The eight matters of national environmental significance protected under the EPBC Act are:</w:t>
            </w:r>
          </w:p>
          <w:p w:rsidR="007D20DB" w:rsidRPr="007D20DB" w:rsidRDefault="007D20DB" w:rsidP="007D20DB">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t xml:space="preserve">world heritage properties </w:t>
            </w:r>
          </w:p>
          <w:p w:rsidR="007D20DB" w:rsidRPr="007D20DB" w:rsidRDefault="007D20DB" w:rsidP="007D20DB">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t xml:space="preserve">national heritage places </w:t>
            </w:r>
          </w:p>
          <w:p w:rsidR="007D20DB" w:rsidRPr="007D20DB" w:rsidRDefault="007D20DB" w:rsidP="007D20DB">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t xml:space="preserve">wetlands of international importance (listed under the </w:t>
            </w:r>
            <w:proofErr w:type="spellStart"/>
            <w:r w:rsidRPr="007D20DB">
              <w:rPr>
                <w:rFonts w:ascii="AGaramondPro-Regular" w:hAnsi="AGaramondPro-Regular" w:cs="AGaramondPro-Regular"/>
                <w:color w:val="000000"/>
                <w:sz w:val="20"/>
                <w:szCs w:val="20"/>
                <w:lang w:val="en-US" w:eastAsia="ja-JP"/>
              </w:rPr>
              <w:t>Ramsar</w:t>
            </w:r>
            <w:proofErr w:type="spellEnd"/>
            <w:r w:rsidRPr="007D20DB">
              <w:rPr>
                <w:rFonts w:ascii="AGaramondPro-Regular" w:hAnsi="AGaramondPro-Regular" w:cs="AGaramondPro-Regular"/>
                <w:color w:val="000000"/>
                <w:sz w:val="20"/>
                <w:szCs w:val="20"/>
                <w:lang w:val="en-US" w:eastAsia="ja-JP"/>
              </w:rPr>
              <w:t xml:space="preserve"> Convention) </w:t>
            </w:r>
          </w:p>
          <w:p w:rsidR="007D20DB" w:rsidRPr="007D20DB" w:rsidRDefault="007D20DB" w:rsidP="007D20DB">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t xml:space="preserve">listed threatened species and ecological communities </w:t>
            </w:r>
          </w:p>
          <w:p w:rsidR="007D20DB" w:rsidRPr="007D20DB" w:rsidRDefault="007D20DB" w:rsidP="007D20DB">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t xml:space="preserve">migratory species protected under international agreements </w:t>
            </w:r>
          </w:p>
          <w:p w:rsidR="007D20DB" w:rsidRPr="007D20DB" w:rsidRDefault="007D20DB" w:rsidP="007D20DB">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t xml:space="preserve">Commonwealth marine areas </w:t>
            </w:r>
          </w:p>
          <w:p w:rsidR="007D20DB" w:rsidRPr="007D20DB" w:rsidRDefault="007D20DB" w:rsidP="007D20DB">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t xml:space="preserve">the Great Barrier Reef Marine Park </w:t>
            </w:r>
          </w:p>
          <w:p w:rsidR="007D20DB" w:rsidRPr="007D20DB" w:rsidRDefault="007D20DB" w:rsidP="007D20DB">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t>
            </w:r>
            <w:r w:rsidRPr="007D20DB">
              <w:rPr>
                <w:rFonts w:ascii="AGaramondPro-Regular" w:hAnsi="AGaramondPro-Regular" w:cs="AGaramondPro-Regular"/>
                <w:color w:val="000000"/>
                <w:sz w:val="20"/>
                <w:szCs w:val="20"/>
                <w:lang w:val="en-US" w:eastAsia="ja-JP"/>
              </w:rPr>
              <w:tab/>
            </w:r>
            <w:proofErr w:type="gramStart"/>
            <w:r w:rsidRPr="007D20DB">
              <w:rPr>
                <w:rFonts w:ascii="AGaramondPro-Regular" w:hAnsi="AGaramondPro-Regular" w:cs="AGaramondPro-Regular"/>
                <w:color w:val="000000"/>
                <w:sz w:val="20"/>
                <w:szCs w:val="20"/>
                <w:lang w:val="en-US" w:eastAsia="ja-JP"/>
              </w:rPr>
              <w:t>nuclear</w:t>
            </w:r>
            <w:proofErr w:type="gramEnd"/>
            <w:r w:rsidRPr="007D20DB">
              <w:rPr>
                <w:rFonts w:ascii="AGaramondPro-Regular" w:hAnsi="AGaramondPro-Regular" w:cs="AGaramondPro-Regular"/>
                <w:color w:val="000000"/>
                <w:sz w:val="20"/>
                <w:szCs w:val="20"/>
                <w:lang w:val="en-US" w:eastAsia="ja-JP"/>
              </w:rPr>
              <w:t xml:space="preserve"> actions (including uranium mines).</w:t>
            </w:r>
          </w:p>
        </w:tc>
      </w:tr>
      <w:tr w:rsidR="007D20DB" w:rsidRPr="007D20DB">
        <w:trPr>
          <w:trHeight w:val="60"/>
        </w:trPr>
        <w:tc>
          <w:tcPr>
            <w:tcW w:w="3085" w:type="dxa"/>
            <w:tcBorders>
              <w:top w:val="nil"/>
              <w:left w:val="nil"/>
              <w:bottom w:val="nil"/>
              <w:right w:val="nil"/>
            </w:tcBorders>
            <w:tcMar>
              <w:top w:w="0" w:type="dxa"/>
              <w:left w:w="0" w:type="dxa"/>
              <w:bottom w:w="283" w:type="dxa"/>
              <w:right w:w="0"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Performance indicator</w:t>
            </w:r>
          </w:p>
        </w:tc>
        <w:tc>
          <w:tcPr>
            <w:tcW w:w="5702" w:type="dxa"/>
            <w:tcBorders>
              <w:top w:val="nil"/>
              <w:left w:val="nil"/>
              <w:bottom w:val="nil"/>
              <w:right w:val="nil"/>
            </w:tcBorders>
            <w:tcMar>
              <w:top w:w="0" w:type="dxa"/>
              <w:left w:w="0" w:type="dxa"/>
              <w:bottom w:w="283" w:type="dxa"/>
              <w:right w:w="0"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A criterion or measure that provides information on the extent to which a policy, program or initiative is achieving its outcomes.</w:t>
            </w:r>
          </w:p>
        </w:tc>
      </w:tr>
      <w:tr w:rsidR="007D20DB" w:rsidRPr="007D20DB">
        <w:trPr>
          <w:trHeight w:val="60"/>
        </w:trPr>
        <w:tc>
          <w:tcPr>
            <w:tcW w:w="3085" w:type="dxa"/>
            <w:tcBorders>
              <w:top w:val="nil"/>
              <w:left w:val="nil"/>
              <w:bottom w:val="nil"/>
              <w:right w:val="nil"/>
            </w:tcBorders>
            <w:tcMar>
              <w:top w:w="0" w:type="dxa"/>
              <w:left w:w="0" w:type="dxa"/>
              <w:bottom w:w="283" w:type="dxa"/>
              <w:right w:w="0"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lastRenderedPageBreak/>
              <w:t>Priority biodiversity asset</w:t>
            </w:r>
          </w:p>
        </w:tc>
        <w:tc>
          <w:tcPr>
            <w:tcW w:w="5702" w:type="dxa"/>
            <w:tcBorders>
              <w:top w:val="nil"/>
              <w:left w:val="nil"/>
              <w:bottom w:val="nil"/>
              <w:right w:val="nil"/>
            </w:tcBorders>
            <w:tcMar>
              <w:top w:w="0" w:type="dxa"/>
              <w:left w:w="0" w:type="dxa"/>
              <w:bottom w:w="283" w:type="dxa"/>
              <w:right w:w="0"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Includes matters of national environmental significance listed under the EPBC Act and other plants, animals and communities </w:t>
            </w:r>
            <w:proofErr w:type="spellStart"/>
            <w:r w:rsidRPr="007D20DB">
              <w:rPr>
                <w:rFonts w:ascii="AGaramondPro-Regular" w:hAnsi="AGaramondPro-Regular" w:cs="AGaramondPro-Regular"/>
                <w:color w:val="000000"/>
                <w:sz w:val="20"/>
                <w:szCs w:val="20"/>
                <w:lang w:val="en-US" w:eastAsia="ja-JP"/>
              </w:rPr>
              <w:t>prioritised</w:t>
            </w:r>
            <w:proofErr w:type="spellEnd"/>
            <w:r w:rsidRPr="007D20DB">
              <w:rPr>
                <w:rFonts w:ascii="AGaramondPro-Regular" w:hAnsi="AGaramondPro-Regular" w:cs="AGaramondPro-Regular"/>
                <w:color w:val="000000"/>
                <w:sz w:val="20"/>
                <w:szCs w:val="20"/>
                <w:lang w:val="en-US" w:eastAsia="ja-JP"/>
              </w:rPr>
              <w:t xml:space="preserve"> under Objective 1 of this TAP for protection or remediation.</w:t>
            </w:r>
          </w:p>
        </w:tc>
      </w:tr>
      <w:tr w:rsidR="007D20DB" w:rsidRPr="007D20DB">
        <w:trPr>
          <w:trHeight w:val="60"/>
        </w:trPr>
        <w:tc>
          <w:tcPr>
            <w:tcW w:w="3085" w:type="dxa"/>
            <w:tcBorders>
              <w:top w:val="nil"/>
              <w:left w:val="nil"/>
              <w:bottom w:val="nil"/>
              <w:right w:val="nil"/>
            </w:tcBorders>
            <w:tcMar>
              <w:top w:w="0" w:type="dxa"/>
              <w:left w:w="0" w:type="dxa"/>
              <w:bottom w:w="283" w:type="dxa"/>
              <w:right w:w="0"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Threat abatement plan</w:t>
            </w:r>
          </w:p>
        </w:tc>
        <w:tc>
          <w:tcPr>
            <w:tcW w:w="5702" w:type="dxa"/>
            <w:tcBorders>
              <w:top w:val="nil"/>
              <w:left w:val="nil"/>
              <w:bottom w:val="nil"/>
              <w:right w:val="nil"/>
            </w:tcBorders>
            <w:tcMar>
              <w:top w:w="0" w:type="dxa"/>
              <w:left w:w="0" w:type="dxa"/>
              <w:bottom w:w="283" w:type="dxa"/>
              <w:right w:w="0"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Under the EPBC Act (Section 268), a </w:t>
            </w:r>
            <w:proofErr w:type="gramStart"/>
            <w:r w:rsidRPr="007D20DB">
              <w:rPr>
                <w:rFonts w:ascii="AGaramondPro-Regular" w:hAnsi="AGaramondPro-Regular" w:cs="AGaramondPro-Regular"/>
                <w:color w:val="000000"/>
                <w:sz w:val="20"/>
                <w:szCs w:val="20"/>
                <w:lang w:val="en-US" w:eastAsia="ja-JP"/>
              </w:rPr>
              <w:t>plan providing</w:t>
            </w:r>
            <w:proofErr w:type="gramEnd"/>
            <w:r w:rsidRPr="007D20DB">
              <w:rPr>
                <w:rFonts w:ascii="AGaramondPro-Regular" w:hAnsi="AGaramondPro-Regular" w:cs="AGaramondPro-Regular"/>
                <w:color w:val="000000"/>
                <w:sz w:val="20"/>
                <w:szCs w:val="20"/>
                <w:lang w:val="en-US" w:eastAsia="ja-JP"/>
              </w:rPr>
              <w:t xml:space="preserve"> for the research, management, and any other actions necessary to reduce the impact of a listed key threatening process on a threatened species or ecological community.</w:t>
            </w:r>
          </w:p>
        </w:tc>
      </w:tr>
      <w:tr w:rsidR="007D20DB" w:rsidRPr="007D20DB">
        <w:trPr>
          <w:trHeight w:val="60"/>
        </w:trPr>
        <w:tc>
          <w:tcPr>
            <w:tcW w:w="3085" w:type="dxa"/>
            <w:tcBorders>
              <w:top w:val="nil"/>
              <w:left w:val="nil"/>
              <w:bottom w:val="nil"/>
              <w:right w:val="nil"/>
            </w:tcBorders>
            <w:tcMar>
              <w:top w:w="0" w:type="dxa"/>
              <w:left w:w="0" w:type="dxa"/>
              <w:bottom w:w="283" w:type="dxa"/>
              <w:right w:w="0"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Threatened species</w:t>
            </w:r>
          </w:p>
        </w:tc>
        <w:tc>
          <w:tcPr>
            <w:tcW w:w="5702" w:type="dxa"/>
            <w:tcBorders>
              <w:top w:val="nil"/>
              <w:left w:val="nil"/>
              <w:bottom w:val="nil"/>
              <w:right w:val="nil"/>
            </w:tcBorders>
            <w:tcMar>
              <w:top w:w="0" w:type="dxa"/>
              <w:left w:w="0" w:type="dxa"/>
              <w:bottom w:w="283" w:type="dxa"/>
              <w:right w:w="0"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Species under the EPBC Act listed as critically endangered, endangered, vulnerable or conservation dependent.</w:t>
            </w:r>
          </w:p>
        </w:tc>
      </w:tr>
    </w:tbl>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
    <w:p w:rsidR="00704644" w:rsidRDefault="00704644">
      <w:pPr>
        <w:rPr>
          <w:rFonts w:ascii="MyriadPro-Regular" w:hAnsi="MyriadPro-Regular" w:cs="MyriadPro-Regular"/>
          <w:color w:val="004484"/>
          <w:sz w:val="52"/>
          <w:szCs w:val="52"/>
          <w:lang w:val="en-US" w:eastAsia="ja-JP"/>
        </w:rPr>
      </w:pPr>
      <w:r>
        <w:rPr>
          <w:rFonts w:ascii="MyriadPro-Regular" w:hAnsi="MyriadPro-Regular" w:cs="MyriadPro-Regular"/>
          <w:color w:val="004484"/>
          <w:sz w:val="52"/>
          <w:szCs w:val="52"/>
          <w:lang w:val="en-US" w:eastAsia="ja-JP"/>
        </w:rPr>
        <w:br w:type="page"/>
      </w:r>
    </w:p>
    <w:p w:rsidR="007D20DB" w:rsidRPr="007D20DB" w:rsidRDefault="007D20DB" w:rsidP="00704644">
      <w:pPr>
        <w:pStyle w:val="01HEADING1"/>
      </w:pPr>
      <w:bookmarkStart w:id="26" w:name="_Toc253067293"/>
      <w:r w:rsidRPr="007D20DB">
        <w:lastRenderedPageBreak/>
        <w:t>5.</w:t>
      </w:r>
      <w:r w:rsidRPr="007D20DB">
        <w:tab/>
        <w:t>References</w:t>
      </w:r>
      <w:bookmarkEnd w:id="26"/>
    </w:p>
    <w:p w:rsidR="007D20DB" w:rsidRPr="007D20DB" w:rsidRDefault="007D20DB" w:rsidP="007D20DB">
      <w:pPr>
        <w:keepLines/>
        <w:widowControl w:val="0"/>
        <w:suppressAutoHyphens/>
        <w:autoSpaceDE w:val="0"/>
        <w:autoSpaceDN w:val="0"/>
        <w:adjustRightInd w:val="0"/>
        <w:spacing w:after="170" w:line="280" w:lineRule="atLeast"/>
        <w:ind w:left="720" w:hanging="720"/>
        <w:textAlignment w:val="center"/>
        <w:rPr>
          <w:rFonts w:ascii="AGaramondPro-Regular" w:hAnsi="AGaramondPro-Regular" w:cs="AGaramondPro-Regular"/>
          <w:color w:val="000000"/>
          <w:sz w:val="20"/>
          <w:szCs w:val="20"/>
          <w:lang w:val="en-US" w:eastAsia="ja-JP"/>
        </w:rPr>
      </w:pPr>
      <w:proofErr w:type="spellStart"/>
      <w:proofErr w:type="gramStart"/>
      <w:r w:rsidRPr="007D20DB">
        <w:rPr>
          <w:rFonts w:ascii="AGaramondPro-Regular" w:hAnsi="AGaramondPro-Regular" w:cs="AGaramondPro-Regular"/>
          <w:color w:val="000000"/>
          <w:sz w:val="20"/>
          <w:szCs w:val="20"/>
          <w:lang w:val="en-US" w:eastAsia="ja-JP"/>
        </w:rPr>
        <w:t>Aberton</w:t>
      </w:r>
      <w:proofErr w:type="spellEnd"/>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M, Wilson</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BA &amp; Cahill</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 xml:space="preserve">DM 1999, ‘The use of </w:t>
      </w:r>
      <w:proofErr w:type="spellStart"/>
      <w:r w:rsidRPr="007D20DB">
        <w:rPr>
          <w:rFonts w:ascii="AGaramondPro-Regular" w:hAnsi="AGaramondPro-Regular" w:cs="AGaramondPro-Regular"/>
          <w:color w:val="000000"/>
          <w:sz w:val="20"/>
          <w:szCs w:val="20"/>
          <w:lang w:val="en-US" w:eastAsia="ja-JP"/>
        </w:rPr>
        <w:t>phosphite</w:t>
      </w:r>
      <w:proofErr w:type="spellEnd"/>
      <w:r w:rsidRPr="007D20DB">
        <w:rPr>
          <w:rFonts w:ascii="AGaramondPro-Regular" w:hAnsi="AGaramondPro-Regular" w:cs="AGaramondPro-Regular"/>
          <w:color w:val="000000"/>
          <w:sz w:val="20"/>
          <w:szCs w:val="20"/>
          <w:lang w:val="en-US" w:eastAsia="ja-JP"/>
        </w:rPr>
        <w:t xml:space="preserve"> as a control for </w:t>
      </w:r>
      <w:proofErr w:type="spellStart"/>
      <w:r w:rsidRPr="007D20DB">
        <w:rPr>
          <w:rFonts w:ascii="AGaramondPro-Italic" w:hAnsi="AGaramondPro-Italic" w:cs="AGaramondPro-Italic"/>
          <w:i/>
          <w:iCs/>
          <w:color w:val="000000"/>
          <w:sz w:val="20"/>
          <w:szCs w:val="20"/>
          <w:lang w:val="en-US" w:eastAsia="ja-JP"/>
        </w:rPr>
        <w:t>Phytophthora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in native vegetation at </w:t>
      </w:r>
      <w:proofErr w:type="spellStart"/>
      <w:r w:rsidRPr="007D20DB">
        <w:rPr>
          <w:rFonts w:ascii="AGaramondPro-Regular" w:hAnsi="AGaramondPro-Regular" w:cs="AGaramondPro-Regular"/>
          <w:color w:val="000000"/>
          <w:sz w:val="20"/>
          <w:szCs w:val="20"/>
          <w:lang w:val="en-US" w:eastAsia="ja-JP"/>
        </w:rPr>
        <w:t>Anglesea</w:t>
      </w:r>
      <w:proofErr w:type="spellEnd"/>
      <w:r w:rsidRPr="007D20DB">
        <w:rPr>
          <w:rFonts w:ascii="AGaramondPro-Regular" w:hAnsi="AGaramondPro-Regular" w:cs="AGaramondPro-Regular"/>
          <w:color w:val="000000"/>
          <w:sz w:val="20"/>
          <w:szCs w:val="20"/>
          <w:lang w:val="en-US" w:eastAsia="ja-JP"/>
        </w:rPr>
        <w:t xml:space="preserve">, Victoria’, </w:t>
      </w:r>
      <w:r w:rsidRPr="007D20DB">
        <w:rPr>
          <w:rFonts w:ascii="AGaramondPro-Italic" w:hAnsi="AGaramondPro-Italic" w:cs="AGaramondPro-Italic"/>
          <w:i/>
          <w:iCs/>
          <w:color w:val="000000"/>
          <w:sz w:val="20"/>
          <w:szCs w:val="20"/>
          <w:lang w:val="en-US" w:eastAsia="ja-JP"/>
        </w:rPr>
        <w:t>Australasian Plant Pathology</w:t>
      </w:r>
      <w:r w:rsidRPr="007D20DB">
        <w:rPr>
          <w:rFonts w:ascii="AGaramondPro-Regular" w:hAnsi="AGaramondPro-Regular" w:cs="AGaramondPro-Regular"/>
          <w:color w:val="000000"/>
          <w:sz w:val="20"/>
          <w:szCs w:val="20"/>
          <w:lang w:val="en-US" w:eastAsia="ja-JP"/>
        </w:rPr>
        <w:t>, vol.</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28, pp. 225–234.</w:t>
      </w:r>
      <w:proofErr w:type="gramEnd"/>
    </w:p>
    <w:p w:rsidR="007D20DB" w:rsidRPr="007D20DB" w:rsidRDefault="007D20DB" w:rsidP="007D20DB">
      <w:pPr>
        <w:keepLines/>
        <w:widowControl w:val="0"/>
        <w:suppressAutoHyphens/>
        <w:autoSpaceDE w:val="0"/>
        <w:autoSpaceDN w:val="0"/>
        <w:adjustRightInd w:val="0"/>
        <w:spacing w:after="170" w:line="280" w:lineRule="atLeast"/>
        <w:ind w:left="720" w:hanging="720"/>
        <w:textAlignment w:val="center"/>
        <w:rPr>
          <w:rFonts w:ascii="AGaramondPro-Regular" w:hAnsi="AGaramondPro-Regular" w:cs="AGaramondPro-Regular"/>
          <w:color w:val="000000"/>
          <w:sz w:val="20"/>
          <w:szCs w:val="20"/>
          <w:lang w:val="en-US" w:eastAsia="ja-JP"/>
        </w:rPr>
      </w:pPr>
      <w:proofErr w:type="spellStart"/>
      <w:r w:rsidRPr="007D20DB">
        <w:rPr>
          <w:rFonts w:ascii="AGaramondPro-Regular" w:hAnsi="AGaramondPro-Regular" w:cs="AGaramondPro-Regular"/>
          <w:color w:val="000000"/>
          <w:sz w:val="20"/>
          <w:szCs w:val="20"/>
          <w:lang w:val="en-US" w:eastAsia="ja-JP"/>
        </w:rPr>
        <w:t>Aberton</w:t>
      </w:r>
      <w:proofErr w:type="spellEnd"/>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MJ, Wilson</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BA, Hill</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J &amp; Cahill</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DM 2003, ‘</w:t>
      </w:r>
      <w:proofErr w:type="spellStart"/>
      <w:r w:rsidRPr="007D20DB">
        <w:rPr>
          <w:rFonts w:ascii="AGaramondPro-Regular" w:hAnsi="AGaramondPro-Regular" w:cs="AGaramondPro-Regular"/>
          <w:color w:val="000000"/>
          <w:sz w:val="20"/>
          <w:szCs w:val="20"/>
          <w:lang w:val="en-US" w:eastAsia="ja-JP"/>
        </w:rPr>
        <w:t>Phosphite</w:t>
      </w:r>
      <w:proofErr w:type="spellEnd"/>
      <w:r w:rsidRPr="007D20DB">
        <w:rPr>
          <w:rFonts w:ascii="AGaramondPro-Regular" w:hAnsi="AGaramondPro-Regular" w:cs="AGaramondPro-Regular"/>
          <w:color w:val="000000"/>
          <w:sz w:val="20"/>
          <w:szCs w:val="20"/>
          <w:lang w:val="en-US" w:eastAsia="ja-JP"/>
        </w:rPr>
        <w:t xml:space="preserve"> controls </w:t>
      </w:r>
      <w:proofErr w:type="spellStart"/>
      <w:r w:rsidRPr="007D20DB">
        <w:rPr>
          <w:rFonts w:ascii="AGaramondPro-Italic" w:hAnsi="AGaramondPro-Italic" w:cs="AGaramondPro-Italic"/>
          <w:i/>
          <w:iCs/>
          <w:color w:val="000000"/>
          <w:sz w:val="20"/>
          <w:szCs w:val="20"/>
          <w:lang w:val="en-US" w:eastAsia="ja-JP"/>
        </w:rPr>
        <w:t>Phytophthora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at </w:t>
      </w:r>
      <w:proofErr w:type="spellStart"/>
      <w:r w:rsidRPr="007D20DB">
        <w:rPr>
          <w:rFonts w:ascii="AGaramondPro-Regular" w:hAnsi="AGaramondPro-Regular" w:cs="AGaramondPro-Regular"/>
          <w:color w:val="000000"/>
          <w:sz w:val="20"/>
          <w:szCs w:val="20"/>
          <w:lang w:val="en-US" w:eastAsia="ja-JP"/>
        </w:rPr>
        <w:t>Anglesea</w:t>
      </w:r>
      <w:proofErr w:type="spellEnd"/>
      <w:r w:rsidRPr="007D20DB">
        <w:rPr>
          <w:rFonts w:ascii="AGaramondPro-Regular" w:hAnsi="AGaramondPro-Regular" w:cs="AGaramondPro-Regular"/>
          <w:color w:val="000000"/>
          <w:sz w:val="20"/>
          <w:szCs w:val="20"/>
          <w:lang w:val="en-US" w:eastAsia="ja-JP"/>
        </w:rPr>
        <w:t xml:space="preserve"> and Wilson’s Promontory National Park, Victoria’, in </w:t>
      </w:r>
      <w:proofErr w:type="spellStart"/>
      <w:r w:rsidRPr="007D20DB">
        <w:rPr>
          <w:rFonts w:ascii="AGaramondPro-Italic" w:hAnsi="AGaramondPro-Italic" w:cs="AGaramondPro-Italic"/>
          <w:i/>
          <w:iCs/>
          <w:color w:val="000000"/>
          <w:sz w:val="20"/>
          <w:szCs w:val="20"/>
          <w:lang w:val="en-US" w:eastAsia="ja-JP"/>
        </w:rPr>
        <w:t>Phytophthora</w:t>
      </w:r>
      <w:proofErr w:type="spellEnd"/>
      <w:r w:rsidRPr="007D20DB">
        <w:rPr>
          <w:rFonts w:ascii="AGaramondPro-Italic" w:hAnsi="AGaramondPro-Italic" w:cs="AGaramondPro-Italic"/>
          <w:i/>
          <w:iCs/>
          <w:color w:val="000000"/>
          <w:sz w:val="20"/>
          <w:szCs w:val="20"/>
          <w:lang w:val="en-US" w:eastAsia="ja-JP"/>
        </w:rPr>
        <w:t xml:space="preserve"> in Forests and Natural Ecosystems: 2nd International IUFRO Working Party 7.02.09 Meeting, </w:t>
      </w:r>
      <w:r w:rsidRPr="007D20DB">
        <w:rPr>
          <w:rFonts w:ascii="AGaramondPro-Regular" w:hAnsi="AGaramondPro-Regular" w:cs="AGaramondPro-Regular"/>
          <w:color w:val="000000"/>
          <w:sz w:val="20"/>
          <w:szCs w:val="20"/>
          <w:lang w:val="en-US" w:eastAsia="ja-JP"/>
        </w:rPr>
        <w:t>30</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September – 5</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October, 2001, Albany, Western Australia.</w:t>
      </w:r>
    </w:p>
    <w:p w:rsidR="007D20DB" w:rsidRPr="007D20DB" w:rsidRDefault="007D20DB" w:rsidP="007D20DB">
      <w:pPr>
        <w:keepLines/>
        <w:widowControl w:val="0"/>
        <w:suppressAutoHyphens/>
        <w:autoSpaceDE w:val="0"/>
        <w:autoSpaceDN w:val="0"/>
        <w:adjustRightInd w:val="0"/>
        <w:spacing w:after="170" w:line="280" w:lineRule="atLeast"/>
        <w:ind w:left="720" w:hanging="720"/>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Allan</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 xml:space="preserve">K &amp; </w:t>
      </w:r>
      <w:proofErr w:type="spellStart"/>
      <w:r w:rsidRPr="007D20DB">
        <w:rPr>
          <w:rFonts w:ascii="AGaramondPro-Regular" w:hAnsi="AGaramondPro-Regular" w:cs="AGaramondPro-Regular"/>
          <w:color w:val="000000"/>
          <w:sz w:val="20"/>
          <w:szCs w:val="20"/>
          <w:lang w:val="en-US" w:eastAsia="ja-JP"/>
        </w:rPr>
        <w:t>Gartenstein</w:t>
      </w:r>
      <w:proofErr w:type="spellEnd"/>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 xml:space="preserve">S 2010, </w:t>
      </w:r>
      <w:proofErr w:type="gramStart"/>
      <w:r w:rsidRPr="007D20DB">
        <w:rPr>
          <w:rFonts w:ascii="AGaramondPro-Italic" w:hAnsi="AGaramondPro-Italic" w:cs="AGaramondPro-Italic"/>
          <w:i/>
          <w:iCs/>
          <w:color w:val="000000"/>
          <w:sz w:val="20"/>
          <w:szCs w:val="20"/>
          <w:lang w:val="en-US" w:eastAsia="ja-JP"/>
        </w:rPr>
        <w:t>Keeping</w:t>
      </w:r>
      <w:proofErr w:type="gramEnd"/>
      <w:r w:rsidRPr="007D20DB">
        <w:rPr>
          <w:rFonts w:ascii="AGaramondPro-Italic" w:hAnsi="AGaramondPro-Italic" w:cs="AGaramondPro-Italic"/>
          <w:i/>
          <w:iCs/>
          <w:color w:val="000000"/>
          <w:sz w:val="20"/>
          <w:szCs w:val="20"/>
          <w:lang w:val="en-US" w:eastAsia="ja-JP"/>
        </w:rPr>
        <w:t xml:space="preserve"> it clean— A Tasmanian field hygiene manual to prevent the spread of freshwater pests and pathogens</w:t>
      </w:r>
      <w:r w:rsidRPr="007D20DB">
        <w:rPr>
          <w:rFonts w:ascii="AGaramondPro-Regular" w:hAnsi="AGaramondPro-Regular" w:cs="AGaramondPro-Regular"/>
          <w:color w:val="000000"/>
          <w:sz w:val="20"/>
          <w:szCs w:val="20"/>
          <w:lang w:val="en-US" w:eastAsia="ja-JP"/>
        </w:rPr>
        <w:t>, NRM South, Hobart, Tasmania.</w:t>
      </w:r>
    </w:p>
    <w:p w:rsidR="007D20DB" w:rsidRPr="007D20DB" w:rsidRDefault="007D20DB" w:rsidP="007D20DB">
      <w:pPr>
        <w:keepLines/>
        <w:widowControl w:val="0"/>
        <w:suppressAutoHyphens/>
        <w:autoSpaceDE w:val="0"/>
        <w:autoSpaceDN w:val="0"/>
        <w:adjustRightInd w:val="0"/>
        <w:spacing w:after="170" w:line="280" w:lineRule="atLeast"/>
        <w:ind w:left="720" w:hanging="720"/>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ANPC—see Australian Network for Plant Conservation.</w:t>
      </w:r>
    </w:p>
    <w:p w:rsidR="007D20DB" w:rsidRPr="007D20DB" w:rsidRDefault="007D20DB" w:rsidP="007D20DB">
      <w:pPr>
        <w:keepLines/>
        <w:widowControl w:val="0"/>
        <w:suppressAutoHyphens/>
        <w:autoSpaceDE w:val="0"/>
        <w:autoSpaceDN w:val="0"/>
        <w:adjustRightInd w:val="0"/>
        <w:spacing w:after="170" w:line="280" w:lineRule="atLeast"/>
        <w:ind w:left="720" w:hanging="720"/>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ASBP—see Australian Seed Bank Partnership &lt;www.seedpartnership.org.au&gt;.</w:t>
      </w:r>
    </w:p>
    <w:p w:rsidR="007D20DB" w:rsidRPr="007D20DB" w:rsidRDefault="007D20DB" w:rsidP="007D20DB">
      <w:pPr>
        <w:keepLines/>
        <w:widowControl w:val="0"/>
        <w:suppressAutoHyphens/>
        <w:autoSpaceDE w:val="0"/>
        <w:autoSpaceDN w:val="0"/>
        <w:adjustRightInd w:val="0"/>
        <w:spacing w:after="170" w:line="280" w:lineRule="atLeast"/>
        <w:ind w:left="720" w:hanging="720"/>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Australian Network for Plant Conservation (ANPC) 2009, </w:t>
      </w:r>
      <w:r w:rsidRPr="007D20DB">
        <w:rPr>
          <w:rFonts w:ascii="AGaramondPro-Italic" w:hAnsi="AGaramondPro-Italic" w:cs="AGaramondPro-Italic"/>
          <w:i/>
          <w:iCs/>
          <w:color w:val="000000"/>
          <w:sz w:val="20"/>
          <w:szCs w:val="20"/>
          <w:lang w:val="en-US" w:eastAsia="ja-JP"/>
        </w:rPr>
        <w:t xml:space="preserve">Plant </w:t>
      </w:r>
      <w:proofErr w:type="spellStart"/>
      <w:r w:rsidRPr="007D20DB">
        <w:rPr>
          <w:rFonts w:ascii="AGaramondPro-Italic" w:hAnsi="AGaramondPro-Italic" w:cs="AGaramondPro-Italic"/>
          <w:i/>
          <w:iCs/>
          <w:color w:val="000000"/>
          <w:sz w:val="20"/>
          <w:szCs w:val="20"/>
          <w:lang w:val="en-US" w:eastAsia="ja-JP"/>
        </w:rPr>
        <w:t>germplasm</w:t>
      </w:r>
      <w:proofErr w:type="spellEnd"/>
      <w:r w:rsidRPr="007D20DB">
        <w:rPr>
          <w:rFonts w:ascii="AGaramondPro-Italic" w:hAnsi="AGaramondPro-Italic" w:cs="AGaramondPro-Italic"/>
          <w:i/>
          <w:iCs/>
          <w:color w:val="000000"/>
          <w:sz w:val="20"/>
          <w:szCs w:val="20"/>
          <w:lang w:val="en-US" w:eastAsia="ja-JP"/>
        </w:rPr>
        <w:t xml:space="preserve"> conservation in Australia: Strategies and guidelines for developing, managing and </w:t>
      </w:r>
      <w:proofErr w:type="spellStart"/>
      <w:r w:rsidRPr="007D20DB">
        <w:rPr>
          <w:rFonts w:ascii="AGaramondPro-Italic" w:hAnsi="AGaramondPro-Italic" w:cs="AGaramondPro-Italic"/>
          <w:i/>
          <w:iCs/>
          <w:color w:val="000000"/>
          <w:sz w:val="20"/>
          <w:szCs w:val="20"/>
          <w:lang w:val="en-US" w:eastAsia="ja-JP"/>
        </w:rPr>
        <w:t>utilising</w:t>
      </w:r>
      <w:proofErr w:type="spellEnd"/>
      <w:r w:rsidRPr="007D20DB">
        <w:rPr>
          <w:rFonts w:ascii="AGaramondPro-Italic" w:hAnsi="AGaramondPro-Italic" w:cs="AGaramondPro-Italic"/>
          <w:i/>
          <w:iCs/>
          <w:color w:val="000000"/>
          <w:sz w:val="20"/>
          <w:szCs w:val="20"/>
          <w:lang w:val="en-US" w:eastAsia="ja-JP"/>
        </w:rPr>
        <w:t xml:space="preserve"> ex</w:t>
      </w:r>
      <w:r w:rsidRPr="007D20DB">
        <w:rPr>
          <w:rFonts w:ascii="AGaramondPro-Regular" w:hAnsi="AGaramondPro-Regular" w:cs="AGaramondPro-Regular"/>
          <w:color w:val="000000"/>
          <w:sz w:val="20"/>
          <w:szCs w:val="20"/>
          <w:rtl/>
          <w:lang w:val="en-US" w:eastAsia="ja-JP" w:bidi="ar-YE"/>
        </w:rPr>
        <w:t> </w:t>
      </w:r>
      <w:r w:rsidRPr="007D20DB">
        <w:rPr>
          <w:rFonts w:ascii="AGaramondPro-Italic" w:hAnsi="AGaramondPro-Italic" w:cs="AGaramondPro-Italic"/>
          <w:i/>
          <w:iCs/>
          <w:color w:val="000000"/>
          <w:sz w:val="20"/>
          <w:szCs w:val="20"/>
          <w:lang w:val="en-US" w:eastAsia="ja-JP"/>
        </w:rPr>
        <w:t>situ collections</w:t>
      </w:r>
      <w:r w:rsidRPr="007D20DB">
        <w:rPr>
          <w:rFonts w:ascii="AGaramondPro-Regular" w:hAnsi="AGaramondPro-Regular" w:cs="AGaramondPro-Regular"/>
          <w:color w:val="000000"/>
          <w:sz w:val="20"/>
          <w:szCs w:val="20"/>
          <w:lang w:val="en-US" w:eastAsia="ja-JP"/>
        </w:rPr>
        <w:t xml:space="preserve">, </w:t>
      </w:r>
      <w:proofErr w:type="spellStart"/>
      <w:r w:rsidRPr="007D20DB">
        <w:rPr>
          <w:rFonts w:ascii="AGaramondPro-Regular" w:hAnsi="AGaramondPro-Regular" w:cs="AGaramondPro-Regular"/>
          <w:color w:val="000000"/>
          <w:sz w:val="20"/>
          <w:szCs w:val="20"/>
          <w:lang w:val="en-US" w:eastAsia="ja-JP"/>
        </w:rPr>
        <w:t>Offord</w:t>
      </w:r>
      <w:proofErr w:type="spellEnd"/>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CA, Meagher</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PF (</w:t>
      </w:r>
      <w:proofErr w:type="spellStart"/>
      <w:r w:rsidRPr="007D20DB">
        <w:rPr>
          <w:rFonts w:ascii="AGaramondPro-Regular" w:hAnsi="AGaramondPro-Regular" w:cs="AGaramondPro-Regular"/>
          <w:color w:val="000000"/>
          <w:sz w:val="20"/>
          <w:szCs w:val="20"/>
          <w:lang w:val="en-US" w:eastAsia="ja-JP"/>
        </w:rPr>
        <w:t>eds</w:t>
      </w:r>
      <w:proofErr w:type="spellEnd"/>
      <w:r w:rsidRPr="007D20DB">
        <w:rPr>
          <w:rFonts w:ascii="AGaramondPro-Regular" w:hAnsi="AGaramondPro-Regular" w:cs="AGaramondPro-Regular"/>
          <w:color w:val="000000"/>
          <w:sz w:val="20"/>
          <w:szCs w:val="20"/>
          <w:lang w:val="en-US" w:eastAsia="ja-JP"/>
        </w:rPr>
        <w:t>), p. 204.</w:t>
      </w:r>
    </w:p>
    <w:p w:rsidR="007D20DB" w:rsidRPr="007D20DB" w:rsidRDefault="007D20DB" w:rsidP="007D20DB">
      <w:pPr>
        <w:keepLines/>
        <w:widowControl w:val="0"/>
        <w:suppressAutoHyphens/>
        <w:autoSpaceDE w:val="0"/>
        <w:autoSpaceDN w:val="0"/>
        <w:adjustRightInd w:val="0"/>
        <w:spacing w:after="170" w:line="280" w:lineRule="atLeast"/>
        <w:ind w:left="720" w:hanging="720"/>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Australian Seed Bank Partnership (ASBP) 2013, </w:t>
      </w:r>
      <w:r w:rsidRPr="007D20DB">
        <w:rPr>
          <w:rFonts w:ascii="AGaramondPro-Italic" w:hAnsi="AGaramondPro-Italic" w:cs="AGaramondPro-Italic"/>
          <w:i/>
          <w:iCs/>
          <w:color w:val="000000"/>
          <w:sz w:val="20"/>
          <w:szCs w:val="20"/>
          <w:lang w:val="en-US" w:eastAsia="ja-JP"/>
        </w:rPr>
        <w:t xml:space="preserve">Ex situ collections of Australian flora threatened by </w:t>
      </w:r>
      <w:proofErr w:type="spellStart"/>
      <w:r w:rsidRPr="007D20DB">
        <w:rPr>
          <w:rFonts w:ascii="AGaramondPro-Italic" w:hAnsi="AGaramondPro-Italic" w:cs="AGaramondPro-Italic"/>
          <w:i/>
          <w:iCs/>
          <w:color w:val="000000"/>
          <w:sz w:val="20"/>
          <w:szCs w:val="20"/>
          <w:lang w:val="en-US" w:eastAsia="ja-JP"/>
        </w:rPr>
        <w:t>Phytophthora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Australian Seed Bank Partnership report for the Australian Government Department of Sustainability, Environment, Water, Population and Communities, &lt;www.environment.gov.au/biodiversity/invasive/projects/index.html&gt;.</w:t>
      </w:r>
    </w:p>
    <w:p w:rsidR="007D20DB" w:rsidRPr="007D20DB" w:rsidRDefault="007D20DB" w:rsidP="007D20DB">
      <w:pPr>
        <w:keepLines/>
        <w:widowControl w:val="0"/>
        <w:suppressAutoHyphens/>
        <w:autoSpaceDE w:val="0"/>
        <w:autoSpaceDN w:val="0"/>
        <w:adjustRightInd w:val="0"/>
        <w:spacing w:after="170" w:line="280" w:lineRule="atLeast"/>
        <w:ind w:left="720" w:hanging="720"/>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Barrett</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S, Shearer</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BL, Crane</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CE &amp; Cochrane</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 xml:space="preserve">A 2008, ‘An extinction-risk-assessment tool for flora threatened by </w:t>
      </w:r>
      <w:proofErr w:type="spellStart"/>
      <w:r w:rsidRPr="007D20DB">
        <w:rPr>
          <w:rFonts w:ascii="AGaramondPro-Italic" w:hAnsi="AGaramondPro-Italic" w:cs="AGaramondPro-Italic"/>
          <w:i/>
          <w:iCs/>
          <w:color w:val="000000"/>
          <w:sz w:val="20"/>
          <w:szCs w:val="20"/>
          <w:lang w:val="en-US" w:eastAsia="ja-JP"/>
        </w:rPr>
        <w:t>Phytophthora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w:t>
      </w:r>
      <w:r w:rsidRPr="007D20DB">
        <w:rPr>
          <w:rFonts w:ascii="AGaramondPro-Italic" w:hAnsi="AGaramondPro-Italic" w:cs="AGaramondPro-Italic"/>
          <w:i/>
          <w:iCs/>
          <w:color w:val="000000"/>
          <w:sz w:val="20"/>
          <w:szCs w:val="20"/>
          <w:lang w:val="en-US" w:eastAsia="ja-JP"/>
        </w:rPr>
        <w:t>Australian Journal of Botany</w:t>
      </w:r>
      <w:r w:rsidRPr="007D20DB">
        <w:rPr>
          <w:rFonts w:ascii="AGaramondPro-Regular" w:hAnsi="AGaramondPro-Regular" w:cs="AGaramondPro-Regular"/>
          <w:color w:val="000000"/>
          <w:sz w:val="20"/>
          <w:szCs w:val="20"/>
          <w:lang w:val="en-US" w:eastAsia="ja-JP"/>
        </w:rPr>
        <w:t>, vol. 56, pp. 477–486.</w:t>
      </w:r>
    </w:p>
    <w:p w:rsidR="007D20DB" w:rsidRPr="007D20DB" w:rsidRDefault="007D20DB" w:rsidP="007D20DB">
      <w:pPr>
        <w:keepLines/>
        <w:widowControl w:val="0"/>
        <w:suppressAutoHyphens/>
        <w:autoSpaceDE w:val="0"/>
        <w:autoSpaceDN w:val="0"/>
        <w:adjustRightInd w:val="0"/>
        <w:spacing w:after="170" w:line="280" w:lineRule="atLeast"/>
        <w:ind w:left="720" w:hanging="720"/>
        <w:textAlignment w:val="center"/>
        <w:rPr>
          <w:rFonts w:ascii="AGaramondPro-Regular" w:hAnsi="AGaramondPro-Regular" w:cs="AGaramondPro-Regular"/>
          <w:color w:val="000000"/>
          <w:sz w:val="20"/>
          <w:szCs w:val="20"/>
          <w:lang w:val="en-US" w:eastAsia="ja-JP"/>
        </w:rPr>
      </w:pPr>
      <w:proofErr w:type="spellStart"/>
      <w:proofErr w:type="gramStart"/>
      <w:r w:rsidRPr="007D20DB">
        <w:rPr>
          <w:rFonts w:ascii="AGaramondPro-Regular" w:hAnsi="AGaramondPro-Regular" w:cs="AGaramondPro-Regular"/>
          <w:color w:val="000000"/>
          <w:sz w:val="20"/>
          <w:szCs w:val="20"/>
          <w:lang w:val="en-US" w:eastAsia="ja-JP"/>
        </w:rPr>
        <w:t>Beeton</w:t>
      </w:r>
      <w:proofErr w:type="spellEnd"/>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RJS, Buckley</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KI, Jones</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GJ, Morgan</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 xml:space="preserve">D, </w:t>
      </w:r>
      <w:proofErr w:type="spellStart"/>
      <w:r w:rsidRPr="007D20DB">
        <w:rPr>
          <w:rFonts w:ascii="AGaramondPro-Regular" w:hAnsi="AGaramondPro-Regular" w:cs="AGaramondPro-Regular"/>
          <w:color w:val="000000"/>
          <w:sz w:val="20"/>
          <w:szCs w:val="20"/>
          <w:lang w:val="en-US" w:eastAsia="ja-JP"/>
        </w:rPr>
        <w:t>Reichelt</w:t>
      </w:r>
      <w:proofErr w:type="spellEnd"/>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 xml:space="preserve">RE &amp; </w:t>
      </w:r>
      <w:proofErr w:type="spellStart"/>
      <w:r w:rsidRPr="007D20DB">
        <w:rPr>
          <w:rFonts w:ascii="AGaramondPro-Regular" w:hAnsi="AGaramondPro-Regular" w:cs="AGaramondPro-Regular"/>
          <w:color w:val="000000"/>
          <w:sz w:val="20"/>
          <w:szCs w:val="20"/>
          <w:lang w:val="en-US" w:eastAsia="ja-JP"/>
        </w:rPr>
        <w:t>Trewin</w:t>
      </w:r>
      <w:proofErr w:type="spellEnd"/>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 xml:space="preserve">D 2006, </w:t>
      </w:r>
      <w:r w:rsidRPr="007D20DB">
        <w:rPr>
          <w:rFonts w:ascii="AGaramondPro-Italic" w:hAnsi="AGaramondPro-Italic" w:cs="AGaramondPro-Italic"/>
          <w:i/>
          <w:iCs/>
          <w:color w:val="000000"/>
          <w:sz w:val="20"/>
          <w:szCs w:val="20"/>
          <w:lang w:val="en-US" w:eastAsia="ja-JP"/>
        </w:rPr>
        <w:t>Australia State of the Environment 2006</w:t>
      </w:r>
      <w:r w:rsidRPr="007D20DB">
        <w:rPr>
          <w:rFonts w:ascii="AGaramondPro-Regular" w:hAnsi="AGaramondPro-Regular" w:cs="AGaramondPro-Regular"/>
          <w:color w:val="000000"/>
          <w:sz w:val="20"/>
          <w:szCs w:val="20"/>
          <w:lang w:val="en-US" w:eastAsia="ja-JP"/>
        </w:rPr>
        <w:t>, independent report to the Australian Government Minister for the Environment and Heritage, Department of the Environment and Heritage, Canberra, Australian Capital Territory.</w:t>
      </w:r>
      <w:proofErr w:type="gramEnd"/>
    </w:p>
    <w:p w:rsidR="007D20DB" w:rsidRPr="007D20DB" w:rsidRDefault="007D20DB" w:rsidP="007D20DB">
      <w:pPr>
        <w:keepLines/>
        <w:widowControl w:val="0"/>
        <w:suppressAutoHyphens/>
        <w:autoSpaceDE w:val="0"/>
        <w:autoSpaceDN w:val="0"/>
        <w:adjustRightInd w:val="0"/>
        <w:spacing w:after="170" w:line="280" w:lineRule="atLeast"/>
        <w:ind w:left="720" w:hanging="720"/>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Brazier</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CM &amp; Scott</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 xml:space="preserve">JK 1994, ‘European oak declines and global warming: a theoretical assessment with special reference to the activity of </w:t>
      </w:r>
      <w:proofErr w:type="spellStart"/>
      <w:r w:rsidRPr="007D20DB">
        <w:rPr>
          <w:rFonts w:ascii="AGaramondPro-Italic" w:hAnsi="AGaramondPro-Italic" w:cs="AGaramondPro-Italic"/>
          <w:i/>
          <w:iCs/>
          <w:color w:val="000000"/>
          <w:sz w:val="20"/>
          <w:szCs w:val="20"/>
          <w:lang w:val="en-US" w:eastAsia="ja-JP"/>
        </w:rPr>
        <w:t>Phytophthora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w:t>
      </w:r>
      <w:r w:rsidRPr="007D20DB">
        <w:rPr>
          <w:rFonts w:ascii="AGaramondPro-Italic" w:hAnsi="AGaramondPro-Italic" w:cs="AGaramondPro-Italic"/>
          <w:i/>
          <w:iCs/>
          <w:color w:val="000000"/>
          <w:sz w:val="20"/>
          <w:szCs w:val="20"/>
          <w:lang w:val="en-US" w:eastAsia="ja-JP"/>
        </w:rPr>
        <w:t>EPPO Bulletin</w:t>
      </w:r>
      <w:r w:rsidRPr="007D20DB">
        <w:rPr>
          <w:rFonts w:ascii="AGaramondPro-Regular" w:hAnsi="AGaramondPro-Regular" w:cs="AGaramondPro-Regular"/>
          <w:color w:val="000000"/>
          <w:sz w:val="20"/>
          <w:szCs w:val="20"/>
          <w:lang w:val="en-US" w:eastAsia="ja-JP"/>
        </w:rPr>
        <w:t>, vol. 24, pp. 221–232.</w:t>
      </w:r>
    </w:p>
    <w:p w:rsidR="007D20DB" w:rsidRPr="007D20DB" w:rsidRDefault="007D20DB" w:rsidP="007D20DB">
      <w:pPr>
        <w:keepLines/>
        <w:widowControl w:val="0"/>
        <w:suppressAutoHyphens/>
        <w:autoSpaceDE w:val="0"/>
        <w:autoSpaceDN w:val="0"/>
        <w:adjustRightInd w:val="0"/>
        <w:spacing w:after="170" w:line="280" w:lineRule="atLeast"/>
        <w:ind w:left="720" w:hanging="720"/>
        <w:textAlignment w:val="center"/>
        <w:rPr>
          <w:rFonts w:ascii="AGaramondPro-Regular" w:hAnsi="AGaramondPro-Regular" w:cs="AGaramondPro-Regular"/>
          <w:color w:val="000000"/>
          <w:sz w:val="20"/>
          <w:szCs w:val="20"/>
          <w:lang w:val="en-US" w:eastAsia="ja-JP"/>
        </w:rPr>
      </w:pPr>
      <w:proofErr w:type="gramStart"/>
      <w:r w:rsidRPr="007D20DB">
        <w:rPr>
          <w:rFonts w:ascii="AGaramondPro-Regular" w:hAnsi="AGaramondPro-Regular" w:cs="AGaramondPro-Regular"/>
          <w:color w:val="000000"/>
          <w:sz w:val="20"/>
          <w:szCs w:val="20"/>
          <w:lang w:val="en-US" w:eastAsia="ja-JP"/>
        </w:rPr>
        <w:t xml:space="preserve">Butcher TB, </w:t>
      </w:r>
      <w:proofErr w:type="spellStart"/>
      <w:r w:rsidRPr="007D20DB">
        <w:rPr>
          <w:rFonts w:ascii="AGaramondPro-Regular" w:hAnsi="AGaramondPro-Regular" w:cs="AGaramondPro-Regular"/>
          <w:color w:val="000000"/>
          <w:sz w:val="20"/>
          <w:szCs w:val="20"/>
          <w:lang w:val="en-US" w:eastAsia="ja-JP"/>
        </w:rPr>
        <w:t>Stukely</w:t>
      </w:r>
      <w:proofErr w:type="spellEnd"/>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MJC &amp; Chester</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 xml:space="preserve">GW 1984, ‘Genetic variation in resistance of </w:t>
      </w:r>
      <w:proofErr w:type="spellStart"/>
      <w:r w:rsidRPr="007D20DB">
        <w:rPr>
          <w:rFonts w:ascii="AGaramondPro-Italic" w:hAnsi="AGaramondPro-Italic" w:cs="AGaramondPro-Italic"/>
          <w:i/>
          <w:iCs/>
          <w:color w:val="000000"/>
          <w:sz w:val="20"/>
          <w:szCs w:val="20"/>
          <w:lang w:val="en-US" w:eastAsia="ja-JP"/>
        </w:rPr>
        <w:t>Pinus</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radiata</w:t>
      </w:r>
      <w:proofErr w:type="spellEnd"/>
      <w:r w:rsidRPr="007D20DB">
        <w:rPr>
          <w:rFonts w:ascii="AGaramondPro-Italic" w:hAnsi="AGaramondPro-Italic" w:cs="AGaramondPro-Italic"/>
          <w:i/>
          <w:iCs/>
          <w:color w:val="000000"/>
          <w:sz w:val="20"/>
          <w:szCs w:val="20"/>
          <w:lang w:val="en-US" w:eastAsia="ja-JP"/>
        </w:rPr>
        <w:t xml:space="preserve"> </w:t>
      </w:r>
      <w:r w:rsidRPr="007D20DB">
        <w:rPr>
          <w:rFonts w:ascii="AGaramondPro-Regular" w:hAnsi="AGaramondPro-Regular" w:cs="AGaramondPro-Regular"/>
          <w:color w:val="000000"/>
          <w:sz w:val="20"/>
          <w:szCs w:val="20"/>
          <w:lang w:val="en-US" w:eastAsia="ja-JP"/>
        </w:rPr>
        <w:t xml:space="preserve">to </w:t>
      </w:r>
      <w:proofErr w:type="spellStart"/>
      <w:r w:rsidRPr="007D20DB">
        <w:rPr>
          <w:rFonts w:ascii="AGaramondPro-Italic" w:hAnsi="AGaramondPro-Italic" w:cs="AGaramondPro-Italic"/>
          <w:i/>
          <w:iCs/>
          <w:color w:val="000000"/>
          <w:sz w:val="20"/>
          <w:szCs w:val="20"/>
          <w:lang w:val="en-US" w:eastAsia="ja-JP"/>
        </w:rPr>
        <w:t>Phytophthora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Italic" w:hAnsi="AGaramondPro-Italic" w:cs="AGaramondPro-Italic"/>
          <w:i/>
          <w:iCs/>
          <w:color w:val="000000"/>
          <w:sz w:val="20"/>
          <w:szCs w:val="20"/>
          <w:lang w:val="en-US" w:eastAsia="ja-JP"/>
        </w:rPr>
        <w:t>’</w:t>
      </w:r>
      <w:r w:rsidRPr="007D20DB">
        <w:rPr>
          <w:rFonts w:ascii="AGaramondPro-Regular" w:hAnsi="AGaramondPro-Regular" w:cs="AGaramondPro-Regular"/>
          <w:color w:val="000000"/>
          <w:sz w:val="20"/>
          <w:szCs w:val="20"/>
          <w:lang w:val="en-US" w:eastAsia="ja-JP"/>
        </w:rPr>
        <w:t>,</w:t>
      </w:r>
      <w:r w:rsidRPr="007D20DB">
        <w:rPr>
          <w:rFonts w:ascii="AGaramondPro-Italic" w:hAnsi="AGaramondPro-Italic" w:cs="AGaramondPro-Italic"/>
          <w:i/>
          <w:iCs/>
          <w:color w:val="000000"/>
          <w:sz w:val="20"/>
          <w:szCs w:val="20"/>
          <w:lang w:val="en-US" w:eastAsia="ja-JP"/>
        </w:rPr>
        <w:t xml:space="preserve"> Forest Ecology and Management</w:t>
      </w:r>
      <w:r w:rsidRPr="007D20DB">
        <w:rPr>
          <w:rFonts w:ascii="AGaramondPro-Regular" w:hAnsi="AGaramondPro-Regular" w:cs="AGaramondPro-Regular"/>
          <w:color w:val="000000"/>
          <w:sz w:val="20"/>
          <w:szCs w:val="20"/>
          <w:lang w:val="en-US" w:eastAsia="ja-JP"/>
        </w:rPr>
        <w:t>, vol. 8, pp. 197–220.</w:t>
      </w:r>
      <w:proofErr w:type="gramEnd"/>
    </w:p>
    <w:p w:rsidR="007D20DB" w:rsidRPr="007D20DB" w:rsidRDefault="007D20DB" w:rsidP="007D20DB">
      <w:pPr>
        <w:keepLines/>
        <w:widowControl w:val="0"/>
        <w:suppressAutoHyphens/>
        <w:autoSpaceDE w:val="0"/>
        <w:autoSpaceDN w:val="0"/>
        <w:adjustRightInd w:val="0"/>
        <w:spacing w:after="170" w:line="280" w:lineRule="atLeast"/>
        <w:ind w:left="720" w:hanging="720"/>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Cahill DM, </w:t>
      </w:r>
      <w:proofErr w:type="spellStart"/>
      <w:r w:rsidRPr="007D20DB">
        <w:rPr>
          <w:rFonts w:ascii="AGaramondPro-Regular" w:hAnsi="AGaramondPro-Regular" w:cs="AGaramondPro-Regular"/>
          <w:color w:val="000000"/>
          <w:sz w:val="20"/>
          <w:szCs w:val="20"/>
          <w:lang w:val="en-US" w:eastAsia="ja-JP"/>
        </w:rPr>
        <w:t>Rookes</w:t>
      </w:r>
      <w:proofErr w:type="spellEnd"/>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JE, Wilson</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BA, Gibson</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L &amp; McDougall</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KL 2008, ‘</w:t>
      </w:r>
      <w:proofErr w:type="spellStart"/>
      <w:r w:rsidRPr="007D20DB">
        <w:rPr>
          <w:rFonts w:ascii="AGaramondPro-Italic" w:hAnsi="AGaramondPro-Italic" w:cs="AGaramondPro-Italic"/>
          <w:i/>
          <w:iCs/>
          <w:color w:val="000000"/>
          <w:sz w:val="20"/>
          <w:szCs w:val="20"/>
          <w:lang w:val="en-US" w:eastAsia="ja-JP"/>
        </w:rPr>
        <w:t>Phytophthora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and Australia’s biodiversity: impacts, predictions and progress towards control’, </w:t>
      </w:r>
      <w:r w:rsidRPr="007D20DB">
        <w:rPr>
          <w:rFonts w:ascii="AGaramondPro-Italic" w:hAnsi="AGaramondPro-Italic" w:cs="AGaramondPro-Italic"/>
          <w:i/>
          <w:iCs/>
          <w:color w:val="000000"/>
          <w:sz w:val="20"/>
          <w:szCs w:val="20"/>
          <w:lang w:val="en-US" w:eastAsia="ja-JP"/>
        </w:rPr>
        <w:t>Turner Review no</w:t>
      </w:r>
      <w:r w:rsidRPr="007D20DB">
        <w:rPr>
          <w:rFonts w:ascii="AGaramondPro-Regular" w:hAnsi="AGaramondPro-Regular" w:cs="AGaramondPro-Regular"/>
          <w:color w:val="000000"/>
          <w:sz w:val="20"/>
          <w:szCs w:val="20"/>
          <w:lang w:val="en-US" w:eastAsia="ja-JP"/>
        </w:rPr>
        <w:t>. </w:t>
      </w:r>
      <w:r w:rsidRPr="007D20DB">
        <w:rPr>
          <w:rFonts w:ascii="AGaramondPro-Italic" w:hAnsi="AGaramondPro-Italic" w:cs="AGaramondPro-Italic"/>
          <w:i/>
          <w:iCs/>
          <w:color w:val="000000"/>
          <w:sz w:val="20"/>
          <w:szCs w:val="20"/>
          <w:lang w:val="en-US" w:eastAsia="ja-JP"/>
        </w:rPr>
        <w:t>17, Australian Journal of Botany</w:t>
      </w:r>
      <w:r w:rsidRPr="007D20DB">
        <w:rPr>
          <w:rFonts w:ascii="AGaramondPro-Regular" w:hAnsi="AGaramondPro-Regular" w:cs="AGaramondPro-Regular"/>
          <w:color w:val="000000"/>
          <w:sz w:val="20"/>
          <w:szCs w:val="20"/>
          <w:lang w:val="en-US" w:eastAsia="ja-JP"/>
        </w:rPr>
        <w:t>, vol. 56(4), pp. 279–310.</w:t>
      </w:r>
    </w:p>
    <w:p w:rsidR="007D20DB" w:rsidRPr="007D20DB" w:rsidRDefault="007D20DB" w:rsidP="007D20DB">
      <w:pPr>
        <w:keepLines/>
        <w:widowControl w:val="0"/>
        <w:suppressAutoHyphens/>
        <w:autoSpaceDE w:val="0"/>
        <w:autoSpaceDN w:val="0"/>
        <w:adjustRightInd w:val="0"/>
        <w:spacing w:after="170" w:line="280" w:lineRule="atLeast"/>
        <w:ind w:left="720" w:hanging="720"/>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Commonwealth of Australia 2006, </w:t>
      </w:r>
      <w:r w:rsidRPr="007D20DB">
        <w:rPr>
          <w:rFonts w:ascii="AGaramondPro-Italic" w:hAnsi="AGaramondPro-Italic" w:cs="AGaramondPro-Italic"/>
          <w:i/>
          <w:iCs/>
          <w:color w:val="000000"/>
          <w:sz w:val="20"/>
          <w:szCs w:val="20"/>
          <w:lang w:val="en-US" w:eastAsia="ja-JP"/>
        </w:rPr>
        <w:t>EPBC Act Policy Statement 1.1: Significant impact guidelines</w:t>
      </w:r>
      <w:r w:rsidRPr="007D20DB">
        <w:rPr>
          <w:rFonts w:ascii="AGaramondPro-Regular" w:hAnsi="AGaramondPro-Regular" w:cs="AGaramondPro-Regular"/>
          <w:color w:val="000000"/>
          <w:sz w:val="20"/>
          <w:szCs w:val="20"/>
          <w:lang w:val="en-US" w:eastAsia="ja-JP"/>
        </w:rPr>
        <w:t>, &lt;www.environment.gov.au/resource/significant-impact-guidelines-11-matters-national-environmental-significance&gt;.</w:t>
      </w:r>
    </w:p>
    <w:p w:rsidR="007D20DB" w:rsidRPr="007D20DB" w:rsidRDefault="007D20DB" w:rsidP="007D20DB">
      <w:pPr>
        <w:keepLines/>
        <w:widowControl w:val="0"/>
        <w:suppressAutoHyphens/>
        <w:autoSpaceDE w:val="0"/>
        <w:autoSpaceDN w:val="0"/>
        <w:adjustRightInd w:val="0"/>
        <w:spacing w:after="170" w:line="280" w:lineRule="atLeast"/>
        <w:ind w:left="720" w:hanging="720"/>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Cooke</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 xml:space="preserve">DEL, </w:t>
      </w:r>
      <w:proofErr w:type="spellStart"/>
      <w:r w:rsidRPr="007D20DB">
        <w:rPr>
          <w:rFonts w:ascii="AGaramondPro-Regular" w:hAnsi="AGaramondPro-Regular" w:cs="AGaramondPro-Regular"/>
          <w:color w:val="000000"/>
          <w:sz w:val="20"/>
          <w:szCs w:val="20"/>
          <w:lang w:val="en-US" w:eastAsia="ja-JP"/>
        </w:rPr>
        <w:t>Drenth</w:t>
      </w:r>
      <w:proofErr w:type="spellEnd"/>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A, Duncan</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 xml:space="preserve">JM, </w:t>
      </w:r>
      <w:proofErr w:type="spellStart"/>
      <w:r w:rsidRPr="007D20DB">
        <w:rPr>
          <w:rFonts w:ascii="AGaramondPro-Regular" w:hAnsi="AGaramondPro-Regular" w:cs="AGaramondPro-Regular"/>
          <w:color w:val="000000"/>
          <w:sz w:val="20"/>
          <w:szCs w:val="20"/>
          <w:lang w:val="en-US" w:eastAsia="ja-JP"/>
        </w:rPr>
        <w:t>Wagels</w:t>
      </w:r>
      <w:proofErr w:type="spellEnd"/>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 xml:space="preserve">G &amp; </w:t>
      </w:r>
      <w:proofErr w:type="spellStart"/>
      <w:r w:rsidRPr="007D20DB">
        <w:rPr>
          <w:rFonts w:ascii="AGaramondPro-Regular" w:hAnsi="AGaramondPro-Regular" w:cs="AGaramondPro-Regular"/>
          <w:color w:val="000000"/>
          <w:sz w:val="20"/>
          <w:szCs w:val="20"/>
          <w:lang w:val="en-US" w:eastAsia="ja-JP"/>
        </w:rPr>
        <w:t>Brasier</w:t>
      </w:r>
      <w:proofErr w:type="spellEnd"/>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 xml:space="preserve">CM 2000, ‘A Molecular Phylogeny of </w:t>
      </w:r>
      <w:proofErr w:type="spellStart"/>
      <w:r w:rsidRPr="007D20DB">
        <w:rPr>
          <w:rFonts w:ascii="AGaramondPro-Italic" w:hAnsi="AGaramondPro-Italic" w:cs="AGaramondPro-Italic"/>
          <w:i/>
          <w:iCs/>
          <w:color w:val="000000"/>
          <w:sz w:val="20"/>
          <w:szCs w:val="20"/>
          <w:lang w:val="en-US" w:eastAsia="ja-JP"/>
        </w:rPr>
        <w:t>Phytophthora</w:t>
      </w:r>
      <w:proofErr w:type="spellEnd"/>
      <w:r w:rsidRPr="007D20DB">
        <w:rPr>
          <w:rFonts w:ascii="AGaramondPro-Regular" w:hAnsi="AGaramondPro-Regular" w:cs="AGaramondPro-Regular"/>
          <w:color w:val="000000"/>
          <w:sz w:val="20"/>
          <w:szCs w:val="20"/>
          <w:lang w:val="en-US" w:eastAsia="ja-JP"/>
        </w:rPr>
        <w:t xml:space="preserve"> and Related </w:t>
      </w:r>
      <w:proofErr w:type="spellStart"/>
      <w:r w:rsidRPr="007D20DB">
        <w:rPr>
          <w:rFonts w:ascii="AGaramondPro-Regular" w:hAnsi="AGaramondPro-Regular" w:cs="AGaramondPro-Regular"/>
          <w:color w:val="000000"/>
          <w:sz w:val="20"/>
          <w:szCs w:val="20"/>
          <w:lang w:val="en-US" w:eastAsia="ja-JP"/>
        </w:rPr>
        <w:t>Oomycetes</w:t>
      </w:r>
      <w:proofErr w:type="spellEnd"/>
      <w:r w:rsidRPr="007D20DB">
        <w:rPr>
          <w:rFonts w:ascii="AGaramondPro-Regular" w:hAnsi="AGaramondPro-Regular" w:cs="AGaramondPro-Regular"/>
          <w:color w:val="000000"/>
          <w:sz w:val="20"/>
          <w:szCs w:val="20"/>
          <w:lang w:val="en-US" w:eastAsia="ja-JP"/>
        </w:rPr>
        <w:t xml:space="preserve">’, </w:t>
      </w:r>
      <w:r w:rsidRPr="007D20DB">
        <w:rPr>
          <w:rFonts w:ascii="AGaramondPro-Italic" w:hAnsi="AGaramondPro-Italic" w:cs="AGaramondPro-Italic"/>
          <w:i/>
          <w:iCs/>
          <w:color w:val="000000"/>
          <w:sz w:val="20"/>
          <w:szCs w:val="20"/>
          <w:lang w:val="en-US" w:eastAsia="ja-JP"/>
        </w:rPr>
        <w:t>Fungal Genetics and Biology</w:t>
      </w:r>
      <w:r w:rsidRPr="007D20DB">
        <w:rPr>
          <w:rFonts w:ascii="AGaramondPro-Regular" w:hAnsi="AGaramondPro-Regular" w:cs="AGaramondPro-Regular"/>
          <w:color w:val="000000"/>
          <w:sz w:val="20"/>
          <w:szCs w:val="20"/>
          <w:lang w:val="en-US" w:eastAsia="ja-JP"/>
        </w:rPr>
        <w:t>, vol. 30, pp. 17–32.</w:t>
      </w:r>
    </w:p>
    <w:p w:rsidR="007D20DB" w:rsidRPr="007D20DB" w:rsidRDefault="007D20DB" w:rsidP="007D20DB">
      <w:pPr>
        <w:keepLines/>
        <w:widowControl w:val="0"/>
        <w:suppressAutoHyphens/>
        <w:autoSpaceDE w:val="0"/>
        <w:autoSpaceDN w:val="0"/>
        <w:adjustRightInd w:val="0"/>
        <w:spacing w:after="170" w:line="280" w:lineRule="atLeast"/>
        <w:ind w:left="720" w:hanging="720"/>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Centre for </w:t>
      </w:r>
      <w:proofErr w:type="spellStart"/>
      <w:r w:rsidRPr="007D20DB">
        <w:rPr>
          <w:rFonts w:ascii="AGaramondPro-Italic" w:hAnsi="AGaramondPro-Italic" w:cs="AGaramondPro-Italic"/>
          <w:i/>
          <w:iCs/>
          <w:color w:val="000000"/>
          <w:sz w:val="20"/>
          <w:szCs w:val="20"/>
          <w:lang w:val="en-US" w:eastAsia="ja-JP"/>
        </w:rPr>
        <w:t>Phytophthora</w:t>
      </w:r>
      <w:proofErr w:type="spellEnd"/>
      <w:r w:rsidRPr="007D20DB">
        <w:rPr>
          <w:rFonts w:ascii="AGaramondPro-Regular" w:hAnsi="AGaramondPro-Regular" w:cs="AGaramondPro-Regular"/>
          <w:color w:val="000000"/>
          <w:sz w:val="20"/>
          <w:szCs w:val="20"/>
          <w:lang w:val="en-US" w:eastAsia="ja-JP"/>
        </w:rPr>
        <w:t xml:space="preserve"> Science and Management (CPSM) 2013, </w:t>
      </w:r>
      <w:r w:rsidRPr="007D20DB">
        <w:rPr>
          <w:rFonts w:ascii="AGaramondPro-Italic" w:hAnsi="AGaramondPro-Italic" w:cs="AGaramondPro-Italic"/>
          <w:i/>
          <w:iCs/>
          <w:color w:val="000000"/>
          <w:sz w:val="20"/>
          <w:szCs w:val="20"/>
          <w:lang w:val="en-US" w:eastAsia="ja-JP"/>
        </w:rPr>
        <w:t xml:space="preserve">Climate </w:t>
      </w:r>
      <w:proofErr w:type="spellStart"/>
      <w:r w:rsidRPr="007D20DB">
        <w:rPr>
          <w:rFonts w:ascii="AGaramondPro-Italic" w:hAnsi="AGaramondPro-Italic" w:cs="AGaramondPro-Italic"/>
          <w:i/>
          <w:iCs/>
          <w:color w:val="000000"/>
          <w:sz w:val="20"/>
          <w:szCs w:val="20"/>
          <w:lang w:val="en-US" w:eastAsia="ja-JP"/>
        </w:rPr>
        <w:t>modelling</w:t>
      </w:r>
      <w:proofErr w:type="spellEnd"/>
      <w:r w:rsidRPr="007D20DB">
        <w:rPr>
          <w:rFonts w:ascii="AGaramondPro-Italic" w:hAnsi="AGaramondPro-Italic" w:cs="AGaramondPro-Italic"/>
          <w:i/>
          <w:iCs/>
          <w:color w:val="000000"/>
          <w:sz w:val="20"/>
          <w:szCs w:val="20"/>
          <w:lang w:val="en-US" w:eastAsia="ja-JP"/>
        </w:rPr>
        <w:t xml:space="preserve"> to determine the impacts of </w:t>
      </w:r>
      <w:proofErr w:type="spellStart"/>
      <w:r w:rsidRPr="007D20DB">
        <w:rPr>
          <w:rFonts w:ascii="AGaramondPro-Italic" w:hAnsi="AGaramondPro-Italic" w:cs="AGaramondPro-Italic"/>
          <w:i/>
          <w:iCs/>
          <w:color w:val="000000"/>
          <w:sz w:val="20"/>
          <w:szCs w:val="20"/>
          <w:lang w:val="en-US" w:eastAsia="ja-JP"/>
        </w:rPr>
        <w:t>Phytophthora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Italic" w:hAnsi="AGaramondPro-Italic" w:cs="AGaramondPro-Italic"/>
          <w:i/>
          <w:iCs/>
          <w:color w:val="000000"/>
          <w:sz w:val="20"/>
          <w:szCs w:val="20"/>
          <w:lang w:val="en-US" w:eastAsia="ja-JP"/>
        </w:rPr>
        <w:t xml:space="preserve"> under future climate scenarios</w:t>
      </w:r>
      <w:r w:rsidRPr="007D20DB">
        <w:rPr>
          <w:rFonts w:ascii="AGaramondPro-Regular" w:hAnsi="AGaramondPro-Regular" w:cs="AGaramondPro-Regular"/>
          <w:color w:val="000000"/>
          <w:sz w:val="20"/>
          <w:szCs w:val="20"/>
          <w:lang w:val="en-US" w:eastAsia="ja-JP"/>
        </w:rPr>
        <w:t xml:space="preserve">, prepared for the Commonwealth Government Department of Sustainability, Environment, Water, Population and Communities by the Centre for </w:t>
      </w:r>
      <w:proofErr w:type="spellStart"/>
      <w:r w:rsidRPr="007D20DB">
        <w:rPr>
          <w:rFonts w:ascii="AGaramondPro-Italic" w:hAnsi="AGaramondPro-Italic" w:cs="AGaramondPro-Italic"/>
          <w:i/>
          <w:iCs/>
          <w:color w:val="000000"/>
          <w:sz w:val="20"/>
          <w:szCs w:val="20"/>
          <w:lang w:val="en-US" w:eastAsia="ja-JP"/>
        </w:rPr>
        <w:t>Phytophthora</w:t>
      </w:r>
      <w:proofErr w:type="spellEnd"/>
      <w:r w:rsidRPr="007D20DB">
        <w:rPr>
          <w:rFonts w:ascii="AGaramondPro-Regular" w:hAnsi="AGaramondPro-Regular" w:cs="AGaramondPro-Regular"/>
          <w:color w:val="000000"/>
          <w:sz w:val="20"/>
          <w:szCs w:val="20"/>
          <w:lang w:val="en-US" w:eastAsia="ja-JP"/>
        </w:rPr>
        <w:t xml:space="preserve"> Science and Management, Murdoch University, Western Australia.</w:t>
      </w:r>
    </w:p>
    <w:p w:rsidR="007D20DB" w:rsidRPr="007D20DB" w:rsidRDefault="007D20DB" w:rsidP="007D20DB">
      <w:pPr>
        <w:keepLines/>
        <w:widowControl w:val="0"/>
        <w:suppressAutoHyphens/>
        <w:autoSpaceDE w:val="0"/>
        <w:autoSpaceDN w:val="0"/>
        <w:adjustRightInd w:val="0"/>
        <w:spacing w:after="170" w:line="280" w:lineRule="atLeast"/>
        <w:ind w:left="720" w:hanging="720"/>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Centre for </w:t>
      </w:r>
      <w:proofErr w:type="spellStart"/>
      <w:r w:rsidRPr="007D20DB">
        <w:rPr>
          <w:rFonts w:ascii="AGaramondPro-Italic" w:hAnsi="AGaramondPro-Italic" w:cs="AGaramondPro-Italic"/>
          <w:i/>
          <w:iCs/>
          <w:color w:val="000000"/>
          <w:sz w:val="20"/>
          <w:szCs w:val="20"/>
          <w:lang w:val="en-US" w:eastAsia="ja-JP"/>
        </w:rPr>
        <w:t>Phytophthora</w:t>
      </w:r>
      <w:proofErr w:type="spellEnd"/>
      <w:r w:rsidRPr="007D20DB">
        <w:rPr>
          <w:rFonts w:ascii="AGaramondPro-Regular" w:hAnsi="AGaramondPro-Regular" w:cs="AGaramondPro-Regular"/>
          <w:color w:val="000000"/>
          <w:sz w:val="20"/>
          <w:szCs w:val="20"/>
          <w:lang w:val="en-US" w:eastAsia="ja-JP"/>
        </w:rPr>
        <w:t xml:space="preserve"> Science and Management (CPSM) 2006, </w:t>
      </w:r>
      <w:r w:rsidRPr="007D20DB">
        <w:rPr>
          <w:rFonts w:ascii="AGaramondPro-Italic" w:hAnsi="AGaramondPro-Italic" w:cs="AGaramondPro-Italic"/>
          <w:i/>
          <w:iCs/>
          <w:color w:val="000000"/>
          <w:sz w:val="20"/>
          <w:szCs w:val="20"/>
          <w:lang w:val="en-US" w:eastAsia="ja-JP"/>
        </w:rPr>
        <w:t xml:space="preserve">Review and evaluation of the 2001 National threat abatement plan for dieback caused by the root-rot fungus </w:t>
      </w:r>
      <w:proofErr w:type="spellStart"/>
      <w:r w:rsidRPr="007D20DB">
        <w:rPr>
          <w:rFonts w:ascii="AGaramondPro-Italic" w:hAnsi="AGaramondPro-Italic" w:cs="AGaramondPro-Italic"/>
          <w:i/>
          <w:iCs/>
          <w:color w:val="000000"/>
          <w:sz w:val="20"/>
          <w:szCs w:val="20"/>
          <w:lang w:val="en-US" w:eastAsia="ja-JP"/>
        </w:rPr>
        <w:t>Phytophthora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prepared for the Australian Government Department of the Environment and Heritage by the Centre for </w:t>
      </w:r>
      <w:proofErr w:type="spellStart"/>
      <w:r w:rsidRPr="007D20DB">
        <w:rPr>
          <w:rFonts w:ascii="AGaramondPro-Italic" w:hAnsi="AGaramondPro-Italic" w:cs="AGaramondPro-Italic"/>
          <w:i/>
          <w:iCs/>
          <w:color w:val="000000"/>
          <w:sz w:val="20"/>
          <w:szCs w:val="20"/>
          <w:lang w:val="en-US" w:eastAsia="ja-JP"/>
        </w:rPr>
        <w:t>Phytophthora</w:t>
      </w:r>
      <w:proofErr w:type="spellEnd"/>
      <w:r w:rsidRPr="007D20DB">
        <w:rPr>
          <w:rFonts w:ascii="AGaramondPro-Regular" w:hAnsi="AGaramondPro-Regular" w:cs="AGaramondPro-Regular"/>
          <w:color w:val="000000"/>
          <w:sz w:val="20"/>
          <w:szCs w:val="20"/>
          <w:lang w:val="en-US" w:eastAsia="ja-JP"/>
        </w:rPr>
        <w:t xml:space="preserve"> Science and Management, Murdoch University, Western Australia.</w:t>
      </w:r>
    </w:p>
    <w:p w:rsidR="007D20DB" w:rsidRPr="007D20DB" w:rsidRDefault="007D20DB" w:rsidP="007D20DB">
      <w:pPr>
        <w:keepLines/>
        <w:widowControl w:val="0"/>
        <w:suppressAutoHyphens/>
        <w:autoSpaceDE w:val="0"/>
        <w:autoSpaceDN w:val="0"/>
        <w:adjustRightInd w:val="0"/>
        <w:spacing w:after="170" w:line="280" w:lineRule="atLeast"/>
        <w:ind w:left="720" w:hanging="720"/>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lastRenderedPageBreak/>
        <w:t xml:space="preserve">Conservation Commission of Western Australia 2005, </w:t>
      </w:r>
      <w:proofErr w:type="spellStart"/>
      <w:r w:rsidRPr="007D20DB">
        <w:rPr>
          <w:rFonts w:ascii="AGaramondPro-Italic" w:hAnsi="AGaramondPro-Italic" w:cs="AGaramondPro-Italic"/>
          <w:i/>
          <w:iCs/>
          <w:color w:val="000000"/>
          <w:sz w:val="20"/>
          <w:szCs w:val="20"/>
          <w:lang w:val="en-US" w:eastAsia="ja-JP"/>
        </w:rPr>
        <w:t>Forrestdale</w:t>
      </w:r>
      <w:proofErr w:type="spellEnd"/>
      <w:r w:rsidRPr="007D20DB">
        <w:rPr>
          <w:rFonts w:ascii="AGaramondPro-Italic" w:hAnsi="AGaramondPro-Italic" w:cs="AGaramondPro-Italic"/>
          <w:i/>
          <w:iCs/>
          <w:color w:val="000000"/>
          <w:sz w:val="20"/>
          <w:szCs w:val="20"/>
          <w:lang w:val="en-US" w:eastAsia="ja-JP"/>
        </w:rPr>
        <w:t xml:space="preserve"> Lake Nature Reserve management plan</w:t>
      </w:r>
      <w:r w:rsidRPr="007D20DB">
        <w:rPr>
          <w:rFonts w:ascii="AGaramondPro-Regular" w:hAnsi="AGaramondPro-Regular" w:cs="AGaramondPro-Regular"/>
          <w:color w:val="000000"/>
          <w:sz w:val="20"/>
          <w:szCs w:val="20"/>
          <w:lang w:val="en-US" w:eastAsia="ja-JP"/>
        </w:rPr>
        <w:t xml:space="preserve">, prepared by the Department of Conservation and Land Management, Western Australia, p. 63. </w:t>
      </w:r>
    </w:p>
    <w:p w:rsidR="007D20DB" w:rsidRPr="007D20DB" w:rsidRDefault="007D20DB" w:rsidP="007D20DB">
      <w:pPr>
        <w:keepLines/>
        <w:widowControl w:val="0"/>
        <w:suppressAutoHyphens/>
        <w:autoSpaceDE w:val="0"/>
        <w:autoSpaceDN w:val="0"/>
        <w:adjustRightInd w:val="0"/>
        <w:spacing w:after="170" w:line="280" w:lineRule="atLeast"/>
        <w:ind w:left="720" w:hanging="720"/>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CPSM—see Centre for </w:t>
      </w:r>
      <w:proofErr w:type="spellStart"/>
      <w:r w:rsidRPr="007D20DB">
        <w:rPr>
          <w:rFonts w:ascii="AGaramondPro-Italic" w:hAnsi="AGaramondPro-Italic" w:cs="AGaramondPro-Italic"/>
          <w:i/>
          <w:iCs/>
          <w:color w:val="000000"/>
          <w:sz w:val="20"/>
          <w:szCs w:val="20"/>
          <w:lang w:val="en-US" w:eastAsia="ja-JP"/>
        </w:rPr>
        <w:t>Phytophthora</w:t>
      </w:r>
      <w:proofErr w:type="spellEnd"/>
      <w:r w:rsidRPr="007D20DB">
        <w:rPr>
          <w:rFonts w:ascii="AGaramondPro-Regular" w:hAnsi="AGaramondPro-Regular" w:cs="AGaramondPro-Regular"/>
          <w:color w:val="000000"/>
          <w:sz w:val="20"/>
          <w:szCs w:val="20"/>
          <w:lang w:val="en-US" w:eastAsia="ja-JP"/>
        </w:rPr>
        <w:t xml:space="preserve"> Science and Management.</w:t>
      </w:r>
    </w:p>
    <w:p w:rsidR="007D20DB" w:rsidRPr="007D20DB" w:rsidRDefault="007D20DB" w:rsidP="007D20DB">
      <w:pPr>
        <w:keepLines/>
        <w:widowControl w:val="0"/>
        <w:suppressAutoHyphens/>
        <w:autoSpaceDE w:val="0"/>
        <w:autoSpaceDN w:val="0"/>
        <w:adjustRightInd w:val="0"/>
        <w:spacing w:after="170" w:line="280" w:lineRule="atLeast"/>
        <w:ind w:left="720" w:hanging="720"/>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Commonwealth Scientific and Industrial Research </w:t>
      </w:r>
      <w:proofErr w:type="spellStart"/>
      <w:r w:rsidRPr="007D20DB">
        <w:rPr>
          <w:rFonts w:ascii="AGaramondPro-Regular" w:hAnsi="AGaramondPro-Regular" w:cs="AGaramondPro-Regular"/>
          <w:color w:val="000000"/>
          <w:sz w:val="20"/>
          <w:szCs w:val="20"/>
          <w:lang w:val="en-US" w:eastAsia="ja-JP"/>
        </w:rPr>
        <w:t>Organisation</w:t>
      </w:r>
      <w:proofErr w:type="spellEnd"/>
      <w:r w:rsidRPr="007D20DB">
        <w:rPr>
          <w:rFonts w:ascii="AGaramondPro-Regular" w:hAnsi="AGaramondPro-Regular" w:cs="AGaramondPro-Regular"/>
          <w:color w:val="000000"/>
          <w:sz w:val="20"/>
          <w:szCs w:val="20"/>
          <w:lang w:val="en-US" w:eastAsia="ja-JP"/>
        </w:rPr>
        <w:t xml:space="preserve"> (CSIRO), Australian Bureau of Meteorology 2007–2012, </w:t>
      </w:r>
      <w:r w:rsidRPr="007D20DB">
        <w:rPr>
          <w:rFonts w:ascii="AGaramondPro-Italic" w:hAnsi="AGaramondPro-Italic" w:cs="AGaramondPro-Italic"/>
          <w:i/>
          <w:iCs/>
          <w:color w:val="000000"/>
          <w:sz w:val="20"/>
          <w:szCs w:val="20"/>
          <w:lang w:val="en-US" w:eastAsia="ja-JP"/>
        </w:rPr>
        <w:t>Climate change in Australia—Technical report</w:t>
      </w:r>
      <w:r w:rsidRPr="007D20DB">
        <w:rPr>
          <w:rFonts w:ascii="AGaramondPro-Regular" w:hAnsi="AGaramondPro-Regular" w:cs="AGaramondPro-Regular"/>
          <w:color w:val="000000"/>
          <w:sz w:val="20"/>
          <w:szCs w:val="20"/>
          <w:lang w:val="en-US" w:eastAsia="ja-JP"/>
        </w:rPr>
        <w:t xml:space="preserve"> (website), p. 148, &lt;www.climatechangeinaustralia.gov.au&gt;.</w:t>
      </w:r>
    </w:p>
    <w:p w:rsidR="007D20DB" w:rsidRPr="007D20DB" w:rsidRDefault="007D20DB" w:rsidP="007D20DB">
      <w:pPr>
        <w:keepLines/>
        <w:widowControl w:val="0"/>
        <w:suppressAutoHyphens/>
        <w:autoSpaceDE w:val="0"/>
        <w:autoSpaceDN w:val="0"/>
        <w:adjustRightInd w:val="0"/>
        <w:spacing w:after="170" w:line="280" w:lineRule="atLeast"/>
        <w:ind w:left="720" w:hanging="720"/>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Crone</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 xml:space="preserve">M, </w:t>
      </w:r>
      <w:proofErr w:type="spellStart"/>
      <w:r w:rsidRPr="007D20DB">
        <w:rPr>
          <w:rFonts w:ascii="AGaramondPro-Regular" w:hAnsi="AGaramondPro-Regular" w:cs="AGaramondPro-Regular"/>
          <w:color w:val="000000"/>
          <w:sz w:val="20"/>
          <w:szCs w:val="20"/>
          <w:lang w:val="en-US" w:eastAsia="ja-JP"/>
        </w:rPr>
        <w:t>McComb</w:t>
      </w:r>
      <w:proofErr w:type="spellEnd"/>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JA, O’Brien</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PA, &amp; Hardy</w:t>
      </w:r>
      <w:r w:rsidRPr="007D20DB">
        <w:rPr>
          <w:rFonts w:ascii="AGaramondPro-Regular" w:hAnsi="AGaramondPro-Regular" w:cs="AGaramondPro-Regular"/>
          <w:color w:val="000000"/>
          <w:sz w:val="20"/>
          <w:szCs w:val="20"/>
          <w:rtl/>
          <w:lang w:val="en-US" w:eastAsia="ja-JP" w:bidi="ar-YE"/>
        </w:rPr>
        <w:t> </w:t>
      </w:r>
      <w:proofErr w:type="spellStart"/>
      <w:r w:rsidRPr="007D20DB">
        <w:rPr>
          <w:rFonts w:ascii="AGaramondPro-Regular" w:hAnsi="AGaramondPro-Regular" w:cs="AGaramondPro-Regular"/>
          <w:color w:val="000000"/>
          <w:sz w:val="20"/>
          <w:szCs w:val="20"/>
          <w:lang w:val="en-US" w:eastAsia="ja-JP"/>
        </w:rPr>
        <w:t>GEStJ</w:t>
      </w:r>
      <w:proofErr w:type="spellEnd"/>
      <w:r w:rsidRPr="007D20DB">
        <w:rPr>
          <w:rFonts w:ascii="AGaramondPro-Regular" w:hAnsi="AGaramondPro-Regular" w:cs="AGaramondPro-Regular"/>
          <w:color w:val="000000"/>
          <w:sz w:val="20"/>
          <w:szCs w:val="20"/>
          <w:lang w:val="en-US" w:eastAsia="ja-JP"/>
        </w:rPr>
        <w:t xml:space="preserve"> 2012, ‘Annual and herbaceous perennial native Australian plant species are asymptomatic hosts of </w:t>
      </w:r>
      <w:proofErr w:type="spellStart"/>
      <w:r w:rsidRPr="007D20DB">
        <w:rPr>
          <w:rFonts w:ascii="AGaramondPro-Italic" w:hAnsi="AGaramondPro-Italic" w:cs="AGaramondPro-Italic"/>
          <w:i/>
          <w:iCs/>
          <w:color w:val="000000"/>
          <w:sz w:val="20"/>
          <w:szCs w:val="20"/>
          <w:lang w:val="en-US" w:eastAsia="ja-JP"/>
        </w:rPr>
        <w:t>Phytophthora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Italic" w:hAnsi="AGaramondPro-Italic" w:cs="AGaramondPro-Italic"/>
          <w:i/>
          <w:iCs/>
          <w:color w:val="000000"/>
          <w:sz w:val="20"/>
          <w:szCs w:val="20"/>
          <w:lang w:val="en-US" w:eastAsia="ja-JP"/>
        </w:rPr>
        <w:t xml:space="preserve"> </w:t>
      </w:r>
      <w:r w:rsidRPr="007D20DB">
        <w:rPr>
          <w:rFonts w:ascii="AGaramondPro-Regular" w:hAnsi="AGaramondPro-Regular" w:cs="AGaramondPro-Regular"/>
          <w:color w:val="000000"/>
          <w:sz w:val="20"/>
          <w:szCs w:val="20"/>
          <w:lang w:val="en-US" w:eastAsia="ja-JP"/>
        </w:rPr>
        <w:t xml:space="preserve">on black gravel sites in the </w:t>
      </w:r>
      <w:r w:rsidRPr="007D20DB">
        <w:rPr>
          <w:rFonts w:ascii="AGaramondPro-Italic" w:hAnsi="AGaramondPro-Italic" w:cs="AGaramondPro-Italic"/>
          <w:i/>
          <w:iCs/>
          <w:color w:val="000000"/>
          <w:sz w:val="20"/>
          <w:szCs w:val="20"/>
          <w:lang w:val="en-US" w:eastAsia="ja-JP"/>
        </w:rPr>
        <w:t xml:space="preserve">Eucalyptus </w:t>
      </w:r>
      <w:proofErr w:type="spellStart"/>
      <w:r w:rsidRPr="007D20DB">
        <w:rPr>
          <w:rFonts w:ascii="AGaramondPro-Italic" w:hAnsi="AGaramondPro-Italic" w:cs="AGaramondPro-Italic"/>
          <w:i/>
          <w:iCs/>
          <w:color w:val="000000"/>
          <w:sz w:val="20"/>
          <w:szCs w:val="20"/>
          <w:lang w:val="en-US" w:eastAsia="ja-JP"/>
        </w:rPr>
        <w:t>marginata</w:t>
      </w:r>
      <w:proofErr w:type="spellEnd"/>
      <w:r w:rsidRPr="007D20DB">
        <w:rPr>
          <w:rFonts w:ascii="AGaramondPro-Italic" w:hAnsi="AGaramondPro-Italic" w:cs="AGaramondPro-Italic"/>
          <w:i/>
          <w:iCs/>
          <w:color w:val="000000"/>
          <w:sz w:val="20"/>
          <w:szCs w:val="20"/>
          <w:lang w:val="en-US" w:eastAsia="ja-JP"/>
        </w:rPr>
        <w:t xml:space="preserve"> </w:t>
      </w:r>
      <w:r w:rsidRPr="007D20DB">
        <w:rPr>
          <w:rFonts w:ascii="AGaramondPro-Regular" w:hAnsi="AGaramondPro-Regular" w:cs="AGaramondPro-Regular"/>
          <w:color w:val="000000"/>
          <w:sz w:val="20"/>
          <w:szCs w:val="20"/>
          <w:lang w:val="en-US" w:eastAsia="ja-JP"/>
        </w:rPr>
        <w:t>(</w:t>
      </w:r>
      <w:proofErr w:type="spellStart"/>
      <w:r w:rsidRPr="007D20DB">
        <w:rPr>
          <w:rFonts w:ascii="AGaramondPro-Regular" w:hAnsi="AGaramondPro-Regular" w:cs="AGaramondPro-Regular"/>
          <w:color w:val="000000"/>
          <w:sz w:val="20"/>
          <w:szCs w:val="20"/>
          <w:lang w:val="en-US" w:eastAsia="ja-JP"/>
        </w:rPr>
        <w:t>jarrah</w:t>
      </w:r>
      <w:proofErr w:type="spellEnd"/>
      <w:r w:rsidRPr="007D20DB">
        <w:rPr>
          <w:rFonts w:ascii="AGaramondPro-Regular" w:hAnsi="AGaramondPro-Regular" w:cs="AGaramondPro-Regular"/>
          <w:color w:val="000000"/>
          <w:sz w:val="20"/>
          <w:szCs w:val="20"/>
          <w:lang w:val="en-US" w:eastAsia="ja-JP"/>
        </w:rPr>
        <w:t xml:space="preserve">) forest of Western Australia’, </w:t>
      </w:r>
      <w:r w:rsidRPr="007D20DB">
        <w:rPr>
          <w:rFonts w:ascii="AGaramondPro-Italic" w:hAnsi="AGaramondPro-Italic" w:cs="AGaramondPro-Italic"/>
          <w:i/>
          <w:iCs/>
          <w:color w:val="000000"/>
          <w:sz w:val="20"/>
          <w:szCs w:val="20"/>
          <w:lang w:val="en-US" w:eastAsia="ja-JP"/>
        </w:rPr>
        <w:t>Plant Pathology</w:t>
      </w:r>
      <w:r w:rsidRPr="007D20DB">
        <w:rPr>
          <w:rFonts w:ascii="AGaramondPro-Regular" w:hAnsi="AGaramondPro-Regular" w:cs="AGaramondPro-Regular"/>
          <w:color w:val="000000"/>
          <w:sz w:val="20"/>
          <w:szCs w:val="20"/>
          <w:lang w:val="en-US" w:eastAsia="ja-JP"/>
        </w:rPr>
        <w:t>, vol. 62(5), pp. 1057–1062.</w:t>
      </w:r>
    </w:p>
    <w:p w:rsidR="007D20DB" w:rsidRPr="007D20DB" w:rsidRDefault="007D20DB" w:rsidP="007D20DB">
      <w:pPr>
        <w:keepLines/>
        <w:widowControl w:val="0"/>
        <w:suppressAutoHyphens/>
        <w:autoSpaceDE w:val="0"/>
        <w:autoSpaceDN w:val="0"/>
        <w:adjustRightInd w:val="0"/>
        <w:spacing w:after="170" w:line="280" w:lineRule="atLeast"/>
        <w:ind w:left="720" w:hanging="720"/>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Crone M, </w:t>
      </w:r>
      <w:proofErr w:type="spellStart"/>
      <w:r w:rsidRPr="007D20DB">
        <w:rPr>
          <w:rFonts w:ascii="AGaramondPro-Regular" w:hAnsi="AGaramondPro-Regular" w:cs="AGaramondPro-Regular"/>
          <w:color w:val="000000"/>
          <w:sz w:val="20"/>
          <w:szCs w:val="20"/>
          <w:lang w:val="en-US" w:eastAsia="ja-JP"/>
        </w:rPr>
        <w:t>McComb</w:t>
      </w:r>
      <w:proofErr w:type="spellEnd"/>
      <w:r w:rsidRPr="007D20DB">
        <w:rPr>
          <w:rFonts w:ascii="AGaramondPro-Regular" w:hAnsi="AGaramondPro-Regular" w:cs="AGaramondPro-Regular"/>
          <w:color w:val="000000"/>
          <w:sz w:val="20"/>
          <w:szCs w:val="20"/>
          <w:rtl/>
          <w:lang w:val="en-US" w:eastAsia="ja-JP" w:bidi="ar-YE"/>
        </w:rPr>
        <w:t> J</w:t>
      </w:r>
      <w:r w:rsidRPr="007D20DB">
        <w:rPr>
          <w:rFonts w:ascii="AGaramondPro-Regular" w:hAnsi="AGaramondPro-Regular" w:cs="AGaramondPro-Regular"/>
          <w:color w:val="000000"/>
          <w:sz w:val="20"/>
          <w:szCs w:val="20"/>
          <w:lang w:val="en-US" w:eastAsia="ja-JP"/>
        </w:rPr>
        <w:t>A, O’Brien</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PA, &amp; Hardy</w:t>
      </w:r>
      <w:r w:rsidRPr="007D20DB">
        <w:rPr>
          <w:rFonts w:ascii="AGaramondPro-Regular" w:hAnsi="AGaramondPro-Regular" w:cs="AGaramondPro-Regular"/>
          <w:color w:val="000000"/>
          <w:sz w:val="20"/>
          <w:szCs w:val="20"/>
          <w:rtl/>
          <w:lang w:val="en-US" w:eastAsia="ja-JP" w:bidi="ar-YE"/>
        </w:rPr>
        <w:t> </w:t>
      </w:r>
      <w:proofErr w:type="spellStart"/>
      <w:r w:rsidRPr="007D20DB">
        <w:rPr>
          <w:rFonts w:ascii="AGaramondPro-Regular" w:hAnsi="AGaramondPro-Regular" w:cs="AGaramondPro-Regular"/>
          <w:color w:val="000000"/>
          <w:sz w:val="20"/>
          <w:szCs w:val="20"/>
          <w:lang w:val="en-US" w:eastAsia="ja-JP"/>
        </w:rPr>
        <w:t>GEStJ</w:t>
      </w:r>
      <w:proofErr w:type="spellEnd"/>
      <w:r w:rsidRPr="007D20DB">
        <w:rPr>
          <w:rFonts w:ascii="AGaramondPro-Regular" w:hAnsi="AGaramondPro-Regular" w:cs="AGaramondPro-Regular"/>
          <w:color w:val="000000"/>
          <w:sz w:val="20"/>
          <w:szCs w:val="20"/>
          <w:lang w:val="en-US" w:eastAsia="ja-JP"/>
        </w:rPr>
        <w:t xml:space="preserve"> 2013a, ‘Assessment of Australian native annual/herbaceous perennial plant species as asymptomatic or symptomatic hosts of </w:t>
      </w:r>
      <w:proofErr w:type="spellStart"/>
      <w:r w:rsidRPr="007D20DB">
        <w:rPr>
          <w:rFonts w:ascii="AGaramondPro-Italic" w:hAnsi="AGaramondPro-Italic" w:cs="AGaramondPro-Italic"/>
          <w:i/>
          <w:iCs/>
          <w:color w:val="000000"/>
          <w:sz w:val="20"/>
          <w:szCs w:val="20"/>
          <w:lang w:val="en-US" w:eastAsia="ja-JP"/>
        </w:rPr>
        <w:t>Phytophthora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Italic" w:hAnsi="AGaramondPro-Italic" w:cs="AGaramondPro-Italic"/>
          <w:i/>
          <w:iCs/>
          <w:color w:val="000000"/>
          <w:sz w:val="20"/>
          <w:szCs w:val="20"/>
          <w:lang w:val="en-US" w:eastAsia="ja-JP"/>
        </w:rPr>
        <w:t xml:space="preserve"> </w:t>
      </w:r>
      <w:r w:rsidRPr="007D20DB">
        <w:rPr>
          <w:rFonts w:ascii="AGaramondPro-Regular" w:hAnsi="AGaramondPro-Regular" w:cs="AGaramondPro-Regular"/>
          <w:color w:val="000000"/>
          <w:sz w:val="20"/>
          <w:szCs w:val="20"/>
          <w:lang w:val="en-US" w:eastAsia="ja-JP"/>
        </w:rPr>
        <w:t xml:space="preserve">under controlled conditions’, </w:t>
      </w:r>
      <w:r w:rsidRPr="007D20DB">
        <w:rPr>
          <w:rFonts w:ascii="AGaramondPro-Italic" w:hAnsi="AGaramondPro-Italic" w:cs="AGaramondPro-Italic"/>
          <w:i/>
          <w:iCs/>
          <w:color w:val="000000"/>
          <w:sz w:val="20"/>
          <w:szCs w:val="20"/>
          <w:lang w:val="en-US" w:eastAsia="ja-JP"/>
        </w:rPr>
        <w:t>Forest Pathology</w:t>
      </w:r>
      <w:r w:rsidRPr="007D20DB">
        <w:rPr>
          <w:rFonts w:ascii="AGaramondPro-Regular" w:hAnsi="AGaramondPro-Regular" w:cs="AGaramondPro-Regular"/>
          <w:color w:val="000000"/>
          <w:sz w:val="20"/>
          <w:szCs w:val="20"/>
          <w:lang w:val="en-US" w:eastAsia="ja-JP"/>
        </w:rPr>
        <w:t>, vol. 43, pp. 245–251.</w:t>
      </w:r>
    </w:p>
    <w:p w:rsidR="007D20DB" w:rsidRPr="007D20DB" w:rsidRDefault="007D20DB" w:rsidP="007D20DB">
      <w:pPr>
        <w:keepLines/>
        <w:widowControl w:val="0"/>
        <w:suppressAutoHyphens/>
        <w:autoSpaceDE w:val="0"/>
        <w:autoSpaceDN w:val="0"/>
        <w:adjustRightInd w:val="0"/>
        <w:spacing w:after="170" w:line="280" w:lineRule="atLeast"/>
        <w:ind w:left="720" w:hanging="720"/>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Crone</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 xml:space="preserve">M, </w:t>
      </w:r>
      <w:proofErr w:type="spellStart"/>
      <w:r w:rsidRPr="007D20DB">
        <w:rPr>
          <w:rFonts w:ascii="AGaramondPro-Regular" w:hAnsi="AGaramondPro-Regular" w:cs="AGaramondPro-Regular"/>
          <w:color w:val="000000"/>
          <w:sz w:val="20"/>
          <w:szCs w:val="20"/>
          <w:lang w:val="en-US" w:eastAsia="ja-JP"/>
        </w:rPr>
        <w:t>McComb</w:t>
      </w:r>
      <w:proofErr w:type="spellEnd"/>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JA, O’Brien</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PA &amp; Hardy</w:t>
      </w:r>
      <w:r w:rsidRPr="007D20DB">
        <w:rPr>
          <w:rFonts w:ascii="AGaramondPro-Regular" w:hAnsi="AGaramondPro-Regular" w:cs="AGaramondPro-Regular"/>
          <w:color w:val="000000"/>
          <w:sz w:val="20"/>
          <w:szCs w:val="20"/>
          <w:rtl/>
          <w:lang w:val="en-US" w:eastAsia="ja-JP" w:bidi="ar-YE"/>
        </w:rPr>
        <w:t> </w:t>
      </w:r>
      <w:proofErr w:type="spellStart"/>
      <w:r w:rsidRPr="007D20DB">
        <w:rPr>
          <w:rFonts w:ascii="AGaramondPro-Regular" w:hAnsi="AGaramondPro-Regular" w:cs="AGaramondPro-Regular"/>
          <w:color w:val="000000"/>
          <w:sz w:val="20"/>
          <w:szCs w:val="20"/>
          <w:lang w:val="en-US" w:eastAsia="ja-JP"/>
        </w:rPr>
        <w:t>GEStJ</w:t>
      </w:r>
      <w:proofErr w:type="spellEnd"/>
      <w:r w:rsidRPr="007D20DB">
        <w:rPr>
          <w:rFonts w:ascii="AGaramondPro-Regular" w:hAnsi="AGaramondPro-Regular" w:cs="AGaramondPro-Regular"/>
          <w:color w:val="000000"/>
          <w:sz w:val="20"/>
          <w:szCs w:val="20"/>
          <w:lang w:val="en-US" w:eastAsia="ja-JP"/>
        </w:rPr>
        <w:t xml:space="preserve"> 2013b, ‘Survival of </w:t>
      </w:r>
      <w:proofErr w:type="spellStart"/>
      <w:r w:rsidRPr="007D20DB">
        <w:rPr>
          <w:rFonts w:ascii="AGaramondPro-Italic" w:hAnsi="AGaramondPro-Italic" w:cs="AGaramondPro-Italic"/>
          <w:i/>
          <w:iCs/>
          <w:color w:val="000000"/>
          <w:sz w:val="20"/>
          <w:szCs w:val="20"/>
          <w:lang w:val="en-US" w:eastAsia="ja-JP"/>
        </w:rPr>
        <w:t>Phytophthora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Italic" w:hAnsi="AGaramondPro-Italic" w:cs="AGaramondPro-Italic"/>
          <w:i/>
          <w:iCs/>
          <w:color w:val="000000"/>
          <w:sz w:val="20"/>
          <w:szCs w:val="20"/>
          <w:lang w:val="en-US" w:eastAsia="ja-JP"/>
        </w:rPr>
        <w:t xml:space="preserve"> </w:t>
      </w:r>
      <w:r w:rsidRPr="007D20DB">
        <w:rPr>
          <w:rFonts w:ascii="AGaramondPro-Regular" w:hAnsi="AGaramondPro-Regular" w:cs="AGaramondPro-Regular"/>
          <w:color w:val="000000"/>
          <w:sz w:val="20"/>
          <w:szCs w:val="20"/>
          <w:lang w:val="en-US" w:eastAsia="ja-JP"/>
        </w:rPr>
        <w:t xml:space="preserve">as oospores, </w:t>
      </w:r>
      <w:proofErr w:type="spellStart"/>
      <w:r w:rsidRPr="007D20DB">
        <w:rPr>
          <w:rFonts w:ascii="AGaramondPro-Regular" w:hAnsi="AGaramondPro-Regular" w:cs="AGaramondPro-Regular"/>
          <w:color w:val="000000"/>
          <w:sz w:val="20"/>
          <w:szCs w:val="20"/>
          <w:lang w:val="en-US" w:eastAsia="ja-JP"/>
        </w:rPr>
        <w:t>stromata</w:t>
      </w:r>
      <w:proofErr w:type="spellEnd"/>
      <w:r w:rsidRPr="007D20DB">
        <w:rPr>
          <w:rFonts w:ascii="AGaramondPro-Regular" w:hAnsi="AGaramondPro-Regular" w:cs="AGaramondPro-Regular"/>
          <w:color w:val="000000"/>
          <w:sz w:val="20"/>
          <w:szCs w:val="20"/>
          <w:lang w:val="en-US" w:eastAsia="ja-JP"/>
        </w:rPr>
        <w:t xml:space="preserve"> and thick walled </w:t>
      </w:r>
      <w:proofErr w:type="spellStart"/>
      <w:r w:rsidRPr="007D20DB">
        <w:rPr>
          <w:rFonts w:ascii="AGaramondPro-Regular" w:hAnsi="AGaramondPro-Regular" w:cs="AGaramondPro-Regular"/>
          <w:color w:val="000000"/>
          <w:sz w:val="20"/>
          <w:szCs w:val="20"/>
          <w:lang w:val="en-US" w:eastAsia="ja-JP"/>
        </w:rPr>
        <w:t>chlamydospores</w:t>
      </w:r>
      <w:proofErr w:type="spellEnd"/>
      <w:r w:rsidRPr="007D20DB">
        <w:rPr>
          <w:rFonts w:ascii="AGaramondPro-Regular" w:hAnsi="AGaramondPro-Regular" w:cs="AGaramondPro-Regular"/>
          <w:color w:val="000000"/>
          <w:sz w:val="20"/>
          <w:szCs w:val="20"/>
          <w:lang w:val="en-US" w:eastAsia="ja-JP"/>
        </w:rPr>
        <w:t xml:space="preserve"> in roots of symptomatic and asymptomatic annual and herbaceous perennial plant species’, </w:t>
      </w:r>
      <w:r w:rsidRPr="007D20DB">
        <w:rPr>
          <w:rFonts w:ascii="AGaramondPro-Italic" w:hAnsi="AGaramondPro-Italic" w:cs="AGaramondPro-Italic"/>
          <w:i/>
          <w:iCs/>
          <w:color w:val="000000"/>
          <w:sz w:val="20"/>
          <w:szCs w:val="20"/>
          <w:lang w:val="en-US" w:eastAsia="ja-JP"/>
        </w:rPr>
        <w:t>Fungal Biology</w:t>
      </w:r>
      <w:r w:rsidRPr="007D20DB">
        <w:rPr>
          <w:rFonts w:ascii="AGaramondPro-Regular" w:hAnsi="AGaramondPro-Regular" w:cs="AGaramondPro-Regular"/>
          <w:color w:val="000000"/>
          <w:sz w:val="20"/>
          <w:szCs w:val="20"/>
          <w:lang w:val="en-US" w:eastAsia="ja-JP"/>
        </w:rPr>
        <w:t>,</w:t>
      </w:r>
      <w:r w:rsidRPr="007D20DB">
        <w:rPr>
          <w:rFonts w:ascii="AGaramondPro-Italic" w:hAnsi="AGaramondPro-Italic" w:cs="AGaramondPro-Italic"/>
          <w:i/>
          <w:iCs/>
          <w:color w:val="000000"/>
          <w:sz w:val="20"/>
          <w:szCs w:val="20"/>
          <w:lang w:val="en-US" w:eastAsia="ja-JP"/>
        </w:rPr>
        <w:t xml:space="preserve"> </w:t>
      </w:r>
      <w:r w:rsidRPr="007D20DB">
        <w:rPr>
          <w:rFonts w:ascii="AGaramondPro-Regular" w:hAnsi="AGaramondPro-Regular" w:cs="AGaramondPro-Regular"/>
          <w:color w:val="000000"/>
          <w:sz w:val="20"/>
          <w:szCs w:val="20"/>
          <w:lang w:val="en-US" w:eastAsia="ja-JP"/>
        </w:rPr>
        <w:t>vol.</w:t>
      </w:r>
      <w:r w:rsidRPr="007D20DB">
        <w:rPr>
          <w:rFonts w:ascii="AGaramondPro-Italic" w:hAnsi="AGaramondPro-Italic" w:cs="AGaramondPro-Italic"/>
          <w:i/>
          <w:iCs/>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117 (2), pp. 112–123.</w:t>
      </w:r>
    </w:p>
    <w:p w:rsidR="007D20DB" w:rsidRPr="007D20DB" w:rsidRDefault="007D20DB" w:rsidP="007D20DB">
      <w:pPr>
        <w:keepLines/>
        <w:widowControl w:val="0"/>
        <w:suppressAutoHyphens/>
        <w:autoSpaceDE w:val="0"/>
        <w:autoSpaceDN w:val="0"/>
        <w:adjustRightInd w:val="0"/>
        <w:spacing w:after="170" w:line="280" w:lineRule="atLeast"/>
        <w:ind w:left="720" w:hanging="720"/>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CSIRO—see Commonwealth Scientific and Industrial Research </w:t>
      </w:r>
      <w:proofErr w:type="spellStart"/>
      <w:r w:rsidRPr="007D20DB">
        <w:rPr>
          <w:rFonts w:ascii="AGaramondPro-Regular" w:hAnsi="AGaramondPro-Regular" w:cs="AGaramondPro-Regular"/>
          <w:color w:val="000000"/>
          <w:sz w:val="20"/>
          <w:szCs w:val="20"/>
          <w:lang w:val="en-US" w:eastAsia="ja-JP"/>
        </w:rPr>
        <w:t>Organisation</w:t>
      </w:r>
      <w:proofErr w:type="spellEnd"/>
      <w:r w:rsidRPr="007D20DB">
        <w:rPr>
          <w:rFonts w:ascii="AGaramondPro-Regular" w:hAnsi="AGaramondPro-Regular" w:cs="AGaramondPro-Regular"/>
          <w:color w:val="000000"/>
          <w:sz w:val="20"/>
          <w:szCs w:val="20"/>
          <w:lang w:val="en-US" w:eastAsia="ja-JP"/>
        </w:rPr>
        <w:t>.</w:t>
      </w:r>
    </w:p>
    <w:p w:rsidR="007D20DB" w:rsidRPr="007D20DB" w:rsidRDefault="007D20DB" w:rsidP="007D20DB">
      <w:pPr>
        <w:keepLines/>
        <w:widowControl w:val="0"/>
        <w:suppressAutoHyphens/>
        <w:autoSpaceDE w:val="0"/>
        <w:autoSpaceDN w:val="0"/>
        <w:adjustRightInd w:val="0"/>
        <w:spacing w:after="170" w:line="280" w:lineRule="atLeast"/>
        <w:ind w:left="720" w:hanging="720"/>
        <w:textAlignment w:val="center"/>
        <w:rPr>
          <w:rFonts w:ascii="AGaramondPro-Regular" w:hAnsi="AGaramondPro-Regular" w:cs="AGaramondPro-Regular"/>
          <w:color w:val="000000"/>
          <w:sz w:val="20"/>
          <w:szCs w:val="20"/>
          <w:lang w:val="en-US" w:eastAsia="ja-JP"/>
        </w:rPr>
      </w:pPr>
      <w:proofErr w:type="gramStart"/>
      <w:r w:rsidRPr="007D20DB">
        <w:rPr>
          <w:rFonts w:ascii="AGaramondPro-Regular" w:hAnsi="AGaramondPro-Regular" w:cs="AGaramondPro-Regular"/>
          <w:color w:val="000000"/>
          <w:sz w:val="20"/>
          <w:szCs w:val="20"/>
          <w:lang w:val="en-US" w:eastAsia="ja-JP"/>
        </w:rPr>
        <w:t>DEC—Department of Environment and Conservation (WA).</w:t>
      </w:r>
      <w:proofErr w:type="gramEnd"/>
    </w:p>
    <w:p w:rsidR="007D20DB" w:rsidRPr="007D20DB" w:rsidRDefault="007D20DB" w:rsidP="007D20DB">
      <w:pPr>
        <w:keepLines/>
        <w:widowControl w:val="0"/>
        <w:suppressAutoHyphens/>
        <w:autoSpaceDE w:val="0"/>
        <w:autoSpaceDN w:val="0"/>
        <w:adjustRightInd w:val="0"/>
        <w:spacing w:after="170" w:line="280" w:lineRule="atLeast"/>
        <w:ind w:left="720" w:hanging="720"/>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DECCW—see Department of Environment, Climate Change and Water (NSW).</w:t>
      </w:r>
    </w:p>
    <w:p w:rsidR="007D20DB" w:rsidRPr="007D20DB" w:rsidRDefault="007D20DB" w:rsidP="007D20DB">
      <w:pPr>
        <w:keepLines/>
        <w:widowControl w:val="0"/>
        <w:suppressAutoHyphens/>
        <w:autoSpaceDE w:val="0"/>
        <w:autoSpaceDN w:val="0"/>
        <w:adjustRightInd w:val="0"/>
        <w:spacing w:after="170" w:line="280" w:lineRule="atLeast"/>
        <w:ind w:left="720" w:hanging="720"/>
        <w:textAlignment w:val="center"/>
        <w:rPr>
          <w:rFonts w:ascii="AGaramondPro-Italic" w:hAnsi="AGaramondPro-Italic" w:cs="AGaramondPro-Italic"/>
          <w:i/>
          <w:iCs/>
          <w:color w:val="000000"/>
          <w:sz w:val="20"/>
          <w:szCs w:val="20"/>
          <w:lang w:val="en-US" w:eastAsia="ja-JP"/>
        </w:rPr>
      </w:pPr>
      <w:proofErr w:type="gramStart"/>
      <w:r w:rsidRPr="007D20DB">
        <w:rPr>
          <w:rFonts w:ascii="AGaramondPro-Regular" w:hAnsi="AGaramondPro-Regular" w:cs="AGaramondPro-Regular"/>
          <w:color w:val="000000"/>
          <w:sz w:val="20"/>
          <w:szCs w:val="20"/>
          <w:lang w:val="en-US" w:eastAsia="ja-JP"/>
        </w:rPr>
        <w:t xml:space="preserve">Department of Environment, Climate Change and Water (NSW) 2010, </w:t>
      </w:r>
      <w:r w:rsidRPr="007D20DB">
        <w:rPr>
          <w:rFonts w:ascii="AGaramondPro-Italic" w:hAnsi="AGaramondPro-Italic" w:cs="AGaramondPro-Italic"/>
          <w:i/>
          <w:iCs/>
          <w:color w:val="000000"/>
          <w:sz w:val="20"/>
          <w:szCs w:val="20"/>
          <w:lang w:val="en-US" w:eastAsia="ja-JP"/>
        </w:rPr>
        <w:t>Lord Howe Island Permanent Park Preserve plan of management.</w:t>
      </w:r>
      <w:proofErr w:type="gramEnd"/>
    </w:p>
    <w:p w:rsidR="007D20DB" w:rsidRPr="007D20DB" w:rsidRDefault="007D20DB" w:rsidP="007D20DB">
      <w:pPr>
        <w:keepLines/>
        <w:widowControl w:val="0"/>
        <w:suppressAutoHyphens/>
        <w:autoSpaceDE w:val="0"/>
        <w:autoSpaceDN w:val="0"/>
        <w:adjustRightInd w:val="0"/>
        <w:spacing w:after="170" w:line="280" w:lineRule="atLeast"/>
        <w:ind w:left="720" w:hanging="720"/>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Department of Environment and Conservation (WA) 2009, </w:t>
      </w:r>
      <w:r w:rsidRPr="007D20DB">
        <w:rPr>
          <w:rFonts w:ascii="AGaramondPro-Italic" w:hAnsi="AGaramondPro-Italic" w:cs="AGaramondPro-Italic"/>
          <w:i/>
          <w:iCs/>
          <w:color w:val="000000"/>
          <w:sz w:val="20"/>
          <w:szCs w:val="20"/>
          <w:lang w:val="en-US" w:eastAsia="ja-JP"/>
        </w:rPr>
        <w:t xml:space="preserve">Ecological character description of the Lake Warden System </w:t>
      </w:r>
      <w:proofErr w:type="spellStart"/>
      <w:r w:rsidRPr="007D20DB">
        <w:rPr>
          <w:rFonts w:ascii="AGaramondPro-Italic" w:hAnsi="AGaramondPro-Italic" w:cs="AGaramondPro-Italic"/>
          <w:i/>
          <w:iCs/>
          <w:color w:val="000000"/>
          <w:sz w:val="20"/>
          <w:szCs w:val="20"/>
          <w:lang w:val="en-US" w:eastAsia="ja-JP"/>
        </w:rPr>
        <w:t>Ramsar</w:t>
      </w:r>
      <w:proofErr w:type="spellEnd"/>
      <w:r w:rsidRPr="007D20DB">
        <w:rPr>
          <w:rFonts w:ascii="AGaramondPro-Italic" w:hAnsi="AGaramondPro-Italic" w:cs="AGaramondPro-Italic"/>
          <w:i/>
          <w:iCs/>
          <w:color w:val="000000"/>
          <w:sz w:val="20"/>
          <w:szCs w:val="20"/>
          <w:lang w:val="en-US" w:eastAsia="ja-JP"/>
        </w:rPr>
        <w:t xml:space="preserve"> site: A report by the Department of Environment and Conservation</w:t>
      </w:r>
      <w:r w:rsidRPr="007D20DB">
        <w:rPr>
          <w:rFonts w:ascii="AGaramondPro-Regular" w:hAnsi="AGaramondPro-Regular" w:cs="AGaramondPro-Regular"/>
          <w:color w:val="000000"/>
          <w:sz w:val="20"/>
          <w:szCs w:val="20"/>
          <w:lang w:val="en-US" w:eastAsia="ja-JP"/>
        </w:rPr>
        <w:t>, prepared by Watkins G, Department of Environment and Conservation, Perth, Western Australia.</w:t>
      </w:r>
    </w:p>
    <w:p w:rsidR="007D20DB" w:rsidRPr="007D20DB" w:rsidRDefault="007D20DB" w:rsidP="007D20DB">
      <w:pPr>
        <w:keepLines/>
        <w:widowControl w:val="0"/>
        <w:suppressAutoHyphens/>
        <w:autoSpaceDE w:val="0"/>
        <w:autoSpaceDN w:val="0"/>
        <w:adjustRightInd w:val="0"/>
        <w:spacing w:after="170" w:line="280" w:lineRule="atLeast"/>
        <w:ind w:left="720" w:hanging="720"/>
        <w:textAlignment w:val="center"/>
        <w:rPr>
          <w:rFonts w:ascii="AGaramondPro-Regular" w:hAnsi="AGaramondPro-Regular" w:cs="AGaramondPro-Regular"/>
          <w:color w:val="000000"/>
          <w:sz w:val="20"/>
          <w:szCs w:val="20"/>
          <w:lang w:val="en-US" w:eastAsia="ja-JP"/>
        </w:rPr>
      </w:pPr>
      <w:proofErr w:type="gramStart"/>
      <w:r w:rsidRPr="007D20DB">
        <w:rPr>
          <w:rFonts w:ascii="AGaramondPro-Regular" w:hAnsi="AGaramondPro-Regular" w:cs="AGaramondPro-Regular"/>
          <w:color w:val="000000"/>
          <w:sz w:val="20"/>
          <w:szCs w:val="20"/>
          <w:lang w:val="en-US" w:eastAsia="ja-JP"/>
        </w:rPr>
        <w:t>Department of the Environment, Water, Heritage and the Arts 2009, Draft</w:t>
      </w:r>
      <w:r w:rsidRPr="007D20DB">
        <w:rPr>
          <w:rFonts w:ascii="AGaramondPro-Italic" w:hAnsi="AGaramondPro-Italic" w:cs="AGaramondPro-Italic"/>
          <w:i/>
          <w:iCs/>
          <w:color w:val="000000"/>
          <w:sz w:val="20"/>
          <w:szCs w:val="20"/>
          <w:lang w:val="en-US" w:eastAsia="ja-JP"/>
        </w:rPr>
        <w:t xml:space="preserve"> Threat abatement plan for disease in natural ecosystems caused by </w:t>
      </w:r>
      <w:proofErr w:type="spellStart"/>
      <w:r w:rsidRPr="007D20DB">
        <w:rPr>
          <w:rFonts w:ascii="AGaramondPro-Italic" w:hAnsi="AGaramondPro-Italic" w:cs="AGaramondPro-Italic"/>
          <w:i/>
          <w:iCs/>
          <w:color w:val="000000"/>
          <w:sz w:val="20"/>
          <w:szCs w:val="20"/>
          <w:lang w:val="en-US" w:eastAsia="ja-JP"/>
        </w:rPr>
        <w:t>Phytophthora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unpublished.</w:t>
      </w:r>
      <w:proofErr w:type="gramEnd"/>
    </w:p>
    <w:p w:rsidR="007D20DB" w:rsidRPr="007D20DB" w:rsidRDefault="007D20DB" w:rsidP="007D20DB">
      <w:pPr>
        <w:keepLines/>
        <w:widowControl w:val="0"/>
        <w:suppressAutoHyphens/>
        <w:autoSpaceDE w:val="0"/>
        <w:autoSpaceDN w:val="0"/>
        <w:adjustRightInd w:val="0"/>
        <w:spacing w:after="170" w:line="280" w:lineRule="atLeast"/>
        <w:ind w:left="720" w:hanging="720"/>
        <w:textAlignment w:val="center"/>
        <w:rPr>
          <w:rFonts w:ascii="AGaramondPro-Regular" w:hAnsi="AGaramondPro-Regular" w:cs="AGaramondPro-Regular"/>
          <w:color w:val="000000"/>
          <w:sz w:val="20"/>
          <w:szCs w:val="20"/>
          <w:lang w:val="en-US" w:eastAsia="ja-JP"/>
        </w:rPr>
      </w:pPr>
      <w:proofErr w:type="gramStart"/>
      <w:r w:rsidRPr="007D20DB">
        <w:rPr>
          <w:rFonts w:ascii="AGaramondPro-Regular" w:hAnsi="AGaramondPro-Regular" w:cs="AGaramondPro-Regular"/>
          <w:color w:val="000000"/>
          <w:sz w:val="20"/>
          <w:szCs w:val="20"/>
          <w:lang w:val="en-US" w:eastAsia="ja-JP"/>
        </w:rPr>
        <w:t xml:space="preserve">Dieback Working Group 2008, </w:t>
      </w:r>
      <w:r w:rsidRPr="007D20DB">
        <w:rPr>
          <w:rFonts w:ascii="AGaramondPro-Italic" w:hAnsi="AGaramondPro-Italic" w:cs="AGaramondPro-Italic"/>
          <w:i/>
          <w:iCs/>
          <w:color w:val="000000"/>
          <w:sz w:val="20"/>
          <w:szCs w:val="20"/>
          <w:lang w:val="en-US" w:eastAsia="ja-JP"/>
        </w:rPr>
        <w:t xml:space="preserve">Managing </w:t>
      </w:r>
      <w:proofErr w:type="spellStart"/>
      <w:r w:rsidRPr="007D20DB">
        <w:rPr>
          <w:rFonts w:ascii="AGaramondPro-Italic" w:hAnsi="AGaramondPro-Italic" w:cs="AGaramondPro-Italic"/>
          <w:i/>
          <w:iCs/>
          <w:color w:val="000000"/>
          <w:sz w:val="20"/>
          <w:szCs w:val="20"/>
          <w:lang w:val="en-US" w:eastAsia="ja-JP"/>
        </w:rPr>
        <w:t>Phytophthora</w:t>
      </w:r>
      <w:proofErr w:type="spellEnd"/>
      <w:r w:rsidRPr="007D20DB">
        <w:rPr>
          <w:rFonts w:ascii="AGaramondPro-Italic" w:hAnsi="AGaramondPro-Italic" w:cs="AGaramondPro-Italic"/>
          <w:i/>
          <w:iCs/>
          <w:color w:val="000000"/>
          <w:sz w:val="20"/>
          <w:szCs w:val="20"/>
          <w:lang w:val="en-US" w:eastAsia="ja-JP"/>
        </w:rPr>
        <w:t xml:space="preserve"> dieback in </w:t>
      </w:r>
      <w:proofErr w:type="spellStart"/>
      <w:r w:rsidRPr="007D20DB">
        <w:rPr>
          <w:rFonts w:ascii="AGaramondPro-Italic" w:hAnsi="AGaramondPro-Italic" w:cs="AGaramondPro-Italic"/>
          <w:i/>
          <w:iCs/>
          <w:color w:val="000000"/>
          <w:sz w:val="20"/>
          <w:szCs w:val="20"/>
          <w:lang w:val="en-US" w:eastAsia="ja-JP"/>
        </w:rPr>
        <w:t>bushland</w:t>
      </w:r>
      <w:proofErr w:type="spellEnd"/>
      <w:r w:rsidRPr="007D20DB">
        <w:rPr>
          <w:rFonts w:ascii="AGaramondPro-Italic" w:hAnsi="AGaramondPro-Italic" w:cs="AGaramondPro-Italic"/>
          <w:i/>
          <w:iCs/>
          <w:color w:val="000000"/>
          <w:sz w:val="20"/>
          <w:szCs w:val="20"/>
          <w:lang w:val="en-US" w:eastAsia="ja-JP"/>
        </w:rPr>
        <w:t>—a guide for landholders and community conservation groups</w:t>
      </w:r>
      <w:r w:rsidRPr="007D20DB">
        <w:rPr>
          <w:rFonts w:ascii="AGaramondPro-Regular" w:hAnsi="AGaramondPro-Regular" w:cs="AGaramondPro-Regular"/>
          <w:color w:val="000000"/>
          <w:sz w:val="20"/>
          <w:szCs w:val="20"/>
          <w:lang w:val="en-US" w:eastAsia="ja-JP"/>
        </w:rPr>
        <w:t>, 4</w:t>
      </w:r>
      <w:r w:rsidRPr="007D20DB">
        <w:rPr>
          <w:rFonts w:ascii="AGaramondPro-Regular" w:hAnsi="AGaramondPro-Regular" w:cs="AGaramondPro-Regular"/>
          <w:color w:val="000000"/>
          <w:sz w:val="20"/>
          <w:szCs w:val="20"/>
          <w:vertAlign w:val="superscript"/>
          <w:lang w:val="en-US" w:eastAsia="ja-JP"/>
        </w:rPr>
        <w:t>th</w:t>
      </w:r>
      <w:r w:rsidRPr="007D20DB">
        <w:rPr>
          <w:rFonts w:ascii="AGaramondPro-Regular" w:hAnsi="AGaramondPro-Regular" w:cs="AGaramondPro-Regular"/>
          <w:color w:val="000000"/>
          <w:sz w:val="20"/>
          <w:szCs w:val="20"/>
          <w:rtl/>
          <w:lang w:val="en-US" w:eastAsia="ja-JP" w:bidi="ar-YE"/>
        </w:rPr>
        <w:t> </w:t>
      </w:r>
      <w:proofErr w:type="spellStart"/>
      <w:r w:rsidRPr="007D20DB">
        <w:rPr>
          <w:rFonts w:ascii="AGaramondPro-Regular" w:hAnsi="AGaramondPro-Regular" w:cs="AGaramondPro-Regular"/>
          <w:color w:val="000000"/>
          <w:sz w:val="20"/>
          <w:szCs w:val="20"/>
          <w:lang w:val="en-US" w:eastAsia="ja-JP"/>
        </w:rPr>
        <w:t>edn</w:t>
      </w:r>
      <w:proofErr w:type="spellEnd"/>
      <w:r w:rsidRPr="007D20DB">
        <w:rPr>
          <w:rFonts w:ascii="AGaramondPro-Regular" w:hAnsi="AGaramondPro-Regular" w:cs="AGaramondPro-Regular"/>
          <w:color w:val="000000"/>
          <w:sz w:val="20"/>
          <w:szCs w:val="20"/>
          <w:lang w:val="en-US" w:eastAsia="ja-JP"/>
        </w:rPr>
        <w:t>, p. 42, &lt;www.dwg.org.au/files/DWG%20Handbook.pdf&gt;.</w:t>
      </w:r>
      <w:proofErr w:type="gramEnd"/>
    </w:p>
    <w:p w:rsidR="007D20DB" w:rsidRPr="007D20DB" w:rsidRDefault="007D20DB" w:rsidP="007D20DB">
      <w:pPr>
        <w:keepLines/>
        <w:widowControl w:val="0"/>
        <w:suppressAutoHyphens/>
        <w:autoSpaceDE w:val="0"/>
        <w:autoSpaceDN w:val="0"/>
        <w:adjustRightInd w:val="0"/>
        <w:spacing w:after="170" w:line="280" w:lineRule="atLeast"/>
        <w:ind w:left="720" w:hanging="720"/>
        <w:textAlignment w:val="center"/>
        <w:rPr>
          <w:rFonts w:ascii="AGaramondPro-Regular" w:hAnsi="AGaramondPro-Regular" w:cs="AGaramondPro-Regular"/>
          <w:color w:val="000000"/>
          <w:sz w:val="20"/>
          <w:szCs w:val="20"/>
          <w:lang w:val="en-US" w:eastAsia="ja-JP"/>
        </w:rPr>
      </w:pPr>
      <w:proofErr w:type="gramStart"/>
      <w:r w:rsidRPr="007D20DB">
        <w:rPr>
          <w:rFonts w:ascii="AGaramondPro-Regular" w:hAnsi="AGaramondPro-Regular" w:cs="AGaramondPro-Regular"/>
          <w:color w:val="000000"/>
          <w:sz w:val="20"/>
          <w:szCs w:val="20"/>
          <w:lang w:val="en-US" w:eastAsia="ja-JP"/>
        </w:rPr>
        <w:t xml:space="preserve">Department the Environment 2013, </w:t>
      </w:r>
      <w:r w:rsidRPr="007D20DB">
        <w:rPr>
          <w:rFonts w:ascii="AGaramondPro-Italic" w:hAnsi="AGaramondPro-Italic" w:cs="AGaramondPro-Italic"/>
          <w:i/>
          <w:iCs/>
          <w:color w:val="000000"/>
          <w:sz w:val="20"/>
          <w:szCs w:val="20"/>
          <w:lang w:val="en-US" w:eastAsia="ja-JP"/>
        </w:rPr>
        <w:t>Species Profile and Threats Database</w:t>
      </w:r>
      <w:r w:rsidRPr="007D20DB">
        <w:rPr>
          <w:rFonts w:ascii="AGaramondPro-Regular" w:hAnsi="AGaramondPro-Regular" w:cs="AGaramondPro-Regular"/>
          <w:color w:val="000000"/>
          <w:sz w:val="20"/>
          <w:szCs w:val="20"/>
          <w:lang w:val="en-US" w:eastAsia="ja-JP"/>
        </w:rPr>
        <w:t xml:space="preserve"> (SPRAT), &lt;www.environment.gov.au/cgi-bin/sprat/public/sprat.pl&gt;.</w:t>
      </w:r>
      <w:proofErr w:type="gramEnd"/>
    </w:p>
    <w:p w:rsidR="007D20DB" w:rsidRPr="007D20DB" w:rsidRDefault="007D20DB" w:rsidP="007D20DB">
      <w:pPr>
        <w:keepLines/>
        <w:widowControl w:val="0"/>
        <w:suppressAutoHyphens/>
        <w:autoSpaceDE w:val="0"/>
        <w:autoSpaceDN w:val="0"/>
        <w:adjustRightInd w:val="0"/>
        <w:spacing w:after="170" w:line="280" w:lineRule="atLeast"/>
        <w:ind w:left="720" w:hanging="720"/>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Department of the Environment 2014, </w:t>
      </w:r>
      <w:r w:rsidRPr="007D20DB">
        <w:rPr>
          <w:rFonts w:ascii="AGaramondPro-Italic" w:hAnsi="AGaramondPro-Italic" w:cs="AGaramondPro-Italic"/>
          <w:i/>
          <w:iCs/>
          <w:color w:val="000000"/>
          <w:sz w:val="20"/>
          <w:szCs w:val="20"/>
          <w:lang w:val="en-US" w:eastAsia="ja-JP"/>
        </w:rPr>
        <w:t xml:space="preserve">Background: Threat abatement plan for disease in natural ecosystems caused by </w:t>
      </w:r>
      <w:proofErr w:type="spellStart"/>
      <w:r w:rsidRPr="007D20DB">
        <w:rPr>
          <w:rFonts w:ascii="AGaramondPro-Italic" w:hAnsi="AGaramondPro-Italic" w:cs="AGaramondPro-Italic"/>
          <w:i/>
          <w:iCs/>
          <w:color w:val="000000"/>
          <w:sz w:val="20"/>
          <w:szCs w:val="20"/>
          <w:lang w:val="en-US" w:eastAsia="ja-JP"/>
        </w:rPr>
        <w:t>Phytophthora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w:t>
      </w:r>
      <w:r w:rsidRPr="007D20DB">
        <w:rPr>
          <w:rFonts w:ascii="AGaramondPro-Italic" w:hAnsi="AGaramondPro-Italic" w:cs="AGaramondPro-Italic"/>
          <w:i/>
          <w:iCs/>
          <w:color w:val="000000"/>
          <w:sz w:val="20"/>
          <w:szCs w:val="20"/>
          <w:lang w:val="en-US" w:eastAsia="ja-JP"/>
        </w:rPr>
        <w:t xml:space="preserve"> </w:t>
      </w:r>
      <w:r w:rsidRPr="007D20DB">
        <w:rPr>
          <w:rFonts w:ascii="AGaramondPro-Regular" w:hAnsi="AGaramondPro-Regular" w:cs="AGaramondPro-Regular"/>
          <w:color w:val="000000"/>
          <w:sz w:val="20"/>
          <w:szCs w:val="20"/>
          <w:lang w:val="en-US" w:eastAsia="ja-JP"/>
        </w:rPr>
        <w:t>Canberra, Australian Capital Territory, &lt;www.environment.gov.au/topics/biodiversity/threatened-species-ecological-communities/threat-abatement-plans/approved-threat&gt;.</w:t>
      </w:r>
    </w:p>
    <w:p w:rsidR="007D20DB" w:rsidRPr="007D20DB" w:rsidRDefault="007D20DB" w:rsidP="007D20DB">
      <w:pPr>
        <w:keepLines/>
        <w:widowControl w:val="0"/>
        <w:suppressAutoHyphens/>
        <w:autoSpaceDE w:val="0"/>
        <w:autoSpaceDN w:val="0"/>
        <w:adjustRightInd w:val="0"/>
        <w:spacing w:after="170" w:line="280" w:lineRule="atLeast"/>
        <w:ind w:left="720" w:hanging="720"/>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DPAW—see Department of Parks and Wildlife (WA); formerly the Department of Environment and Conservation (WA).</w:t>
      </w:r>
    </w:p>
    <w:p w:rsidR="007D20DB" w:rsidRPr="007D20DB" w:rsidRDefault="007D20DB" w:rsidP="007D20DB">
      <w:pPr>
        <w:keepLines/>
        <w:widowControl w:val="0"/>
        <w:suppressAutoHyphens/>
        <w:autoSpaceDE w:val="0"/>
        <w:autoSpaceDN w:val="0"/>
        <w:adjustRightInd w:val="0"/>
        <w:spacing w:after="170" w:line="280" w:lineRule="atLeast"/>
        <w:ind w:left="720" w:hanging="720"/>
        <w:textAlignment w:val="center"/>
        <w:rPr>
          <w:rFonts w:ascii="AGaramondPro-Regular" w:hAnsi="AGaramondPro-Regular" w:cs="AGaramondPro-Regular"/>
          <w:color w:val="000000"/>
          <w:sz w:val="20"/>
          <w:szCs w:val="20"/>
          <w:lang w:val="en-US" w:eastAsia="ja-JP"/>
        </w:rPr>
      </w:pPr>
      <w:proofErr w:type="spellStart"/>
      <w:r w:rsidRPr="007D20DB">
        <w:rPr>
          <w:rFonts w:ascii="AGaramondPro-Regular" w:hAnsi="AGaramondPro-Regular" w:cs="AGaramondPro-Regular"/>
          <w:color w:val="000000"/>
          <w:sz w:val="20"/>
          <w:szCs w:val="20"/>
          <w:lang w:val="en-US" w:eastAsia="ja-JP"/>
        </w:rPr>
        <w:t>Dundas</w:t>
      </w:r>
      <w:proofErr w:type="spellEnd"/>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S, Hardy</w:t>
      </w:r>
      <w:r w:rsidRPr="007D20DB">
        <w:rPr>
          <w:rFonts w:ascii="AGaramondPro-Regular" w:hAnsi="AGaramondPro-Regular" w:cs="AGaramondPro-Regular"/>
          <w:color w:val="000000"/>
          <w:sz w:val="20"/>
          <w:szCs w:val="20"/>
          <w:rtl/>
          <w:lang w:val="en-US" w:eastAsia="ja-JP" w:bidi="ar-YE"/>
        </w:rPr>
        <w:t> </w:t>
      </w:r>
      <w:proofErr w:type="spellStart"/>
      <w:r w:rsidRPr="007D20DB">
        <w:rPr>
          <w:rFonts w:ascii="AGaramondPro-Regular" w:hAnsi="AGaramondPro-Regular" w:cs="AGaramondPro-Regular"/>
          <w:color w:val="000000"/>
          <w:sz w:val="20"/>
          <w:szCs w:val="20"/>
          <w:lang w:val="en-US" w:eastAsia="ja-JP"/>
        </w:rPr>
        <w:t>GEStJ</w:t>
      </w:r>
      <w:proofErr w:type="spellEnd"/>
      <w:r w:rsidRPr="007D20DB">
        <w:rPr>
          <w:rFonts w:ascii="AGaramondPro-Regular" w:hAnsi="AGaramondPro-Regular" w:cs="AGaramondPro-Regular"/>
          <w:color w:val="000000"/>
          <w:sz w:val="20"/>
          <w:szCs w:val="20"/>
          <w:lang w:val="en-US" w:eastAsia="ja-JP"/>
        </w:rPr>
        <w:t xml:space="preserve"> &amp; Fleming</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P 2013, ‘Flower visitation by honey possums (</w:t>
      </w:r>
      <w:proofErr w:type="spellStart"/>
      <w:r w:rsidRPr="007D20DB">
        <w:rPr>
          <w:rFonts w:ascii="AGaramondPro-Italic" w:hAnsi="AGaramondPro-Italic" w:cs="AGaramondPro-Italic"/>
          <w:i/>
          <w:iCs/>
          <w:color w:val="000000"/>
          <w:sz w:val="20"/>
          <w:szCs w:val="20"/>
          <w:lang w:val="en-US" w:eastAsia="ja-JP"/>
        </w:rPr>
        <w:t>Tarsipes</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rostratus</w:t>
      </w:r>
      <w:proofErr w:type="spellEnd"/>
      <w:r w:rsidRPr="007D20DB">
        <w:rPr>
          <w:rFonts w:ascii="AGaramondPro-Regular" w:hAnsi="AGaramondPro-Regular" w:cs="AGaramondPro-Regular"/>
          <w:color w:val="000000"/>
          <w:sz w:val="20"/>
          <w:szCs w:val="20"/>
          <w:lang w:val="en-US" w:eastAsia="ja-JP"/>
        </w:rPr>
        <w:t xml:space="preserve">) in a coastal banksias </w:t>
      </w:r>
      <w:proofErr w:type="spellStart"/>
      <w:r w:rsidRPr="007D20DB">
        <w:rPr>
          <w:rFonts w:ascii="AGaramondPro-Regular" w:hAnsi="AGaramondPro-Regular" w:cs="AGaramondPro-Regular"/>
          <w:color w:val="000000"/>
          <w:sz w:val="20"/>
          <w:szCs w:val="20"/>
          <w:lang w:val="en-US" w:eastAsia="ja-JP"/>
        </w:rPr>
        <w:t>heathland</w:t>
      </w:r>
      <w:proofErr w:type="spellEnd"/>
      <w:r w:rsidRPr="007D20DB">
        <w:rPr>
          <w:rFonts w:ascii="AGaramondPro-Regular" w:hAnsi="AGaramondPro-Regular" w:cs="AGaramondPro-Regular"/>
          <w:color w:val="000000"/>
          <w:sz w:val="20"/>
          <w:szCs w:val="20"/>
          <w:lang w:val="en-US" w:eastAsia="ja-JP"/>
        </w:rPr>
        <w:t xml:space="preserve"> infested with the plant pathogen </w:t>
      </w:r>
      <w:proofErr w:type="spellStart"/>
      <w:r w:rsidRPr="007D20DB">
        <w:rPr>
          <w:rFonts w:ascii="AGaramondPro-Italic" w:hAnsi="AGaramondPro-Italic" w:cs="AGaramondPro-Italic"/>
          <w:i/>
          <w:iCs/>
          <w:color w:val="000000"/>
          <w:sz w:val="20"/>
          <w:szCs w:val="20"/>
          <w:lang w:val="en-US" w:eastAsia="ja-JP"/>
        </w:rPr>
        <w:t>Phytophthora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w:t>
      </w:r>
      <w:r w:rsidRPr="007D20DB">
        <w:rPr>
          <w:rFonts w:ascii="AGaramondPro-Italic" w:hAnsi="AGaramondPro-Italic" w:cs="AGaramondPro-Italic"/>
          <w:i/>
          <w:iCs/>
          <w:color w:val="000000"/>
          <w:sz w:val="20"/>
          <w:szCs w:val="20"/>
          <w:lang w:val="en-US" w:eastAsia="ja-JP"/>
        </w:rPr>
        <w:t xml:space="preserve"> Australian </w:t>
      </w:r>
      <w:proofErr w:type="spellStart"/>
      <w:r w:rsidRPr="007D20DB">
        <w:rPr>
          <w:rFonts w:ascii="AGaramondPro-Italic" w:hAnsi="AGaramondPro-Italic" w:cs="AGaramondPro-Italic"/>
          <w:i/>
          <w:iCs/>
          <w:color w:val="000000"/>
          <w:sz w:val="20"/>
          <w:szCs w:val="20"/>
          <w:lang w:val="en-US" w:eastAsia="ja-JP"/>
        </w:rPr>
        <w:t>Mammalogy</w:t>
      </w:r>
      <w:proofErr w:type="spellEnd"/>
      <w:r w:rsidRPr="007D20DB">
        <w:rPr>
          <w:rFonts w:ascii="AGaramondPro-Regular" w:hAnsi="AGaramondPro-Regular" w:cs="AGaramondPro-Regular"/>
          <w:color w:val="000000"/>
          <w:sz w:val="20"/>
          <w:szCs w:val="20"/>
          <w:lang w:val="en-US" w:eastAsia="ja-JP"/>
        </w:rPr>
        <w:t>, vol. 35(2), pp. 166–174.</w:t>
      </w:r>
    </w:p>
    <w:p w:rsidR="007D20DB" w:rsidRPr="007D20DB" w:rsidRDefault="007D20DB" w:rsidP="007D20DB">
      <w:pPr>
        <w:keepLines/>
        <w:widowControl w:val="0"/>
        <w:suppressAutoHyphens/>
        <w:autoSpaceDE w:val="0"/>
        <w:autoSpaceDN w:val="0"/>
        <w:adjustRightInd w:val="0"/>
        <w:spacing w:after="170" w:line="280" w:lineRule="atLeast"/>
        <w:ind w:left="720" w:hanging="720"/>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Dunne</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CP, Crane</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CE, Lee</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 xml:space="preserve">M, </w:t>
      </w:r>
      <w:proofErr w:type="spellStart"/>
      <w:r w:rsidRPr="007D20DB">
        <w:rPr>
          <w:rFonts w:ascii="AGaramondPro-Regular" w:hAnsi="AGaramondPro-Regular" w:cs="AGaramondPro-Regular"/>
          <w:color w:val="000000"/>
          <w:sz w:val="20"/>
          <w:szCs w:val="20"/>
          <w:lang w:val="en-US" w:eastAsia="ja-JP"/>
        </w:rPr>
        <w:t>Massenbauer</w:t>
      </w:r>
      <w:proofErr w:type="spellEnd"/>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 xml:space="preserve">T, </w:t>
      </w:r>
      <w:proofErr w:type="spellStart"/>
      <w:r w:rsidRPr="007D20DB">
        <w:rPr>
          <w:rFonts w:ascii="AGaramondPro-Regular" w:hAnsi="AGaramondPro-Regular" w:cs="AGaramondPro-Regular"/>
          <w:color w:val="000000"/>
          <w:sz w:val="20"/>
          <w:szCs w:val="20"/>
          <w:lang w:val="en-US" w:eastAsia="ja-JP"/>
        </w:rPr>
        <w:t>Barret</w:t>
      </w:r>
      <w:proofErr w:type="spellEnd"/>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S, Comer</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 xml:space="preserve">S, </w:t>
      </w:r>
      <w:proofErr w:type="spellStart"/>
      <w:r w:rsidRPr="007D20DB">
        <w:rPr>
          <w:rFonts w:ascii="AGaramondPro-Regular" w:hAnsi="AGaramondPro-Regular" w:cs="AGaramondPro-Regular"/>
          <w:color w:val="000000"/>
          <w:sz w:val="20"/>
          <w:szCs w:val="20"/>
          <w:lang w:val="en-US" w:eastAsia="ja-JP"/>
        </w:rPr>
        <w:t>Freebury</w:t>
      </w:r>
      <w:proofErr w:type="spellEnd"/>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 xml:space="preserve">GJC, </w:t>
      </w:r>
      <w:proofErr w:type="spellStart"/>
      <w:r w:rsidRPr="007D20DB">
        <w:rPr>
          <w:rFonts w:ascii="AGaramondPro-Regular" w:hAnsi="AGaramondPro-Regular" w:cs="AGaramondPro-Regular"/>
          <w:color w:val="000000"/>
          <w:sz w:val="20"/>
          <w:szCs w:val="20"/>
          <w:lang w:val="en-US" w:eastAsia="ja-JP"/>
        </w:rPr>
        <w:t>Utbe</w:t>
      </w:r>
      <w:proofErr w:type="spellEnd"/>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DJ, Grant</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MJ &amp; Shearer</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 xml:space="preserve">BL 2011, ‘A review of the catchment approach techniques used to manage a </w:t>
      </w:r>
      <w:proofErr w:type="spellStart"/>
      <w:r w:rsidRPr="007D20DB">
        <w:rPr>
          <w:rFonts w:ascii="AGaramondPro-Italic" w:hAnsi="AGaramondPro-Italic" w:cs="AGaramondPro-Italic"/>
          <w:i/>
          <w:iCs/>
          <w:color w:val="000000"/>
          <w:sz w:val="20"/>
          <w:szCs w:val="20"/>
          <w:lang w:val="en-US" w:eastAsia="ja-JP"/>
        </w:rPr>
        <w:t>Phytophthora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infestation of native plant communities of the Fitzgerald River National Park on the south coast of Western Australia’, </w:t>
      </w:r>
      <w:r w:rsidRPr="007D20DB">
        <w:rPr>
          <w:rFonts w:ascii="AGaramondPro-Italic" w:hAnsi="AGaramondPro-Italic" w:cs="AGaramondPro-Italic"/>
          <w:i/>
          <w:iCs/>
          <w:color w:val="000000"/>
          <w:sz w:val="20"/>
          <w:szCs w:val="20"/>
          <w:lang w:val="en-US" w:eastAsia="ja-JP"/>
        </w:rPr>
        <w:t>New Zealand Journal of Forestry Science</w:t>
      </w:r>
      <w:r w:rsidRPr="007D20DB">
        <w:rPr>
          <w:rFonts w:ascii="AGaramondPro-Regular" w:hAnsi="AGaramondPro-Regular" w:cs="AGaramondPro-Regular"/>
          <w:color w:val="000000"/>
          <w:sz w:val="20"/>
          <w:szCs w:val="20"/>
          <w:lang w:val="en-US" w:eastAsia="ja-JP"/>
        </w:rPr>
        <w:t>, vol. 41S, pp. 121–132.</w:t>
      </w:r>
    </w:p>
    <w:p w:rsidR="007D20DB" w:rsidRPr="007D20DB" w:rsidRDefault="007D20DB" w:rsidP="007D20DB">
      <w:pPr>
        <w:keepLines/>
        <w:widowControl w:val="0"/>
        <w:suppressAutoHyphens/>
        <w:autoSpaceDE w:val="0"/>
        <w:autoSpaceDN w:val="0"/>
        <w:adjustRightInd w:val="0"/>
        <w:spacing w:after="170" w:line="280" w:lineRule="atLeast"/>
        <w:ind w:left="720" w:hanging="720"/>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lastRenderedPageBreak/>
        <w:t>Dunstan</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WA, Rudman</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T, Shearer</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 xml:space="preserve">B, Moore N, </w:t>
      </w:r>
      <w:proofErr w:type="spellStart"/>
      <w:r w:rsidRPr="007D20DB">
        <w:rPr>
          <w:rFonts w:ascii="AGaramondPro-Regular" w:hAnsi="AGaramondPro-Regular" w:cs="AGaramondPro-Regular"/>
          <w:color w:val="000000"/>
          <w:sz w:val="20"/>
          <w:szCs w:val="20"/>
          <w:lang w:val="en-US" w:eastAsia="ja-JP"/>
        </w:rPr>
        <w:t>Paap</w:t>
      </w:r>
      <w:proofErr w:type="spellEnd"/>
      <w:r w:rsidRPr="007D20DB">
        <w:rPr>
          <w:rFonts w:ascii="AGaramondPro-Regular" w:hAnsi="AGaramondPro-Regular" w:cs="AGaramondPro-Regular"/>
          <w:color w:val="000000"/>
          <w:sz w:val="20"/>
          <w:szCs w:val="20"/>
          <w:rtl/>
          <w:lang w:val="en-US" w:eastAsia="ja-JP" w:bidi="ar-YE"/>
        </w:rPr>
        <w:t> T, Calver M, Dell </w:t>
      </w:r>
      <w:r w:rsidRPr="007D20DB">
        <w:rPr>
          <w:rFonts w:ascii="AGaramondPro-Regular" w:hAnsi="AGaramondPro-Regular" w:cs="AGaramondPro-Regular"/>
          <w:color w:val="000000"/>
          <w:sz w:val="20"/>
          <w:szCs w:val="20"/>
          <w:lang w:val="en-US" w:eastAsia="ja-JP"/>
        </w:rPr>
        <w:t>B &amp; Hardy</w:t>
      </w:r>
      <w:r w:rsidRPr="007D20DB">
        <w:rPr>
          <w:rFonts w:ascii="AGaramondPro-Regular" w:hAnsi="AGaramondPro-Regular" w:cs="AGaramondPro-Regular"/>
          <w:color w:val="000000"/>
          <w:sz w:val="20"/>
          <w:szCs w:val="20"/>
          <w:rtl/>
          <w:lang w:val="en-US" w:eastAsia="ja-JP" w:bidi="ar-YE"/>
        </w:rPr>
        <w:t> </w:t>
      </w:r>
      <w:proofErr w:type="spellStart"/>
      <w:r w:rsidRPr="007D20DB">
        <w:rPr>
          <w:rFonts w:ascii="AGaramondPro-Regular" w:hAnsi="AGaramondPro-Regular" w:cs="AGaramondPro-Regular"/>
          <w:color w:val="000000"/>
          <w:sz w:val="20"/>
          <w:szCs w:val="20"/>
          <w:lang w:val="en-US" w:eastAsia="ja-JP"/>
        </w:rPr>
        <w:t>GEStJ</w:t>
      </w:r>
      <w:proofErr w:type="spellEnd"/>
      <w:r w:rsidRPr="007D20DB">
        <w:rPr>
          <w:rFonts w:ascii="AGaramondPro-Regular" w:hAnsi="AGaramondPro-Regular" w:cs="AGaramondPro-Regular"/>
          <w:color w:val="000000"/>
          <w:sz w:val="20"/>
          <w:szCs w:val="20"/>
          <w:lang w:val="en-US" w:eastAsia="ja-JP"/>
        </w:rPr>
        <w:t xml:space="preserve"> 2010, ‘Containment and spot eradication of a highly destructive, invasive plant pathogen (</w:t>
      </w:r>
      <w:proofErr w:type="spellStart"/>
      <w:r w:rsidRPr="007D20DB">
        <w:rPr>
          <w:rFonts w:ascii="AGaramondPro-Italic" w:hAnsi="AGaramondPro-Italic" w:cs="AGaramondPro-Italic"/>
          <w:i/>
          <w:iCs/>
          <w:color w:val="000000"/>
          <w:sz w:val="20"/>
          <w:szCs w:val="20"/>
          <w:lang w:val="en-US" w:eastAsia="ja-JP"/>
        </w:rPr>
        <w:t>Phytophthora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in natural ecosystems’, </w:t>
      </w:r>
      <w:r w:rsidRPr="007D20DB">
        <w:rPr>
          <w:rFonts w:ascii="AGaramondPro-Italic" w:hAnsi="AGaramondPro-Italic" w:cs="AGaramondPro-Italic"/>
          <w:i/>
          <w:iCs/>
          <w:color w:val="000000"/>
          <w:sz w:val="20"/>
          <w:szCs w:val="20"/>
          <w:lang w:val="en-US" w:eastAsia="ja-JP"/>
        </w:rPr>
        <w:t xml:space="preserve">Biological </w:t>
      </w:r>
      <w:r w:rsidRPr="007D20DB">
        <w:rPr>
          <w:rFonts w:ascii="AGaramondPro-Regular" w:hAnsi="AGaramondPro-Regular" w:cs="AGaramondPro-Regular"/>
          <w:color w:val="000000"/>
          <w:sz w:val="20"/>
          <w:szCs w:val="20"/>
          <w:lang w:val="en-US" w:eastAsia="ja-JP"/>
        </w:rPr>
        <w:t>invasions, vol. 12(4), pp. 913–925.</w:t>
      </w:r>
    </w:p>
    <w:p w:rsidR="007D20DB" w:rsidRPr="007D20DB" w:rsidRDefault="007D20DB" w:rsidP="007D20DB">
      <w:pPr>
        <w:keepLines/>
        <w:widowControl w:val="0"/>
        <w:suppressAutoHyphens/>
        <w:autoSpaceDE w:val="0"/>
        <w:autoSpaceDN w:val="0"/>
        <w:adjustRightInd w:val="0"/>
        <w:spacing w:after="170" w:line="280" w:lineRule="atLeast"/>
        <w:ind w:left="720" w:hanging="720"/>
        <w:textAlignment w:val="center"/>
        <w:rPr>
          <w:rFonts w:ascii="AGaramondPro-Regular" w:hAnsi="AGaramondPro-Regular" w:cs="AGaramondPro-Regular"/>
          <w:color w:val="000000"/>
          <w:sz w:val="20"/>
          <w:szCs w:val="20"/>
          <w:lang w:val="en-US" w:eastAsia="ja-JP"/>
        </w:rPr>
      </w:pPr>
      <w:proofErr w:type="gramStart"/>
      <w:r w:rsidRPr="007D20DB">
        <w:rPr>
          <w:rFonts w:ascii="AGaramondPro-Regular" w:hAnsi="AGaramondPro-Regular" w:cs="AGaramondPro-Regular"/>
          <w:color w:val="000000"/>
          <w:sz w:val="20"/>
          <w:szCs w:val="20"/>
          <w:lang w:val="en-US" w:eastAsia="ja-JP"/>
        </w:rPr>
        <w:t xml:space="preserve">Environment Australia 2001, </w:t>
      </w:r>
      <w:r w:rsidRPr="007D20DB">
        <w:rPr>
          <w:rFonts w:ascii="AGaramondPro-Italic" w:hAnsi="AGaramondPro-Italic" w:cs="AGaramondPro-Italic"/>
          <w:i/>
          <w:iCs/>
          <w:color w:val="000000"/>
          <w:sz w:val="20"/>
          <w:szCs w:val="20"/>
          <w:lang w:val="en-US" w:eastAsia="ja-JP"/>
        </w:rPr>
        <w:t>Threat abatement plan for dieback caused by the root-rot fungus (</w:t>
      </w:r>
      <w:proofErr w:type="spellStart"/>
      <w:r w:rsidRPr="007D20DB">
        <w:rPr>
          <w:rFonts w:ascii="AGaramondPro-Italic" w:hAnsi="AGaramondPro-Italic" w:cs="AGaramondPro-Italic"/>
          <w:i/>
          <w:iCs/>
          <w:color w:val="000000"/>
          <w:sz w:val="20"/>
          <w:szCs w:val="20"/>
          <w:lang w:val="en-US" w:eastAsia="ja-JP"/>
        </w:rPr>
        <w:t>Phytophthora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Italic" w:hAnsi="AGaramondPro-Italic" w:cs="AGaramondPro-Italic"/>
          <w:i/>
          <w:iCs/>
          <w:color w:val="000000"/>
          <w:sz w:val="20"/>
          <w:szCs w:val="20"/>
          <w:lang w:val="en-US" w:eastAsia="ja-JP"/>
        </w:rPr>
        <w:t>)</w:t>
      </w:r>
      <w:r w:rsidRPr="007D20DB">
        <w:rPr>
          <w:rFonts w:ascii="AGaramondPro-Regular" w:hAnsi="AGaramondPro-Regular" w:cs="AGaramondPro-Regular"/>
          <w:color w:val="000000"/>
          <w:sz w:val="20"/>
          <w:szCs w:val="20"/>
          <w:lang w:val="en-US" w:eastAsia="ja-JP"/>
        </w:rPr>
        <w:t>, Environment Australia, Canberra, Australian Capital Territory.</w:t>
      </w:r>
      <w:proofErr w:type="gramEnd"/>
    </w:p>
    <w:p w:rsidR="007D20DB" w:rsidRPr="007D20DB" w:rsidRDefault="007D20DB" w:rsidP="007D20DB">
      <w:pPr>
        <w:keepLines/>
        <w:widowControl w:val="0"/>
        <w:suppressAutoHyphens/>
        <w:autoSpaceDE w:val="0"/>
        <w:autoSpaceDN w:val="0"/>
        <w:adjustRightInd w:val="0"/>
        <w:spacing w:after="170" w:line="280" w:lineRule="atLeast"/>
        <w:ind w:left="720" w:hanging="720"/>
        <w:textAlignment w:val="center"/>
        <w:rPr>
          <w:rFonts w:ascii="AGaramondPro-Regular" w:hAnsi="AGaramondPro-Regular" w:cs="AGaramondPro-Regular"/>
          <w:color w:val="000000"/>
          <w:sz w:val="20"/>
          <w:szCs w:val="20"/>
          <w:lang w:val="en-US" w:eastAsia="ja-JP"/>
        </w:rPr>
      </w:pPr>
      <w:proofErr w:type="spellStart"/>
      <w:r w:rsidRPr="007D20DB">
        <w:rPr>
          <w:rFonts w:ascii="AGaramondPro-Regular" w:hAnsi="AGaramondPro-Regular" w:cs="AGaramondPro-Regular"/>
          <w:color w:val="000000"/>
          <w:sz w:val="20"/>
          <w:szCs w:val="20"/>
          <w:lang w:val="en-US" w:eastAsia="ja-JP"/>
        </w:rPr>
        <w:t>Garkaklis</w:t>
      </w:r>
      <w:proofErr w:type="spellEnd"/>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 xml:space="preserve">MJ, </w:t>
      </w:r>
      <w:proofErr w:type="spellStart"/>
      <w:r w:rsidRPr="007D20DB">
        <w:rPr>
          <w:rFonts w:ascii="AGaramondPro-Regular" w:hAnsi="AGaramondPro-Regular" w:cs="AGaramondPro-Regular"/>
          <w:color w:val="000000"/>
          <w:sz w:val="20"/>
          <w:szCs w:val="20"/>
          <w:lang w:val="en-US" w:eastAsia="ja-JP"/>
        </w:rPr>
        <w:t>Calver</w:t>
      </w:r>
      <w:proofErr w:type="spellEnd"/>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MC, Wilson</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BA &amp; Hardy</w:t>
      </w:r>
      <w:r w:rsidRPr="007D20DB">
        <w:rPr>
          <w:rFonts w:ascii="AGaramondPro-Regular" w:hAnsi="AGaramondPro-Regular" w:cs="AGaramondPro-Regular"/>
          <w:color w:val="000000"/>
          <w:sz w:val="20"/>
          <w:szCs w:val="20"/>
          <w:rtl/>
          <w:lang w:val="en-US" w:eastAsia="ja-JP" w:bidi="ar-YE"/>
        </w:rPr>
        <w:t> </w:t>
      </w:r>
      <w:proofErr w:type="spellStart"/>
      <w:r w:rsidRPr="007D20DB">
        <w:rPr>
          <w:rFonts w:ascii="AGaramondPro-Regular" w:hAnsi="AGaramondPro-Regular" w:cs="AGaramondPro-Regular"/>
          <w:color w:val="000000"/>
          <w:sz w:val="20"/>
          <w:szCs w:val="20"/>
          <w:lang w:val="en-US" w:eastAsia="ja-JP"/>
        </w:rPr>
        <w:t>GEStJ</w:t>
      </w:r>
      <w:proofErr w:type="spellEnd"/>
      <w:r w:rsidRPr="007D20DB">
        <w:rPr>
          <w:rFonts w:ascii="AGaramondPro-Regular" w:hAnsi="AGaramondPro-Regular" w:cs="AGaramondPro-Regular"/>
          <w:color w:val="000000"/>
          <w:sz w:val="20"/>
          <w:szCs w:val="20"/>
          <w:lang w:val="en-US" w:eastAsia="ja-JP"/>
        </w:rPr>
        <w:t xml:space="preserve"> 2004, ‘Habitat alteration caused by an introduced plant disease, </w:t>
      </w:r>
      <w:proofErr w:type="spellStart"/>
      <w:r w:rsidRPr="007D20DB">
        <w:rPr>
          <w:rFonts w:ascii="AGaramondPro-Italic" w:hAnsi="AGaramondPro-Italic" w:cs="AGaramondPro-Italic"/>
          <w:i/>
          <w:iCs/>
          <w:color w:val="000000"/>
          <w:sz w:val="20"/>
          <w:szCs w:val="20"/>
          <w:lang w:val="en-US" w:eastAsia="ja-JP"/>
        </w:rPr>
        <w:t>Phytophthora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a potential threat to the conservation of Australian forest fauna’, in </w:t>
      </w:r>
      <w:proofErr w:type="spellStart"/>
      <w:r w:rsidRPr="007D20DB">
        <w:rPr>
          <w:rFonts w:ascii="AGaramondPro-Regular" w:hAnsi="AGaramondPro-Regular" w:cs="AGaramondPro-Regular"/>
          <w:color w:val="000000"/>
          <w:sz w:val="20"/>
          <w:szCs w:val="20"/>
          <w:lang w:val="en-US" w:eastAsia="ja-JP"/>
        </w:rPr>
        <w:t>Lunney</w:t>
      </w:r>
      <w:proofErr w:type="spellEnd"/>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D (</w:t>
      </w:r>
      <w:proofErr w:type="spellStart"/>
      <w:r w:rsidRPr="007D20DB">
        <w:rPr>
          <w:rFonts w:ascii="AGaramondPro-Regular" w:hAnsi="AGaramondPro-Regular" w:cs="AGaramondPro-Regular"/>
          <w:color w:val="000000"/>
          <w:sz w:val="20"/>
          <w:szCs w:val="20"/>
          <w:lang w:val="en-US" w:eastAsia="ja-JP"/>
        </w:rPr>
        <w:t>ed</w:t>
      </w:r>
      <w:proofErr w:type="spellEnd"/>
      <w:r w:rsidRPr="007D20DB">
        <w:rPr>
          <w:rFonts w:ascii="AGaramondPro-Regular" w:hAnsi="AGaramondPro-Regular" w:cs="AGaramondPro-Regular"/>
          <w:color w:val="000000"/>
          <w:sz w:val="20"/>
          <w:szCs w:val="20"/>
          <w:lang w:val="en-US" w:eastAsia="ja-JP"/>
        </w:rPr>
        <w:t xml:space="preserve">), </w:t>
      </w:r>
      <w:r w:rsidRPr="007D20DB">
        <w:rPr>
          <w:rFonts w:ascii="AGaramondPro-Italic" w:hAnsi="AGaramondPro-Italic" w:cs="AGaramondPro-Italic"/>
          <w:i/>
          <w:iCs/>
          <w:color w:val="000000"/>
          <w:sz w:val="20"/>
          <w:szCs w:val="20"/>
          <w:lang w:val="en-US" w:eastAsia="ja-JP"/>
        </w:rPr>
        <w:t>The Conservation of Australia’s Forest Fauna</w:t>
      </w:r>
      <w:r w:rsidRPr="007D20DB">
        <w:rPr>
          <w:rFonts w:ascii="AGaramondPro-Regular" w:hAnsi="AGaramondPro-Regular" w:cs="AGaramondPro-Regular"/>
          <w:color w:val="000000"/>
          <w:sz w:val="20"/>
          <w:szCs w:val="20"/>
          <w:lang w:val="en-US" w:eastAsia="ja-JP"/>
        </w:rPr>
        <w:t>, 2</w:t>
      </w:r>
      <w:r w:rsidRPr="007D20DB">
        <w:rPr>
          <w:rFonts w:ascii="AGaramondPro-Regular" w:hAnsi="AGaramondPro-Regular" w:cs="AGaramondPro-Regular"/>
          <w:color w:val="000000"/>
          <w:sz w:val="20"/>
          <w:szCs w:val="20"/>
          <w:vertAlign w:val="superscript"/>
          <w:lang w:val="en-US" w:eastAsia="ja-JP"/>
        </w:rPr>
        <w:t>nd</w:t>
      </w:r>
      <w:r w:rsidRPr="007D20DB">
        <w:rPr>
          <w:rFonts w:ascii="AGaramondPro-Regular" w:hAnsi="AGaramondPro-Regular" w:cs="AGaramondPro-Regular"/>
          <w:color w:val="000000"/>
          <w:sz w:val="20"/>
          <w:szCs w:val="20"/>
          <w:rtl/>
          <w:lang w:val="en-US" w:eastAsia="ja-JP" w:bidi="ar-YE"/>
        </w:rPr>
        <w:t> </w:t>
      </w:r>
      <w:proofErr w:type="spellStart"/>
      <w:r w:rsidRPr="007D20DB">
        <w:rPr>
          <w:rFonts w:ascii="AGaramondPro-Regular" w:hAnsi="AGaramondPro-Regular" w:cs="AGaramondPro-Regular"/>
          <w:color w:val="000000"/>
          <w:sz w:val="20"/>
          <w:szCs w:val="20"/>
          <w:lang w:val="en-US" w:eastAsia="ja-JP"/>
        </w:rPr>
        <w:t>edn</w:t>
      </w:r>
      <w:proofErr w:type="spellEnd"/>
      <w:r w:rsidRPr="007D20DB">
        <w:rPr>
          <w:rFonts w:ascii="AGaramondPro-Regular" w:hAnsi="AGaramondPro-Regular" w:cs="AGaramondPro-Regular"/>
          <w:color w:val="000000"/>
          <w:sz w:val="20"/>
          <w:szCs w:val="20"/>
          <w:lang w:val="en-US" w:eastAsia="ja-JP"/>
        </w:rPr>
        <w:t xml:space="preserve">, pp. 899–913, Royal Zoological Society of New South Wales, </w:t>
      </w:r>
      <w:proofErr w:type="spellStart"/>
      <w:r w:rsidRPr="007D20DB">
        <w:rPr>
          <w:rFonts w:ascii="AGaramondPro-Regular" w:hAnsi="AGaramondPro-Regular" w:cs="AGaramondPro-Regular"/>
          <w:color w:val="000000"/>
          <w:sz w:val="20"/>
          <w:szCs w:val="20"/>
          <w:lang w:val="en-US" w:eastAsia="ja-JP"/>
        </w:rPr>
        <w:t>Mosman</w:t>
      </w:r>
      <w:proofErr w:type="spellEnd"/>
      <w:r w:rsidRPr="007D20DB">
        <w:rPr>
          <w:rFonts w:ascii="AGaramondPro-Regular" w:hAnsi="AGaramondPro-Regular" w:cs="AGaramondPro-Regular"/>
          <w:color w:val="000000"/>
          <w:sz w:val="20"/>
          <w:szCs w:val="20"/>
          <w:lang w:val="en-US" w:eastAsia="ja-JP"/>
        </w:rPr>
        <w:t>, New South Wales.</w:t>
      </w:r>
    </w:p>
    <w:p w:rsidR="007D20DB" w:rsidRPr="007D20DB" w:rsidRDefault="007D20DB" w:rsidP="007D20DB">
      <w:pPr>
        <w:keepLines/>
        <w:widowControl w:val="0"/>
        <w:suppressAutoHyphens/>
        <w:autoSpaceDE w:val="0"/>
        <w:autoSpaceDN w:val="0"/>
        <w:adjustRightInd w:val="0"/>
        <w:spacing w:after="170" w:line="280" w:lineRule="atLeast"/>
        <w:ind w:left="720" w:hanging="720"/>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Groves</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E, Hardy</w:t>
      </w:r>
      <w:r w:rsidRPr="007D20DB">
        <w:rPr>
          <w:rFonts w:ascii="AGaramondPro-Regular" w:hAnsi="AGaramondPro-Regular" w:cs="AGaramondPro-Regular"/>
          <w:color w:val="000000"/>
          <w:sz w:val="20"/>
          <w:szCs w:val="20"/>
          <w:rtl/>
          <w:lang w:val="en-US" w:eastAsia="ja-JP" w:bidi="ar-YE"/>
        </w:rPr>
        <w:t> </w:t>
      </w:r>
      <w:proofErr w:type="spellStart"/>
      <w:r w:rsidRPr="007D20DB">
        <w:rPr>
          <w:rFonts w:ascii="AGaramondPro-Regular" w:hAnsi="AGaramondPro-Regular" w:cs="AGaramondPro-Regular"/>
          <w:color w:val="000000"/>
          <w:sz w:val="20"/>
          <w:szCs w:val="20"/>
          <w:lang w:val="en-US" w:eastAsia="ja-JP"/>
        </w:rPr>
        <w:t>GEStJ</w:t>
      </w:r>
      <w:proofErr w:type="spellEnd"/>
      <w:r w:rsidRPr="007D20DB">
        <w:rPr>
          <w:rFonts w:ascii="AGaramondPro-Regular" w:hAnsi="AGaramondPro-Regular" w:cs="AGaramondPro-Regular"/>
          <w:color w:val="000000"/>
          <w:sz w:val="20"/>
          <w:szCs w:val="20"/>
          <w:lang w:val="en-US" w:eastAsia="ja-JP"/>
        </w:rPr>
        <w:t xml:space="preserve"> &amp; </w:t>
      </w:r>
      <w:proofErr w:type="spellStart"/>
      <w:r w:rsidRPr="007D20DB">
        <w:rPr>
          <w:rFonts w:ascii="AGaramondPro-Regular" w:hAnsi="AGaramondPro-Regular" w:cs="AGaramondPro-Regular"/>
          <w:color w:val="000000"/>
          <w:sz w:val="20"/>
          <w:szCs w:val="20"/>
          <w:lang w:val="en-US" w:eastAsia="ja-JP"/>
        </w:rPr>
        <w:t>McComb</w:t>
      </w:r>
      <w:proofErr w:type="spellEnd"/>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 xml:space="preserve">J 2009a, </w:t>
      </w:r>
      <w:r w:rsidRPr="007D20DB">
        <w:rPr>
          <w:rFonts w:ascii="AGaramondPro-Italic" w:hAnsi="AGaramondPro-Italic" w:cs="AGaramondPro-Italic"/>
          <w:i/>
          <w:iCs/>
          <w:color w:val="000000"/>
          <w:sz w:val="20"/>
          <w:szCs w:val="20"/>
          <w:lang w:val="en-US" w:eastAsia="ja-JP"/>
        </w:rPr>
        <w:t>Native garden plants resistant to dieback (</w:t>
      </w:r>
      <w:proofErr w:type="spellStart"/>
      <w:r w:rsidRPr="007D20DB">
        <w:rPr>
          <w:rFonts w:ascii="AGaramondPro-Italic" w:hAnsi="AGaramondPro-Italic" w:cs="AGaramondPro-Italic"/>
          <w:i/>
          <w:iCs/>
          <w:color w:val="000000"/>
          <w:sz w:val="20"/>
          <w:szCs w:val="20"/>
          <w:lang w:val="en-US" w:eastAsia="ja-JP"/>
        </w:rPr>
        <w:t>Phytophthora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Italic" w:hAnsi="AGaramondPro-Italic" w:cs="AGaramondPro-Italic"/>
          <w:i/>
          <w:iCs/>
          <w:color w:val="000000"/>
          <w:sz w:val="20"/>
          <w:szCs w:val="20"/>
          <w:lang w:val="en-US" w:eastAsia="ja-JP"/>
        </w:rPr>
        <w:t>)</w:t>
      </w:r>
      <w:r w:rsidRPr="007D20DB">
        <w:rPr>
          <w:rFonts w:ascii="AGaramondPro-Regular" w:hAnsi="AGaramondPro-Regular" w:cs="AGaramondPro-Regular"/>
          <w:color w:val="000000"/>
          <w:sz w:val="20"/>
          <w:szCs w:val="20"/>
          <w:lang w:val="en-US" w:eastAsia="ja-JP"/>
        </w:rPr>
        <w:t>, Murdoch University, Perth, Western Australia, &lt;www.dwg.org.au/files/Dieback%20brochure%202009.pdf&gt;.</w:t>
      </w:r>
    </w:p>
    <w:p w:rsidR="007D20DB" w:rsidRPr="007D20DB" w:rsidRDefault="007D20DB" w:rsidP="007D20DB">
      <w:pPr>
        <w:keepLines/>
        <w:widowControl w:val="0"/>
        <w:suppressAutoHyphens/>
        <w:autoSpaceDE w:val="0"/>
        <w:autoSpaceDN w:val="0"/>
        <w:adjustRightInd w:val="0"/>
        <w:spacing w:after="170" w:line="280" w:lineRule="atLeast"/>
        <w:ind w:left="720" w:hanging="720"/>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Groves</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E, Hardy</w:t>
      </w:r>
      <w:r w:rsidRPr="007D20DB">
        <w:rPr>
          <w:rFonts w:ascii="AGaramondPro-Regular" w:hAnsi="AGaramondPro-Regular" w:cs="AGaramondPro-Regular"/>
          <w:color w:val="000000"/>
          <w:sz w:val="20"/>
          <w:szCs w:val="20"/>
          <w:rtl/>
          <w:lang w:val="en-US" w:eastAsia="ja-JP" w:bidi="ar-YE"/>
        </w:rPr>
        <w:t> </w:t>
      </w:r>
      <w:proofErr w:type="spellStart"/>
      <w:r w:rsidRPr="007D20DB">
        <w:rPr>
          <w:rFonts w:ascii="AGaramondPro-Regular" w:hAnsi="AGaramondPro-Regular" w:cs="AGaramondPro-Regular"/>
          <w:color w:val="000000"/>
          <w:sz w:val="20"/>
          <w:szCs w:val="20"/>
          <w:lang w:val="en-US" w:eastAsia="ja-JP"/>
        </w:rPr>
        <w:t>GEStJ</w:t>
      </w:r>
      <w:proofErr w:type="spellEnd"/>
      <w:r w:rsidRPr="007D20DB">
        <w:rPr>
          <w:rFonts w:ascii="AGaramondPro-Regular" w:hAnsi="AGaramondPro-Regular" w:cs="AGaramondPro-Regular"/>
          <w:color w:val="000000"/>
          <w:sz w:val="20"/>
          <w:szCs w:val="20"/>
          <w:lang w:val="en-US" w:eastAsia="ja-JP"/>
        </w:rPr>
        <w:t xml:space="preserve"> &amp; </w:t>
      </w:r>
      <w:proofErr w:type="spellStart"/>
      <w:r w:rsidRPr="007D20DB">
        <w:rPr>
          <w:rFonts w:ascii="AGaramondPro-Regular" w:hAnsi="AGaramondPro-Regular" w:cs="AGaramondPro-Regular"/>
          <w:color w:val="000000"/>
          <w:sz w:val="20"/>
          <w:szCs w:val="20"/>
          <w:lang w:val="en-US" w:eastAsia="ja-JP"/>
        </w:rPr>
        <w:t>McComb</w:t>
      </w:r>
      <w:proofErr w:type="spellEnd"/>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 xml:space="preserve">J 2009b, </w:t>
      </w:r>
      <w:r w:rsidRPr="007D20DB">
        <w:rPr>
          <w:rFonts w:ascii="AGaramondPro-Italic" w:hAnsi="AGaramondPro-Italic" w:cs="AGaramondPro-Italic"/>
          <w:i/>
          <w:iCs/>
          <w:color w:val="000000"/>
          <w:sz w:val="20"/>
          <w:szCs w:val="20"/>
          <w:lang w:val="en-US" w:eastAsia="ja-JP"/>
        </w:rPr>
        <w:t xml:space="preserve">Western Australian natives resistant to </w:t>
      </w:r>
      <w:proofErr w:type="spellStart"/>
      <w:r w:rsidRPr="007D20DB">
        <w:rPr>
          <w:rFonts w:ascii="AGaramondPro-Italic" w:hAnsi="AGaramondPro-Italic" w:cs="AGaramondPro-Italic"/>
          <w:i/>
          <w:iCs/>
          <w:color w:val="000000"/>
          <w:sz w:val="20"/>
          <w:szCs w:val="20"/>
          <w:lang w:val="en-US" w:eastAsia="ja-JP"/>
        </w:rPr>
        <w:t>Phytophthora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Murdoch University, Perth, Western Australia, &lt;www.dwg.org.au/files/Western%20Australian%20Natives%20Resistant.pdf&gt;.</w:t>
      </w:r>
    </w:p>
    <w:p w:rsidR="007D20DB" w:rsidRPr="007D20DB" w:rsidRDefault="007D20DB" w:rsidP="007D20DB">
      <w:pPr>
        <w:keepLines/>
        <w:widowControl w:val="0"/>
        <w:suppressAutoHyphens/>
        <w:autoSpaceDE w:val="0"/>
        <w:autoSpaceDN w:val="0"/>
        <w:adjustRightInd w:val="0"/>
        <w:spacing w:after="170" w:line="280" w:lineRule="atLeast"/>
        <w:ind w:left="720" w:hanging="720"/>
        <w:textAlignment w:val="center"/>
        <w:rPr>
          <w:rFonts w:ascii="AGaramondPro-Regular" w:hAnsi="AGaramondPro-Regular" w:cs="AGaramondPro-Regular"/>
          <w:color w:val="000000"/>
          <w:sz w:val="20"/>
          <w:szCs w:val="20"/>
          <w:lang w:val="en-US" w:eastAsia="ja-JP"/>
        </w:rPr>
      </w:pPr>
      <w:proofErr w:type="spellStart"/>
      <w:r w:rsidRPr="007D20DB">
        <w:rPr>
          <w:rFonts w:ascii="AGaramondPro-Regular" w:hAnsi="AGaramondPro-Regular" w:cs="AGaramondPro-Regular"/>
          <w:color w:val="000000"/>
          <w:sz w:val="20"/>
          <w:szCs w:val="20"/>
          <w:lang w:val="en-US" w:eastAsia="ja-JP"/>
        </w:rPr>
        <w:t>Hardham</w:t>
      </w:r>
      <w:proofErr w:type="spellEnd"/>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AR 2005, ‘Pathogen profile—</w:t>
      </w:r>
      <w:proofErr w:type="spellStart"/>
      <w:r w:rsidRPr="007D20DB">
        <w:rPr>
          <w:rFonts w:ascii="AGaramondPro-Italic" w:hAnsi="AGaramondPro-Italic" w:cs="AGaramondPro-Italic"/>
          <w:i/>
          <w:iCs/>
          <w:color w:val="000000"/>
          <w:sz w:val="20"/>
          <w:szCs w:val="20"/>
          <w:lang w:val="en-US" w:eastAsia="ja-JP"/>
        </w:rPr>
        <w:t>Phytophthora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w:t>
      </w:r>
      <w:r w:rsidRPr="007D20DB">
        <w:rPr>
          <w:rFonts w:ascii="AGaramondPro-Italic" w:hAnsi="AGaramondPro-Italic" w:cs="AGaramondPro-Italic"/>
          <w:i/>
          <w:iCs/>
          <w:color w:val="000000"/>
          <w:sz w:val="20"/>
          <w:szCs w:val="20"/>
          <w:lang w:val="en-US" w:eastAsia="ja-JP"/>
        </w:rPr>
        <w:t xml:space="preserve">Molecular Plant Pathology </w:t>
      </w:r>
      <w:r w:rsidRPr="007D20DB">
        <w:rPr>
          <w:rFonts w:ascii="AGaramondPro-Regular" w:hAnsi="AGaramondPro-Regular" w:cs="AGaramondPro-Regular"/>
          <w:color w:val="000000"/>
          <w:sz w:val="20"/>
          <w:szCs w:val="20"/>
          <w:lang w:val="en-US" w:eastAsia="ja-JP"/>
        </w:rPr>
        <w:t>vol. 6(6), pp. 589–604.</w:t>
      </w:r>
    </w:p>
    <w:p w:rsidR="007D20DB" w:rsidRPr="007D20DB" w:rsidRDefault="007D20DB" w:rsidP="007D20DB">
      <w:pPr>
        <w:keepLines/>
        <w:widowControl w:val="0"/>
        <w:suppressAutoHyphens/>
        <w:autoSpaceDE w:val="0"/>
        <w:autoSpaceDN w:val="0"/>
        <w:adjustRightInd w:val="0"/>
        <w:spacing w:after="170" w:line="280" w:lineRule="atLeast"/>
        <w:ind w:left="720" w:hanging="720"/>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Howard</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 xml:space="preserve">CG 2008, </w:t>
      </w:r>
      <w:proofErr w:type="gramStart"/>
      <w:r w:rsidRPr="007D20DB">
        <w:rPr>
          <w:rFonts w:ascii="AGaramondPro-Italic" w:hAnsi="AGaramondPro-Italic" w:cs="AGaramondPro-Italic"/>
          <w:i/>
          <w:iCs/>
          <w:color w:val="000000"/>
          <w:sz w:val="20"/>
          <w:szCs w:val="20"/>
          <w:lang w:val="en-US" w:eastAsia="ja-JP"/>
        </w:rPr>
        <w:t>A</w:t>
      </w:r>
      <w:proofErr w:type="gramEnd"/>
      <w:r w:rsidRPr="007D20DB">
        <w:rPr>
          <w:rFonts w:ascii="AGaramondPro-Italic" w:hAnsi="AGaramondPro-Italic" w:cs="AGaramondPro-Italic"/>
          <w:i/>
          <w:iCs/>
          <w:color w:val="000000"/>
          <w:sz w:val="20"/>
          <w:szCs w:val="20"/>
          <w:lang w:val="en-US" w:eastAsia="ja-JP"/>
        </w:rPr>
        <w:t xml:space="preserve"> contemporary study of the genetic variation of </w:t>
      </w:r>
      <w:proofErr w:type="spellStart"/>
      <w:r w:rsidRPr="007D20DB">
        <w:rPr>
          <w:rFonts w:ascii="AGaramondPro-Italic" w:hAnsi="AGaramondPro-Italic" w:cs="AGaramondPro-Italic"/>
          <w:i/>
          <w:iCs/>
          <w:color w:val="000000"/>
          <w:sz w:val="20"/>
          <w:szCs w:val="20"/>
          <w:lang w:val="en-US" w:eastAsia="ja-JP"/>
        </w:rPr>
        <w:t>Phytophthora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Italic" w:hAnsi="AGaramondPro-Italic" w:cs="AGaramondPro-Italic"/>
          <w:i/>
          <w:iCs/>
          <w:color w:val="000000"/>
          <w:sz w:val="20"/>
          <w:szCs w:val="20"/>
          <w:lang w:val="en-US" w:eastAsia="ja-JP"/>
        </w:rPr>
        <w:t xml:space="preserve"> recovered from natural ecosystems of New South Wales</w:t>
      </w:r>
      <w:r w:rsidRPr="007D20DB">
        <w:rPr>
          <w:rFonts w:ascii="AGaramondPro-Regular" w:hAnsi="AGaramondPro-Regular" w:cs="AGaramondPro-Regular"/>
          <w:color w:val="000000"/>
          <w:sz w:val="20"/>
          <w:szCs w:val="20"/>
          <w:lang w:val="en-US" w:eastAsia="ja-JP"/>
        </w:rPr>
        <w:t>, PhD thesis, University of Sydney, Sydney, New South Wales.</w:t>
      </w:r>
    </w:p>
    <w:p w:rsidR="007D20DB" w:rsidRPr="007D20DB" w:rsidRDefault="007D20DB" w:rsidP="007D20DB">
      <w:pPr>
        <w:keepLines/>
        <w:widowControl w:val="0"/>
        <w:suppressAutoHyphens/>
        <w:autoSpaceDE w:val="0"/>
        <w:autoSpaceDN w:val="0"/>
        <w:adjustRightInd w:val="0"/>
        <w:spacing w:after="170" w:line="280" w:lineRule="atLeast"/>
        <w:ind w:left="720" w:hanging="720"/>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Keith</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D, McDougall</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K, Simpson</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C &amp; Walsh</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 xml:space="preserve">J 2011, </w:t>
      </w:r>
      <w:r w:rsidRPr="007D20DB">
        <w:rPr>
          <w:rFonts w:ascii="AGaramondPro-Italic" w:hAnsi="AGaramondPro-Italic" w:cs="AGaramondPro-Italic"/>
          <w:i/>
          <w:iCs/>
          <w:color w:val="000000"/>
          <w:sz w:val="20"/>
          <w:szCs w:val="20"/>
          <w:lang w:val="en-US" w:eastAsia="ja-JP"/>
        </w:rPr>
        <w:t xml:space="preserve">Are there spatial patterns in threats posed by root rot disease, </w:t>
      </w:r>
      <w:proofErr w:type="spellStart"/>
      <w:r w:rsidRPr="007D20DB">
        <w:rPr>
          <w:rFonts w:ascii="AGaramondPro-Italic" w:hAnsi="AGaramondPro-Italic" w:cs="AGaramondPro-Italic"/>
          <w:i/>
          <w:iCs/>
          <w:color w:val="000000"/>
          <w:sz w:val="20"/>
          <w:szCs w:val="20"/>
          <w:lang w:val="en-US" w:eastAsia="ja-JP"/>
        </w:rPr>
        <w:t>Phytophthora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Italic" w:hAnsi="AGaramondPro-Italic" w:cs="AGaramondPro-Italic"/>
          <w:i/>
          <w:iCs/>
          <w:color w:val="000000"/>
          <w:sz w:val="20"/>
          <w:szCs w:val="20"/>
          <w:lang w:val="en-US" w:eastAsia="ja-JP"/>
        </w:rPr>
        <w:t>, in Royal National Park?</w:t>
      </w:r>
      <w:r w:rsidRPr="007D20DB">
        <w:rPr>
          <w:rFonts w:ascii="AGaramondPro-Regular" w:hAnsi="AGaramondPro-Regular" w:cs="AGaramondPro-Regular"/>
          <w:color w:val="000000"/>
          <w:sz w:val="20"/>
          <w:szCs w:val="20"/>
          <w:lang w:val="en-US" w:eastAsia="ja-JP"/>
        </w:rPr>
        <w:t>, Linnaean Society of NSW. &lt;http://linneansocietynsw.org.au/9%20Keith%20Phytophthora.pdf&gt;.</w:t>
      </w:r>
    </w:p>
    <w:p w:rsidR="007D20DB" w:rsidRPr="007D20DB" w:rsidRDefault="007D20DB" w:rsidP="007D20DB">
      <w:pPr>
        <w:keepLines/>
        <w:widowControl w:val="0"/>
        <w:suppressAutoHyphens/>
        <w:autoSpaceDE w:val="0"/>
        <w:autoSpaceDN w:val="0"/>
        <w:adjustRightInd w:val="0"/>
        <w:spacing w:after="170" w:line="280" w:lineRule="atLeast"/>
        <w:ind w:left="720" w:hanging="720"/>
        <w:textAlignment w:val="center"/>
        <w:rPr>
          <w:rFonts w:ascii="AGaramondPro-Regular" w:hAnsi="AGaramondPro-Regular" w:cs="AGaramondPro-Regular"/>
          <w:color w:val="000000"/>
          <w:sz w:val="20"/>
          <w:szCs w:val="20"/>
          <w:lang w:val="en-US" w:eastAsia="ja-JP"/>
        </w:rPr>
      </w:pPr>
      <w:proofErr w:type="spellStart"/>
      <w:r w:rsidRPr="007D20DB">
        <w:rPr>
          <w:rFonts w:ascii="AGaramondPro-Regular" w:hAnsi="AGaramondPro-Regular" w:cs="AGaramondPro-Regular"/>
          <w:color w:val="000000"/>
          <w:sz w:val="20"/>
          <w:szCs w:val="20"/>
          <w:lang w:val="en-US" w:eastAsia="ja-JP"/>
        </w:rPr>
        <w:t>Kueh</w:t>
      </w:r>
      <w:proofErr w:type="spellEnd"/>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KH, McKay</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 xml:space="preserve">SF, </w:t>
      </w:r>
      <w:proofErr w:type="spellStart"/>
      <w:r w:rsidRPr="007D20DB">
        <w:rPr>
          <w:rFonts w:ascii="AGaramondPro-Regular" w:hAnsi="AGaramondPro-Regular" w:cs="AGaramondPro-Regular"/>
          <w:color w:val="000000"/>
          <w:sz w:val="20"/>
          <w:szCs w:val="20"/>
          <w:lang w:val="en-US" w:eastAsia="ja-JP"/>
        </w:rPr>
        <w:t>Facelli</w:t>
      </w:r>
      <w:proofErr w:type="spellEnd"/>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 xml:space="preserve">E, </w:t>
      </w:r>
      <w:proofErr w:type="spellStart"/>
      <w:r w:rsidRPr="007D20DB">
        <w:rPr>
          <w:rFonts w:ascii="AGaramondPro-Regular" w:hAnsi="AGaramondPro-Regular" w:cs="AGaramondPro-Regular"/>
          <w:color w:val="000000"/>
          <w:sz w:val="20"/>
          <w:szCs w:val="20"/>
          <w:lang w:val="en-US" w:eastAsia="ja-JP"/>
        </w:rPr>
        <w:t>Facelli</w:t>
      </w:r>
      <w:proofErr w:type="spellEnd"/>
      <w:r w:rsidRPr="007D20DB">
        <w:rPr>
          <w:rFonts w:ascii="AGaramondPro-Regular" w:hAnsi="AGaramondPro-Regular" w:cs="AGaramondPro-Regular"/>
          <w:color w:val="000000"/>
          <w:sz w:val="20"/>
          <w:szCs w:val="20"/>
          <w:rtl/>
          <w:lang w:val="en-US" w:eastAsia="ja-JP" w:bidi="ar-YE"/>
        </w:rPr>
        <w:t> JM, Velzeboer </w:t>
      </w:r>
      <w:r w:rsidRPr="007D20DB">
        <w:rPr>
          <w:rFonts w:ascii="AGaramondPro-Regular" w:hAnsi="AGaramondPro-Regular" w:cs="AGaramondPro-Regular"/>
          <w:color w:val="000000"/>
          <w:sz w:val="20"/>
          <w:szCs w:val="20"/>
          <w:lang w:val="en-US" w:eastAsia="ja-JP"/>
        </w:rPr>
        <w:t>RMA, Able</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 xml:space="preserve">AJ &amp; Scott ES 2012, ‘Response of selected South Australian native plant species to </w:t>
      </w:r>
      <w:proofErr w:type="spellStart"/>
      <w:r w:rsidRPr="007D20DB">
        <w:rPr>
          <w:rFonts w:ascii="AGaramondPro-Italic" w:hAnsi="AGaramondPro-Italic" w:cs="AGaramondPro-Italic"/>
          <w:i/>
          <w:iCs/>
          <w:color w:val="000000"/>
          <w:sz w:val="20"/>
          <w:szCs w:val="20"/>
          <w:lang w:val="en-US" w:eastAsia="ja-JP"/>
        </w:rPr>
        <w:t>Phytophthora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w:t>
      </w:r>
      <w:r w:rsidRPr="007D20DB">
        <w:rPr>
          <w:rFonts w:ascii="AGaramondPro-Italic" w:hAnsi="AGaramondPro-Italic" w:cs="AGaramondPro-Italic"/>
          <w:i/>
          <w:iCs/>
          <w:color w:val="000000"/>
          <w:sz w:val="20"/>
          <w:szCs w:val="20"/>
          <w:lang w:val="en-US" w:eastAsia="ja-JP"/>
        </w:rPr>
        <w:t>Plant Pathology</w:t>
      </w:r>
      <w:r w:rsidRPr="007D20DB">
        <w:rPr>
          <w:rFonts w:ascii="AGaramondPro-Regular" w:hAnsi="AGaramondPro-Regular" w:cs="AGaramondPro-Regular"/>
          <w:color w:val="000000"/>
          <w:sz w:val="20"/>
          <w:szCs w:val="20"/>
          <w:lang w:val="en-US" w:eastAsia="ja-JP"/>
        </w:rPr>
        <w:t>, vol. 61, pp. 1165–1178.</w:t>
      </w:r>
    </w:p>
    <w:p w:rsidR="007D20DB" w:rsidRPr="007D20DB" w:rsidRDefault="007D20DB" w:rsidP="007D20DB">
      <w:pPr>
        <w:keepLines/>
        <w:widowControl w:val="0"/>
        <w:suppressAutoHyphens/>
        <w:autoSpaceDE w:val="0"/>
        <w:autoSpaceDN w:val="0"/>
        <w:adjustRightInd w:val="0"/>
        <w:spacing w:after="170" w:line="280" w:lineRule="atLeast"/>
        <w:ind w:left="720" w:hanging="720"/>
        <w:textAlignment w:val="center"/>
        <w:rPr>
          <w:rFonts w:ascii="AGaramondPro-Regular" w:hAnsi="AGaramondPro-Regular" w:cs="AGaramondPro-Regular"/>
          <w:color w:val="000000"/>
          <w:sz w:val="20"/>
          <w:szCs w:val="20"/>
          <w:lang w:val="en-US" w:eastAsia="ja-JP"/>
        </w:rPr>
      </w:pPr>
      <w:proofErr w:type="spellStart"/>
      <w:r w:rsidRPr="007D20DB">
        <w:rPr>
          <w:rFonts w:ascii="AGaramondPro-Regular" w:hAnsi="AGaramondPro-Regular" w:cs="AGaramondPro-Regular"/>
          <w:color w:val="000000"/>
          <w:sz w:val="20"/>
          <w:szCs w:val="20"/>
          <w:lang w:val="en-US" w:eastAsia="ja-JP"/>
        </w:rPr>
        <w:t>Lambers</w:t>
      </w:r>
      <w:proofErr w:type="spellEnd"/>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 xml:space="preserve">H, </w:t>
      </w:r>
      <w:proofErr w:type="spellStart"/>
      <w:r w:rsidRPr="007D20DB">
        <w:rPr>
          <w:rFonts w:ascii="AGaramondPro-Regular" w:hAnsi="AGaramondPro-Regular" w:cs="AGaramondPro-Regular"/>
          <w:color w:val="000000"/>
          <w:sz w:val="20"/>
          <w:szCs w:val="20"/>
          <w:lang w:val="en-US" w:eastAsia="ja-JP"/>
        </w:rPr>
        <w:t>Ahmedi</w:t>
      </w:r>
      <w:proofErr w:type="spellEnd"/>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I, Berkowitz</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O, Dunne</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C, Finnegan</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PM, Hardy</w:t>
      </w:r>
      <w:r w:rsidRPr="007D20DB">
        <w:rPr>
          <w:rFonts w:ascii="AGaramondPro-Regular" w:hAnsi="AGaramondPro-Regular" w:cs="AGaramondPro-Regular"/>
          <w:color w:val="000000"/>
          <w:sz w:val="20"/>
          <w:szCs w:val="20"/>
          <w:rtl/>
          <w:lang w:val="en-US" w:eastAsia="ja-JP" w:bidi="ar-YE"/>
        </w:rPr>
        <w:t> </w:t>
      </w:r>
      <w:proofErr w:type="spellStart"/>
      <w:r w:rsidRPr="007D20DB">
        <w:rPr>
          <w:rFonts w:ascii="AGaramondPro-Regular" w:hAnsi="AGaramondPro-Regular" w:cs="AGaramondPro-Regular"/>
          <w:color w:val="000000"/>
          <w:sz w:val="20"/>
          <w:szCs w:val="20"/>
          <w:lang w:val="en-US" w:eastAsia="ja-JP"/>
        </w:rPr>
        <w:t>GEStJ</w:t>
      </w:r>
      <w:proofErr w:type="spellEnd"/>
      <w:r w:rsidRPr="007D20DB">
        <w:rPr>
          <w:rFonts w:ascii="AGaramondPro-Regular" w:hAnsi="AGaramondPro-Regular" w:cs="AGaramondPro-Regular"/>
          <w:color w:val="000000"/>
          <w:sz w:val="20"/>
          <w:szCs w:val="20"/>
          <w:lang w:val="en-US" w:eastAsia="ja-JP"/>
        </w:rPr>
        <w:t xml:space="preserve">, </w:t>
      </w:r>
      <w:proofErr w:type="spellStart"/>
      <w:r w:rsidRPr="007D20DB">
        <w:rPr>
          <w:rFonts w:ascii="AGaramondPro-Regular" w:hAnsi="AGaramondPro-Regular" w:cs="AGaramondPro-Regular"/>
          <w:color w:val="000000"/>
          <w:sz w:val="20"/>
          <w:szCs w:val="20"/>
          <w:lang w:val="en-US" w:eastAsia="ja-JP"/>
        </w:rPr>
        <w:t>Jost</w:t>
      </w:r>
      <w:proofErr w:type="spellEnd"/>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 xml:space="preserve">R, </w:t>
      </w:r>
      <w:proofErr w:type="spellStart"/>
      <w:r w:rsidRPr="007D20DB">
        <w:rPr>
          <w:rFonts w:ascii="AGaramondPro-Regular" w:hAnsi="AGaramondPro-Regular" w:cs="AGaramondPro-Regular"/>
          <w:color w:val="000000"/>
          <w:sz w:val="20"/>
          <w:szCs w:val="20"/>
          <w:lang w:val="en-US" w:eastAsia="ja-JP"/>
        </w:rPr>
        <w:t>Laliberté</w:t>
      </w:r>
      <w:proofErr w:type="spellEnd"/>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 xml:space="preserve">E, </w:t>
      </w:r>
      <w:proofErr w:type="spellStart"/>
      <w:r w:rsidRPr="007D20DB">
        <w:rPr>
          <w:rFonts w:ascii="AGaramondPro-Regular" w:hAnsi="AGaramondPro-Regular" w:cs="AGaramondPro-Regular"/>
          <w:color w:val="000000"/>
          <w:sz w:val="20"/>
          <w:szCs w:val="20"/>
          <w:lang w:val="en-US" w:eastAsia="ja-JP"/>
        </w:rPr>
        <w:t>Pearse</w:t>
      </w:r>
      <w:proofErr w:type="spellEnd"/>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 xml:space="preserve">SJ &amp; </w:t>
      </w:r>
      <w:proofErr w:type="spellStart"/>
      <w:r w:rsidRPr="007D20DB">
        <w:rPr>
          <w:rFonts w:ascii="AGaramondPro-Regular" w:hAnsi="AGaramondPro-Regular" w:cs="AGaramondPro-Regular"/>
          <w:color w:val="000000"/>
          <w:sz w:val="20"/>
          <w:szCs w:val="20"/>
          <w:lang w:val="en-US" w:eastAsia="ja-JP"/>
        </w:rPr>
        <w:t>Teste</w:t>
      </w:r>
      <w:proofErr w:type="spellEnd"/>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 xml:space="preserve">FP 2013, ‘Phosphorus nutrition of phosphorus-sensitive Australian native plants: threats to plant communities in a global biodiversity hotspot’, </w:t>
      </w:r>
      <w:r w:rsidRPr="007D20DB">
        <w:rPr>
          <w:rFonts w:ascii="AGaramondPro-Italic" w:hAnsi="AGaramondPro-Italic" w:cs="AGaramondPro-Italic"/>
          <w:i/>
          <w:iCs/>
          <w:color w:val="000000"/>
          <w:sz w:val="20"/>
          <w:szCs w:val="20"/>
          <w:lang w:val="en-US" w:eastAsia="ja-JP"/>
        </w:rPr>
        <w:t>Conservation Physiology</w:t>
      </w:r>
      <w:r w:rsidRPr="007D20DB">
        <w:rPr>
          <w:rFonts w:ascii="AGaramondPro-Regular" w:hAnsi="AGaramondPro-Regular" w:cs="AGaramondPro-Regular"/>
          <w:color w:val="000000"/>
          <w:sz w:val="20"/>
          <w:szCs w:val="20"/>
          <w:lang w:val="en-US" w:eastAsia="ja-JP"/>
        </w:rPr>
        <w:t>, vol. 1(1): cot010 doi:10.1093/</w:t>
      </w:r>
      <w:proofErr w:type="spellStart"/>
      <w:r w:rsidRPr="007D20DB">
        <w:rPr>
          <w:rFonts w:ascii="AGaramondPro-Regular" w:hAnsi="AGaramondPro-Regular" w:cs="AGaramondPro-Regular"/>
          <w:color w:val="000000"/>
          <w:sz w:val="20"/>
          <w:szCs w:val="20"/>
          <w:lang w:val="en-US" w:eastAsia="ja-JP"/>
        </w:rPr>
        <w:t>conphys</w:t>
      </w:r>
      <w:proofErr w:type="spellEnd"/>
      <w:r w:rsidRPr="007D20DB">
        <w:rPr>
          <w:rFonts w:ascii="AGaramondPro-Regular" w:hAnsi="AGaramondPro-Regular" w:cs="AGaramondPro-Regular"/>
          <w:color w:val="000000"/>
          <w:sz w:val="20"/>
          <w:szCs w:val="20"/>
          <w:lang w:val="en-US" w:eastAsia="ja-JP"/>
        </w:rPr>
        <w:t>/cot010 published online 17 May 2013.</w:t>
      </w:r>
    </w:p>
    <w:p w:rsidR="007D20DB" w:rsidRPr="007D20DB" w:rsidRDefault="007D20DB" w:rsidP="007D20DB">
      <w:pPr>
        <w:keepLines/>
        <w:widowControl w:val="0"/>
        <w:suppressAutoHyphens/>
        <w:autoSpaceDE w:val="0"/>
        <w:autoSpaceDN w:val="0"/>
        <w:adjustRightInd w:val="0"/>
        <w:spacing w:after="170" w:line="280" w:lineRule="atLeast"/>
        <w:ind w:left="720" w:hanging="720"/>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O’Gara</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E, Howard</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K, Wilson</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B &amp; Hardy</w:t>
      </w:r>
      <w:r w:rsidRPr="007D20DB">
        <w:rPr>
          <w:rFonts w:ascii="AGaramondPro-Regular" w:hAnsi="AGaramondPro-Regular" w:cs="AGaramondPro-Regular"/>
          <w:color w:val="000000"/>
          <w:sz w:val="20"/>
          <w:szCs w:val="20"/>
          <w:rtl/>
          <w:lang w:val="en-US" w:eastAsia="ja-JP" w:bidi="ar-YE"/>
        </w:rPr>
        <w:t> </w:t>
      </w:r>
      <w:proofErr w:type="spellStart"/>
      <w:r w:rsidRPr="007D20DB">
        <w:rPr>
          <w:rFonts w:ascii="AGaramondPro-Regular" w:hAnsi="AGaramondPro-Regular" w:cs="AGaramondPro-Regular"/>
          <w:color w:val="000000"/>
          <w:sz w:val="20"/>
          <w:szCs w:val="20"/>
          <w:lang w:val="en-US" w:eastAsia="ja-JP"/>
        </w:rPr>
        <w:t>GEStJ</w:t>
      </w:r>
      <w:proofErr w:type="spellEnd"/>
      <w:r w:rsidRPr="007D20DB">
        <w:rPr>
          <w:rFonts w:ascii="AGaramondPro-Regular" w:hAnsi="AGaramondPro-Regular" w:cs="AGaramondPro-Regular"/>
          <w:color w:val="000000"/>
          <w:sz w:val="20"/>
          <w:szCs w:val="20"/>
          <w:lang w:val="en-US" w:eastAsia="ja-JP"/>
        </w:rPr>
        <w:t xml:space="preserve"> 2005a, </w:t>
      </w:r>
      <w:r w:rsidRPr="007D20DB">
        <w:rPr>
          <w:rFonts w:ascii="AGaramondPro-Italic" w:hAnsi="AGaramondPro-Italic" w:cs="AGaramondPro-Italic"/>
          <w:i/>
          <w:iCs/>
          <w:color w:val="000000"/>
          <w:sz w:val="20"/>
          <w:szCs w:val="20"/>
          <w:lang w:val="en-US" w:eastAsia="ja-JP"/>
        </w:rPr>
        <w:t xml:space="preserve">Management of </w:t>
      </w:r>
      <w:proofErr w:type="spellStart"/>
      <w:r w:rsidRPr="007D20DB">
        <w:rPr>
          <w:rFonts w:ascii="AGaramondPro-Italic" w:hAnsi="AGaramondPro-Italic" w:cs="AGaramondPro-Italic"/>
          <w:i/>
          <w:iCs/>
          <w:color w:val="000000"/>
          <w:sz w:val="20"/>
          <w:szCs w:val="20"/>
          <w:lang w:val="en-US" w:eastAsia="ja-JP"/>
        </w:rPr>
        <w:t>Phytophthora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Italic" w:hAnsi="AGaramondPro-Italic" w:cs="AGaramondPro-Italic"/>
          <w:i/>
          <w:iCs/>
          <w:color w:val="000000"/>
          <w:sz w:val="20"/>
          <w:szCs w:val="20"/>
          <w:lang w:val="en-US" w:eastAsia="ja-JP"/>
        </w:rPr>
        <w:t xml:space="preserve"> for biodiversity conservation in Australia: Part 1—A review of current management</w:t>
      </w:r>
      <w:r w:rsidRPr="007D20DB">
        <w:rPr>
          <w:rFonts w:ascii="AGaramondPro-Regular" w:hAnsi="AGaramondPro-Regular" w:cs="AGaramondPro-Regular"/>
          <w:color w:val="000000"/>
          <w:sz w:val="20"/>
          <w:szCs w:val="20"/>
          <w:lang w:val="en-US" w:eastAsia="ja-JP"/>
        </w:rPr>
        <w:t xml:space="preserve">, a report funded by the Commonwealth Government Department of the Environment and Heritage by the Centre for </w:t>
      </w:r>
      <w:proofErr w:type="spellStart"/>
      <w:r w:rsidRPr="007D20DB">
        <w:rPr>
          <w:rFonts w:ascii="AGaramondPro-Italic" w:hAnsi="AGaramondPro-Italic" w:cs="AGaramondPro-Italic"/>
          <w:i/>
          <w:iCs/>
          <w:color w:val="000000"/>
          <w:sz w:val="20"/>
          <w:szCs w:val="20"/>
          <w:lang w:val="en-US" w:eastAsia="ja-JP"/>
        </w:rPr>
        <w:t>Phytophthora</w:t>
      </w:r>
      <w:proofErr w:type="spellEnd"/>
      <w:r w:rsidRPr="007D20DB">
        <w:rPr>
          <w:rFonts w:ascii="AGaramondPro-Regular" w:hAnsi="AGaramondPro-Regular" w:cs="AGaramondPro-Regular"/>
          <w:color w:val="000000"/>
          <w:sz w:val="20"/>
          <w:szCs w:val="20"/>
          <w:lang w:val="en-US" w:eastAsia="ja-JP"/>
        </w:rPr>
        <w:t xml:space="preserve"> Science and Management (CPSM), Murdoch University, Western Australia.</w:t>
      </w:r>
    </w:p>
    <w:p w:rsidR="007D20DB" w:rsidRPr="007D20DB" w:rsidRDefault="007D20DB" w:rsidP="007D20DB">
      <w:pPr>
        <w:keepLines/>
        <w:widowControl w:val="0"/>
        <w:suppressAutoHyphens/>
        <w:autoSpaceDE w:val="0"/>
        <w:autoSpaceDN w:val="0"/>
        <w:adjustRightInd w:val="0"/>
        <w:spacing w:after="170" w:line="280" w:lineRule="atLeast"/>
        <w:ind w:left="720" w:hanging="720"/>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O’Gara</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E, Howard</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K, Wilson</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B &amp; Hardy</w:t>
      </w:r>
      <w:r w:rsidRPr="007D20DB">
        <w:rPr>
          <w:rFonts w:ascii="AGaramondPro-Regular" w:hAnsi="AGaramondPro-Regular" w:cs="AGaramondPro-Regular"/>
          <w:color w:val="000000"/>
          <w:sz w:val="20"/>
          <w:szCs w:val="20"/>
          <w:rtl/>
          <w:lang w:val="en-US" w:eastAsia="ja-JP" w:bidi="ar-YE"/>
        </w:rPr>
        <w:t> </w:t>
      </w:r>
      <w:proofErr w:type="spellStart"/>
      <w:r w:rsidRPr="007D20DB">
        <w:rPr>
          <w:rFonts w:ascii="AGaramondPro-Regular" w:hAnsi="AGaramondPro-Regular" w:cs="AGaramondPro-Regular"/>
          <w:color w:val="000000"/>
          <w:sz w:val="20"/>
          <w:szCs w:val="20"/>
          <w:lang w:val="en-US" w:eastAsia="ja-JP"/>
        </w:rPr>
        <w:t>GEStJ</w:t>
      </w:r>
      <w:proofErr w:type="spellEnd"/>
      <w:r w:rsidRPr="007D20DB">
        <w:rPr>
          <w:rFonts w:ascii="AGaramondPro-Regular" w:hAnsi="AGaramondPro-Regular" w:cs="AGaramondPro-Regular"/>
          <w:color w:val="000000"/>
          <w:sz w:val="20"/>
          <w:szCs w:val="20"/>
          <w:lang w:val="en-US" w:eastAsia="ja-JP"/>
        </w:rPr>
        <w:t xml:space="preserve"> 2005b, </w:t>
      </w:r>
      <w:r w:rsidRPr="007D20DB">
        <w:rPr>
          <w:rFonts w:ascii="AGaramondPro-Italic" w:hAnsi="AGaramondPro-Italic" w:cs="AGaramondPro-Italic"/>
          <w:i/>
          <w:iCs/>
          <w:color w:val="000000"/>
          <w:sz w:val="20"/>
          <w:szCs w:val="20"/>
          <w:lang w:val="en-US" w:eastAsia="ja-JP"/>
        </w:rPr>
        <w:t xml:space="preserve">Management of </w:t>
      </w:r>
      <w:proofErr w:type="spellStart"/>
      <w:r w:rsidRPr="007D20DB">
        <w:rPr>
          <w:rFonts w:ascii="AGaramondPro-Italic" w:hAnsi="AGaramondPro-Italic" w:cs="AGaramondPro-Italic"/>
          <w:i/>
          <w:iCs/>
          <w:color w:val="000000"/>
          <w:sz w:val="20"/>
          <w:szCs w:val="20"/>
          <w:lang w:val="en-US" w:eastAsia="ja-JP"/>
        </w:rPr>
        <w:t>Phytophthora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Italic" w:hAnsi="AGaramondPro-Italic" w:cs="AGaramondPro-Italic"/>
          <w:i/>
          <w:iCs/>
          <w:color w:val="000000"/>
          <w:sz w:val="20"/>
          <w:szCs w:val="20"/>
          <w:lang w:val="en-US" w:eastAsia="ja-JP"/>
        </w:rPr>
        <w:t xml:space="preserve"> for biodiversity conservation in Australia: Part 2—National best practice guidelines</w:t>
      </w:r>
      <w:r w:rsidRPr="007D20DB">
        <w:rPr>
          <w:rFonts w:ascii="AGaramondPro-Regular" w:hAnsi="AGaramondPro-Regular" w:cs="AGaramondPro-Regular"/>
          <w:color w:val="000000"/>
          <w:sz w:val="20"/>
          <w:szCs w:val="20"/>
          <w:lang w:val="en-US" w:eastAsia="ja-JP"/>
        </w:rPr>
        <w:t xml:space="preserve">, a report funded by the Commonwealth Government Department of the Environment and Heritage by the Centre for </w:t>
      </w:r>
      <w:proofErr w:type="spellStart"/>
      <w:r w:rsidRPr="007D20DB">
        <w:rPr>
          <w:rFonts w:ascii="AGaramondPro-Italic" w:hAnsi="AGaramondPro-Italic" w:cs="AGaramondPro-Italic"/>
          <w:i/>
          <w:iCs/>
          <w:color w:val="000000"/>
          <w:sz w:val="20"/>
          <w:szCs w:val="20"/>
          <w:lang w:val="en-US" w:eastAsia="ja-JP"/>
        </w:rPr>
        <w:t>Phytophthora</w:t>
      </w:r>
      <w:proofErr w:type="spellEnd"/>
      <w:r w:rsidRPr="007D20DB">
        <w:rPr>
          <w:rFonts w:ascii="AGaramondPro-Regular" w:hAnsi="AGaramondPro-Regular" w:cs="AGaramondPro-Regular"/>
          <w:color w:val="000000"/>
          <w:sz w:val="20"/>
          <w:szCs w:val="20"/>
          <w:lang w:val="en-US" w:eastAsia="ja-JP"/>
        </w:rPr>
        <w:t xml:space="preserve"> Science and Management, Murdoch University, Western Australia.</w:t>
      </w:r>
    </w:p>
    <w:p w:rsidR="007D20DB" w:rsidRPr="007D20DB" w:rsidRDefault="007D20DB" w:rsidP="007D20DB">
      <w:pPr>
        <w:keepLines/>
        <w:widowControl w:val="0"/>
        <w:suppressAutoHyphens/>
        <w:autoSpaceDE w:val="0"/>
        <w:autoSpaceDN w:val="0"/>
        <w:adjustRightInd w:val="0"/>
        <w:spacing w:after="170" w:line="280" w:lineRule="atLeast"/>
        <w:ind w:left="720" w:hanging="720"/>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Parks and Wildlife Service 2000, </w:t>
      </w:r>
      <w:proofErr w:type="spellStart"/>
      <w:r w:rsidRPr="007D20DB">
        <w:rPr>
          <w:rFonts w:ascii="AGaramondPro-Italic" w:hAnsi="AGaramondPro-Italic" w:cs="AGaramondPro-Italic"/>
          <w:i/>
          <w:iCs/>
          <w:color w:val="000000"/>
          <w:sz w:val="20"/>
          <w:szCs w:val="20"/>
          <w:lang w:val="en-US" w:eastAsia="ja-JP"/>
        </w:rPr>
        <w:t>Lavinia</w:t>
      </w:r>
      <w:proofErr w:type="spellEnd"/>
      <w:r w:rsidRPr="007D20DB">
        <w:rPr>
          <w:rFonts w:ascii="AGaramondPro-Italic" w:hAnsi="AGaramondPro-Italic" w:cs="AGaramondPro-Italic"/>
          <w:i/>
          <w:iCs/>
          <w:color w:val="000000"/>
          <w:sz w:val="20"/>
          <w:szCs w:val="20"/>
          <w:lang w:val="en-US" w:eastAsia="ja-JP"/>
        </w:rPr>
        <w:t xml:space="preserve"> Nature Reserve (</w:t>
      </w:r>
      <w:proofErr w:type="spellStart"/>
      <w:r w:rsidRPr="007D20DB">
        <w:rPr>
          <w:rFonts w:ascii="AGaramondPro-Italic" w:hAnsi="AGaramondPro-Italic" w:cs="AGaramondPro-Italic"/>
          <w:i/>
          <w:iCs/>
          <w:color w:val="000000"/>
          <w:sz w:val="20"/>
          <w:szCs w:val="20"/>
          <w:lang w:val="en-US" w:eastAsia="ja-JP"/>
        </w:rPr>
        <w:t>Ramsar</w:t>
      </w:r>
      <w:proofErr w:type="spellEnd"/>
      <w:r w:rsidRPr="007D20DB">
        <w:rPr>
          <w:rFonts w:ascii="AGaramondPro-Italic" w:hAnsi="AGaramondPro-Italic" w:cs="AGaramondPro-Italic"/>
          <w:i/>
          <w:iCs/>
          <w:color w:val="000000"/>
          <w:sz w:val="20"/>
          <w:szCs w:val="20"/>
          <w:lang w:val="en-US" w:eastAsia="ja-JP"/>
        </w:rPr>
        <w:t xml:space="preserve"> Site) draft management plan</w:t>
      </w:r>
      <w:r w:rsidRPr="007D20DB">
        <w:rPr>
          <w:rFonts w:ascii="AGaramondPro-Regular" w:hAnsi="AGaramondPro-Regular" w:cs="AGaramondPro-Regular"/>
          <w:color w:val="000000"/>
          <w:sz w:val="20"/>
          <w:szCs w:val="20"/>
          <w:lang w:val="en-US" w:eastAsia="ja-JP"/>
        </w:rPr>
        <w:t>, Department of Primary Industries, Water and Environment, Tasmania, p. 72, &lt;www.parks.tas.gov.au/file.aspx?id=6601&gt;.</w:t>
      </w:r>
    </w:p>
    <w:p w:rsidR="007D20DB" w:rsidRPr="007D20DB" w:rsidRDefault="007D20DB" w:rsidP="007D20DB">
      <w:pPr>
        <w:keepLines/>
        <w:widowControl w:val="0"/>
        <w:suppressAutoHyphens/>
        <w:autoSpaceDE w:val="0"/>
        <w:autoSpaceDN w:val="0"/>
        <w:adjustRightInd w:val="0"/>
        <w:spacing w:after="170" w:line="280" w:lineRule="atLeast"/>
        <w:ind w:left="720" w:hanging="720"/>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Petit</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S &amp; Dickson C</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2005, ‘Grass-tree (</w:t>
      </w:r>
      <w:proofErr w:type="spellStart"/>
      <w:r w:rsidRPr="007D20DB">
        <w:rPr>
          <w:rFonts w:ascii="AGaramondPro-Italic" w:hAnsi="AGaramondPro-Italic" w:cs="AGaramondPro-Italic"/>
          <w:i/>
          <w:iCs/>
          <w:color w:val="000000"/>
          <w:sz w:val="20"/>
          <w:szCs w:val="20"/>
          <w:lang w:val="en-US" w:eastAsia="ja-JP"/>
        </w:rPr>
        <w:t>Xanthorrhoea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semiplana</w:t>
      </w:r>
      <w:proofErr w:type="spellEnd"/>
      <w:r w:rsidRPr="007D20DB">
        <w:rPr>
          <w:rFonts w:ascii="AGaramondPro-Regular" w:hAnsi="AGaramondPro-Regular" w:cs="AGaramondPro-Regular"/>
          <w:color w:val="000000"/>
          <w:sz w:val="20"/>
          <w:szCs w:val="20"/>
          <w:lang w:val="en-US" w:eastAsia="ja-JP"/>
        </w:rPr>
        <w:t xml:space="preserve">, </w:t>
      </w:r>
      <w:proofErr w:type="spellStart"/>
      <w:r w:rsidRPr="007D20DB">
        <w:rPr>
          <w:rFonts w:ascii="AGaramondPro-Regular" w:hAnsi="AGaramondPro-Regular" w:cs="AGaramondPro-Regular"/>
          <w:color w:val="000000"/>
          <w:sz w:val="20"/>
          <w:szCs w:val="20"/>
          <w:lang w:val="en-US" w:eastAsia="ja-JP"/>
        </w:rPr>
        <w:t>Liliaceae</w:t>
      </w:r>
      <w:proofErr w:type="spellEnd"/>
      <w:r w:rsidRPr="007D20DB">
        <w:rPr>
          <w:rFonts w:ascii="AGaramondPro-Regular" w:hAnsi="AGaramondPro-Regular" w:cs="AGaramondPro-Regular"/>
          <w:color w:val="000000"/>
          <w:sz w:val="20"/>
          <w:szCs w:val="20"/>
          <w:lang w:val="en-US" w:eastAsia="ja-JP"/>
        </w:rPr>
        <w:t>) facilitation of the endangered pink-lip spider orchid (</w:t>
      </w:r>
      <w:proofErr w:type="spellStart"/>
      <w:r w:rsidRPr="007D20DB">
        <w:rPr>
          <w:rFonts w:ascii="AGaramondPro-Regular" w:hAnsi="AGaramondPro-Regular" w:cs="AGaramondPro-Regular"/>
          <w:color w:val="000000"/>
          <w:sz w:val="20"/>
          <w:szCs w:val="20"/>
          <w:lang w:val="en-US" w:eastAsia="ja-JP"/>
        </w:rPr>
        <w:t>Caladenia</w:t>
      </w:r>
      <w:proofErr w:type="spellEnd"/>
      <w:r w:rsidRPr="007D20DB">
        <w:rPr>
          <w:rFonts w:ascii="AGaramondPro-Regular" w:hAnsi="AGaramondPro-Regular" w:cs="AGaramondPro-Regular"/>
          <w:color w:val="000000"/>
          <w:sz w:val="20"/>
          <w:szCs w:val="20"/>
          <w:lang w:val="en-US" w:eastAsia="ja-JP"/>
        </w:rPr>
        <w:t xml:space="preserve"> syn. </w:t>
      </w:r>
      <w:proofErr w:type="spellStart"/>
      <w:r w:rsidRPr="007D20DB">
        <w:rPr>
          <w:rFonts w:ascii="AGaramondPro-Italic" w:hAnsi="AGaramondPro-Italic" w:cs="AGaramondPro-Italic"/>
          <w:i/>
          <w:iCs/>
          <w:color w:val="000000"/>
          <w:sz w:val="20"/>
          <w:szCs w:val="20"/>
          <w:lang w:val="en-US" w:eastAsia="ja-JP"/>
        </w:rPr>
        <w:t>Arachnorchis</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behrii</w:t>
      </w:r>
      <w:proofErr w:type="spellEnd"/>
      <w:r w:rsidRPr="007D20DB">
        <w:rPr>
          <w:rFonts w:ascii="AGaramondPro-Regular" w:hAnsi="AGaramondPro-Regular" w:cs="AGaramondPro-Regular"/>
          <w:color w:val="000000"/>
          <w:sz w:val="20"/>
          <w:szCs w:val="20"/>
          <w:lang w:val="en-US" w:eastAsia="ja-JP"/>
        </w:rPr>
        <w:t xml:space="preserve">, </w:t>
      </w:r>
      <w:proofErr w:type="spellStart"/>
      <w:r w:rsidRPr="007D20DB">
        <w:rPr>
          <w:rFonts w:ascii="AGaramondPro-Regular" w:hAnsi="AGaramondPro-Regular" w:cs="AGaramondPro-Regular"/>
          <w:color w:val="000000"/>
          <w:sz w:val="20"/>
          <w:szCs w:val="20"/>
          <w:lang w:val="en-US" w:eastAsia="ja-JP"/>
        </w:rPr>
        <w:t>Orchidaceae</w:t>
      </w:r>
      <w:proofErr w:type="spellEnd"/>
      <w:r w:rsidRPr="007D20DB">
        <w:rPr>
          <w:rFonts w:ascii="AGaramondPro-Regular" w:hAnsi="AGaramondPro-Regular" w:cs="AGaramondPro-Regular"/>
          <w:color w:val="000000"/>
          <w:sz w:val="20"/>
          <w:szCs w:val="20"/>
          <w:lang w:val="en-US" w:eastAsia="ja-JP"/>
        </w:rPr>
        <w:t xml:space="preserve">) varies in South Australia’, </w:t>
      </w:r>
      <w:r w:rsidRPr="007D20DB">
        <w:rPr>
          <w:rFonts w:ascii="AGaramondPro-Italic" w:hAnsi="AGaramondPro-Italic" w:cs="AGaramondPro-Italic"/>
          <w:i/>
          <w:iCs/>
          <w:color w:val="000000"/>
          <w:sz w:val="20"/>
          <w:szCs w:val="20"/>
          <w:lang w:val="en-US" w:eastAsia="ja-JP"/>
        </w:rPr>
        <w:t>Australian Journal of Botany</w:t>
      </w:r>
      <w:r w:rsidRPr="007D20DB">
        <w:rPr>
          <w:rFonts w:ascii="AGaramondPro-Regular" w:hAnsi="AGaramondPro-Regular" w:cs="AGaramondPro-Regular"/>
          <w:color w:val="000000"/>
          <w:sz w:val="20"/>
          <w:szCs w:val="20"/>
          <w:lang w:val="en-US" w:eastAsia="ja-JP"/>
        </w:rPr>
        <w:t xml:space="preserve"> vol. 53(5) pp. 455–464.</w:t>
      </w:r>
    </w:p>
    <w:p w:rsidR="007D20DB" w:rsidRPr="007D20DB" w:rsidRDefault="007D20DB" w:rsidP="007D20DB">
      <w:pPr>
        <w:keepLines/>
        <w:widowControl w:val="0"/>
        <w:suppressAutoHyphens/>
        <w:autoSpaceDE w:val="0"/>
        <w:autoSpaceDN w:val="0"/>
        <w:adjustRightInd w:val="0"/>
        <w:spacing w:after="170" w:line="280" w:lineRule="atLeast"/>
        <w:ind w:left="720" w:hanging="720"/>
        <w:textAlignment w:val="center"/>
        <w:rPr>
          <w:rFonts w:ascii="AGaramondPro-Regular" w:hAnsi="AGaramondPro-Regular" w:cs="AGaramondPro-Regular"/>
          <w:color w:val="000000"/>
          <w:sz w:val="20"/>
          <w:szCs w:val="20"/>
          <w:lang w:val="en-US" w:eastAsia="ja-JP"/>
        </w:rPr>
      </w:pPr>
      <w:proofErr w:type="spellStart"/>
      <w:r w:rsidRPr="007D20DB">
        <w:rPr>
          <w:rFonts w:ascii="AGaramondPro-Regular" w:hAnsi="AGaramondPro-Regular" w:cs="AGaramondPro-Regular"/>
          <w:color w:val="000000"/>
          <w:sz w:val="20"/>
          <w:szCs w:val="20"/>
          <w:lang w:val="en-US" w:eastAsia="ja-JP"/>
        </w:rPr>
        <w:lastRenderedPageBreak/>
        <w:t>Schahinger</w:t>
      </w:r>
      <w:proofErr w:type="spellEnd"/>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R, Rudman</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 xml:space="preserve">T &amp; </w:t>
      </w:r>
      <w:proofErr w:type="spellStart"/>
      <w:r w:rsidRPr="007D20DB">
        <w:rPr>
          <w:rFonts w:ascii="AGaramondPro-Regular" w:hAnsi="AGaramondPro-Regular" w:cs="AGaramondPro-Regular"/>
          <w:color w:val="000000"/>
          <w:sz w:val="20"/>
          <w:szCs w:val="20"/>
          <w:lang w:val="en-US" w:eastAsia="ja-JP"/>
        </w:rPr>
        <w:t>Wardlaw</w:t>
      </w:r>
      <w:proofErr w:type="spellEnd"/>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 xml:space="preserve">T 2003, </w:t>
      </w:r>
      <w:r w:rsidRPr="007D20DB">
        <w:rPr>
          <w:rFonts w:ascii="AGaramondPro-Italic" w:hAnsi="AGaramondPro-Italic" w:cs="AGaramondPro-Italic"/>
          <w:i/>
          <w:iCs/>
          <w:color w:val="000000"/>
          <w:sz w:val="20"/>
          <w:szCs w:val="20"/>
          <w:lang w:val="en-US" w:eastAsia="ja-JP"/>
        </w:rPr>
        <w:t xml:space="preserve">Conservation of Tasmanian Plant Species &amp; Communities threatened by </w:t>
      </w:r>
      <w:proofErr w:type="spellStart"/>
      <w:r w:rsidRPr="007D20DB">
        <w:rPr>
          <w:rFonts w:ascii="AGaramondPro-Italic" w:hAnsi="AGaramondPro-Italic" w:cs="AGaramondPro-Italic"/>
          <w:i/>
          <w:iCs/>
          <w:color w:val="000000"/>
          <w:sz w:val="20"/>
          <w:szCs w:val="20"/>
          <w:lang w:val="en-US" w:eastAsia="ja-JP"/>
        </w:rPr>
        <w:t>Phytophthora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Italic" w:hAnsi="AGaramondPro-Italic" w:cs="AGaramondPro-Italic"/>
          <w:i/>
          <w:iCs/>
          <w:color w:val="000000"/>
          <w:sz w:val="20"/>
          <w:szCs w:val="20"/>
          <w:lang w:val="en-US" w:eastAsia="ja-JP"/>
        </w:rPr>
        <w:t>: Strategic Regional Plan for Tasmania, Technical Report 03/03</w:t>
      </w:r>
      <w:r w:rsidRPr="007D20DB">
        <w:rPr>
          <w:rFonts w:ascii="AGaramondPro-Regular" w:hAnsi="AGaramondPro-Regular" w:cs="AGaramondPro-Regular"/>
          <w:color w:val="000000"/>
          <w:sz w:val="20"/>
          <w:szCs w:val="20"/>
          <w:lang w:val="en-US" w:eastAsia="ja-JP"/>
        </w:rPr>
        <w:t>, Nature Conservation Branch, Department of Primary Industries, Water and Environment, Hobart, p. 38, &lt;www.dpiw.tas.gov.au/inter</w:t>
      </w:r>
      <w:proofErr w:type="gramStart"/>
      <w:r w:rsidRPr="007D20DB">
        <w:rPr>
          <w:rFonts w:ascii="AGaramondPro-Regular" w:hAnsi="AGaramondPro-Regular" w:cs="AGaramondPro-Regular"/>
          <w:color w:val="000000"/>
          <w:sz w:val="20"/>
          <w:szCs w:val="20"/>
          <w:lang w:val="en-US" w:eastAsia="ja-JP"/>
        </w:rPr>
        <w:t>,nsf</w:t>
      </w:r>
      <w:proofErr w:type="gramEnd"/>
      <w:r w:rsidRPr="007D20DB">
        <w:rPr>
          <w:rFonts w:ascii="AGaramondPro-Regular" w:hAnsi="AGaramondPro-Regular" w:cs="AGaramondPro-Regular"/>
          <w:color w:val="000000"/>
          <w:sz w:val="20"/>
          <w:szCs w:val="20"/>
          <w:lang w:val="en-US" w:eastAsia="ja-JP"/>
        </w:rPr>
        <w:t>/Attachments/LJEM-6HQV5J/$FILE/Conservation%20of%20Tas%20Plant%20Species%20Threatened%20by%20Phytopthor%E2%80%A6.pdf&gt;.</w:t>
      </w:r>
    </w:p>
    <w:p w:rsidR="007D20DB" w:rsidRPr="007D20DB" w:rsidRDefault="007D20DB" w:rsidP="007D20DB">
      <w:pPr>
        <w:keepLines/>
        <w:widowControl w:val="0"/>
        <w:suppressAutoHyphens/>
        <w:autoSpaceDE w:val="0"/>
        <w:autoSpaceDN w:val="0"/>
        <w:adjustRightInd w:val="0"/>
        <w:spacing w:after="170" w:line="280" w:lineRule="atLeast"/>
        <w:ind w:left="720" w:hanging="720"/>
        <w:textAlignment w:val="center"/>
        <w:rPr>
          <w:rFonts w:ascii="AGaramondPro-Regular" w:hAnsi="AGaramondPro-Regular" w:cs="AGaramondPro-Regular"/>
          <w:color w:val="000000"/>
          <w:sz w:val="20"/>
          <w:szCs w:val="20"/>
          <w:lang w:val="en-US" w:eastAsia="ja-JP"/>
        </w:rPr>
      </w:pPr>
      <w:proofErr w:type="gramStart"/>
      <w:r w:rsidRPr="007D20DB">
        <w:rPr>
          <w:rFonts w:ascii="AGaramondPro-Regular" w:hAnsi="AGaramondPro-Regular" w:cs="AGaramondPro-Regular"/>
          <w:color w:val="000000"/>
          <w:sz w:val="20"/>
          <w:szCs w:val="20"/>
          <w:lang w:val="en-US" w:eastAsia="ja-JP"/>
        </w:rPr>
        <w:t>Shearer</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BL, Crane</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CE &amp; Cochrane</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 xml:space="preserve">A 2004, ‘Quantification of the susceptibility of the native flora of the South West Botanical Province, Western Australia, to </w:t>
      </w:r>
      <w:proofErr w:type="spellStart"/>
      <w:r w:rsidRPr="007D20DB">
        <w:rPr>
          <w:rFonts w:ascii="AGaramondPro-Italic" w:hAnsi="AGaramondPro-Italic" w:cs="AGaramondPro-Italic"/>
          <w:i/>
          <w:iCs/>
          <w:color w:val="000000"/>
          <w:sz w:val="20"/>
          <w:szCs w:val="20"/>
          <w:lang w:val="en-US" w:eastAsia="ja-JP"/>
        </w:rPr>
        <w:t>Phytophthora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w:t>
      </w:r>
      <w:r w:rsidRPr="007D20DB">
        <w:rPr>
          <w:rFonts w:ascii="AGaramondPro-Italic" w:hAnsi="AGaramondPro-Italic" w:cs="AGaramondPro-Italic"/>
          <w:i/>
          <w:iCs/>
          <w:color w:val="000000"/>
          <w:sz w:val="20"/>
          <w:szCs w:val="20"/>
          <w:lang w:val="en-US" w:eastAsia="ja-JP"/>
        </w:rPr>
        <w:t>Australian Journal of Botany</w:t>
      </w:r>
      <w:r w:rsidRPr="007D20DB">
        <w:rPr>
          <w:rFonts w:ascii="AGaramondPro-Regular" w:hAnsi="AGaramondPro-Regular" w:cs="AGaramondPro-Regular"/>
          <w:color w:val="000000"/>
          <w:sz w:val="20"/>
          <w:szCs w:val="20"/>
          <w:lang w:val="en-US" w:eastAsia="ja-JP"/>
        </w:rPr>
        <w:t xml:space="preserve"> vol. 52(4), pp. 435–443.</w:t>
      </w:r>
      <w:proofErr w:type="gramEnd"/>
    </w:p>
    <w:p w:rsidR="007D20DB" w:rsidRPr="007D20DB" w:rsidRDefault="007D20DB" w:rsidP="007D20DB">
      <w:pPr>
        <w:keepLines/>
        <w:widowControl w:val="0"/>
        <w:suppressAutoHyphens/>
        <w:autoSpaceDE w:val="0"/>
        <w:autoSpaceDN w:val="0"/>
        <w:adjustRightInd w:val="0"/>
        <w:spacing w:after="170" w:line="280" w:lineRule="atLeast"/>
        <w:ind w:left="720" w:hanging="720"/>
        <w:textAlignment w:val="center"/>
        <w:rPr>
          <w:rFonts w:ascii="AGaramondPro-Regular" w:hAnsi="AGaramondPro-Regular" w:cs="AGaramondPro-Regular"/>
          <w:color w:val="000000"/>
          <w:sz w:val="20"/>
          <w:szCs w:val="20"/>
          <w:lang w:val="en-US" w:eastAsia="ja-JP"/>
        </w:rPr>
      </w:pPr>
      <w:proofErr w:type="spellStart"/>
      <w:proofErr w:type="gramStart"/>
      <w:r w:rsidRPr="007D20DB">
        <w:rPr>
          <w:rFonts w:ascii="AGaramondPro-Regular" w:hAnsi="AGaramondPro-Regular" w:cs="AGaramondPro-Regular"/>
          <w:color w:val="000000"/>
          <w:sz w:val="20"/>
          <w:szCs w:val="20"/>
          <w:lang w:val="en-US" w:eastAsia="ja-JP"/>
        </w:rPr>
        <w:t>Stukely</w:t>
      </w:r>
      <w:proofErr w:type="spellEnd"/>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MJC, Crane</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 xml:space="preserve">CE 1994, ‘Genetically based resistance of </w:t>
      </w:r>
      <w:r w:rsidRPr="007D20DB">
        <w:rPr>
          <w:rFonts w:ascii="AGaramondPro-Italic" w:hAnsi="AGaramondPro-Italic" w:cs="AGaramondPro-Italic"/>
          <w:i/>
          <w:iCs/>
          <w:color w:val="000000"/>
          <w:sz w:val="20"/>
          <w:szCs w:val="20"/>
          <w:lang w:val="en-US" w:eastAsia="ja-JP"/>
        </w:rPr>
        <w:t xml:space="preserve">Eucalyptus </w:t>
      </w:r>
      <w:proofErr w:type="spellStart"/>
      <w:r w:rsidRPr="007D20DB">
        <w:rPr>
          <w:rFonts w:ascii="AGaramondPro-Italic" w:hAnsi="AGaramondPro-Italic" w:cs="AGaramondPro-Italic"/>
          <w:i/>
          <w:iCs/>
          <w:color w:val="000000"/>
          <w:sz w:val="20"/>
          <w:szCs w:val="20"/>
          <w:lang w:val="en-US" w:eastAsia="ja-JP"/>
        </w:rPr>
        <w:t>marginata</w:t>
      </w:r>
      <w:proofErr w:type="spellEnd"/>
      <w:r w:rsidRPr="007D20DB">
        <w:rPr>
          <w:rFonts w:ascii="AGaramondPro-Italic" w:hAnsi="AGaramondPro-Italic" w:cs="AGaramondPro-Italic"/>
          <w:i/>
          <w:iCs/>
          <w:color w:val="000000"/>
          <w:sz w:val="20"/>
          <w:szCs w:val="20"/>
          <w:lang w:val="en-US" w:eastAsia="ja-JP"/>
        </w:rPr>
        <w:t xml:space="preserve"> </w:t>
      </w:r>
      <w:r w:rsidRPr="007D20DB">
        <w:rPr>
          <w:rFonts w:ascii="AGaramondPro-Regular" w:hAnsi="AGaramondPro-Regular" w:cs="AGaramondPro-Regular"/>
          <w:color w:val="000000"/>
          <w:sz w:val="20"/>
          <w:szCs w:val="20"/>
          <w:lang w:val="en-US" w:eastAsia="ja-JP"/>
        </w:rPr>
        <w:t xml:space="preserve">to </w:t>
      </w:r>
      <w:proofErr w:type="spellStart"/>
      <w:r w:rsidRPr="007D20DB">
        <w:rPr>
          <w:rFonts w:ascii="AGaramondPro-Italic" w:hAnsi="AGaramondPro-Italic" w:cs="AGaramondPro-Italic"/>
          <w:i/>
          <w:iCs/>
          <w:color w:val="000000"/>
          <w:sz w:val="20"/>
          <w:szCs w:val="20"/>
          <w:lang w:val="en-US" w:eastAsia="ja-JP"/>
        </w:rPr>
        <w:t>Phytophthora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Phytopathology</w:t>
      </w:r>
      <w:proofErr w:type="spellEnd"/>
      <w:r w:rsidRPr="007D20DB">
        <w:rPr>
          <w:rFonts w:ascii="AGaramondPro-Regular" w:hAnsi="AGaramondPro-Regular" w:cs="AGaramondPro-Regular"/>
          <w:color w:val="000000"/>
          <w:sz w:val="20"/>
          <w:szCs w:val="20"/>
          <w:lang w:val="en-US" w:eastAsia="ja-JP"/>
        </w:rPr>
        <w:t>, vol.</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84, pp.</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650–656.</w:t>
      </w:r>
      <w:proofErr w:type="gramEnd"/>
    </w:p>
    <w:p w:rsidR="007D20DB" w:rsidRPr="007D20DB" w:rsidRDefault="007D20DB" w:rsidP="007D20DB">
      <w:pPr>
        <w:keepLines/>
        <w:widowControl w:val="0"/>
        <w:suppressAutoHyphens/>
        <w:autoSpaceDE w:val="0"/>
        <w:autoSpaceDN w:val="0"/>
        <w:adjustRightInd w:val="0"/>
        <w:spacing w:after="170" w:line="280" w:lineRule="atLeast"/>
        <w:ind w:left="720" w:hanging="720"/>
        <w:textAlignment w:val="center"/>
        <w:rPr>
          <w:rFonts w:ascii="AGaramondPro-Regular" w:hAnsi="AGaramondPro-Regular" w:cs="AGaramondPro-Regular"/>
          <w:color w:val="000000"/>
          <w:sz w:val="20"/>
          <w:szCs w:val="20"/>
          <w:lang w:val="en-US" w:eastAsia="ja-JP"/>
        </w:rPr>
      </w:pPr>
      <w:proofErr w:type="spellStart"/>
      <w:r w:rsidRPr="007D20DB">
        <w:rPr>
          <w:rFonts w:ascii="AGaramondPro-Regular" w:hAnsi="AGaramondPro-Regular" w:cs="AGaramondPro-Regular"/>
          <w:color w:val="000000"/>
          <w:sz w:val="20"/>
          <w:szCs w:val="20"/>
          <w:lang w:val="en-US" w:eastAsia="ja-JP"/>
        </w:rPr>
        <w:t>Vallee</w:t>
      </w:r>
      <w:proofErr w:type="spellEnd"/>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 xml:space="preserve">L, </w:t>
      </w:r>
      <w:proofErr w:type="spellStart"/>
      <w:r w:rsidRPr="007D20DB">
        <w:rPr>
          <w:rFonts w:ascii="AGaramondPro-Regular" w:hAnsi="AGaramondPro-Regular" w:cs="AGaramondPro-Regular"/>
          <w:color w:val="000000"/>
          <w:sz w:val="20"/>
          <w:szCs w:val="20"/>
          <w:lang w:val="en-US" w:eastAsia="ja-JP"/>
        </w:rPr>
        <w:t>Hogbin</w:t>
      </w:r>
      <w:proofErr w:type="spellEnd"/>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T, Monks</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 xml:space="preserve">L, </w:t>
      </w:r>
      <w:proofErr w:type="spellStart"/>
      <w:r w:rsidRPr="007D20DB">
        <w:rPr>
          <w:rFonts w:ascii="AGaramondPro-Regular" w:hAnsi="AGaramondPro-Regular" w:cs="AGaramondPro-Regular"/>
          <w:color w:val="000000"/>
          <w:sz w:val="20"/>
          <w:szCs w:val="20"/>
          <w:lang w:val="en-US" w:eastAsia="ja-JP"/>
        </w:rPr>
        <w:t>Makinson</w:t>
      </w:r>
      <w:proofErr w:type="spellEnd"/>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 xml:space="preserve">B, </w:t>
      </w:r>
      <w:proofErr w:type="spellStart"/>
      <w:r w:rsidRPr="007D20DB">
        <w:rPr>
          <w:rFonts w:ascii="AGaramondPro-Regular" w:hAnsi="AGaramondPro-Regular" w:cs="AGaramondPro-Regular"/>
          <w:color w:val="000000"/>
          <w:sz w:val="20"/>
          <w:szCs w:val="20"/>
          <w:lang w:val="en-US" w:eastAsia="ja-JP"/>
        </w:rPr>
        <w:t>Matthes</w:t>
      </w:r>
      <w:proofErr w:type="spellEnd"/>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 xml:space="preserve">M &amp; </w:t>
      </w:r>
      <w:proofErr w:type="spellStart"/>
      <w:r w:rsidRPr="007D20DB">
        <w:rPr>
          <w:rFonts w:ascii="AGaramondPro-Regular" w:hAnsi="AGaramondPro-Regular" w:cs="AGaramondPro-Regular"/>
          <w:color w:val="000000"/>
          <w:sz w:val="20"/>
          <w:szCs w:val="20"/>
          <w:lang w:val="en-US" w:eastAsia="ja-JP"/>
        </w:rPr>
        <w:t>Rossetto</w:t>
      </w:r>
      <w:proofErr w:type="spellEnd"/>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 xml:space="preserve">M 2004, </w:t>
      </w:r>
      <w:r w:rsidRPr="007D20DB">
        <w:rPr>
          <w:rFonts w:ascii="AGaramondPro-Italic" w:hAnsi="AGaramondPro-Italic" w:cs="AGaramondPro-Italic"/>
          <w:i/>
          <w:iCs/>
          <w:color w:val="000000"/>
          <w:sz w:val="20"/>
          <w:szCs w:val="20"/>
          <w:lang w:val="en-US" w:eastAsia="ja-JP"/>
        </w:rPr>
        <w:t>Guidelines for the translocation of threatened plants in Australia</w:t>
      </w:r>
      <w:r w:rsidRPr="007D20DB">
        <w:rPr>
          <w:rFonts w:ascii="AGaramondPro-Regular" w:hAnsi="AGaramondPro-Regular" w:cs="AGaramondPro-Regular"/>
          <w:color w:val="000000"/>
          <w:sz w:val="20"/>
          <w:szCs w:val="20"/>
          <w:lang w:val="en-US" w:eastAsia="ja-JP"/>
        </w:rPr>
        <w:t>, 2</w:t>
      </w:r>
      <w:r w:rsidRPr="007D20DB">
        <w:rPr>
          <w:rFonts w:ascii="AGaramondPro-Regular" w:hAnsi="AGaramondPro-Regular" w:cs="AGaramondPro-Regular"/>
          <w:color w:val="000000"/>
          <w:sz w:val="20"/>
          <w:szCs w:val="20"/>
          <w:vertAlign w:val="superscript"/>
          <w:lang w:val="en-US" w:eastAsia="ja-JP"/>
        </w:rPr>
        <w:t>nd</w:t>
      </w:r>
      <w:r w:rsidRPr="007D20DB">
        <w:rPr>
          <w:rFonts w:ascii="AGaramondPro-Regular" w:hAnsi="AGaramondPro-Regular" w:cs="AGaramondPro-Regular"/>
          <w:color w:val="000000"/>
          <w:sz w:val="20"/>
          <w:szCs w:val="20"/>
          <w:rtl/>
          <w:lang w:val="en-US" w:eastAsia="ja-JP" w:bidi="ar-YE"/>
        </w:rPr>
        <w:t> </w:t>
      </w:r>
      <w:proofErr w:type="spellStart"/>
      <w:r w:rsidRPr="007D20DB">
        <w:rPr>
          <w:rFonts w:ascii="AGaramondPro-Regular" w:hAnsi="AGaramondPro-Regular" w:cs="AGaramondPro-Regular"/>
          <w:color w:val="000000"/>
          <w:sz w:val="20"/>
          <w:szCs w:val="20"/>
          <w:lang w:val="en-US" w:eastAsia="ja-JP"/>
        </w:rPr>
        <w:t>edn</w:t>
      </w:r>
      <w:proofErr w:type="spellEnd"/>
      <w:r w:rsidRPr="007D20DB">
        <w:rPr>
          <w:rFonts w:ascii="AGaramondPro-Regular" w:hAnsi="AGaramondPro-Regular" w:cs="AGaramondPro-Regular"/>
          <w:color w:val="000000"/>
          <w:sz w:val="20"/>
          <w:szCs w:val="20"/>
          <w:lang w:val="en-US" w:eastAsia="ja-JP"/>
        </w:rPr>
        <w:t>, Australian Network for Plant Conservation (ANPC), Canberra, Australian Capital Territory, &lt;www.anbg.gov.au/anpc/publications.html&gt;.</w:t>
      </w:r>
    </w:p>
    <w:p w:rsidR="007D20DB" w:rsidRPr="007D20DB" w:rsidRDefault="007D20DB" w:rsidP="007D20DB">
      <w:pPr>
        <w:keepLines/>
        <w:widowControl w:val="0"/>
        <w:suppressAutoHyphens/>
        <w:autoSpaceDE w:val="0"/>
        <w:autoSpaceDN w:val="0"/>
        <w:adjustRightInd w:val="0"/>
        <w:spacing w:after="170" w:line="280" w:lineRule="atLeast"/>
        <w:ind w:left="720" w:hanging="720"/>
        <w:textAlignment w:val="center"/>
        <w:rPr>
          <w:rFonts w:ascii="AGaramondPro-Regular" w:hAnsi="AGaramondPro-Regular" w:cs="AGaramondPro-Regular"/>
          <w:color w:val="000000"/>
          <w:sz w:val="20"/>
          <w:szCs w:val="20"/>
          <w:lang w:val="en-US" w:eastAsia="ja-JP"/>
        </w:rPr>
      </w:pPr>
      <w:proofErr w:type="spellStart"/>
      <w:r w:rsidRPr="007D20DB">
        <w:rPr>
          <w:rFonts w:ascii="AGaramondPro-Regular" w:hAnsi="AGaramondPro-Regular" w:cs="AGaramondPro-Regular"/>
          <w:color w:val="000000"/>
          <w:sz w:val="20"/>
          <w:szCs w:val="20"/>
          <w:lang w:val="en-US" w:eastAsia="ja-JP"/>
        </w:rPr>
        <w:t>Worboys</w:t>
      </w:r>
      <w:proofErr w:type="spellEnd"/>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 xml:space="preserve">SJ &amp; </w:t>
      </w:r>
      <w:proofErr w:type="spellStart"/>
      <w:r w:rsidRPr="007D20DB">
        <w:rPr>
          <w:rFonts w:ascii="AGaramondPro-Regular" w:hAnsi="AGaramondPro-Regular" w:cs="AGaramondPro-Regular"/>
          <w:color w:val="000000"/>
          <w:sz w:val="20"/>
          <w:szCs w:val="20"/>
          <w:lang w:val="en-US" w:eastAsia="ja-JP"/>
        </w:rPr>
        <w:t>Gadek</w:t>
      </w:r>
      <w:proofErr w:type="spellEnd"/>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 xml:space="preserve">PA 2004, </w:t>
      </w:r>
      <w:r w:rsidRPr="007D20DB">
        <w:rPr>
          <w:rFonts w:ascii="AGaramondPro-Italic" w:hAnsi="AGaramondPro-Italic" w:cs="AGaramondPro-Italic"/>
          <w:i/>
          <w:iCs/>
          <w:color w:val="000000"/>
          <w:sz w:val="20"/>
          <w:szCs w:val="20"/>
          <w:lang w:val="en-US" w:eastAsia="ja-JP"/>
        </w:rPr>
        <w:t>Rainforest dieback: risks associated with roads and walking track access in the Wet Tropics World Heritage Area</w:t>
      </w:r>
      <w:r w:rsidRPr="007D20DB">
        <w:rPr>
          <w:rFonts w:ascii="AGaramondPro-Regular" w:hAnsi="AGaramondPro-Regular" w:cs="AGaramondPro-Regular"/>
          <w:color w:val="000000"/>
          <w:sz w:val="20"/>
          <w:szCs w:val="20"/>
          <w:lang w:val="en-US" w:eastAsia="ja-JP"/>
        </w:rPr>
        <w:t>, p. 49, &lt;www.rainforest-crc.jcu.edu.au/publications/dieback_risks.htm&gt;.</w:t>
      </w:r>
    </w:p>
    <w:p w:rsidR="007D20DB" w:rsidRPr="007D20DB" w:rsidRDefault="007D20DB" w:rsidP="007D20DB">
      <w:pPr>
        <w:keepLines/>
        <w:widowControl w:val="0"/>
        <w:suppressAutoHyphens/>
        <w:autoSpaceDE w:val="0"/>
        <w:autoSpaceDN w:val="0"/>
        <w:adjustRightInd w:val="0"/>
        <w:spacing w:after="170" w:line="280" w:lineRule="atLeast"/>
        <w:ind w:left="720" w:hanging="720"/>
        <w:textAlignment w:val="center"/>
        <w:rPr>
          <w:rFonts w:ascii="AGaramondPro-Regular" w:hAnsi="AGaramondPro-Regular" w:cs="AGaramondPro-Regular"/>
          <w:color w:val="000000"/>
          <w:sz w:val="20"/>
          <w:szCs w:val="20"/>
          <w:lang w:val="en-US" w:eastAsia="ja-JP"/>
        </w:rPr>
      </w:pPr>
      <w:proofErr w:type="spellStart"/>
      <w:r w:rsidRPr="007D20DB">
        <w:rPr>
          <w:rFonts w:ascii="AGaramondPro-Regular" w:hAnsi="AGaramondPro-Regular" w:cs="AGaramondPro-Regular"/>
          <w:color w:val="000000"/>
          <w:sz w:val="20"/>
          <w:szCs w:val="20"/>
          <w:lang w:val="en-US" w:eastAsia="ja-JP"/>
        </w:rPr>
        <w:t>Zentmyer</w:t>
      </w:r>
      <w:proofErr w:type="spellEnd"/>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GA 1980, ‘</w:t>
      </w:r>
      <w:proofErr w:type="spellStart"/>
      <w:r w:rsidRPr="007D20DB">
        <w:rPr>
          <w:rFonts w:ascii="AGaramondPro-Italic" w:hAnsi="AGaramondPro-Italic" w:cs="AGaramondPro-Italic"/>
          <w:i/>
          <w:iCs/>
          <w:color w:val="000000"/>
          <w:sz w:val="20"/>
          <w:szCs w:val="20"/>
          <w:lang w:val="en-US" w:eastAsia="ja-JP"/>
        </w:rPr>
        <w:t>Phytophthora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and the diseases it causes’, </w:t>
      </w:r>
      <w:r w:rsidRPr="007D20DB">
        <w:rPr>
          <w:rFonts w:ascii="AGaramondPro-Italic" w:hAnsi="AGaramondPro-Italic" w:cs="AGaramondPro-Italic"/>
          <w:i/>
          <w:iCs/>
          <w:color w:val="000000"/>
          <w:sz w:val="20"/>
          <w:szCs w:val="20"/>
          <w:lang w:val="en-US" w:eastAsia="ja-JP"/>
        </w:rPr>
        <w:t xml:space="preserve">Monograph 10, American </w:t>
      </w:r>
      <w:proofErr w:type="spellStart"/>
      <w:r w:rsidRPr="007D20DB">
        <w:rPr>
          <w:rFonts w:ascii="AGaramondPro-Italic" w:hAnsi="AGaramondPro-Italic" w:cs="AGaramondPro-Italic"/>
          <w:i/>
          <w:iCs/>
          <w:color w:val="000000"/>
          <w:sz w:val="20"/>
          <w:szCs w:val="20"/>
          <w:lang w:val="en-US" w:eastAsia="ja-JP"/>
        </w:rPr>
        <w:t>Phytopathological</w:t>
      </w:r>
      <w:proofErr w:type="spellEnd"/>
      <w:r w:rsidRPr="007D20DB">
        <w:rPr>
          <w:rFonts w:ascii="AGaramondPro-Italic" w:hAnsi="AGaramondPro-Italic" w:cs="AGaramondPro-Italic"/>
          <w:i/>
          <w:iCs/>
          <w:color w:val="000000"/>
          <w:sz w:val="20"/>
          <w:szCs w:val="20"/>
          <w:lang w:val="en-US" w:eastAsia="ja-JP"/>
        </w:rPr>
        <w:t xml:space="preserve"> Society</w:t>
      </w:r>
      <w:r w:rsidRPr="007D20DB">
        <w:rPr>
          <w:rFonts w:ascii="AGaramondPro-Regular" w:hAnsi="AGaramondPro-Regular" w:cs="AGaramondPro-Regular"/>
          <w:color w:val="000000"/>
          <w:sz w:val="20"/>
          <w:szCs w:val="20"/>
          <w:lang w:val="en-US" w:eastAsia="ja-JP"/>
        </w:rPr>
        <w:t>, St Paul, Minnesota, USA, p</w:t>
      </w:r>
      <w:r w:rsidRPr="007D20DB">
        <w:rPr>
          <w:rFonts w:ascii="AGaramondPro-Regular" w:hAnsi="AGaramondPro-Regular" w:cs="AGaramondPro-Regular"/>
          <w:color w:val="000000"/>
          <w:sz w:val="20"/>
          <w:szCs w:val="20"/>
          <w:rtl/>
          <w:lang w:val="en-US" w:eastAsia="ja-JP" w:bidi="ar-YE"/>
        </w:rPr>
        <w:t> </w:t>
      </w:r>
      <w:r w:rsidRPr="007D20DB">
        <w:rPr>
          <w:rFonts w:ascii="AGaramondPro-Regular" w:hAnsi="AGaramondPro-Regular" w:cs="AGaramondPro-Regular"/>
          <w:color w:val="000000"/>
          <w:sz w:val="20"/>
          <w:szCs w:val="20"/>
          <w:lang w:val="en-US" w:eastAsia="ja-JP"/>
        </w:rPr>
        <w:t>96.</w:t>
      </w:r>
    </w:p>
    <w:p w:rsidR="007D20DB" w:rsidRPr="007D20DB" w:rsidRDefault="007D20DB" w:rsidP="007D20DB">
      <w:pPr>
        <w:keepLines/>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
    <w:p w:rsidR="00704644" w:rsidRDefault="00704644">
      <w:pPr>
        <w:rPr>
          <w:rFonts w:ascii="MyriadPro-Regular" w:hAnsi="MyriadPro-Regular" w:cs="MyriadPro-Regular"/>
          <w:color w:val="004484"/>
          <w:sz w:val="52"/>
          <w:szCs w:val="52"/>
          <w:lang w:val="en-US" w:eastAsia="ja-JP"/>
        </w:rPr>
      </w:pPr>
      <w:r>
        <w:rPr>
          <w:rFonts w:ascii="MyriadPro-Regular" w:hAnsi="MyriadPro-Regular" w:cs="MyriadPro-Regular"/>
          <w:color w:val="004484"/>
          <w:sz w:val="52"/>
          <w:szCs w:val="52"/>
          <w:lang w:val="en-US" w:eastAsia="ja-JP"/>
        </w:rPr>
        <w:br w:type="page"/>
      </w:r>
    </w:p>
    <w:p w:rsidR="007D20DB" w:rsidRPr="007D20DB" w:rsidRDefault="007D20DB" w:rsidP="00704644">
      <w:pPr>
        <w:pStyle w:val="01HEADING1"/>
      </w:pPr>
      <w:bookmarkStart w:id="27" w:name="_Toc253067294"/>
      <w:r w:rsidRPr="007D20DB">
        <w:lastRenderedPageBreak/>
        <w:t>Appendix A</w:t>
      </w:r>
      <w:bookmarkEnd w:id="27"/>
    </w:p>
    <w:p w:rsidR="007D20DB" w:rsidRPr="007D20DB" w:rsidRDefault="007D20DB" w:rsidP="00704644">
      <w:pPr>
        <w:pStyle w:val="02HEADING20"/>
        <w:ind w:left="0" w:firstLine="0"/>
        <w:rPr>
          <w:rFonts w:ascii="MyriadPro-SemiboldIt" w:hAnsi="MyriadPro-SemiboldIt" w:cs="MyriadPro-SemiboldIt"/>
          <w:i/>
          <w:iCs/>
        </w:rPr>
      </w:pPr>
      <w:bookmarkStart w:id="28" w:name="_Toc253067295"/>
      <w:r w:rsidRPr="007D20DB">
        <w:t xml:space="preserve">Threatened flora species known to be susceptible to </w:t>
      </w:r>
      <w:proofErr w:type="spellStart"/>
      <w:r w:rsidRPr="007D20DB">
        <w:rPr>
          <w:rFonts w:ascii="MyriadPro-SemiboldIt" w:hAnsi="MyriadPro-SemiboldIt" w:cs="MyriadPro-SemiboldIt"/>
          <w:i/>
          <w:iCs/>
        </w:rPr>
        <w:t>Phytophthora</w:t>
      </w:r>
      <w:proofErr w:type="spellEnd"/>
      <w:r w:rsidRPr="007D20DB">
        <w:rPr>
          <w:rFonts w:ascii="MyriadPro-SemiboldIt" w:hAnsi="MyriadPro-SemiboldIt" w:cs="MyriadPro-SemiboldIt"/>
          <w:i/>
          <w:iCs/>
        </w:rPr>
        <w:t xml:space="preserve"> </w:t>
      </w:r>
      <w:proofErr w:type="spellStart"/>
      <w:r w:rsidRPr="007D20DB">
        <w:rPr>
          <w:rFonts w:ascii="MyriadPro-SemiboldIt" w:hAnsi="MyriadPro-SemiboldIt" w:cs="MyriadPro-SemiboldIt"/>
          <w:i/>
          <w:iCs/>
        </w:rPr>
        <w:t>cinnamomi</w:t>
      </w:r>
      <w:bookmarkEnd w:id="28"/>
      <w:proofErr w:type="spellEnd"/>
    </w:p>
    <w:p w:rsidR="007D20DB" w:rsidRPr="007D20DB" w:rsidRDefault="007D20DB" w:rsidP="007D20DB">
      <w:pPr>
        <w:keepLines/>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Species shown in Appendix </w:t>
      </w:r>
      <w:proofErr w:type="gramStart"/>
      <w:r w:rsidRPr="007D20DB">
        <w:rPr>
          <w:rFonts w:ascii="AGaramondPro-Regular" w:hAnsi="AGaramondPro-Regular" w:cs="AGaramondPro-Regular"/>
          <w:color w:val="000000"/>
          <w:sz w:val="20"/>
          <w:szCs w:val="20"/>
          <w:lang w:val="en-US" w:eastAsia="ja-JP"/>
        </w:rPr>
        <w:t>A</w:t>
      </w:r>
      <w:proofErr w:type="gramEnd"/>
      <w:r w:rsidRPr="007D20DB">
        <w:rPr>
          <w:rFonts w:ascii="AGaramondPro-Regular" w:hAnsi="AGaramondPro-Regular" w:cs="AGaramondPro-Regular"/>
          <w:color w:val="000000"/>
          <w:sz w:val="20"/>
          <w:szCs w:val="20"/>
          <w:lang w:val="en-US" w:eastAsia="ja-JP"/>
        </w:rPr>
        <w:t xml:space="preserve"> are listed as threatened under the Commonwealth </w:t>
      </w:r>
      <w:r w:rsidRPr="007D20DB">
        <w:rPr>
          <w:rFonts w:ascii="AGaramondPro-Italic" w:hAnsi="AGaramondPro-Italic" w:cs="AGaramondPro-Italic"/>
          <w:i/>
          <w:iCs/>
          <w:color w:val="000000"/>
          <w:sz w:val="20"/>
          <w:szCs w:val="20"/>
          <w:lang w:val="en-US" w:eastAsia="ja-JP"/>
        </w:rPr>
        <w:t>Environment Protection and Biodiversity Conservation Act 1999</w:t>
      </w:r>
      <w:r w:rsidRPr="007D20DB">
        <w:rPr>
          <w:rFonts w:ascii="AGaramondPro-Regular" w:hAnsi="AGaramondPro-Regular" w:cs="AGaramondPro-Regular"/>
          <w:color w:val="000000"/>
          <w:sz w:val="20"/>
          <w:szCs w:val="20"/>
          <w:lang w:val="en-US" w:eastAsia="ja-JP"/>
        </w:rPr>
        <w:t xml:space="preserve"> and are known to be susceptible to disease from </w:t>
      </w:r>
      <w:r w:rsidRPr="007D20DB">
        <w:rPr>
          <w:rFonts w:ascii="AGaramondPro-Italic" w:hAnsi="AGaramondPro-Italic" w:cs="AGaramondPro-Italic"/>
          <w:i/>
          <w:iCs/>
          <w:color w:val="000000"/>
          <w:sz w:val="20"/>
          <w:szCs w:val="20"/>
          <w:lang w:val="en-US" w:eastAsia="ja-JP"/>
        </w:rPr>
        <w:t>P.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Italic" w:hAnsi="AGaramondPro-Italic" w:cs="AGaramondPro-Italic"/>
          <w:i/>
          <w:iCs/>
          <w:color w:val="000000"/>
          <w:sz w:val="20"/>
          <w:szCs w:val="20"/>
          <w:lang w:val="en-US" w:eastAsia="ja-JP"/>
        </w:rPr>
        <w:t xml:space="preserve"> </w:t>
      </w:r>
      <w:r w:rsidRPr="007D20DB">
        <w:rPr>
          <w:rFonts w:ascii="AGaramondPro-Regular" w:hAnsi="AGaramondPro-Regular" w:cs="AGaramondPro-Regular"/>
          <w:color w:val="000000"/>
          <w:sz w:val="20"/>
          <w:szCs w:val="20"/>
          <w:lang w:val="en-US" w:eastAsia="ja-JP"/>
        </w:rPr>
        <w:t xml:space="preserve">infection. </w:t>
      </w:r>
    </w:p>
    <w:p w:rsidR="007D20DB" w:rsidRPr="007D20DB" w:rsidRDefault="007D20DB" w:rsidP="007D20DB">
      <w:pPr>
        <w:keepLines/>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Susceptibility information is from O’Gara et al. (2005a), which compiles published material, unpublished records and observations of individual researchers on the responses of native plants to </w:t>
      </w:r>
      <w:r w:rsidRPr="007D20DB">
        <w:rPr>
          <w:rFonts w:ascii="AGaramondPro-Italic" w:hAnsi="AGaramondPro-Italic" w:cs="AGaramondPro-Italic"/>
          <w:i/>
          <w:iCs/>
          <w:color w:val="000000"/>
          <w:sz w:val="20"/>
          <w:szCs w:val="20"/>
          <w:lang w:val="en-US" w:eastAsia="ja-JP"/>
        </w:rPr>
        <w:t>P.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For further detail relating to native species not listed under the EPBC Act, please refer to O’Gara et al. 2005a.</w:t>
      </w:r>
    </w:p>
    <w:p w:rsidR="007D20DB" w:rsidRPr="007D20DB" w:rsidRDefault="007D20DB" w:rsidP="007D20DB">
      <w:pPr>
        <w:keepLines/>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Several additional EPBC listed species were confirmed as susceptible by Barrett et al. (2008), </w:t>
      </w:r>
      <w:proofErr w:type="spellStart"/>
      <w:r w:rsidRPr="007D20DB">
        <w:rPr>
          <w:rFonts w:ascii="AGaramondPro-Regular" w:hAnsi="AGaramondPro-Regular" w:cs="AGaramondPro-Regular"/>
          <w:color w:val="000000"/>
          <w:sz w:val="20"/>
          <w:szCs w:val="20"/>
          <w:lang w:val="en-US" w:eastAsia="ja-JP"/>
        </w:rPr>
        <w:t>Kueh</w:t>
      </w:r>
      <w:proofErr w:type="spellEnd"/>
      <w:r w:rsidRPr="007D20DB">
        <w:rPr>
          <w:rFonts w:ascii="AGaramondPro-Regular" w:hAnsi="AGaramondPro-Regular" w:cs="AGaramondPro-Regular"/>
          <w:color w:val="000000"/>
          <w:sz w:val="20"/>
          <w:szCs w:val="20"/>
          <w:lang w:val="en-US" w:eastAsia="ja-JP"/>
        </w:rPr>
        <w:t xml:space="preserve"> et al. (2012) and Tim Rudman pers. comm. (2012). </w:t>
      </w:r>
    </w:p>
    <w:p w:rsidR="007D20DB" w:rsidRPr="007D20DB" w:rsidRDefault="007D20DB" w:rsidP="007D20DB">
      <w:pPr>
        <w:widowControl w:val="0"/>
        <w:suppressAutoHyphens/>
        <w:autoSpaceDE w:val="0"/>
        <w:autoSpaceDN w:val="0"/>
        <w:adjustRightInd w:val="0"/>
        <w:spacing w:before="397" w:after="170" w:line="320" w:lineRule="atLeast"/>
        <w:ind w:left="680" w:hanging="680"/>
        <w:textAlignment w:val="center"/>
        <w:rPr>
          <w:rFonts w:ascii="MyriadPro-Regular" w:hAnsi="MyriadPro-Regular" w:cs="MyriadPro-Regular"/>
          <w:color w:val="004484"/>
          <w:sz w:val="28"/>
          <w:szCs w:val="28"/>
          <w:lang w:val="en-GB" w:eastAsia="ja-JP"/>
        </w:rPr>
      </w:pPr>
      <w:r w:rsidRPr="007D20DB">
        <w:rPr>
          <w:rFonts w:ascii="MyriadPro-Regular" w:hAnsi="MyriadPro-Regular" w:cs="MyriadPro-Regular"/>
          <w:color w:val="004484"/>
          <w:sz w:val="28"/>
          <w:szCs w:val="28"/>
          <w:lang w:val="en-GB" w:eastAsia="ja-JP"/>
        </w:rPr>
        <w:t>EPBC Act status: CE=critically endangered; E=endangered; V= vulnerable</w:t>
      </w:r>
    </w:p>
    <w:tbl>
      <w:tblPr>
        <w:tblW w:w="0" w:type="auto"/>
        <w:tblInd w:w="113" w:type="dxa"/>
        <w:tblLayout w:type="fixed"/>
        <w:tblCellMar>
          <w:left w:w="0" w:type="dxa"/>
          <w:right w:w="0" w:type="dxa"/>
        </w:tblCellMar>
        <w:tblLook w:val="0000"/>
      </w:tblPr>
      <w:tblGrid>
        <w:gridCol w:w="2927"/>
        <w:gridCol w:w="2928"/>
        <w:gridCol w:w="2927"/>
      </w:tblGrid>
      <w:tr w:rsidR="007D20DB" w:rsidRPr="007D20DB">
        <w:trPr>
          <w:trHeight w:val="60"/>
          <w:tblHeader/>
        </w:trPr>
        <w:tc>
          <w:tcPr>
            <w:tcW w:w="2927" w:type="dxa"/>
            <w:tcBorders>
              <w:top w:val="single" w:sz="2" w:space="0" w:color="004484"/>
              <w:left w:val="single" w:sz="2" w:space="0" w:color="004484"/>
              <w:bottom w:val="single" w:sz="2" w:space="0" w:color="004484"/>
              <w:right w:val="single" w:sz="2" w:space="0" w:color="004484"/>
            </w:tcBorders>
            <w:shd w:val="solid" w:color="004484" w:fill="auto"/>
            <w:tcMar>
              <w:top w:w="113" w:type="dxa"/>
              <w:left w:w="113" w:type="dxa"/>
              <w:bottom w:w="113" w:type="dxa"/>
              <w:right w:w="113" w:type="dxa"/>
            </w:tcMar>
            <w:vAlign w:val="bottom"/>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FFFFFF" w:themeColor="background1"/>
                <w:sz w:val="20"/>
                <w:szCs w:val="20"/>
                <w:lang w:val="en-US" w:eastAsia="ja-JP"/>
              </w:rPr>
            </w:pPr>
            <w:r w:rsidRPr="00704644">
              <w:rPr>
                <w:rFonts w:ascii="AGaramondPro-Regular" w:hAnsi="AGaramondPro-Regular" w:cs="AGaramondPro-Regular"/>
                <w:b/>
                <w:bCs/>
                <w:color w:val="FFFFFF" w:themeColor="background1"/>
                <w:sz w:val="20"/>
                <w:szCs w:val="20"/>
                <w:lang w:val="en-US" w:eastAsia="ja-JP"/>
              </w:rPr>
              <w:t>Susceptible species</w:t>
            </w:r>
          </w:p>
        </w:tc>
        <w:tc>
          <w:tcPr>
            <w:tcW w:w="2928" w:type="dxa"/>
            <w:tcBorders>
              <w:top w:val="single" w:sz="2" w:space="0" w:color="004484"/>
              <w:left w:val="single" w:sz="2" w:space="0" w:color="004484"/>
              <w:bottom w:val="single" w:sz="2" w:space="0" w:color="004484"/>
              <w:right w:val="single" w:sz="2" w:space="0" w:color="004484"/>
            </w:tcBorders>
            <w:shd w:val="solid" w:color="004484" w:fill="auto"/>
            <w:tcMar>
              <w:top w:w="113" w:type="dxa"/>
              <w:left w:w="113" w:type="dxa"/>
              <w:bottom w:w="113" w:type="dxa"/>
              <w:right w:w="113" w:type="dxa"/>
            </w:tcMar>
            <w:vAlign w:val="bottom"/>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FFFFFF" w:themeColor="background1"/>
                <w:sz w:val="20"/>
                <w:szCs w:val="20"/>
                <w:lang w:val="en-US" w:eastAsia="ja-JP"/>
              </w:rPr>
            </w:pPr>
            <w:r w:rsidRPr="00704644">
              <w:rPr>
                <w:rFonts w:ascii="AGaramondPro-Regular" w:hAnsi="AGaramondPro-Regular" w:cs="AGaramondPro-Regular"/>
                <w:b/>
                <w:bCs/>
                <w:color w:val="FFFFFF" w:themeColor="background1"/>
                <w:sz w:val="20"/>
                <w:szCs w:val="20"/>
                <w:lang w:val="en-US" w:eastAsia="ja-JP"/>
              </w:rPr>
              <w:t>EPBC Act status</w:t>
            </w:r>
          </w:p>
        </w:tc>
        <w:tc>
          <w:tcPr>
            <w:tcW w:w="2927" w:type="dxa"/>
            <w:tcBorders>
              <w:top w:val="single" w:sz="2" w:space="0" w:color="004484"/>
              <w:left w:val="single" w:sz="2" w:space="0" w:color="004484"/>
              <w:bottom w:val="single" w:sz="2" w:space="0" w:color="004484"/>
              <w:right w:val="single" w:sz="2" w:space="0" w:color="004484"/>
            </w:tcBorders>
            <w:shd w:val="solid" w:color="004484" w:fill="auto"/>
            <w:tcMar>
              <w:top w:w="113" w:type="dxa"/>
              <w:left w:w="113" w:type="dxa"/>
              <w:bottom w:w="113" w:type="dxa"/>
              <w:right w:w="113" w:type="dxa"/>
            </w:tcMar>
            <w:vAlign w:val="bottom"/>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FFFFFF" w:themeColor="background1"/>
                <w:sz w:val="20"/>
                <w:szCs w:val="20"/>
                <w:lang w:val="en-US" w:eastAsia="ja-JP"/>
              </w:rPr>
            </w:pPr>
            <w:r w:rsidRPr="00704644">
              <w:rPr>
                <w:rFonts w:ascii="AGaramondPro-Regular" w:hAnsi="AGaramondPro-Regular" w:cs="AGaramondPro-Regular"/>
                <w:b/>
                <w:bCs/>
                <w:color w:val="FFFFFF" w:themeColor="background1"/>
                <w:sz w:val="20"/>
                <w:szCs w:val="20"/>
                <w:lang w:val="en-US" w:eastAsia="ja-JP"/>
              </w:rPr>
              <w:t>State/territory</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AEC2DD"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Bold" w:hAnsi="AGaramondPro-Bold" w:cs="AGaramondPro-Bold"/>
                <w:b/>
                <w:bCs/>
                <w:color w:val="000000"/>
                <w:sz w:val="20"/>
                <w:szCs w:val="20"/>
                <w:lang w:val="en-US" w:eastAsia="ja-JP"/>
              </w:rPr>
              <w:t>ANTHERICACEAE</w:t>
            </w:r>
          </w:p>
        </w:tc>
        <w:tc>
          <w:tcPr>
            <w:tcW w:w="2928" w:type="dxa"/>
            <w:tcBorders>
              <w:top w:val="single" w:sz="2" w:space="0" w:color="004484"/>
              <w:left w:val="single" w:sz="2" w:space="0" w:color="004484"/>
              <w:bottom w:val="single" w:sz="2" w:space="0" w:color="004484"/>
              <w:right w:val="single" w:sz="2" w:space="0" w:color="004484"/>
            </w:tcBorders>
            <w:shd w:val="solid" w:color="AEC2DD" w:fill="auto"/>
            <w:tcMar>
              <w:top w:w="113" w:type="dxa"/>
              <w:left w:w="113" w:type="dxa"/>
              <w:bottom w:w="113" w:type="dxa"/>
              <w:right w:w="113" w:type="dxa"/>
            </w:tcMar>
          </w:tcPr>
          <w:p w:rsidR="007D20DB" w:rsidRPr="007D20DB" w:rsidRDefault="007D20DB" w:rsidP="007D20DB">
            <w:pPr>
              <w:widowControl w:val="0"/>
              <w:autoSpaceDE w:val="0"/>
              <w:autoSpaceDN w:val="0"/>
              <w:adjustRightInd w:val="0"/>
              <w:rPr>
                <w:rFonts w:ascii="MyriadPro-Regular" w:hAnsi="MyriadPro-Regular"/>
                <w:lang w:val="en-US" w:eastAsia="ja-JP"/>
              </w:rPr>
            </w:pPr>
          </w:p>
        </w:tc>
        <w:tc>
          <w:tcPr>
            <w:tcW w:w="2927" w:type="dxa"/>
            <w:tcBorders>
              <w:top w:val="single" w:sz="2" w:space="0" w:color="004484"/>
              <w:left w:val="single" w:sz="2" w:space="0" w:color="004484"/>
              <w:bottom w:val="single" w:sz="2" w:space="0" w:color="004484"/>
              <w:right w:val="single" w:sz="2" w:space="0" w:color="004484"/>
            </w:tcBorders>
            <w:shd w:val="solid" w:color="AEC2DD" w:fill="auto"/>
            <w:tcMar>
              <w:top w:w="113" w:type="dxa"/>
              <w:left w:w="113" w:type="dxa"/>
              <w:bottom w:w="113" w:type="dxa"/>
              <w:right w:w="113" w:type="dxa"/>
            </w:tcMar>
          </w:tcPr>
          <w:p w:rsidR="007D20DB" w:rsidRPr="007D20DB" w:rsidRDefault="007D20DB" w:rsidP="007D20DB">
            <w:pPr>
              <w:widowControl w:val="0"/>
              <w:autoSpaceDE w:val="0"/>
              <w:autoSpaceDN w:val="0"/>
              <w:adjustRightInd w:val="0"/>
              <w:rPr>
                <w:rFonts w:ascii="MyriadPro-Regular" w:hAnsi="MyriadPro-Regular"/>
                <w:lang w:val="en-US" w:eastAsia="ja-JP"/>
              </w:rPr>
            </w:pP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Borya</w:t>
            </w:r>
            <w:proofErr w:type="spellEnd"/>
            <w:r w:rsidRPr="007D20DB">
              <w:rPr>
                <w:rFonts w:ascii="AGaramondPro-Italic" w:hAnsi="AGaramondPro-Italic" w:cs="AGaramondPro-Italic"/>
                <w:i/>
                <w:iCs/>
                <w:color w:val="000000"/>
                <w:sz w:val="20"/>
                <w:szCs w:val="20"/>
                <w:lang w:val="en-US" w:eastAsia="ja-JP"/>
              </w:rPr>
              <w:t xml:space="preserve"> mirabilis</w:t>
            </w:r>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Vic.</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AEC2DD"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Bold" w:hAnsi="AGaramondPro-Bold" w:cs="AGaramondPro-Bold"/>
                <w:b/>
                <w:bCs/>
                <w:color w:val="000000"/>
                <w:sz w:val="20"/>
                <w:szCs w:val="20"/>
                <w:lang w:val="en-US" w:eastAsia="ja-JP"/>
              </w:rPr>
              <w:t>ASTERACEAE</w:t>
            </w:r>
          </w:p>
        </w:tc>
        <w:tc>
          <w:tcPr>
            <w:tcW w:w="2928" w:type="dxa"/>
            <w:tcBorders>
              <w:top w:val="single" w:sz="2" w:space="0" w:color="004484"/>
              <w:left w:val="single" w:sz="2" w:space="0" w:color="004484"/>
              <w:bottom w:val="single" w:sz="2" w:space="0" w:color="004484"/>
              <w:right w:val="single" w:sz="2" w:space="0" w:color="004484"/>
            </w:tcBorders>
            <w:shd w:val="solid" w:color="AEC2DD" w:fill="auto"/>
            <w:tcMar>
              <w:top w:w="113" w:type="dxa"/>
              <w:left w:w="113" w:type="dxa"/>
              <w:bottom w:w="113" w:type="dxa"/>
              <w:right w:w="113" w:type="dxa"/>
            </w:tcMar>
          </w:tcPr>
          <w:p w:rsidR="007D20DB" w:rsidRPr="007D20DB" w:rsidRDefault="007D20DB" w:rsidP="007D20DB">
            <w:pPr>
              <w:widowControl w:val="0"/>
              <w:autoSpaceDE w:val="0"/>
              <w:autoSpaceDN w:val="0"/>
              <w:adjustRightInd w:val="0"/>
              <w:rPr>
                <w:rFonts w:ascii="MyriadPro-Regular" w:hAnsi="MyriadPro-Regular"/>
                <w:lang w:val="en-US" w:eastAsia="ja-JP"/>
              </w:rPr>
            </w:pPr>
          </w:p>
        </w:tc>
        <w:tc>
          <w:tcPr>
            <w:tcW w:w="2927" w:type="dxa"/>
            <w:tcBorders>
              <w:top w:val="single" w:sz="2" w:space="0" w:color="004484"/>
              <w:left w:val="single" w:sz="2" w:space="0" w:color="004484"/>
              <w:bottom w:val="single" w:sz="2" w:space="0" w:color="004484"/>
              <w:right w:val="single" w:sz="2" w:space="0" w:color="004484"/>
            </w:tcBorders>
            <w:shd w:val="solid" w:color="AEC2DD" w:fill="auto"/>
            <w:tcMar>
              <w:top w:w="113" w:type="dxa"/>
              <w:left w:w="113" w:type="dxa"/>
              <w:bottom w:w="113" w:type="dxa"/>
              <w:right w:w="113" w:type="dxa"/>
            </w:tcMar>
          </w:tcPr>
          <w:p w:rsidR="007D20DB" w:rsidRPr="007D20DB" w:rsidRDefault="007D20DB" w:rsidP="007D20DB">
            <w:pPr>
              <w:widowControl w:val="0"/>
              <w:autoSpaceDE w:val="0"/>
              <w:autoSpaceDN w:val="0"/>
              <w:adjustRightInd w:val="0"/>
              <w:rPr>
                <w:rFonts w:ascii="MyriadPro-Regular" w:hAnsi="MyriadPro-Regular"/>
                <w:lang w:val="en-US" w:eastAsia="ja-JP"/>
              </w:rPr>
            </w:pP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Olearia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pannosa</w:t>
            </w:r>
            <w:proofErr w:type="spellEnd"/>
            <w:r w:rsidRPr="007D20DB">
              <w:rPr>
                <w:rFonts w:ascii="AGaramondPro-Italic" w:hAnsi="AGaramondPro-Italic" w:cs="AGaramondPro-Italic"/>
                <w:i/>
                <w:iCs/>
                <w:color w:val="000000"/>
                <w:sz w:val="20"/>
                <w:szCs w:val="20"/>
                <w:lang w:val="en-US" w:eastAsia="ja-JP"/>
              </w:rPr>
              <w:t xml:space="preserve"> </w:t>
            </w:r>
            <w:r w:rsidRPr="007D20DB">
              <w:rPr>
                <w:rFonts w:ascii="AGaramondPro-Regular" w:hAnsi="AGaramondPro-Regular" w:cs="AGaramondPro-Regular"/>
                <w:color w:val="000000"/>
                <w:sz w:val="20"/>
                <w:szCs w:val="20"/>
                <w:lang w:val="en-US" w:eastAsia="ja-JP"/>
              </w:rPr>
              <w:t>subsp</w:t>
            </w:r>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pannosa</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V</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SA</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AEC2DD"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Bold" w:hAnsi="AGaramondPro-Bold" w:cs="AGaramondPro-Bold"/>
                <w:b/>
                <w:bCs/>
                <w:color w:val="000000"/>
                <w:sz w:val="20"/>
                <w:szCs w:val="20"/>
                <w:lang w:val="en-US" w:eastAsia="ja-JP"/>
              </w:rPr>
              <w:t>ARAUCARIACEAE</w:t>
            </w:r>
          </w:p>
        </w:tc>
        <w:tc>
          <w:tcPr>
            <w:tcW w:w="2928" w:type="dxa"/>
            <w:tcBorders>
              <w:top w:val="single" w:sz="2" w:space="0" w:color="004484"/>
              <w:left w:val="single" w:sz="2" w:space="0" w:color="004484"/>
              <w:bottom w:val="single" w:sz="2" w:space="0" w:color="004484"/>
              <w:right w:val="single" w:sz="2" w:space="0" w:color="004484"/>
            </w:tcBorders>
            <w:shd w:val="solid" w:color="AEC2DD" w:fill="auto"/>
            <w:tcMar>
              <w:top w:w="113" w:type="dxa"/>
              <w:left w:w="113" w:type="dxa"/>
              <w:bottom w:w="113" w:type="dxa"/>
              <w:right w:w="113" w:type="dxa"/>
            </w:tcMar>
          </w:tcPr>
          <w:p w:rsidR="007D20DB" w:rsidRPr="007D20DB" w:rsidRDefault="007D20DB" w:rsidP="007D20DB">
            <w:pPr>
              <w:widowControl w:val="0"/>
              <w:autoSpaceDE w:val="0"/>
              <w:autoSpaceDN w:val="0"/>
              <w:adjustRightInd w:val="0"/>
              <w:rPr>
                <w:rFonts w:ascii="MyriadPro-Regular" w:hAnsi="MyriadPro-Regular"/>
                <w:lang w:val="en-US" w:eastAsia="ja-JP"/>
              </w:rPr>
            </w:pPr>
          </w:p>
        </w:tc>
        <w:tc>
          <w:tcPr>
            <w:tcW w:w="2927" w:type="dxa"/>
            <w:tcBorders>
              <w:top w:val="single" w:sz="2" w:space="0" w:color="004484"/>
              <w:left w:val="single" w:sz="2" w:space="0" w:color="004484"/>
              <w:bottom w:val="single" w:sz="2" w:space="0" w:color="004484"/>
              <w:right w:val="single" w:sz="2" w:space="0" w:color="004484"/>
            </w:tcBorders>
            <w:shd w:val="solid" w:color="AEC2DD" w:fill="auto"/>
            <w:tcMar>
              <w:top w:w="113" w:type="dxa"/>
              <w:left w:w="113" w:type="dxa"/>
              <w:bottom w:w="113" w:type="dxa"/>
              <w:right w:w="113" w:type="dxa"/>
            </w:tcMar>
          </w:tcPr>
          <w:p w:rsidR="007D20DB" w:rsidRPr="007D20DB" w:rsidRDefault="007D20DB" w:rsidP="007D20DB">
            <w:pPr>
              <w:widowControl w:val="0"/>
              <w:autoSpaceDE w:val="0"/>
              <w:autoSpaceDN w:val="0"/>
              <w:adjustRightInd w:val="0"/>
              <w:rPr>
                <w:rFonts w:ascii="MyriadPro-Regular" w:hAnsi="MyriadPro-Regular"/>
                <w:lang w:val="en-US" w:eastAsia="ja-JP"/>
              </w:rPr>
            </w:pP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Wollemia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nobilis</w:t>
            </w:r>
            <w:proofErr w:type="spellEnd"/>
            <w:r w:rsidRPr="007D20DB">
              <w:rPr>
                <w:rFonts w:ascii="AGaramondPro-Italic" w:hAnsi="AGaramondPro-Italic" w:cs="AGaramondPro-Italic"/>
                <w:i/>
                <w:iCs/>
                <w:color w:val="000000"/>
                <w:sz w:val="20"/>
                <w:szCs w:val="20"/>
                <w:lang w:val="en-US" w:eastAsia="ja-JP"/>
              </w:rPr>
              <w:t xml:space="preserve"> </w:t>
            </w:r>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E </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NSW</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AEC2DD"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Bold" w:hAnsi="AGaramondPro-Bold" w:cs="AGaramondPro-Bold"/>
                <w:b/>
                <w:bCs/>
                <w:color w:val="000000"/>
                <w:sz w:val="20"/>
                <w:szCs w:val="20"/>
                <w:lang w:val="en-US" w:eastAsia="ja-JP"/>
              </w:rPr>
              <w:t>CASUARINCEAE</w:t>
            </w:r>
          </w:p>
        </w:tc>
        <w:tc>
          <w:tcPr>
            <w:tcW w:w="2928" w:type="dxa"/>
            <w:tcBorders>
              <w:top w:val="single" w:sz="2" w:space="0" w:color="004484"/>
              <w:left w:val="single" w:sz="2" w:space="0" w:color="004484"/>
              <w:bottom w:val="single" w:sz="2" w:space="0" w:color="004484"/>
              <w:right w:val="single" w:sz="2" w:space="0" w:color="004484"/>
            </w:tcBorders>
            <w:shd w:val="solid" w:color="AEC2DD" w:fill="auto"/>
            <w:tcMar>
              <w:top w:w="113" w:type="dxa"/>
              <w:left w:w="113" w:type="dxa"/>
              <w:bottom w:w="113" w:type="dxa"/>
              <w:right w:w="113" w:type="dxa"/>
            </w:tcMar>
          </w:tcPr>
          <w:p w:rsidR="007D20DB" w:rsidRPr="007D20DB" w:rsidRDefault="007D20DB" w:rsidP="007D20DB">
            <w:pPr>
              <w:widowControl w:val="0"/>
              <w:autoSpaceDE w:val="0"/>
              <w:autoSpaceDN w:val="0"/>
              <w:adjustRightInd w:val="0"/>
              <w:rPr>
                <w:rFonts w:ascii="MyriadPro-Regular" w:hAnsi="MyriadPro-Regular"/>
                <w:lang w:val="en-US" w:eastAsia="ja-JP"/>
              </w:rPr>
            </w:pPr>
          </w:p>
        </w:tc>
        <w:tc>
          <w:tcPr>
            <w:tcW w:w="2927" w:type="dxa"/>
            <w:tcBorders>
              <w:top w:val="single" w:sz="2" w:space="0" w:color="004484"/>
              <w:left w:val="single" w:sz="2" w:space="0" w:color="004484"/>
              <w:bottom w:val="single" w:sz="2" w:space="0" w:color="004484"/>
              <w:right w:val="single" w:sz="2" w:space="0" w:color="004484"/>
            </w:tcBorders>
            <w:shd w:val="solid" w:color="AEC2DD" w:fill="auto"/>
            <w:tcMar>
              <w:top w:w="113" w:type="dxa"/>
              <w:left w:w="113" w:type="dxa"/>
              <w:bottom w:w="113" w:type="dxa"/>
              <w:right w:w="113" w:type="dxa"/>
            </w:tcMar>
          </w:tcPr>
          <w:p w:rsidR="007D20DB" w:rsidRPr="007D20DB" w:rsidRDefault="007D20DB" w:rsidP="007D20DB">
            <w:pPr>
              <w:widowControl w:val="0"/>
              <w:autoSpaceDE w:val="0"/>
              <w:autoSpaceDN w:val="0"/>
              <w:adjustRightInd w:val="0"/>
              <w:rPr>
                <w:rFonts w:ascii="MyriadPro-Regular" w:hAnsi="MyriadPro-Regular"/>
                <w:lang w:val="en-US" w:eastAsia="ja-JP"/>
              </w:rPr>
            </w:pP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Allocasuarina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fibrosa</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V</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AEC2DD"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Bold" w:hAnsi="AGaramondPro-Bold" w:cs="AGaramondPro-Bold"/>
                <w:b/>
                <w:bCs/>
                <w:color w:val="000000"/>
                <w:sz w:val="20"/>
                <w:szCs w:val="20"/>
                <w:lang w:val="en-US" w:eastAsia="ja-JP"/>
              </w:rPr>
              <w:t>EPACRIDACEAE</w:t>
            </w:r>
          </w:p>
        </w:tc>
        <w:tc>
          <w:tcPr>
            <w:tcW w:w="2928" w:type="dxa"/>
            <w:tcBorders>
              <w:top w:val="single" w:sz="2" w:space="0" w:color="004484"/>
              <w:left w:val="single" w:sz="2" w:space="0" w:color="004484"/>
              <w:bottom w:val="single" w:sz="2" w:space="0" w:color="004484"/>
              <w:right w:val="single" w:sz="2" w:space="0" w:color="004484"/>
            </w:tcBorders>
            <w:shd w:val="solid" w:color="AEC2DD" w:fill="auto"/>
            <w:tcMar>
              <w:top w:w="113" w:type="dxa"/>
              <w:left w:w="113" w:type="dxa"/>
              <w:bottom w:w="113" w:type="dxa"/>
              <w:right w:w="113" w:type="dxa"/>
            </w:tcMar>
          </w:tcPr>
          <w:p w:rsidR="007D20DB" w:rsidRPr="007D20DB" w:rsidRDefault="007D20DB" w:rsidP="007D20DB">
            <w:pPr>
              <w:widowControl w:val="0"/>
              <w:autoSpaceDE w:val="0"/>
              <w:autoSpaceDN w:val="0"/>
              <w:adjustRightInd w:val="0"/>
              <w:rPr>
                <w:rFonts w:ascii="MyriadPro-Regular" w:hAnsi="MyriadPro-Regular"/>
                <w:lang w:val="en-US" w:eastAsia="ja-JP"/>
              </w:rPr>
            </w:pPr>
          </w:p>
        </w:tc>
        <w:tc>
          <w:tcPr>
            <w:tcW w:w="2927" w:type="dxa"/>
            <w:tcBorders>
              <w:top w:val="single" w:sz="2" w:space="0" w:color="004484"/>
              <w:left w:val="single" w:sz="2" w:space="0" w:color="004484"/>
              <w:bottom w:val="single" w:sz="2" w:space="0" w:color="004484"/>
              <w:right w:val="single" w:sz="2" w:space="0" w:color="004484"/>
            </w:tcBorders>
            <w:shd w:val="solid" w:color="AEC2DD" w:fill="auto"/>
            <w:tcMar>
              <w:top w:w="113" w:type="dxa"/>
              <w:left w:w="113" w:type="dxa"/>
              <w:bottom w:w="113" w:type="dxa"/>
              <w:right w:w="113" w:type="dxa"/>
            </w:tcMar>
          </w:tcPr>
          <w:p w:rsidR="007D20DB" w:rsidRPr="007D20DB" w:rsidRDefault="007D20DB" w:rsidP="007D20DB">
            <w:pPr>
              <w:widowControl w:val="0"/>
              <w:autoSpaceDE w:val="0"/>
              <w:autoSpaceDN w:val="0"/>
              <w:adjustRightInd w:val="0"/>
              <w:rPr>
                <w:rFonts w:ascii="MyriadPro-Regular" w:hAnsi="MyriadPro-Regular"/>
                <w:lang w:val="en-US" w:eastAsia="ja-JP"/>
              </w:rPr>
            </w:pP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Andersonia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axilliflora</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Andersonia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pinaster</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V</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Italic" w:hAnsi="AGaramondPro-Italic" w:cs="AGaramondPro-Italic"/>
                <w:i/>
                <w:iCs/>
                <w:color w:val="000000"/>
                <w:sz w:val="20"/>
                <w:szCs w:val="20"/>
                <w:lang w:val="en-US" w:eastAsia="ja-JP"/>
              </w:rPr>
              <w:t xml:space="preserve">Epacris </w:t>
            </w:r>
            <w:proofErr w:type="spellStart"/>
            <w:r w:rsidRPr="007D20DB">
              <w:rPr>
                <w:rFonts w:ascii="AGaramondPro-Italic" w:hAnsi="AGaramondPro-Italic" w:cs="AGaramondPro-Italic"/>
                <w:i/>
                <w:iCs/>
                <w:color w:val="000000"/>
                <w:sz w:val="20"/>
                <w:szCs w:val="20"/>
                <w:lang w:val="en-US" w:eastAsia="ja-JP"/>
              </w:rPr>
              <w:t>apsleyenis</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Tas.</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Italic" w:hAnsi="AGaramondPro-Italic" w:cs="AGaramondPro-Italic"/>
                <w:i/>
                <w:iCs/>
                <w:color w:val="000000"/>
                <w:sz w:val="20"/>
                <w:szCs w:val="20"/>
                <w:lang w:val="en-US" w:eastAsia="ja-JP"/>
              </w:rPr>
              <w:lastRenderedPageBreak/>
              <w:t xml:space="preserve">Epacris </w:t>
            </w:r>
            <w:proofErr w:type="spellStart"/>
            <w:r w:rsidRPr="007D20DB">
              <w:rPr>
                <w:rFonts w:ascii="AGaramondPro-Italic" w:hAnsi="AGaramondPro-Italic" w:cs="AGaramondPro-Italic"/>
                <w:i/>
                <w:iCs/>
                <w:color w:val="000000"/>
                <w:sz w:val="20"/>
                <w:szCs w:val="20"/>
                <w:lang w:val="en-US" w:eastAsia="ja-JP"/>
              </w:rPr>
              <w:t>barbata</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Tas.</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Italic" w:hAnsi="AGaramondPro-Italic" w:cs="AGaramondPro-Italic"/>
                <w:i/>
                <w:iCs/>
                <w:color w:val="000000"/>
                <w:sz w:val="20"/>
                <w:szCs w:val="20"/>
                <w:lang w:val="en-US" w:eastAsia="ja-JP"/>
              </w:rPr>
              <w:t xml:space="preserve">Epacris </w:t>
            </w:r>
            <w:proofErr w:type="spellStart"/>
            <w:r w:rsidRPr="007D20DB">
              <w:rPr>
                <w:rFonts w:ascii="AGaramondPro-Italic" w:hAnsi="AGaramondPro-Italic" w:cs="AGaramondPro-Italic"/>
                <w:i/>
                <w:iCs/>
                <w:color w:val="000000"/>
                <w:sz w:val="20"/>
                <w:szCs w:val="20"/>
                <w:lang w:val="en-US" w:eastAsia="ja-JP"/>
              </w:rPr>
              <w:t>exserta</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Tas.</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Italic" w:hAnsi="AGaramondPro-Italic" w:cs="AGaramondPro-Italic"/>
                <w:i/>
                <w:iCs/>
                <w:color w:val="000000"/>
                <w:sz w:val="20"/>
                <w:szCs w:val="20"/>
                <w:lang w:val="en-US" w:eastAsia="ja-JP"/>
              </w:rPr>
              <w:t xml:space="preserve">Epacris </w:t>
            </w:r>
            <w:proofErr w:type="spellStart"/>
            <w:r w:rsidRPr="007D20DB">
              <w:rPr>
                <w:rFonts w:ascii="AGaramondPro-Italic" w:hAnsi="AGaramondPro-Italic" w:cs="AGaramondPro-Italic"/>
                <w:i/>
                <w:iCs/>
                <w:color w:val="000000"/>
                <w:sz w:val="20"/>
                <w:szCs w:val="20"/>
                <w:lang w:val="en-US" w:eastAsia="ja-JP"/>
              </w:rPr>
              <w:t>glabella</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Tas.</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Italic" w:hAnsi="AGaramondPro-Italic" w:cs="AGaramondPro-Italic"/>
                <w:i/>
                <w:iCs/>
                <w:color w:val="000000"/>
                <w:sz w:val="20"/>
                <w:szCs w:val="20"/>
                <w:lang w:val="en-US" w:eastAsia="ja-JP"/>
              </w:rPr>
              <w:t xml:space="preserve">Epacris </w:t>
            </w:r>
            <w:proofErr w:type="spellStart"/>
            <w:r w:rsidRPr="007D20DB">
              <w:rPr>
                <w:rFonts w:ascii="AGaramondPro-Italic" w:hAnsi="AGaramondPro-Italic" w:cs="AGaramondPro-Italic"/>
                <w:i/>
                <w:iCs/>
                <w:color w:val="000000"/>
                <w:sz w:val="20"/>
                <w:szCs w:val="20"/>
                <w:lang w:val="en-US" w:eastAsia="ja-JP"/>
              </w:rPr>
              <w:t>graniticola</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CE</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Tas.</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Italic" w:hAnsi="AGaramondPro-Italic" w:cs="AGaramondPro-Italic"/>
                <w:i/>
                <w:iCs/>
                <w:color w:val="000000"/>
                <w:sz w:val="20"/>
                <w:szCs w:val="20"/>
                <w:lang w:val="en-US" w:eastAsia="ja-JP"/>
              </w:rPr>
              <w:t xml:space="preserve">Epacris </w:t>
            </w:r>
            <w:proofErr w:type="spellStart"/>
            <w:r w:rsidRPr="007D20DB">
              <w:rPr>
                <w:rFonts w:ascii="AGaramondPro-Italic" w:hAnsi="AGaramondPro-Italic" w:cs="AGaramondPro-Italic"/>
                <w:i/>
                <w:iCs/>
                <w:color w:val="000000"/>
                <w:sz w:val="20"/>
                <w:szCs w:val="20"/>
                <w:lang w:val="en-US" w:eastAsia="ja-JP"/>
              </w:rPr>
              <w:t>grandis</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Tas.</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Italic" w:hAnsi="AGaramondPro-Italic" w:cs="AGaramondPro-Italic"/>
                <w:i/>
                <w:iCs/>
                <w:color w:val="000000"/>
                <w:sz w:val="20"/>
                <w:szCs w:val="20"/>
                <w:lang w:val="en-US" w:eastAsia="ja-JP"/>
              </w:rPr>
              <w:t xml:space="preserve">Epacris </w:t>
            </w:r>
            <w:proofErr w:type="spellStart"/>
            <w:r w:rsidRPr="007D20DB">
              <w:rPr>
                <w:rFonts w:ascii="AGaramondPro-Italic" w:hAnsi="AGaramondPro-Italic" w:cs="AGaramondPro-Italic"/>
                <w:i/>
                <w:iCs/>
                <w:color w:val="000000"/>
                <w:sz w:val="20"/>
                <w:szCs w:val="20"/>
                <w:lang w:val="en-US" w:eastAsia="ja-JP"/>
              </w:rPr>
              <w:t>limbata</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CE</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Tas.</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Italic" w:hAnsi="AGaramondPro-Italic" w:cs="AGaramondPro-Italic"/>
                <w:i/>
                <w:iCs/>
                <w:color w:val="000000"/>
                <w:sz w:val="20"/>
                <w:szCs w:val="20"/>
                <w:lang w:val="en-US" w:eastAsia="ja-JP"/>
              </w:rPr>
              <w:t xml:space="preserve">Epacris </w:t>
            </w:r>
            <w:proofErr w:type="spellStart"/>
            <w:r w:rsidRPr="007D20DB">
              <w:rPr>
                <w:rFonts w:ascii="AGaramondPro-Italic" w:hAnsi="AGaramondPro-Italic" w:cs="AGaramondPro-Italic"/>
                <w:i/>
                <w:iCs/>
                <w:color w:val="000000"/>
                <w:sz w:val="20"/>
                <w:szCs w:val="20"/>
                <w:lang w:val="en-US" w:eastAsia="ja-JP"/>
              </w:rPr>
              <w:t>stuartii</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CE</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Tas.</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Italic" w:hAnsi="AGaramondPro-Italic" w:cs="AGaramondPro-Italic"/>
                <w:i/>
                <w:iCs/>
                <w:color w:val="000000"/>
                <w:sz w:val="20"/>
                <w:szCs w:val="20"/>
                <w:lang w:val="en-US" w:eastAsia="ja-JP"/>
              </w:rPr>
              <w:t xml:space="preserve">Epacris </w:t>
            </w:r>
            <w:proofErr w:type="spellStart"/>
            <w:r w:rsidRPr="007D20DB">
              <w:rPr>
                <w:rFonts w:ascii="AGaramondPro-Italic" w:hAnsi="AGaramondPro-Italic" w:cs="AGaramondPro-Italic"/>
                <w:i/>
                <w:iCs/>
                <w:color w:val="000000"/>
                <w:sz w:val="20"/>
                <w:szCs w:val="20"/>
                <w:lang w:val="en-US" w:eastAsia="ja-JP"/>
              </w:rPr>
              <w:t>virgata</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Tas.</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Leucopogon</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gnaphaloides</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Leucopogon</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marginatus</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Leucopogon</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obtectus</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Sphenotom</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drummondii</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AEC2DD"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Bold" w:hAnsi="AGaramondPro-Bold" w:cs="AGaramondPro-Bold"/>
                <w:b/>
                <w:bCs/>
                <w:color w:val="000000"/>
                <w:sz w:val="20"/>
                <w:szCs w:val="20"/>
                <w:lang w:val="en-US" w:eastAsia="ja-JP"/>
              </w:rPr>
              <w:t>FABACEAE</w:t>
            </w:r>
          </w:p>
        </w:tc>
        <w:tc>
          <w:tcPr>
            <w:tcW w:w="2928" w:type="dxa"/>
            <w:tcBorders>
              <w:top w:val="single" w:sz="2" w:space="0" w:color="004484"/>
              <w:left w:val="single" w:sz="2" w:space="0" w:color="004484"/>
              <w:bottom w:val="single" w:sz="2" w:space="0" w:color="004484"/>
              <w:right w:val="single" w:sz="2" w:space="0" w:color="004484"/>
            </w:tcBorders>
            <w:shd w:val="solid" w:color="AEC2DD" w:fill="auto"/>
            <w:tcMar>
              <w:top w:w="113" w:type="dxa"/>
              <w:left w:w="113" w:type="dxa"/>
              <w:bottom w:w="113" w:type="dxa"/>
              <w:right w:w="113" w:type="dxa"/>
            </w:tcMar>
          </w:tcPr>
          <w:p w:rsidR="007D20DB" w:rsidRPr="007D20DB" w:rsidRDefault="007D20DB" w:rsidP="007D20DB">
            <w:pPr>
              <w:widowControl w:val="0"/>
              <w:autoSpaceDE w:val="0"/>
              <w:autoSpaceDN w:val="0"/>
              <w:adjustRightInd w:val="0"/>
              <w:rPr>
                <w:rFonts w:ascii="MyriadPro-Regular" w:hAnsi="MyriadPro-Regular"/>
                <w:lang w:val="en-US" w:eastAsia="ja-JP"/>
              </w:rPr>
            </w:pPr>
          </w:p>
        </w:tc>
        <w:tc>
          <w:tcPr>
            <w:tcW w:w="2927" w:type="dxa"/>
            <w:tcBorders>
              <w:top w:val="single" w:sz="2" w:space="0" w:color="004484"/>
              <w:left w:val="single" w:sz="2" w:space="0" w:color="004484"/>
              <w:bottom w:val="single" w:sz="2" w:space="0" w:color="004484"/>
              <w:right w:val="single" w:sz="2" w:space="0" w:color="004484"/>
            </w:tcBorders>
            <w:shd w:val="solid" w:color="AEC2DD" w:fill="auto"/>
            <w:tcMar>
              <w:top w:w="113" w:type="dxa"/>
              <w:left w:w="113" w:type="dxa"/>
              <w:bottom w:w="113" w:type="dxa"/>
              <w:right w:w="113" w:type="dxa"/>
            </w:tcMar>
          </w:tcPr>
          <w:p w:rsidR="007D20DB" w:rsidRPr="007D20DB" w:rsidRDefault="007D20DB" w:rsidP="007D20DB">
            <w:pPr>
              <w:widowControl w:val="0"/>
              <w:autoSpaceDE w:val="0"/>
              <w:autoSpaceDN w:val="0"/>
              <w:adjustRightInd w:val="0"/>
              <w:rPr>
                <w:rFonts w:ascii="MyriadPro-Regular" w:hAnsi="MyriadPro-Regular"/>
                <w:lang w:val="en-US" w:eastAsia="ja-JP"/>
              </w:rPr>
            </w:pP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Daviesia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bursarioides</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Daviesia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euphorbioides</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Daviesia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glossosema</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CE</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Daviesia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megacalyx</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Daviesia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microcarpa</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Daviesia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pseudaphylla</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Daviesia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speciosa</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lastRenderedPageBreak/>
              <w:t>Gastrolobium</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papilio</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AEC2DD"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Bold" w:hAnsi="AGaramondPro-Bold" w:cs="AGaramondPro-Bold"/>
                <w:b/>
                <w:bCs/>
                <w:color w:val="000000"/>
                <w:sz w:val="20"/>
                <w:szCs w:val="20"/>
                <w:lang w:val="en-US" w:eastAsia="ja-JP"/>
              </w:rPr>
              <w:t>LAMIACEAE</w:t>
            </w:r>
          </w:p>
        </w:tc>
        <w:tc>
          <w:tcPr>
            <w:tcW w:w="2928" w:type="dxa"/>
            <w:tcBorders>
              <w:top w:val="single" w:sz="2" w:space="0" w:color="004484"/>
              <w:left w:val="single" w:sz="2" w:space="0" w:color="004484"/>
              <w:bottom w:val="single" w:sz="2" w:space="0" w:color="004484"/>
              <w:right w:val="single" w:sz="2" w:space="0" w:color="004484"/>
            </w:tcBorders>
            <w:shd w:val="solid" w:color="AEC2DD" w:fill="auto"/>
            <w:tcMar>
              <w:top w:w="113" w:type="dxa"/>
              <w:left w:w="113" w:type="dxa"/>
              <w:bottom w:w="113" w:type="dxa"/>
              <w:right w:w="113" w:type="dxa"/>
            </w:tcMar>
          </w:tcPr>
          <w:p w:rsidR="007D20DB" w:rsidRPr="007D20DB" w:rsidRDefault="007D20DB" w:rsidP="007D20DB">
            <w:pPr>
              <w:widowControl w:val="0"/>
              <w:autoSpaceDE w:val="0"/>
              <w:autoSpaceDN w:val="0"/>
              <w:adjustRightInd w:val="0"/>
              <w:rPr>
                <w:rFonts w:ascii="MyriadPro-Regular" w:hAnsi="MyriadPro-Regular"/>
                <w:lang w:val="en-US" w:eastAsia="ja-JP"/>
              </w:rPr>
            </w:pPr>
          </w:p>
        </w:tc>
        <w:tc>
          <w:tcPr>
            <w:tcW w:w="2927" w:type="dxa"/>
            <w:tcBorders>
              <w:top w:val="single" w:sz="2" w:space="0" w:color="004484"/>
              <w:left w:val="single" w:sz="2" w:space="0" w:color="004484"/>
              <w:bottom w:val="single" w:sz="2" w:space="0" w:color="004484"/>
              <w:right w:val="single" w:sz="2" w:space="0" w:color="004484"/>
            </w:tcBorders>
            <w:shd w:val="solid" w:color="AEC2DD" w:fill="auto"/>
            <w:tcMar>
              <w:top w:w="113" w:type="dxa"/>
              <w:left w:w="113" w:type="dxa"/>
              <w:bottom w:w="113" w:type="dxa"/>
              <w:right w:w="113" w:type="dxa"/>
            </w:tcMar>
          </w:tcPr>
          <w:p w:rsidR="007D20DB" w:rsidRPr="007D20DB" w:rsidRDefault="007D20DB" w:rsidP="007D20DB">
            <w:pPr>
              <w:widowControl w:val="0"/>
              <w:autoSpaceDE w:val="0"/>
              <w:autoSpaceDN w:val="0"/>
              <w:adjustRightInd w:val="0"/>
              <w:rPr>
                <w:rFonts w:ascii="MyriadPro-Regular" w:hAnsi="MyriadPro-Regular"/>
                <w:lang w:val="en-US" w:eastAsia="ja-JP"/>
              </w:rPr>
            </w:pP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Prostanthera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eurybioides</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SA</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Prostanthera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marifolia</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CE</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NSW</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AEC2DD"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Bold" w:hAnsi="AGaramondPro-Bold" w:cs="AGaramondPro-Bold"/>
                <w:b/>
                <w:bCs/>
                <w:color w:val="000000"/>
                <w:sz w:val="20"/>
                <w:szCs w:val="20"/>
                <w:lang w:val="en-US" w:eastAsia="ja-JP"/>
              </w:rPr>
              <w:t>MYRTACEAE</w:t>
            </w:r>
          </w:p>
        </w:tc>
        <w:tc>
          <w:tcPr>
            <w:tcW w:w="2928" w:type="dxa"/>
            <w:tcBorders>
              <w:top w:val="single" w:sz="2" w:space="0" w:color="004484"/>
              <w:left w:val="single" w:sz="2" w:space="0" w:color="004484"/>
              <w:bottom w:val="single" w:sz="2" w:space="0" w:color="004484"/>
              <w:right w:val="single" w:sz="2" w:space="0" w:color="004484"/>
            </w:tcBorders>
            <w:shd w:val="solid" w:color="AEC2DD" w:fill="auto"/>
            <w:tcMar>
              <w:top w:w="113" w:type="dxa"/>
              <w:left w:w="113" w:type="dxa"/>
              <w:bottom w:w="113" w:type="dxa"/>
              <w:right w:w="113" w:type="dxa"/>
            </w:tcMar>
          </w:tcPr>
          <w:p w:rsidR="007D20DB" w:rsidRPr="007D20DB" w:rsidRDefault="007D20DB" w:rsidP="007D20DB">
            <w:pPr>
              <w:widowControl w:val="0"/>
              <w:autoSpaceDE w:val="0"/>
              <w:autoSpaceDN w:val="0"/>
              <w:adjustRightInd w:val="0"/>
              <w:rPr>
                <w:rFonts w:ascii="MyriadPro-Regular" w:hAnsi="MyriadPro-Regular"/>
                <w:lang w:val="en-US" w:eastAsia="ja-JP"/>
              </w:rPr>
            </w:pPr>
          </w:p>
        </w:tc>
        <w:tc>
          <w:tcPr>
            <w:tcW w:w="2927" w:type="dxa"/>
            <w:tcBorders>
              <w:top w:val="single" w:sz="2" w:space="0" w:color="004484"/>
              <w:left w:val="single" w:sz="2" w:space="0" w:color="004484"/>
              <w:bottom w:val="single" w:sz="2" w:space="0" w:color="004484"/>
              <w:right w:val="single" w:sz="2" w:space="0" w:color="004484"/>
            </w:tcBorders>
            <w:shd w:val="solid" w:color="AEC2DD" w:fill="auto"/>
            <w:tcMar>
              <w:top w:w="113" w:type="dxa"/>
              <w:left w:w="113" w:type="dxa"/>
              <w:bottom w:w="113" w:type="dxa"/>
              <w:right w:w="113" w:type="dxa"/>
            </w:tcMar>
          </w:tcPr>
          <w:p w:rsidR="007D20DB" w:rsidRPr="007D20DB" w:rsidRDefault="007D20DB" w:rsidP="007D20DB">
            <w:pPr>
              <w:widowControl w:val="0"/>
              <w:autoSpaceDE w:val="0"/>
              <w:autoSpaceDN w:val="0"/>
              <w:adjustRightInd w:val="0"/>
              <w:rPr>
                <w:rFonts w:ascii="MyriadPro-Regular" w:hAnsi="MyriadPro-Regular"/>
                <w:lang w:val="en-US" w:eastAsia="ja-JP"/>
              </w:rPr>
            </w:pP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Darwinia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collina</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Darwinia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meeboldii</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V</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Darwinia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oxylepis</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Darwinia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squarrosa</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V</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Italic" w:hAnsi="AGaramondPro-Italic" w:cs="AGaramondPro-Italic"/>
                <w:i/>
                <w:iCs/>
                <w:color w:val="000000"/>
                <w:sz w:val="20"/>
                <w:szCs w:val="20"/>
                <w:lang w:val="en-US" w:eastAsia="ja-JP"/>
              </w:rPr>
              <w:t xml:space="preserve">Eucalyptus </w:t>
            </w:r>
            <w:proofErr w:type="spellStart"/>
            <w:r w:rsidRPr="007D20DB">
              <w:rPr>
                <w:rFonts w:ascii="AGaramondPro-Italic" w:hAnsi="AGaramondPro-Italic" w:cs="AGaramondPro-Italic"/>
                <w:i/>
                <w:iCs/>
                <w:color w:val="000000"/>
                <w:sz w:val="20"/>
                <w:szCs w:val="20"/>
                <w:lang w:val="en-US" w:eastAsia="ja-JP"/>
              </w:rPr>
              <w:t>imlayensis</w:t>
            </w:r>
            <w:proofErr w:type="spellEnd"/>
            <w:r w:rsidRPr="007D20DB">
              <w:rPr>
                <w:rFonts w:ascii="AGaramondPro-Italic" w:hAnsi="AGaramondPro-Italic" w:cs="AGaramondPro-Italic"/>
                <w:i/>
                <w:iCs/>
                <w:color w:val="000000"/>
                <w:sz w:val="20"/>
                <w:szCs w:val="20"/>
                <w:lang w:val="en-US" w:eastAsia="ja-JP"/>
              </w:rPr>
              <w:t xml:space="preserve"> </w:t>
            </w:r>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NSW/ACT</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Verticordia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carinata</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V</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Verticordia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densiflora</w:t>
            </w:r>
            <w:proofErr w:type="spellEnd"/>
            <w:r w:rsidRPr="007D20DB">
              <w:rPr>
                <w:rFonts w:ascii="AGaramondPro-Italic" w:hAnsi="AGaramondPro-Italic" w:cs="AGaramondPro-Italic"/>
                <w:i/>
                <w:iCs/>
                <w:color w:val="000000"/>
                <w:sz w:val="20"/>
                <w:szCs w:val="20"/>
                <w:lang w:val="en-US" w:eastAsia="ja-JP"/>
              </w:rPr>
              <w:t xml:space="preserve"> </w:t>
            </w:r>
            <w:r w:rsidRPr="007D20DB">
              <w:rPr>
                <w:rFonts w:ascii="AGaramondPro-Regular" w:hAnsi="AGaramondPro-Regular" w:cs="AGaramondPro-Regular"/>
                <w:color w:val="000000"/>
                <w:sz w:val="20"/>
                <w:szCs w:val="20"/>
                <w:lang w:val="en-US" w:eastAsia="ja-JP"/>
              </w:rPr>
              <w:t>var</w:t>
            </w:r>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pedunculata</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AEC2DD"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Bold" w:hAnsi="AGaramondPro-Bold" w:cs="AGaramondPro-Bold"/>
                <w:b/>
                <w:bCs/>
                <w:color w:val="000000"/>
                <w:sz w:val="20"/>
                <w:szCs w:val="20"/>
                <w:lang w:val="en-US" w:eastAsia="ja-JP"/>
              </w:rPr>
              <w:t>PROTEACEAE</w:t>
            </w:r>
          </w:p>
        </w:tc>
        <w:tc>
          <w:tcPr>
            <w:tcW w:w="2928" w:type="dxa"/>
            <w:tcBorders>
              <w:top w:val="single" w:sz="2" w:space="0" w:color="004484"/>
              <w:left w:val="single" w:sz="2" w:space="0" w:color="004484"/>
              <w:bottom w:val="single" w:sz="2" w:space="0" w:color="004484"/>
              <w:right w:val="single" w:sz="2" w:space="0" w:color="004484"/>
            </w:tcBorders>
            <w:shd w:val="solid" w:color="AEC2DD" w:fill="auto"/>
            <w:tcMar>
              <w:top w:w="113" w:type="dxa"/>
              <w:left w:w="113" w:type="dxa"/>
              <w:bottom w:w="113" w:type="dxa"/>
              <w:right w:w="113" w:type="dxa"/>
            </w:tcMar>
          </w:tcPr>
          <w:p w:rsidR="007D20DB" w:rsidRPr="007D20DB" w:rsidRDefault="007D20DB" w:rsidP="007D20DB">
            <w:pPr>
              <w:widowControl w:val="0"/>
              <w:autoSpaceDE w:val="0"/>
              <w:autoSpaceDN w:val="0"/>
              <w:adjustRightInd w:val="0"/>
              <w:rPr>
                <w:rFonts w:ascii="MyriadPro-Regular" w:hAnsi="MyriadPro-Regular"/>
                <w:lang w:val="en-US" w:eastAsia="ja-JP"/>
              </w:rPr>
            </w:pPr>
          </w:p>
        </w:tc>
        <w:tc>
          <w:tcPr>
            <w:tcW w:w="2927" w:type="dxa"/>
            <w:tcBorders>
              <w:top w:val="single" w:sz="2" w:space="0" w:color="004484"/>
              <w:left w:val="single" w:sz="2" w:space="0" w:color="004484"/>
              <w:bottom w:val="single" w:sz="2" w:space="0" w:color="004484"/>
              <w:right w:val="single" w:sz="2" w:space="0" w:color="004484"/>
            </w:tcBorders>
            <w:shd w:val="solid" w:color="AEC2DD" w:fill="auto"/>
            <w:tcMar>
              <w:top w:w="113" w:type="dxa"/>
              <w:left w:w="113" w:type="dxa"/>
              <w:bottom w:w="113" w:type="dxa"/>
              <w:right w:w="113" w:type="dxa"/>
            </w:tcMar>
          </w:tcPr>
          <w:p w:rsidR="007D20DB" w:rsidRPr="007D20DB" w:rsidRDefault="007D20DB" w:rsidP="007D20DB">
            <w:pPr>
              <w:widowControl w:val="0"/>
              <w:autoSpaceDE w:val="0"/>
              <w:autoSpaceDN w:val="0"/>
              <w:adjustRightInd w:val="0"/>
              <w:rPr>
                <w:rFonts w:ascii="MyriadPro-Regular" w:hAnsi="MyriadPro-Regular"/>
                <w:lang w:val="en-US" w:eastAsia="ja-JP"/>
              </w:rPr>
            </w:pP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Adenanthos</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dobagii</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Adenanthos</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ellipticus</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V</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Adenanthos</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eyrei</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Adenanthos</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pungens</w:t>
            </w:r>
            <w:proofErr w:type="spellEnd"/>
            <w:r w:rsidRPr="007D20DB">
              <w:rPr>
                <w:rFonts w:ascii="AGaramondPro-Italic" w:hAnsi="AGaramondPro-Italic" w:cs="AGaramondPro-Italic"/>
                <w:i/>
                <w:iCs/>
                <w:color w:val="000000"/>
                <w:sz w:val="20"/>
                <w:szCs w:val="20"/>
                <w:lang w:val="en-US" w:eastAsia="ja-JP"/>
              </w:rPr>
              <w:t xml:space="preserve"> </w:t>
            </w:r>
            <w:r w:rsidRPr="007D20DB">
              <w:rPr>
                <w:rFonts w:ascii="AGaramondPro-Regular" w:hAnsi="AGaramondPro-Regular" w:cs="AGaramondPro-Regular"/>
                <w:color w:val="000000"/>
                <w:sz w:val="20"/>
                <w:szCs w:val="20"/>
                <w:lang w:val="en-US" w:eastAsia="ja-JP"/>
              </w:rPr>
              <w:t>subsp</w:t>
            </w:r>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effusus</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Adenanthos</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pungens</w:t>
            </w:r>
            <w:proofErr w:type="spellEnd"/>
            <w:r w:rsidRPr="007D20DB">
              <w:rPr>
                <w:rFonts w:ascii="AGaramondPro-Italic" w:hAnsi="AGaramondPro-Italic" w:cs="AGaramondPro-Italic"/>
                <w:i/>
                <w:iCs/>
                <w:color w:val="000000"/>
                <w:sz w:val="20"/>
                <w:szCs w:val="20"/>
                <w:lang w:val="en-US" w:eastAsia="ja-JP"/>
              </w:rPr>
              <w:t xml:space="preserve"> </w:t>
            </w:r>
            <w:r w:rsidRPr="007D20DB">
              <w:rPr>
                <w:rFonts w:ascii="AGaramondPro-Regular" w:hAnsi="AGaramondPro-Regular" w:cs="AGaramondPro-Regular"/>
                <w:color w:val="000000"/>
                <w:sz w:val="20"/>
                <w:szCs w:val="20"/>
                <w:lang w:val="en-US" w:eastAsia="ja-JP"/>
              </w:rPr>
              <w:t>subsp</w:t>
            </w:r>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pungens</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V</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Adenanthos</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velutinus</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lastRenderedPageBreak/>
              <w:t>Banksia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anatona</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CE</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Banksia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aurantia</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CE</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Banksia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brownii</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Banksia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cuneata</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Banksia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goodii</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V</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Banksia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mimica</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Banksia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montana</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Banksia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nivea</w:t>
            </w:r>
            <w:proofErr w:type="spellEnd"/>
            <w:r w:rsidRPr="007D20DB">
              <w:rPr>
                <w:rFonts w:ascii="AGaramondPro-Italic" w:hAnsi="AGaramondPro-Italic" w:cs="AGaramondPro-Italic"/>
                <w:i/>
                <w:iCs/>
                <w:color w:val="000000"/>
                <w:sz w:val="20"/>
                <w:szCs w:val="20"/>
                <w:lang w:val="en-US" w:eastAsia="ja-JP"/>
              </w:rPr>
              <w:t xml:space="preserve"> </w:t>
            </w:r>
            <w:r w:rsidRPr="007D20DB">
              <w:rPr>
                <w:rFonts w:ascii="AGaramondPro-Regular" w:hAnsi="AGaramondPro-Regular" w:cs="AGaramondPro-Regular"/>
                <w:color w:val="000000"/>
                <w:sz w:val="20"/>
                <w:szCs w:val="20"/>
                <w:lang w:val="en-US" w:eastAsia="ja-JP"/>
              </w:rPr>
              <w:t xml:space="preserve">subsp. </w:t>
            </w:r>
            <w:proofErr w:type="spellStart"/>
            <w:r w:rsidRPr="007D20DB">
              <w:rPr>
                <w:rFonts w:ascii="AGaramondPro-Italic" w:hAnsi="AGaramondPro-Italic" w:cs="AGaramondPro-Italic"/>
                <w:i/>
                <w:iCs/>
                <w:color w:val="000000"/>
                <w:sz w:val="20"/>
                <w:szCs w:val="20"/>
                <w:lang w:val="en-US" w:eastAsia="ja-JP"/>
              </w:rPr>
              <w:t>uliginosa</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Banksia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oligantha</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Banksia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serratuloides</w:t>
            </w:r>
            <w:proofErr w:type="spellEnd"/>
            <w:r w:rsidRPr="007D20DB">
              <w:rPr>
                <w:rFonts w:ascii="AGaramondPro-Regular" w:hAnsi="AGaramondPro-Regular" w:cs="AGaramondPro-Regular"/>
                <w:color w:val="000000"/>
                <w:sz w:val="20"/>
                <w:szCs w:val="20"/>
                <w:lang w:val="en-US" w:eastAsia="ja-JP"/>
              </w:rPr>
              <w:t xml:space="preserve"> subsp. </w:t>
            </w:r>
            <w:proofErr w:type="spellStart"/>
            <w:r w:rsidRPr="007D20DB">
              <w:rPr>
                <w:rFonts w:ascii="AGaramondPro-Italic" w:hAnsi="AGaramondPro-Italic" w:cs="AGaramondPro-Italic"/>
                <w:i/>
                <w:iCs/>
                <w:color w:val="000000"/>
                <w:sz w:val="20"/>
                <w:szCs w:val="20"/>
                <w:lang w:val="en-US" w:eastAsia="ja-JP"/>
              </w:rPr>
              <w:t>perissa</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CE</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Banksia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squarrosa</w:t>
            </w:r>
            <w:proofErr w:type="spellEnd"/>
            <w:r w:rsidRPr="007D20DB">
              <w:rPr>
                <w:rFonts w:ascii="AGaramondPro-Regular" w:hAnsi="AGaramondPro-Regular" w:cs="AGaramondPro-Regular"/>
                <w:color w:val="000000"/>
                <w:sz w:val="20"/>
                <w:szCs w:val="20"/>
                <w:lang w:val="en-US" w:eastAsia="ja-JP"/>
              </w:rPr>
              <w:t xml:space="preserve"> subsp. </w:t>
            </w:r>
            <w:proofErr w:type="spellStart"/>
            <w:r w:rsidRPr="007D20DB">
              <w:rPr>
                <w:rFonts w:ascii="AGaramondPro-Italic" w:hAnsi="AGaramondPro-Italic" w:cs="AGaramondPro-Italic"/>
                <w:i/>
                <w:iCs/>
                <w:color w:val="000000"/>
                <w:sz w:val="20"/>
                <w:szCs w:val="20"/>
                <w:lang w:val="en-US" w:eastAsia="ja-JP"/>
              </w:rPr>
              <w:t>argillacea</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V</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Banksia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verticillata</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V</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Conospermum</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hookeri</w:t>
            </w:r>
            <w:proofErr w:type="spellEnd"/>
            <w:r w:rsidRPr="007D20DB">
              <w:rPr>
                <w:rFonts w:ascii="AGaramondPro-Regular" w:hAnsi="AGaramondPro-Regular" w:cs="AGaramondPro-Regular"/>
                <w:color w:val="000000"/>
                <w:sz w:val="20"/>
                <w:szCs w:val="20"/>
                <w:lang w:val="en-US" w:eastAsia="ja-JP"/>
              </w:rPr>
              <w:t xml:space="preserve"> </w:t>
            </w:r>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V </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Tas. </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Conospermum</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undulatum</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V</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Grevillea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batrachoides</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Grevillea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calliantha</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Grevillea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christinae</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Grevillea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elongata</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Grevillea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flexuosa</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V</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Grevillea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infundibularis</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lastRenderedPageBreak/>
              <w:t>Grevillea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involucrata</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Grevillea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maccutcheonii</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Grevillea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maxwellii</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Grevillea</w:t>
            </w:r>
            <w:proofErr w:type="spellEnd"/>
            <w:r w:rsidRPr="007D20DB">
              <w:rPr>
                <w:rFonts w:ascii="AGaramondPro-Italic" w:hAnsi="AGaramondPro-Italic" w:cs="AGaramondPro-Italic"/>
                <w:i/>
                <w:iCs/>
                <w:color w:val="000000"/>
                <w:sz w:val="20"/>
                <w:szCs w:val="20"/>
                <w:lang w:val="en-US" w:eastAsia="ja-JP"/>
              </w:rPr>
              <w:t xml:space="preserve"> murex</w:t>
            </w:r>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Grevillea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scapigera</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Grevillea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williamsonii</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Vic.</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Hakea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megalosperma</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V</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Isopogon</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uncinatus</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Lambertia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echinata</w:t>
            </w:r>
            <w:proofErr w:type="spellEnd"/>
            <w:r w:rsidRPr="007D20DB">
              <w:rPr>
                <w:rFonts w:ascii="AGaramondPro-Italic" w:hAnsi="AGaramondPro-Italic" w:cs="AGaramondPro-Italic"/>
                <w:i/>
                <w:iCs/>
                <w:color w:val="000000"/>
                <w:sz w:val="20"/>
                <w:szCs w:val="20"/>
                <w:lang w:val="en-US" w:eastAsia="ja-JP"/>
              </w:rPr>
              <w:t xml:space="preserve"> </w:t>
            </w:r>
            <w:r w:rsidRPr="007D20DB">
              <w:rPr>
                <w:rFonts w:ascii="AGaramondPro-Regular" w:hAnsi="AGaramondPro-Regular" w:cs="AGaramondPro-Regular"/>
                <w:color w:val="000000"/>
                <w:sz w:val="20"/>
                <w:szCs w:val="20"/>
                <w:lang w:val="en-US" w:eastAsia="ja-JP"/>
              </w:rPr>
              <w:t>subsp</w:t>
            </w:r>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echinata</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Lambertia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echinata</w:t>
            </w:r>
            <w:proofErr w:type="spellEnd"/>
            <w:r w:rsidRPr="007D20DB">
              <w:rPr>
                <w:rFonts w:ascii="AGaramondPro-Italic" w:hAnsi="AGaramondPro-Italic" w:cs="AGaramondPro-Italic"/>
                <w:i/>
                <w:iCs/>
                <w:color w:val="000000"/>
                <w:sz w:val="20"/>
                <w:szCs w:val="20"/>
                <w:lang w:val="en-US" w:eastAsia="ja-JP"/>
              </w:rPr>
              <w:t xml:space="preserve"> </w:t>
            </w:r>
            <w:r w:rsidRPr="007D20DB">
              <w:rPr>
                <w:rFonts w:ascii="AGaramondPro-Regular" w:hAnsi="AGaramondPro-Regular" w:cs="AGaramondPro-Regular"/>
                <w:color w:val="000000"/>
                <w:sz w:val="20"/>
                <w:szCs w:val="20"/>
                <w:lang w:val="en-US" w:eastAsia="ja-JP"/>
              </w:rPr>
              <w:t>subsp</w:t>
            </w:r>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occidentalis</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Lambertia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fairallii</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Lambertia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orbifolia</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 (2subsp WA)</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Lomatia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tasmanca</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CE</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Tas.</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Persoonia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micranthera</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Petrophile</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latericola</w:t>
            </w:r>
            <w:proofErr w:type="spellEnd"/>
            <w:r w:rsidRPr="007D20DB">
              <w:rPr>
                <w:rFonts w:ascii="AGaramondPro-Regular" w:hAnsi="AGaramondPro-Regular" w:cs="AGaramondPro-Regular"/>
                <w:color w:val="000000"/>
                <w:sz w:val="20"/>
                <w:szCs w:val="20"/>
                <w:lang w:val="en-US" w:eastAsia="ja-JP"/>
              </w:rPr>
              <w:t xml:space="preserve"> </w:t>
            </w:r>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AEC2DD"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Bold" w:hAnsi="AGaramondPro-Bold" w:cs="AGaramondPro-Bold"/>
                <w:b/>
                <w:bCs/>
                <w:color w:val="000000"/>
                <w:sz w:val="20"/>
                <w:szCs w:val="20"/>
                <w:lang w:val="en-US" w:eastAsia="ja-JP"/>
              </w:rPr>
              <w:t>RHAMNACEAE</w:t>
            </w:r>
          </w:p>
        </w:tc>
        <w:tc>
          <w:tcPr>
            <w:tcW w:w="2928" w:type="dxa"/>
            <w:tcBorders>
              <w:top w:val="single" w:sz="2" w:space="0" w:color="004484"/>
              <w:left w:val="single" w:sz="2" w:space="0" w:color="004484"/>
              <w:bottom w:val="single" w:sz="2" w:space="0" w:color="004484"/>
              <w:right w:val="single" w:sz="2" w:space="0" w:color="004484"/>
            </w:tcBorders>
            <w:shd w:val="solid" w:color="AEC2DD" w:fill="auto"/>
            <w:tcMar>
              <w:top w:w="113" w:type="dxa"/>
              <w:left w:w="113" w:type="dxa"/>
              <w:bottom w:w="113" w:type="dxa"/>
              <w:right w:w="113" w:type="dxa"/>
            </w:tcMar>
          </w:tcPr>
          <w:p w:rsidR="007D20DB" w:rsidRPr="007D20DB" w:rsidRDefault="007D20DB" w:rsidP="007D20DB">
            <w:pPr>
              <w:widowControl w:val="0"/>
              <w:autoSpaceDE w:val="0"/>
              <w:autoSpaceDN w:val="0"/>
              <w:adjustRightInd w:val="0"/>
              <w:rPr>
                <w:rFonts w:ascii="MyriadPro-Regular" w:hAnsi="MyriadPro-Regular"/>
                <w:lang w:val="en-US" w:eastAsia="ja-JP"/>
              </w:rPr>
            </w:pPr>
          </w:p>
        </w:tc>
        <w:tc>
          <w:tcPr>
            <w:tcW w:w="2927" w:type="dxa"/>
            <w:tcBorders>
              <w:top w:val="single" w:sz="2" w:space="0" w:color="004484"/>
              <w:left w:val="single" w:sz="2" w:space="0" w:color="004484"/>
              <w:bottom w:val="single" w:sz="2" w:space="0" w:color="004484"/>
              <w:right w:val="single" w:sz="2" w:space="0" w:color="004484"/>
            </w:tcBorders>
            <w:shd w:val="solid" w:color="AEC2DD" w:fill="auto"/>
            <w:tcMar>
              <w:top w:w="113" w:type="dxa"/>
              <w:left w:w="113" w:type="dxa"/>
              <w:bottom w:w="113" w:type="dxa"/>
              <w:right w:w="113" w:type="dxa"/>
            </w:tcMar>
          </w:tcPr>
          <w:p w:rsidR="007D20DB" w:rsidRPr="007D20DB" w:rsidRDefault="007D20DB" w:rsidP="007D20DB">
            <w:pPr>
              <w:widowControl w:val="0"/>
              <w:autoSpaceDE w:val="0"/>
              <w:autoSpaceDN w:val="0"/>
              <w:adjustRightInd w:val="0"/>
              <w:rPr>
                <w:rFonts w:ascii="MyriadPro-Regular" w:hAnsi="MyriadPro-Regular"/>
                <w:lang w:val="en-US" w:eastAsia="ja-JP"/>
              </w:rPr>
            </w:pP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Pomaderris</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halmaturina</w:t>
            </w:r>
            <w:proofErr w:type="spellEnd"/>
            <w:r w:rsidRPr="007D20DB">
              <w:rPr>
                <w:rFonts w:ascii="AGaramondPro-Regular" w:hAnsi="AGaramondPro-Regular" w:cs="AGaramondPro-Regular"/>
                <w:color w:val="000000"/>
                <w:sz w:val="20"/>
                <w:szCs w:val="20"/>
                <w:lang w:val="en-US" w:eastAsia="ja-JP"/>
              </w:rPr>
              <w:t xml:space="preserve"> subsp. </w:t>
            </w:r>
            <w:proofErr w:type="spellStart"/>
            <w:r w:rsidRPr="007D20DB">
              <w:rPr>
                <w:rFonts w:ascii="AGaramondPro-Italic" w:hAnsi="AGaramondPro-Italic" w:cs="AGaramondPro-Italic"/>
                <w:i/>
                <w:iCs/>
                <w:color w:val="000000"/>
                <w:sz w:val="20"/>
                <w:szCs w:val="20"/>
                <w:lang w:val="en-US" w:eastAsia="ja-JP"/>
              </w:rPr>
              <w:t>halmaturina</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V</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SA</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AEC2DD"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Bold" w:hAnsi="AGaramondPro-Bold" w:cs="AGaramondPro-Bold"/>
                <w:b/>
                <w:bCs/>
                <w:color w:val="000000"/>
                <w:sz w:val="20"/>
                <w:szCs w:val="20"/>
                <w:lang w:val="en-US" w:eastAsia="ja-JP"/>
              </w:rPr>
              <w:t>RUTACEAE</w:t>
            </w:r>
          </w:p>
        </w:tc>
        <w:tc>
          <w:tcPr>
            <w:tcW w:w="2928" w:type="dxa"/>
            <w:tcBorders>
              <w:top w:val="single" w:sz="2" w:space="0" w:color="004484"/>
              <w:left w:val="single" w:sz="2" w:space="0" w:color="004484"/>
              <w:bottom w:val="single" w:sz="2" w:space="0" w:color="004484"/>
              <w:right w:val="single" w:sz="2" w:space="0" w:color="004484"/>
            </w:tcBorders>
            <w:shd w:val="solid" w:color="AEC2DD" w:fill="auto"/>
            <w:tcMar>
              <w:top w:w="113" w:type="dxa"/>
              <w:left w:w="113" w:type="dxa"/>
              <w:bottom w:w="113" w:type="dxa"/>
              <w:right w:w="113" w:type="dxa"/>
            </w:tcMar>
          </w:tcPr>
          <w:p w:rsidR="007D20DB" w:rsidRPr="007D20DB" w:rsidRDefault="007D20DB" w:rsidP="007D20DB">
            <w:pPr>
              <w:widowControl w:val="0"/>
              <w:autoSpaceDE w:val="0"/>
              <w:autoSpaceDN w:val="0"/>
              <w:adjustRightInd w:val="0"/>
              <w:rPr>
                <w:rFonts w:ascii="MyriadPro-Regular" w:hAnsi="MyriadPro-Regular"/>
                <w:lang w:val="en-US" w:eastAsia="ja-JP"/>
              </w:rPr>
            </w:pPr>
          </w:p>
        </w:tc>
        <w:tc>
          <w:tcPr>
            <w:tcW w:w="2927" w:type="dxa"/>
            <w:tcBorders>
              <w:top w:val="single" w:sz="2" w:space="0" w:color="004484"/>
              <w:left w:val="single" w:sz="2" w:space="0" w:color="004484"/>
              <w:bottom w:val="single" w:sz="2" w:space="0" w:color="004484"/>
              <w:right w:val="single" w:sz="2" w:space="0" w:color="004484"/>
            </w:tcBorders>
            <w:shd w:val="solid" w:color="AEC2DD" w:fill="auto"/>
            <w:tcMar>
              <w:top w:w="113" w:type="dxa"/>
              <w:left w:w="113" w:type="dxa"/>
              <w:bottom w:w="113" w:type="dxa"/>
              <w:right w:w="113" w:type="dxa"/>
            </w:tcMar>
          </w:tcPr>
          <w:p w:rsidR="007D20DB" w:rsidRPr="007D20DB" w:rsidRDefault="007D20DB" w:rsidP="007D20DB">
            <w:pPr>
              <w:widowControl w:val="0"/>
              <w:autoSpaceDE w:val="0"/>
              <w:autoSpaceDN w:val="0"/>
              <w:adjustRightInd w:val="0"/>
              <w:rPr>
                <w:rFonts w:ascii="MyriadPro-Regular" w:hAnsi="MyriadPro-Regular"/>
                <w:lang w:val="en-US" w:eastAsia="ja-JP"/>
              </w:rPr>
            </w:pP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Asterolasia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phebalioides</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V</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SA, Vic.</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lastRenderedPageBreak/>
              <w:t>Boronia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revoluta</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Italic" w:hAnsi="AGaramondPro-Italic" w:cs="AGaramondPro-Italic"/>
                <w:i/>
                <w:iCs/>
                <w:color w:val="000000"/>
                <w:sz w:val="20"/>
                <w:szCs w:val="20"/>
                <w:lang w:val="en-US" w:eastAsia="ja-JP"/>
              </w:rPr>
              <w:t xml:space="preserve">Correa </w:t>
            </w:r>
            <w:proofErr w:type="spellStart"/>
            <w:r w:rsidRPr="007D20DB">
              <w:rPr>
                <w:rFonts w:ascii="AGaramondPro-Italic" w:hAnsi="AGaramondPro-Italic" w:cs="AGaramondPro-Italic"/>
                <w:i/>
                <w:iCs/>
                <w:color w:val="000000"/>
                <w:sz w:val="20"/>
                <w:szCs w:val="20"/>
                <w:lang w:val="en-US" w:eastAsia="ja-JP"/>
              </w:rPr>
              <w:t>calycina</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V</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SA</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Leionema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ralstonii</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V</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NSW/ACT</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Phebalium</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daviesii</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CE</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Tas.</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AEC2DD"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Bold" w:hAnsi="AGaramondPro-Bold" w:cs="AGaramondPro-Bold"/>
                <w:b/>
                <w:bCs/>
                <w:color w:val="000000"/>
                <w:sz w:val="20"/>
                <w:szCs w:val="20"/>
                <w:lang w:val="en-US" w:eastAsia="ja-JP"/>
              </w:rPr>
              <w:t>THYMELAEACEAE</w:t>
            </w:r>
          </w:p>
        </w:tc>
        <w:tc>
          <w:tcPr>
            <w:tcW w:w="2928" w:type="dxa"/>
            <w:tcBorders>
              <w:top w:val="single" w:sz="2" w:space="0" w:color="004484"/>
              <w:left w:val="single" w:sz="2" w:space="0" w:color="004484"/>
              <w:bottom w:val="single" w:sz="2" w:space="0" w:color="004484"/>
              <w:right w:val="single" w:sz="2" w:space="0" w:color="004484"/>
            </w:tcBorders>
            <w:shd w:val="solid" w:color="AEC2DD" w:fill="auto"/>
            <w:tcMar>
              <w:top w:w="113" w:type="dxa"/>
              <w:left w:w="113" w:type="dxa"/>
              <w:bottom w:w="113" w:type="dxa"/>
              <w:right w:w="113" w:type="dxa"/>
            </w:tcMar>
          </w:tcPr>
          <w:p w:rsidR="007D20DB" w:rsidRPr="007D20DB" w:rsidRDefault="007D20DB" w:rsidP="007D20DB">
            <w:pPr>
              <w:widowControl w:val="0"/>
              <w:autoSpaceDE w:val="0"/>
              <w:autoSpaceDN w:val="0"/>
              <w:adjustRightInd w:val="0"/>
              <w:rPr>
                <w:rFonts w:ascii="MyriadPro-Regular" w:hAnsi="MyriadPro-Regular"/>
                <w:lang w:val="en-US" w:eastAsia="ja-JP"/>
              </w:rPr>
            </w:pPr>
          </w:p>
        </w:tc>
        <w:tc>
          <w:tcPr>
            <w:tcW w:w="2927" w:type="dxa"/>
            <w:tcBorders>
              <w:top w:val="single" w:sz="2" w:space="0" w:color="004484"/>
              <w:left w:val="single" w:sz="2" w:space="0" w:color="004484"/>
              <w:bottom w:val="single" w:sz="2" w:space="0" w:color="004484"/>
              <w:right w:val="single" w:sz="2" w:space="0" w:color="004484"/>
            </w:tcBorders>
            <w:shd w:val="solid" w:color="AEC2DD" w:fill="auto"/>
            <w:tcMar>
              <w:top w:w="113" w:type="dxa"/>
              <w:left w:w="113" w:type="dxa"/>
              <w:bottom w:w="113" w:type="dxa"/>
              <w:right w:w="113" w:type="dxa"/>
            </w:tcMar>
          </w:tcPr>
          <w:p w:rsidR="007D20DB" w:rsidRPr="007D20DB" w:rsidRDefault="007D20DB" w:rsidP="007D20DB">
            <w:pPr>
              <w:widowControl w:val="0"/>
              <w:autoSpaceDE w:val="0"/>
              <w:autoSpaceDN w:val="0"/>
              <w:adjustRightInd w:val="0"/>
              <w:rPr>
                <w:rFonts w:ascii="MyriadPro-Regular" w:hAnsi="MyriadPro-Regular"/>
                <w:lang w:val="en-US" w:eastAsia="ja-JP"/>
              </w:rPr>
            </w:pP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Pimelea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pagophila</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V</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Vic.</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AEC2DD"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Bold" w:hAnsi="AGaramondPro-Bold" w:cs="AGaramondPro-Bold"/>
                <w:b/>
                <w:bCs/>
                <w:color w:val="000000"/>
                <w:sz w:val="20"/>
                <w:szCs w:val="20"/>
                <w:lang w:val="en-US" w:eastAsia="ja-JP"/>
              </w:rPr>
              <w:t>TREMANDRACEAE</w:t>
            </w:r>
          </w:p>
        </w:tc>
        <w:tc>
          <w:tcPr>
            <w:tcW w:w="2928" w:type="dxa"/>
            <w:tcBorders>
              <w:top w:val="single" w:sz="2" w:space="0" w:color="004484"/>
              <w:left w:val="single" w:sz="2" w:space="0" w:color="004484"/>
              <w:bottom w:val="single" w:sz="2" w:space="0" w:color="004484"/>
              <w:right w:val="single" w:sz="2" w:space="0" w:color="004484"/>
            </w:tcBorders>
            <w:shd w:val="solid" w:color="AEC2DD" w:fill="auto"/>
            <w:tcMar>
              <w:top w:w="113" w:type="dxa"/>
              <w:left w:w="113" w:type="dxa"/>
              <w:bottom w:w="113" w:type="dxa"/>
              <w:right w:w="113" w:type="dxa"/>
            </w:tcMar>
          </w:tcPr>
          <w:p w:rsidR="007D20DB" w:rsidRPr="007D20DB" w:rsidRDefault="007D20DB" w:rsidP="007D20DB">
            <w:pPr>
              <w:widowControl w:val="0"/>
              <w:autoSpaceDE w:val="0"/>
              <w:autoSpaceDN w:val="0"/>
              <w:adjustRightInd w:val="0"/>
              <w:rPr>
                <w:rFonts w:ascii="MyriadPro-Regular" w:hAnsi="MyriadPro-Regular"/>
                <w:lang w:val="en-US" w:eastAsia="ja-JP"/>
              </w:rPr>
            </w:pPr>
          </w:p>
        </w:tc>
        <w:tc>
          <w:tcPr>
            <w:tcW w:w="2927" w:type="dxa"/>
            <w:tcBorders>
              <w:top w:val="single" w:sz="2" w:space="0" w:color="004484"/>
              <w:left w:val="single" w:sz="2" w:space="0" w:color="004484"/>
              <w:bottom w:val="single" w:sz="2" w:space="0" w:color="004484"/>
              <w:right w:val="single" w:sz="2" w:space="0" w:color="004484"/>
            </w:tcBorders>
            <w:shd w:val="solid" w:color="AEC2DD" w:fill="auto"/>
            <w:tcMar>
              <w:top w:w="113" w:type="dxa"/>
              <w:left w:w="113" w:type="dxa"/>
              <w:bottom w:w="113" w:type="dxa"/>
              <w:right w:w="113" w:type="dxa"/>
            </w:tcMar>
          </w:tcPr>
          <w:p w:rsidR="007D20DB" w:rsidRPr="007D20DB" w:rsidRDefault="007D20DB" w:rsidP="007D20DB">
            <w:pPr>
              <w:widowControl w:val="0"/>
              <w:autoSpaceDE w:val="0"/>
              <w:autoSpaceDN w:val="0"/>
              <w:adjustRightInd w:val="0"/>
              <w:rPr>
                <w:rFonts w:ascii="MyriadPro-Regular" w:hAnsi="MyriadPro-Regular"/>
                <w:lang w:val="en-US" w:eastAsia="ja-JP"/>
              </w:rPr>
            </w:pP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Tetratheca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gunnii</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CE</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Tas.</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AEC2DD"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Bold" w:hAnsi="AGaramondPro-Bold" w:cs="AGaramondPro-Bold"/>
                <w:b/>
                <w:bCs/>
                <w:color w:val="000000"/>
                <w:sz w:val="20"/>
                <w:szCs w:val="20"/>
                <w:lang w:val="en-US" w:eastAsia="ja-JP"/>
              </w:rPr>
              <w:t>WINTERACEAE</w:t>
            </w:r>
          </w:p>
        </w:tc>
        <w:tc>
          <w:tcPr>
            <w:tcW w:w="2928" w:type="dxa"/>
            <w:tcBorders>
              <w:top w:val="single" w:sz="2" w:space="0" w:color="004484"/>
              <w:left w:val="single" w:sz="2" w:space="0" w:color="004484"/>
              <w:bottom w:val="single" w:sz="2" w:space="0" w:color="004484"/>
              <w:right w:val="single" w:sz="2" w:space="0" w:color="004484"/>
            </w:tcBorders>
            <w:shd w:val="solid" w:color="AEC2DD" w:fill="auto"/>
            <w:tcMar>
              <w:top w:w="113" w:type="dxa"/>
              <w:left w:w="113" w:type="dxa"/>
              <w:bottom w:w="113" w:type="dxa"/>
              <w:right w:w="113" w:type="dxa"/>
            </w:tcMar>
          </w:tcPr>
          <w:p w:rsidR="007D20DB" w:rsidRPr="007D20DB" w:rsidRDefault="007D20DB" w:rsidP="007D20DB">
            <w:pPr>
              <w:widowControl w:val="0"/>
              <w:autoSpaceDE w:val="0"/>
              <w:autoSpaceDN w:val="0"/>
              <w:adjustRightInd w:val="0"/>
              <w:rPr>
                <w:rFonts w:ascii="MyriadPro-Regular" w:hAnsi="MyriadPro-Regular"/>
                <w:lang w:val="en-US" w:eastAsia="ja-JP"/>
              </w:rPr>
            </w:pPr>
          </w:p>
        </w:tc>
        <w:tc>
          <w:tcPr>
            <w:tcW w:w="2927" w:type="dxa"/>
            <w:tcBorders>
              <w:top w:val="single" w:sz="2" w:space="0" w:color="004484"/>
              <w:left w:val="single" w:sz="2" w:space="0" w:color="004484"/>
              <w:bottom w:val="single" w:sz="2" w:space="0" w:color="004484"/>
              <w:right w:val="single" w:sz="2" w:space="0" w:color="004484"/>
            </w:tcBorders>
            <w:shd w:val="solid" w:color="AEC2DD" w:fill="auto"/>
            <w:tcMar>
              <w:top w:w="113" w:type="dxa"/>
              <w:left w:w="113" w:type="dxa"/>
              <w:bottom w:w="113" w:type="dxa"/>
              <w:right w:w="113" w:type="dxa"/>
            </w:tcMar>
          </w:tcPr>
          <w:p w:rsidR="007D20DB" w:rsidRPr="007D20DB" w:rsidRDefault="007D20DB" w:rsidP="007D20DB">
            <w:pPr>
              <w:widowControl w:val="0"/>
              <w:autoSpaceDE w:val="0"/>
              <w:autoSpaceDN w:val="0"/>
              <w:adjustRightInd w:val="0"/>
              <w:rPr>
                <w:rFonts w:ascii="MyriadPro-Regular" w:hAnsi="MyriadPro-Regular"/>
                <w:lang w:val="en-US" w:eastAsia="ja-JP"/>
              </w:rPr>
            </w:pP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Tasmannia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purpurascens</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V</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NSW/ACT</w:t>
            </w: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AEC2DD"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Bold" w:hAnsi="AGaramondPro-Bold" w:cs="AGaramondPro-Bold"/>
                <w:b/>
                <w:bCs/>
                <w:color w:val="000000"/>
                <w:sz w:val="20"/>
                <w:szCs w:val="20"/>
                <w:lang w:val="en-US" w:eastAsia="ja-JP"/>
              </w:rPr>
              <w:t>XANTHORRHOEACAE</w:t>
            </w:r>
          </w:p>
        </w:tc>
        <w:tc>
          <w:tcPr>
            <w:tcW w:w="2928" w:type="dxa"/>
            <w:tcBorders>
              <w:top w:val="single" w:sz="2" w:space="0" w:color="004484"/>
              <w:left w:val="single" w:sz="2" w:space="0" w:color="004484"/>
              <w:bottom w:val="single" w:sz="2" w:space="0" w:color="004484"/>
              <w:right w:val="single" w:sz="2" w:space="0" w:color="004484"/>
            </w:tcBorders>
            <w:shd w:val="solid" w:color="AEC2DD" w:fill="auto"/>
            <w:tcMar>
              <w:top w:w="113" w:type="dxa"/>
              <w:left w:w="113" w:type="dxa"/>
              <w:bottom w:w="113" w:type="dxa"/>
              <w:right w:w="113" w:type="dxa"/>
            </w:tcMar>
          </w:tcPr>
          <w:p w:rsidR="007D20DB" w:rsidRPr="007D20DB" w:rsidRDefault="007D20DB" w:rsidP="007D20DB">
            <w:pPr>
              <w:widowControl w:val="0"/>
              <w:autoSpaceDE w:val="0"/>
              <w:autoSpaceDN w:val="0"/>
              <w:adjustRightInd w:val="0"/>
              <w:rPr>
                <w:rFonts w:ascii="MyriadPro-Regular" w:hAnsi="MyriadPro-Regular"/>
                <w:lang w:val="en-US" w:eastAsia="ja-JP"/>
              </w:rPr>
            </w:pPr>
          </w:p>
        </w:tc>
        <w:tc>
          <w:tcPr>
            <w:tcW w:w="2927" w:type="dxa"/>
            <w:tcBorders>
              <w:top w:val="single" w:sz="2" w:space="0" w:color="004484"/>
              <w:left w:val="single" w:sz="2" w:space="0" w:color="004484"/>
              <w:bottom w:val="single" w:sz="2" w:space="0" w:color="004484"/>
              <w:right w:val="single" w:sz="2" w:space="0" w:color="004484"/>
            </w:tcBorders>
            <w:shd w:val="solid" w:color="AEC2DD" w:fill="auto"/>
            <w:tcMar>
              <w:top w:w="113" w:type="dxa"/>
              <w:left w:w="113" w:type="dxa"/>
              <w:bottom w:w="113" w:type="dxa"/>
              <w:right w:w="113" w:type="dxa"/>
            </w:tcMar>
          </w:tcPr>
          <w:p w:rsidR="007D20DB" w:rsidRPr="007D20DB" w:rsidRDefault="007D20DB" w:rsidP="007D20DB">
            <w:pPr>
              <w:widowControl w:val="0"/>
              <w:autoSpaceDE w:val="0"/>
              <w:autoSpaceDN w:val="0"/>
              <w:adjustRightInd w:val="0"/>
              <w:rPr>
                <w:rFonts w:ascii="MyriadPro-Regular" w:hAnsi="MyriadPro-Regular"/>
                <w:lang w:val="en-US" w:eastAsia="ja-JP"/>
              </w:rPr>
            </w:pPr>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Xanthorrhoea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arenaria</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V</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Regular" w:hAnsi="AGaramondPro-Regular" w:cs="AGaramondPro-Regular"/>
                <w:color w:val="000000"/>
                <w:sz w:val="20"/>
                <w:szCs w:val="20"/>
                <w:lang w:val="en-US" w:eastAsia="ja-JP"/>
              </w:rPr>
              <w:t>Tas</w:t>
            </w:r>
            <w:proofErr w:type="spellEnd"/>
          </w:p>
        </w:tc>
      </w:tr>
      <w:tr w:rsidR="007D20DB" w:rsidRPr="007D20DB">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Xanthorrhoea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bracteat</w:t>
            </w:r>
            <w:r w:rsidRPr="007D20DB">
              <w:rPr>
                <w:rFonts w:ascii="AGaramondPro-Regular" w:hAnsi="AGaramondPro-Regular" w:cs="AGaramondPro-Regular"/>
                <w:color w:val="000000"/>
                <w:sz w:val="20"/>
                <w:szCs w:val="20"/>
                <w:lang w:val="en-US" w:eastAsia="ja-JP"/>
              </w:rPr>
              <w:t>a</w:t>
            </w:r>
            <w:proofErr w:type="spellEnd"/>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D20DB">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Tas.</w:t>
            </w:r>
          </w:p>
        </w:tc>
      </w:tr>
    </w:tbl>
    <w:p w:rsidR="007D20DB" w:rsidRPr="007D20DB" w:rsidRDefault="007D20DB" w:rsidP="007D20DB">
      <w:pPr>
        <w:keepNext/>
        <w:keepLines/>
        <w:widowControl w:val="0"/>
        <w:suppressAutoHyphens/>
        <w:autoSpaceDE w:val="0"/>
        <w:autoSpaceDN w:val="0"/>
        <w:adjustRightInd w:val="0"/>
        <w:spacing w:after="170" w:line="280" w:lineRule="atLeast"/>
        <w:textAlignment w:val="center"/>
        <w:outlineLvl w:val="2"/>
        <w:rPr>
          <w:rFonts w:ascii="AGaramondPro-Italic" w:hAnsi="AGaramondPro-Italic" w:cs="AGaramondPro-Italic"/>
          <w:i/>
          <w:iCs/>
          <w:color w:val="000000"/>
          <w:sz w:val="28"/>
          <w:szCs w:val="28"/>
          <w:lang w:val="en-US" w:eastAsia="ja-JP"/>
        </w:rPr>
      </w:pPr>
    </w:p>
    <w:p w:rsidR="007D20DB" w:rsidRPr="007D20DB" w:rsidRDefault="007D20DB" w:rsidP="007D20DB">
      <w:pPr>
        <w:keepLines/>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
    <w:p w:rsidR="007D20DB" w:rsidRPr="007D20DB" w:rsidRDefault="007D20DB" w:rsidP="007D20DB">
      <w:pPr>
        <w:keepLines/>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
    <w:p w:rsidR="007D20DB" w:rsidRPr="007D20DB" w:rsidRDefault="007D20DB" w:rsidP="007D20DB">
      <w:pPr>
        <w:keepLines/>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
    <w:p w:rsidR="007D20DB" w:rsidRPr="007D20DB" w:rsidRDefault="007D20DB" w:rsidP="007D20DB">
      <w:pPr>
        <w:keepLines/>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
    <w:p w:rsidR="007D20DB" w:rsidRPr="007D20DB" w:rsidRDefault="007D20DB" w:rsidP="007D20DB">
      <w:pPr>
        <w:keepLines/>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
    <w:p w:rsidR="007D20DB" w:rsidRPr="007D20DB" w:rsidRDefault="007D20DB" w:rsidP="007D20DB">
      <w:pPr>
        <w:keepLines/>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
    <w:p w:rsidR="007D20DB" w:rsidRPr="007D20DB" w:rsidRDefault="007D20DB" w:rsidP="007D20DB">
      <w:pPr>
        <w:keepLines/>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
    <w:p w:rsidR="007D20DB" w:rsidRPr="007D20DB" w:rsidRDefault="007D20DB" w:rsidP="007D20DB">
      <w:pPr>
        <w:keepLines/>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
    <w:p w:rsidR="007D20DB" w:rsidRPr="007D20DB" w:rsidRDefault="007D20DB" w:rsidP="007D20DB">
      <w:pPr>
        <w:keepLines/>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
    <w:p w:rsidR="007D20DB" w:rsidRPr="007D20DB" w:rsidRDefault="007D20DB" w:rsidP="007D20DB">
      <w:pPr>
        <w:keepLines/>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
    <w:p w:rsidR="007D20DB" w:rsidRPr="007D20DB" w:rsidRDefault="007D20DB" w:rsidP="00704644">
      <w:pPr>
        <w:pStyle w:val="01HEADING1"/>
      </w:pPr>
      <w:bookmarkStart w:id="29" w:name="_Toc253067296"/>
      <w:r w:rsidRPr="007D20DB">
        <w:lastRenderedPageBreak/>
        <w:t>Appendix B</w:t>
      </w:r>
      <w:bookmarkEnd w:id="29"/>
    </w:p>
    <w:p w:rsidR="007D20DB" w:rsidRPr="007D20DB" w:rsidRDefault="007D20DB" w:rsidP="00704644">
      <w:pPr>
        <w:pStyle w:val="02HEADING20"/>
        <w:ind w:left="0" w:firstLine="0"/>
        <w:rPr>
          <w:rFonts w:ascii="MyriadPro-SemiboldIt" w:hAnsi="MyriadPro-SemiboldIt" w:cs="MyriadPro-SemiboldIt"/>
          <w:i/>
          <w:iCs/>
        </w:rPr>
      </w:pPr>
      <w:bookmarkStart w:id="30" w:name="_Toc253067297"/>
      <w:r w:rsidRPr="007D20DB">
        <w:t xml:space="preserve">Threatened ecological communities listed under the EPBC Act that may be impacted by </w:t>
      </w:r>
      <w:proofErr w:type="spellStart"/>
      <w:r w:rsidRPr="007D20DB">
        <w:rPr>
          <w:rFonts w:ascii="MyriadPro-SemiboldIt" w:hAnsi="MyriadPro-SemiboldIt" w:cs="MyriadPro-SemiboldIt"/>
          <w:i/>
          <w:iCs/>
        </w:rPr>
        <w:t>Phytophthora</w:t>
      </w:r>
      <w:proofErr w:type="spellEnd"/>
      <w:r w:rsidRPr="007D20DB">
        <w:rPr>
          <w:rFonts w:ascii="MyriadPro-SemiboldIt" w:hAnsi="MyriadPro-SemiboldIt" w:cs="MyriadPro-SemiboldIt"/>
          <w:i/>
          <w:iCs/>
        </w:rPr>
        <w:t xml:space="preserve"> </w:t>
      </w:r>
      <w:proofErr w:type="spellStart"/>
      <w:r w:rsidRPr="007D20DB">
        <w:rPr>
          <w:rFonts w:ascii="MyriadPro-SemiboldIt" w:hAnsi="MyriadPro-SemiboldIt" w:cs="MyriadPro-SemiboldIt"/>
          <w:i/>
          <w:iCs/>
        </w:rPr>
        <w:t>cinnamomi</w:t>
      </w:r>
      <w:bookmarkEnd w:id="30"/>
      <w:proofErr w:type="spellEnd"/>
      <w:r w:rsidRPr="007D20DB">
        <w:rPr>
          <w:rFonts w:ascii="MyriadPro-SemiboldIt" w:hAnsi="MyriadPro-SemiboldIt" w:cs="MyriadPro-SemiboldIt"/>
          <w:i/>
          <w:iCs/>
        </w:rPr>
        <w:t xml:space="preserve"> </w:t>
      </w:r>
    </w:p>
    <w:p w:rsidR="007D20DB" w:rsidRPr="007D20DB" w:rsidRDefault="007D20DB" w:rsidP="007D20DB">
      <w:pPr>
        <w:keepLines/>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Threatened ecological communities listed under the EPBC Act can be found at:</w:t>
      </w:r>
    </w:p>
    <w:p w:rsidR="007D20DB" w:rsidRPr="007D20DB" w:rsidRDefault="007D20DB" w:rsidP="007D20DB">
      <w:pPr>
        <w:keepLines/>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http://www.environment.gov.au/biodiversity/threatened/communities.html</w:t>
      </w:r>
    </w:p>
    <w:p w:rsidR="007D20DB" w:rsidRPr="007D20DB" w:rsidRDefault="007D20DB" w:rsidP="007D20DB">
      <w:pPr>
        <w:keepLines/>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This list was compiled on the basis of threatened ecological communities occurring within the climatic zone in which conditions for </w:t>
      </w:r>
      <w:r w:rsidRPr="007D20DB">
        <w:rPr>
          <w:rFonts w:ascii="AGaramondPro-Italic" w:hAnsi="AGaramondPro-Italic" w:cs="AGaramondPro-Italic"/>
          <w:i/>
          <w:iCs/>
          <w:color w:val="000000"/>
          <w:sz w:val="20"/>
          <w:szCs w:val="20"/>
          <w:lang w:val="en-US" w:eastAsia="ja-JP"/>
        </w:rPr>
        <w:t>P.</w:t>
      </w:r>
      <w:r w:rsidRPr="007D20DB">
        <w:rPr>
          <w:rFonts w:ascii="AGaramondPro-Regular" w:hAnsi="AGaramondPro-Regular" w:cs="AGaramondPro-Regular"/>
          <w:color w:val="000000"/>
          <w:sz w:val="20"/>
          <w:szCs w:val="20"/>
          <w:rtl/>
          <w:lang w:val="en-US" w:eastAsia="ja-JP" w:bidi="ar-YE"/>
        </w:rPr>
        <w:t> </w:t>
      </w:r>
      <w:proofErr w:type="spellStart"/>
      <w:r w:rsidRPr="007D20DB">
        <w:rPr>
          <w:rFonts w:ascii="AGaramondPro-Italic" w:hAnsi="AGaramondPro-Italic" w:cs="AGaramondPro-Italic"/>
          <w:i/>
          <w:iCs/>
          <w:color w:val="000000"/>
          <w:sz w:val="20"/>
          <w:szCs w:val="20"/>
          <w:lang w:val="en-US" w:eastAsia="ja-JP"/>
        </w:rPr>
        <w:t>cinnamomi</w:t>
      </w:r>
      <w:proofErr w:type="spellEnd"/>
      <w:r w:rsidRPr="007D20DB">
        <w:rPr>
          <w:rFonts w:ascii="AGaramondPro-Regular" w:hAnsi="AGaramondPro-Regular" w:cs="AGaramondPro-Regular"/>
          <w:color w:val="000000"/>
          <w:sz w:val="20"/>
          <w:szCs w:val="20"/>
          <w:lang w:val="en-US" w:eastAsia="ja-JP"/>
        </w:rPr>
        <w:t xml:space="preserve"> are </w:t>
      </w:r>
      <w:proofErr w:type="spellStart"/>
      <w:r w:rsidRPr="007D20DB">
        <w:rPr>
          <w:rFonts w:ascii="AGaramondPro-Regular" w:hAnsi="AGaramondPro-Regular" w:cs="AGaramondPro-Regular"/>
          <w:color w:val="000000"/>
          <w:sz w:val="20"/>
          <w:szCs w:val="20"/>
          <w:lang w:val="en-US" w:eastAsia="ja-JP"/>
        </w:rPr>
        <w:t>favourable</w:t>
      </w:r>
      <w:proofErr w:type="spellEnd"/>
      <w:r w:rsidRPr="007D20DB">
        <w:rPr>
          <w:rFonts w:ascii="AGaramondPro-Regular" w:hAnsi="AGaramondPro-Regular" w:cs="AGaramondPro-Regular"/>
          <w:color w:val="000000"/>
          <w:sz w:val="20"/>
          <w:szCs w:val="20"/>
          <w:lang w:val="en-US" w:eastAsia="ja-JP"/>
        </w:rPr>
        <w:t>. The list was refined in consultation with state agencies.</w:t>
      </w:r>
    </w:p>
    <w:p w:rsidR="007D20DB" w:rsidRPr="007D20DB" w:rsidRDefault="007D20DB" w:rsidP="007D20DB">
      <w:pPr>
        <w:widowControl w:val="0"/>
        <w:suppressAutoHyphens/>
        <w:autoSpaceDE w:val="0"/>
        <w:autoSpaceDN w:val="0"/>
        <w:adjustRightInd w:val="0"/>
        <w:spacing w:before="397" w:after="170" w:line="320" w:lineRule="atLeast"/>
        <w:ind w:left="680" w:hanging="680"/>
        <w:textAlignment w:val="center"/>
        <w:rPr>
          <w:rFonts w:ascii="MyriadPro-Regular" w:hAnsi="MyriadPro-Regular" w:cs="MyriadPro-Regular"/>
          <w:color w:val="004484"/>
          <w:sz w:val="28"/>
          <w:szCs w:val="28"/>
          <w:lang w:val="en-GB" w:eastAsia="ja-JP"/>
        </w:rPr>
      </w:pPr>
      <w:r w:rsidRPr="007D20DB">
        <w:rPr>
          <w:rFonts w:ascii="MyriadPro-Regular" w:hAnsi="MyriadPro-Regular" w:cs="MyriadPro-Regular"/>
          <w:color w:val="004484"/>
          <w:sz w:val="28"/>
          <w:szCs w:val="28"/>
          <w:lang w:val="en-GB" w:eastAsia="ja-JP"/>
        </w:rPr>
        <w:t>EPBC Act status: CE=critically endangered; E=endangered; V= vulnerable</w:t>
      </w:r>
    </w:p>
    <w:tbl>
      <w:tblPr>
        <w:tblW w:w="0" w:type="auto"/>
        <w:tblInd w:w="113" w:type="dxa"/>
        <w:tblLayout w:type="fixed"/>
        <w:tblCellMar>
          <w:left w:w="0" w:type="dxa"/>
          <w:right w:w="0" w:type="dxa"/>
        </w:tblCellMar>
        <w:tblLook w:val="0000"/>
      </w:tblPr>
      <w:tblGrid>
        <w:gridCol w:w="4398"/>
        <w:gridCol w:w="2178"/>
        <w:gridCol w:w="2178"/>
      </w:tblGrid>
      <w:tr w:rsidR="007D20DB" w:rsidRPr="007D20DB">
        <w:trPr>
          <w:trHeight w:val="170"/>
          <w:tblHeader/>
        </w:trPr>
        <w:tc>
          <w:tcPr>
            <w:tcW w:w="4398" w:type="dxa"/>
            <w:tcBorders>
              <w:top w:val="single" w:sz="2" w:space="0" w:color="004484"/>
              <w:left w:val="single" w:sz="2" w:space="0" w:color="004484"/>
              <w:bottom w:val="single" w:sz="2" w:space="0" w:color="004484"/>
              <w:right w:val="single" w:sz="2" w:space="0" w:color="004484"/>
            </w:tcBorders>
            <w:shd w:val="solid" w:color="004484" w:fill="auto"/>
            <w:tcMar>
              <w:top w:w="113" w:type="dxa"/>
              <w:left w:w="113" w:type="dxa"/>
              <w:bottom w:w="113" w:type="dxa"/>
              <w:right w:w="113" w:type="dxa"/>
            </w:tcMar>
            <w:vAlign w:val="bottom"/>
          </w:tcPr>
          <w:p w:rsidR="007D20DB" w:rsidRPr="007D20DB" w:rsidRDefault="007D20DB" w:rsidP="00704644">
            <w:pPr>
              <w:widowControl w:val="0"/>
              <w:suppressAutoHyphens/>
              <w:autoSpaceDE w:val="0"/>
              <w:autoSpaceDN w:val="0"/>
              <w:adjustRightInd w:val="0"/>
              <w:spacing w:after="170" w:line="280" w:lineRule="atLeast"/>
              <w:textAlignment w:val="center"/>
              <w:rPr>
                <w:rFonts w:ascii="AGaramondPro-Regular" w:hAnsi="AGaramondPro-Regular" w:cs="AGaramondPro-Regular"/>
                <w:color w:val="FFFFFF" w:themeColor="background1"/>
                <w:sz w:val="20"/>
                <w:szCs w:val="20"/>
                <w:lang w:val="en-US" w:eastAsia="ja-JP"/>
              </w:rPr>
            </w:pPr>
            <w:r w:rsidRPr="00704644">
              <w:rPr>
                <w:rFonts w:ascii="AGaramondPro-Bold" w:hAnsi="AGaramondPro-Bold" w:cs="AGaramondPro-Bold"/>
                <w:b/>
                <w:bCs/>
                <w:color w:val="FFFFFF" w:themeColor="background1"/>
                <w:sz w:val="20"/>
                <w:szCs w:val="20"/>
                <w:lang w:val="en-US" w:eastAsia="ja-JP"/>
              </w:rPr>
              <w:t>Ecological communities listed under the EPBC Act</w:t>
            </w:r>
          </w:p>
        </w:tc>
        <w:tc>
          <w:tcPr>
            <w:tcW w:w="2178" w:type="dxa"/>
            <w:tcBorders>
              <w:top w:val="single" w:sz="2" w:space="0" w:color="004484"/>
              <w:left w:val="single" w:sz="2" w:space="0" w:color="004484"/>
              <w:bottom w:val="single" w:sz="2" w:space="0" w:color="004484"/>
              <w:right w:val="single" w:sz="2" w:space="0" w:color="004484"/>
            </w:tcBorders>
            <w:shd w:val="solid" w:color="004484" w:fill="auto"/>
            <w:tcMar>
              <w:top w:w="113" w:type="dxa"/>
              <w:left w:w="113" w:type="dxa"/>
              <w:bottom w:w="113" w:type="dxa"/>
              <w:right w:w="113" w:type="dxa"/>
            </w:tcMar>
            <w:vAlign w:val="bottom"/>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FFFFFF" w:themeColor="background1"/>
                <w:sz w:val="20"/>
                <w:szCs w:val="20"/>
                <w:lang w:val="en-US" w:eastAsia="ja-JP"/>
              </w:rPr>
            </w:pPr>
            <w:r w:rsidRPr="00704644">
              <w:rPr>
                <w:rFonts w:ascii="AGaramondPro-Bold" w:hAnsi="AGaramondPro-Bold" w:cs="AGaramondPro-Bold"/>
                <w:b/>
                <w:bCs/>
                <w:color w:val="FFFFFF" w:themeColor="background1"/>
                <w:sz w:val="20"/>
                <w:szCs w:val="20"/>
                <w:lang w:val="en-US" w:eastAsia="ja-JP"/>
              </w:rPr>
              <w:t>EPBC Act status</w:t>
            </w:r>
          </w:p>
        </w:tc>
        <w:tc>
          <w:tcPr>
            <w:tcW w:w="2178" w:type="dxa"/>
            <w:tcBorders>
              <w:top w:val="single" w:sz="2" w:space="0" w:color="004484"/>
              <w:left w:val="single" w:sz="2" w:space="0" w:color="004484"/>
              <w:bottom w:val="single" w:sz="2" w:space="0" w:color="004484"/>
              <w:right w:val="single" w:sz="2" w:space="0" w:color="004484"/>
            </w:tcBorders>
            <w:shd w:val="solid" w:color="004484" w:fill="auto"/>
            <w:tcMar>
              <w:top w:w="113" w:type="dxa"/>
              <w:left w:w="113" w:type="dxa"/>
              <w:bottom w:w="113" w:type="dxa"/>
              <w:right w:w="113" w:type="dxa"/>
            </w:tcMar>
            <w:vAlign w:val="bottom"/>
          </w:tcPr>
          <w:p w:rsidR="007D20DB" w:rsidRPr="007D20DB" w:rsidRDefault="007D20DB" w:rsidP="007D20DB">
            <w:pPr>
              <w:widowControl w:val="0"/>
              <w:suppressAutoHyphens/>
              <w:autoSpaceDE w:val="0"/>
              <w:autoSpaceDN w:val="0"/>
              <w:adjustRightInd w:val="0"/>
              <w:spacing w:after="170" w:line="280" w:lineRule="atLeast"/>
              <w:jc w:val="center"/>
              <w:textAlignment w:val="center"/>
              <w:rPr>
                <w:rFonts w:ascii="AGaramondPro-Regular" w:hAnsi="AGaramondPro-Regular" w:cs="AGaramondPro-Regular"/>
                <w:color w:val="FFFFFF" w:themeColor="background1"/>
                <w:sz w:val="20"/>
                <w:szCs w:val="20"/>
                <w:lang w:val="en-US" w:eastAsia="ja-JP"/>
              </w:rPr>
            </w:pPr>
            <w:r w:rsidRPr="00704644">
              <w:rPr>
                <w:rFonts w:ascii="AGaramondPro-Bold" w:hAnsi="AGaramondPro-Bold" w:cs="AGaramondPro-Bold"/>
                <w:b/>
                <w:bCs/>
                <w:color w:val="FFFFFF" w:themeColor="background1"/>
                <w:sz w:val="20"/>
                <w:szCs w:val="20"/>
                <w:lang w:val="en-US" w:eastAsia="ja-JP"/>
              </w:rPr>
              <w:t>State/territory</w:t>
            </w:r>
          </w:p>
        </w:tc>
      </w:tr>
      <w:tr w:rsidR="007D20DB" w:rsidRPr="007D20DB">
        <w:trPr>
          <w:trHeight w:val="170"/>
        </w:trPr>
        <w:tc>
          <w:tcPr>
            <w:tcW w:w="439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Arnhem Plateau sandstone </w:t>
            </w:r>
            <w:proofErr w:type="spellStart"/>
            <w:r w:rsidRPr="007D20DB">
              <w:rPr>
                <w:rFonts w:ascii="AGaramondPro-Regular" w:hAnsi="AGaramondPro-Regular" w:cs="AGaramondPro-Regular"/>
                <w:color w:val="000000"/>
                <w:sz w:val="20"/>
                <w:szCs w:val="20"/>
                <w:lang w:val="en-US" w:eastAsia="ja-JP"/>
              </w:rPr>
              <w:t>shrubland</w:t>
            </w:r>
            <w:proofErr w:type="spellEnd"/>
            <w:r w:rsidRPr="007D20DB">
              <w:rPr>
                <w:rFonts w:ascii="AGaramondPro-Regular" w:hAnsi="AGaramondPro-Regular" w:cs="AGaramondPro-Regular"/>
                <w:color w:val="000000"/>
                <w:sz w:val="20"/>
                <w:szCs w:val="20"/>
                <w:lang w:val="en-US" w:eastAsia="ja-JP"/>
              </w:rPr>
              <w:t xml:space="preserve"> complex</w:t>
            </w:r>
          </w:p>
        </w:tc>
        <w:tc>
          <w:tcPr>
            <w:tcW w:w="217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17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NT</w:t>
            </w:r>
          </w:p>
        </w:tc>
      </w:tr>
      <w:tr w:rsidR="007D20DB" w:rsidRPr="007D20DB">
        <w:trPr>
          <w:trHeight w:val="170"/>
        </w:trPr>
        <w:tc>
          <w:tcPr>
            <w:tcW w:w="439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Blue Gum high forest of the Sydney Basin Bioregion</w:t>
            </w:r>
          </w:p>
        </w:tc>
        <w:tc>
          <w:tcPr>
            <w:tcW w:w="217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CE</w:t>
            </w:r>
          </w:p>
        </w:tc>
        <w:tc>
          <w:tcPr>
            <w:tcW w:w="217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NSW</w:t>
            </w:r>
          </w:p>
        </w:tc>
      </w:tr>
      <w:tr w:rsidR="007D20DB" w:rsidRPr="007D20DB">
        <w:trPr>
          <w:trHeight w:val="170"/>
        </w:trPr>
        <w:tc>
          <w:tcPr>
            <w:tcW w:w="439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Broad leaf tea-tree (</w:t>
            </w:r>
            <w:proofErr w:type="spellStart"/>
            <w:r w:rsidRPr="007D20DB">
              <w:rPr>
                <w:rFonts w:ascii="AGaramondPro-Italic" w:hAnsi="AGaramondPro-Italic" w:cs="AGaramondPro-Italic"/>
                <w:i/>
                <w:iCs/>
                <w:color w:val="000000"/>
                <w:sz w:val="20"/>
                <w:szCs w:val="20"/>
                <w:lang w:val="en-US" w:eastAsia="ja-JP"/>
              </w:rPr>
              <w:t>Melaleuca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viridiflora</w:t>
            </w:r>
            <w:proofErr w:type="spellEnd"/>
            <w:r w:rsidRPr="007D20DB">
              <w:rPr>
                <w:rFonts w:ascii="AGaramondPro-Regular" w:hAnsi="AGaramondPro-Regular" w:cs="AGaramondPro-Regular"/>
                <w:color w:val="000000"/>
                <w:sz w:val="20"/>
                <w:szCs w:val="20"/>
                <w:lang w:val="en-US" w:eastAsia="ja-JP"/>
              </w:rPr>
              <w:t>) woodlands in high rainfall coastal north Queensland</w:t>
            </w:r>
          </w:p>
        </w:tc>
        <w:tc>
          <w:tcPr>
            <w:tcW w:w="217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17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Regular" w:hAnsi="AGaramondPro-Regular" w:cs="AGaramondPro-Regular"/>
                <w:color w:val="000000"/>
                <w:sz w:val="20"/>
                <w:szCs w:val="20"/>
                <w:lang w:val="en-US" w:eastAsia="ja-JP"/>
              </w:rPr>
              <w:t>Qld</w:t>
            </w:r>
            <w:proofErr w:type="spellEnd"/>
          </w:p>
        </w:tc>
      </w:tr>
      <w:tr w:rsidR="007D20DB" w:rsidRPr="007D20DB">
        <w:trPr>
          <w:trHeight w:val="170"/>
        </w:trPr>
        <w:tc>
          <w:tcPr>
            <w:tcW w:w="439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vAlign w:val="center"/>
          </w:tcPr>
          <w:p w:rsidR="007D20DB" w:rsidRPr="007D20DB" w:rsidRDefault="007D20DB" w:rsidP="00704644">
            <w:pPr>
              <w:widowControl w:val="0"/>
              <w:suppressAutoHyphens/>
              <w:autoSpaceDE w:val="0"/>
              <w:autoSpaceDN w:val="0"/>
              <w:adjustRightInd w:val="0"/>
              <w:spacing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Regular" w:hAnsi="AGaramondPro-Regular" w:cs="AGaramondPro-Regular"/>
                <w:color w:val="000000"/>
                <w:sz w:val="20"/>
                <w:szCs w:val="20"/>
                <w:lang w:val="en-US" w:eastAsia="ja-JP"/>
              </w:rPr>
              <w:t>Claypans</w:t>
            </w:r>
            <w:proofErr w:type="spellEnd"/>
            <w:r w:rsidRPr="007D20DB">
              <w:rPr>
                <w:rFonts w:ascii="AGaramondPro-Regular" w:hAnsi="AGaramondPro-Regular" w:cs="AGaramondPro-Regular"/>
                <w:color w:val="000000"/>
                <w:sz w:val="20"/>
                <w:szCs w:val="20"/>
                <w:lang w:val="en-US" w:eastAsia="ja-JP"/>
              </w:rPr>
              <w:t xml:space="preserve"> of the Swan Coastal Plain</w:t>
            </w:r>
          </w:p>
        </w:tc>
        <w:tc>
          <w:tcPr>
            <w:tcW w:w="217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vAlign w:val="center"/>
          </w:tcPr>
          <w:p w:rsidR="007D20DB" w:rsidRPr="007D20DB" w:rsidRDefault="007D20DB" w:rsidP="00704644">
            <w:pPr>
              <w:widowControl w:val="0"/>
              <w:suppressAutoHyphens/>
              <w:autoSpaceDE w:val="0"/>
              <w:autoSpaceDN w:val="0"/>
              <w:adjustRightInd w:val="0"/>
              <w:spacing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CE</w:t>
            </w:r>
          </w:p>
        </w:tc>
        <w:tc>
          <w:tcPr>
            <w:tcW w:w="217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170"/>
        </w:trPr>
        <w:tc>
          <w:tcPr>
            <w:tcW w:w="439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Corymbia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calophylla</w:t>
            </w:r>
            <w:proofErr w:type="spellEnd"/>
            <w:r w:rsidRPr="007D20DB">
              <w:rPr>
                <w:rFonts w:ascii="AGaramondPro-Italic" w:hAnsi="AGaramondPro-Italic" w:cs="AGaramondPro-Italic"/>
                <w:i/>
                <w:iCs/>
                <w:color w:val="000000"/>
                <w:sz w:val="20"/>
                <w:szCs w:val="20"/>
                <w:lang w:val="en-US" w:eastAsia="ja-JP"/>
              </w:rPr>
              <w:t xml:space="preserve"> - </w:t>
            </w:r>
            <w:proofErr w:type="spellStart"/>
            <w:r w:rsidRPr="007D20DB">
              <w:rPr>
                <w:rFonts w:ascii="AGaramondPro-Italic" w:hAnsi="AGaramondPro-Italic" w:cs="AGaramondPro-Italic"/>
                <w:i/>
                <w:iCs/>
                <w:color w:val="000000"/>
                <w:sz w:val="20"/>
                <w:szCs w:val="20"/>
                <w:lang w:val="en-US" w:eastAsia="ja-JP"/>
              </w:rPr>
              <w:t>Kingia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australis</w:t>
            </w:r>
            <w:proofErr w:type="spellEnd"/>
            <w:r w:rsidRPr="007D20DB">
              <w:rPr>
                <w:rFonts w:ascii="AGaramondPro-Regular" w:hAnsi="AGaramondPro-Regular" w:cs="AGaramondPro-Regular"/>
                <w:color w:val="000000"/>
                <w:sz w:val="20"/>
                <w:szCs w:val="20"/>
                <w:lang w:val="en-US" w:eastAsia="ja-JP"/>
              </w:rPr>
              <w:t xml:space="preserve"> woodlands on heavy soils of the Swan Coastal Plain </w:t>
            </w:r>
          </w:p>
        </w:tc>
        <w:tc>
          <w:tcPr>
            <w:tcW w:w="217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17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170"/>
        </w:trPr>
        <w:tc>
          <w:tcPr>
            <w:tcW w:w="439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Italic" w:hAnsi="AGaramondPro-Italic" w:cs="AGaramondPro-Italic"/>
                <w:i/>
                <w:iCs/>
                <w:color w:val="000000"/>
                <w:sz w:val="20"/>
                <w:szCs w:val="20"/>
                <w:lang w:val="en-US" w:eastAsia="ja-JP"/>
              </w:rPr>
              <w:t>Corymbia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calophylla</w:t>
            </w:r>
            <w:proofErr w:type="spellEnd"/>
            <w:r w:rsidRPr="007D20DB">
              <w:rPr>
                <w:rFonts w:ascii="AGaramondPro-Italic" w:hAnsi="AGaramondPro-Italic" w:cs="AGaramondPro-Italic"/>
                <w:i/>
                <w:iCs/>
                <w:color w:val="000000"/>
                <w:sz w:val="20"/>
                <w:szCs w:val="20"/>
                <w:lang w:val="en-US" w:eastAsia="ja-JP"/>
              </w:rPr>
              <w:t xml:space="preserve"> - </w:t>
            </w:r>
            <w:proofErr w:type="spellStart"/>
            <w:r w:rsidRPr="007D20DB">
              <w:rPr>
                <w:rFonts w:ascii="AGaramondPro-Italic" w:hAnsi="AGaramondPro-Italic" w:cs="AGaramondPro-Italic"/>
                <w:i/>
                <w:iCs/>
                <w:color w:val="000000"/>
                <w:sz w:val="20"/>
                <w:szCs w:val="20"/>
                <w:lang w:val="en-US" w:eastAsia="ja-JP"/>
              </w:rPr>
              <w:t>Xanthorrhoea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preissii</w:t>
            </w:r>
            <w:proofErr w:type="spellEnd"/>
            <w:r w:rsidRPr="007D20DB">
              <w:rPr>
                <w:rFonts w:ascii="AGaramondPro-Regular" w:hAnsi="AGaramondPro-Regular" w:cs="AGaramondPro-Regular"/>
                <w:color w:val="000000"/>
                <w:sz w:val="20"/>
                <w:szCs w:val="20"/>
                <w:lang w:val="en-US" w:eastAsia="ja-JP"/>
              </w:rPr>
              <w:t xml:space="preserve"> woodlands and </w:t>
            </w:r>
            <w:proofErr w:type="spellStart"/>
            <w:r w:rsidRPr="007D20DB">
              <w:rPr>
                <w:rFonts w:ascii="AGaramondPro-Regular" w:hAnsi="AGaramondPro-Regular" w:cs="AGaramondPro-Regular"/>
                <w:color w:val="000000"/>
                <w:sz w:val="20"/>
                <w:szCs w:val="20"/>
                <w:lang w:val="en-US" w:eastAsia="ja-JP"/>
              </w:rPr>
              <w:t>shrublands</w:t>
            </w:r>
            <w:proofErr w:type="spellEnd"/>
            <w:r w:rsidRPr="007D20DB">
              <w:rPr>
                <w:rFonts w:ascii="AGaramondPro-Regular" w:hAnsi="AGaramondPro-Regular" w:cs="AGaramondPro-Regular"/>
                <w:color w:val="000000"/>
                <w:sz w:val="20"/>
                <w:szCs w:val="20"/>
                <w:lang w:val="en-US" w:eastAsia="ja-JP"/>
              </w:rPr>
              <w:t xml:space="preserve"> of the Swan Coastal Plain</w:t>
            </w:r>
          </w:p>
        </w:tc>
        <w:tc>
          <w:tcPr>
            <w:tcW w:w="217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17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170"/>
        </w:trPr>
        <w:tc>
          <w:tcPr>
            <w:tcW w:w="439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Cumberland Plain shale woodlands and shale-gravel transition forest</w:t>
            </w:r>
          </w:p>
        </w:tc>
        <w:tc>
          <w:tcPr>
            <w:tcW w:w="217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CE</w:t>
            </w:r>
          </w:p>
        </w:tc>
        <w:tc>
          <w:tcPr>
            <w:tcW w:w="217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NSW</w:t>
            </w:r>
          </w:p>
        </w:tc>
      </w:tr>
      <w:tr w:rsidR="007D20DB" w:rsidRPr="007D20DB">
        <w:trPr>
          <w:trHeight w:val="170"/>
        </w:trPr>
        <w:tc>
          <w:tcPr>
            <w:tcW w:w="439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Eastern </w:t>
            </w:r>
            <w:proofErr w:type="spellStart"/>
            <w:r w:rsidRPr="007D20DB">
              <w:rPr>
                <w:rFonts w:ascii="AGaramondPro-Regular" w:hAnsi="AGaramondPro-Regular" w:cs="AGaramondPro-Regular"/>
                <w:color w:val="000000"/>
                <w:sz w:val="20"/>
                <w:szCs w:val="20"/>
                <w:lang w:val="en-US" w:eastAsia="ja-JP"/>
              </w:rPr>
              <w:t>Stirling</w:t>
            </w:r>
            <w:proofErr w:type="spellEnd"/>
            <w:r w:rsidRPr="007D20DB">
              <w:rPr>
                <w:rFonts w:ascii="AGaramondPro-Regular" w:hAnsi="AGaramondPro-Regular" w:cs="AGaramondPro-Regular"/>
                <w:color w:val="000000"/>
                <w:sz w:val="20"/>
                <w:szCs w:val="20"/>
                <w:lang w:val="en-US" w:eastAsia="ja-JP"/>
              </w:rPr>
              <w:t xml:space="preserve"> Range </w:t>
            </w:r>
            <w:proofErr w:type="spellStart"/>
            <w:r w:rsidRPr="007D20DB">
              <w:rPr>
                <w:rFonts w:ascii="AGaramondPro-Regular" w:hAnsi="AGaramondPro-Regular" w:cs="AGaramondPro-Regular"/>
                <w:color w:val="000000"/>
                <w:sz w:val="20"/>
                <w:szCs w:val="20"/>
                <w:lang w:val="en-US" w:eastAsia="ja-JP"/>
              </w:rPr>
              <w:t>montane</w:t>
            </w:r>
            <w:proofErr w:type="spellEnd"/>
            <w:r w:rsidRPr="007D20DB">
              <w:rPr>
                <w:rFonts w:ascii="AGaramondPro-Regular" w:hAnsi="AGaramondPro-Regular" w:cs="AGaramondPro-Regular"/>
                <w:color w:val="000000"/>
                <w:sz w:val="20"/>
                <w:szCs w:val="20"/>
                <w:lang w:val="en-US" w:eastAsia="ja-JP"/>
              </w:rPr>
              <w:t xml:space="preserve"> heath and thicket</w:t>
            </w:r>
          </w:p>
        </w:tc>
        <w:tc>
          <w:tcPr>
            <w:tcW w:w="217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17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170"/>
        </w:trPr>
        <w:tc>
          <w:tcPr>
            <w:tcW w:w="439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Eastern Suburbs </w:t>
            </w:r>
            <w:proofErr w:type="spellStart"/>
            <w:r w:rsidRPr="007D20DB">
              <w:rPr>
                <w:rFonts w:ascii="AGaramondPro-Regular" w:hAnsi="AGaramondPro-Regular" w:cs="AGaramondPro-Regular"/>
                <w:color w:val="000000"/>
                <w:sz w:val="20"/>
                <w:szCs w:val="20"/>
                <w:lang w:val="en-US" w:eastAsia="ja-JP"/>
              </w:rPr>
              <w:t>Banksia</w:t>
            </w:r>
            <w:proofErr w:type="spellEnd"/>
            <w:r w:rsidRPr="007D20DB">
              <w:rPr>
                <w:rFonts w:ascii="AGaramondPro-Regular" w:hAnsi="AGaramondPro-Regular" w:cs="AGaramondPro-Regular"/>
                <w:color w:val="000000"/>
                <w:sz w:val="20"/>
                <w:szCs w:val="20"/>
                <w:lang w:val="en-US" w:eastAsia="ja-JP"/>
              </w:rPr>
              <w:t xml:space="preserve"> scrub of the Sydney Region </w:t>
            </w:r>
          </w:p>
        </w:tc>
        <w:tc>
          <w:tcPr>
            <w:tcW w:w="217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17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NSW</w:t>
            </w:r>
          </w:p>
        </w:tc>
      </w:tr>
      <w:tr w:rsidR="007D20DB" w:rsidRPr="007D20DB">
        <w:trPr>
          <w:trHeight w:val="170"/>
        </w:trPr>
        <w:tc>
          <w:tcPr>
            <w:tcW w:w="439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Regular" w:hAnsi="AGaramondPro-Regular" w:cs="AGaramondPro-Regular"/>
                <w:color w:val="000000"/>
                <w:sz w:val="20"/>
                <w:szCs w:val="20"/>
                <w:lang w:val="en-US" w:eastAsia="ja-JP"/>
              </w:rPr>
              <w:t>Gippsland</w:t>
            </w:r>
            <w:proofErr w:type="spellEnd"/>
            <w:r w:rsidRPr="007D20DB">
              <w:rPr>
                <w:rFonts w:ascii="AGaramondPro-Regular" w:hAnsi="AGaramondPro-Regular" w:cs="AGaramondPro-Regular"/>
                <w:color w:val="000000"/>
                <w:sz w:val="20"/>
                <w:szCs w:val="20"/>
                <w:lang w:val="en-US" w:eastAsia="ja-JP"/>
              </w:rPr>
              <w:t xml:space="preserve"> Red Gum (</w:t>
            </w:r>
            <w:r w:rsidRPr="007D20DB">
              <w:rPr>
                <w:rFonts w:ascii="AGaramondPro-Italic" w:hAnsi="AGaramondPro-Italic" w:cs="AGaramondPro-Italic"/>
                <w:i/>
                <w:iCs/>
                <w:color w:val="000000"/>
                <w:sz w:val="20"/>
                <w:szCs w:val="20"/>
                <w:lang w:val="en-US" w:eastAsia="ja-JP"/>
              </w:rPr>
              <w:t xml:space="preserve">Eucalyptus </w:t>
            </w:r>
            <w:proofErr w:type="spellStart"/>
            <w:r w:rsidRPr="007D20DB">
              <w:rPr>
                <w:rFonts w:ascii="AGaramondPro-Italic" w:hAnsi="AGaramondPro-Italic" w:cs="AGaramondPro-Italic"/>
                <w:i/>
                <w:iCs/>
                <w:color w:val="000000"/>
                <w:sz w:val="20"/>
                <w:szCs w:val="20"/>
                <w:lang w:val="en-US" w:eastAsia="ja-JP"/>
              </w:rPr>
              <w:t>tereticornis</w:t>
            </w:r>
            <w:proofErr w:type="spellEnd"/>
            <w:r w:rsidRPr="007D20DB">
              <w:rPr>
                <w:rFonts w:ascii="AGaramondPro-Italic" w:hAnsi="AGaramondPro-Italic" w:cs="AGaramondPro-Italic"/>
                <w:i/>
                <w:iCs/>
                <w:color w:val="000000"/>
                <w:sz w:val="20"/>
                <w:szCs w:val="20"/>
                <w:lang w:val="en-US" w:eastAsia="ja-JP"/>
              </w:rPr>
              <w:t xml:space="preserve"> </w:t>
            </w:r>
            <w:r w:rsidRPr="007D20DB">
              <w:rPr>
                <w:rFonts w:ascii="AGaramondPro-Regular" w:hAnsi="AGaramondPro-Regular" w:cs="AGaramondPro-Regular"/>
                <w:color w:val="000000"/>
                <w:sz w:val="20"/>
                <w:szCs w:val="20"/>
                <w:lang w:val="en-US" w:eastAsia="ja-JP"/>
              </w:rPr>
              <w:t>subsp</w:t>
            </w:r>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mediana</w:t>
            </w:r>
            <w:proofErr w:type="spellEnd"/>
            <w:r w:rsidRPr="007D20DB">
              <w:rPr>
                <w:rFonts w:ascii="AGaramondPro-Regular" w:hAnsi="AGaramondPro-Regular" w:cs="AGaramondPro-Regular"/>
                <w:color w:val="000000"/>
                <w:sz w:val="20"/>
                <w:szCs w:val="20"/>
                <w:lang w:val="en-US" w:eastAsia="ja-JP"/>
              </w:rPr>
              <w:t>) grassy woodland and associated native grassland</w:t>
            </w:r>
          </w:p>
        </w:tc>
        <w:tc>
          <w:tcPr>
            <w:tcW w:w="217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CE</w:t>
            </w:r>
          </w:p>
        </w:tc>
        <w:tc>
          <w:tcPr>
            <w:tcW w:w="217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Vic.</w:t>
            </w:r>
          </w:p>
        </w:tc>
      </w:tr>
      <w:tr w:rsidR="007D20DB" w:rsidRPr="007D20DB">
        <w:trPr>
          <w:trHeight w:val="170"/>
        </w:trPr>
        <w:tc>
          <w:tcPr>
            <w:tcW w:w="439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Grassy Eucalypt woodland of the Victorian Volcanic Plain</w:t>
            </w:r>
          </w:p>
        </w:tc>
        <w:tc>
          <w:tcPr>
            <w:tcW w:w="217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CE</w:t>
            </w:r>
          </w:p>
        </w:tc>
        <w:tc>
          <w:tcPr>
            <w:tcW w:w="217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Vic.</w:t>
            </w:r>
          </w:p>
        </w:tc>
      </w:tr>
      <w:tr w:rsidR="007D20DB" w:rsidRPr="007D20DB">
        <w:trPr>
          <w:trHeight w:val="170"/>
        </w:trPr>
        <w:tc>
          <w:tcPr>
            <w:tcW w:w="439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vAlign w:val="center"/>
          </w:tcPr>
          <w:p w:rsidR="007D20DB" w:rsidRPr="007D20DB" w:rsidRDefault="007D20DB" w:rsidP="00704644">
            <w:pPr>
              <w:widowControl w:val="0"/>
              <w:suppressAutoHyphens/>
              <w:autoSpaceDE w:val="0"/>
              <w:autoSpaceDN w:val="0"/>
              <w:adjustRightInd w:val="0"/>
              <w:spacing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Lowland grassy woodland in the South East Corner Bioregion</w:t>
            </w:r>
          </w:p>
        </w:tc>
        <w:tc>
          <w:tcPr>
            <w:tcW w:w="217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CE</w:t>
            </w:r>
          </w:p>
        </w:tc>
        <w:tc>
          <w:tcPr>
            <w:tcW w:w="217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NSW/ACT/Vic.</w:t>
            </w:r>
          </w:p>
        </w:tc>
      </w:tr>
      <w:tr w:rsidR="007D20DB" w:rsidRPr="007D20DB">
        <w:trPr>
          <w:trHeight w:val="170"/>
        </w:trPr>
        <w:tc>
          <w:tcPr>
            <w:tcW w:w="439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Lowland rainforest of subtropical Australia</w:t>
            </w:r>
          </w:p>
        </w:tc>
        <w:tc>
          <w:tcPr>
            <w:tcW w:w="217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CE</w:t>
            </w:r>
          </w:p>
        </w:tc>
        <w:tc>
          <w:tcPr>
            <w:tcW w:w="217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Regular" w:hAnsi="AGaramondPro-Regular" w:cs="AGaramondPro-Regular"/>
                <w:color w:val="000000"/>
                <w:sz w:val="20"/>
                <w:szCs w:val="20"/>
                <w:lang w:val="en-US" w:eastAsia="ja-JP"/>
              </w:rPr>
              <w:t>Qld</w:t>
            </w:r>
            <w:proofErr w:type="spellEnd"/>
            <w:r w:rsidRPr="007D20DB">
              <w:rPr>
                <w:rFonts w:ascii="AGaramondPro-Regular" w:hAnsi="AGaramondPro-Regular" w:cs="AGaramondPro-Regular"/>
                <w:color w:val="000000"/>
                <w:sz w:val="20"/>
                <w:szCs w:val="20"/>
                <w:lang w:val="en-US" w:eastAsia="ja-JP"/>
              </w:rPr>
              <w:t>/NSW</w:t>
            </w:r>
          </w:p>
        </w:tc>
      </w:tr>
      <w:tr w:rsidR="007D20DB" w:rsidRPr="007D20DB">
        <w:trPr>
          <w:trHeight w:val="170"/>
        </w:trPr>
        <w:tc>
          <w:tcPr>
            <w:tcW w:w="439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vAlign w:val="center"/>
          </w:tcPr>
          <w:p w:rsidR="007D20DB" w:rsidRPr="007D20DB" w:rsidRDefault="007D20DB" w:rsidP="00704644">
            <w:pPr>
              <w:widowControl w:val="0"/>
              <w:suppressAutoHyphens/>
              <w:autoSpaceDE w:val="0"/>
              <w:autoSpaceDN w:val="0"/>
              <w:adjustRightInd w:val="0"/>
              <w:spacing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Monsoon vine thickets on the coastal sand dunes of </w:t>
            </w:r>
            <w:r w:rsidRPr="007D20DB">
              <w:rPr>
                <w:rFonts w:ascii="AGaramondPro-Regular" w:hAnsi="AGaramondPro-Regular" w:cs="AGaramondPro-Regular"/>
                <w:color w:val="000000"/>
                <w:sz w:val="20"/>
                <w:szCs w:val="20"/>
                <w:lang w:val="en-US" w:eastAsia="ja-JP"/>
              </w:rPr>
              <w:lastRenderedPageBreak/>
              <w:t>Dampier Peninsula</w:t>
            </w:r>
          </w:p>
        </w:tc>
        <w:tc>
          <w:tcPr>
            <w:tcW w:w="217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vAlign w:val="center"/>
          </w:tcPr>
          <w:p w:rsidR="007D20DB" w:rsidRPr="007D20DB" w:rsidRDefault="007D20DB" w:rsidP="00704644">
            <w:pPr>
              <w:widowControl w:val="0"/>
              <w:suppressAutoHyphens/>
              <w:autoSpaceDE w:val="0"/>
              <w:autoSpaceDN w:val="0"/>
              <w:adjustRightInd w:val="0"/>
              <w:spacing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lastRenderedPageBreak/>
              <w:t>E</w:t>
            </w:r>
          </w:p>
        </w:tc>
        <w:tc>
          <w:tcPr>
            <w:tcW w:w="217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170"/>
        </w:trPr>
        <w:tc>
          <w:tcPr>
            <w:tcW w:w="439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lastRenderedPageBreak/>
              <w:t>New England Peppermint (</w:t>
            </w:r>
            <w:r w:rsidRPr="007D20DB">
              <w:rPr>
                <w:rFonts w:ascii="AGaramondPro-Italic" w:hAnsi="AGaramondPro-Italic" w:cs="AGaramondPro-Italic"/>
                <w:i/>
                <w:iCs/>
                <w:color w:val="000000"/>
                <w:sz w:val="20"/>
                <w:szCs w:val="20"/>
                <w:lang w:val="en-US" w:eastAsia="ja-JP"/>
              </w:rPr>
              <w:t>Eucalyptus nova-</w:t>
            </w:r>
            <w:proofErr w:type="spellStart"/>
            <w:r w:rsidRPr="007D20DB">
              <w:rPr>
                <w:rFonts w:ascii="AGaramondPro-Italic" w:hAnsi="AGaramondPro-Italic" w:cs="AGaramondPro-Italic"/>
                <w:i/>
                <w:iCs/>
                <w:color w:val="000000"/>
                <w:sz w:val="20"/>
                <w:szCs w:val="20"/>
                <w:lang w:val="en-US" w:eastAsia="ja-JP"/>
              </w:rPr>
              <w:t>anglica</w:t>
            </w:r>
            <w:proofErr w:type="spellEnd"/>
            <w:r w:rsidRPr="007D20DB">
              <w:rPr>
                <w:rFonts w:ascii="AGaramondPro-Regular" w:hAnsi="AGaramondPro-Regular" w:cs="AGaramondPro-Regular"/>
                <w:color w:val="000000"/>
                <w:sz w:val="20"/>
                <w:szCs w:val="20"/>
                <w:lang w:val="en-US" w:eastAsia="ja-JP"/>
              </w:rPr>
              <w:t>) grassy woodlands</w:t>
            </w:r>
          </w:p>
        </w:tc>
        <w:tc>
          <w:tcPr>
            <w:tcW w:w="217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CE</w:t>
            </w:r>
          </w:p>
        </w:tc>
        <w:tc>
          <w:tcPr>
            <w:tcW w:w="217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Regular" w:hAnsi="AGaramondPro-Regular" w:cs="AGaramondPro-Regular"/>
                <w:color w:val="000000"/>
                <w:sz w:val="20"/>
                <w:szCs w:val="20"/>
                <w:lang w:val="en-US" w:eastAsia="ja-JP"/>
              </w:rPr>
              <w:t>Qld</w:t>
            </w:r>
            <w:proofErr w:type="spellEnd"/>
            <w:r w:rsidRPr="007D20DB">
              <w:rPr>
                <w:rFonts w:ascii="AGaramondPro-Regular" w:hAnsi="AGaramondPro-Regular" w:cs="AGaramondPro-Regular"/>
                <w:color w:val="000000"/>
                <w:sz w:val="20"/>
                <w:szCs w:val="20"/>
                <w:lang w:val="en-US" w:eastAsia="ja-JP"/>
              </w:rPr>
              <w:t>/NSW</w:t>
            </w:r>
          </w:p>
        </w:tc>
      </w:tr>
      <w:tr w:rsidR="007D20DB" w:rsidRPr="007D20DB">
        <w:trPr>
          <w:trHeight w:val="170"/>
        </w:trPr>
        <w:tc>
          <w:tcPr>
            <w:tcW w:w="439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Peppermint Box (</w:t>
            </w:r>
            <w:r w:rsidRPr="007D20DB">
              <w:rPr>
                <w:rFonts w:ascii="AGaramondPro-Italic" w:hAnsi="AGaramondPro-Italic" w:cs="AGaramondPro-Italic"/>
                <w:i/>
                <w:iCs/>
                <w:color w:val="000000"/>
                <w:sz w:val="20"/>
                <w:szCs w:val="20"/>
                <w:lang w:val="en-US" w:eastAsia="ja-JP"/>
              </w:rPr>
              <w:t xml:space="preserve">Eucalyptus </w:t>
            </w:r>
            <w:proofErr w:type="spellStart"/>
            <w:r w:rsidRPr="007D20DB">
              <w:rPr>
                <w:rFonts w:ascii="AGaramondPro-Italic" w:hAnsi="AGaramondPro-Italic" w:cs="AGaramondPro-Italic"/>
                <w:i/>
                <w:iCs/>
                <w:color w:val="000000"/>
                <w:sz w:val="20"/>
                <w:szCs w:val="20"/>
                <w:lang w:val="en-US" w:eastAsia="ja-JP"/>
              </w:rPr>
              <w:t>odorata</w:t>
            </w:r>
            <w:proofErr w:type="spellEnd"/>
            <w:r w:rsidRPr="007D20DB">
              <w:rPr>
                <w:rFonts w:ascii="AGaramondPro-Regular" w:hAnsi="AGaramondPro-Regular" w:cs="AGaramondPro-Regular"/>
                <w:color w:val="000000"/>
                <w:sz w:val="20"/>
                <w:szCs w:val="20"/>
                <w:lang w:val="en-US" w:eastAsia="ja-JP"/>
              </w:rPr>
              <w:t xml:space="preserve">) grassy woodland of South Australia </w:t>
            </w:r>
          </w:p>
        </w:tc>
        <w:tc>
          <w:tcPr>
            <w:tcW w:w="217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CE</w:t>
            </w:r>
          </w:p>
        </w:tc>
        <w:tc>
          <w:tcPr>
            <w:tcW w:w="217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SA</w:t>
            </w:r>
          </w:p>
        </w:tc>
      </w:tr>
      <w:tr w:rsidR="007D20DB" w:rsidRPr="007D20DB">
        <w:trPr>
          <w:trHeight w:val="170"/>
        </w:trPr>
        <w:tc>
          <w:tcPr>
            <w:tcW w:w="439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Scott River ironstone association</w:t>
            </w:r>
          </w:p>
        </w:tc>
        <w:tc>
          <w:tcPr>
            <w:tcW w:w="217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17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170"/>
        </w:trPr>
        <w:tc>
          <w:tcPr>
            <w:tcW w:w="439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Regular" w:hAnsi="AGaramondPro-Regular" w:cs="AGaramondPro-Regular"/>
                <w:color w:val="000000"/>
                <w:sz w:val="20"/>
                <w:szCs w:val="20"/>
                <w:lang w:val="en-US" w:eastAsia="ja-JP"/>
              </w:rPr>
              <w:t>Sedgelands</w:t>
            </w:r>
            <w:proofErr w:type="spellEnd"/>
            <w:r w:rsidRPr="007D20DB">
              <w:rPr>
                <w:rFonts w:ascii="AGaramondPro-Regular" w:hAnsi="AGaramondPro-Regular" w:cs="AGaramondPro-Regular"/>
                <w:color w:val="000000"/>
                <w:sz w:val="20"/>
                <w:szCs w:val="20"/>
                <w:lang w:val="en-US" w:eastAsia="ja-JP"/>
              </w:rPr>
              <w:t xml:space="preserve"> in Holocene dune swales of the southern Swan Coastal Plain</w:t>
            </w:r>
          </w:p>
        </w:tc>
        <w:tc>
          <w:tcPr>
            <w:tcW w:w="217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17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170"/>
        </w:trPr>
        <w:tc>
          <w:tcPr>
            <w:tcW w:w="439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Shale/sandstone transition forest </w:t>
            </w:r>
          </w:p>
        </w:tc>
        <w:tc>
          <w:tcPr>
            <w:tcW w:w="217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17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NSW</w:t>
            </w:r>
          </w:p>
        </w:tc>
      </w:tr>
      <w:tr w:rsidR="007D20DB" w:rsidRPr="007D20DB">
        <w:trPr>
          <w:trHeight w:val="170"/>
        </w:trPr>
        <w:tc>
          <w:tcPr>
            <w:tcW w:w="439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Regular" w:hAnsi="AGaramondPro-Regular" w:cs="AGaramondPro-Regular"/>
                <w:color w:val="000000"/>
                <w:sz w:val="20"/>
                <w:szCs w:val="20"/>
                <w:lang w:val="en-US" w:eastAsia="ja-JP"/>
              </w:rPr>
              <w:t>Shrublands</w:t>
            </w:r>
            <w:proofErr w:type="spellEnd"/>
            <w:r w:rsidRPr="007D20DB">
              <w:rPr>
                <w:rFonts w:ascii="AGaramondPro-Regular" w:hAnsi="AGaramondPro-Regular" w:cs="AGaramondPro-Regular"/>
                <w:color w:val="000000"/>
                <w:sz w:val="20"/>
                <w:szCs w:val="20"/>
                <w:lang w:val="en-US" w:eastAsia="ja-JP"/>
              </w:rPr>
              <w:t xml:space="preserve"> and woodlands of the eastern Swan Coastal Plain </w:t>
            </w:r>
          </w:p>
        </w:tc>
        <w:tc>
          <w:tcPr>
            <w:tcW w:w="217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17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170"/>
        </w:trPr>
        <w:tc>
          <w:tcPr>
            <w:tcW w:w="439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Regular" w:hAnsi="AGaramondPro-Regular" w:cs="AGaramondPro-Regular"/>
                <w:color w:val="000000"/>
                <w:sz w:val="20"/>
                <w:szCs w:val="20"/>
                <w:lang w:val="en-US" w:eastAsia="ja-JP"/>
              </w:rPr>
              <w:t>Shrublands</w:t>
            </w:r>
            <w:proofErr w:type="spellEnd"/>
            <w:r w:rsidRPr="007D20DB">
              <w:rPr>
                <w:rFonts w:ascii="AGaramondPro-Regular" w:hAnsi="AGaramondPro-Regular" w:cs="AGaramondPro-Regular"/>
                <w:color w:val="000000"/>
                <w:sz w:val="20"/>
                <w:szCs w:val="20"/>
                <w:lang w:val="en-US" w:eastAsia="ja-JP"/>
              </w:rPr>
              <w:t xml:space="preserve"> on southern Swan Coastal Plain ironstones </w:t>
            </w:r>
          </w:p>
        </w:tc>
        <w:tc>
          <w:tcPr>
            <w:tcW w:w="217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17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WA</w:t>
            </w:r>
          </w:p>
        </w:tc>
      </w:tr>
      <w:tr w:rsidR="007D20DB" w:rsidRPr="007D20DB">
        <w:trPr>
          <w:trHeight w:val="170"/>
        </w:trPr>
        <w:tc>
          <w:tcPr>
            <w:tcW w:w="439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Silurian limestone </w:t>
            </w:r>
            <w:proofErr w:type="spellStart"/>
            <w:r w:rsidRPr="007D20DB">
              <w:rPr>
                <w:rFonts w:ascii="AGaramondPro-Regular" w:hAnsi="AGaramondPro-Regular" w:cs="AGaramondPro-Regular"/>
                <w:color w:val="000000"/>
                <w:sz w:val="20"/>
                <w:szCs w:val="20"/>
                <w:lang w:val="en-US" w:eastAsia="ja-JP"/>
              </w:rPr>
              <w:t>Pomaderris</w:t>
            </w:r>
            <w:proofErr w:type="spellEnd"/>
            <w:r w:rsidRPr="007D20DB">
              <w:rPr>
                <w:rFonts w:ascii="AGaramondPro-Regular" w:hAnsi="AGaramondPro-Regular" w:cs="AGaramondPro-Regular"/>
                <w:color w:val="000000"/>
                <w:sz w:val="20"/>
                <w:szCs w:val="20"/>
                <w:lang w:val="en-US" w:eastAsia="ja-JP"/>
              </w:rPr>
              <w:t xml:space="preserve"> </w:t>
            </w:r>
            <w:proofErr w:type="spellStart"/>
            <w:r w:rsidRPr="007D20DB">
              <w:rPr>
                <w:rFonts w:ascii="AGaramondPro-Regular" w:hAnsi="AGaramondPro-Regular" w:cs="AGaramondPro-Regular"/>
                <w:color w:val="000000"/>
                <w:sz w:val="20"/>
                <w:szCs w:val="20"/>
                <w:lang w:val="en-US" w:eastAsia="ja-JP"/>
              </w:rPr>
              <w:t>shrubland</w:t>
            </w:r>
            <w:proofErr w:type="spellEnd"/>
            <w:r w:rsidRPr="007D20DB">
              <w:rPr>
                <w:rFonts w:ascii="AGaramondPro-Regular" w:hAnsi="AGaramondPro-Regular" w:cs="AGaramondPro-Regular"/>
                <w:color w:val="000000"/>
                <w:sz w:val="20"/>
                <w:szCs w:val="20"/>
                <w:lang w:val="en-US" w:eastAsia="ja-JP"/>
              </w:rPr>
              <w:t xml:space="preserve"> of the South East Corner and Australian Alps Bioregions</w:t>
            </w:r>
          </w:p>
        </w:tc>
        <w:tc>
          <w:tcPr>
            <w:tcW w:w="217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17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Vic.</w:t>
            </w:r>
          </w:p>
        </w:tc>
      </w:tr>
      <w:tr w:rsidR="007D20DB" w:rsidRPr="007D20DB">
        <w:trPr>
          <w:trHeight w:val="170"/>
        </w:trPr>
        <w:tc>
          <w:tcPr>
            <w:tcW w:w="439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Swamp Tea-tree (</w:t>
            </w:r>
            <w:proofErr w:type="spellStart"/>
            <w:r w:rsidRPr="007D20DB">
              <w:rPr>
                <w:rFonts w:ascii="AGaramondPro-Italic" w:hAnsi="AGaramondPro-Italic" w:cs="AGaramondPro-Italic"/>
                <w:i/>
                <w:iCs/>
                <w:color w:val="000000"/>
                <w:sz w:val="20"/>
                <w:szCs w:val="20"/>
                <w:lang w:val="en-US" w:eastAsia="ja-JP"/>
              </w:rPr>
              <w:t>Melaleuca</w:t>
            </w:r>
            <w:proofErr w:type="spellEnd"/>
            <w:r w:rsidRPr="007D20DB">
              <w:rPr>
                <w:rFonts w:ascii="AGaramondPro-Italic" w:hAnsi="AGaramondPro-Italic" w:cs="AGaramondPro-Italic"/>
                <w:i/>
                <w:iCs/>
                <w:color w:val="000000"/>
                <w:sz w:val="20"/>
                <w:szCs w:val="20"/>
                <w:lang w:val="en-US" w:eastAsia="ja-JP"/>
              </w:rPr>
              <w:t xml:space="preserve"> </w:t>
            </w:r>
            <w:proofErr w:type="spellStart"/>
            <w:r w:rsidRPr="007D20DB">
              <w:rPr>
                <w:rFonts w:ascii="AGaramondPro-Italic" w:hAnsi="AGaramondPro-Italic" w:cs="AGaramondPro-Italic"/>
                <w:i/>
                <w:iCs/>
                <w:color w:val="000000"/>
                <w:sz w:val="20"/>
                <w:szCs w:val="20"/>
                <w:lang w:val="en-US" w:eastAsia="ja-JP"/>
              </w:rPr>
              <w:t>irbyana</w:t>
            </w:r>
            <w:proofErr w:type="spellEnd"/>
            <w:r w:rsidRPr="007D20DB">
              <w:rPr>
                <w:rFonts w:ascii="AGaramondPro-Regular" w:hAnsi="AGaramondPro-Regular" w:cs="AGaramondPro-Regular"/>
                <w:color w:val="000000"/>
                <w:sz w:val="20"/>
                <w:szCs w:val="20"/>
                <w:lang w:val="en-US" w:eastAsia="ja-JP"/>
              </w:rPr>
              <w:t xml:space="preserve">) forest of south-east Queensland </w:t>
            </w:r>
          </w:p>
        </w:tc>
        <w:tc>
          <w:tcPr>
            <w:tcW w:w="217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CE</w:t>
            </w:r>
          </w:p>
        </w:tc>
        <w:tc>
          <w:tcPr>
            <w:tcW w:w="217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Regular" w:hAnsi="AGaramondPro-Regular" w:cs="AGaramondPro-Regular"/>
                <w:color w:val="000000"/>
                <w:sz w:val="20"/>
                <w:szCs w:val="20"/>
                <w:lang w:val="en-US" w:eastAsia="ja-JP"/>
              </w:rPr>
              <w:t>Qld</w:t>
            </w:r>
            <w:proofErr w:type="spellEnd"/>
          </w:p>
        </w:tc>
      </w:tr>
      <w:tr w:rsidR="007D20DB" w:rsidRPr="007D20DB">
        <w:trPr>
          <w:trHeight w:val="170"/>
        </w:trPr>
        <w:tc>
          <w:tcPr>
            <w:tcW w:w="439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Swamps of the </w:t>
            </w:r>
            <w:proofErr w:type="spellStart"/>
            <w:r w:rsidRPr="007D20DB">
              <w:rPr>
                <w:rFonts w:ascii="AGaramondPro-Regular" w:hAnsi="AGaramondPro-Regular" w:cs="AGaramondPro-Regular"/>
                <w:color w:val="000000"/>
                <w:sz w:val="20"/>
                <w:szCs w:val="20"/>
                <w:lang w:val="en-US" w:eastAsia="ja-JP"/>
              </w:rPr>
              <w:t>Fleurieu</w:t>
            </w:r>
            <w:proofErr w:type="spellEnd"/>
            <w:r w:rsidRPr="007D20DB">
              <w:rPr>
                <w:rFonts w:ascii="AGaramondPro-Regular" w:hAnsi="AGaramondPro-Regular" w:cs="AGaramondPro-Regular"/>
                <w:color w:val="000000"/>
                <w:sz w:val="20"/>
                <w:szCs w:val="20"/>
                <w:lang w:val="en-US" w:eastAsia="ja-JP"/>
              </w:rPr>
              <w:t xml:space="preserve"> Peninsula </w:t>
            </w:r>
          </w:p>
        </w:tc>
        <w:tc>
          <w:tcPr>
            <w:tcW w:w="217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CE</w:t>
            </w:r>
          </w:p>
        </w:tc>
        <w:tc>
          <w:tcPr>
            <w:tcW w:w="217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SA</w:t>
            </w:r>
          </w:p>
        </w:tc>
      </w:tr>
      <w:tr w:rsidR="007D20DB" w:rsidRPr="007D20DB">
        <w:trPr>
          <w:trHeight w:val="170"/>
        </w:trPr>
        <w:tc>
          <w:tcPr>
            <w:tcW w:w="439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Temperate highland peat swamps on sandstone </w:t>
            </w:r>
          </w:p>
        </w:tc>
        <w:tc>
          <w:tcPr>
            <w:tcW w:w="217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E</w:t>
            </w:r>
          </w:p>
        </w:tc>
        <w:tc>
          <w:tcPr>
            <w:tcW w:w="217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NSW/Vic.</w:t>
            </w:r>
          </w:p>
        </w:tc>
      </w:tr>
      <w:tr w:rsidR="007D20DB" w:rsidRPr="007D20DB">
        <w:trPr>
          <w:trHeight w:val="170"/>
        </w:trPr>
        <w:tc>
          <w:tcPr>
            <w:tcW w:w="439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Turpentine-Ironbark Forest in the Sydney Basin Bioregion </w:t>
            </w:r>
          </w:p>
        </w:tc>
        <w:tc>
          <w:tcPr>
            <w:tcW w:w="217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CE</w:t>
            </w:r>
          </w:p>
        </w:tc>
        <w:tc>
          <w:tcPr>
            <w:tcW w:w="217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NSW</w:t>
            </w:r>
          </w:p>
        </w:tc>
      </w:tr>
      <w:tr w:rsidR="007D20DB" w:rsidRPr="007D20DB">
        <w:trPr>
          <w:trHeight w:val="170"/>
        </w:trPr>
        <w:tc>
          <w:tcPr>
            <w:tcW w:w="439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Weeping </w:t>
            </w:r>
            <w:proofErr w:type="spellStart"/>
            <w:r w:rsidRPr="007D20DB">
              <w:rPr>
                <w:rFonts w:ascii="AGaramondPro-Regular" w:hAnsi="AGaramondPro-Regular" w:cs="AGaramondPro-Regular"/>
                <w:color w:val="000000"/>
                <w:sz w:val="20"/>
                <w:szCs w:val="20"/>
                <w:lang w:val="en-US" w:eastAsia="ja-JP"/>
              </w:rPr>
              <w:t>Myall</w:t>
            </w:r>
            <w:proofErr w:type="spellEnd"/>
            <w:r w:rsidRPr="007D20DB">
              <w:rPr>
                <w:rFonts w:ascii="AGaramondPro-Regular" w:hAnsi="AGaramondPro-Regular" w:cs="AGaramondPro-Regular"/>
                <w:color w:val="000000"/>
                <w:sz w:val="20"/>
                <w:szCs w:val="20"/>
                <w:lang w:val="en-US" w:eastAsia="ja-JP"/>
              </w:rPr>
              <w:t>-</w:t>
            </w:r>
            <w:proofErr w:type="spellStart"/>
            <w:r w:rsidRPr="007D20DB">
              <w:rPr>
                <w:rFonts w:ascii="AGaramondPro-Regular" w:hAnsi="AGaramondPro-Regular" w:cs="AGaramondPro-Regular"/>
                <w:color w:val="000000"/>
                <w:sz w:val="20"/>
                <w:szCs w:val="20"/>
                <w:lang w:val="en-US" w:eastAsia="ja-JP"/>
              </w:rPr>
              <w:t>Coobah</w:t>
            </w:r>
            <w:proofErr w:type="spellEnd"/>
            <w:r w:rsidRPr="007D20DB">
              <w:rPr>
                <w:rFonts w:ascii="AGaramondPro-Regular" w:hAnsi="AGaramondPro-Regular" w:cs="AGaramondPro-Regular"/>
                <w:color w:val="000000"/>
                <w:sz w:val="20"/>
                <w:szCs w:val="20"/>
                <w:lang w:val="en-US" w:eastAsia="ja-JP"/>
              </w:rPr>
              <w:t xml:space="preserve">-Scrub </w:t>
            </w:r>
            <w:proofErr w:type="spellStart"/>
            <w:r w:rsidRPr="007D20DB">
              <w:rPr>
                <w:rFonts w:ascii="AGaramondPro-Regular" w:hAnsi="AGaramondPro-Regular" w:cs="AGaramondPro-Regular"/>
                <w:color w:val="000000"/>
                <w:sz w:val="20"/>
                <w:szCs w:val="20"/>
                <w:lang w:val="en-US" w:eastAsia="ja-JP"/>
              </w:rPr>
              <w:t>Wilga</w:t>
            </w:r>
            <w:proofErr w:type="spellEnd"/>
            <w:r w:rsidRPr="007D20DB">
              <w:rPr>
                <w:rFonts w:ascii="AGaramondPro-Regular" w:hAnsi="AGaramondPro-Regular" w:cs="AGaramondPro-Regular"/>
                <w:color w:val="000000"/>
                <w:sz w:val="20"/>
                <w:szCs w:val="20"/>
                <w:lang w:val="en-US" w:eastAsia="ja-JP"/>
              </w:rPr>
              <w:t xml:space="preserve"> </w:t>
            </w:r>
            <w:proofErr w:type="spellStart"/>
            <w:r w:rsidRPr="007D20DB">
              <w:rPr>
                <w:rFonts w:ascii="AGaramondPro-Regular" w:hAnsi="AGaramondPro-Regular" w:cs="AGaramondPro-Regular"/>
                <w:color w:val="000000"/>
                <w:sz w:val="20"/>
                <w:szCs w:val="20"/>
                <w:lang w:val="en-US" w:eastAsia="ja-JP"/>
              </w:rPr>
              <w:t>shrubland</w:t>
            </w:r>
            <w:proofErr w:type="spellEnd"/>
            <w:r w:rsidRPr="007D20DB">
              <w:rPr>
                <w:rFonts w:ascii="AGaramondPro-Regular" w:hAnsi="AGaramondPro-Regular" w:cs="AGaramondPro-Regular"/>
                <w:color w:val="000000"/>
                <w:sz w:val="20"/>
                <w:szCs w:val="20"/>
                <w:lang w:val="en-US" w:eastAsia="ja-JP"/>
              </w:rPr>
              <w:t xml:space="preserve"> of the Hunter Valley </w:t>
            </w:r>
          </w:p>
        </w:tc>
        <w:tc>
          <w:tcPr>
            <w:tcW w:w="217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CE</w:t>
            </w:r>
          </w:p>
        </w:tc>
        <w:tc>
          <w:tcPr>
            <w:tcW w:w="217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NSW</w:t>
            </w:r>
          </w:p>
        </w:tc>
      </w:tr>
      <w:tr w:rsidR="007D20DB" w:rsidRPr="007D20DB">
        <w:trPr>
          <w:trHeight w:val="170"/>
        </w:trPr>
        <w:tc>
          <w:tcPr>
            <w:tcW w:w="439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vAlign w:val="center"/>
          </w:tcPr>
          <w:p w:rsidR="007D20DB" w:rsidRPr="007D20DB" w:rsidRDefault="007D20DB" w:rsidP="00704644">
            <w:pPr>
              <w:widowControl w:val="0"/>
              <w:suppressAutoHyphens/>
              <w:autoSpaceDE w:val="0"/>
              <w:autoSpaceDN w:val="0"/>
              <w:adjustRightInd w:val="0"/>
              <w:spacing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Western Sydney dry rainforest and moist woodland on shale</w:t>
            </w:r>
          </w:p>
        </w:tc>
        <w:tc>
          <w:tcPr>
            <w:tcW w:w="217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vAlign w:val="center"/>
          </w:tcPr>
          <w:p w:rsidR="007D20DB" w:rsidRPr="007D20DB" w:rsidRDefault="007D20DB" w:rsidP="00704644">
            <w:pPr>
              <w:widowControl w:val="0"/>
              <w:suppressAutoHyphens/>
              <w:autoSpaceDE w:val="0"/>
              <w:autoSpaceDN w:val="0"/>
              <w:adjustRightInd w:val="0"/>
              <w:spacing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CE</w:t>
            </w:r>
          </w:p>
        </w:tc>
        <w:tc>
          <w:tcPr>
            <w:tcW w:w="217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NSW</w:t>
            </w:r>
          </w:p>
        </w:tc>
      </w:tr>
      <w:tr w:rsidR="007D20DB" w:rsidRPr="007D20DB">
        <w:trPr>
          <w:trHeight w:val="170"/>
        </w:trPr>
        <w:tc>
          <w:tcPr>
            <w:tcW w:w="439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 xml:space="preserve">White Box-Yellow Box-Blakely’s Red Gum grassy woodland and derived native grassland </w:t>
            </w:r>
          </w:p>
        </w:tc>
        <w:tc>
          <w:tcPr>
            <w:tcW w:w="217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jc w:val="center"/>
              <w:textAlignment w:val="center"/>
              <w:rPr>
                <w:rFonts w:ascii="AGaramondPro-Regular" w:hAnsi="AGaramondPro-Regular" w:cs="AGaramondPro-Regular"/>
                <w:color w:val="000000"/>
                <w:sz w:val="20"/>
                <w:szCs w:val="20"/>
                <w:lang w:val="en-US" w:eastAsia="ja-JP"/>
              </w:rPr>
            </w:pPr>
            <w:r w:rsidRPr="007D20DB">
              <w:rPr>
                <w:rFonts w:ascii="AGaramondPro-Regular" w:hAnsi="AGaramondPro-Regular" w:cs="AGaramondPro-Regular"/>
                <w:color w:val="000000"/>
                <w:sz w:val="20"/>
                <w:szCs w:val="20"/>
                <w:lang w:val="en-US" w:eastAsia="ja-JP"/>
              </w:rPr>
              <w:t>CE</w:t>
            </w:r>
          </w:p>
        </w:tc>
        <w:tc>
          <w:tcPr>
            <w:tcW w:w="217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7D20DB" w:rsidRPr="007D20DB" w:rsidRDefault="007D20DB" w:rsidP="00704644">
            <w:pPr>
              <w:widowControl w:val="0"/>
              <w:suppressAutoHyphens/>
              <w:autoSpaceDE w:val="0"/>
              <w:autoSpaceDN w:val="0"/>
              <w:adjustRightInd w:val="0"/>
              <w:spacing w:line="280" w:lineRule="atLeast"/>
              <w:textAlignment w:val="center"/>
              <w:rPr>
                <w:rFonts w:ascii="AGaramondPro-Regular" w:hAnsi="AGaramondPro-Regular" w:cs="AGaramondPro-Regular"/>
                <w:color w:val="000000"/>
                <w:sz w:val="20"/>
                <w:szCs w:val="20"/>
                <w:lang w:val="en-US" w:eastAsia="ja-JP"/>
              </w:rPr>
            </w:pPr>
            <w:proofErr w:type="spellStart"/>
            <w:r w:rsidRPr="007D20DB">
              <w:rPr>
                <w:rFonts w:ascii="AGaramondPro-Regular" w:hAnsi="AGaramondPro-Regular" w:cs="AGaramondPro-Regular"/>
                <w:color w:val="000000"/>
                <w:sz w:val="20"/>
                <w:szCs w:val="20"/>
                <w:lang w:val="en-US" w:eastAsia="ja-JP"/>
              </w:rPr>
              <w:t>Qld</w:t>
            </w:r>
            <w:proofErr w:type="spellEnd"/>
            <w:r w:rsidRPr="007D20DB">
              <w:rPr>
                <w:rFonts w:ascii="AGaramondPro-Regular" w:hAnsi="AGaramondPro-Regular" w:cs="AGaramondPro-Regular"/>
                <w:color w:val="000000"/>
                <w:sz w:val="20"/>
                <w:szCs w:val="20"/>
                <w:lang w:val="en-US" w:eastAsia="ja-JP"/>
              </w:rPr>
              <w:t>/ NSW/ Vic.</w:t>
            </w:r>
          </w:p>
        </w:tc>
      </w:tr>
    </w:tbl>
    <w:p w:rsidR="007D20DB" w:rsidRPr="007D20DB" w:rsidRDefault="007D20DB" w:rsidP="007D20DB">
      <w:pPr>
        <w:keepLines/>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
    <w:p w:rsidR="00837391" w:rsidRDefault="00837391" w:rsidP="007D20DB">
      <w:pPr>
        <w:pStyle w:val="01HEADING1"/>
        <w:rPr>
          <w:rFonts w:ascii="MyriadPro-It" w:hAnsi="MyriadPro-It" w:cs="MyriadPro-It"/>
          <w:i/>
          <w:iCs/>
          <w:sz w:val="58"/>
          <w:szCs w:val="58"/>
          <w:lang w:val="en-GB"/>
        </w:rPr>
      </w:pPr>
    </w:p>
    <w:sectPr w:rsidR="00837391" w:rsidSect="00837391">
      <w:footerReference w:type="even" r:id="rId7"/>
      <w:footerReference w:type="default" r:id="rId8"/>
      <w:pgSz w:w="11906" w:h="16838"/>
      <w:pgMar w:top="1134" w:right="1134" w:bottom="1134" w:left="1134"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EA4" w:rsidRDefault="00162EA4" w:rsidP="00837391">
      <w:r>
        <w:separator/>
      </w:r>
    </w:p>
  </w:endnote>
  <w:endnote w:type="continuationSeparator" w:id="0">
    <w:p w:rsidR="00162EA4" w:rsidRDefault="00162EA4" w:rsidP="008373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Arial-BoldMT">
    <w:altName w:val="Arial Bold"/>
    <w:panose1 w:val="00000000000000000000"/>
    <w:charset w:val="4D"/>
    <w:family w:val="auto"/>
    <w:notTrueType/>
    <w:pitch w:val="default"/>
    <w:sig w:usb0="00000003" w:usb1="00000000" w:usb2="00000000" w:usb3="00000000" w:csb0="00000001" w:csb1="00000000"/>
  </w:font>
  <w:font w:name="AGaramondPro-Italic">
    <w:altName w:val="Adobe Garamond Pro"/>
    <w:panose1 w:val="00000000000000000000"/>
    <w:charset w:val="4D"/>
    <w:family w:val="auto"/>
    <w:notTrueType/>
    <w:pitch w:val="default"/>
    <w:sig w:usb0="00000003" w:usb1="00000000" w:usb2="00000000" w:usb3="00000000" w:csb0="00000001" w:csb1="00000000"/>
  </w:font>
  <w:font w:name="AGaramondPro-Regular">
    <w:altName w:val="Adobe Garamond Pro"/>
    <w:panose1 w:val="00000000000000000000"/>
    <w:charset w:val="4D"/>
    <w:family w:val="auto"/>
    <w:notTrueType/>
    <w:pitch w:val="default"/>
    <w:sig w:usb0="00000003" w:usb1="00000000" w:usb2="00000000" w:usb3="00000000" w:csb0="00000001" w:csb1="00000000"/>
  </w:font>
  <w:font w:name="MyriadPro-Regular">
    <w:altName w:val="Myriad Pro"/>
    <w:panose1 w:val="00000000000000000000"/>
    <w:charset w:val="4D"/>
    <w:family w:val="auto"/>
    <w:notTrueType/>
    <w:pitch w:val="default"/>
    <w:sig w:usb0="00000003" w:usb1="00000000" w:usb2="00000000" w:usb3="00000000" w:csb0="00000001" w:csb1="00000000"/>
  </w:font>
  <w:font w:name="MyriadPro-Semibold">
    <w:altName w:val="Myriad Pro Semibold"/>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HelveticaNeue">
    <w:altName w:val="Helvetica Neue"/>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Pro-It">
    <w:altName w:val="Myriad Pro"/>
    <w:panose1 w:val="00000000000000000000"/>
    <w:charset w:val="4D"/>
    <w:family w:val="auto"/>
    <w:notTrueType/>
    <w:pitch w:val="default"/>
    <w:sig w:usb0="00000003" w:usb1="00000000" w:usb2="00000000" w:usb3="00000000" w:csb0="00000001" w:csb1="00000000"/>
  </w:font>
  <w:font w:name="AGaramondPro-BoldItalic">
    <w:altName w:val="Adobe Garamond Pro Bold Italic"/>
    <w:panose1 w:val="00000000000000000000"/>
    <w:charset w:val="4D"/>
    <w:family w:val="auto"/>
    <w:notTrueType/>
    <w:pitch w:val="default"/>
    <w:sig w:usb0="00000003" w:usb1="00000000" w:usb2="00000000" w:usb3="00000000" w:csb0="00000001" w:csb1="00000000"/>
  </w:font>
  <w:font w:name="MyriadPro-SemiboldIt">
    <w:altName w:val="Myriad Pro Semibold It"/>
    <w:panose1 w:val="00000000000000000000"/>
    <w:charset w:val="4D"/>
    <w:family w:val="auto"/>
    <w:notTrueType/>
    <w:pitch w:val="default"/>
    <w:sig w:usb0="00000003" w:usb1="00000000" w:usb2="00000000" w:usb3="00000000" w:csb0="00000001" w:csb1="00000000"/>
  </w:font>
  <w:font w:name="MyriadPro-BoldIt">
    <w:altName w:val="Times New Roman"/>
    <w:panose1 w:val="00000000000000000000"/>
    <w:charset w:val="4D"/>
    <w:family w:val="auto"/>
    <w:notTrueType/>
    <w:pitch w:val="default"/>
    <w:sig w:usb0="00000003" w:usb1="00000000" w:usb2="00000000" w:usb3="00000000" w:csb0="00000001" w:csb1="00000000"/>
  </w:font>
  <w:font w:name="MyriadPro-Bold">
    <w:altName w:val="Myriad Pro"/>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EA4" w:rsidRDefault="00D623D7" w:rsidP="00837391">
    <w:pPr>
      <w:pStyle w:val="Footer"/>
      <w:framePr w:wrap="around" w:vAnchor="text" w:hAnchor="margin" w:xAlign="right" w:y="1"/>
      <w:rPr>
        <w:rStyle w:val="PageNumber"/>
      </w:rPr>
    </w:pPr>
    <w:r>
      <w:rPr>
        <w:rStyle w:val="PageNumber"/>
      </w:rPr>
      <w:fldChar w:fldCharType="begin"/>
    </w:r>
    <w:r w:rsidR="00162EA4">
      <w:rPr>
        <w:rStyle w:val="PageNumber"/>
      </w:rPr>
      <w:instrText xml:space="preserve">PAGE  </w:instrText>
    </w:r>
    <w:r>
      <w:rPr>
        <w:rStyle w:val="PageNumber"/>
      </w:rPr>
      <w:fldChar w:fldCharType="end"/>
    </w:r>
  </w:p>
  <w:p w:rsidR="00162EA4" w:rsidRDefault="00D623D7" w:rsidP="00837391">
    <w:pPr>
      <w:pStyle w:val="Footer"/>
      <w:ind w:right="360"/>
    </w:pPr>
    <w:sdt>
      <w:sdtPr>
        <w:id w:val="969400743"/>
        <w:temporary/>
        <w:showingPlcHdr/>
      </w:sdtPr>
      <w:sdtContent>
        <w:r w:rsidR="00162EA4">
          <w:t>[Type text]</w:t>
        </w:r>
      </w:sdtContent>
    </w:sdt>
    <w:r w:rsidR="00162EA4">
      <w:ptab w:relativeTo="margin" w:alignment="center" w:leader="none"/>
    </w:r>
    <w:sdt>
      <w:sdtPr>
        <w:id w:val="969400748"/>
        <w:temporary/>
        <w:showingPlcHdr/>
      </w:sdtPr>
      <w:sdtContent>
        <w:r w:rsidR="00162EA4">
          <w:t>[Type text]</w:t>
        </w:r>
      </w:sdtContent>
    </w:sdt>
    <w:r w:rsidR="00162EA4">
      <w:ptab w:relativeTo="margin" w:alignment="right" w:leader="none"/>
    </w:r>
    <w:sdt>
      <w:sdtPr>
        <w:id w:val="969400753"/>
        <w:temporary/>
        <w:showingPlcHdr/>
      </w:sdtPr>
      <w:sdtContent>
        <w:r w:rsidR="00162EA4">
          <w:t>[Type text]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EA4" w:rsidRDefault="00D623D7" w:rsidP="00837391">
    <w:pPr>
      <w:pStyle w:val="Footer"/>
      <w:framePr w:wrap="around" w:vAnchor="text" w:hAnchor="margin" w:xAlign="right" w:y="1"/>
      <w:rPr>
        <w:rStyle w:val="PageNumber"/>
      </w:rPr>
    </w:pPr>
    <w:r>
      <w:rPr>
        <w:rStyle w:val="PageNumber"/>
      </w:rPr>
      <w:fldChar w:fldCharType="begin"/>
    </w:r>
    <w:r w:rsidR="00162EA4">
      <w:rPr>
        <w:rStyle w:val="PageNumber"/>
      </w:rPr>
      <w:instrText xml:space="preserve">PAGE  </w:instrText>
    </w:r>
    <w:r>
      <w:rPr>
        <w:rStyle w:val="PageNumber"/>
      </w:rPr>
      <w:fldChar w:fldCharType="separate"/>
    </w:r>
    <w:r w:rsidR="00282865">
      <w:rPr>
        <w:rStyle w:val="PageNumber"/>
        <w:noProof/>
      </w:rPr>
      <w:t>36</w:t>
    </w:r>
    <w:r>
      <w:rPr>
        <w:rStyle w:val="PageNumber"/>
      </w:rPr>
      <w:fldChar w:fldCharType="end"/>
    </w:r>
  </w:p>
  <w:p w:rsidR="00162EA4" w:rsidRDefault="00162EA4" w:rsidP="00837391">
    <w:pPr>
      <w:widowControl w:val="0"/>
      <w:suppressAutoHyphens/>
      <w:autoSpaceDE w:val="0"/>
      <w:autoSpaceDN w:val="0"/>
      <w:adjustRightInd w:val="0"/>
      <w:spacing w:line="288" w:lineRule="auto"/>
      <w:ind w:right="360"/>
      <w:textAlignment w:val="center"/>
    </w:pPr>
    <w:r w:rsidRPr="00837391">
      <w:rPr>
        <w:rFonts w:ascii="MyriadPro-Regular" w:hAnsi="MyriadPro-Regular" w:cs="MyriadPro-Regular"/>
        <w:color w:val="004484"/>
        <w:sz w:val="16"/>
        <w:szCs w:val="16"/>
        <w:lang w:val="en-GB" w:eastAsia="ja-JP"/>
      </w:rPr>
      <w:t xml:space="preserve">Threat abatement plan for disease in natural ecosystems caused by </w:t>
    </w:r>
    <w:proofErr w:type="spellStart"/>
    <w:r w:rsidRPr="00837391">
      <w:rPr>
        <w:rFonts w:ascii="MyriadPro-It" w:hAnsi="MyriadPro-It" w:cs="MyriadPro-It"/>
        <w:i/>
        <w:iCs/>
        <w:color w:val="004484"/>
        <w:sz w:val="16"/>
        <w:szCs w:val="16"/>
        <w:lang w:val="en-GB" w:eastAsia="ja-JP"/>
      </w:rPr>
      <w:t>Phytophthora</w:t>
    </w:r>
    <w:proofErr w:type="spellEnd"/>
    <w:r w:rsidRPr="00837391">
      <w:rPr>
        <w:rFonts w:ascii="MyriadPro-It" w:hAnsi="MyriadPro-It" w:cs="MyriadPro-It"/>
        <w:i/>
        <w:iCs/>
        <w:color w:val="004484"/>
        <w:sz w:val="16"/>
        <w:szCs w:val="16"/>
        <w:lang w:val="en-GB" w:eastAsia="ja-JP"/>
      </w:rPr>
      <w:t xml:space="preserve"> </w:t>
    </w:r>
    <w:proofErr w:type="spellStart"/>
    <w:r w:rsidRPr="00837391">
      <w:rPr>
        <w:rFonts w:ascii="MyriadPro-It" w:hAnsi="MyriadPro-It" w:cs="MyriadPro-It"/>
        <w:i/>
        <w:iCs/>
        <w:color w:val="004484"/>
        <w:sz w:val="16"/>
        <w:szCs w:val="16"/>
        <w:lang w:val="en-GB" w:eastAsia="ja-JP"/>
      </w:rPr>
      <w:t>cinnamomi</w:t>
    </w:r>
    <w:proofErr w:type="spellEnd"/>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EA4" w:rsidRDefault="00162EA4" w:rsidP="00837391">
      <w:r>
        <w:separator/>
      </w:r>
    </w:p>
  </w:footnote>
  <w:footnote w:type="continuationSeparator" w:id="0">
    <w:p w:rsidR="00162EA4" w:rsidRDefault="00162EA4" w:rsidP="00837391">
      <w:r>
        <w:continuationSeparator/>
      </w:r>
    </w:p>
  </w:footnote>
  <w:footnote w:id="1">
    <w:p w:rsidR="00162EA4" w:rsidRDefault="00162EA4" w:rsidP="007D20DB">
      <w:pPr>
        <w:pStyle w:val="10FOOTNOTE"/>
      </w:pPr>
      <w:r>
        <w:rPr>
          <w:vertAlign w:val="superscript"/>
        </w:rPr>
        <w:footnoteRef/>
      </w:r>
      <w:r>
        <w:tab/>
        <w:t xml:space="preserve">It is now understood that </w:t>
      </w:r>
      <w:r>
        <w:rPr>
          <w:rFonts w:ascii="AGaramondPro-Italic" w:hAnsi="AGaramondPro-Italic" w:cs="AGaramondPro-Italic"/>
          <w:i/>
          <w:iCs/>
        </w:rPr>
        <w:t xml:space="preserve">P. </w:t>
      </w:r>
      <w:proofErr w:type="spellStart"/>
      <w:r>
        <w:rPr>
          <w:rFonts w:ascii="AGaramondPro-Italic" w:hAnsi="AGaramondPro-Italic" w:cs="AGaramondPro-Italic"/>
          <w:i/>
          <w:iCs/>
        </w:rPr>
        <w:t>cinnamomi</w:t>
      </w:r>
      <w:proofErr w:type="spellEnd"/>
      <w:r>
        <w:t xml:space="preserve"> is not a fungus. This was the name of the key threatening process when it was registered under the EPBC Act.</w:t>
      </w:r>
    </w:p>
  </w:footnote>
  <w:footnote w:id="2">
    <w:p w:rsidR="00162EA4" w:rsidRDefault="00162EA4" w:rsidP="007D20DB">
      <w:pPr>
        <w:pStyle w:val="10FOOTNOTE"/>
      </w:pPr>
      <w:r>
        <w:rPr>
          <w:vertAlign w:val="superscript"/>
        </w:rPr>
        <w:footnoteRef/>
      </w:r>
      <w:r>
        <w:tab/>
        <w:t xml:space="preserve"> United Nations Educational, Scientific and Cultural </w:t>
      </w:r>
      <w:proofErr w:type="spellStart"/>
      <w:r>
        <w:t>Organisation</w:t>
      </w:r>
      <w:proofErr w:type="spellEnd"/>
    </w:p>
    <w:p w:rsidR="00162EA4" w:rsidRDefault="00162EA4" w:rsidP="007D20DB">
      <w:pPr>
        <w:pStyle w:val="10FOOTNOTE"/>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
  <w:rsids>
    <w:rsidRoot w:val="00837391"/>
    <w:rsid w:val="00022CC9"/>
    <w:rsid w:val="00031242"/>
    <w:rsid w:val="00162EA4"/>
    <w:rsid w:val="00282865"/>
    <w:rsid w:val="003B38AC"/>
    <w:rsid w:val="003C6CBC"/>
    <w:rsid w:val="00431DC5"/>
    <w:rsid w:val="005C3CBF"/>
    <w:rsid w:val="005D3166"/>
    <w:rsid w:val="00704644"/>
    <w:rsid w:val="00763FCB"/>
    <w:rsid w:val="00791D89"/>
    <w:rsid w:val="007D20DB"/>
    <w:rsid w:val="00837391"/>
    <w:rsid w:val="008B5739"/>
    <w:rsid w:val="00945B4B"/>
    <w:rsid w:val="00975D37"/>
    <w:rsid w:val="009B48CC"/>
    <w:rsid w:val="00C61D9D"/>
    <w:rsid w:val="00C82344"/>
    <w:rsid w:val="00CB7E3D"/>
    <w:rsid w:val="00D623D7"/>
    <w:rsid w:val="00DF17C7"/>
    <w:rsid w:val="00F51661"/>
    <w:rsid w:val="00F932FA"/>
    <w:rsid w:val="00FA4DB0"/>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166"/>
    <w:rPr>
      <w:sz w:val="24"/>
      <w:szCs w:val="24"/>
      <w:lang w:eastAsia="en-US"/>
    </w:rPr>
  </w:style>
  <w:style w:type="paragraph" w:styleId="Heading1">
    <w:name w:val="heading 1"/>
    <w:basedOn w:val="05BODYTEXT"/>
    <w:next w:val="05BODYTEXT"/>
    <w:link w:val="Heading1Char"/>
    <w:uiPriority w:val="99"/>
    <w:qFormat/>
    <w:rsid w:val="00837391"/>
    <w:pPr>
      <w:keepNext/>
      <w:outlineLvl w:val="0"/>
    </w:pPr>
    <w:rPr>
      <w:rFonts w:ascii="AGaramondPro-Bold" w:hAnsi="AGaramondPro-Bold" w:cs="AGaramondPro-Bold"/>
      <w:b/>
      <w:bCs/>
      <w:caps/>
    </w:rPr>
  </w:style>
  <w:style w:type="paragraph" w:styleId="Heading2">
    <w:name w:val="heading 2"/>
    <w:basedOn w:val="05BODYTEXT"/>
    <w:next w:val="05BODYTEXT"/>
    <w:link w:val="Heading2Char"/>
    <w:uiPriority w:val="99"/>
    <w:qFormat/>
    <w:rsid w:val="00837391"/>
    <w:pPr>
      <w:keepNext/>
      <w:outlineLvl w:val="1"/>
    </w:pPr>
    <w:rPr>
      <w:rFonts w:ascii="Arial-BoldMT" w:hAnsi="Arial-BoldMT" w:cs="Arial-BoldMT"/>
      <w:b/>
      <w:bCs/>
    </w:rPr>
  </w:style>
  <w:style w:type="paragraph" w:styleId="Heading3">
    <w:name w:val="heading 3"/>
    <w:basedOn w:val="05BODYTEXT"/>
    <w:next w:val="05BODYTEXT"/>
    <w:link w:val="Heading3Char"/>
    <w:uiPriority w:val="99"/>
    <w:qFormat/>
    <w:rsid w:val="00837391"/>
    <w:pPr>
      <w:keepNext/>
      <w:outlineLvl w:val="2"/>
    </w:pPr>
    <w:rPr>
      <w:rFonts w:ascii="AGaramondPro-Italic" w:hAnsi="AGaramondPro-Italic" w:cs="AGaramondPro-Italic"/>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BODYTEXT">
    <w:name w:val="05. BODY TEXT"/>
    <w:basedOn w:val="Normal"/>
    <w:uiPriority w:val="99"/>
    <w:rsid w:val="00837391"/>
    <w:pPr>
      <w:widowControl w:val="0"/>
      <w:suppressAutoHyphens/>
      <w:autoSpaceDE w:val="0"/>
      <w:autoSpaceDN w:val="0"/>
      <w:adjustRightInd w:val="0"/>
      <w:spacing w:after="170" w:line="280" w:lineRule="atLeast"/>
      <w:textAlignment w:val="center"/>
    </w:pPr>
    <w:rPr>
      <w:rFonts w:ascii="AGaramondPro-Regular" w:hAnsi="AGaramondPro-Regular" w:cs="AGaramondPro-Regular"/>
      <w:color w:val="000000"/>
      <w:sz w:val="20"/>
      <w:szCs w:val="20"/>
      <w:lang w:val="en-US" w:eastAsia="ja-JP"/>
    </w:rPr>
  </w:style>
  <w:style w:type="character" w:customStyle="1" w:styleId="Heading1Char">
    <w:name w:val="Heading 1 Char"/>
    <w:basedOn w:val="DefaultParagraphFont"/>
    <w:link w:val="Heading1"/>
    <w:uiPriority w:val="99"/>
    <w:rsid w:val="00837391"/>
    <w:rPr>
      <w:rFonts w:ascii="AGaramondPro-Bold" w:hAnsi="AGaramondPro-Bold" w:cs="AGaramondPro-Bold"/>
      <w:b/>
      <w:bCs/>
      <w:caps/>
      <w:color w:val="000000"/>
      <w:lang w:val="en-US"/>
    </w:rPr>
  </w:style>
  <w:style w:type="character" w:customStyle="1" w:styleId="Heading2Char">
    <w:name w:val="Heading 2 Char"/>
    <w:basedOn w:val="DefaultParagraphFont"/>
    <w:link w:val="Heading2"/>
    <w:uiPriority w:val="99"/>
    <w:rsid w:val="00837391"/>
    <w:rPr>
      <w:rFonts w:ascii="Arial-BoldMT" w:hAnsi="Arial-BoldMT" w:cs="Arial-BoldMT"/>
      <w:b/>
      <w:bCs/>
      <w:color w:val="000000"/>
      <w:lang w:val="en-US"/>
    </w:rPr>
  </w:style>
  <w:style w:type="character" w:customStyle="1" w:styleId="Heading3Char">
    <w:name w:val="Heading 3 Char"/>
    <w:basedOn w:val="DefaultParagraphFont"/>
    <w:link w:val="Heading3"/>
    <w:uiPriority w:val="99"/>
    <w:rsid w:val="00837391"/>
    <w:rPr>
      <w:rFonts w:ascii="AGaramondPro-Italic" w:hAnsi="AGaramondPro-Italic" w:cs="AGaramondPro-Italic"/>
      <w:i/>
      <w:iCs/>
      <w:color w:val="000000"/>
      <w:lang w:val="en-US"/>
    </w:rPr>
  </w:style>
  <w:style w:type="paragraph" w:customStyle="1" w:styleId="02HEADING2">
    <w:name w:val="02. HEADING 2"/>
    <w:basedOn w:val="Normal"/>
    <w:uiPriority w:val="99"/>
    <w:rsid w:val="00FA4DB0"/>
    <w:pPr>
      <w:keepNext/>
      <w:keepLines/>
      <w:widowControl w:val="0"/>
      <w:suppressAutoHyphens/>
      <w:autoSpaceDE w:val="0"/>
      <w:autoSpaceDN w:val="0"/>
      <w:adjustRightInd w:val="0"/>
      <w:spacing w:before="85" w:after="85" w:line="340" w:lineRule="atLeast"/>
      <w:textAlignment w:val="baseline"/>
    </w:pPr>
    <w:rPr>
      <w:rFonts w:ascii="Arial-BoldMT" w:hAnsi="Arial-BoldMT" w:cs="Arial-BoldMT"/>
      <w:b/>
      <w:bCs/>
      <w:color w:val="498179"/>
      <w:sz w:val="28"/>
      <w:szCs w:val="28"/>
      <w:lang w:val="en-US" w:eastAsia="ja-JP"/>
    </w:rPr>
  </w:style>
  <w:style w:type="paragraph" w:customStyle="1" w:styleId="CovertitleCOVERSTYLES">
    <w:name w:val="Cover title (COVER STYLES)"/>
    <w:basedOn w:val="Normal"/>
    <w:uiPriority w:val="99"/>
    <w:rsid w:val="00837391"/>
    <w:pPr>
      <w:widowControl w:val="0"/>
      <w:suppressAutoHyphens/>
      <w:autoSpaceDE w:val="0"/>
      <w:autoSpaceDN w:val="0"/>
      <w:adjustRightInd w:val="0"/>
      <w:spacing w:line="660" w:lineRule="atLeast"/>
      <w:textAlignment w:val="center"/>
    </w:pPr>
    <w:rPr>
      <w:rFonts w:ascii="MyriadPro-Regular" w:hAnsi="MyriadPro-Regular" w:cs="MyriadPro-Regular"/>
      <w:color w:val="004484"/>
      <w:sz w:val="58"/>
      <w:szCs w:val="58"/>
      <w:lang w:val="en-GB" w:eastAsia="ja-JP"/>
    </w:rPr>
  </w:style>
  <w:style w:type="paragraph" w:customStyle="1" w:styleId="CoverdateCOVERSTYLES">
    <w:name w:val="Cover date (COVER STYLES)"/>
    <w:basedOn w:val="Normal"/>
    <w:uiPriority w:val="99"/>
    <w:rsid w:val="00837391"/>
    <w:pPr>
      <w:widowControl w:val="0"/>
      <w:suppressAutoHyphens/>
      <w:autoSpaceDE w:val="0"/>
      <w:autoSpaceDN w:val="0"/>
      <w:adjustRightInd w:val="0"/>
      <w:spacing w:before="340" w:line="288" w:lineRule="auto"/>
      <w:textAlignment w:val="center"/>
    </w:pPr>
    <w:rPr>
      <w:rFonts w:ascii="MyriadPro-Regular" w:hAnsi="MyriadPro-Regular" w:cs="MyriadPro-Regular"/>
      <w:color w:val="000000"/>
      <w:sz w:val="28"/>
      <w:szCs w:val="28"/>
      <w:lang w:val="en-GB" w:eastAsia="ja-JP"/>
    </w:rPr>
  </w:style>
  <w:style w:type="paragraph" w:customStyle="1" w:styleId="CAPTION">
    <w:name w:val="CAPTION"/>
    <w:basedOn w:val="05BODYTEXT"/>
    <w:uiPriority w:val="99"/>
    <w:rsid w:val="00837391"/>
    <w:pPr>
      <w:spacing w:line="288" w:lineRule="auto"/>
    </w:pPr>
    <w:rPr>
      <w:rFonts w:ascii="AGaramondPro-Italic" w:hAnsi="AGaramondPro-Italic" w:cs="AGaramondPro-Italic"/>
      <w:i/>
      <w:iCs/>
    </w:rPr>
  </w:style>
  <w:style w:type="character" w:customStyle="1" w:styleId="ITALIC">
    <w:name w:val="ITALIC"/>
    <w:uiPriority w:val="99"/>
    <w:rsid w:val="00837391"/>
    <w:rPr>
      <w:i/>
      <w:iCs/>
    </w:rPr>
  </w:style>
  <w:style w:type="character" w:customStyle="1" w:styleId="BOLD">
    <w:name w:val="BOLD"/>
    <w:uiPriority w:val="99"/>
    <w:rsid w:val="00837391"/>
    <w:rPr>
      <w:b/>
      <w:bCs/>
    </w:rPr>
  </w:style>
  <w:style w:type="paragraph" w:styleId="Header">
    <w:name w:val="header"/>
    <w:basedOn w:val="Normal"/>
    <w:link w:val="HeaderChar"/>
    <w:uiPriority w:val="99"/>
    <w:unhideWhenUsed/>
    <w:rsid w:val="00837391"/>
    <w:pPr>
      <w:tabs>
        <w:tab w:val="center" w:pos="4320"/>
        <w:tab w:val="right" w:pos="8640"/>
      </w:tabs>
    </w:pPr>
  </w:style>
  <w:style w:type="character" w:customStyle="1" w:styleId="HeaderChar">
    <w:name w:val="Header Char"/>
    <w:basedOn w:val="DefaultParagraphFont"/>
    <w:link w:val="Header"/>
    <w:uiPriority w:val="99"/>
    <w:rsid w:val="00837391"/>
    <w:rPr>
      <w:sz w:val="24"/>
      <w:szCs w:val="24"/>
      <w:lang w:eastAsia="en-US"/>
    </w:rPr>
  </w:style>
  <w:style w:type="paragraph" w:styleId="Footer">
    <w:name w:val="footer"/>
    <w:basedOn w:val="Normal"/>
    <w:link w:val="FooterChar"/>
    <w:uiPriority w:val="99"/>
    <w:unhideWhenUsed/>
    <w:rsid w:val="00837391"/>
    <w:pPr>
      <w:tabs>
        <w:tab w:val="center" w:pos="4320"/>
        <w:tab w:val="right" w:pos="8640"/>
      </w:tabs>
    </w:pPr>
  </w:style>
  <w:style w:type="character" w:customStyle="1" w:styleId="FooterChar">
    <w:name w:val="Footer Char"/>
    <w:basedOn w:val="DefaultParagraphFont"/>
    <w:link w:val="Footer"/>
    <w:uiPriority w:val="99"/>
    <w:rsid w:val="00837391"/>
    <w:rPr>
      <w:sz w:val="24"/>
      <w:szCs w:val="24"/>
      <w:lang w:eastAsia="en-US"/>
    </w:rPr>
  </w:style>
  <w:style w:type="character" w:styleId="PageNumber">
    <w:name w:val="page number"/>
    <w:basedOn w:val="DefaultParagraphFont"/>
    <w:uiPriority w:val="99"/>
    <w:semiHidden/>
    <w:unhideWhenUsed/>
    <w:rsid w:val="00837391"/>
  </w:style>
  <w:style w:type="paragraph" w:customStyle="1" w:styleId="01HEADING1">
    <w:name w:val="01 HEADING 1"/>
    <w:basedOn w:val="Normal"/>
    <w:qFormat/>
    <w:rsid w:val="00791D89"/>
    <w:pPr>
      <w:widowControl w:val="0"/>
      <w:suppressAutoHyphens/>
      <w:autoSpaceDE w:val="0"/>
      <w:autoSpaceDN w:val="0"/>
      <w:adjustRightInd w:val="0"/>
      <w:spacing w:after="113" w:line="620" w:lineRule="atLeast"/>
      <w:ind w:left="680" w:hanging="680"/>
      <w:textAlignment w:val="center"/>
    </w:pPr>
    <w:rPr>
      <w:rFonts w:ascii="MyriadPro-Regular" w:hAnsi="MyriadPro-Regular" w:cs="MyriadPro-Regular"/>
      <w:color w:val="004484"/>
      <w:sz w:val="52"/>
      <w:szCs w:val="52"/>
      <w:lang w:val="en-US" w:eastAsia="ja-JP"/>
    </w:rPr>
  </w:style>
  <w:style w:type="paragraph" w:customStyle="1" w:styleId="02HEADING20">
    <w:name w:val="02 HEADING 2"/>
    <w:basedOn w:val="Normal"/>
    <w:qFormat/>
    <w:rsid w:val="003C6CBC"/>
    <w:pPr>
      <w:widowControl w:val="0"/>
      <w:suppressAutoHyphens/>
      <w:autoSpaceDE w:val="0"/>
      <w:autoSpaceDN w:val="0"/>
      <w:adjustRightInd w:val="0"/>
      <w:spacing w:before="397" w:after="170" w:line="380" w:lineRule="atLeast"/>
      <w:ind w:left="720" w:hanging="720"/>
      <w:textAlignment w:val="center"/>
    </w:pPr>
    <w:rPr>
      <w:rFonts w:ascii="MyriadPro-Semibold" w:hAnsi="MyriadPro-Semibold" w:cs="MyriadPro-Semibold"/>
      <w:color w:val="004484"/>
      <w:sz w:val="32"/>
      <w:szCs w:val="32"/>
      <w:lang w:val="en-US" w:eastAsia="ja-JP"/>
    </w:rPr>
  </w:style>
  <w:style w:type="paragraph" w:customStyle="1" w:styleId="03HEADING3">
    <w:name w:val="03 HEADING 3"/>
    <w:basedOn w:val="Normal"/>
    <w:qFormat/>
    <w:rsid w:val="00791D89"/>
    <w:pPr>
      <w:widowControl w:val="0"/>
      <w:suppressAutoHyphens/>
      <w:autoSpaceDE w:val="0"/>
      <w:autoSpaceDN w:val="0"/>
      <w:adjustRightInd w:val="0"/>
      <w:spacing w:before="397" w:line="320" w:lineRule="atLeast"/>
      <w:ind w:left="680" w:hanging="680"/>
      <w:textAlignment w:val="center"/>
    </w:pPr>
    <w:rPr>
      <w:rFonts w:ascii="MyriadPro-Regular" w:hAnsi="MyriadPro-Regular" w:cs="MyriadPro-Regular"/>
      <w:color w:val="004484"/>
      <w:sz w:val="28"/>
      <w:szCs w:val="28"/>
      <w:lang w:val="en-GB" w:eastAsia="ja-JP"/>
    </w:rPr>
  </w:style>
  <w:style w:type="paragraph" w:styleId="TOCHeading">
    <w:name w:val="TOC Heading"/>
    <w:basedOn w:val="Heading1"/>
    <w:next w:val="Normal"/>
    <w:uiPriority w:val="39"/>
    <w:unhideWhenUsed/>
    <w:qFormat/>
    <w:rsid w:val="003C6CBC"/>
    <w:pPr>
      <w:keepLines/>
      <w:widowControl/>
      <w:suppressAutoHyphens w:val="0"/>
      <w:autoSpaceDE/>
      <w:autoSpaceDN/>
      <w:adjustRightInd/>
      <w:spacing w:before="480" w:after="0" w:line="276" w:lineRule="auto"/>
      <w:textAlignment w:val="auto"/>
      <w:outlineLvl w:val="9"/>
    </w:pPr>
    <w:rPr>
      <w:rFonts w:asciiTheme="majorHAnsi" w:eastAsiaTheme="majorEastAsia" w:hAnsiTheme="majorHAnsi" w:cstheme="majorBidi"/>
      <w:caps w:val="0"/>
      <w:color w:val="365F91" w:themeColor="accent1" w:themeShade="BF"/>
      <w:sz w:val="28"/>
      <w:szCs w:val="28"/>
      <w:lang w:eastAsia="en-US"/>
    </w:rPr>
  </w:style>
  <w:style w:type="paragraph" w:styleId="TOC1">
    <w:name w:val="toc 1"/>
    <w:basedOn w:val="Normal"/>
    <w:next w:val="Normal"/>
    <w:autoRedefine/>
    <w:uiPriority w:val="39"/>
    <w:unhideWhenUsed/>
    <w:rsid w:val="003C6CBC"/>
    <w:pPr>
      <w:spacing w:before="120"/>
    </w:pPr>
    <w:rPr>
      <w:rFonts w:asciiTheme="minorHAnsi" w:hAnsiTheme="minorHAnsi"/>
      <w:b/>
    </w:rPr>
  </w:style>
  <w:style w:type="paragraph" w:styleId="TOC2">
    <w:name w:val="toc 2"/>
    <w:basedOn w:val="Normal"/>
    <w:next w:val="Normal"/>
    <w:autoRedefine/>
    <w:uiPriority w:val="39"/>
    <w:unhideWhenUsed/>
    <w:rsid w:val="003C6CBC"/>
    <w:pPr>
      <w:ind w:left="240"/>
    </w:pPr>
    <w:rPr>
      <w:rFonts w:asciiTheme="minorHAnsi" w:hAnsiTheme="minorHAnsi"/>
      <w:b/>
      <w:sz w:val="22"/>
      <w:szCs w:val="22"/>
    </w:rPr>
  </w:style>
  <w:style w:type="paragraph" w:styleId="TOC3">
    <w:name w:val="toc 3"/>
    <w:basedOn w:val="Normal"/>
    <w:next w:val="Normal"/>
    <w:autoRedefine/>
    <w:uiPriority w:val="39"/>
    <w:unhideWhenUsed/>
    <w:rsid w:val="003C6CBC"/>
    <w:pPr>
      <w:ind w:left="480"/>
    </w:pPr>
    <w:rPr>
      <w:rFonts w:asciiTheme="minorHAnsi" w:hAnsiTheme="minorHAnsi"/>
      <w:sz w:val="22"/>
      <w:szCs w:val="22"/>
    </w:rPr>
  </w:style>
  <w:style w:type="paragraph" w:styleId="TOC4">
    <w:name w:val="toc 4"/>
    <w:basedOn w:val="Normal"/>
    <w:next w:val="Normal"/>
    <w:autoRedefine/>
    <w:uiPriority w:val="39"/>
    <w:unhideWhenUsed/>
    <w:rsid w:val="003C6CBC"/>
    <w:pPr>
      <w:ind w:left="720"/>
    </w:pPr>
    <w:rPr>
      <w:rFonts w:asciiTheme="minorHAnsi" w:hAnsiTheme="minorHAnsi"/>
      <w:sz w:val="20"/>
      <w:szCs w:val="20"/>
    </w:rPr>
  </w:style>
  <w:style w:type="paragraph" w:styleId="TOC5">
    <w:name w:val="toc 5"/>
    <w:basedOn w:val="Normal"/>
    <w:next w:val="Normal"/>
    <w:autoRedefine/>
    <w:uiPriority w:val="39"/>
    <w:unhideWhenUsed/>
    <w:rsid w:val="003C6CBC"/>
    <w:pPr>
      <w:ind w:left="960"/>
    </w:pPr>
    <w:rPr>
      <w:rFonts w:asciiTheme="minorHAnsi" w:hAnsiTheme="minorHAnsi"/>
      <w:sz w:val="20"/>
      <w:szCs w:val="20"/>
    </w:rPr>
  </w:style>
  <w:style w:type="paragraph" w:styleId="TOC6">
    <w:name w:val="toc 6"/>
    <w:basedOn w:val="Normal"/>
    <w:next w:val="Normal"/>
    <w:autoRedefine/>
    <w:uiPriority w:val="39"/>
    <w:unhideWhenUsed/>
    <w:rsid w:val="003C6CBC"/>
    <w:pPr>
      <w:ind w:left="1200"/>
    </w:pPr>
    <w:rPr>
      <w:rFonts w:asciiTheme="minorHAnsi" w:hAnsiTheme="minorHAnsi"/>
      <w:sz w:val="20"/>
      <w:szCs w:val="20"/>
    </w:rPr>
  </w:style>
  <w:style w:type="paragraph" w:styleId="TOC7">
    <w:name w:val="toc 7"/>
    <w:basedOn w:val="Normal"/>
    <w:next w:val="Normal"/>
    <w:autoRedefine/>
    <w:uiPriority w:val="39"/>
    <w:unhideWhenUsed/>
    <w:rsid w:val="003C6CBC"/>
    <w:pPr>
      <w:ind w:left="1440"/>
    </w:pPr>
    <w:rPr>
      <w:rFonts w:asciiTheme="minorHAnsi" w:hAnsiTheme="minorHAnsi"/>
      <w:sz w:val="20"/>
      <w:szCs w:val="20"/>
    </w:rPr>
  </w:style>
  <w:style w:type="paragraph" w:styleId="TOC8">
    <w:name w:val="toc 8"/>
    <w:basedOn w:val="Normal"/>
    <w:next w:val="Normal"/>
    <w:autoRedefine/>
    <w:uiPriority w:val="39"/>
    <w:unhideWhenUsed/>
    <w:rsid w:val="003C6CBC"/>
    <w:pPr>
      <w:ind w:left="1680"/>
    </w:pPr>
    <w:rPr>
      <w:rFonts w:asciiTheme="minorHAnsi" w:hAnsiTheme="minorHAnsi"/>
      <w:sz w:val="20"/>
      <w:szCs w:val="20"/>
    </w:rPr>
  </w:style>
  <w:style w:type="paragraph" w:styleId="TOC9">
    <w:name w:val="toc 9"/>
    <w:basedOn w:val="Normal"/>
    <w:next w:val="Normal"/>
    <w:autoRedefine/>
    <w:uiPriority w:val="39"/>
    <w:unhideWhenUsed/>
    <w:rsid w:val="003C6CBC"/>
    <w:pPr>
      <w:ind w:left="1920"/>
    </w:pPr>
    <w:rPr>
      <w:rFonts w:asciiTheme="minorHAnsi" w:hAnsiTheme="minorHAnsi"/>
      <w:sz w:val="20"/>
      <w:szCs w:val="20"/>
    </w:rPr>
  </w:style>
  <w:style w:type="paragraph" w:customStyle="1" w:styleId="10FOOTNOTE">
    <w:name w:val="10. FOOTNOTE"/>
    <w:basedOn w:val="NoParagraphStyle"/>
    <w:uiPriority w:val="99"/>
    <w:rsid w:val="007D20DB"/>
    <w:pPr>
      <w:suppressAutoHyphens/>
      <w:spacing w:after="170"/>
      <w:ind w:left="227" w:hanging="227"/>
    </w:pPr>
    <w:rPr>
      <w:rFonts w:ascii="AGaramondPro-Regular" w:hAnsi="AGaramondPro-Regular" w:cs="AGaramondPro-Regular"/>
      <w:sz w:val="16"/>
      <w:szCs w:val="16"/>
    </w:rPr>
  </w:style>
  <w:style w:type="paragraph" w:customStyle="1" w:styleId="NoParagraphStyle">
    <w:name w:val="[No Paragraph Style]"/>
    <w:rsid w:val="007D20DB"/>
    <w:pPr>
      <w:widowControl w:val="0"/>
      <w:autoSpaceDE w:val="0"/>
      <w:autoSpaceDN w:val="0"/>
      <w:adjustRightInd w:val="0"/>
      <w:spacing w:line="288" w:lineRule="auto"/>
      <w:textAlignment w:val="center"/>
    </w:pPr>
    <w:rPr>
      <w:rFonts w:ascii="HelveticaNeue" w:hAnsi="HelveticaNeue" w:cs="HelveticaNeue"/>
      <w:color w:val="000000"/>
      <w:sz w:val="24"/>
      <w:szCs w:val="24"/>
      <w:lang w:val="en-US"/>
    </w:rPr>
  </w:style>
  <w:style w:type="paragraph" w:styleId="BalloonText">
    <w:name w:val="Balloon Text"/>
    <w:basedOn w:val="Normal"/>
    <w:link w:val="BalloonTextChar"/>
    <w:uiPriority w:val="99"/>
    <w:semiHidden/>
    <w:unhideWhenUsed/>
    <w:rsid w:val="003B38AC"/>
    <w:rPr>
      <w:rFonts w:ascii="Tahoma" w:hAnsi="Tahoma" w:cs="Tahoma"/>
      <w:sz w:val="16"/>
      <w:szCs w:val="16"/>
    </w:rPr>
  </w:style>
  <w:style w:type="character" w:customStyle="1" w:styleId="BalloonTextChar">
    <w:name w:val="Balloon Text Char"/>
    <w:basedOn w:val="DefaultParagraphFont"/>
    <w:link w:val="BalloonText"/>
    <w:uiPriority w:val="99"/>
    <w:semiHidden/>
    <w:rsid w:val="003B38AC"/>
    <w:rPr>
      <w:rFonts w:ascii="Tahoma" w:hAnsi="Tahoma" w:cs="Tahoma"/>
      <w:sz w:val="16"/>
      <w:szCs w:val="1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05BODYTEXT"/>
    <w:next w:val="05BODYTEXT"/>
    <w:link w:val="Heading1Char"/>
    <w:uiPriority w:val="99"/>
    <w:qFormat/>
    <w:rsid w:val="00837391"/>
    <w:pPr>
      <w:keepNext/>
      <w:outlineLvl w:val="0"/>
    </w:pPr>
    <w:rPr>
      <w:rFonts w:ascii="AGaramondPro-Bold" w:hAnsi="AGaramondPro-Bold" w:cs="AGaramondPro-Bold"/>
      <w:b/>
      <w:bCs/>
      <w:caps/>
    </w:rPr>
  </w:style>
  <w:style w:type="paragraph" w:styleId="Heading2">
    <w:name w:val="heading 2"/>
    <w:basedOn w:val="05BODYTEXT"/>
    <w:next w:val="05BODYTEXT"/>
    <w:link w:val="Heading2Char"/>
    <w:uiPriority w:val="99"/>
    <w:qFormat/>
    <w:rsid w:val="00837391"/>
    <w:pPr>
      <w:keepNext/>
      <w:outlineLvl w:val="1"/>
    </w:pPr>
    <w:rPr>
      <w:rFonts w:ascii="Arial-BoldMT" w:hAnsi="Arial-BoldMT" w:cs="Arial-BoldMT"/>
      <w:b/>
      <w:bCs/>
    </w:rPr>
  </w:style>
  <w:style w:type="paragraph" w:styleId="Heading3">
    <w:name w:val="heading 3"/>
    <w:basedOn w:val="05BODYTEXT"/>
    <w:next w:val="05BODYTEXT"/>
    <w:link w:val="Heading3Char"/>
    <w:uiPriority w:val="99"/>
    <w:qFormat/>
    <w:rsid w:val="00837391"/>
    <w:pPr>
      <w:keepNext/>
      <w:outlineLvl w:val="2"/>
    </w:pPr>
    <w:rPr>
      <w:rFonts w:ascii="AGaramondPro-Italic" w:hAnsi="AGaramondPro-Italic" w:cs="AGaramondPro-Italic"/>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BODYTEXT">
    <w:name w:val="05. BODY TEXT"/>
    <w:basedOn w:val="Normal"/>
    <w:uiPriority w:val="99"/>
    <w:rsid w:val="00837391"/>
    <w:pPr>
      <w:widowControl w:val="0"/>
      <w:suppressAutoHyphens/>
      <w:autoSpaceDE w:val="0"/>
      <w:autoSpaceDN w:val="0"/>
      <w:adjustRightInd w:val="0"/>
      <w:spacing w:after="170" w:line="280" w:lineRule="atLeast"/>
      <w:textAlignment w:val="center"/>
    </w:pPr>
    <w:rPr>
      <w:rFonts w:ascii="AGaramondPro-Regular" w:hAnsi="AGaramondPro-Regular" w:cs="AGaramondPro-Regular"/>
      <w:color w:val="000000"/>
      <w:sz w:val="20"/>
      <w:szCs w:val="20"/>
      <w:lang w:val="en-US" w:eastAsia="ja-JP"/>
    </w:rPr>
  </w:style>
  <w:style w:type="character" w:customStyle="1" w:styleId="Heading1Char">
    <w:name w:val="Heading 1 Char"/>
    <w:basedOn w:val="DefaultParagraphFont"/>
    <w:link w:val="Heading1"/>
    <w:uiPriority w:val="99"/>
    <w:rsid w:val="00837391"/>
    <w:rPr>
      <w:rFonts w:ascii="AGaramondPro-Bold" w:hAnsi="AGaramondPro-Bold" w:cs="AGaramondPro-Bold"/>
      <w:b/>
      <w:bCs/>
      <w:caps/>
      <w:color w:val="000000"/>
      <w:lang w:val="en-US"/>
    </w:rPr>
  </w:style>
  <w:style w:type="character" w:customStyle="1" w:styleId="Heading2Char">
    <w:name w:val="Heading 2 Char"/>
    <w:basedOn w:val="DefaultParagraphFont"/>
    <w:link w:val="Heading2"/>
    <w:uiPriority w:val="99"/>
    <w:rsid w:val="00837391"/>
    <w:rPr>
      <w:rFonts w:ascii="Arial-BoldMT" w:hAnsi="Arial-BoldMT" w:cs="Arial-BoldMT"/>
      <w:b/>
      <w:bCs/>
      <w:color w:val="000000"/>
      <w:lang w:val="en-US"/>
    </w:rPr>
  </w:style>
  <w:style w:type="character" w:customStyle="1" w:styleId="Heading3Char">
    <w:name w:val="Heading 3 Char"/>
    <w:basedOn w:val="DefaultParagraphFont"/>
    <w:link w:val="Heading3"/>
    <w:uiPriority w:val="99"/>
    <w:rsid w:val="00837391"/>
    <w:rPr>
      <w:rFonts w:ascii="AGaramondPro-Italic" w:hAnsi="AGaramondPro-Italic" w:cs="AGaramondPro-Italic"/>
      <w:i/>
      <w:iCs/>
      <w:color w:val="000000"/>
      <w:lang w:val="en-US"/>
    </w:rPr>
  </w:style>
  <w:style w:type="paragraph" w:customStyle="1" w:styleId="02HEADING2">
    <w:name w:val="02. HEADING 2"/>
    <w:basedOn w:val="Normal"/>
    <w:uiPriority w:val="99"/>
    <w:rsid w:val="00FA4DB0"/>
    <w:pPr>
      <w:keepNext/>
      <w:keepLines/>
      <w:widowControl w:val="0"/>
      <w:suppressAutoHyphens/>
      <w:autoSpaceDE w:val="0"/>
      <w:autoSpaceDN w:val="0"/>
      <w:adjustRightInd w:val="0"/>
      <w:spacing w:before="85" w:after="85" w:line="340" w:lineRule="atLeast"/>
      <w:textAlignment w:val="baseline"/>
    </w:pPr>
    <w:rPr>
      <w:rFonts w:ascii="Arial-BoldMT" w:hAnsi="Arial-BoldMT" w:cs="Arial-BoldMT"/>
      <w:b/>
      <w:bCs/>
      <w:color w:val="498179"/>
      <w:sz w:val="28"/>
      <w:szCs w:val="28"/>
      <w:lang w:val="en-US" w:eastAsia="ja-JP"/>
    </w:rPr>
  </w:style>
  <w:style w:type="paragraph" w:customStyle="1" w:styleId="CovertitleCOVERSTYLES">
    <w:name w:val="Cover title (COVER STYLES)"/>
    <w:basedOn w:val="Normal"/>
    <w:uiPriority w:val="99"/>
    <w:rsid w:val="00837391"/>
    <w:pPr>
      <w:widowControl w:val="0"/>
      <w:suppressAutoHyphens/>
      <w:autoSpaceDE w:val="0"/>
      <w:autoSpaceDN w:val="0"/>
      <w:adjustRightInd w:val="0"/>
      <w:spacing w:line="660" w:lineRule="atLeast"/>
      <w:textAlignment w:val="center"/>
    </w:pPr>
    <w:rPr>
      <w:rFonts w:ascii="MyriadPro-Regular" w:hAnsi="MyriadPro-Regular" w:cs="MyriadPro-Regular"/>
      <w:color w:val="004484"/>
      <w:sz w:val="58"/>
      <w:szCs w:val="58"/>
      <w:lang w:val="en-GB" w:eastAsia="ja-JP"/>
    </w:rPr>
  </w:style>
  <w:style w:type="paragraph" w:customStyle="1" w:styleId="CoverdateCOVERSTYLES">
    <w:name w:val="Cover date (COVER STYLES)"/>
    <w:basedOn w:val="Normal"/>
    <w:uiPriority w:val="99"/>
    <w:rsid w:val="00837391"/>
    <w:pPr>
      <w:widowControl w:val="0"/>
      <w:suppressAutoHyphens/>
      <w:autoSpaceDE w:val="0"/>
      <w:autoSpaceDN w:val="0"/>
      <w:adjustRightInd w:val="0"/>
      <w:spacing w:before="340" w:line="288" w:lineRule="auto"/>
      <w:textAlignment w:val="center"/>
    </w:pPr>
    <w:rPr>
      <w:rFonts w:ascii="MyriadPro-Regular" w:hAnsi="MyriadPro-Regular" w:cs="MyriadPro-Regular"/>
      <w:color w:val="000000"/>
      <w:sz w:val="28"/>
      <w:szCs w:val="28"/>
      <w:lang w:val="en-GB" w:eastAsia="ja-JP"/>
    </w:rPr>
  </w:style>
  <w:style w:type="paragraph" w:customStyle="1" w:styleId="CAPTION">
    <w:name w:val="CAPTION"/>
    <w:basedOn w:val="05BODYTEXT"/>
    <w:uiPriority w:val="99"/>
    <w:rsid w:val="00837391"/>
    <w:pPr>
      <w:spacing w:line="288" w:lineRule="auto"/>
    </w:pPr>
    <w:rPr>
      <w:rFonts w:ascii="AGaramondPro-Italic" w:hAnsi="AGaramondPro-Italic" w:cs="AGaramondPro-Italic"/>
      <w:i/>
      <w:iCs/>
    </w:rPr>
  </w:style>
  <w:style w:type="character" w:customStyle="1" w:styleId="ITALIC">
    <w:name w:val="ITALIC"/>
    <w:uiPriority w:val="99"/>
    <w:rsid w:val="00837391"/>
    <w:rPr>
      <w:i/>
      <w:iCs/>
    </w:rPr>
  </w:style>
  <w:style w:type="character" w:customStyle="1" w:styleId="BOLD">
    <w:name w:val="BOLD"/>
    <w:uiPriority w:val="99"/>
    <w:rsid w:val="00837391"/>
    <w:rPr>
      <w:b/>
      <w:bCs/>
    </w:rPr>
  </w:style>
  <w:style w:type="paragraph" w:styleId="Header">
    <w:name w:val="header"/>
    <w:basedOn w:val="Normal"/>
    <w:link w:val="HeaderChar"/>
    <w:uiPriority w:val="99"/>
    <w:unhideWhenUsed/>
    <w:rsid w:val="00837391"/>
    <w:pPr>
      <w:tabs>
        <w:tab w:val="center" w:pos="4320"/>
        <w:tab w:val="right" w:pos="8640"/>
      </w:tabs>
    </w:pPr>
  </w:style>
  <w:style w:type="character" w:customStyle="1" w:styleId="HeaderChar">
    <w:name w:val="Header Char"/>
    <w:basedOn w:val="DefaultParagraphFont"/>
    <w:link w:val="Header"/>
    <w:uiPriority w:val="99"/>
    <w:rsid w:val="00837391"/>
    <w:rPr>
      <w:sz w:val="24"/>
      <w:szCs w:val="24"/>
      <w:lang w:eastAsia="en-US"/>
    </w:rPr>
  </w:style>
  <w:style w:type="paragraph" w:styleId="Footer">
    <w:name w:val="footer"/>
    <w:basedOn w:val="Normal"/>
    <w:link w:val="FooterChar"/>
    <w:uiPriority w:val="99"/>
    <w:unhideWhenUsed/>
    <w:rsid w:val="00837391"/>
    <w:pPr>
      <w:tabs>
        <w:tab w:val="center" w:pos="4320"/>
        <w:tab w:val="right" w:pos="8640"/>
      </w:tabs>
    </w:pPr>
  </w:style>
  <w:style w:type="character" w:customStyle="1" w:styleId="FooterChar">
    <w:name w:val="Footer Char"/>
    <w:basedOn w:val="DefaultParagraphFont"/>
    <w:link w:val="Footer"/>
    <w:uiPriority w:val="99"/>
    <w:rsid w:val="00837391"/>
    <w:rPr>
      <w:sz w:val="24"/>
      <w:szCs w:val="24"/>
      <w:lang w:eastAsia="en-US"/>
    </w:rPr>
  </w:style>
  <w:style w:type="character" w:styleId="PageNumber">
    <w:name w:val="page number"/>
    <w:basedOn w:val="DefaultParagraphFont"/>
    <w:uiPriority w:val="99"/>
    <w:semiHidden/>
    <w:unhideWhenUsed/>
    <w:rsid w:val="00837391"/>
  </w:style>
  <w:style w:type="paragraph" w:customStyle="1" w:styleId="01HEADING1">
    <w:name w:val="01 HEADING 1"/>
    <w:basedOn w:val="Normal"/>
    <w:qFormat/>
    <w:rsid w:val="00791D89"/>
    <w:pPr>
      <w:widowControl w:val="0"/>
      <w:suppressAutoHyphens/>
      <w:autoSpaceDE w:val="0"/>
      <w:autoSpaceDN w:val="0"/>
      <w:adjustRightInd w:val="0"/>
      <w:spacing w:after="113" w:line="620" w:lineRule="atLeast"/>
      <w:ind w:left="680" w:hanging="680"/>
      <w:textAlignment w:val="center"/>
    </w:pPr>
    <w:rPr>
      <w:rFonts w:ascii="MyriadPro-Regular" w:hAnsi="MyriadPro-Regular" w:cs="MyriadPro-Regular"/>
      <w:color w:val="004484"/>
      <w:sz w:val="52"/>
      <w:szCs w:val="52"/>
      <w:lang w:val="en-US" w:eastAsia="ja-JP"/>
    </w:rPr>
  </w:style>
  <w:style w:type="paragraph" w:customStyle="1" w:styleId="02HEADING20">
    <w:name w:val="02 HEADING 2"/>
    <w:basedOn w:val="Normal"/>
    <w:qFormat/>
    <w:rsid w:val="003C6CBC"/>
    <w:pPr>
      <w:widowControl w:val="0"/>
      <w:suppressAutoHyphens/>
      <w:autoSpaceDE w:val="0"/>
      <w:autoSpaceDN w:val="0"/>
      <w:adjustRightInd w:val="0"/>
      <w:spacing w:before="397" w:after="170" w:line="380" w:lineRule="atLeast"/>
      <w:ind w:left="720" w:hanging="720"/>
      <w:textAlignment w:val="center"/>
    </w:pPr>
    <w:rPr>
      <w:rFonts w:ascii="MyriadPro-Semibold" w:hAnsi="MyriadPro-Semibold" w:cs="MyriadPro-Semibold"/>
      <w:color w:val="004484"/>
      <w:sz w:val="32"/>
      <w:szCs w:val="32"/>
      <w:lang w:val="en-US" w:eastAsia="ja-JP"/>
    </w:rPr>
  </w:style>
  <w:style w:type="paragraph" w:customStyle="1" w:styleId="03HEADING3">
    <w:name w:val="03 HEADING 3"/>
    <w:basedOn w:val="Normal"/>
    <w:qFormat/>
    <w:rsid w:val="00791D89"/>
    <w:pPr>
      <w:widowControl w:val="0"/>
      <w:suppressAutoHyphens/>
      <w:autoSpaceDE w:val="0"/>
      <w:autoSpaceDN w:val="0"/>
      <w:adjustRightInd w:val="0"/>
      <w:spacing w:before="397" w:line="320" w:lineRule="atLeast"/>
      <w:ind w:left="680" w:hanging="680"/>
      <w:textAlignment w:val="center"/>
    </w:pPr>
    <w:rPr>
      <w:rFonts w:ascii="MyriadPro-Regular" w:hAnsi="MyriadPro-Regular" w:cs="MyriadPro-Regular"/>
      <w:color w:val="004484"/>
      <w:sz w:val="28"/>
      <w:szCs w:val="28"/>
      <w:lang w:val="en-GB" w:eastAsia="ja-JP"/>
    </w:rPr>
  </w:style>
  <w:style w:type="paragraph" w:styleId="TOCHeading">
    <w:name w:val="TOC Heading"/>
    <w:basedOn w:val="Heading1"/>
    <w:next w:val="Normal"/>
    <w:uiPriority w:val="39"/>
    <w:unhideWhenUsed/>
    <w:qFormat/>
    <w:rsid w:val="003C6CBC"/>
    <w:pPr>
      <w:keepLines/>
      <w:widowControl/>
      <w:suppressAutoHyphens w:val="0"/>
      <w:autoSpaceDE/>
      <w:autoSpaceDN/>
      <w:adjustRightInd/>
      <w:spacing w:before="480" w:after="0" w:line="276" w:lineRule="auto"/>
      <w:textAlignment w:val="auto"/>
      <w:outlineLvl w:val="9"/>
    </w:pPr>
    <w:rPr>
      <w:rFonts w:asciiTheme="majorHAnsi" w:eastAsiaTheme="majorEastAsia" w:hAnsiTheme="majorHAnsi" w:cstheme="majorBidi"/>
      <w:caps w:val="0"/>
      <w:color w:val="365F91" w:themeColor="accent1" w:themeShade="BF"/>
      <w:sz w:val="28"/>
      <w:szCs w:val="28"/>
      <w:lang w:eastAsia="en-US"/>
    </w:rPr>
  </w:style>
  <w:style w:type="paragraph" w:styleId="TOC1">
    <w:name w:val="toc 1"/>
    <w:basedOn w:val="Normal"/>
    <w:next w:val="Normal"/>
    <w:autoRedefine/>
    <w:uiPriority w:val="39"/>
    <w:unhideWhenUsed/>
    <w:rsid w:val="003C6CBC"/>
    <w:pPr>
      <w:spacing w:before="120"/>
    </w:pPr>
    <w:rPr>
      <w:rFonts w:asciiTheme="minorHAnsi" w:hAnsiTheme="minorHAnsi"/>
      <w:b/>
    </w:rPr>
  </w:style>
  <w:style w:type="paragraph" w:styleId="TOC2">
    <w:name w:val="toc 2"/>
    <w:basedOn w:val="Normal"/>
    <w:next w:val="Normal"/>
    <w:autoRedefine/>
    <w:uiPriority w:val="39"/>
    <w:unhideWhenUsed/>
    <w:rsid w:val="003C6CBC"/>
    <w:pPr>
      <w:ind w:left="240"/>
    </w:pPr>
    <w:rPr>
      <w:rFonts w:asciiTheme="minorHAnsi" w:hAnsiTheme="minorHAnsi"/>
      <w:b/>
      <w:sz w:val="22"/>
      <w:szCs w:val="22"/>
    </w:rPr>
  </w:style>
  <w:style w:type="paragraph" w:styleId="TOC3">
    <w:name w:val="toc 3"/>
    <w:basedOn w:val="Normal"/>
    <w:next w:val="Normal"/>
    <w:autoRedefine/>
    <w:uiPriority w:val="39"/>
    <w:unhideWhenUsed/>
    <w:rsid w:val="003C6CBC"/>
    <w:pPr>
      <w:ind w:left="480"/>
    </w:pPr>
    <w:rPr>
      <w:rFonts w:asciiTheme="minorHAnsi" w:hAnsiTheme="minorHAnsi"/>
      <w:sz w:val="22"/>
      <w:szCs w:val="22"/>
    </w:rPr>
  </w:style>
  <w:style w:type="paragraph" w:styleId="TOC4">
    <w:name w:val="toc 4"/>
    <w:basedOn w:val="Normal"/>
    <w:next w:val="Normal"/>
    <w:autoRedefine/>
    <w:uiPriority w:val="39"/>
    <w:unhideWhenUsed/>
    <w:rsid w:val="003C6CBC"/>
    <w:pPr>
      <w:ind w:left="720"/>
    </w:pPr>
    <w:rPr>
      <w:rFonts w:asciiTheme="minorHAnsi" w:hAnsiTheme="minorHAnsi"/>
      <w:sz w:val="20"/>
      <w:szCs w:val="20"/>
    </w:rPr>
  </w:style>
  <w:style w:type="paragraph" w:styleId="TOC5">
    <w:name w:val="toc 5"/>
    <w:basedOn w:val="Normal"/>
    <w:next w:val="Normal"/>
    <w:autoRedefine/>
    <w:uiPriority w:val="39"/>
    <w:unhideWhenUsed/>
    <w:rsid w:val="003C6CBC"/>
    <w:pPr>
      <w:ind w:left="960"/>
    </w:pPr>
    <w:rPr>
      <w:rFonts w:asciiTheme="minorHAnsi" w:hAnsiTheme="minorHAnsi"/>
      <w:sz w:val="20"/>
      <w:szCs w:val="20"/>
    </w:rPr>
  </w:style>
  <w:style w:type="paragraph" w:styleId="TOC6">
    <w:name w:val="toc 6"/>
    <w:basedOn w:val="Normal"/>
    <w:next w:val="Normal"/>
    <w:autoRedefine/>
    <w:uiPriority w:val="39"/>
    <w:unhideWhenUsed/>
    <w:rsid w:val="003C6CBC"/>
    <w:pPr>
      <w:ind w:left="1200"/>
    </w:pPr>
    <w:rPr>
      <w:rFonts w:asciiTheme="minorHAnsi" w:hAnsiTheme="minorHAnsi"/>
      <w:sz w:val="20"/>
      <w:szCs w:val="20"/>
    </w:rPr>
  </w:style>
  <w:style w:type="paragraph" w:styleId="TOC7">
    <w:name w:val="toc 7"/>
    <w:basedOn w:val="Normal"/>
    <w:next w:val="Normal"/>
    <w:autoRedefine/>
    <w:uiPriority w:val="39"/>
    <w:unhideWhenUsed/>
    <w:rsid w:val="003C6CBC"/>
    <w:pPr>
      <w:ind w:left="1440"/>
    </w:pPr>
    <w:rPr>
      <w:rFonts w:asciiTheme="minorHAnsi" w:hAnsiTheme="minorHAnsi"/>
      <w:sz w:val="20"/>
      <w:szCs w:val="20"/>
    </w:rPr>
  </w:style>
  <w:style w:type="paragraph" w:styleId="TOC8">
    <w:name w:val="toc 8"/>
    <w:basedOn w:val="Normal"/>
    <w:next w:val="Normal"/>
    <w:autoRedefine/>
    <w:uiPriority w:val="39"/>
    <w:unhideWhenUsed/>
    <w:rsid w:val="003C6CBC"/>
    <w:pPr>
      <w:ind w:left="1680"/>
    </w:pPr>
    <w:rPr>
      <w:rFonts w:asciiTheme="minorHAnsi" w:hAnsiTheme="minorHAnsi"/>
      <w:sz w:val="20"/>
      <w:szCs w:val="20"/>
    </w:rPr>
  </w:style>
  <w:style w:type="paragraph" w:styleId="TOC9">
    <w:name w:val="toc 9"/>
    <w:basedOn w:val="Normal"/>
    <w:next w:val="Normal"/>
    <w:autoRedefine/>
    <w:uiPriority w:val="39"/>
    <w:unhideWhenUsed/>
    <w:rsid w:val="003C6CBC"/>
    <w:pPr>
      <w:ind w:left="1920"/>
    </w:pPr>
    <w:rPr>
      <w:rFonts w:asciiTheme="minorHAnsi" w:hAnsiTheme="minorHAnsi"/>
      <w:sz w:val="20"/>
      <w:szCs w:val="20"/>
    </w:rPr>
  </w:style>
  <w:style w:type="paragraph" w:customStyle="1" w:styleId="10FOOTNOTE">
    <w:name w:val="10. FOOTNOTE"/>
    <w:basedOn w:val="NoParagraphStyle"/>
    <w:uiPriority w:val="99"/>
    <w:rsid w:val="007D20DB"/>
    <w:pPr>
      <w:suppressAutoHyphens/>
      <w:spacing w:after="170"/>
      <w:ind w:left="227" w:hanging="227"/>
    </w:pPr>
    <w:rPr>
      <w:rFonts w:ascii="AGaramondPro-Regular" w:hAnsi="AGaramondPro-Regular" w:cs="AGaramondPro-Regular"/>
      <w:sz w:val="16"/>
      <w:szCs w:val="16"/>
    </w:rPr>
  </w:style>
  <w:style w:type="paragraph" w:customStyle="1" w:styleId="NoParagraphStyle">
    <w:name w:val="[No Paragraph Style]"/>
    <w:rsid w:val="007D20DB"/>
    <w:pPr>
      <w:widowControl w:val="0"/>
      <w:autoSpaceDE w:val="0"/>
      <w:autoSpaceDN w:val="0"/>
      <w:adjustRightInd w:val="0"/>
      <w:spacing w:line="288" w:lineRule="auto"/>
      <w:textAlignment w:val="center"/>
    </w:pPr>
    <w:rPr>
      <w:rFonts w:ascii="HelveticaNeue" w:hAnsi="HelveticaNeue" w:cs="HelveticaNeue"/>
      <w:color w:val="000000"/>
      <w:sz w:val="24"/>
      <w:szCs w:val="24"/>
      <w:lang w:val="en-US"/>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2160D-2CFD-4E54-AAB8-0058DE921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36</Pages>
  <Words>11284</Words>
  <Characters>67761</Characters>
  <Application>Microsoft Office Word</Application>
  <DocSecurity>0</DocSecurity>
  <Lines>564</Lines>
  <Paragraphs>157</Paragraphs>
  <ScaleCrop>false</ScaleCrop>
  <Company>DEWHA</Company>
  <LinksUpToDate>false</LinksUpToDate>
  <CharactersWithSpaces>78888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Threat abatement plan for disease in natural ecosystems caused by Phytophthora cinnamomi</dc:title>
  <dc:creator>Department of the Environment</dc:creator>
  <cp:lastModifiedBy>A18343</cp:lastModifiedBy>
  <cp:revision>2</cp:revision>
  <dcterms:created xsi:type="dcterms:W3CDTF">2014-03-03T23:12:00Z</dcterms:created>
  <dcterms:modified xsi:type="dcterms:W3CDTF">2014-03-03T23:12:00Z</dcterms:modified>
</cp:coreProperties>
</file>