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2F847048" w:rsidR="00ED0614" w:rsidRPr="00231EBA" w:rsidRDefault="002521EC">
      <w:pPr>
        <w:pStyle w:val="Heading1"/>
      </w:pPr>
      <w:bookmarkStart w:id="0" w:name="_top"/>
      <w:bookmarkEnd w:id="0"/>
      <w:r w:rsidRPr="002521EC">
        <w:t xml:space="preserve">Tilapia </w:t>
      </w:r>
      <w:r w:rsidR="007F1EDC">
        <w:t>l</w:t>
      </w:r>
      <w:r w:rsidRPr="002521EC">
        <w:t xml:space="preserve">ake </w:t>
      </w:r>
      <w:r w:rsidR="007F1EDC">
        <w:t>v</w:t>
      </w:r>
      <w:r w:rsidRPr="002521EC">
        <w:t xml:space="preserve">irus (TiLV) </w:t>
      </w:r>
      <w:r w:rsidR="007F1EDC">
        <w:t>d</w:t>
      </w:r>
      <w:r w:rsidRPr="002521EC">
        <w:t>isease</w:t>
      </w:r>
    </w:p>
    <w:p w14:paraId="23B7ABCC" w14:textId="7FD4D7F8" w:rsidR="002521EC" w:rsidRPr="002521EC" w:rsidRDefault="002521EC">
      <w:pPr>
        <w:pStyle w:val="Subtitle"/>
        <w:rPr>
          <w:sz w:val="24"/>
          <w:szCs w:val="24"/>
        </w:rPr>
      </w:pPr>
      <w:r>
        <w:rPr>
          <w:sz w:val="24"/>
          <w:szCs w:val="24"/>
        </w:rPr>
        <w:t xml:space="preserve">Also known as </w:t>
      </w:r>
      <w:r w:rsidRPr="002521EC">
        <w:rPr>
          <w:sz w:val="24"/>
          <w:szCs w:val="24"/>
        </w:rPr>
        <w:t>syncytial hepatitis of tilapia</w:t>
      </w:r>
      <w:r>
        <w:rPr>
          <w:sz w:val="24"/>
          <w:szCs w:val="24"/>
        </w:rPr>
        <w:t xml:space="preserve"> (SHT)</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30B162F2" w:rsidR="00ED0614" w:rsidRPr="007F1EDC"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DA2645">
        <w:rPr>
          <w:noProof/>
        </w:rPr>
        <w:t>1</w:t>
      </w:r>
      <w:r>
        <w:rPr>
          <w:noProof/>
        </w:rPr>
        <w:fldChar w:fldCharType="end"/>
      </w:r>
      <w:r>
        <w:t xml:space="preserve"> </w:t>
      </w:r>
      <w:r w:rsidR="002521EC" w:rsidRPr="002521EC">
        <w:t>Nile tilapia (</w:t>
      </w:r>
      <w:r w:rsidR="002521EC" w:rsidRPr="007F1EDC">
        <w:rPr>
          <w:rStyle w:val="Emphasis"/>
        </w:rPr>
        <w:t>Oreochromis niloticus</w:t>
      </w:r>
      <w:r w:rsidR="002521EC" w:rsidRPr="007F1EDC">
        <w:t>) infected with TiLV</w:t>
      </w:r>
    </w:p>
    <w:p w14:paraId="0EFF3543" w14:textId="08D12BB3" w:rsidR="00ED0614" w:rsidRPr="007F1EDC" w:rsidRDefault="002521EC">
      <w:r w:rsidRPr="007F1EDC">
        <w:rPr>
          <w:noProof/>
          <w:lang w:eastAsia="en-AU"/>
        </w:rPr>
        <w:drawing>
          <wp:inline distT="0" distB="0" distL="0" distR="0" wp14:anchorId="5348648D" wp14:editId="1850CFEB">
            <wp:extent cx="3957742" cy="2518338"/>
            <wp:effectExtent l="0" t="0" r="5080" b="0"/>
            <wp:docPr id="262"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V worldfishhi.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959133" cy="2519223"/>
                    </a:xfrm>
                    <a:prstGeom prst="rect">
                      <a:avLst/>
                    </a:prstGeom>
                    <a:ln>
                      <a:noFill/>
                    </a:ln>
                    <a:extLst>
                      <a:ext uri="{53640926-AAD7-44D8-BBD7-CCE9431645EC}">
                        <a14:shadowObscured xmlns:a14="http://schemas.microsoft.com/office/drawing/2010/main"/>
                      </a:ext>
                    </a:extLst>
                  </pic:spPr>
                </pic:pic>
              </a:graphicData>
            </a:graphic>
          </wp:inline>
        </w:drawing>
      </w:r>
    </w:p>
    <w:p w14:paraId="0E43AD2F" w14:textId="06D43D98" w:rsidR="002521EC" w:rsidRPr="007F1EDC" w:rsidRDefault="00E260DC" w:rsidP="002521EC">
      <w:pPr>
        <w:pStyle w:val="FigureTableNoteSource"/>
      </w:pPr>
      <w:r w:rsidRPr="007F1EDC">
        <w:t xml:space="preserve">Note: </w:t>
      </w:r>
      <w:r w:rsidR="002521EC" w:rsidRPr="007F1EDC">
        <w:t>Haemorrhagic skin lesion on flank.</w:t>
      </w:r>
    </w:p>
    <w:p w14:paraId="0FE7139E" w14:textId="5557A975" w:rsidR="00ED0614" w:rsidRPr="007F1EDC" w:rsidRDefault="002521EC" w:rsidP="002521EC">
      <w:pPr>
        <w:pStyle w:val="FigureTableNoteSource"/>
      </w:pPr>
      <w:r w:rsidRPr="007F1EDC">
        <w:t>Source: Worldfish</w:t>
      </w:r>
    </w:p>
    <w:p w14:paraId="2EE83D63" w14:textId="35777371" w:rsidR="00ED0614" w:rsidRPr="007F1EDC"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DA2645">
        <w:rPr>
          <w:noProof/>
        </w:rPr>
        <w:t>2</w:t>
      </w:r>
      <w:r>
        <w:rPr>
          <w:noProof/>
        </w:rPr>
        <w:fldChar w:fldCharType="end"/>
      </w:r>
      <w:r>
        <w:t xml:space="preserve"> </w:t>
      </w:r>
      <w:r w:rsidR="002521EC" w:rsidRPr="002521EC">
        <w:t>TiLV disease in Nile tilapia (</w:t>
      </w:r>
      <w:r w:rsidR="002521EC" w:rsidRPr="00880A10">
        <w:rPr>
          <w:rStyle w:val="Emphasis"/>
        </w:rPr>
        <w:t>O</w:t>
      </w:r>
      <w:r w:rsidR="007F1EDC" w:rsidRPr="00266BD4">
        <w:rPr>
          <w:rStyle w:val="Emphasis"/>
        </w:rPr>
        <w:t>reochromis</w:t>
      </w:r>
      <w:r w:rsidR="002521EC" w:rsidRPr="00880A10">
        <w:rPr>
          <w:rStyle w:val="Emphasis"/>
        </w:rPr>
        <w:t xml:space="preserve"> </w:t>
      </w:r>
      <w:r w:rsidR="002521EC" w:rsidRPr="007F1EDC">
        <w:rPr>
          <w:rStyle w:val="Emphasis"/>
        </w:rPr>
        <w:t>niloticus</w:t>
      </w:r>
      <w:r w:rsidR="002521EC" w:rsidRPr="007F1EDC">
        <w:t>) fingerlings</w:t>
      </w:r>
    </w:p>
    <w:p w14:paraId="1E87C028" w14:textId="6D22CAEE" w:rsidR="00ED0614" w:rsidRPr="007F1EDC" w:rsidRDefault="00EE053D">
      <w:r>
        <w:rPr>
          <w:noProof/>
          <w:lang w:eastAsia="en-AU"/>
        </w:rPr>
        <w:drawing>
          <wp:inline distT="0" distB="0" distL="0" distR="0" wp14:anchorId="63235F5B" wp14:editId="6ACFEFBD">
            <wp:extent cx="3960000" cy="3466800"/>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960000" cy="3466800"/>
                    </a:xfrm>
                    <a:prstGeom prst="rect">
                      <a:avLst/>
                    </a:prstGeom>
                    <a:noFill/>
                    <a:ln>
                      <a:noFill/>
                    </a:ln>
                  </pic:spPr>
                </pic:pic>
              </a:graphicData>
            </a:graphic>
          </wp:inline>
        </w:drawing>
      </w:r>
    </w:p>
    <w:p w14:paraId="18DC2698" w14:textId="4E9115C8" w:rsidR="002521EC" w:rsidRPr="007F1EDC" w:rsidRDefault="00E260DC" w:rsidP="002521EC">
      <w:pPr>
        <w:pStyle w:val="FigureTableNoteSource"/>
      </w:pPr>
      <w:r w:rsidRPr="007F1EDC">
        <w:t xml:space="preserve">Note: </w:t>
      </w:r>
      <w:r w:rsidR="00225749">
        <w:t>N</w:t>
      </w:r>
      <w:r w:rsidR="002521EC" w:rsidRPr="007F1EDC">
        <w:t>aturally infected fish exhibit</w:t>
      </w:r>
      <w:r w:rsidR="00225749">
        <w:t>ing</w:t>
      </w:r>
      <w:r w:rsidR="002521EC" w:rsidRPr="007F1EDC">
        <w:t xml:space="preserve"> discolouration and scale protrusion.</w:t>
      </w:r>
    </w:p>
    <w:p w14:paraId="2499A18D" w14:textId="5CA1A8C3" w:rsidR="00ED0614" w:rsidRDefault="002521EC" w:rsidP="002521EC">
      <w:pPr>
        <w:pStyle w:val="FigureTableNoteSource"/>
      </w:pPr>
      <w:r w:rsidRPr="007F1EDC">
        <w:t>Source: HT Dong</w:t>
      </w:r>
      <w:r w:rsidR="00CB11B9" w:rsidRPr="007F1EDC">
        <w:t>.</w:t>
      </w:r>
    </w:p>
    <w:p w14:paraId="34D7581A" w14:textId="77777777" w:rsidR="00ED0614" w:rsidRDefault="00E260DC">
      <w:pPr>
        <w:pStyle w:val="Heading2"/>
      </w:pPr>
      <w:r>
        <w:lastRenderedPageBreak/>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515CAC0C" w14:textId="4AFCEF8D" w:rsidR="002521EC" w:rsidRDefault="002521EC" w:rsidP="002521EC">
      <w:pPr>
        <w:pStyle w:val="ListBullet"/>
        <w:rPr>
          <w:lang w:eastAsia="ja-JP"/>
        </w:rPr>
      </w:pPr>
      <w:r>
        <w:rPr>
          <w:lang w:eastAsia="ja-JP"/>
        </w:rPr>
        <w:t>sudden unexpected increase in mortalities (</w:t>
      </w:r>
      <w:r w:rsidR="00876983">
        <w:rPr>
          <w:lang w:eastAsia="ja-JP"/>
        </w:rPr>
        <w:t xml:space="preserve">greater than </w:t>
      </w:r>
      <w:r>
        <w:rPr>
          <w:lang w:eastAsia="ja-JP"/>
        </w:rPr>
        <w:t>2%</w:t>
      </w:r>
      <w:r w:rsidR="00876983">
        <w:rPr>
          <w:lang w:eastAsia="ja-JP"/>
        </w:rPr>
        <w:t xml:space="preserve"> per </w:t>
      </w:r>
      <w:r>
        <w:rPr>
          <w:lang w:eastAsia="ja-JP"/>
        </w:rPr>
        <w:t>day) over several days during the summer months</w:t>
      </w:r>
    </w:p>
    <w:p w14:paraId="6B4135FA" w14:textId="710CFDF6" w:rsidR="002521EC" w:rsidRDefault="002521EC" w:rsidP="002521EC">
      <w:pPr>
        <w:pStyle w:val="ListBullet"/>
        <w:rPr>
          <w:lang w:eastAsia="ja-JP"/>
        </w:rPr>
      </w:pPr>
      <w:r>
        <w:rPr>
          <w:lang w:eastAsia="ja-JP"/>
        </w:rPr>
        <w:t>cumulative mortality up to</w:t>
      </w:r>
      <w:r w:rsidR="00876983">
        <w:rPr>
          <w:lang w:eastAsia="ja-JP"/>
        </w:rPr>
        <w:t> </w:t>
      </w:r>
      <w:r>
        <w:rPr>
          <w:lang w:eastAsia="ja-JP"/>
        </w:rPr>
        <w:t>90% within 1</w:t>
      </w:r>
      <w:r w:rsidR="00876983">
        <w:rPr>
          <w:lang w:eastAsia="ja-JP"/>
        </w:rPr>
        <w:t> </w:t>
      </w:r>
      <w:r>
        <w:rPr>
          <w:lang w:eastAsia="ja-JP"/>
        </w:rPr>
        <w:t>month of stocking fingerlings into freshwater or brackish water ponds</w:t>
      </w:r>
    </w:p>
    <w:p w14:paraId="3FC0AE0F" w14:textId="06F8960D" w:rsidR="002521EC" w:rsidRDefault="002521EC" w:rsidP="002521EC">
      <w:pPr>
        <w:pStyle w:val="ListBullet"/>
        <w:rPr>
          <w:lang w:eastAsia="ja-JP"/>
        </w:rPr>
      </w:pPr>
      <w:r>
        <w:rPr>
          <w:lang w:eastAsia="ja-JP"/>
        </w:rPr>
        <w:t>high mortalities in 1</w:t>
      </w:r>
      <w:r w:rsidR="00876983">
        <w:rPr>
          <w:lang w:eastAsia="ja-JP"/>
        </w:rPr>
        <w:t xml:space="preserve"> to </w:t>
      </w:r>
      <w:r>
        <w:rPr>
          <w:lang w:eastAsia="ja-JP"/>
        </w:rPr>
        <w:t>50g fish, lower mortalities (</w:t>
      </w:r>
      <w:r w:rsidR="00A00CC6">
        <w:rPr>
          <w:lang w:eastAsia="ja-JP"/>
        </w:rPr>
        <w:t xml:space="preserve">approximately </w:t>
      </w:r>
      <w:r>
        <w:rPr>
          <w:lang w:eastAsia="ja-JP"/>
        </w:rPr>
        <w:t>10%) in medium or large fish</w:t>
      </w:r>
    </w:p>
    <w:p w14:paraId="64631B6C" w14:textId="45D76E80" w:rsidR="00ED0614" w:rsidRDefault="002521EC" w:rsidP="002521EC">
      <w:pPr>
        <w:pStyle w:val="ListBullet"/>
        <w:rPr>
          <w:lang w:eastAsia="ja-JP"/>
        </w:rPr>
      </w:pPr>
      <w:r>
        <w:rPr>
          <w:lang w:eastAsia="ja-JP"/>
        </w:rPr>
        <w:t>lethargy, loss of appetite, and respiratory distress (breathing at surface</w:t>
      </w:r>
      <w:r w:rsidR="00CB11B9">
        <w:rPr>
          <w:lang w:eastAsia="ja-JP"/>
        </w:rPr>
        <w:t>)</w:t>
      </w:r>
      <w:r w:rsidR="00E260DC">
        <w:rPr>
          <w:lang w:eastAsia="ja-JP"/>
        </w:rPr>
        <w:t>.</w:t>
      </w:r>
    </w:p>
    <w:p w14:paraId="7418287E" w14:textId="2E8CCC13" w:rsidR="00CD0FA5" w:rsidRDefault="00DF2031" w:rsidP="00DF2031">
      <w:pPr>
        <w:rPr>
          <w:lang w:eastAsia="ja-JP"/>
        </w:rPr>
      </w:pPr>
      <w:r>
        <w:rPr>
          <w:lang w:eastAsia="ja-JP"/>
        </w:rPr>
        <w:t xml:space="preserve">Gross </w:t>
      </w:r>
      <w:r w:rsidRPr="00DF2031">
        <w:t>pathological</w:t>
      </w:r>
      <w:r>
        <w:rPr>
          <w:lang w:eastAsia="ja-JP"/>
        </w:rPr>
        <w:t xml:space="preserve"> signs </w:t>
      </w:r>
      <w:r w:rsidR="00CD0FA5">
        <w:rPr>
          <w:lang w:eastAsia="ja-JP"/>
        </w:rPr>
        <w:t>are:</w:t>
      </w:r>
    </w:p>
    <w:p w14:paraId="435EF7FE" w14:textId="06626C59" w:rsidR="002521EC" w:rsidRDefault="002521EC" w:rsidP="002521EC">
      <w:pPr>
        <w:pStyle w:val="ListBullet"/>
        <w:rPr>
          <w:lang w:eastAsia="ja-JP"/>
        </w:rPr>
      </w:pPr>
      <w:r>
        <w:rPr>
          <w:lang w:eastAsia="ja-JP"/>
        </w:rPr>
        <w:t>changes in body colour (darkening or lightening)</w:t>
      </w:r>
    </w:p>
    <w:p w14:paraId="2D5CAD82" w14:textId="77777777" w:rsidR="002521EC" w:rsidRDefault="002521EC" w:rsidP="002521EC">
      <w:pPr>
        <w:pStyle w:val="ListBullet"/>
        <w:rPr>
          <w:lang w:eastAsia="ja-JP"/>
        </w:rPr>
      </w:pPr>
      <w:r>
        <w:rPr>
          <w:lang w:eastAsia="ja-JP"/>
        </w:rPr>
        <w:t>skin erosion resulting in haemorrhagic dermal lesions</w:t>
      </w:r>
    </w:p>
    <w:p w14:paraId="57790CB9" w14:textId="77777777" w:rsidR="002521EC" w:rsidRDefault="002521EC" w:rsidP="002521EC">
      <w:pPr>
        <w:pStyle w:val="ListBullet"/>
        <w:rPr>
          <w:lang w:eastAsia="ja-JP"/>
        </w:rPr>
      </w:pPr>
      <w:r>
        <w:rPr>
          <w:lang w:eastAsia="ja-JP"/>
        </w:rPr>
        <w:t>scale protrusion</w:t>
      </w:r>
    </w:p>
    <w:p w14:paraId="59E9ED65" w14:textId="77777777" w:rsidR="002521EC" w:rsidRDefault="002521EC" w:rsidP="002521EC">
      <w:pPr>
        <w:pStyle w:val="ListBullet"/>
        <w:rPr>
          <w:lang w:eastAsia="ja-JP"/>
        </w:rPr>
      </w:pPr>
      <w:r>
        <w:rPr>
          <w:lang w:eastAsia="ja-JP"/>
        </w:rPr>
        <w:t>exophthalmos (popeye) and opacity of the eye lens (cataract)</w:t>
      </w:r>
    </w:p>
    <w:p w14:paraId="06EC2B36" w14:textId="7E4533DF" w:rsidR="00ED0614" w:rsidRDefault="002521EC" w:rsidP="002521EC">
      <w:pPr>
        <w:pStyle w:val="ListBullet"/>
        <w:rPr>
          <w:lang w:eastAsia="ja-JP"/>
        </w:rPr>
      </w:pPr>
      <w:r>
        <w:rPr>
          <w:lang w:eastAsia="ja-JP"/>
        </w:rPr>
        <w:t>abdominal distension (due to fluid or enlargement of spleen and other organs).</w:t>
      </w:r>
    </w:p>
    <w:p w14:paraId="2D426F0A" w14:textId="77777777" w:rsidR="00ED0614" w:rsidRDefault="00E260DC">
      <w:pPr>
        <w:rPr>
          <w:lang w:eastAsia="ja-JP"/>
        </w:rPr>
      </w:pPr>
      <w:r>
        <w:rPr>
          <w:lang w:eastAsia="ja-JP"/>
        </w:rPr>
        <w:t>Microscopic pathological signs are:</w:t>
      </w:r>
    </w:p>
    <w:p w14:paraId="7F900C8C" w14:textId="77777777" w:rsidR="002521EC" w:rsidRPr="002521EC" w:rsidRDefault="002521EC" w:rsidP="002521EC">
      <w:pPr>
        <w:pStyle w:val="ListBullet"/>
        <w:rPr>
          <w:lang w:val="en-US"/>
        </w:rPr>
      </w:pPr>
      <w:r w:rsidRPr="002521EC">
        <w:rPr>
          <w:lang w:val="en-US"/>
        </w:rPr>
        <w:t>lesions in the brain including oedema, focal haemorrhages in the leptomeninges, and capillary congestion in both the white and grey matter and neural degeneration</w:t>
      </w:r>
    </w:p>
    <w:p w14:paraId="543E64EC" w14:textId="77777777" w:rsidR="002521EC" w:rsidRPr="002521EC" w:rsidRDefault="002521EC" w:rsidP="002521EC">
      <w:pPr>
        <w:pStyle w:val="ListBullet"/>
        <w:rPr>
          <w:lang w:val="en-US"/>
        </w:rPr>
      </w:pPr>
      <w:r w:rsidRPr="002521EC">
        <w:rPr>
          <w:lang w:val="en-US"/>
        </w:rPr>
        <w:t>congestion of internal organs (liver, kidney, spleen, brain, gills) with foci of gliosis and perivascular cuffing of lymphocytes in the brain cortex, and melanomacrophage proliferation in liver and spleen</w:t>
      </w:r>
    </w:p>
    <w:p w14:paraId="78B29A8E" w14:textId="77777777" w:rsidR="002521EC" w:rsidRPr="002521EC" w:rsidRDefault="002521EC" w:rsidP="002521EC">
      <w:pPr>
        <w:pStyle w:val="ListBullet"/>
        <w:rPr>
          <w:lang w:val="en-US"/>
        </w:rPr>
      </w:pPr>
      <w:r w:rsidRPr="002521EC">
        <w:rPr>
          <w:lang w:val="en-US"/>
        </w:rPr>
        <w:t>formation of syncytia in the epithelium of hepatocytes (syncytial hepatitis of the liver)</w:t>
      </w:r>
    </w:p>
    <w:p w14:paraId="68AAA3DA" w14:textId="76E03E35" w:rsidR="00ED0614" w:rsidRDefault="002521EC" w:rsidP="002521EC">
      <w:pPr>
        <w:pStyle w:val="ListBullet"/>
        <w:rPr>
          <w:lang w:val="en-US"/>
        </w:rPr>
      </w:pPr>
      <w:r w:rsidRPr="002521EC">
        <w:rPr>
          <w:lang w:val="en-US"/>
        </w:rPr>
        <w:t>ocular inflammation including endophthalmitis and cataractous changes of the lens</w:t>
      </w:r>
      <w:r w:rsidR="00E260DC">
        <w:rPr>
          <w:lang w:val="en-US"/>
        </w:rPr>
        <w:t>.</w:t>
      </w:r>
    </w:p>
    <w:p w14:paraId="755CDE80" w14:textId="77777777" w:rsidR="00ED0614" w:rsidRDefault="00E260DC">
      <w:pPr>
        <w:pStyle w:val="Heading2"/>
      </w:pPr>
      <w:r>
        <w:t>Disease agent</w:t>
      </w:r>
    </w:p>
    <w:p w14:paraId="6DA6A451" w14:textId="2D97F6F4" w:rsidR="00272CEE" w:rsidRDefault="002521EC" w:rsidP="00876983">
      <w:r w:rsidRPr="00876983">
        <w:t>Tilapia</w:t>
      </w:r>
      <w:r w:rsidRPr="002521EC">
        <w:t xml:space="preserve"> lake virus disease</w:t>
      </w:r>
      <w:r w:rsidR="00225749">
        <w:t>,</w:t>
      </w:r>
      <w:r w:rsidRPr="002521EC">
        <w:t xml:space="preserve"> </w:t>
      </w:r>
      <w:r w:rsidR="00225749">
        <w:t>or</w:t>
      </w:r>
      <w:r w:rsidRPr="002521EC">
        <w:t xml:space="preserve"> syncytial hepatitis of tilapia </w:t>
      </w:r>
      <w:r w:rsidR="00225749">
        <w:t>(</w:t>
      </w:r>
      <w:r w:rsidRPr="002521EC">
        <w:t>SHT)</w:t>
      </w:r>
      <w:r w:rsidR="00225749">
        <w:t>,</w:t>
      </w:r>
      <w:r w:rsidRPr="002521EC">
        <w:t xml:space="preserve"> is caused by infection with tilapia lake virus (TiLV)</w:t>
      </w:r>
      <w:r w:rsidR="00225749">
        <w:t>. TiLV is</w:t>
      </w:r>
      <w:r w:rsidRPr="002521EC">
        <w:t xml:space="preserve"> an enveloped, negative-sense, single-stranded RNA virus that has been classified as a relative of the </w:t>
      </w:r>
      <w:r w:rsidRPr="00876983">
        <w:rPr>
          <w:rStyle w:val="Emphasis"/>
        </w:rPr>
        <w:t>Orthomyxoviridae</w:t>
      </w:r>
      <w:r w:rsidRPr="002521EC">
        <w:t xml:space="preserve"> family of viruses.</w:t>
      </w:r>
    </w:p>
    <w:p w14:paraId="54C7B5E3" w14:textId="705F7C59" w:rsidR="00CB11B9" w:rsidRPr="00CB11B9" w:rsidRDefault="002521EC" w:rsidP="00876983">
      <w:r w:rsidRPr="002521EC">
        <w:t>TiLV was first officially documented in Ecuador and Israel in</w:t>
      </w:r>
      <w:r w:rsidR="00876983">
        <w:t> </w:t>
      </w:r>
      <w:r w:rsidRPr="002521EC">
        <w:t>2013 and</w:t>
      </w:r>
      <w:r w:rsidR="00876983">
        <w:t> </w:t>
      </w:r>
      <w:r w:rsidRPr="002521EC">
        <w:t>2014, respectively</w:t>
      </w:r>
      <w:r w:rsidR="00876983">
        <w:t>. However</w:t>
      </w:r>
      <w:r w:rsidRPr="002521EC">
        <w:t xml:space="preserve">, </w:t>
      </w:r>
      <w:r w:rsidR="00876983">
        <w:t>it</w:t>
      </w:r>
      <w:r w:rsidRPr="002521EC">
        <w:t xml:space="preserve"> is believed to have been responsible for mass mortalities in farmed tilapia in Israel since</w:t>
      </w:r>
      <w:r w:rsidR="00876983">
        <w:t> </w:t>
      </w:r>
      <w:r w:rsidRPr="002521EC">
        <w:t>2009. The disease agent has since been found in Thailand</w:t>
      </w:r>
      <w:r w:rsidR="00586F0B">
        <w:t>,</w:t>
      </w:r>
      <w:r w:rsidRPr="002521EC">
        <w:t xml:space="preserve"> Malaysia</w:t>
      </w:r>
      <w:r w:rsidR="00586F0B">
        <w:t xml:space="preserve"> and the USA,</w:t>
      </w:r>
      <w:r w:rsidRPr="002521EC">
        <w:t xml:space="preserve"> and may have been spread to many other parts of Asia and Africa due to translocation of live tilapia for aquaculture.</w:t>
      </w:r>
    </w:p>
    <w:p w14:paraId="10B41ACC" w14:textId="77777777" w:rsidR="00ED0614" w:rsidRDefault="00E260DC">
      <w:pPr>
        <w:pStyle w:val="Heading2"/>
        <w:keepLines/>
      </w:pPr>
      <w:r>
        <w:lastRenderedPageBreak/>
        <w:t>Host range</w:t>
      </w:r>
    </w:p>
    <w:p w14:paraId="63E14290" w14:textId="17231E01" w:rsidR="00ED0614" w:rsidRDefault="00E260DC">
      <w:pPr>
        <w:pStyle w:val="Caption"/>
      </w:pPr>
      <w:r>
        <w:t xml:space="preserve">Table </w:t>
      </w:r>
      <w:r>
        <w:rPr>
          <w:noProof/>
        </w:rPr>
        <w:fldChar w:fldCharType="begin"/>
      </w:r>
      <w:r>
        <w:rPr>
          <w:noProof/>
        </w:rPr>
        <w:instrText xml:space="preserve"> SEQ Table \* ARABIC </w:instrText>
      </w:r>
      <w:r>
        <w:rPr>
          <w:noProof/>
        </w:rPr>
        <w:fldChar w:fldCharType="separate"/>
      </w:r>
      <w:r w:rsidR="00DA2645">
        <w:rPr>
          <w:noProof/>
        </w:rPr>
        <w:t>1</w:t>
      </w:r>
      <w:r>
        <w:rPr>
          <w:noProof/>
        </w:rPr>
        <w:fldChar w:fldCharType="end"/>
      </w:r>
      <w:r>
        <w:t xml:space="preserve"> </w:t>
      </w:r>
      <w:r w:rsidR="00CB11B9" w:rsidRPr="00CB11B9">
        <w:t xml:space="preserve">Species known to be susceptible to </w:t>
      </w:r>
      <w:r w:rsidR="002521EC">
        <w:t>TiLV</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2521EC" w14:paraId="3B818FD2" w14:textId="77777777">
        <w:trPr>
          <w:cantSplit/>
          <w:trHeight w:val="315"/>
        </w:trPr>
        <w:tc>
          <w:tcPr>
            <w:tcW w:w="2500" w:type="pct"/>
            <w:tcBorders>
              <w:top w:val="single" w:sz="4" w:space="0" w:color="auto"/>
            </w:tcBorders>
            <w:noWrap/>
          </w:tcPr>
          <w:p w14:paraId="2F3C0965" w14:textId="1A032B66" w:rsidR="002521EC" w:rsidRDefault="002521EC" w:rsidP="002521EC">
            <w:pPr>
              <w:pStyle w:val="TableText"/>
            </w:pPr>
            <w:r w:rsidRPr="00E41CC4">
              <w:t>Blue tilapia</w:t>
            </w:r>
            <w:r w:rsidR="00503E70" w:rsidRPr="00503E70">
              <w:rPr>
                <w:vertAlign w:val="superscript"/>
              </w:rPr>
              <w:t>a</w:t>
            </w:r>
          </w:p>
        </w:tc>
        <w:tc>
          <w:tcPr>
            <w:tcW w:w="2500" w:type="pct"/>
            <w:tcBorders>
              <w:top w:val="single" w:sz="4" w:space="0" w:color="auto"/>
            </w:tcBorders>
            <w:noWrap/>
          </w:tcPr>
          <w:p w14:paraId="2D4141AF" w14:textId="41E6A39D" w:rsidR="002521EC" w:rsidRPr="00876983" w:rsidRDefault="002521EC" w:rsidP="002521EC">
            <w:pPr>
              <w:pStyle w:val="TableText"/>
              <w:rPr>
                <w:rStyle w:val="Emphasis"/>
              </w:rPr>
            </w:pPr>
            <w:r w:rsidRPr="00876983">
              <w:rPr>
                <w:rStyle w:val="Emphasis"/>
              </w:rPr>
              <w:t>Oreochromis aureus</w:t>
            </w:r>
          </w:p>
        </w:tc>
      </w:tr>
      <w:tr w:rsidR="002521EC" w14:paraId="163A359F" w14:textId="77777777">
        <w:trPr>
          <w:cantSplit/>
          <w:trHeight w:val="315"/>
        </w:trPr>
        <w:tc>
          <w:tcPr>
            <w:tcW w:w="2500" w:type="pct"/>
            <w:noWrap/>
          </w:tcPr>
          <w:p w14:paraId="74773C6F" w14:textId="7E040A33" w:rsidR="002521EC" w:rsidRDefault="002521EC" w:rsidP="002521EC">
            <w:pPr>
              <w:pStyle w:val="TableText"/>
            </w:pPr>
            <w:r w:rsidRPr="00E41CC4">
              <w:t>Cichlids</w:t>
            </w:r>
          </w:p>
        </w:tc>
        <w:tc>
          <w:tcPr>
            <w:tcW w:w="2500" w:type="pct"/>
            <w:noWrap/>
          </w:tcPr>
          <w:p w14:paraId="1D5663AA" w14:textId="650CBFFD" w:rsidR="002521EC" w:rsidRPr="00876983" w:rsidRDefault="002521EC" w:rsidP="002521EC">
            <w:pPr>
              <w:pStyle w:val="TableText"/>
              <w:rPr>
                <w:rStyle w:val="Emphasis"/>
                <w:rFonts w:eastAsia="SimSun"/>
              </w:rPr>
            </w:pPr>
            <w:r w:rsidRPr="00876983">
              <w:rPr>
                <w:rStyle w:val="Emphasis"/>
              </w:rPr>
              <w:t>Cichlidae, all species</w:t>
            </w:r>
          </w:p>
        </w:tc>
      </w:tr>
      <w:tr w:rsidR="002521EC" w14:paraId="5C3B7FD0" w14:textId="77777777">
        <w:trPr>
          <w:cantSplit/>
          <w:trHeight w:val="315"/>
        </w:trPr>
        <w:tc>
          <w:tcPr>
            <w:tcW w:w="2500" w:type="pct"/>
            <w:noWrap/>
          </w:tcPr>
          <w:p w14:paraId="5227C577" w14:textId="7673651B" w:rsidR="002521EC" w:rsidRDefault="002521EC" w:rsidP="002521EC">
            <w:pPr>
              <w:pStyle w:val="TableText"/>
            </w:pPr>
            <w:r w:rsidRPr="00E41CC4">
              <w:t>Malaysian red hybrid tilapia</w:t>
            </w:r>
            <w:r w:rsidR="00503E70" w:rsidRPr="00503E70">
              <w:rPr>
                <w:vertAlign w:val="superscript"/>
              </w:rPr>
              <w:t>a</w:t>
            </w:r>
          </w:p>
        </w:tc>
        <w:tc>
          <w:tcPr>
            <w:tcW w:w="2500" w:type="pct"/>
            <w:noWrap/>
          </w:tcPr>
          <w:p w14:paraId="5ACF429E" w14:textId="3D163F89" w:rsidR="002521EC" w:rsidRPr="00876983" w:rsidRDefault="00E75B4A" w:rsidP="006850B8">
            <w:pPr>
              <w:pStyle w:val="TableText"/>
              <w:rPr>
                <w:rStyle w:val="Emphasis"/>
                <w:rFonts w:eastAsia="SimSun"/>
              </w:rPr>
            </w:pPr>
            <w:r>
              <w:rPr>
                <w:rStyle w:val="Emphasis"/>
              </w:rPr>
              <w:t xml:space="preserve">Oreochromis niloticus </w:t>
            </w:r>
            <w:r w:rsidR="006850B8" w:rsidRPr="00273FEF">
              <w:t>×</w:t>
            </w:r>
            <w:r>
              <w:rPr>
                <w:rStyle w:val="Emphasis"/>
              </w:rPr>
              <w:t xml:space="preserve"> </w:t>
            </w:r>
            <w:r w:rsidR="006850B8">
              <w:rPr>
                <w:rStyle w:val="Emphasis"/>
              </w:rPr>
              <w:t xml:space="preserve">O. </w:t>
            </w:r>
            <w:r w:rsidR="002521EC" w:rsidRPr="00876983">
              <w:rPr>
                <w:rStyle w:val="Emphasis"/>
              </w:rPr>
              <w:t>mossambicus</w:t>
            </w:r>
          </w:p>
        </w:tc>
      </w:tr>
      <w:tr w:rsidR="002521EC" w14:paraId="42EB7617" w14:textId="77777777">
        <w:trPr>
          <w:cantSplit/>
          <w:trHeight w:val="315"/>
        </w:trPr>
        <w:tc>
          <w:tcPr>
            <w:tcW w:w="2500" w:type="pct"/>
            <w:noWrap/>
          </w:tcPr>
          <w:p w14:paraId="71A33549" w14:textId="04C4B2C1" w:rsidR="002521EC" w:rsidRDefault="002521EC" w:rsidP="002521EC">
            <w:pPr>
              <w:pStyle w:val="TableText"/>
            </w:pPr>
            <w:r w:rsidRPr="00E41CC4">
              <w:t>Mango tilapia</w:t>
            </w:r>
            <w:r w:rsidR="00503E70" w:rsidRPr="00503E70">
              <w:rPr>
                <w:vertAlign w:val="superscript"/>
              </w:rPr>
              <w:t>a</w:t>
            </w:r>
          </w:p>
        </w:tc>
        <w:tc>
          <w:tcPr>
            <w:tcW w:w="2500" w:type="pct"/>
            <w:noWrap/>
          </w:tcPr>
          <w:p w14:paraId="1D4032D9" w14:textId="6EA49D9F" w:rsidR="002521EC" w:rsidRPr="00876983" w:rsidRDefault="002521EC" w:rsidP="002521EC">
            <w:pPr>
              <w:pStyle w:val="TableText"/>
              <w:rPr>
                <w:rStyle w:val="Emphasis"/>
                <w:rFonts w:eastAsia="SimSun"/>
              </w:rPr>
            </w:pPr>
            <w:r w:rsidRPr="00876983">
              <w:rPr>
                <w:rStyle w:val="Emphasis"/>
              </w:rPr>
              <w:t>Sarotherodon galilaeus</w:t>
            </w:r>
          </w:p>
        </w:tc>
      </w:tr>
      <w:tr w:rsidR="002521EC" w14:paraId="2B6394AD" w14:textId="77777777">
        <w:trPr>
          <w:cantSplit/>
          <w:trHeight w:val="315"/>
        </w:trPr>
        <w:tc>
          <w:tcPr>
            <w:tcW w:w="2500" w:type="pct"/>
            <w:noWrap/>
          </w:tcPr>
          <w:p w14:paraId="5E1E203A" w14:textId="6C28C6D8" w:rsidR="002521EC" w:rsidRDefault="002521EC" w:rsidP="002521EC">
            <w:pPr>
              <w:pStyle w:val="TableText"/>
            </w:pPr>
            <w:r w:rsidRPr="00E41CC4">
              <w:t>Nile tilapia</w:t>
            </w:r>
            <w:r w:rsidR="00503E70" w:rsidRPr="00503E70">
              <w:rPr>
                <w:vertAlign w:val="superscript"/>
              </w:rPr>
              <w:t>a</w:t>
            </w:r>
          </w:p>
        </w:tc>
        <w:tc>
          <w:tcPr>
            <w:tcW w:w="2500" w:type="pct"/>
            <w:noWrap/>
          </w:tcPr>
          <w:p w14:paraId="44C74309" w14:textId="4EB6837A" w:rsidR="002521EC" w:rsidRPr="00876983" w:rsidRDefault="002521EC" w:rsidP="002521EC">
            <w:pPr>
              <w:pStyle w:val="TableText"/>
              <w:rPr>
                <w:rStyle w:val="Emphasis"/>
              </w:rPr>
            </w:pPr>
            <w:r w:rsidRPr="00876983">
              <w:rPr>
                <w:rStyle w:val="Emphasis"/>
              </w:rPr>
              <w:t xml:space="preserve">Oreochromis niloticus </w:t>
            </w:r>
          </w:p>
        </w:tc>
      </w:tr>
      <w:tr w:rsidR="002521EC" w14:paraId="6920FABC" w14:textId="77777777">
        <w:trPr>
          <w:cantSplit/>
          <w:trHeight w:val="315"/>
        </w:trPr>
        <w:tc>
          <w:tcPr>
            <w:tcW w:w="2500" w:type="pct"/>
            <w:noWrap/>
          </w:tcPr>
          <w:p w14:paraId="264B739C" w14:textId="71C80DDA" w:rsidR="002521EC" w:rsidRDefault="002521EC" w:rsidP="002521EC">
            <w:pPr>
              <w:pStyle w:val="TableText"/>
            </w:pPr>
            <w:r w:rsidRPr="00E41CC4">
              <w:t>Redbelly tilapia</w:t>
            </w:r>
            <w:r w:rsidR="00503E70" w:rsidRPr="00503E70">
              <w:rPr>
                <w:vertAlign w:val="superscript"/>
              </w:rPr>
              <w:t>a</w:t>
            </w:r>
          </w:p>
        </w:tc>
        <w:tc>
          <w:tcPr>
            <w:tcW w:w="2500" w:type="pct"/>
            <w:noWrap/>
          </w:tcPr>
          <w:p w14:paraId="379EFB71" w14:textId="6A38C1DC" w:rsidR="002521EC" w:rsidRPr="00876983" w:rsidRDefault="002521EC" w:rsidP="002521EC">
            <w:pPr>
              <w:pStyle w:val="TableText"/>
              <w:rPr>
                <w:rStyle w:val="Emphasis"/>
              </w:rPr>
            </w:pPr>
            <w:r w:rsidRPr="00876983">
              <w:rPr>
                <w:rStyle w:val="Emphasis"/>
              </w:rPr>
              <w:t>Tilapia zilli</w:t>
            </w:r>
          </w:p>
        </w:tc>
      </w:tr>
      <w:tr w:rsidR="002521EC" w14:paraId="0D6ED91A" w14:textId="77777777">
        <w:trPr>
          <w:cantSplit/>
          <w:trHeight w:val="315"/>
        </w:trPr>
        <w:tc>
          <w:tcPr>
            <w:tcW w:w="2500" w:type="pct"/>
            <w:noWrap/>
          </w:tcPr>
          <w:p w14:paraId="3198F7CB" w14:textId="17E0D279" w:rsidR="002521EC" w:rsidRPr="002F7844" w:rsidRDefault="002521EC" w:rsidP="002521EC">
            <w:pPr>
              <w:pStyle w:val="TableText"/>
            </w:pPr>
            <w:r w:rsidRPr="00E41CC4">
              <w:t>Tilapias</w:t>
            </w:r>
          </w:p>
        </w:tc>
        <w:tc>
          <w:tcPr>
            <w:tcW w:w="2500" w:type="pct"/>
            <w:noWrap/>
          </w:tcPr>
          <w:p w14:paraId="5466F917" w14:textId="75C7C597" w:rsidR="002521EC" w:rsidRPr="00876983" w:rsidRDefault="002521EC" w:rsidP="00876983">
            <w:pPr>
              <w:pStyle w:val="TableText"/>
              <w:rPr>
                <w:rStyle w:val="Emphasis"/>
                <w:i w:val="0"/>
                <w:iCs w:val="0"/>
              </w:rPr>
            </w:pPr>
            <w:r w:rsidRPr="00876983">
              <w:t>Various genera and species</w:t>
            </w:r>
          </w:p>
        </w:tc>
      </w:tr>
      <w:tr w:rsidR="002521EC" w14:paraId="50940242" w14:textId="77777777">
        <w:trPr>
          <w:cantSplit/>
          <w:trHeight w:val="315"/>
        </w:trPr>
        <w:tc>
          <w:tcPr>
            <w:tcW w:w="2500" w:type="pct"/>
            <w:noWrap/>
          </w:tcPr>
          <w:p w14:paraId="708B6394" w14:textId="7DA66474" w:rsidR="002521EC" w:rsidRPr="002F7844" w:rsidRDefault="002521EC" w:rsidP="002521EC">
            <w:pPr>
              <w:pStyle w:val="TableText"/>
            </w:pPr>
            <w:r w:rsidRPr="00E41CC4">
              <w:t>Tilapia hybrids</w:t>
            </w:r>
            <w:r w:rsidR="00503E70" w:rsidRPr="00503E70">
              <w:rPr>
                <w:vertAlign w:val="superscript"/>
              </w:rPr>
              <w:t>a</w:t>
            </w:r>
          </w:p>
        </w:tc>
        <w:tc>
          <w:tcPr>
            <w:tcW w:w="2500" w:type="pct"/>
            <w:noWrap/>
          </w:tcPr>
          <w:p w14:paraId="2E781A41" w14:textId="4EBBE54F" w:rsidR="002521EC" w:rsidRPr="00876983" w:rsidRDefault="006850B8" w:rsidP="002521EC">
            <w:pPr>
              <w:pStyle w:val="TableText"/>
              <w:rPr>
                <w:rStyle w:val="Emphasis"/>
              </w:rPr>
            </w:pPr>
            <w:r w:rsidRPr="00AE3C49">
              <w:rPr>
                <w:rStyle w:val="Emphasis"/>
              </w:rPr>
              <w:t>Oreochromis</w:t>
            </w:r>
            <w:r w:rsidR="002521EC" w:rsidRPr="00876983">
              <w:rPr>
                <w:rStyle w:val="Emphasis"/>
              </w:rPr>
              <w:t xml:space="preserve"> niloticus </w:t>
            </w:r>
            <w:r w:rsidRPr="00273FEF">
              <w:t>×</w:t>
            </w:r>
            <w:r w:rsidR="002521EC" w:rsidRPr="00876983">
              <w:rPr>
                <w:rStyle w:val="Emphasis"/>
              </w:rPr>
              <w:t xml:space="preserve"> O. aureus</w:t>
            </w:r>
          </w:p>
        </w:tc>
      </w:tr>
      <w:tr w:rsidR="002521EC" w14:paraId="0E71F767" w14:textId="77777777">
        <w:trPr>
          <w:cantSplit/>
          <w:trHeight w:val="315"/>
        </w:trPr>
        <w:tc>
          <w:tcPr>
            <w:tcW w:w="2500" w:type="pct"/>
            <w:noWrap/>
          </w:tcPr>
          <w:p w14:paraId="5927853A" w14:textId="10B85BDB" w:rsidR="002521EC" w:rsidRPr="002F7844" w:rsidRDefault="002521EC" w:rsidP="002521EC">
            <w:pPr>
              <w:pStyle w:val="TableText"/>
            </w:pPr>
            <w:r w:rsidRPr="00E41CC4">
              <w:t>Tinfoil barb</w:t>
            </w:r>
            <w:r w:rsidR="00503E70" w:rsidRPr="00503E70">
              <w:rPr>
                <w:vertAlign w:val="superscript"/>
              </w:rPr>
              <w:t>a</w:t>
            </w:r>
          </w:p>
        </w:tc>
        <w:tc>
          <w:tcPr>
            <w:tcW w:w="2500" w:type="pct"/>
            <w:noWrap/>
          </w:tcPr>
          <w:p w14:paraId="5C2EE772" w14:textId="108773A4" w:rsidR="002521EC" w:rsidRPr="00876983" w:rsidRDefault="002521EC" w:rsidP="002521EC">
            <w:pPr>
              <w:pStyle w:val="TableText"/>
              <w:rPr>
                <w:rStyle w:val="Emphasis"/>
              </w:rPr>
            </w:pPr>
            <w:r w:rsidRPr="00876983">
              <w:rPr>
                <w:rStyle w:val="Emphasis"/>
              </w:rPr>
              <w:t>Barbonymus schwanenfeldii</w:t>
            </w:r>
          </w:p>
        </w:tc>
      </w:tr>
      <w:tr w:rsidR="002521EC" w14:paraId="037225C0" w14:textId="77777777">
        <w:trPr>
          <w:cantSplit/>
          <w:trHeight w:val="315"/>
        </w:trPr>
        <w:tc>
          <w:tcPr>
            <w:tcW w:w="2500" w:type="pct"/>
            <w:noWrap/>
          </w:tcPr>
          <w:p w14:paraId="452CEEFA" w14:textId="611542F8" w:rsidR="002521EC" w:rsidRPr="002F7844" w:rsidRDefault="002521EC" w:rsidP="002521EC">
            <w:pPr>
              <w:pStyle w:val="TableText"/>
            </w:pPr>
            <w:r w:rsidRPr="00E41CC4">
              <w:t>Tvarnun simon</w:t>
            </w:r>
            <w:r w:rsidR="00503E70" w:rsidRPr="00503E70">
              <w:rPr>
                <w:vertAlign w:val="superscript"/>
              </w:rPr>
              <w:t>a</w:t>
            </w:r>
          </w:p>
        </w:tc>
        <w:tc>
          <w:tcPr>
            <w:tcW w:w="2500" w:type="pct"/>
            <w:noWrap/>
          </w:tcPr>
          <w:p w14:paraId="67D8CE60" w14:textId="5484461D" w:rsidR="002521EC" w:rsidRPr="00876983" w:rsidRDefault="002521EC" w:rsidP="002521EC">
            <w:pPr>
              <w:pStyle w:val="TableText"/>
              <w:rPr>
                <w:rStyle w:val="Emphasis"/>
              </w:rPr>
            </w:pPr>
            <w:r w:rsidRPr="00876983">
              <w:rPr>
                <w:rStyle w:val="Emphasis"/>
              </w:rPr>
              <w:t>Tristramella simonis</w:t>
            </w:r>
          </w:p>
        </w:tc>
      </w:tr>
    </w:tbl>
    <w:p w14:paraId="233F7A2B" w14:textId="1A039335" w:rsidR="00DF2031" w:rsidRDefault="00DF2031" w:rsidP="00DF2031">
      <w:pPr>
        <w:pStyle w:val="FigureTableNoteSource"/>
      </w:pPr>
      <w:r w:rsidRPr="00DF2031">
        <w:rPr>
          <w:rStyle w:val="Strong"/>
        </w:rPr>
        <w:t>a</w:t>
      </w:r>
      <w:r w:rsidRPr="00DF2031">
        <w:t xml:space="preserve"> Naturally susceptible</w:t>
      </w:r>
      <w:r>
        <w:t>. Note:</w:t>
      </w:r>
      <w:r w:rsidRPr="00DF2031">
        <w:t xml:space="preserve"> </w:t>
      </w:r>
      <w:r>
        <w:t>O</w:t>
      </w:r>
      <w:r w:rsidRPr="00DF2031">
        <w:t>ther species have been shown to be experimentally susceptible</w:t>
      </w:r>
      <w:r>
        <w:t>.</w:t>
      </w:r>
    </w:p>
    <w:p w14:paraId="07189146" w14:textId="77777777" w:rsidR="00ED0614" w:rsidRDefault="00E260DC">
      <w:pPr>
        <w:pStyle w:val="Heading2"/>
      </w:pPr>
      <w:r>
        <w:t>Presence in Australia</w:t>
      </w:r>
    </w:p>
    <w:p w14:paraId="12DFE40E" w14:textId="277F361A" w:rsidR="00FD7D78" w:rsidRDefault="004B703A">
      <w:pPr>
        <w:keepNext/>
        <w:keepLines/>
      </w:pPr>
      <w:r w:rsidRPr="004B703A">
        <w:t>Exotic disease—not recorded in Australia.</w:t>
      </w:r>
    </w:p>
    <w:p w14:paraId="55B0F228" w14:textId="3342A855"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DA2645">
        <w:rPr>
          <w:noProof/>
        </w:rPr>
        <w:t>1</w:t>
      </w:r>
      <w:r>
        <w:rPr>
          <w:noProof/>
        </w:rPr>
        <w:fldChar w:fldCharType="end"/>
      </w:r>
      <w:r>
        <w:t xml:space="preserve"> Presence </w:t>
      </w:r>
      <w:r w:rsidR="004B703A" w:rsidRPr="004B703A">
        <w:t xml:space="preserve">of </w:t>
      </w:r>
      <w:r w:rsidR="002521EC">
        <w:t>TiLV</w:t>
      </w:r>
      <w:r>
        <w:t>, by jurisdiction</w:t>
      </w:r>
    </w:p>
    <w:p w14:paraId="0046BA22" w14:textId="77777777" w:rsidR="00ED0614" w:rsidRDefault="00E260DC">
      <w:r>
        <w:rPr>
          <w:noProof/>
          <w:lang w:eastAsia="en-AU"/>
        </w:rPr>
        <w:drawing>
          <wp:inline distT="0" distB="0" distL="0" distR="0" wp14:anchorId="1C3B5809" wp14:editId="7EAC54EB">
            <wp:extent cx="4137772" cy="2946411"/>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3" cstate="print">
                      <a:extLst>
                        <a:ext uri="{28A0092B-C50C-407E-A947-70E740481C1C}">
                          <a14:useLocalDpi xmlns:a14="http://schemas.microsoft.com/office/drawing/2010/main"/>
                        </a:ext>
                      </a:extLst>
                    </a:blip>
                    <a:stretch>
                      <a:fillRect/>
                    </a:stretch>
                  </pic:blipFill>
                  <pic:spPr>
                    <a:xfrm>
                      <a:off x="0" y="0"/>
                      <a:ext cx="4137772" cy="2946411"/>
                    </a:xfrm>
                    <a:prstGeom prst="rect">
                      <a:avLst/>
                    </a:prstGeom>
                  </pic:spPr>
                </pic:pic>
              </a:graphicData>
            </a:graphic>
          </wp:inline>
        </w:drawing>
      </w:r>
    </w:p>
    <w:p w14:paraId="345F5669" w14:textId="77777777" w:rsidR="00ED0614" w:rsidRDefault="00E260DC" w:rsidP="009532E5">
      <w:pPr>
        <w:pStyle w:val="Heading2"/>
        <w:keepLines/>
        <w:pageBreakBefore/>
      </w:pPr>
      <w:r>
        <w:lastRenderedPageBreak/>
        <w:t>Epidemiology</w:t>
      </w:r>
    </w:p>
    <w:p w14:paraId="39C32B19" w14:textId="3F80F4AA" w:rsidR="002521EC" w:rsidRDefault="002521EC" w:rsidP="002521EC">
      <w:pPr>
        <w:pStyle w:val="ListBullet"/>
      </w:pPr>
      <w:r>
        <w:t>TiLV appears to cause disease mainly in tilapia and tilapia hybrids (</w:t>
      </w:r>
      <w:r w:rsidRPr="002521EC">
        <w:rPr>
          <w:rStyle w:val="Emphasis"/>
        </w:rPr>
        <w:t>Oreochromis</w:t>
      </w:r>
      <w:r>
        <w:t xml:space="preserve"> spp., </w:t>
      </w:r>
      <w:r w:rsidRPr="002521EC">
        <w:rPr>
          <w:rStyle w:val="Emphasis"/>
        </w:rPr>
        <w:t>Tilapia</w:t>
      </w:r>
      <w:r w:rsidR="00225749">
        <w:t> </w:t>
      </w:r>
      <w:r>
        <w:t>spp.), but has also been detected causing disease in other wild cichlids (</w:t>
      </w:r>
      <w:r w:rsidRPr="002521EC">
        <w:rPr>
          <w:rStyle w:val="Emphasis"/>
        </w:rPr>
        <w:t>Sarotherodon galilaeus</w:t>
      </w:r>
      <w:r>
        <w:t xml:space="preserve">, </w:t>
      </w:r>
      <w:r w:rsidRPr="002521EC">
        <w:rPr>
          <w:rStyle w:val="Emphasis"/>
        </w:rPr>
        <w:t>Tristramella</w:t>
      </w:r>
      <w:r w:rsidR="00225749">
        <w:t> </w:t>
      </w:r>
      <w:r>
        <w:t>spp.) in Israel and tinfoil barbs (</w:t>
      </w:r>
      <w:r w:rsidRPr="002521EC">
        <w:rPr>
          <w:rStyle w:val="Emphasis"/>
        </w:rPr>
        <w:t>Barbonymus schwanenfeldii</w:t>
      </w:r>
      <w:r>
        <w:t>) in Malaysia.</w:t>
      </w:r>
    </w:p>
    <w:p w14:paraId="0F5933CE" w14:textId="22B55FD4" w:rsidR="002521EC" w:rsidRDefault="002521EC" w:rsidP="002521EC">
      <w:pPr>
        <w:pStyle w:val="ListBullet"/>
      </w:pPr>
      <w:r>
        <w:t>TiLV viral particles are sensitive to organic solvents (ether and chloroform), due to their lipid membrane</w:t>
      </w:r>
      <w:r w:rsidR="00876983">
        <w:t>.</w:t>
      </w:r>
      <w:r>
        <w:t xml:space="preserve"> </w:t>
      </w:r>
      <w:r w:rsidR="00876983">
        <w:t>O</w:t>
      </w:r>
      <w:r>
        <w:t>ther orthomyxoviruses similar to TiLV can be inactivated by desiccation or heat at temperatures above</w:t>
      </w:r>
      <w:r w:rsidR="007A0952">
        <w:t> </w:t>
      </w:r>
      <w:r>
        <w:t>56°C for 5</w:t>
      </w:r>
      <w:r w:rsidR="007A0952">
        <w:t> </w:t>
      </w:r>
      <w:r>
        <w:t>minutes, but are stable in water for extended periods.</w:t>
      </w:r>
    </w:p>
    <w:p w14:paraId="6C251184" w14:textId="2EEE40D1" w:rsidR="002521EC" w:rsidRDefault="007A0952" w:rsidP="007A0952">
      <w:pPr>
        <w:pStyle w:val="ListBullet"/>
      </w:pPr>
      <w:r w:rsidRPr="007A0952">
        <w:t>Horizontal transmission (via the water and cohabitation) and vertical transmission have both been demonstrated. Transmission via cannibalism is likely.</w:t>
      </w:r>
    </w:p>
    <w:p w14:paraId="651DF12F" w14:textId="77777777" w:rsidR="002521EC" w:rsidRDefault="002521EC" w:rsidP="002521EC">
      <w:pPr>
        <w:pStyle w:val="ListBullet"/>
      </w:pPr>
      <w:r>
        <w:t>Duration of viral survival outside the host has not been determined.</w:t>
      </w:r>
    </w:p>
    <w:p w14:paraId="45CF7725" w14:textId="48BA7835" w:rsidR="00ED0614" w:rsidRDefault="002521EC" w:rsidP="002521EC">
      <w:pPr>
        <w:pStyle w:val="ListBullet"/>
      </w:pPr>
      <w:r>
        <w:t>Tilapia that survive experimental infection show immunity to disease upon subsequent challenge</w:t>
      </w:r>
      <w:r w:rsidR="004B703A">
        <w:t>.</w:t>
      </w:r>
    </w:p>
    <w:p w14:paraId="431A90C5" w14:textId="77777777" w:rsidR="00ED0614" w:rsidRDefault="00E260DC">
      <w:pPr>
        <w:pStyle w:val="Heading2"/>
      </w:pPr>
      <w:r>
        <w:t>Differential diagnosis</w:t>
      </w:r>
    </w:p>
    <w:p w14:paraId="00D9EE0B" w14:textId="19BE95C1"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0D38F7" w:rsidRPr="000D38F7">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1" w:name="_Similar_diseases"/>
      <w:bookmarkEnd w:id="1"/>
      <w:r>
        <w:t>Similar diseases</w:t>
      </w:r>
    </w:p>
    <w:p w14:paraId="3085BBD7" w14:textId="69003A23" w:rsidR="00ED0614" w:rsidRDefault="002521EC">
      <w:r w:rsidRPr="002521EC">
        <w:t xml:space="preserve">Infection with </w:t>
      </w:r>
      <w:r w:rsidRPr="002521EC">
        <w:rPr>
          <w:rStyle w:val="Emphasis"/>
        </w:rPr>
        <w:t>Aphanomyces invadans</w:t>
      </w:r>
      <w:r w:rsidRPr="002521EC">
        <w:t xml:space="preserve"> (EUS), infection with infectious spleen and kidney necrosis virus (ISKNV)-like viruses, red sea bream iridoviral disease (RSIVD)</w:t>
      </w:r>
      <w:r w:rsidR="00876983">
        <w:t xml:space="preserve"> and</w:t>
      </w:r>
      <w:r w:rsidRPr="002521EC">
        <w:t xml:space="preserve"> viral encephalopathy and retinopathy (VER)</w:t>
      </w:r>
      <w:r w:rsidR="00C97B69">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742BD5A1" w14:textId="1D111DA1" w:rsidR="00ED0614" w:rsidRDefault="00E260DC">
      <w:r>
        <w:t xml:space="preserve">Call the Emergency Animal Disease Watch Hotline on </w:t>
      </w:r>
      <w:r w:rsidR="007B72EC">
        <w:rPr>
          <w:rStyle w:val="Strong"/>
        </w:rPr>
        <w:t>1800 675 888</w:t>
      </w:r>
      <w:r>
        <w:t>. They will refer you to the right state or territory agency.</w:t>
      </w:r>
    </w:p>
    <w:p w14:paraId="11C89A2D" w14:textId="4C772D54" w:rsidR="002521EC" w:rsidRDefault="002521EC" w:rsidP="00F72EFE">
      <w:pPr>
        <w:pStyle w:val="Heading2"/>
        <w:keepLines/>
        <w:pageBreakBefore/>
      </w:pPr>
      <w:r>
        <w:lastRenderedPageBreak/>
        <w:t>Microscope images</w:t>
      </w:r>
    </w:p>
    <w:p w14:paraId="74A09208" w14:textId="684796BD" w:rsidR="002521EC" w:rsidRPr="007A0952" w:rsidRDefault="002521EC" w:rsidP="002521EC">
      <w:pPr>
        <w:pStyle w:val="Caption"/>
      </w:pPr>
      <w:r w:rsidRPr="007A0952">
        <w:t xml:space="preserve">Figure </w:t>
      </w:r>
      <w:r w:rsidRPr="007A0952">
        <w:rPr>
          <w:noProof/>
        </w:rPr>
        <w:fldChar w:fldCharType="begin"/>
      </w:r>
      <w:r w:rsidRPr="007A0952">
        <w:rPr>
          <w:noProof/>
        </w:rPr>
        <w:instrText xml:space="preserve"> SEQ Figure \* ARABIC </w:instrText>
      </w:r>
      <w:r w:rsidRPr="007A0952">
        <w:rPr>
          <w:noProof/>
        </w:rPr>
        <w:fldChar w:fldCharType="separate"/>
      </w:r>
      <w:r w:rsidR="00DA2645">
        <w:rPr>
          <w:noProof/>
        </w:rPr>
        <w:t>3</w:t>
      </w:r>
      <w:r w:rsidRPr="007A0952">
        <w:rPr>
          <w:noProof/>
        </w:rPr>
        <w:fldChar w:fldCharType="end"/>
      </w:r>
      <w:r w:rsidRPr="007A0952">
        <w:t xml:space="preserve"> Histopathology of liver of Nile tilapia (</w:t>
      </w:r>
      <w:r w:rsidRPr="007A0952">
        <w:rPr>
          <w:rStyle w:val="Emphasis"/>
        </w:rPr>
        <w:t>O</w:t>
      </w:r>
      <w:r w:rsidR="00876983" w:rsidRPr="007A0952">
        <w:rPr>
          <w:rStyle w:val="Emphasis"/>
        </w:rPr>
        <w:t>reochromis</w:t>
      </w:r>
      <w:r w:rsidRPr="007A0952">
        <w:rPr>
          <w:rStyle w:val="Emphasis"/>
        </w:rPr>
        <w:t xml:space="preserve"> niloticus</w:t>
      </w:r>
      <w:r w:rsidRPr="007A0952">
        <w:t>) infected with TiLV</w:t>
      </w:r>
    </w:p>
    <w:p w14:paraId="4F0F3803" w14:textId="03EA8B7A" w:rsidR="002521EC" w:rsidRPr="007A0952" w:rsidRDefault="00225749" w:rsidP="002521EC">
      <w:r>
        <w:rPr>
          <w:noProof/>
          <w:lang w:eastAsia="en-AU"/>
        </w:rPr>
        <w:drawing>
          <wp:inline distT="0" distB="0" distL="0" distR="0" wp14:anchorId="01E5D306" wp14:editId="45DBF875">
            <wp:extent cx="3960000" cy="3162402"/>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960000" cy="3162402"/>
                    </a:xfrm>
                    <a:prstGeom prst="rect">
                      <a:avLst/>
                    </a:prstGeom>
                    <a:noFill/>
                    <a:ln>
                      <a:noFill/>
                    </a:ln>
                  </pic:spPr>
                </pic:pic>
              </a:graphicData>
            </a:graphic>
          </wp:inline>
        </w:drawing>
      </w:r>
    </w:p>
    <w:p w14:paraId="30D07941" w14:textId="7414BBE6" w:rsidR="002521EC" w:rsidRDefault="002521EC" w:rsidP="002521EC">
      <w:pPr>
        <w:pStyle w:val="FigureTableNoteSource"/>
      </w:pPr>
      <w:r w:rsidRPr="007A0952">
        <w:t>Note: Multifocal areas of syncytial hepatitis.</w:t>
      </w:r>
      <w:r w:rsidR="000B2163" w:rsidRPr="007A0952">
        <w:t xml:space="preserve"> Scale bar </w:t>
      </w:r>
      <w:r w:rsidR="00225749">
        <w:t xml:space="preserve">= </w:t>
      </w:r>
      <w:r w:rsidR="000B2163" w:rsidRPr="007A0952">
        <w:t>10</w:t>
      </w:r>
      <w:r w:rsidR="000B2163" w:rsidRPr="007A0952">
        <w:rPr>
          <w:rFonts w:cs="Calibri"/>
        </w:rPr>
        <w:t>µ</w:t>
      </w:r>
      <w:r w:rsidR="000B2163" w:rsidRPr="007A0952">
        <w:t>m</w:t>
      </w:r>
      <w:r w:rsidR="00225749">
        <w:t>.</w:t>
      </w:r>
    </w:p>
    <w:p w14:paraId="57CF72E2" w14:textId="0D060B0E" w:rsidR="002521EC" w:rsidRPr="002521EC" w:rsidRDefault="002521EC" w:rsidP="002521EC">
      <w:pPr>
        <w:pStyle w:val="FigureTableNoteSource"/>
        <w:rPr>
          <w:lang w:eastAsia="ja-JP"/>
        </w:rPr>
      </w:pPr>
      <w:r>
        <w:t>Source: HT Dong</w:t>
      </w:r>
    </w:p>
    <w:p w14:paraId="6B39C243" w14:textId="4163D46F" w:rsidR="00ED0614" w:rsidRDefault="00E260DC" w:rsidP="003C1061">
      <w:pPr>
        <w:pStyle w:val="Heading2"/>
        <w:keepLines/>
        <w:rPr>
          <w:rFonts w:ascii="Cambria" w:eastAsiaTheme="minorHAnsi" w:hAnsi="Cambria"/>
          <w:b w:val="0"/>
          <w:bCs w:val="0"/>
          <w:color w:val="auto"/>
          <w:sz w:val="22"/>
          <w:szCs w:val="22"/>
          <w:lang w:eastAsia="en-US"/>
        </w:rPr>
      </w:pPr>
      <w:r>
        <w:t>Further reading</w:t>
      </w:r>
    </w:p>
    <w:p w14:paraId="1F0120A3" w14:textId="4BD600BB" w:rsidR="002521EC" w:rsidRDefault="002521EC" w:rsidP="002521EC">
      <w:r>
        <w:t xml:space="preserve">Jansen MD and Mohan CV 2017, </w:t>
      </w:r>
      <w:r w:rsidRPr="000B2163">
        <w:rPr>
          <w:rStyle w:val="Emphasis"/>
        </w:rPr>
        <w:t>Tilapia lake virus (TiLV): Literature review</w:t>
      </w:r>
      <w:r w:rsidR="000B2163">
        <w:t>,</w:t>
      </w:r>
      <w:r>
        <w:t xml:space="preserve"> Penang, Malaysia: CGIAR Research Program on Fish Agri-Food Systems</w:t>
      </w:r>
    </w:p>
    <w:p w14:paraId="0D3B62D2" w14:textId="6CD7DD23" w:rsidR="004B703A" w:rsidRDefault="000B2163" w:rsidP="002521EC">
      <w:r>
        <w:t xml:space="preserve">Network of Aquaculture </w:t>
      </w:r>
      <w:r w:rsidR="00225749">
        <w:t>Centres in Asia-Pacific</w:t>
      </w:r>
      <w:r w:rsidR="002521EC">
        <w:t xml:space="preserve"> </w:t>
      </w:r>
      <w:hyperlink r:id="rId15" w:history="1">
        <w:r w:rsidR="00225749">
          <w:rPr>
            <w:rStyle w:val="Hyperlink"/>
          </w:rPr>
          <w:t>Tilapia Lake Virus (TiLV)—</w:t>
        </w:r>
        <w:r w:rsidR="002521EC" w:rsidRPr="000B2163">
          <w:rPr>
            <w:rStyle w:val="Hyperlink"/>
          </w:rPr>
          <w:t>A novel orthomyxo-like viru</w:t>
        </w:r>
        <w:r w:rsidR="00370500">
          <w:rPr>
            <w:rStyle w:val="Hyperlink"/>
          </w:rPr>
          <w:t>s: disease card</w:t>
        </w:r>
      </w:hyperlink>
    </w:p>
    <w:p w14:paraId="651B3923" w14:textId="7384F8BE" w:rsidR="004B703A" w:rsidRDefault="004B703A" w:rsidP="004B703A">
      <w:r>
        <w:t>This hyperlink was correct at the time of publication.</w:t>
      </w:r>
    </w:p>
    <w:p w14:paraId="1AF792C8" w14:textId="77777777" w:rsidR="00ED0614" w:rsidRDefault="00E260DC">
      <w:pPr>
        <w:pStyle w:val="Heading2"/>
        <w:ind w:left="0" w:firstLine="0"/>
      </w:pPr>
      <w:r>
        <w:t>Contact details</w:t>
      </w:r>
    </w:p>
    <w:p w14:paraId="26C6D2C2" w14:textId="77777777" w:rsidR="00ED0614" w:rsidRDefault="00E260DC">
      <w:pPr>
        <w:spacing w:after="0"/>
      </w:pPr>
      <w:r>
        <w:t>Emergency Animal Disease Watch Hotline 1800 675 888</w:t>
      </w:r>
    </w:p>
    <w:p w14:paraId="3490169F" w14:textId="77777777" w:rsidR="00ED0614" w:rsidRDefault="00E260DC">
      <w:r>
        <w:t xml:space="preserve">Email </w:t>
      </w:r>
      <w:hyperlink r:id="rId16" w:history="1">
        <w:r>
          <w:rPr>
            <w:rStyle w:val="Hyperlink"/>
          </w:rPr>
          <w:t>AAH@agriculture.gov.au</w:t>
        </w:r>
      </w:hyperlink>
      <w:r>
        <w:cr/>
        <w:t xml:space="preserve">Website </w:t>
      </w:r>
      <w:hyperlink r:id="rId17" w:history="1">
        <w:r>
          <w:rPr>
            <w:rStyle w:val="Hyperlink"/>
          </w:rPr>
          <w:t>agriculture.gov.au/pests-diseases-weeds/aquatic</w:t>
        </w:r>
      </w:hyperlink>
    </w:p>
    <w:p w14:paraId="16C0A9CE" w14:textId="19724373" w:rsidR="00ED0614" w:rsidRDefault="00E260DC">
      <w:pPr>
        <w:pStyle w:val="Normalsmall"/>
      </w:pPr>
      <w:r>
        <w:t>© Commonwealth of Australia 20</w:t>
      </w:r>
      <w:r w:rsidR="00DA2645">
        <w:t>20</w:t>
      </w:r>
      <w:bookmarkStart w:id="2" w:name="_GoBack"/>
      <w:bookmarkEnd w:id="2"/>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p>
    <w:sectPr w:rsidR="00ED0614">
      <w:headerReference w:type="default" r:id="rId18"/>
      <w:footerReference w:type="default" r:id="rId19"/>
      <w:headerReference w:type="first" r:id="rId20"/>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1DE70682" w:rsidR="00ED0614" w:rsidRDefault="00DA2645">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CC47CE">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0D1E8FC9" w:rsidR="00ED0614" w:rsidRPr="00CB11B9" w:rsidRDefault="002521EC" w:rsidP="00CB11B9">
    <w:pPr>
      <w:pStyle w:val="Header"/>
    </w:pPr>
    <w:r w:rsidRPr="002521EC">
      <w:t xml:space="preserve">Tilapia </w:t>
    </w:r>
    <w:r w:rsidR="007F1EDC">
      <w:t>l</w:t>
    </w:r>
    <w:r w:rsidRPr="002521EC">
      <w:t xml:space="preserve">ake </w:t>
    </w:r>
    <w:r w:rsidR="007F1EDC">
      <w:t>v</w:t>
    </w:r>
    <w:r w:rsidRPr="002521EC">
      <w:t xml:space="preserve">irus (TiLV) </w:t>
    </w:r>
    <w:r w:rsidR="007F1EDC">
      <w:t>d</w:t>
    </w:r>
    <w:r w:rsidRPr="002521EC">
      <w:t>isease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4D26DF1C">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30111"/>
    <w:rsid w:val="00050C3A"/>
    <w:rsid w:val="000B2163"/>
    <w:rsid w:val="000C051E"/>
    <w:rsid w:val="000D05F1"/>
    <w:rsid w:val="000D38F7"/>
    <w:rsid w:val="00132E43"/>
    <w:rsid w:val="001413A7"/>
    <w:rsid w:val="001474D1"/>
    <w:rsid w:val="001726AA"/>
    <w:rsid w:val="001A7824"/>
    <w:rsid w:val="001E366B"/>
    <w:rsid w:val="001E6330"/>
    <w:rsid w:val="001F30EF"/>
    <w:rsid w:val="00225749"/>
    <w:rsid w:val="00231EBA"/>
    <w:rsid w:val="002521EC"/>
    <w:rsid w:val="00266BD4"/>
    <w:rsid w:val="00272CEE"/>
    <w:rsid w:val="00274A52"/>
    <w:rsid w:val="002C4F3A"/>
    <w:rsid w:val="00370500"/>
    <w:rsid w:val="003C1061"/>
    <w:rsid w:val="003F4E8E"/>
    <w:rsid w:val="0045639F"/>
    <w:rsid w:val="0045792C"/>
    <w:rsid w:val="004A104B"/>
    <w:rsid w:val="004B703A"/>
    <w:rsid w:val="004E3720"/>
    <w:rsid w:val="00503E70"/>
    <w:rsid w:val="005312B5"/>
    <w:rsid w:val="00583281"/>
    <w:rsid w:val="00583B3C"/>
    <w:rsid w:val="00586F0B"/>
    <w:rsid w:val="005A359A"/>
    <w:rsid w:val="005B0B25"/>
    <w:rsid w:val="005B5670"/>
    <w:rsid w:val="005C17C2"/>
    <w:rsid w:val="005E698C"/>
    <w:rsid w:val="006850B8"/>
    <w:rsid w:val="006D51D3"/>
    <w:rsid w:val="006E3E02"/>
    <w:rsid w:val="00742002"/>
    <w:rsid w:val="007757E1"/>
    <w:rsid w:val="00793DD5"/>
    <w:rsid w:val="007A0952"/>
    <w:rsid w:val="007B72EC"/>
    <w:rsid w:val="007E3043"/>
    <w:rsid w:val="007F1EDC"/>
    <w:rsid w:val="00817F53"/>
    <w:rsid w:val="00844BA3"/>
    <w:rsid w:val="0085325A"/>
    <w:rsid w:val="00853ED4"/>
    <w:rsid w:val="00876983"/>
    <w:rsid w:val="00880A10"/>
    <w:rsid w:val="008B4009"/>
    <w:rsid w:val="009532E5"/>
    <w:rsid w:val="0095639C"/>
    <w:rsid w:val="009A09FC"/>
    <w:rsid w:val="009B5DE8"/>
    <w:rsid w:val="009C7070"/>
    <w:rsid w:val="00A00CC6"/>
    <w:rsid w:val="00A94C32"/>
    <w:rsid w:val="00AA5962"/>
    <w:rsid w:val="00AD4B5B"/>
    <w:rsid w:val="00B035B4"/>
    <w:rsid w:val="00C10318"/>
    <w:rsid w:val="00C20412"/>
    <w:rsid w:val="00C36630"/>
    <w:rsid w:val="00C605BC"/>
    <w:rsid w:val="00C97B69"/>
    <w:rsid w:val="00CB11B9"/>
    <w:rsid w:val="00CC02C5"/>
    <w:rsid w:val="00CC2249"/>
    <w:rsid w:val="00CC47CE"/>
    <w:rsid w:val="00CD0FA5"/>
    <w:rsid w:val="00D1126F"/>
    <w:rsid w:val="00D12B64"/>
    <w:rsid w:val="00D467E7"/>
    <w:rsid w:val="00DA2645"/>
    <w:rsid w:val="00DD769F"/>
    <w:rsid w:val="00DD7F2B"/>
    <w:rsid w:val="00DF2031"/>
    <w:rsid w:val="00E260DC"/>
    <w:rsid w:val="00E263C9"/>
    <w:rsid w:val="00E75B4A"/>
    <w:rsid w:val="00E84766"/>
    <w:rsid w:val="00ED0614"/>
    <w:rsid w:val="00EE053D"/>
    <w:rsid w:val="00F03FC2"/>
    <w:rsid w:val="00F06A73"/>
    <w:rsid w:val="00F72EFE"/>
    <w:rsid w:val="00FA22F4"/>
    <w:rsid w:val="00FD7D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griculture.gov.au/pests-diseases-weeds/aquatic" TargetMode="External"/><Relationship Id="rId2" Type="http://schemas.openxmlformats.org/officeDocument/2006/relationships/customXml" Target="../customXml/item2.xml"/><Relationship Id="rId16" Type="http://schemas.openxmlformats.org/officeDocument/2006/relationships/hyperlink" Target="mailto:AAH@agriculture.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enaca.org/?id=869"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FF473B-DD9E-43EE-8F52-3151F5448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8</TotalTime>
  <Pages>5</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Tilapia Lake Virus (TiLV) Disease</vt:lpstr>
    </vt:vector>
  </TitlesOfParts>
  <Company>Department of Agriculture Fisheries &amp; Forestry</Company>
  <LinksUpToDate>false</LinksUpToDate>
  <CharactersWithSpaces>6761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Tilapia Lake Virus (TiLV) Disease</dc:title>
  <dc:creator>Department of Agriculture</dc:creator>
  <cp:lastModifiedBy>Caldwell, Louise</cp:lastModifiedBy>
  <cp:revision>13</cp:revision>
  <cp:lastPrinted>2020-03-11T06:12:00Z</cp:lastPrinted>
  <dcterms:created xsi:type="dcterms:W3CDTF">2019-09-06T04:33:00Z</dcterms:created>
  <dcterms:modified xsi:type="dcterms:W3CDTF">2020-03-11T06:13:00Z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