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38" w:rsidRPr="0036689C" w:rsidRDefault="00350C10" w:rsidP="00C07F65">
      <w:pPr>
        <w:pStyle w:val="ParaMargin"/>
      </w:pPr>
      <w:r>
        <w:rPr>
          <w:noProof/>
          <w:lang w:val="en-AU"/>
        </w:rPr>
        <w:pict>
          <v:shape id="Freeform 14" o:spid="_x0000_s1026" style="position:absolute;margin-left:226.6pt;margin-top:294.85pt;width:354.85pt;height:19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100,20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" adj="-11796480,,5400" path="m7100,2066v-1286,,-2571,,-3857,l2967,1791r-2667,l,1490,,,7100,r,2066xe" stroked="f">
            <v:stroke joinstyle="round"/>
            <v:formulas/>
            <v:path arrowok="t" o:connecttype="custom" o:connectlocs="4506595,2427605;2058435,2427605;1883249,2104473;190420,2104473;0,1750790;0,0;4506595,0;4506595,2427605" o:connectangles="0,0,0,0,0,0,0,0" textboxrect="0,0,7100,2066"/>
            <v:textbox inset="5mm,2mm,5mm,2mm">
              <w:txbxContent>
                <w:p w:rsidR="00426DEC" w:rsidRPr="004F2F1D" w:rsidRDefault="00426DEC" w:rsidP="001E645D">
                  <w:pPr>
                    <w:pStyle w:val="HeadingTitleWhite"/>
                    <w:rPr>
                      <w:color w:val="00519E"/>
                      <w:lang w:val="en-AU"/>
                    </w:rPr>
                  </w:pPr>
                  <w:r>
                    <w:rPr>
                      <w:color w:val="00519E"/>
                      <w:lang w:val="en-AU"/>
                    </w:rPr>
                    <w:t>A Study into the Feasibility of a Nationally Consistent System for Tracking Controlled Wastes</w:t>
                  </w:r>
                </w:p>
              </w:txbxContent>
            </v:textbox>
          </v:shape>
        </w:pict>
      </w:r>
      <w:r w:rsidR="00C44061">
        <w:rPr>
          <w:noProof/>
          <w:lang w:val="en-AU"/>
        </w:rPr>
        <w:drawing>
          <wp:anchor distT="0" distB="0" distL="114300" distR="114300" simplePos="0" relativeHeight="251656192" behindDoc="0" locked="0" layoutInCell="1" allowOverlap="1">
            <wp:simplePos x="0" y="0"/>
            <wp:positionH relativeFrom="column">
              <wp:posOffset>5040630</wp:posOffset>
            </wp:positionH>
            <wp:positionV relativeFrom="paragraph">
              <wp:posOffset>360045</wp:posOffset>
            </wp:positionV>
            <wp:extent cx="1800000" cy="1353600"/>
            <wp:effectExtent l="0" t="0" r="0" b="0"/>
            <wp:wrapNone/>
            <wp:docPr id="16" name="Picture 16" descr="Hyder_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yder_logo-White"/>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000" cy="1353600"/>
                    </a:xfrm>
                    <a:prstGeom prst="rect">
                      <a:avLst/>
                    </a:prstGeom>
                    <a:noFill/>
                    <a:ln>
                      <a:noFill/>
                    </a:ln>
                  </pic:spPr>
                </pic:pic>
              </a:graphicData>
            </a:graphic>
          </wp:anchor>
        </w:drawing>
      </w:r>
      <w:r>
        <w:rPr>
          <w:noProof/>
          <w:lang w:val="en-AU"/>
        </w:rPr>
      </w:r>
      <w:r w:rsidRPr="00350C10">
        <w:rPr>
          <w:noProof/>
          <w:lang w:val="en-AU"/>
        </w:rPr>
        <w:pict>
          <v:shape id="Rectangle 8" o:spid="_x0000_s1054" style="width:566.9pt;height:813.95pt;visibility:visible;mso-wrap-style:square;mso-left-percent:-10001;mso-top-percent:-10001;mso-position-horizontal:absolute;mso-position-horizontal-relative:char;mso-position-vertical:absolute;mso-position-vertical-relative:line;mso-left-percent:-10001;mso-top-percent:-10001;v-text-anchor:middle" coordsize="6117021,8805651" o:spt="100" adj="-11796480,,5400" path="m5730745,8805651v-268455,-1225,-213925,-9710,-1203873,l,8797159,,,6117021,v-823,2229016,-1645,4458031,-2468,6687047l5937450,6894654v-8,568618,-17,1137235,-25,1705853l5730745,8805651xe" stroked="f" strokeweight="2pt">
            <v:fill r:id="rId12" o:title="" recolor="t" rotate="t" type="frame"/>
            <v:stroke joinstyle="miter"/>
            <v:formulas/>
            <v:path arrowok="t" o:connecttype="custom" o:connectlocs="6744990,10337165;5328052,10337165;0,10327196;0,0;7199630,0;7196725,7850085;6988278,8093800;6988249,10096342;6744990,10337165" o:connectangles="0,0,0,0,0,0,0,0,0" textboxrect="0,0,6117021,8805651"/>
            <v:textbox>
              <w:txbxContent>
                <w:p w:rsidR="00426DEC" w:rsidRDefault="00426DEC" w:rsidP="00FC78C4">
                  <w:pPr>
                    <w:jc w:val="center"/>
                  </w:pPr>
                </w:p>
              </w:txbxContent>
            </v:textbox>
            <w10:wrap type="none"/>
            <w10:anchorlock/>
          </v:shape>
        </w:pict>
      </w:r>
    </w:p>
    <w:p w:rsidR="002B1738" w:rsidRPr="0036689C" w:rsidRDefault="002B1738" w:rsidP="00C07F65">
      <w:pPr>
        <w:pStyle w:val="ParaMargin"/>
        <w:sectPr w:rsidR="002B1738" w:rsidRPr="0036689C" w:rsidSect="00C44061">
          <w:footerReference w:type="even" r:id="rId13"/>
          <w:type w:val="continuous"/>
          <w:pgSz w:w="11907" w:h="16840" w:code="9"/>
          <w:pgMar w:top="283" w:right="283" w:bottom="283" w:left="283" w:header="0" w:footer="0" w:gutter="0"/>
          <w:cols w:space="708"/>
          <w:docGrid w:linePitch="360"/>
        </w:sectPr>
      </w:pPr>
    </w:p>
    <w:p w:rsidR="007072E4" w:rsidRDefault="007072E4">
      <w:bookmarkStart w:id="0" w:name="ClientDocReport"/>
      <w:bookmarkStart w:id="1" w:name="ClientDoc"/>
      <w:bookmarkEnd w:id="0"/>
      <w:bookmarkEnd w:id="1"/>
    </w:p>
    <w:tbl>
      <w:tblPr>
        <w:tblW w:w="9639" w:type="dxa"/>
        <w:tblLayout w:type="fixed"/>
        <w:tblCellMar>
          <w:left w:w="0" w:type="dxa"/>
          <w:right w:w="0" w:type="dxa"/>
        </w:tblCellMar>
        <w:tblLook w:val="01E0"/>
      </w:tblPr>
      <w:tblGrid>
        <w:gridCol w:w="1700"/>
        <w:gridCol w:w="2269"/>
        <w:gridCol w:w="850"/>
        <w:gridCol w:w="4820"/>
      </w:tblGrid>
      <w:tr w:rsidR="00B443E1" w:rsidRPr="0036689C">
        <w:trPr>
          <w:cantSplit/>
        </w:trPr>
        <w:tc>
          <w:tcPr>
            <w:tcW w:w="4819" w:type="dxa"/>
            <w:gridSpan w:val="3"/>
          </w:tcPr>
          <w:p w:rsidR="002246A3" w:rsidRPr="0036689C" w:rsidRDefault="00350C10" w:rsidP="00C07F65">
            <w:pPr>
              <w:pStyle w:val="InfoBold"/>
            </w:pPr>
            <w:r>
              <w:fldChar w:fldCharType="begin"/>
            </w:r>
            <w:r>
              <w:instrText xml:space="preserve"> INCLUDETEXT "C:\\Program Files\\Microsoft Office\\Templates\\Info.doc" CoName \* MERGEFORMAT </w:instrText>
            </w:r>
            <w:r>
              <w:fldChar w:fldCharType="separate"/>
            </w:r>
            <w:bookmarkStart w:id="2" w:name="CoName"/>
            <w:proofErr w:type="spellStart"/>
            <w:r w:rsidR="002109FD">
              <w:t>Hyder</w:t>
            </w:r>
            <w:proofErr w:type="spellEnd"/>
            <w:r w:rsidR="002109FD">
              <w:t xml:space="preserve"> Consulting Pty Ltd</w:t>
            </w:r>
            <w:bookmarkEnd w:id="2"/>
            <w:r>
              <w:fldChar w:fldCharType="end"/>
            </w:r>
          </w:p>
          <w:p w:rsidR="002246A3" w:rsidRPr="0088590F" w:rsidRDefault="00350C10" w:rsidP="00C07F65">
            <w:pPr>
              <w:pStyle w:val="Info"/>
            </w:pPr>
            <w:fldSimple w:instr=" INCLUDETEXT &quot;C:\\Program Files\\Microsoft Office\\Templates\\Info.doc&quot; CoNo \* MERGEFORMAT ">
              <w:bookmarkStart w:id="3" w:name="CoNo"/>
              <w:r w:rsidR="002109FD">
                <w:t>ABN 76 104 485 289</w:t>
              </w:r>
              <w:bookmarkEnd w:id="3"/>
            </w:fldSimple>
          </w:p>
          <w:p w:rsidR="002109FD" w:rsidRDefault="00350C10" w:rsidP="002109FD">
            <w:pPr>
              <w:pStyle w:val="Info"/>
            </w:pPr>
            <w:r w:rsidRPr="0088590F">
              <w:fldChar w:fldCharType="begin"/>
            </w:r>
            <w:r w:rsidR="002246A3" w:rsidRPr="0088590F">
              <w:instrText xml:space="preserve"> INCLUDETEXT "C:\\Program Files\\Microsoft Office</w:instrText>
            </w:r>
            <w:r w:rsidR="004C178A">
              <w:instrText>\\</w:instrText>
            </w:r>
            <w:r w:rsidR="00493B67">
              <w:instrText>Templates</w:instrText>
            </w:r>
            <w:r w:rsidR="004C178A">
              <w:instrText>\\</w:instrText>
            </w:r>
            <w:r w:rsidR="002246A3" w:rsidRPr="0088590F">
              <w:instrText xml:space="preserve">Info.doc" Address \* MERGEFORMAT </w:instrText>
            </w:r>
            <w:r w:rsidRPr="0088590F">
              <w:fldChar w:fldCharType="separate"/>
            </w:r>
            <w:bookmarkStart w:id="4" w:name="Address"/>
            <w:r w:rsidR="002109FD" w:rsidRPr="00182302">
              <w:t>Level 5, 141 Walker Street</w:t>
            </w:r>
            <w:r w:rsidR="002109FD">
              <w:br/>
            </w:r>
            <w:r w:rsidR="002109FD" w:rsidRPr="00182302">
              <w:t>Locked Bag 6503</w:t>
            </w:r>
            <w:r w:rsidR="002109FD">
              <w:br/>
            </w:r>
            <w:r w:rsidR="002109FD" w:rsidRPr="00182302">
              <w:t>North Sydney NSW 2060</w:t>
            </w:r>
            <w:r w:rsidR="002109FD">
              <w:br/>
            </w:r>
            <w:r w:rsidR="002109FD" w:rsidRPr="00182302">
              <w:t>Australia</w:t>
            </w:r>
          </w:p>
          <w:p w:rsidR="002109FD" w:rsidRDefault="002109FD" w:rsidP="002109FD">
            <w:pPr>
              <w:pStyle w:val="Info"/>
            </w:pPr>
            <w:r>
              <w:t xml:space="preserve">Tel:  </w:t>
            </w:r>
            <w:bookmarkStart w:id="5" w:name="Phone"/>
            <w:r w:rsidRPr="00182302">
              <w:t>+61 2 8907 9000</w:t>
            </w:r>
            <w:bookmarkEnd w:id="5"/>
          </w:p>
          <w:p w:rsidR="002246A3" w:rsidRPr="0088590F" w:rsidRDefault="002109FD" w:rsidP="00C07F65">
            <w:pPr>
              <w:pStyle w:val="Info"/>
            </w:pPr>
            <w:r>
              <w:t xml:space="preserve">Fax: </w:t>
            </w:r>
            <w:bookmarkStart w:id="6" w:name="Fax"/>
            <w:r w:rsidRPr="00182302">
              <w:t>+61 2 8907 9001</w:t>
            </w:r>
            <w:bookmarkEnd w:id="6"/>
            <w:bookmarkEnd w:id="4"/>
            <w:r w:rsidR="00350C10" w:rsidRPr="0088590F">
              <w:fldChar w:fldCharType="end"/>
            </w:r>
          </w:p>
          <w:p w:rsidR="00B443E1" w:rsidRPr="0036689C" w:rsidRDefault="00350C10" w:rsidP="00C07F65">
            <w:pPr>
              <w:pStyle w:val="Info"/>
            </w:pPr>
            <w:fldSimple w:instr=" INCLUDETEXT &quot;C:\\Program Files\\Microsoft Office\\Templates\\Info.doc&quot; Web \* MERGEFORMAT ">
              <w:bookmarkStart w:id="7" w:name="Web"/>
              <w:r w:rsidR="002109FD">
                <w:t>www.hyderconsulting.com</w:t>
              </w:r>
              <w:bookmarkEnd w:id="7"/>
            </w:fldSimple>
          </w:p>
        </w:tc>
        <w:tc>
          <w:tcPr>
            <w:tcW w:w="4820" w:type="dxa"/>
          </w:tcPr>
          <w:p w:rsidR="00B443E1" w:rsidRPr="0036689C" w:rsidRDefault="005B22C5" w:rsidP="00C07F65">
            <w:pPr>
              <w:pStyle w:val="ParaMargin"/>
              <w:jc w:val="right"/>
            </w:pPr>
            <w:r>
              <w:rPr>
                <w:noProof/>
                <w:lang w:val="en-AU"/>
              </w:rPr>
              <w:drawing>
                <wp:inline distT="0" distB="0" distL="0" distR="0">
                  <wp:extent cx="1285333" cy="86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yderLogo_Blue_Tight.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85333" cy="864000"/>
                          </a:xfrm>
                          <a:prstGeom prst="rect">
                            <a:avLst/>
                          </a:prstGeom>
                        </pic:spPr>
                      </pic:pic>
                    </a:graphicData>
                  </a:graphic>
                </wp:inline>
              </w:drawing>
            </w:r>
          </w:p>
        </w:tc>
      </w:tr>
      <w:tr w:rsidR="00B443E1" w:rsidRPr="0036689C">
        <w:trPr>
          <w:cantSplit/>
        </w:trPr>
        <w:tc>
          <w:tcPr>
            <w:tcW w:w="9639" w:type="dxa"/>
            <w:gridSpan w:val="4"/>
          </w:tcPr>
          <w:p w:rsidR="00083617" w:rsidRPr="0036689C" w:rsidRDefault="00083617" w:rsidP="00C07F65">
            <w:pPr>
              <w:pStyle w:val="ParaMargin"/>
            </w:pPr>
          </w:p>
        </w:tc>
      </w:tr>
      <w:tr w:rsidR="00B443E1" w:rsidRPr="0036689C">
        <w:trPr>
          <w:cantSplit/>
        </w:trPr>
        <w:tc>
          <w:tcPr>
            <w:tcW w:w="9639" w:type="dxa"/>
            <w:gridSpan w:val="4"/>
          </w:tcPr>
          <w:p w:rsidR="00B443E1" w:rsidRPr="0036689C" w:rsidRDefault="00350C10" w:rsidP="00C07F65">
            <w:pPr>
              <w:pStyle w:val="HeadingTitle"/>
            </w:pPr>
            <w:fldSimple w:instr=" DOCPROPERTY &quot;Client&quot;  \* MERGEFORMAT ">
              <w:r w:rsidR="00261FA5">
                <w:t>Department of the Environment</w:t>
              </w:r>
            </w:fldSimple>
          </w:p>
        </w:tc>
      </w:tr>
      <w:tr w:rsidR="00B443E1" w:rsidRPr="0036689C">
        <w:trPr>
          <w:cantSplit/>
        </w:trPr>
        <w:tc>
          <w:tcPr>
            <w:tcW w:w="9639" w:type="dxa"/>
            <w:gridSpan w:val="4"/>
          </w:tcPr>
          <w:p w:rsidR="00B443E1" w:rsidRPr="0036689C" w:rsidRDefault="00350C10" w:rsidP="00C07F65">
            <w:pPr>
              <w:pStyle w:val="HeadingTitle"/>
            </w:pPr>
            <w:fldSimple w:instr=" DOCPROPERTY &quot;Project&quot;  \* MERGEFORMAT ">
              <w:r w:rsidR="00261FA5">
                <w:t>Feasibility of a Nationally Consistent System for Tracking the Movements of Controlled Wastes</w:t>
              </w:r>
            </w:fldSimple>
          </w:p>
        </w:tc>
      </w:tr>
      <w:tr w:rsidR="00B443E1" w:rsidRPr="0036689C">
        <w:trPr>
          <w:cantSplit/>
        </w:trPr>
        <w:tc>
          <w:tcPr>
            <w:tcW w:w="9639" w:type="dxa"/>
            <w:gridSpan w:val="4"/>
          </w:tcPr>
          <w:p w:rsidR="00B443E1" w:rsidRPr="0036689C" w:rsidRDefault="00350C10" w:rsidP="00C07F65">
            <w:pPr>
              <w:pStyle w:val="HeadingSub"/>
            </w:pPr>
            <w:fldSimple w:instr=" DOCPROPERTY &quot;Title&quot;  \* MERGEFORMAT ">
              <w:r w:rsidR="00261FA5">
                <w:t>Feasibility Analysis</w:t>
              </w:r>
            </w:fldSimple>
          </w:p>
        </w:tc>
      </w:tr>
      <w:tr w:rsidR="00B443E1" w:rsidRPr="0036689C">
        <w:trPr>
          <w:cantSplit/>
        </w:trPr>
        <w:tc>
          <w:tcPr>
            <w:tcW w:w="9639" w:type="dxa"/>
            <w:gridSpan w:val="4"/>
          </w:tcPr>
          <w:p w:rsidR="00B443E1" w:rsidRPr="0036689C" w:rsidRDefault="00350C10" w:rsidP="00C07F65">
            <w:pPr>
              <w:pStyle w:val="ParaMargin"/>
            </w:pPr>
            <w:r>
              <w:rPr>
                <w:noProof/>
                <w:lang w:val="en-AU"/>
              </w:rPr>
            </w:r>
            <w:r w:rsidRPr="00350C10">
              <w:rPr>
                <w:noProof/>
                <w:lang w:val="en-AU"/>
              </w:rPr>
              <w:pict>
                <v:polyline id="Freeform 4" o:spid="_x0000_s1053"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filled="f" strokecolor="#00519e" strokeweight="1pt">
                  <v:path arrowok="t" o:connecttype="custom" o:connectlocs="0,0;4191000,0;4368800,184150;6083300,184150" o:connectangles="0,0,0,0"/>
                  <w10:wrap type="none"/>
                  <w10:anchorlock/>
                </v:polyline>
              </w:pict>
            </w:r>
          </w:p>
        </w:tc>
      </w:tr>
      <w:tr w:rsidR="00B443E1" w:rsidRPr="0036689C">
        <w:trPr>
          <w:cantSplit/>
        </w:trPr>
        <w:tc>
          <w:tcPr>
            <w:tcW w:w="9639" w:type="dxa"/>
            <w:gridSpan w:val="4"/>
          </w:tcPr>
          <w:p w:rsidR="00B443E1" w:rsidRPr="0036689C" w:rsidRDefault="00350C10" w:rsidP="00F35114">
            <w:pPr>
              <w:pStyle w:val="HeadingOther"/>
            </w:pPr>
            <w:fldSimple w:instr=" DOCPROPERTY &quot;Subtitle&quot;  \* MERGEFORMAT ">
              <w:r w:rsidR="00261FA5">
                <w:t>Final Report</w:t>
              </w:r>
            </w:fldSimple>
          </w:p>
        </w:tc>
        <w:bookmarkStart w:id="8" w:name="_GoBack"/>
        <w:bookmarkEnd w:id="8"/>
      </w:tr>
      <w:tr w:rsidR="00A90130" w:rsidRPr="0036689C">
        <w:trPr>
          <w:cantSplit/>
          <w:trHeight w:val="851"/>
        </w:trPr>
        <w:tc>
          <w:tcPr>
            <w:tcW w:w="1700" w:type="dxa"/>
            <w:vAlign w:val="bottom"/>
          </w:tcPr>
          <w:p w:rsidR="00A90130" w:rsidRPr="0088590F" w:rsidRDefault="00A90130" w:rsidP="00C07F65">
            <w:pPr>
              <w:pStyle w:val="ParaMargin"/>
              <w:rPr>
                <w:b/>
              </w:rPr>
            </w:pPr>
            <w:r w:rsidRPr="0088590F">
              <w:rPr>
                <w:b/>
              </w:rPr>
              <w:t>Author</w:t>
            </w:r>
          </w:p>
        </w:tc>
        <w:tc>
          <w:tcPr>
            <w:tcW w:w="2269" w:type="dxa"/>
            <w:vAlign w:val="bottom"/>
          </w:tcPr>
          <w:p w:rsidR="00A90130" w:rsidRPr="0036689C" w:rsidRDefault="00350C10" w:rsidP="00C07F65">
            <w:pPr>
              <w:pStyle w:val="ParaMargin"/>
            </w:pPr>
            <w:fldSimple w:instr=" DOCPROPERTY &quot;Author&quot;  \* MERGEFORMAT ">
              <w:r w:rsidR="00261FA5">
                <w:t>Sam Withers &amp; Richard Collins</w:t>
              </w:r>
            </w:fldSimple>
          </w:p>
        </w:tc>
        <w:tc>
          <w:tcPr>
            <w:tcW w:w="5670" w:type="dxa"/>
            <w:gridSpan w:val="2"/>
            <w:tcBorders>
              <w:bottom w:val="single" w:sz="4" w:space="0" w:color="808080"/>
            </w:tcBorders>
            <w:vAlign w:val="bottom"/>
          </w:tcPr>
          <w:p w:rsidR="00A90130" w:rsidRPr="0036689C" w:rsidRDefault="00A90130" w:rsidP="00C07F65">
            <w:pPr>
              <w:pStyle w:val="ParaMargin"/>
            </w:pPr>
          </w:p>
        </w:tc>
      </w:tr>
      <w:tr w:rsidR="00A90130" w:rsidRPr="0036689C">
        <w:trPr>
          <w:cantSplit/>
          <w:trHeight w:val="851"/>
        </w:trPr>
        <w:tc>
          <w:tcPr>
            <w:tcW w:w="1700" w:type="dxa"/>
            <w:vAlign w:val="bottom"/>
          </w:tcPr>
          <w:p w:rsidR="00A90130" w:rsidRPr="0088590F" w:rsidRDefault="00A90130" w:rsidP="00C07F65">
            <w:pPr>
              <w:pStyle w:val="ParaMargin"/>
              <w:rPr>
                <w:b/>
              </w:rPr>
            </w:pPr>
            <w:r w:rsidRPr="0088590F">
              <w:rPr>
                <w:b/>
              </w:rPr>
              <w:t>Checker</w:t>
            </w:r>
          </w:p>
        </w:tc>
        <w:tc>
          <w:tcPr>
            <w:tcW w:w="2269" w:type="dxa"/>
            <w:vAlign w:val="bottom"/>
          </w:tcPr>
          <w:p w:rsidR="00A90130" w:rsidRPr="0036689C" w:rsidRDefault="00350C10" w:rsidP="00C07F65">
            <w:pPr>
              <w:pStyle w:val="ParaMargin"/>
            </w:pPr>
            <w:fldSimple w:instr=" DOCPROPERTY &quot;Checker&quot;  \* MERGEFORMAT ">
              <w:r w:rsidR="00261FA5">
                <w:t>Richard Collins</w:t>
              </w:r>
            </w:fldSimple>
          </w:p>
        </w:tc>
        <w:tc>
          <w:tcPr>
            <w:tcW w:w="5670" w:type="dxa"/>
            <w:gridSpan w:val="2"/>
            <w:tcBorders>
              <w:top w:val="single" w:sz="4" w:space="0" w:color="808080"/>
              <w:bottom w:val="single" w:sz="4" w:space="0" w:color="808080"/>
            </w:tcBorders>
            <w:vAlign w:val="bottom"/>
          </w:tcPr>
          <w:p w:rsidR="00A90130" w:rsidRPr="0036689C" w:rsidRDefault="00A90130" w:rsidP="00C07F65">
            <w:pPr>
              <w:pStyle w:val="ParaMargin"/>
            </w:pPr>
          </w:p>
        </w:tc>
      </w:tr>
      <w:tr w:rsidR="00A90130" w:rsidRPr="0036689C">
        <w:trPr>
          <w:cantSplit/>
          <w:trHeight w:val="851"/>
        </w:trPr>
        <w:tc>
          <w:tcPr>
            <w:tcW w:w="1700" w:type="dxa"/>
            <w:vAlign w:val="bottom"/>
          </w:tcPr>
          <w:p w:rsidR="00A90130" w:rsidRPr="0088590F" w:rsidRDefault="00A90130" w:rsidP="00C07F65">
            <w:pPr>
              <w:pStyle w:val="ParaMargin"/>
              <w:rPr>
                <w:b/>
              </w:rPr>
            </w:pPr>
            <w:r w:rsidRPr="0088590F">
              <w:rPr>
                <w:b/>
              </w:rPr>
              <w:t>Approver</w:t>
            </w:r>
          </w:p>
        </w:tc>
        <w:tc>
          <w:tcPr>
            <w:tcW w:w="2269" w:type="dxa"/>
            <w:vAlign w:val="bottom"/>
          </w:tcPr>
          <w:p w:rsidR="00A90130" w:rsidRPr="0036689C" w:rsidRDefault="00350C10" w:rsidP="00C07F65">
            <w:pPr>
              <w:pStyle w:val="ParaMargin"/>
            </w:pPr>
            <w:r>
              <w:fldChar w:fldCharType="begin"/>
            </w:r>
            <w:r>
              <w:instrText xml:space="preserve"> DOCPROPERTY "Approver"  \* MERGEFORMAT </w:instrText>
            </w:r>
            <w:r>
              <w:fldChar w:fldCharType="separate"/>
            </w:r>
            <w:r w:rsidR="00261FA5">
              <w:t xml:space="preserve">Matt </w:t>
            </w:r>
            <w:proofErr w:type="spellStart"/>
            <w:r w:rsidR="00261FA5">
              <w:t>Genever</w:t>
            </w:r>
            <w:proofErr w:type="spellEnd"/>
            <w:r>
              <w:fldChar w:fldCharType="end"/>
            </w:r>
          </w:p>
        </w:tc>
        <w:tc>
          <w:tcPr>
            <w:tcW w:w="5670" w:type="dxa"/>
            <w:gridSpan w:val="2"/>
            <w:tcBorders>
              <w:top w:val="single" w:sz="4" w:space="0" w:color="808080"/>
              <w:bottom w:val="single" w:sz="4" w:space="0" w:color="808080"/>
            </w:tcBorders>
            <w:vAlign w:val="bottom"/>
          </w:tcPr>
          <w:p w:rsidR="00A90130" w:rsidRPr="0036689C" w:rsidRDefault="00A90130" w:rsidP="00C07F65">
            <w:pPr>
              <w:pStyle w:val="ParaMargin"/>
            </w:pPr>
          </w:p>
        </w:tc>
      </w:tr>
      <w:tr w:rsidR="00B443E1" w:rsidRPr="0036689C">
        <w:trPr>
          <w:cantSplit/>
        </w:trPr>
        <w:tc>
          <w:tcPr>
            <w:tcW w:w="9639" w:type="dxa"/>
            <w:gridSpan w:val="4"/>
          </w:tcPr>
          <w:p w:rsidR="00B443E1" w:rsidRPr="0036689C" w:rsidRDefault="00B443E1" w:rsidP="00C07F65">
            <w:pPr>
              <w:pStyle w:val="ParaMargin"/>
            </w:pPr>
          </w:p>
        </w:tc>
      </w:tr>
      <w:tr w:rsidR="00B443E1" w:rsidRPr="0036689C">
        <w:trPr>
          <w:cantSplit/>
        </w:trPr>
        <w:tc>
          <w:tcPr>
            <w:tcW w:w="1700" w:type="dxa"/>
          </w:tcPr>
          <w:p w:rsidR="00B443E1" w:rsidRPr="0088590F" w:rsidRDefault="00B443E1" w:rsidP="00C07F65">
            <w:pPr>
              <w:pStyle w:val="ParaMargin"/>
              <w:rPr>
                <w:b/>
              </w:rPr>
            </w:pPr>
            <w:r w:rsidRPr="0088590F">
              <w:rPr>
                <w:b/>
              </w:rPr>
              <w:t>Report No</w:t>
            </w:r>
          </w:p>
        </w:tc>
        <w:tc>
          <w:tcPr>
            <w:tcW w:w="7939" w:type="dxa"/>
            <w:gridSpan w:val="3"/>
          </w:tcPr>
          <w:p w:rsidR="00B443E1" w:rsidRPr="0036689C" w:rsidRDefault="00350C10" w:rsidP="00C07F65">
            <w:pPr>
              <w:pStyle w:val="ParaMargin"/>
            </w:pPr>
            <w:fldSimple w:instr=" DOCPROPERTY &quot;Number&quot;  \* MERGEFORMAT ">
              <w:r w:rsidR="00261FA5">
                <w:t>AA007864-R01-02</w:t>
              </w:r>
            </w:fldSimple>
          </w:p>
        </w:tc>
      </w:tr>
      <w:tr w:rsidR="00A863B5" w:rsidRPr="0036689C">
        <w:trPr>
          <w:cantSplit/>
        </w:trPr>
        <w:tc>
          <w:tcPr>
            <w:tcW w:w="1700" w:type="dxa"/>
          </w:tcPr>
          <w:p w:rsidR="00A863B5" w:rsidRPr="0088590F" w:rsidRDefault="00A863B5" w:rsidP="00C07F65">
            <w:pPr>
              <w:pStyle w:val="ParaMargin"/>
              <w:rPr>
                <w:b/>
              </w:rPr>
            </w:pPr>
            <w:r w:rsidRPr="0088590F">
              <w:rPr>
                <w:b/>
              </w:rPr>
              <w:t>Date</w:t>
            </w:r>
          </w:p>
        </w:tc>
        <w:tc>
          <w:tcPr>
            <w:tcW w:w="7939" w:type="dxa"/>
            <w:gridSpan w:val="3"/>
            <w:vAlign w:val="bottom"/>
          </w:tcPr>
          <w:p w:rsidR="00A863B5" w:rsidRPr="0088590F" w:rsidRDefault="00350C10" w:rsidP="00EA265A">
            <w:pPr>
              <w:pStyle w:val="ParaMargin"/>
              <w:rPr>
                <w:rFonts w:ascii="Arial Narrow" w:hAnsi="Arial Narrow"/>
              </w:rPr>
            </w:pPr>
            <w:fldSimple w:instr=" DOCPROPERTY &quot;Date&quot;  \* MERGEFORMAT ">
              <w:r w:rsidR="00261FA5">
                <w:t>4 June 2015</w:t>
              </w:r>
            </w:fldSimple>
          </w:p>
        </w:tc>
      </w:tr>
      <w:tr w:rsidR="00334A15" w:rsidRPr="0036689C">
        <w:trPr>
          <w:cantSplit/>
        </w:trPr>
        <w:tc>
          <w:tcPr>
            <w:tcW w:w="1700" w:type="dxa"/>
          </w:tcPr>
          <w:p w:rsidR="00334A15" w:rsidRPr="0088590F" w:rsidRDefault="00350C10" w:rsidP="00C07F65">
            <w:pPr>
              <w:pStyle w:val="ParaMargin"/>
              <w:rPr>
                <w:b/>
              </w:rPr>
            </w:pPr>
            <w:fldSimple w:instr=" DOCPROPERTY &quot;RevisionText&quot;  \* MERGEFORMAT ">
              <w:r w:rsidR="00261FA5" w:rsidRPr="00261FA5">
                <w:rPr>
                  <w:b/>
                </w:rPr>
                <w:t xml:space="preserve"> </w:t>
              </w:r>
            </w:fldSimple>
            <w:r w:rsidR="004038E0" w:rsidRPr="0088590F">
              <w:rPr>
                <w:b/>
              </w:rPr>
              <w:t xml:space="preserve">   </w:t>
            </w:r>
          </w:p>
        </w:tc>
        <w:tc>
          <w:tcPr>
            <w:tcW w:w="7939" w:type="dxa"/>
            <w:gridSpan w:val="3"/>
            <w:vAlign w:val="bottom"/>
          </w:tcPr>
          <w:p w:rsidR="00334A15" w:rsidRPr="0088590F" w:rsidRDefault="00350C10" w:rsidP="00C07F65">
            <w:pPr>
              <w:pStyle w:val="ParaMargin"/>
              <w:rPr>
                <w:rFonts w:ascii="Arial Narrow" w:hAnsi="Arial Narrow"/>
              </w:rPr>
            </w:pPr>
            <w:fldSimple w:instr=" DOCPROPERTY &quot;RevisionInfo&quot;  \* MERGEFORMAT ">
              <w:r w:rsidR="00261FA5">
                <w:t xml:space="preserve"> </w:t>
              </w:r>
            </w:fldSimple>
            <w:r w:rsidR="004038E0" w:rsidRPr="0036689C">
              <w:t xml:space="preserve">   </w:t>
            </w:r>
          </w:p>
        </w:tc>
      </w:tr>
      <w:tr w:rsidR="00A863B5" w:rsidRPr="0036689C">
        <w:trPr>
          <w:cantSplit/>
        </w:trPr>
        <w:tc>
          <w:tcPr>
            <w:tcW w:w="4819" w:type="dxa"/>
            <w:gridSpan w:val="3"/>
          </w:tcPr>
          <w:p w:rsidR="00A863B5" w:rsidRPr="0036689C" w:rsidRDefault="00A863B5" w:rsidP="00C07F65">
            <w:pPr>
              <w:pStyle w:val="Data"/>
            </w:pPr>
            <w:r w:rsidRPr="0036689C">
              <w:t xml:space="preserve">This report has been prepared for </w:t>
            </w:r>
            <w:fldSimple w:instr=" DOCPROPERTY &quot;Client&quot;  \* MERGEFORMAT ">
              <w:r w:rsidR="00261FA5">
                <w:t>Department of the Environment</w:t>
              </w:r>
            </w:fldSimple>
            <w:r w:rsidRPr="0036689C">
              <w:t xml:space="preserve"> in accordance with the terms and conditions of appointment for </w:t>
            </w:r>
            <w:fldSimple w:instr=" DOCPROPERTY &quot;Project&quot;  \* MERGEFORMAT ">
              <w:r w:rsidR="00261FA5">
                <w:t>Feasibility of a Nationally Consistent System for Tracking the Movements of Controlled Wastes</w:t>
              </w:r>
            </w:fldSimple>
            <w:r w:rsidRPr="0036689C">
              <w:t xml:space="preserve"> dated </w:t>
            </w:r>
            <w:fldSimple w:instr=" DOCPROPERTY &quot;AppointmentDate&quot;  \* MERGEFORMAT ">
              <w:r w:rsidR="00261FA5">
                <w:t>5 January 2015</w:t>
              </w:r>
            </w:fldSimple>
            <w:r w:rsidRPr="0036689C">
              <w:t xml:space="preserve">. </w:t>
            </w:r>
            <w:r w:rsidR="00350C10">
              <w:fldChar w:fldCharType="begin"/>
            </w:r>
            <w:r w:rsidR="00350C10">
              <w:instrText xml:space="preserve"> INCLUDETEXT "C:\\Program Files\\Microsoft Office\\Templates\\Info.doc" CoName \* MERGEFORMAT </w:instrText>
            </w:r>
            <w:r w:rsidR="00350C10">
              <w:fldChar w:fldCharType="separate"/>
            </w:r>
            <w:proofErr w:type="spellStart"/>
            <w:r w:rsidR="002109FD" w:rsidRPr="002109FD">
              <w:rPr>
                <w:bCs/>
                <w:lang w:val="en-US"/>
              </w:rPr>
              <w:t>Hyder</w:t>
            </w:r>
            <w:proofErr w:type="spellEnd"/>
            <w:r w:rsidR="002109FD">
              <w:t xml:space="preserve"> Consulting Pty Ltd</w:t>
            </w:r>
            <w:r w:rsidR="00350C10">
              <w:fldChar w:fldCharType="end"/>
            </w:r>
            <w:r w:rsidRPr="0036689C">
              <w:t xml:space="preserve"> (</w:t>
            </w:r>
            <w:fldSimple w:instr=" INCLUDETEXT &quot;C:\\Program Files\\Microsoft Office\\Templates\\Info.doc&quot; CoNo \* MERGEFORMAT ">
              <w:r w:rsidR="002109FD" w:rsidRPr="002109FD">
                <w:rPr>
                  <w:bCs/>
                  <w:lang w:val="en-US"/>
                </w:rPr>
                <w:t>ABN</w:t>
              </w:r>
              <w:r w:rsidR="002109FD">
                <w:t xml:space="preserve"> 76 104 485 289</w:t>
              </w:r>
            </w:fldSimple>
            <w:r w:rsidRPr="0036689C">
              <w:t>) cannot accept any responsibility for any use of or reliance on the contents of this report by any third party.</w:t>
            </w:r>
          </w:p>
        </w:tc>
        <w:tc>
          <w:tcPr>
            <w:tcW w:w="4820" w:type="dxa"/>
          </w:tcPr>
          <w:p w:rsidR="00A863B5" w:rsidRPr="0036689C" w:rsidRDefault="00A863B5" w:rsidP="00C07F65">
            <w:pPr>
              <w:pStyle w:val="ParaMargin"/>
            </w:pPr>
          </w:p>
        </w:tc>
      </w:tr>
    </w:tbl>
    <w:p w:rsidR="00D27709" w:rsidRDefault="00D27709" w:rsidP="00426DEC">
      <w:pPr>
        <w:pStyle w:val="ParaMargin"/>
        <w:tabs>
          <w:tab w:val="left" w:pos="8201"/>
        </w:tabs>
      </w:pPr>
      <w:r>
        <w:tab/>
      </w:r>
    </w:p>
    <w:p w:rsidR="002B1738" w:rsidRPr="00D27709" w:rsidRDefault="002B1738" w:rsidP="00D27709">
      <w:pPr>
        <w:rPr>
          <w:lang w:val="en-GB"/>
        </w:rPr>
        <w:sectPr w:rsidR="002B1738" w:rsidRPr="00D27709" w:rsidSect="002B1738">
          <w:footerReference w:type="default" r:id="rId15"/>
          <w:type w:val="oddPage"/>
          <w:pgSz w:w="11907" w:h="16840" w:code="9"/>
          <w:pgMar w:top="1134" w:right="1134" w:bottom="1134" w:left="1134" w:header="567" w:footer="567" w:gutter="0"/>
          <w:cols w:space="708"/>
          <w:docGrid w:linePitch="360"/>
        </w:sectPr>
      </w:pPr>
    </w:p>
    <w:p w:rsidR="005121A6" w:rsidRPr="0036689C" w:rsidRDefault="005121A6" w:rsidP="00C07F6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bookmarkStart w:id="9" w:name="RevisionsPage"/>
      <w:bookmarkEnd w:id="9"/>
    </w:p>
    <w:tbl>
      <w:tblPr>
        <w:tblW w:w="9639" w:type="dxa"/>
        <w:tblLayout w:type="fixed"/>
        <w:tblCellMar>
          <w:left w:w="0" w:type="dxa"/>
          <w:right w:w="0" w:type="dxa"/>
        </w:tblCellMar>
        <w:tblLook w:val="01E0"/>
      </w:tblPr>
      <w:tblGrid>
        <w:gridCol w:w="4819"/>
        <w:gridCol w:w="4820"/>
      </w:tblGrid>
      <w:tr w:rsidR="00C434FF" w:rsidRPr="0036689C">
        <w:trPr>
          <w:cantSplit/>
        </w:trPr>
        <w:tc>
          <w:tcPr>
            <w:tcW w:w="4819" w:type="dxa"/>
          </w:tcPr>
          <w:p w:rsidR="005121A6" w:rsidRPr="0036689C" w:rsidRDefault="005121A6" w:rsidP="00C07F65">
            <w:pPr>
              <w:pStyle w:val="ParaMargin"/>
            </w:pPr>
          </w:p>
        </w:tc>
        <w:tc>
          <w:tcPr>
            <w:tcW w:w="4820" w:type="dxa"/>
          </w:tcPr>
          <w:p w:rsidR="00C434FF" w:rsidRPr="0036689C" w:rsidRDefault="005B22C5" w:rsidP="00C07F65">
            <w:pPr>
              <w:pStyle w:val="ParaMargin"/>
              <w:jc w:val="right"/>
            </w:pPr>
            <w:r>
              <w:rPr>
                <w:noProof/>
                <w:lang w:val="en-AU"/>
              </w:rPr>
              <w:drawing>
                <wp:inline distT="0" distB="0" distL="0" distR="0">
                  <wp:extent cx="1285333" cy="86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yderLogo_Blue_Tight.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85333" cy="864000"/>
                          </a:xfrm>
                          <a:prstGeom prst="rect">
                            <a:avLst/>
                          </a:prstGeom>
                        </pic:spPr>
                      </pic:pic>
                    </a:graphicData>
                  </a:graphic>
                </wp:inline>
              </w:drawing>
            </w:r>
          </w:p>
        </w:tc>
      </w:tr>
      <w:tr w:rsidR="00C434FF" w:rsidRPr="0036689C">
        <w:trPr>
          <w:cantSplit/>
        </w:trPr>
        <w:tc>
          <w:tcPr>
            <w:tcW w:w="9639" w:type="dxa"/>
            <w:gridSpan w:val="2"/>
          </w:tcPr>
          <w:p w:rsidR="00C434FF" w:rsidRPr="0036689C" w:rsidRDefault="00C434FF" w:rsidP="00C07F65">
            <w:pPr>
              <w:pStyle w:val="ParaMargin"/>
            </w:pPr>
          </w:p>
        </w:tc>
      </w:tr>
      <w:tr w:rsidR="00C434FF" w:rsidRPr="0036689C">
        <w:trPr>
          <w:cantSplit/>
        </w:trPr>
        <w:tc>
          <w:tcPr>
            <w:tcW w:w="9639" w:type="dxa"/>
            <w:gridSpan w:val="2"/>
          </w:tcPr>
          <w:p w:rsidR="00C434FF" w:rsidRPr="0036689C" w:rsidRDefault="0056371C" w:rsidP="00C07F65">
            <w:pPr>
              <w:pStyle w:val="HeadingTitle"/>
            </w:pPr>
            <w:r w:rsidRPr="0036689C">
              <w:t>CONTENTS</w:t>
            </w:r>
          </w:p>
        </w:tc>
      </w:tr>
      <w:tr w:rsidR="00C434FF" w:rsidRPr="0036689C">
        <w:tblPrEx>
          <w:tblCellMar>
            <w:left w:w="108" w:type="dxa"/>
            <w:right w:w="108" w:type="dxa"/>
          </w:tblCellMar>
        </w:tblPrEx>
        <w:trPr>
          <w:cantSplit/>
        </w:trPr>
        <w:tc>
          <w:tcPr>
            <w:tcW w:w="9639" w:type="dxa"/>
            <w:gridSpan w:val="2"/>
          </w:tcPr>
          <w:p w:rsidR="00C434FF" w:rsidRPr="0036689C" w:rsidRDefault="00350C10" w:rsidP="00C07F65">
            <w:pPr>
              <w:pStyle w:val="ParaMargin"/>
            </w:pPr>
            <w:r>
              <w:rPr>
                <w:noProof/>
                <w:lang w:val="en-AU"/>
              </w:rPr>
            </w:r>
            <w:r w:rsidRPr="00350C10">
              <w:rPr>
                <w:noProof/>
                <w:lang w:val="en-AU"/>
              </w:rPr>
              <w:pict>
                <v:polyline id="Freeform 2" o:spid="_x0000_s1052"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filled="f" strokecolor="#00519e" strokeweight="1pt">
                  <v:path arrowok="t" o:connecttype="custom" o:connectlocs="0,0;4191000,0;4368800,184150;6083300,184150" o:connectangles="0,0,0,0"/>
                  <w10:wrap type="none"/>
                  <w10:anchorlock/>
                </v:polyline>
              </w:pict>
            </w:r>
          </w:p>
        </w:tc>
      </w:tr>
      <w:bookmarkStart w:id="10" w:name="TOC1"/>
      <w:bookmarkEnd w:id="10"/>
      <w:tr w:rsidR="00C81FB5" w:rsidRPr="0036689C">
        <w:tblPrEx>
          <w:tblCellMar>
            <w:left w:w="108" w:type="dxa"/>
            <w:right w:w="108" w:type="dxa"/>
          </w:tblCellMar>
        </w:tblPrEx>
        <w:tc>
          <w:tcPr>
            <w:tcW w:w="9639" w:type="dxa"/>
            <w:gridSpan w:val="2"/>
          </w:tcPr>
          <w:p w:rsidR="00261FA5" w:rsidRDefault="00350C10">
            <w:pPr>
              <w:pStyle w:val="TOC1"/>
              <w:rPr>
                <w:rFonts w:asciiTheme="minorHAnsi" w:eastAsiaTheme="minorEastAsia" w:hAnsiTheme="minorHAnsi" w:cstheme="minorBidi"/>
                <w:color w:val="auto"/>
                <w:sz w:val="22"/>
                <w:szCs w:val="22"/>
                <w:lang w:eastAsia="en-AU"/>
              </w:rPr>
            </w:pPr>
            <w:r w:rsidRPr="00350C10">
              <w:fldChar w:fldCharType="begin"/>
            </w:r>
            <w:r w:rsidR="009A0E01" w:rsidRPr="0036689C">
              <w:instrText xml:space="preserve"> TOC </w:instrText>
            </w:r>
            <w:r w:rsidR="00204947">
              <w:instrText xml:space="preserve">\h </w:instrText>
            </w:r>
            <w:r w:rsidR="009A0E01" w:rsidRPr="0036689C">
              <w:instrText xml:space="preserve">\t "_Heading1,1,_Heading2,2" </w:instrText>
            </w:r>
            <w:r w:rsidRPr="00350C10">
              <w:fldChar w:fldCharType="separate"/>
            </w:r>
            <w:hyperlink w:anchor="_Toc421181726" w:history="1">
              <w:r w:rsidR="00261FA5" w:rsidRPr="0026545E">
                <w:rPr>
                  <w:rStyle w:val="Hyperlink"/>
                </w:rPr>
                <w:t>Executive Summary</w:t>
              </w:r>
              <w:r w:rsidR="00261FA5">
                <w:tab/>
              </w:r>
              <w:r>
                <w:fldChar w:fldCharType="begin"/>
              </w:r>
              <w:r w:rsidR="00261FA5">
                <w:instrText xml:space="preserve"> PAGEREF _Toc421181726 \h </w:instrText>
              </w:r>
              <w:r>
                <w:fldChar w:fldCharType="separate"/>
              </w:r>
              <w:r w:rsidR="00261FA5">
                <w:t>1</w:t>
              </w:r>
              <w:r>
                <w:fldChar w:fldCharType="end"/>
              </w:r>
            </w:hyperlink>
          </w:p>
          <w:p w:rsidR="00261FA5" w:rsidRDefault="00350C10">
            <w:pPr>
              <w:pStyle w:val="TOC1"/>
              <w:rPr>
                <w:rFonts w:asciiTheme="minorHAnsi" w:eastAsiaTheme="minorEastAsia" w:hAnsiTheme="minorHAnsi" w:cstheme="minorBidi"/>
                <w:color w:val="auto"/>
                <w:sz w:val="22"/>
                <w:szCs w:val="22"/>
                <w:lang w:eastAsia="en-AU"/>
              </w:rPr>
            </w:pPr>
            <w:hyperlink w:anchor="_Toc421181727" w:history="1">
              <w:r w:rsidR="00261FA5" w:rsidRPr="0026545E">
                <w:rPr>
                  <w:rStyle w:val="Hyperlink"/>
                </w:rPr>
                <w:t>1</w:t>
              </w:r>
              <w:r w:rsidR="00261FA5">
                <w:rPr>
                  <w:rFonts w:asciiTheme="minorHAnsi" w:eastAsiaTheme="minorEastAsia" w:hAnsiTheme="minorHAnsi" w:cstheme="minorBidi"/>
                  <w:color w:val="auto"/>
                  <w:sz w:val="22"/>
                  <w:szCs w:val="22"/>
                  <w:lang w:eastAsia="en-AU"/>
                </w:rPr>
                <w:tab/>
              </w:r>
              <w:r w:rsidR="00261FA5" w:rsidRPr="0026545E">
                <w:rPr>
                  <w:rStyle w:val="Hyperlink"/>
                </w:rPr>
                <w:t>Introduction</w:t>
              </w:r>
              <w:r w:rsidR="00261FA5">
                <w:tab/>
              </w:r>
              <w:r>
                <w:fldChar w:fldCharType="begin"/>
              </w:r>
              <w:r w:rsidR="00261FA5">
                <w:instrText xml:space="preserve"> PAGEREF _Toc421181727 \h </w:instrText>
              </w:r>
              <w:r>
                <w:fldChar w:fldCharType="separate"/>
              </w:r>
              <w:r w:rsidR="00261FA5">
                <w:t>3</w:t>
              </w:r>
              <w:r>
                <w:fldChar w:fldCharType="end"/>
              </w:r>
            </w:hyperlink>
          </w:p>
          <w:p w:rsidR="00261FA5" w:rsidRDefault="00350C10">
            <w:pPr>
              <w:pStyle w:val="TOC1"/>
              <w:rPr>
                <w:rFonts w:asciiTheme="minorHAnsi" w:eastAsiaTheme="minorEastAsia" w:hAnsiTheme="minorHAnsi" w:cstheme="minorBidi"/>
                <w:color w:val="auto"/>
                <w:sz w:val="22"/>
                <w:szCs w:val="22"/>
                <w:lang w:eastAsia="en-AU"/>
              </w:rPr>
            </w:pPr>
            <w:hyperlink w:anchor="_Toc421181728" w:history="1">
              <w:r w:rsidR="00261FA5" w:rsidRPr="0026545E">
                <w:rPr>
                  <w:rStyle w:val="Hyperlink"/>
                </w:rPr>
                <w:t>2</w:t>
              </w:r>
              <w:r w:rsidR="00261FA5">
                <w:rPr>
                  <w:rFonts w:asciiTheme="minorHAnsi" w:eastAsiaTheme="minorEastAsia" w:hAnsiTheme="minorHAnsi" w:cstheme="minorBidi"/>
                  <w:color w:val="auto"/>
                  <w:sz w:val="22"/>
                  <w:szCs w:val="22"/>
                  <w:lang w:eastAsia="en-AU"/>
                </w:rPr>
                <w:tab/>
              </w:r>
              <w:r w:rsidR="00261FA5" w:rsidRPr="0026545E">
                <w:rPr>
                  <w:rStyle w:val="Hyperlink"/>
                </w:rPr>
                <w:t>Review of jurisdictions</w:t>
              </w:r>
              <w:r w:rsidR="00261FA5">
                <w:tab/>
              </w:r>
              <w:r>
                <w:fldChar w:fldCharType="begin"/>
              </w:r>
              <w:r w:rsidR="00261FA5">
                <w:instrText xml:space="preserve"> PAGEREF _Toc421181728 \h </w:instrText>
              </w:r>
              <w:r>
                <w:fldChar w:fldCharType="separate"/>
              </w:r>
              <w:r w:rsidR="00261FA5">
                <w:t>6</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29" w:history="1">
              <w:r w:rsidR="00261FA5" w:rsidRPr="0026545E">
                <w:rPr>
                  <w:rStyle w:val="Hyperlink"/>
                </w:rPr>
                <w:t>2.1</w:t>
              </w:r>
              <w:r w:rsidR="00261FA5">
                <w:rPr>
                  <w:rFonts w:asciiTheme="minorHAnsi" w:eastAsiaTheme="minorEastAsia" w:hAnsiTheme="minorHAnsi" w:cstheme="minorBidi"/>
                  <w:sz w:val="22"/>
                  <w:szCs w:val="22"/>
                  <w:lang w:eastAsia="en-AU"/>
                </w:rPr>
                <w:tab/>
              </w:r>
              <w:r w:rsidR="00261FA5" w:rsidRPr="0026545E">
                <w:rPr>
                  <w:rStyle w:val="Hyperlink"/>
                </w:rPr>
                <w:t>National</w:t>
              </w:r>
              <w:r w:rsidR="00261FA5">
                <w:tab/>
              </w:r>
              <w:r>
                <w:fldChar w:fldCharType="begin"/>
              </w:r>
              <w:r w:rsidR="00261FA5">
                <w:instrText xml:space="preserve"> PAGEREF _Toc421181729 \h </w:instrText>
              </w:r>
              <w:r>
                <w:fldChar w:fldCharType="separate"/>
              </w:r>
              <w:r w:rsidR="00261FA5">
                <w:t>6</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30" w:history="1">
              <w:r w:rsidR="00261FA5" w:rsidRPr="0026545E">
                <w:rPr>
                  <w:rStyle w:val="Hyperlink"/>
                </w:rPr>
                <w:t>2.2</w:t>
              </w:r>
              <w:r w:rsidR="00261FA5">
                <w:rPr>
                  <w:rFonts w:asciiTheme="minorHAnsi" w:eastAsiaTheme="minorEastAsia" w:hAnsiTheme="minorHAnsi" w:cstheme="minorBidi"/>
                  <w:sz w:val="22"/>
                  <w:szCs w:val="22"/>
                  <w:lang w:eastAsia="en-AU"/>
                </w:rPr>
                <w:tab/>
              </w:r>
              <w:r w:rsidR="00261FA5" w:rsidRPr="0026545E">
                <w:rPr>
                  <w:rStyle w:val="Hyperlink"/>
                </w:rPr>
                <w:t>New South Wales</w:t>
              </w:r>
              <w:r w:rsidR="00261FA5">
                <w:tab/>
              </w:r>
              <w:r>
                <w:fldChar w:fldCharType="begin"/>
              </w:r>
              <w:r w:rsidR="00261FA5">
                <w:instrText xml:space="preserve"> PAGEREF _Toc421181730 \h </w:instrText>
              </w:r>
              <w:r>
                <w:fldChar w:fldCharType="separate"/>
              </w:r>
              <w:r w:rsidR="00261FA5">
                <w:t>11</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31" w:history="1">
              <w:r w:rsidR="00261FA5" w:rsidRPr="0026545E">
                <w:rPr>
                  <w:rStyle w:val="Hyperlink"/>
                </w:rPr>
                <w:t>2.3</w:t>
              </w:r>
              <w:r w:rsidR="00261FA5">
                <w:rPr>
                  <w:rFonts w:asciiTheme="minorHAnsi" w:eastAsiaTheme="minorEastAsia" w:hAnsiTheme="minorHAnsi" w:cstheme="minorBidi"/>
                  <w:sz w:val="22"/>
                  <w:szCs w:val="22"/>
                  <w:lang w:eastAsia="en-AU"/>
                </w:rPr>
                <w:tab/>
              </w:r>
              <w:r w:rsidR="00261FA5" w:rsidRPr="0026545E">
                <w:rPr>
                  <w:rStyle w:val="Hyperlink"/>
                </w:rPr>
                <w:t>Victoria</w:t>
              </w:r>
              <w:r w:rsidR="00261FA5">
                <w:tab/>
              </w:r>
              <w:r>
                <w:fldChar w:fldCharType="begin"/>
              </w:r>
              <w:r w:rsidR="00261FA5">
                <w:instrText xml:space="preserve"> PAGEREF _Toc421181731 \h </w:instrText>
              </w:r>
              <w:r>
                <w:fldChar w:fldCharType="separate"/>
              </w:r>
              <w:r w:rsidR="00261FA5">
                <w:t>14</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32" w:history="1">
              <w:r w:rsidR="00261FA5" w:rsidRPr="0026545E">
                <w:rPr>
                  <w:rStyle w:val="Hyperlink"/>
                </w:rPr>
                <w:t>2.4</w:t>
              </w:r>
              <w:r w:rsidR="00261FA5">
                <w:rPr>
                  <w:rFonts w:asciiTheme="minorHAnsi" w:eastAsiaTheme="minorEastAsia" w:hAnsiTheme="minorHAnsi" w:cstheme="minorBidi"/>
                  <w:sz w:val="22"/>
                  <w:szCs w:val="22"/>
                  <w:lang w:eastAsia="en-AU"/>
                </w:rPr>
                <w:tab/>
              </w:r>
              <w:r w:rsidR="00261FA5" w:rsidRPr="0026545E">
                <w:rPr>
                  <w:rStyle w:val="Hyperlink"/>
                </w:rPr>
                <w:t>Queensland</w:t>
              </w:r>
              <w:r w:rsidR="00261FA5">
                <w:tab/>
              </w:r>
              <w:r>
                <w:fldChar w:fldCharType="begin"/>
              </w:r>
              <w:r w:rsidR="00261FA5">
                <w:instrText xml:space="preserve"> PAGEREF _Toc421181732 \h </w:instrText>
              </w:r>
              <w:r>
                <w:fldChar w:fldCharType="separate"/>
              </w:r>
              <w:r w:rsidR="00261FA5">
                <w:t>16</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33" w:history="1">
              <w:r w:rsidR="00261FA5" w:rsidRPr="0026545E">
                <w:rPr>
                  <w:rStyle w:val="Hyperlink"/>
                </w:rPr>
                <w:t>2.5</w:t>
              </w:r>
              <w:r w:rsidR="00261FA5">
                <w:rPr>
                  <w:rFonts w:asciiTheme="minorHAnsi" w:eastAsiaTheme="minorEastAsia" w:hAnsiTheme="minorHAnsi" w:cstheme="minorBidi"/>
                  <w:sz w:val="22"/>
                  <w:szCs w:val="22"/>
                  <w:lang w:eastAsia="en-AU"/>
                </w:rPr>
                <w:tab/>
              </w:r>
              <w:r w:rsidR="00261FA5" w:rsidRPr="0026545E">
                <w:rPr>
                  <w:rStyle w:val="Hyperlink"/>
                </w:rPr>
                <w:t>Western Australia</w:t>
              </w:r>
              <w:r w:rsidR="00261FA5">
                <w:tab/>
              </w:r>
              <w:r>
                <w:fldChar w:fldCharType="begin"/>
              </w:r>
              <w:r w:rsidR="00261FA5">
                <w:instrText xml:space="preserve"> PAGEREF _Toc421181733 \h </w:instrText>
              </w:r>
              <w:r>
                <w:fldChar w:fldCharType="separate"/>
              </w:r>
              <w:r w:rsidR="00261FA5">
                <w:t>18</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34" w:history="1">
              <w:r w:rsidR="00261FA5" w:rsidRPr="0026545E">
                <w:rPr>
                  <w:rStyle w:val="Hyperlink"/>
                </w:rPr>
                <w:t>2.6</w:t>
              </w:r>
              <w:r w:rsidR="00261FA5">
                <w:rPr>
                  <w:rFonts w:asciiTheme="minorHAnsi" w:eastAsiaTheme="minorEastAsia" w:hAnsiTheme="minorHAnsi" w:cstheme="minorBidi"/>
                  <w:sz w:val="22"/>
                  <w:szCs w:val="22"/>
                  <w:lang w:eastAsia="en-AU"/>
                </w:rPr>
                <w:tab/>
              </w:r>
              <w:r w:rsidR="00261FA5" w:rsidRPr="0026545E">
                <w:rPr>
                  <w:rStyle w:val="Hyperlink"/>
                </w:rPr>
                <w:t>South Australia</w:t>
              </w:r>
              <w:r w:rsidR="00261FA5">
                <w:tab/>
              </w:r>
              <w:r>
                <w:fldChar w:fldCharType="begin"/>
              </w:r>
              <w:r w:rsidR="00261FA5">
                <w:instrText xml:space="preserve"> PAGEREF _Toc421181734 \h </w:instrText>
              </w:r>
              <w:r>
                <w:fldChar w:fldCharType="separate"/>
              </w:r>
              <w:r w:rsidR="00261FA5">
                <w:t>20</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35" w:history="1">
              <w:r w:rsidR="00261FA5" w:rsidRPr="0026545E">
                <w:rPr>
                  <w:rStyle w:val="Hyperlink"/>
                </w:rPr>
                <w:t>2.7</w:t>
              </w:r>
              <w:r w:rsidR="00261FA5">
                <w:rPr>
                  <w:rFonts w:asciiTheme="minorHAnsi" w:eastAsiaTheme="minorEastAsia" w:hAnsiTheme="minorHAnsi" w:cstheme="minorBidi"/>
                  <w:sz w:val="22"/>
                  <w:szCs w:val="22"/>
                  <w:lang w:eastAsia="en-AU"/>
                </w:rPr>
                <w:tab/>
              </w:r>
              <w:r w:rsidR="00261FA5" w:rsidRPr="0026545E">
                <w:rPr>
                  <w:rStyle w:val="Hyperlink"/>
                </w:rPr>
                <w:t>Tasmania</w:t>
              </w:r>
              <w:r w:rsidR="00261FA5">
                <w:tab/>
              </w:r>
              <w:r>
                <w:fldChar w:fldCharType="begin"/>
              </w:r>
              <w:r w:rsidR="00261FA5">
                <w:instrText xml:space="preserve"> PAGEREF _Toc421181735 \h </w:instrText>
              </w:r>
              <w:r>
                <w:fldChar w:fldCharType="separate"/>
              </w:r>
              <w:r w:rsidR="00261FA5">
                <w:t>21</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36" w:history="1">
              <w:r w:rsidR="00261FA5" w:rsidRPr="0026545E">
                <w:rPr>
                  <w:rStyle w:val="Hyperlink"/>
                </w:rPr>
                <w:t>2.8</w:t>
              </w:r>
              <w:r w:rsidR="00261FA5">
                <w:rPr>
                  <w:rFonts w:asciiTheme="minorHAnsi" w:eastAsiaTheme="minorEastAsia" w:hAnsiTheme="minorHAnsi" w:cstheme="minorBidi"/>
                  <w:sz w:val="22"/>
                  <w:szCs w:val="22"/>
                  <w:lang w:eastAsia="en-AU"/>
                </w:rPr>
                <w:tab/>
              </w:r>
              <w:r w:rsidR="00261FA5" w:rsidRPr="0026545E">
                <w:rPr>
                  <w:rStyle w:val="Hyperlink"/>
                </w:rPr>
                <w:t>Northern Territory</w:t>
              </w:r>
              <w:r w:rsidR="00261FA5">
                <w:tab/>
              </w:r>
              <w:r>
                <w:fldChar w:fldCharType="begin"/>
              </w:r>
              <w:r w:rsidR="00261FA5">
                <w:instrText xml:space="preserve"> PAGEREF _Toc421181736 \h </w:instrText>
              </w:r>
              <w:r>
                <w:fldChar w:fldCharType="separate"/>
              </w:r>
              <w:r w:rsidR="00261FA5">
                <w:t>23</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37" w:history="1">
              <w:r w:rsidR="00261FA5" w:rsidRPr="0026545E">
                <w:rPr>
                  <w:rStyle w:val="Hyperlink"/>
                </w:rPr>
                <w:t>2.9</w:t>
              </w:r>
              <w:r w:rsidR="00261FA5">
                <w:rPr>
                  <w:rFonts w:asciiTheme="minorHAnsi" w:eastAsiaTheme="minorEastAsia" w:hAnsiTheme="minorHAnsi" w:cstheme="minorBidi"/>
                  <w:sz w:val="22"/>
                  <w:szCs w:val="22"/>
                  <w:lang w:eastAsia="en-AU"/>
                </w:rPr>
                <w:tab/>
              </w:r>
              <w:r w:rsidR="00261FA5" w:rsidRPr="0026545E">
                <w:rPr>
                  <w:rStyle w:val="Hyperlink"/>
                </w:rPr>
                <w:t>Australian Capital Territory</w:t>
              </w:r>
              <w:r w:rsidR="00261FA5">
                <w:tab/>
              </w:r>
              <w:r>
                <w:fldChar w:fldCharType="begin"/>
              </w:r>
              <w:r w:rsidR="00261FA5">
                <w:instrText xml:space="preserve"> PAGEREF _Toc421181737 \h </w:instrText>
              </w:r>
              <w:r>
                <w:fldChar w:fldCharType="separate"/>
              </w:r>
              <w:r w:rsidR="00261FA5">
                <w:t>24</w:t>
              </w:r>
              <w:r>
                <w:fldChar w:fldCharType="end"/>
              </w:r>
            </w:hyperlink>
          </w:p>
          <w:p w:rsidR="00261FA5" w:rsidRDefault="00350C10">
            <w:pPr>
              <w:pStyle w:val="TOC1"/>
              <w:rPr>
                <w:rFonts w:asciiTheme="minorHAnsi" w:eastAsiaTheme="minorEastAsia" w:hAnsiTheme="minorHAnsi" w:cstheme="minorBidi"/>
                <w:color w:val="auto"/>
                <w:sz w:val="22"/>
                <w:szCs w:val="22"/>
                <w:lang w:eastAsia="en-AU"/>
              </w:rPr>
            </w:pPr>
            <w:hyperlink w:anchor="_Toc421181738" w:history="1">
              <w:r w:rsidR="00261FA5" w:rsidRPr="0026545E">
                <w:rPr>
                  <w:rStyle w:val="Hyperlink"/>
                </w:rPr>
                <w:t>3</w:t>
              </w:r>
              <w:r w:rsidR="00261FA5">
                <w:rPr>
                  <w:rFonts w:asciiTheme="minorHAnsi" w:eastAsiaTheme="minorEastAsia" w:hAnsiTheme="minorHAnsi" w:cstheme="minorBidi"/>
                  <w:color w:val="auto"/>
                  <w:sz w:val="22"/>
                  <w:szCs w:val="22"/>
                  <w:lang w:eastAsia="en-AU"/>
                </w:rPr>
                <w:tab/>
              </w:r>
              <w:r w:rsidR="00261FA5" w:rsidRPr="0026545E">
                <w:rPr>
                  <w:rStyle w:val="Hyperlink"/>
                </w:rPr>
                <w:t>International review</w:t>
              </w:r>
              <w:r w:rsidR="00261FA5">
                <w:tab/>
              </w:r>
              <w:r>
                <w:fldChar w:fldCharType="begin"/>
              </w:r>
              <w:r w:rsidR="00261FA5">
                <w:instrText xml:space="preserve"> PAGEREF _Toc421181738 \h </w:instrText>
              </w:r>
              <w:r>
                <w:fldChar w:fldCharType="separate"/>
              </w:r>
              <w:r w:rsidR="00261FA5">
                <w:t>25</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39" w:history="1">
              <w:r w:rsidR="00261FA5" w:rsidRPr="0026545E">
                <w:rPr>
                  <w:rStyle w:val="Hyperlink"/>
                </w:rPr>
                <w:t>3.1</w:t>
              </w:r>
              <w:r w:rsidR="00261FA5">
                <w:rPr>
                  <w:rFonts w:asciiTheme="minorHAnsi" w:eastAsiaTheme="minorEastAsia" w:hAnsiTheme="minorHAnsi" w:cstheme="minorBidi"/>
                  <w:sz w:val="22"/>
                  <w:szCs w:val="22"/>
                  <w:lang w:eastAsia="en-AU"/>
                </w:rPr>
                <w:tab/>
              </w:r>
              <w:r w:rsidR="00261FA5" w:rsidRPr="0026545E">
                <w:rPr>
                  <w:rStyle w:val="Hyperlink"/>
                </w:rPr>
                <w:t>High level review</w:t>
              </w:r>
              <w:r w:rsidR="00261FA5">
                <w:tab/>
              </w:r>
              <w:r>
                <w:fldChar w:fldCharType="begin"/>
              </w:r>
              <w:r w:rsidR="00261FA5">
                <w:instrText xml:space="preserve"> PAGEREF _Toc421181739 \h </w:instrText>
              </w:r>
              <w:r>
                <w:fldChar w:fldCharType="separate"/>
              </w:r>
              <w:r w:rsidR="00261FA5">
                <w:t>25</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40" w:history="1">
              <w:r w:rsidR="00261FA5" w:rsidRPr="0026545E">
                <w:rPr>
                  <w:rStyle w:val="Hyperlink"/>
                </w:rPr>
                <w:t>3.2</w:t>
              </w:r>
              <w:r w:rsidR="00261FA5">
                <w:rPr>
                  <w:rFonts w:asciiTheme="minorHAnsi" w:eastAsiaTheme="minorEastAsia" w:hAnsiTheme="minorHAnsi" w:cstheme="minorBidi"/>
                  <w:sz w:val="22"/>
                  <w:szCs w:val="22"/>
                  <w:lang w:eastAsia="en-AU"/>
                </w:rPr>
                <w:tab/>
              </w:r>
              <w:r w:rsidR="00261FA5" w:rsidRPr="0026545E">
                <w:rPr>
                  <w:rStyle w:val="Hyperlink"/>
                </w:rPr>
                <w:t>Case studies</w:t>
              </w:r>
              <w:r w:rsidR="00261FA5">
                <w:tab/>
              </w:r>
              <w:r>
                <w:fldChar w:fldCharType="begin"/>
              </w:r>
              <w:r w:rsidR="00261FA5">
                <w:instrText xml:space="preserve"> PAGEREF _Toc421181740 \h </w:instrText>
              </w:r>
              <w:r>
                <w:fldChar w:fldCharType="separate"/>
              </w:r>
              <w:r w:rsidR="00261FA5">
                <w:t>26</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41" w:history="1">
              <w:r w:rsidR="00261FA5" w:rsidRPr="0026545E">
                <w:rPr>
                  <w:rStyle w:val="Hyperlink"/>
                </w:rPr>
                <w:t>3.3</w:t>
              </w:r>
              <w:r w:rsidR="00261FA5">
                <w:rPr>
                  <w:rFonts w:asciiTheme="minorHAnsi" w:eastAsiaTheme="minorEastAsia" w:hAnsiTheme="minorHAnsi" w:cstheme="minorBidi"/>
                  <w:sz w:val="22"/>
                  <w:szCs w:val="22"/>
                  <w:lang w:eastAsia="en-AU"/>
                </w:rPr>
                <w:tab/>
              </w:r>
              <w:r w:rsidR="00261FA5" w:rsidRPr="0026545E">
                <w:rPr>
                  <w:rStyle w:val="Hyperlink"/>
                </w:rPr>
                <w:t>Learning for Australia</w:t>
              </w:r>
              <w:r w:rsidR="00261FA5">
                <w:tab/>
              </w:r>
              <w:r>
                <w:fldChar w:fldCharType="begin"/>
              </w:r>
              <w:r w:rsidR="00261FA5">
                <w:instrText xml:space="preserve"> PAGEREF _Toc421181741 \h </w:instrText>
              </w:r>
              <w:r>
                <w:fldChar w:fldCharType="separate"/>
              </w:r>
              <w:r w:rsidR="00261FA5">
                <w:t>34</w:t>
              </w:r>
              <w:r>
                <w:fldChar w:fldCharType="end"/>
              </w:r>
            </w:hyperlink>
          </w:p>
          <w:p w:rsidR="00261FA5" w:rsidRDefault="00350C10">
            <w:pPr>
              <w:pStyle w:val="TOC1"/>
              <w:rPr>
                <w:rFonts w:asciiTheme="minorHAnsi" w:eastAsiaTheme="minorEastAsia" w:hAnsiTheme="minorHAnsi" w:cstheme="minorBidi"/>
                <w:color w:val="auto"/>
                <w:sz w:val="22"/>
                <w:szCs w:val="22"/>
                <w:lang w:eastAsia="en-AU"/>
              </w:rPr>
            </w:pPr>
            <w:hyperlink w:anchor="_Toc421181742" w:history="1">
              <w:r w:rsidR="00261FA5" w:rsidRPr="0026545E">
                <w:rPr>
                  <w:rStyle w:val="Hyperlink"/>
                </w:rPr>
                <w:t>4</w:t>
              </w:r>
              <w:r w:rsidR="00261FA5">
                <w:rPr>
                  <w:rFonts w:asciiTheme="minorHAnsi" w:eastAsiaTheme="minorEastAsia" w:hAnsiTheme="minorHAnsi" w:cstheme="minorBidi"/>
                  <w:color w:val="auto"/>
                  <w:sz w:val="22"/>
                  <w:szCs w:val="22"/>
                  <w:lang w:eastAsia="en-AU"/>
                </w:rPr>
                <w:tab/>
              </w:r>
              <w:r w:rsidR="00261FA5" w:rsidRPr="0026545E">
                <w:rPr>
                  <w:rStyle w:val="Hyperlink"/>
                </w:rPr>
                <w:t>Stakeholder perspectives</w:t>
              </w:r>
              <w:r w:rsidR="00261FA5">
                <w:tab/>
              </w:r>
              <w:r>
                <w:fldChar w:fldCharType="begin"/>
              </w:r>
              <w:r w:rsidR="00261FA5">
                <w:instrText xml:space="preserve"> PAGEREF _Toc421181742 \h </w:instrText>
              </w:r>
              <w:r>
                <w:fldChar w:fldCharType="separate"/>
              </w:r>
              <w:r w:rsidR="00261FA5">
                <w:t>35</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43" w:history="1">
              <w:r w:rsidR="00261FA5" w:rsidRPr="0026545E">
                <w:rPr>
                  <w:rStyle w:val="Hyperlink"/>
                </w:rPr>
                <w:t>4.1</w:t>
              </w:r>
              <w:r w:rsidR="00261FA5">
                <w:rPr>
                  <w:rFonts w:asciiTheme="minorHAnsi" w:eastAsiaTheme="minorEastAsia" w:hAnsiTheme="minorHAnsi" w:cstheme="minorBidi"/>
                  <w:sz w:val="22"/>
                  <w:szCs w:val="22"/>
                  <w:lang w:eastAsia="en-AU"/>
                </w:rPr>
                <w:tab/>
              </w:r>
              <w:r w:rsidR="00261FA5" w:rsidRPr="0026545E">
                <w:rPr>
                  <w:rStyle w:val="Hyperlink"/>
                </w:rPr>
                <w:t>Need, willingness and readiness</w:t>
              </w:r>
              <w:r w:rsidR="00261FA5">
                <w:tab/>
              </w:r>
              <w:r>
                <w:fldChar w:fldCharType="begin"/>
              </w:r>
              <w:r w:rsidR="00261FA5">
                <w:instrText xml:space="preserve"> PAGEREF _Toc421181743 \h </w:instrText>
              </w:r>
              <w:r>
                <w:fldChar w:fldCharType="separate"/>
              </w:r>
              <w:r w:rsidR="00261FA5">
                <w:t>35</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44" w:history="1">
              <w:r w:rsidR="00261FA5" w:rsidRPr="0026545E">
                <w:rPr>
                  <w:rStyle w:val="Hyperlink"/>
                </w:rPr>
                <w:t>4.2</w:t>
              </w:r>
              <w:r w:rsidR="00261FA5">
                <w:rPr>
                  <w:rFonts w:asciiTheme="minorHAnsi" w:eastAsiaTheme="minorEastAsia" w:hAnsiTheme="minorHAnsi" w:cstheme="minorBidi"/>
                  <w:sz w:val="22"/>
                  <w:szCs w:val="22"/>
                  <w:lang w:eastAsia="en-AU"/>
                </w:rPr>
                <w:tab/>
              </w:r>
              <w:r w:rsidR="00261FA5" w:rsidRPr="0026545E">
                <w:rPr>
                  <w:rStyle w:val="Hyperlink"/>
                </w:rPr>
                <w:t>Regulatory systems</w:t>
              </w:r>
              <w:r w:rsidR="00261FA5">
                <w:tab/>
              </w:r>
              <w:r>
                <w:fldChar w:fldCharType="begin"/>
              </w:r>
              <w:r w:rsidR="00261FA5">
                <w:instrText xml:space="preserve"> PAGEREF _Toc421181744 \h </w:instrText>
              </w:r>
              <w:r>
                <w:fldChar w:fldCharType="separate"/>
              </w:r>
              <w:r w:rsidR="00261FA5">
                <w:t>41</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45" w:history="1">
              <w:r w:rsidR="00261FA5" w:rsidRPr="0026545E">
                <w:rPr>
                  <w:rStyle w:val="Hyperlink"/>
                </w:rPr>
                <w:t>4.3</w:t>
              </w:r>
              <w:r w:rsidR="00261FA5">
                <w:rPr>
                  <w:rFonts w:asciiTheme="minorHAnsi" w:eastAsiaTheme="minorEastAsia" w:hAnsiTheme="minorHAnsi" w:cstheme="minorBidi"/>
                  <w:sz w:val="22"/>
                  <w:szCs w:val="22"/>
                  <w:lang w:eastAsia="en-AU"/>
                </w:rPr>
                <w:tab/>
              </w:r>
              <w:r w:rsidR="00261FA5" w:rsidRPr="0026545E">
                <w:rPr>
                  <w:rStyle w:val="Hyperlink"/>
                </w:rPr>
                <w:t>Technology systems</w:t>
              </w:r>
              <w:r w:rsidR="00261FA5">
                <w:tab/>
              </w:r>
              <w:r>
                <w:fldChar w:fldCharType="begin"/>
              </w:r>
              <w:r w:rsidR="00261FA5">
                <w:instrText xml:space="preserve"> PAGEREF _Toc421181745 \h </w:instrText>
              </w:r>
              <w:r>
                <w:fldChar w:fldCharType="separate"/>
              </w:r>
              <w:r w:rsidR="00261FA5">
                <w:t>42</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46" w:history="1">
              <w:r w:rsidR="00261FA5" w:rsidRPr="0026545E">
                <w:rPr>
                  <w:rStyle w:val="Hyperlink"/>
                </w:rPr>
                <w:t>4.4</w:t>
              </w:r>
              <w:r w:rsidR="00261FA5">
                <w:rPr>
                  <w:rFonts w:asciiTheme="minorHAnsi" w:eastAsiaTheme="minorEastAsia" w:hAnsiTheme="minorHAnsi" w:cstheme="minorBidi"/>
                  <w:sz w:val="22"/>
                  <w:szCs w:val="22"/>
                  <w:lang w:eastAsia="en-AU"/>
                </w:rPr>
                <w:tab/>
              </w:r>
              <w:r w:rsidR="00261FA5" w:rsidRPr="0026545E">
                <w:rPr>
                  <w:rStyle w:val="Hyperlink"/>
                </w:rPr>
                <w:t>Risks and opportunities</w:t>
              </w:r>
              <w:r w:rsidR="00261FA5">
                <w:tab/>
              </w:r>
              <w:r>
                <w:fldChar w:fldCharType="begin"/>
              </w:r>
              <w:r w:rsidR="00261FA5">
                <w:instrText xml:space="preserve"> PAGEREF _Toc421181746 \h </w:instrText>
              </w:r>
              <w:r>
                <w:fldChar w:fldCharType="separate"/>
              </w:r>
              <w:r w:rsidR="00261FA5">
                <w:t>45</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47" w:history="1">
              <w:r w:rsidR="00261FA5" w:rsidRPr="0026545E">
                <w:rPr>
                  <w:rStyle w:val="Hyperlink"/>
                </w:rPr>
                <w:t>4.5</w:t>
              </w:r>
              <w:r w:rsidR="00261FA5">
                <w:rPr>
                  <w:rFonts w:asciiTheme="minorHAnsi" w:eastAsiaTheme="minorEastAsia" w:hAnsiTheme="minorHAnsi" w:cstheme="minorBidi"/>
                  <w:sz w:val="22"/>
                  <w:szCs w:val="22"/>
                  <w:lang w:eastAsia="en-AU"/>
                </w:rPr>
                <w:tab/>
              </w:r>
              <w:r w:rsidR="00261FA5" w:rsidRPr="0026545E">
                <w:rPr>
                  <w:rStyle w:val="Hyperlink"/>
                </w:rPr>
                <w:t>Other issues</w:t>
              </w:r>
              <w:r w:rsidR="00261FA5">
                <w:tab/>
              </w:r>
              <w:r>
                <w:fldChar w:fldCharType="begin"/>
              </w:r>
              <w:r w:rsidR="00261FA5">
                <w:instrText xml:space="preserve"> PAGEREF _Toc421181747 \h </w:instrText>
              </w:r>
              <w:r>
                <w:fldChar w:fldCharType="separate"/>
              </w:r>
              <w:r w:rsidR="00261FA5">
                <w:t>45</w:t>
              </w:r>
              <w:r>
                <w:fldChar w:fldCharType="end"/>
              </w:r>
            </w:hyperlink>
          </w:p>
          <w:p w:rsidR="00261FA5" w:rsidRDefault="00350C10">
            <w:pPr>
              <w:pStyle w:val="TOC1"/>
              <w:rPr>
                <w:rFonts w:asciiTheme="minorHAnsi" w:eastAsiaTheme="minorEastAsia" w:hAnsiTheme="minorHAnsi" w:cstheme="minorBidi"/>
                <w:color w:val="auto"/>
                <w:sz w:val="22"/>
                <w:szCs w:val="22"/>
                <w:lang w:eastAsia="en-AU"/>
              </w:rPr>
            </w:pPr>
            <w:hyperlink w:anchor="_Toc421181748" w:history="1">
              <w:r w:rsidR="00261FA5" w:rsidRPr="0026545E">
                <w:rPr>
                  <w:rStyle w:val="Hyperlink"/>
                </w:rPr>
                <w:t>5</w:t>
              </w:r>
              <w:r w:rsidR="00261FA5">
                <w:rPr>
                  <w:rFonts w:asciiTheme="minorHAnsi" w:eastAsiaTheme="minorEastAsia" w:hAnsiTheme="minorHAnsi" w:cstheme="minorBidi"/>
                  <w:color w:val="auto"/>
                  <w:sz w:val="22"/>
                  <w:szCs w:val="22"/>
                  <w:lang w:eastAsia="en-AU"/>
                </w:rPr>
                <w:tab/>
              </w:r>
              <w:r w:rsidR="00261FA5" w:rsidRPr="0026545E">
                <w:rPr>
                  <w:rStyle w:val="Hyperlink"/>
                </w:rPr>
                <w:t>Options and recommendations</w:t>
              </w:r>
              <w:r w:rsidR="00261FA5">
                <w:tab/>
              </w:r>
              <w:r>
                <w:fldChar w:fldCharType="begin"/>
              </w:r>
              <w:r w:rsidR="00261FA5">
                <w:instrText xml:space="preserve"> PAGEREF _Toc421181748 \h </w:instrText>
              </w:r>
              <w:r>
                <w:fldChar w:fldCharType="separate"/>
              </w:r>
              <w:r w:rsidR="00261FA5">
                <w:t>48</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49" w:history="1">
              <w:r w:rsidR="00261FA5" w:rsidRPr="0026545E">
                <w:rPr>
                  <w:rStyle w:val="Hyperlink"/>
                </w:rPr>
                <w:t>5.1</w:t>
              </w:r>
              <w:r w:rsidR="00261FA5">
                <w:rPr>
                  <w:rFonts w:asciiTheme="minorHAnsi" w:eastAsiaTheme="minorEastAsia" w:hAnsiTheme="minorHAnsi" w:cstheme="minorBidi"/>
                  <w:sz w:val="22"/>
                  <w:szCs w:val="22"/>
                  <w:lang w:eastAsia="en-AU"/>
                </w:rPr>
                <w:tab/>
              </w:r>
              <w:r w:rsidR="00261FA5" w:rsidRPr="0026545E">
                <w:rPr>
                  <w:rStyle w:val="Hyperlink"/>
                </w:rPr>
                <w:t>Options</w:t>
              </w:r>
              <w:r w:rsidR="00261FA5">
                <w:tab/>
              </w:r>
              <w:r>
                <w:fldChar w:fldCharType="begin"/>
              </w:r>
              <w:r w:rsidR="00261FA5">
                <w:instrText xml:space="preserve"> PAGEREF _Toc421181749 \h </w:instrText>
              </w:r>
              <w:r>
                <w:fldChar w:fldCharType="separate"/>
              </w:r>
              <w:r w:rsidR="00261FA5">
                <w:t>48</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50" w:history="1">
              <w:r w:rsidR="00261FA5" w:rsidRPr="0026545E">
                <w:rPr>
                  <w:rStyle w:val="Hyperlink"/>
                </w:rPr>
                <w:t>5.2</w:t>
              </w:r>
              <w:r w:rsidR="00261FA5">
                <w:rPr>
                  <w:rFonts w:asciiTheme="minorHAnsi" w:eastAsiaTheme="minorEastAsia" w:hAnsiTheme="minorHAnsi" w:cstheme="minorBidi"/>
                  <w:sz w:val="22"/>
                  <w:szCs w:val="22"/>
                  <w:lang w:eastAsia="en-AU"/>
                </w:rPr>
                <w:tab/>
              </w:r>
              <w:r w:rsidR="00261FA5" w:rsidRPr="0026545E">
                <w:rPr>
                  <w:rStyle w:val="Hyperlink"/>
                </w:rPr>
                <w:t>Recommendations and costings</w:t>
              </w:r>
              <w:r w:rsidR="00261FA5">
                <w:tab/>
              </w:r>
              <w:r>
                <w:fldChar w:fldCharType="begin"/>
              </w:r>
              <w:r w:rsidR="00261FA5">
                <w:instrText xml:space="preserve"> PAGEREF _Toc421181750 \h </w:instrText>
              </w:r>
              <w:r>
                <w:fldChar w:fldCharType="separate"/>
              </w:r>
              <w:r w:rsidR="00261FA5">
                <w:t>59</w:t>
              </w:r>
              <w:r>
                <w:fldChar w:fldCharType="end"/>
              </w:r>
            </w:hyperlink>
          </w:p>
          <w:p w:rsidR="00261FA5" w:rsidRDefault="00350C10">
            <w:pPr>
              <w:pStyle w:val="TOC2"/>
              <w:rPr>
                <w:rFonts w:asciiTheme="minorHAnsi" w:eastAsiaTheme="minorEastAsia" w:hAnsiTheme="minorHAnsi" w:cstheme="minorBidi"/>
                <w:sz w:val="22"/>
                <w:szCs w:val="22"/>
                <w:lang w:eastAsia="en-AU"/>
              </w:rPr>
            </w:pPr>
            <w:hyperlink w:anchor="_Toc421181751" w:history="1">
              <w:r w:rsidR="00261FA5" w:rsidRPr="0026545E">
                <w:rPr>
                  <w:rStyle w:val="Hyperlink"/>
                </w:rPr>
                <w:t>5.3</w:t>
              </w:r>
              <w:r w:rsidR="00261FA5">
                <w:rPr>
                  <w:rFonts w:asciiTheme="minorHAnsi" w:eastAsiaTheme="minorEastAsia" w:hAnsiTheme="minorHAnsi" w:cstheme="minorBidi"/>
                  <w:sz w:val="22"/>
                  <w:szCs w:val="22"/>
                  <w:lang w:eastAsia="en-AU"/>
                </w:rPr>
                <w:tab/>
              </w:r>
              <w:r w:rsidR="00261FA5" w:rsidRPr="0026545E">
                <w:rPr>
                  <w:rStyle w:val="Hyperlink"/>
                </w:rPr>
                <w:t>Next steps</w:t>
              </w:r>
              <w:r w:rsidR="00261FA5">
                <w:tab/>
              </w:r>
              <w:r>
                <w:fldChar w:fldCharType="begin"/>
              </w:r>
              <w:r w:rsidR="00261FA5">
                <w:instrText xml:space="preserve"> PAGEREF _Toc421181751 \h </w:instrText>
              </w:r>
              <w:r>
                <w:fldChar w:fldCharType="separate"/>
              </w:r>
              <w:r w:rsidR="00261FA5">
                <w:t>63</w:t>
              </w:r>
              <w:r>
                <w:fldChar w:fldCharType="end"/>
              </w:r>
            </w:hyperlink>
          </w:p>
          <w:p w:rsidR="00261FA5" w:rsidRDefault="00350C10">
            <w:pPr>
              <w:pStyle w:val="TOC1"/>
              <w:rPr>
                <w:rFonts w:asciiTheme="minorHAnsi" w:eastAsiaTheme="minorEastAsia" w:hAnsiTheme="minorHAnsi" w:cstheme="minorBidi"/>
                <w:color w:val="auto"/>
                <w:sz w:val="22"/>
                <w:szCs w:val="22"/>
                <w:lang w:eastAsia="en-AU"/>
              </w:rPr>
            </w:pPr>
            <w:hyperlink w:anchor="_Toc421181752" w:history="1">
              <w:r w:rsidR="00261FA5" w:rsidRPr="0026545E">
                <w:rPr>
                  <w:rStyle w:val="Hyperlink"/>
                </w:rPr>
                <w:t>6</w:t>
              </w:r>
              <w:r w:rsidR="00261FA5">
                <w:rPr>
                  <w:rFonts w:asciiTheme="minorHAnsi" w:eastAsiaTheme="minorEastAsia" w:hAnsiTheme="minorHAnsi" w:cstheme="minorBidi"/>
                  <w:color w:val="auto"/>
                  <w:sz w:val="22"/>
                  <w:szCs w:val="22"/>
                  <w:lang w:eastAsia="en-AU"/>
                </w:rPr>
                <w:tab/>
              </w:r>
              <w:r w:rsidR="00261FA5" w:rsidRPr="0026545E">
                <w:rPr>
                  <w:rStyle w:val="Hyperlink"/>
                </w:rPr>
                <w:t>References</w:t>
              </w:r>
              <w:r w:rsidR="00261FA5">
                <w:tab/>
              </w:r>
              <w:r>
                <w:fldChar w:fldCharType="begin"/>
              </w:r>
              <w:r w:rsidR="00261FA5">
                <w:instrText xml:space="preserve"> PAGEREF _Toc421181752 \h </w:instrText>
              </w:r>
              <w:r>
                <w:fldChar w:fldCharType="separate"/>
              </w:r>
              <w:r w:rsidR="00261FA5">
                <w:t>65</w:t>
              </w:r>
              <w:r>
                <w:fldChar w:fldCharType="end"/>
              </w:r>
            </w:hyperlink>
          </w:p>
          <w:p w:rsidR="009B7FB4" w:rsidRPr="0036689C" w:rsidRDefault="00350C10" w:rsidP="00C07F65">
            <w:pPr>
              <w:pStyle w:val="ParaMargin"/>
            </w:pPr>
            <w:r w:rsidRPr="0036689C">
              <w:fldChar w:fldCharType="end"/>
            </w:r>
          </w:p>
        </w:tc>
      </w:tr>
    </w:tbl>
    <w:p w:rsidR="005F6B37" w:rsidRPr="0036689C" w:rsidRDefault="005F6B37" w:rsidP="00C07F65">
      <w:pPr>
        <w:pStyle w:val="ParaMargin"/>
        <w:sectPr w:rsidR="005F6B37" w:rsidRPr="0036689C" w:rsidSect="00963B84">
          <w:footerReference w:type="default" r:id="rId16"/>
          <w:type w:val="oddPage"/>
          <w:pgSz w:w="11907" w:h="16840" w:code="9"/>
          <w:pgMar w:top="1134" w:right="1134" w:bottom="1134" w:left="1134" w:header="567" w:footer="567" w:gutter="0"/>
          <w:pgNumType w:fmt="lowerRoman" w:start="1"/>
          <w:cols w:space="708"/>
          <w:docGrid w:linePitch="360"/>
        </w:sectPr>
      </w:pPr>
    </w:p>
    <w:p w:rsidR="005F6B37" w:rsidRPr="0036689C" w:rsidRDefault="005F6B37" w:rsidP="00C07F65">
      <w:pPr>
        <w:pStyle w:val="ParaMargin"/>
        <w:sectPr w:rsidR="005F6B37" w:rsidRPr="0036689C" w:rsidSect="005F6B37">
          <w:type w:val="continuous"/>
          <w:pgSz w:w="11907" w:h="16840" w:code="9"/>
          <w:pgMar w:top="1134" w:right="1134" w:bottom="1134" w:left="1134" w:header="567" w:footer="567" w:gutter="0"/>
          <w:pgNumType w:fmt="lowerRoman" w:start="1"/>
          <w:cols w:space="708"/>
          <w:docGrid w:linePitch="360"/>
        </w:sectPr>
      </w:pPr>
    </w:p>
    <w:p w:rsidR="00334026" w:rsidRDefault="00334026" w:rsidP="00C07F65">
      <w:pPr>
        <w:pStyle w:val="ParaMargin"/>
      </w:pPr>
    </w:p>
    <w:p w:rsidR="00CD3F54" w:rsidRPr="00CD3F54" w:rsidRDefault="00CD3F54" w:rsidP="006A3F36">
      <w:pPr>
        <w:pStyle w:val="ListHeading"/>
      </w:pPr>
      <w:bookmarkStart w:id="11" w:name="TOC2"/>
      <w:bookmarkStart w:id="12" w:name="ListAppxsExists"/>
      <w:bookmarkEnd w:id="11"/>
      <w:bookmarkEnd w:id="12"/>
      <w:r w:rsidRPr="00CD3F54">
        <w:lastRenderedPageBreak/>
        <w:t>Appendices</w:t>
      </w:r>
    </w:p>
    <w:tbl>
      <w:tblPr>
        <w:tblW w:w="9639" w:type="dxa"/>
        <w:tblLayout w:type="fixed"/>
        <w:tblCellMar>
          <w:left w:w="0" w:type="dxa"/>
          <w:right w:w="0" w:type="dxa"/>
        </w:tblCellMar>
        <w:tblLook w:val="04A0"/>
      </w:tblPr>
      <w:tblGrid>
        <w:gridCol w:w="1151"/>
        <w:gridCol w:w="8488"/>
      </w:tblGrid>
      <w:tr w:rsidR="00CD3F54" w:rsidRPr="006A3F36" w:rsidTr="00D54C8D">
        <w:trPr>
          <w:cantSplit/>
        </w:trPr>
        <w:tc>
          <w:tcPr>
            <w:tcW w:w="1134" w:type="dxa"/>
            <w:shd w:val="clear" w:color="auto" w:fill="auto"/>
          </w:tcPr>
          <w:bookmarkStart w:id="13" w:name="ListAppxsTable"/>
          <w:bookmarkEnd w:id="13"/>
          <w:p w:rsidR="00261FA5" w:rsidRDefault="00350C10">
            <w:pPr>
              <w:pStyle w:val="TOC1"/>
              <w:rPr>
                <w:rFonts w:asciiTheme="minorHAnsi" w:eastAsiaTheme="minorEastAsia" w:hAnsiTheme="minorHAnsi" w:cstheme="minorBidi"/>
                <w:color w:val="auto"/>
                <w:sz w:val="22"/>
                <w:szCs w:val="22"/>
                <w:lang w:eastAsia="en-AU"/>
              </w:rPr>
            </w:pPr>
            <w:r w:rsidRPr="00350C10">
              <w:fldChar w:fldCharType="begin"/>
            </w:r>
            <w:r w:rsidR="00CD3F54" w:rsidRPr="006A3F36">
              <w:instrText xml:space="preserve"> TOC \h \n \t "_AppxNo,1" "—" </w:instrText>
            </w:r>
            <w:r w:rsidRPr="00350C10">
              <w:fldChar w:fldCharType="separate"/>
            </w:r>
            <w:hyperlink w:anchor="_Toc421181753" w:history="1">
              <w:r w:rsidR="00261FA5" w:rsidRPr="002F453B">
                <w:rPr>
                  <w:rStyle w:val="Hyperlink"/>
                </w:rPr>
                <w:t>Appendix A</w:t>
              </w:r>
            </w:hyperlink>
          </w:p>
          <w:p w:rsidR="00261FA5" w:rsidRDefault="00350C10">
            <w:pPr>
              <w:pStyle w:val="TOC1"/>
              <w:rPr>
                <w:rFonts w:asciiTheme="minorHAnsi" w:eastAsiaTheme="minorEastAsia" w:hAnsiTheme="minorHAnsi" w:cstheme="minorBidi"/>
                <w:color w:val="auto"/>
                <w:sz w:val="22"/>
                <w:szCs w:val="22"/>
                <w:lang w:eastAsia="en-AU"/>
              </w:rPr>
            </w:pPr>
            <w:hyperlink w:anchor="_Toc421181754" w:history="1">
              <w:r w:rsidR="00261FA5" w:rsidRPr="002F453B">
                <w:rPr>
                  <w:rStyle w:val="Hyperlink"/>
                </w:rPr>
                <w:t>Appendix B</w:t>
              </w:r>
            </w:hyperlink>
          </w:p>
          <w:p w:rsidR="00CD3F54" w:rsidRPr="006A3F36" w:rsidRDefault="00350C10" w:rsidP="00CD3F54">
            <w:pPr>
              <w:pStyle w:val="ParaMargin"/>
            </w:pPr>
            <w:r w:rsidRPr="006A3F36">
              <w:fldChar w:fldCharType="end"/>
            </w:r>
          </w:p>
        </w:tc>
        <w:tc>
          <w:tcPr>
            <w:tcW w:w="8363" w:type="dxa"/>
            <w:shd w:val="clear" w:color="auto" w:fill="auto"/>
          </w:tcPr>
          <w:p w:rsidR="00261FA5" w:rsidRDefault="00350C10">
            <w:pPr>
              <w:pStyle w:val="TOC1"/>
              <w:rPr>
                <w:rFonts w:asciiTheme="minorHAnsi" w:eastAsiaTheme="minorEastAsia" w:hAnsiTheme="minorHAnsi" w:cstheme="minorBidi"/>
                <w:color w:val="auto"/>
                <w:sz w:val="22"/>
                <w:szCs w:val="22"/>
                <w:lang w:eastAsia="en-AU"/>
              </w:rPr>
            </w:pPr>
            <w:r w:rsidRPr="00350C10">
              <w:fldChar w:fldCharType="begin"/>
            </w:r>
            <w:r w:rsidR="00CD3F54" w:rsidRPr="006A3F36">
              <w:instrText xml:space="preserve"> TOC \h \n \t "_AppxName,1" </w:instrText>
            </w:r>
            <w:r w:rsidRPr="00350C10">
              <w:fldChar w:fldCharType="separate"/>
            </w:r>
            <w:hyperlink w:anchor="_Toc421181755" w:history="1">
              <w:r w:rsidR="00261FA5" w:rsidRPr="001B1E0D">
                <w:rPr>
                  <w:rStyle w:val="Hyperlink"/>
                </w:rPr>
                <w:t>NEPM Movements</w:t>
              </w:r>
            </w:hyperlink>
          </w:p>
          <w:p w:rsidR="00261FA5" w:rsidRDefault="00350C10">
            <w:pPr>
              <w:pStyle w:val="TOC1"/>
              <w:rPr>
                <w:rFonts w:asciiTheme="minorHAnsi" w:eastAsiaTheme="minorEastAsia" w:hAnsiTheme="minorHAnsi" w:cstheme="minorBidi"/>
                <w:color w:val="auto"/>
                <w:sz w:val="22"/>
                <w:szCs w:val="22"/>
                <w:lang w:eastAsia="en-AU"/>
              </w:rPr>
            </w:pPr>
            <w:hyperlink w:anchor="_Toc421181756" w:history="1">
              <w:r w:rsidR="00261FA5" w:rsidRPr="001B1E0D">
                <w:rPr>
                  <w:rStyle w:val="Hyperlink"/>
                </w:rPr>
                <w:t>NEPM 75</w:t>
              </w:r>
            </w:hyperlink>
          </w:p>
          <w:p w:rsidR="00CD3F54" w:rsidRPr="006A3F36" w:rsidRDefault="00350C10" w:rsidP="00CD3F54">
            <w:pPr>
              <w:pStyle w:val="ParaMargin"/>
            </w:pPr>
            <w:r w:rsidRPr="006A3F36">
              <w:fldChar w:fldCharType="end"/>
            </w:r>
          </w:p>
        </w:tc>
      </w:tr>
    </w:tbl>
    <w:p w:rsidR="00CD3F54" w:rsidRPr="00CD3F54" w:rsidRDefault="00CD3F54" w:rsidP="00CD3F54">
      <w:pPr>
        <w:pStyle w:val="ParaMargin"/>
      </w:pPr>
    </w:p>
    <w:p w:rsidR="00105569" w:rsidRDefault="00105569" w:rsidP="00047D9E">
      <w:pPr>
        <w:pStyle w:val="ListHeading"/>
      </w:pPr>
      <w:bookmarkStart w:id="14" w:name="FiguresListExists"/>
      <w:bookmarkEnd w:id="14"/>
      <w:r>
        <w:rPr>
          <w:caps w:val="0"/>
        </w:rPr>
        <w:t>FIGURES</w:t>
      </w:r>
    </w:p>
    <w:p w:rsidR="00261FA5" w:rsidRDefault="00350C10">
      <w:pPr>
        <w:pStyle w:val="TableofFigures"/>
        <w:rPr>
          <w:rFonts w:asciiTheme="minorHAnsi" w:eastAsiaTheme="minorEastAsia" w:hAnsiTheme="minorHAnsi" w:cstheme="minorBidi"/>
          <w:sz w:val="22"/>
          <w:szCs w:val="22"/>
        </w:rPr>
      </w:pPr>
      <w:r>
        <w:fldChar w:fldCharType="begin"/>
      </w:r>
      <w:r w:rsidR="00105569">
        <w:instrText xml:space="preserve"> TOC \h \c "Figure" </w:instrText>
      </w:r>
      <w:r>
        <w:fldChar w:fldCharType="separate"/>
      </w:r>
      <w:hyperlink w:anchor="_Toc421181757" w:history="1">
        <w:r w:rsidR="00261FA5" w:rsidRPr="00EF373B">
          <w:rPr>
            <w:rStyle w:val="Hyperlink"/>
          </w:rPr>
          <w:t>Figure 2-1</w:t>
        </w:r>
        <w:r w:rsidR="00261FA5">
          <w:rPr>
            <w:rFonts w:asciiTheme="minorHAnsi" w:eastAsiaTheme="minorEastAsia" w:hAnsiTheme="minorHAnsi" w:cstheme="minorBidi"/>
            <w:sz w:val="22"/>
            <w:szCs w:val="22"/>
          </w:rPr>
          <w:tab/>
        </w:r>
        <w:r w:rsidR="00261FA5" w:rsidRPr="00EF373B">
          <w:rPr>
            <w:rStyle w:val="Hyperlink"/>
          </w:rPr>
          <w:t>NSW hazardous waste tracking process</w:t>
        </w:r>
        <w:r w:rsidR="00261FA5">
          <w:tab/>
        </w:r>
        <w:r>
          <w:fldChar w:fldCharType="begin"/>
        </w:r>
        <w:r w:rsidR="00261FA5">
          <w:instrText xml:space="preserve"> PAGEREF _Toc421181757 \h </w:instrText>
        </w:r>
        <w:r>
          <w:fldChar w:fldCharType="separate"/>
        </w:r>
        <w:r w:rsidR="00261FA5">
          <w:t>12</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58" w:history="1">
        <w:r w:rsidR="00261FA5" w:rsidRPr="00EF373B">
          <w:rPr>
            <w:rStyle w:val="Hyperlink"/>
          </w:rPr>
          <w:t>Figure 4-2</w:t>
        </w:r>
        <w:r w:rsidR="00261FA5">
          <w:rPr>
            <w:rFonts w:asciiTheme="minorHAnsi" w:eastAsiaTheme="minorEastAsia" w:hAnsiTheme="minorHAnsi" w:cstheme="minorBidi"/>
            <w:sz w:val="22"/>
            <w:szCs w:val="22"/>
          </w:rPr>
          <w:tab/>
        </w:r>
        <w:r w:rsidR="00261FA5" w:rsidRPr="00EF373B">
          <w:rPr>
            <w:rStyle w:val="Hyperlink"/>
          </w:rPr>
          <w:t>Waste tracking supports key aspects of waste regulations.</w:t>
        </w:r>
        <w:r w:rsidR="00261FA5">
          <w:tab/>
        </w:r>
        <w:r>
          <w:fldChar w:fldCharType="begin"/>
        </w:r>
        <w:r w:rsidR="00261FA5">
          <w:instrText xml:space="preserve"> PAGEREF _Toc421181758 \h </w:instrText>
        </w:r>
        <w:r>
          <w:fldChar w:fldCharType="separate"/>
        </w:r>
        <w:r w:rsidR="00261FA5">
          <w:t>41</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59" w:history="1">
        <w:r w:rsidR="00261FA5" w:rsidRPr="00EF373B">
          <w:rPr>
            <w:rStyle w:val="Hyperlink"/>
          </w:rPr>
          <w:t>Figure 5-3</w:t>
        </w:r>
        <w:r w:rsidR="00261FA5">
          <w:rPr>
            <w:rFonts w:asciiTheme="minorHAnsi" w:eastAsiaTheme="minorEastAsia" w:hAnsiTheme="minorHAnsi" w:cstheme="minorBidi"/>
            <w:sz w:val="22"/>
            <w:szCs w:val="22"/>
          </w:rPr>
          <w:tab/>
        </w:r>
        <w:r w:rsidR="00261FA5" w:rsidRPr="00EF373B">
          <w:rPr>
            <w:rStyle w:val="Hyperlink"/>
          </w:rPr>
          <w:t>The proposed data extraction and reporting solution</w:t>
        </w:r>
        <w:r w:rsidR="00261FA5">
          <w:tab/>
        </w:r>
        <w:r>
          <w:fldChar w:fldCharType="begin"/>
        </w:r>
        <w:r w:rsidR="00261FA5">
          <w:instrText xml:space="preserve"> PAGEREF _Toc421181759 \h </w:instrText>
        </w:r>
        <w:r>
          <w:fldChar w:fldCharType="separate"/>
        </w:r>
        <w:r w:rsidR="00261FA5">
          <w:t>54</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60" w:history="1">
        <w:r w:rsidR="00261FA5" w:rsidRPr="00EF373B">
          <w:rPr>
            <w:rStyle w:val="Hyperlink"/>
          </w:rPr>
          <w:t>Figure 5-4</w:t>
        </w:r>
        <w:r w:rsidR="00261FA5">
          <w:rPr>
            <w:rFonts w:asciiTheme="minorHAnsi" w:eastAsiaTheme="minorEastAsia" w:hAnsiTheme="minorHAnsi" w:cstheme="minorBidi"/>
            <w:sz w:val="22"/>
            <w:szCs w:val="22"/>
          </w:rPr>
          <w:tab/>
        </w:r>
        <w:r w:rsidR="00261FA5" w:rsidRPr="00EF373B">
          <w:rPr>
            <w:rStyle w:val="Hyperlink"/>
          </w:rPr>
          <w:t>Conceptual common front-end electronic manifest.</w:t>
        </w:r>
        <w:r w:rsidR="00261FA5">
          <w:tab/>
        </w:r>
        <w:r>
          <w:fldChar w:fldCharType="begin"/>
        </w:r>
        <w:r w:rsidR="00261FA5">
          <w:instrText xml:space="preserve"> PAGEREF _Toc421181760 \h </w:instrText>
        </w:r>
        <w:r>
          <w:fldChar w:fldCharType="separate"/>
        </w:r>
        <w:r w:rsidR="00261FA5">
          <w:t>56</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61" w:history="1">
        <w:r w:rsidR="00261FA5" w:rsidRPr="00EF373B">
          <w:rPr>
            <w:rStyle w:val="Hyperlink"/>
          </w:rPr>
          <w:t>Figure 5-5</w:t>
        </w:r>
        <w:r w:rsidR="00261FA5">
          <w:rPr>
            <w:rFonts w:asciiTheme="minorHAnsi" w:eastAsiaTheme="minorEastAsia" w:hAnsiTheme="minorHAnsi" w:cstheme="minorBidi"/>
            <w:sz w:val="22"/>
            <w:szCs w:val="22"/>
          </w:rPr>
          <w:tab/>
        </w:r>
        <w:r w:rsidR="00261FA5" w:rsidRPr="00EF373B">
          <w:rPr>
            <w:rStyle w:val="Hyperlink"/>
          </w:rPr>
          <w:t>High level implementation of options.</w:t>
        </w:r>
        <w:r w:rsidR="00261FA5">
          <w:tab/>
        </w:r>
        <w:r>
          <w:fldChar w:fldCharType="begin"/>
        </w:r>
        <w:r w:rsidR="00261FA5">
          <w:instrText xml:space="preserve"> PAGEREF _Toc421181761 \h </w:instrText>
        </w:r>
        <w:r>
          <w:fldChar w:fldCharType="separate"/>
        </w:r>
        <w:r w:rsidR="00261FA5">
          <w:t>61</w:t>
        </w:r>
        <w:r>
          <w:fldChar w:fldCharType="end"/>
        </w:r>
      </w:hyperlink>
    </w:p>
    <w:p w:rsidR="00105569" w:rsidRDefault="00350C10" w:rsidP="00047D9E">
      <w:pPr>
        <w:pStyle w:val="TableofFigures"/>
      </w:pPr>
      <w:r>
        <w:fldChar w:fldCharType="end"/>
      </w:r>
    </w:p>
    <w:p w:rsidR="00105569" w:rsidRDefault="00105569" w:rsidP="00047D9E">
      <w:pPr>
        <w:pStyle w:val="ListHeading"/>
      </w:pPr>
      <w:bookmarkStart w:id="15" w:name="TablesListExists"/>
      <w:bookmarkEnd w:id="15"/>
      <w:r>
        <w:t>TABLES</w:t>
      </w:r>
    </w:p>
    <w:p w:rsidR="00261FA5" w:rsidRDefault="00350C10">
      <w:pPr>
        <w:pStyle w:val="TableofFigures"/>
        <w:rPr>
          <w:rFonts w:asciiTheme="minorHAnsi" w:eastAsiaTheme="minorEastAsia" w:hAnsiTheme="minorHAnsi" w:cstheme="minorBidi"/>
          <w:sz w:val="22"/>
          <w:szCs w:val="22"/>
        </w:rPr>
      </w:pPr>
      <w:r>
        <w:fldChar w:fldCharType="begin"/>
      </w:r>
      <w:r w:rsidR="00105569">
        <w:instrText xml:space="preserve"> TOC \h \c "Table" </w:instrText>
      </w:r>
      <w:r>
        <w:fldChar w:fldCharType="separate"/>
      </w:r>
      <w:hyperlink w:anchor="_Toc421181762" w:history="1">
        <w:r w:rsidR="00261FA5" w:rsidRPr="005611BB">
          <w:rPr>
            <w:rStyle w:val="Hyperlink"/>
          </w:rPr>
          <w:t>Table 1-1</w:t>
        </w:r>
        <w:r w:rsidR="00261FA5">
          <w:rPr>
            <w:rFonts w:asciiTheme="minorHAnsi" w:eastAsiaTheme="minorEastAsia" w:hAnsiTheme="minorHAnsi" w:cstheme="minorBidi"/>
            <w:sz w:val="22"/>
            <w:szCs w:val="22"/>
          </w:rPr>
          <w:tab/>
        </w:r>
        <w:r w:rsidR="00261FA5" w:rsidRPr="005611BB">
          <w:rPr>
            <w:rStyle w:val="Hyperlink"/>
          </w:rPr>
          <w:t>The top 10 gaps in waste tracking coverage (Blue Environment, 2015)</w:t>
        </w:r>
        <w:r w:rsidR="00261FA5">
          <w:tab/>
        </w:r>
        <w:r>
          <w:fldChar w:fldCharType="begin"/>
        </w:r>
        <w:r w:rsidR="00261FA5">
          <w:instrText xml:space="preserve"> PAGEREF _Toc421181762 \h </w:instrText>
        </w:r>
        <w:r>
          <w:fldChar w:fldCharType="separate"/>
        </w:r>
        <w:r w:rsidR="00261FA5">
          <w:t>5</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63" w:history="1">
        <w:r w:rsidR="00261FA5" w:rsidRPr="005611BB">
          <w:rPr>
            <w:rStyle w:val="Hyperlink"/>
          </w:rPr>
          <w:t>Table 2-2</w:t>
        </w:r>
        <w:r w:rsidR="00261FA5">
          <w:rPr>
            <w:rFonts w:asciiTheme="minorHAnsi" w:eastAsiaTheme="minorEastAsia" w:hAnsiTheme="minorHAnsi" w:cstheme="minorBidi"/>
            <w:sz w:val="22"/>
            <w:szCs w:val="22"/>
          </w:rPr>
          <w:tab/>
        </w:r>
        <w:r w:rsidR="00261FA5" w:rsidRPr="005611BB">
          <w:rPr>
            <w:rStyle w:val="Hyperlink"/>
          </w:rPr>
          <w:t>High level NEPM waste categories</w:t>
        </w:r>
        <w:r w:rsidR="00261FA5">
          <w:tab/>
        </w:r>
        <w:r>
          <w:fldChar w:fldCharType="begin"/>
        </w:r>
        <w:r w:rsidR="00261FA5">
          <w:instrText xml:space="preserve"> PAGEREF _Toc421181763 \h </w:instrText>
        </w:r>
        <w:r>
          <w:fldChar w:fldCharType="separate"/>
        </w:r>
        <w:r w:rsidR="00261FA5">
          <w:t>6</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64" w:history="1">
        <w:r w:rsidR="00261FA5" w:rsidRPr="005611BB">
          <w:rPr>
            <w:rStyle w:val="Hyperlink"/>
          </w:rPr>
          <w:t>Table 2-3</w:t>
        </w:r>
        <w:r w:rsidR="00261FA5">
          <w:rPr>
            <w:rFonts w:asciiTheme="minorHAnsi" w:eastAsiaTheme="minorEastAsia" w:hAnsiTheme="minorHAnsi" w:cstheme="minorBidi"/>
            <w:sz w:val="22"/>
            <w:szCs w:val="22"/>
          </w:rPr>
          <w:tab/>
        </w:r>
        <w:r w:rsidR="00261FA5" w:rsidRPr="005611BB">
          <w:rPr>
            <w:rStyle w:val="Hyperlink"/>
          </w:rPr>
          <w:t>Basel Y codes</w:t>
        </w:r>
        <w:r w:rsidR="00261FA5">
          <w:tab/>
        </w:r>
        <w:r>
          <w:fldChar w:fldCharType="begin"/>
        </w:r>
        <w:r w:rsidR="00261FA5">
          <w:instrText xml:space="preserve"> PAGEREF _Toc421181764 \h </w:instrText>
        </w:r>
        <w:r>
          <w:fldChar w:fldCharType="separate"/>
        </w:r>
        <w:r w:rsidR="00261FA5">
          <w:t>7</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65" w:history="1">
        <w:r w:rsidR="00261FA5" w:rsidRPr="005611BB">
          <w:rPr>
            <w:rStyle w:val="Hyperlink"/>
          </w:rPr>
          <w:t>Table 2-4</w:t>
        </w:r>
        <w:r w:rsidR="00261FA5">
          <w:rPr>
            <w:rFonts w:asciiTheme="minorHAnsi" w:eastAsiaTheme="minorEastAsia" w:hAnsiTheme="minorHAnsi" w:cstheme="minorBidi"/>
            <w:sz w:val="22"/>
            <w:szCs w:val="22"/>
          </w:rPr>
          <w:tab/>
        </w:r>
        <w:r w:rsidR="00261FA5" w:rsidRPr="005611BB">
          <w:rPr>
            <w:rStyle w:val="Hyperlink"/>
          </w:rPr>
          <w:t>Characteristics of controlled wastes</w:t>
        </w:r>
        <w:r w:rsidR="00261FA5">
          <w:tab/>
        </w:r>
        <w:r>
          <w:fldChar w:fldCharType="begin"/>
        </w:r>
        <w:r w:rsidR="00261FA5">
          <w:instrText xml:space="preserve"> PAGEREF _Toc421181765 \h </w:instrText>
        </w:r>
        <w:r>
          <w:fldChar w:fldCharType="separate"/>
        </w:r>
        <w:r w:rsidR="00261FA5">
          <w:t>9</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66" w:history="1">
        <w:r w:rsidR="00261FA5" w:rsidRPr="005611BB">
          <w:rPr>
            <w:rStyle w:val="Hyperlink"/>
          </w:rPr>
          <w:t>Table 2-5</w:t>
        </w:r>
        <w:r w:rsidR="00261FA5">
          <w:rPr>
            <w:rFonts w:asciiTheme="minorHAnsi" w:eastAsiaTheme="minorEastAsia" w:hAnsiTheme="minorHAnsi" w:cstheme="minorBidi"/>
            <w:sz w:val="22"/>
            <w:szCs w:val="22"/>
          </w:rPr>
          <w:tab/>
        </w:r>
        <w:r w:rsidR="00261FA5" w:rsidRPr="005611BB">
          <w:rPr>
            <w:rStyle w:val="Hyperlink"/>
          </w:rPr>
          <w:t>Waste transport certificate information requirements</w:t>
        </w:r>
        <w:r w:rsidR="00261FA5">
          <w:tab/>
        </w:r>
        <w:r>
          <w:fldChar w:fldCharType="begin"/>
        </w:r>
        <w:r w:rsidR="00261FA5">
          <w:instrText xml:space="preserve"> PAGEREF _Toc421181766 \h </w:instrText>
        </w:r>
        <w:r>
          <w:fldChar w:fldCharType="separate"/>
        </w:r>
        <w:r w:rsidR="00261FA5">
          <w:t>10</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67" w:history="1">
        <w:r w:rsidR="00261FA5" w:rsidRPr="005611BB">
          <w:rPr>
            <w:rStyle w:val="Hyperlink"/>
          </w:rPr>
          <w:t>Table 2-6</w:t>
        </w:r>
        <w:r w:rsidR="00261FA5">
          <w:rPr>
            <w:rFonts w:asciiTheme="minorHAnsi" w:eastAsiaTheme="minorEastAsia" w:hAnsiTheme="minorHAnsi" w:cstheme="minorBidi"/>
            <w:sz w:val="22"/>
            <w:szCs w:val="22"/>
          </w:rPr>
          <w:tab/>
        </w:r>
        <w:r w:rsidR="00261FA5" w:rsidRPr="005611BB">
          <w:rPr>
            <w:rStyle w:val="Hyperlink"/>
          </w:rPr>
          <w:t>NSW hazardous waste tracking system strengths and weaknesses</w:t>
        </w:r>
        <w:r w:rsidR="00261FA5">
          <w:tab/>
        </w:r>
        <w:r>
          <w:fldChar w:fldCharType="begin"/>
        </w:r>
        <w:r w:rsidR="00261FA5">
          <w:instrText xml:space="preserve"> PAGEREF _Toc421181767 \h </w:instrText>
        </w:r>
        <w:r>
          <w:fldChar w:fldCharType="separate"/>
        </w:r>
        <w:r w:rsidR="00261FA5">
          <w:t>13</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68" w:history="1">
        <w:r w:rsidR="00261FA5" w:rsidRPr="005611BB">
          <w:rPr>
            <w:rStyle w:val="Hyperlink"/>
          </w:rPr>
          <w:t>Table 2-7</w:t>
        </w:r>
        <w:r w:rsidR="00261FA5">
          <w:rPr>
            <w:rFonts w:asciiTheme="minorHAnsi" w:eastAsiaTheme="minorEastAsia" w:hAnsiTheme="minorHAnsi" w:cstheme="minorBidi"/>
            <w:sz w:val="22"/>
            <w:szCs w:val="22"/>
          </w:rPr>
          <w:tab/>
        </w:r>
        <w:r w:rsidR="00261FA5" w:rsidRPr="005611BB">
          <w:rPr>
            <w:rStyle w:val="Hyperlink"/>
          </w:rPr>
          <w:t>Victorian prescribed industrial waste tracking stakeholder responsibilities</w:t>
        </w:r>
        <w:r w:rsidR="00261FA5">
          <w:tab/>
        </w:r>
        <w:r>
          <w:fldChar w:fldCharType="begin"/>
        </w:r>
        <w:r w:rsidR="00261FA5">
          <w:instrText xml:space="preserve"> PAGEREF _Toc421181768 \h </w:instrText>
        </w:r>
        <w:r>
          <w:fldChar w:fldCharType="separate"/>
        </w:r>
        <w:r w:rsidR="00261FA5">
          <w:t>14</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69" w:history="1">
        <w:r w:rsidR="00261FA5" w:rsidRPr="005611BB">
          <w:rPr>
            <w:rStyle w:val="Hyperlink"/>
          </w:rPr>
          <w:t>Table 2-8</w:t>
        </w:r>
        <w:r w:rsidR="00261FA5">
          <w:rPr>
            <w:rFonts w:asciiTheme="minorHAnsi" w:eastAsiaTheme="minorEastAsia" w:hAnsiTheme="minorHAnsi" w:cstheme="minorBidi"/>
            <w:sz w:val="22"/>
            <w:szCs w:val="22"/>
          </w:rPr>
          <w:tab/>
        </w:r>
        <w:r w:rsidR="00261FA5" w:rsidRPr="005611BB">
          <w:rPr>
            <w:rStyle w:val="Hyperlink"/>
          </w:rPr>
          <w:t>Victorian prescribed industrial waste tracking system strengths and weaknesses</w:t>
        </w:r>
        <w:r w:rsidR="00261FA5">
          <w:tab/>
        </w:r>
        <w:r>
          <w:fldChar w:fldCharType="begin"/>
        </w:r>
        <w:r w:rsidR="00261FA5">
          <w:instrText xml:space="preserve"> PAGEREF _Toc421181769 \h </w:instrText>
        </w:r>
        <w:r>
          <w:fldChar w:fldCharType="separate"/>
        </w:r>
        <w:r w:rsidR="00261FA5">
          <w:t>15</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0" w:history="1">
        <w:r w:rsidR="00261FA5" w:rsidRPr="005611BB">
          <w:rPr>
            <w:rStyle w:val="Hyperlink"/>
          </w:rPr>
          <w:t>Table 2-9</w:t>
        </w:r>
        <w:r w:rsidR="00261FA5">
          <w:rPr>
            <w:rFonts w:asciiTheme="minorHAnsi" w:eastAsiaTheme="minorEastAsia" w:hAnsiTheme="minorHAnsi" w:cstheme="minorBidi"/>
            <w:sz w:val="22"/>
            <w:szCs w:val="22"/>
          </w:rPr>
          <w:tab/>
        </w:r>
        <w:r w:rsidR="00261FA5" w:rsidRPr="005611BB">
          <w:rPr>
            <w:rStyle w:val="Hyperlink"/>
          </w:rPr>
          <w:t>Queensland regulated waste tracking system strengths and weaknesses</w:t>
        </w:r>
        <w:r w:rsidR="00261FA5">
          <w:tab/>
        </w:r>
        <w:r>
          <w:fldChar w:fldCharType="begin"/>
        </w:r>
        <w:r w:rsidR="00261FA5">
          <w:instrText xml:space="preserve"> PAGEREF _Toc421181770 \h </w:instrText>
        </w:r>
        <w:r>
          <w:fldChar w:fldCharType="separate"/>
        </w:r>
        <w:r w:rsidR="00261FA5">
          <w:t>17</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1" w:history="1">
        <w:r w:rsidR="00261FA5" w:rsidRPr="005611BB">
          <w:rPr>
            <w:rStyle w:val="Hyperlink"/>
          </w:rPr>
          <w:t>Table 2-10</w:t>
        </w:r>
        <w:r w:rsidR="00261FA5">
          <w:rPr>
            <w:rFonts w:asciiTheme="minorHAnsi" w:eastAsiaTheme="minorEastAsia" w:hAnsiTheme="minorHAnsi" w:cstheme="minorBidi"/>
            <w:sz w:val="22"/>
            <w:szCs w:val="22"/>
          </w:rPr>
          <w:tab/>
        </w:r>
        <w:r w:rsidR="00261FA5" w:rsidRPr="005611BB">
          <w:rPr>
            <w:rStyle w:val="Hyperlink"/>
          </w:rPr>
          <w:t>Western Australia controlled waste tracking system strengths and weaknesses</w:t>
        </w:r>
        <w:r w:rsidR="00261FA5">
          <w:tab/>
        </w:r>
        <w:r>
          <w:fldChar w:fldCharType="begin"/>
        </w:r>
        <w:r w:rsidR="00261FA5">
          <w:instrText xml:space="preserve"> PAGEREF _Toc421181771 \h </w:instrText>
        </w:r>
        <w:r>
          <w:fldChar w:fldCharType="separate"/>
        </w:r>
        <w:r w:rsidR="00261FA5">
          <w:t>19</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2" w:history="1">
        <w:r w:rsidR="00261FA5" w:rsidRPr="005611BB">
          <w:rPr>
            <w:rStyle w:val="Hyperlink"/>
          </w:rPr>
          <w:t>Table 2-11</w:t>
        </w:r>
        <w:r w:rsidR="00261FA5">
          <w:rPr>
            <w:rFonts w:asciiTheme="minorHAnsi" w:eastAsiaTheme="minorEastAsia" w:hAnsiTheme="minorHAnsi" w:cstheme="minorBidi"/>
            <w:sz w:val="22"/>
            <w:szCs w:val="22"/>
          </w:rPr>
          <w:tab/>
        </w:r>
        <w:r w:rsidR="00261FA5" w:rsidRPr="005611BB">
          <w:rPr>
            <w:rStyle w:val="Hyperlink"/>
          </w:rPr>
          <w:t>South Australia listed waste tracking system strengths and weaknesses</w:t>
        </w:r>
        <w:r w:rsidR="00261FA5">
          <w:tab/>
        </w:r>
        <w:r>
          <w:fldChar w:fldCharType="begin"/>
        </w:r>
        <w:r w:rsidR="00261FA5">
          <w:instrText xml:space="preserve"> PAGEREF _Toc421181772 \h </w:instrText>
        </w:r>
        <w:r>
          <w:fldChar w:fldCharType="separate"/>
        </w:r>
        <w:r w:rsidR="00261FA5">
          <w:t>21</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3" w:history="1">
        <w:r w:rsidR="00261FA5" w:rsidRPr="005611BB">
          <w:rPr>
            <w:rStyle w:val="Hyperlink"/>
          </w:rPr>
          <w:t>Table 2-12</w:t>
        </w:r>
        <w:r w:rsidR="00261FA5">
          <w:rPr>
            <w:rFonts w:asciiTheme="minorHAnsi" w:eastAsiaTheme="minorEastAsia" w:hAnsiTheme="minorHAnsi" w:cstheme="minorBidi"/>
            <w:sz w:val="22"/>
            <w:szCs w:val="22"/>
          </w:rPr>
          <w:tab/>
        </w:r>
        <w:r w:rsidR="00261FA5" w:rsidRPr="005611BB">
          <w:rPr>
            <w:rStyle w:val="Hyperlink"/>
          </w:rPr>
          <w:t>Tasmania controlled waste tracking system strengths and weaknesses</w:t>
        </w:r>
        <w:r w:rsidR="00261FA5">
          <w:tab/>
        </w:r>
        <w:r>
          <w:fldChar w:fldCharType="begin"/>
        </w:r>
        <w:r w:rsidR="00261FA5">
          <w:instrText xml:space="preserve"> PAGEREF _Toc421181773 \h </w:instrText>
        </w:r>
        <w:r>
          <w:fldChar w:fldCharType="separate"/>
        </w:r>
        <w:r w:rsidR="00261FA5">
          <w:t>22</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4" w:history="1">
        <w:r w:rsidR="00261FA5" w:rsidRPr="005611BB">
          <w:rPr>
            <w:rStyle w:val="Hyperlink"/>
          </w:rPr>
          <w:t>Table 2-13</w:t>
        </w:r>
        <w:r w:rsidR="00261FA5">
          <w:rPr>
            <w:rFonts w:asciiTheme="minorHAnsi" w:eastAsiaTheme="minorEastAsia" w:hAnsiTheme="minorHAnsi" w:cstheme="minorBidi"/>
            <w:sz w:val="22"/>
            <w:szCs w:val="22"/>
          </w:rPr>
          <w:tab/>
        </w:r>
        <w:r w:rsidR="00261FA5" w:rsidRPr="005611BB">
          <w:rPr>
            <w:rStyle w:val="Hyperlink"/>
          </w:rPr>
          <w:t>Northern Territory controlled waste tracking system strengths and weaknesses</w:t>
        </w:r>
        <w:r w:rsidR="00261FA5">
          <w:tab/>
        </w:r>
        <w:r>
          <w:fldChar w:fldCharType="begin"/>
        </w:r>
        <w:r w:rsidR="00261FA5">
          <w:instrText xml:space="preserve"> PAGEREF _Toc421181774 \h </w:instrText>
        </w:r>
        <w:r>
          <w:fldChar w:fldCharType="separate"/>
        </w:r>
        <w:r w:rsidR="00261FA5">
          <w:t>23</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5" w:history="1">
        <w:r w:rsidR="00261FA5" w:rsidRPr="005611BB">
          <w:rPr>
            <w:rStyle w:val="Hyperlink"/>
          </w:rPr>
          <w:t>Table 4-14</w:t>
        </w:r>
        <w:r w:rsidR="00261FA5">
          <w:rPr>
            <w:rFonts w:asciiTheme="minorHAnsi" w:eastAsiaTheme="minorEastAsia" w:hAnsiTheme="minorHAnsi" w:cstheme="minorBidi"/>
            <w:sz w:val="22"/>
            <w:szCs w:val="22"/>
          </w:rPr>
          <w:tab/>
        </w:r>
        <w:r w:rsidR="00261FA5" w:rsidRPr="005611BB">
          <w:rPr>
            <w:rStyle w:val="Hyperlink"/>
          </w:rPr>
          <w:t>Willingness and readiness for national tracking reform</w:t>
        </w:r>
        <w:r w:rsidR="00261FA5">
          <w:tab/>
        </w:r>
        <w:r>
          <w:fldChar w:fldCharType="begin"/>
        </w:r>
        <w:r w:rsidR="00261FA5">
          <w:instrText xml:space="preserve"> PAGEREF _Toc421181775 \h </w:instrText>
        </w:r>
        <w:r>
          <w:fldChar w:fldCharType="separate"/>
        </w:r>
        <w:r w:rsidR="00261FA5">
          <w:t>39</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6" w:history="1">
        <w:r w:rsidR="00261FA5" w:rsidRPr="005611BB">
          <w:rPr>
            <w:rStyle w:val="Hyperlink"/>
          </w:rPr>
          <w:t>Table 4-15</w:t>
        </w:r>
        <w:r w:rsidR="00261FA5">
          <w:rPr>
            <w:rFonts w:asciiTheme="minorHAnsi" w:eastAsiaTheme="minorEastAsia" w:hAnsiTheme="minorHAnsi" w:cstheme="minorBidi"/>
            <w:sz w:val="22"/>
            <w:szCs w:val="22"/>
          </w:rPr>
          <w:tab/>
        </w:r>
        <w:r w:rsidR="00261FA5" w:rsidRPr="005611BB">
          <w:rPr>
            <w:rStyle w:val="Hyperlink"/>
          </w:rPr>
          <w:t>Inside the tracking systems</w:t>
        </w:r>
        <w:r w:rsidR="00261FA5">
          <w:tab/>
        </w:r>
        <w:r>
          <w:fldChar w:fldCharType="begin"/>
        </w:r>
        <w:r w:rsidR="00261FA5">
          <w:instrText xml:space="preserve"> PAGEREF _Toc421181776 \h </w:instrText>
        </w:r>
        <w:r>
          <w:fldChar w:fldCharType="separate"/>
        </w:r>
        <w:r w:rsidR="00261FA5">
          <w:t>44</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7" w:history="1">
        <w:r w:rsidR="00261FA5" w:rsidRPr="005611BB">
          <w:rPr>
            <w:rStyle w:val="Hyperlink"/>
          </w:rPr>
          <w:t>Table 4-16</w:t>
        </w:r>
        <w:r w:rsidR="00261FA5">
          <w:rPr>
            <w:rFonts w:asciiTheme="minorHAnsi" w:eastAsiaTheme="minorEastAsia" w:hAnsiTheme="minorHAnsi" w:cstheme="minorBidi"/>
            <w:sz w:val="22"/>
            <w:szCs w:val="22"/>
          </w:rPr>
          <w:tab/>
        </w:r>
        <w:r w:rsidR="00261FA5" w:rsidRPr="005611BB">
          <w:rPr>
            <w:rStyle w:val="Hyperlink"/>
          </w:rPr>
          <w:t>What thresholds do jurisdictions apply to their tracking schemes?</w:t>
        </w:r>
        <w:r w:rsidR="00261FA5">
          <w:tab/>
        </w:r>
        <w:r>
          <w:fldChar w:fldCharType="begin"/>
        </w:r>
        <w:r w:rsidR="00261FA5">
          <w:instrText xml:space="preserve"> PAGEREF _Toc421181777 \h </w:instrText>
        </w:r>
        <w:r>
          <w:fldChar w:fldCharType="separate"/>
        </w:r>
        <w:r w:rsidR="00261FA5">
          <w:t>46</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8" w:history="1">
        <w:r w:rsidR="00261FA5" w:rsidRPr="005611BB">
          <w:rPr>
            <w:rStyle w:val="Hyperlink"/>
          </w:rPr>
          <w:t>Table 5-17</w:t>
        </w:r>
        <w:r w:rsidR="00261FA5">
          <w:rPr>
            <w:rFonts w:asciiTheme="minorHAnsi" w:eastAsiaTheme="minorEastAsia" w:hAnsiTheme="minorHAnsi" w:cstheme="minorBidi"/>
            <w:sz w:val="22"/>
            <w:szCs w:val="22"/>
          </w:rPr>
          <w:tab/>
        </w:r>
        <w:r w:rsidR="00261FA5" w:rsidRPr="005611BB">
          <w:rPr>
            <w:rStyle w:val="Hyperlink"/>
          </w:rPr>
          <w:t>Six options for a consistent national data regime</w:t>
        </w:r>
        <w:r w:rsidR="00261FA5">
          <w:tab/>
        </w:r>
        <w:r>
          <w:fldChar w:fldCharType="begin"/>
        </w:r>
        <w:r w:rsidR="00261FA5">
          <w:instrText xml:space="preserve"> PAGEREF _Toc421181778 \h </w:instrText>
        </w:r>
        <w:r>
          <w:fldChar w:fldCharType="separate"/>
        </w:r>
        <w:r w:rsidR="00261FA5">
          <w:t>48</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79" w:history="1">
        <w:r w:rsidR="00261FA5" w:rsidRPr="005611BB">
          <w:rPr>
            <w:rStyle w:val="Hyperlink"/>
          </w:rPr>
          <w:t>Table 5-18</w:t>
        </w:r>
        <w:r w:rsidR="00261FA5">
          <w:rPr>
            <w:rFonts w:asciiTheme="minorHAnsi" w:eastAsiaTheme="minorEastAsia" w:hAnsiTheme="minorHAnsi" w:cstheme="minorBidi"/>
            <w:sz w:val="22"/>
            <w:szCs w:val="22"/>
          </w:rPr>
          <w:tab/>
        </w:r>
        <w:r w:rsidR="00261FA5" w:rsidRPr="005611BB">
          <w:rPr>
            <w:rStyle w:val="Hyperlink"/>
          </w:rPr>
          <w:t>Pros and cons of rolling out the NSW system</w:t>
        </w:r>
        <w:r w:rsidR="00261FA5">
          <w:tab/>
        </w:r>
        <w:r>
          <w:fldChar w:fldCharType="begin"/>
        </w:r>
        <w:r w:rsidR="00261FA5">
          <w:instrText xml:space="preserve"> PAGEREF _Toc421181779 \h </w:instrText>
        </w:r>
        <w:r>
          <w:fldChar w:fldCharType="separate"/>
        </w:r>
        <w:r w:rsidR="00261FA5">
          <w:t>50</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80" w:history="1">
        <w:r w:rsidR="00261FA5" w:rsidRPr="005611BB">
          <w:rPr>
            <w:rStyle w:val="Hyperlink"/>
            <w:lang w:eastAsia="en-US"/>
          </w:rPr>
          <w:t>Table 5-19</w:t>
        </w:r>
        <w:r w:rsidR="00261FA5">
          <w:rPr>
            <w:rFonts w:asciiTheme="minorHAnsi" w:eastAsiaTheme="minorEastAsia" w:hAnsiTheme="minorHAnsi" w:cstheme="minorBidi"/>
            <w:sz w:val="22"/>
            <w:szCs w:val="22"/>
          </w:rPr>
          <w:tab/>
        </w:r>
        <w:r w:rsidR="00261FA5" w:rsidRPr="005611BB">
          <w:rPr>
            <w:rStyle w:val="Hyperlink"/>
            <w:lang w:eastAsia="en-US"/>
          </w:rPr>
          <w:t>Pros and cons of a data access agreement</w:t>
        </w:r>
        <w:r w:rsidR="00261FA5">
          <w:tab/>
        </w:r>
        <w:r>
          <w:fldChar w:fldCharType="begin"/>
        </w:r>
        <w:r w:rsidR="00261FA5">
          <w:instrText xml:space="preserve"> PAGEREF _Toc421181780 \h </w:instrText>
        </w:r>
        <w:r>
          <w:fldChar w:fldCharType="separate"/>
        </w:r>
        <w:r w:rsidR="00261FA5">
          <w:t>51</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81" w:history="1">
        <w:r w:rsidR="00261FA5" w:rsidRPr="005611BB">
          <w:rPr>
            <w:rStyle w:val="Hyperlink"/>
            <w:lang w:eastAsia="en-US"/>
          </w:rPr>
          <w:t>Table 5-20</w:t>
        </w:r>
        <w:r w:rsidR="00261FA5">
          <w:rPr>
            <w:rFonts w:asciiTheme="minorHAnsi" w:eastAsiaTheme="minorEastAsia" w:hAnsiTheme="minorHAnsi" w:cstheme="minorBidi"/>
            <w:sz w:val="22"/>
            <w:szCs w:val="22"/>
          </w:rPr>
          <w:tab/>
        </w:r>
        <w:r w:rsidR="00261FA5" w:rsidRPr="005611BB">
          <w:rPr>
            <w:rStyle w:val="Hyperlink"/>
            <w:lang w:eastAsia="en-US"/>
          </w:rPr>
          <w:t>Pros and cons of a centralised holistic tracking scheme</w:t>
        </w:r>
        <w:r w:rsidR="00261FA5">
          <w:tab/>
        </w:r>
        <w:r>
          <w:fldChar w:fldCharType="begin"/>
        </w:r>
        <w:r w:rsidR="00261FA5">
          <w:instrText xml:space="preserve"> PAGEREF _Toc421181781 \h </w:instrText>
        </w:r>
        <w:r>
          <w:fldChar w:fldCharType="separate"/>
        </w:r>
        <w:r w:rsidR="00261FA5">
          <w:t>52</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82" w:history="1">
        <w:r w:rsidR="00261FA5" w:rsidRPr="005611BB">
          <w:rPr>
            <w:rStyle w:val="Hyperlink"/>
            <w:lang w:eastAsia="en-US"/>
          </w:rPr>
          <w:t>Table 5-21</w:t>
        </w:r>
        <w:r w:rsidR="00261FA5">
          <w:rPr>
            <w:rFonts w:asciiTheme="minorHAnsi" w:eastAsiaTheme="minorEastAsia" w:hAnsiTheme="minorHAnsi" w:cstheme="minorBidi"/>
            <w:sz w:val="22"/>
            <w:szCs w:val="22"/>
          </w:rPr>
          <w:tab/>
        </w:r>
        <w:r w:rsidR="00261FA5" w:rsidRPr="005611BB">
          <w:rPr>
            <w:rStyle w:val="Hyperlink"/>
            <w:lang w:eastAsia="en-US"/>
          </w:rPr>
          <w:t>Pros and cons of a single, national database</w:t>
        </w:r>
        <w:r w:rsidR="00261FA5">
          <w:tab/>
        </w:r>
        <w:r>
          <w:fldChar w:fldCharType="begin"/>
        </w:r>
        <w:r w:rsidR="00261FA5">
          <w:instrText xml:space="preserve"> PAGEREF _Toc421181782 \h </w:instrText>
        </w:r>
        <w:r>
          <w:fldChar w:fldCharType="separate"/>
        </w:r>
        <w:r w:rsidR="00261FA5">
          <w:t>55</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83" w:history="1">
        <w:r w:rsidR="00261FA5" w:rsidRPr="005611BB">
          <w:rPr>
            <w:rStyle w:val="Hyperlink"/>
            <w:lang w:eastAsia="en-US"/>
          </w:rPr>
          <w:t>Table 5-22</w:t>
        </w:r>
        <w:r w:rsidR="00261FA5">
          <w:rPr>
            <w:rFonts w:asciiTheme="minorHAnsi" w:eastAsiaTheme="minorEastAsia" w:hAnsiTheme="minorHAnsi" w:cstheme="minorBidi"/>
            <w:sz w:val="22"/>
            <w:szCs w:val="22"/>
          </w:rPr>
          <w:tab/>
        </w:r>
        <w:r w:rsidR="00261FA5" w:rsidRPr="005611BB">
          <w:rPr>
            <w:rStyle w:val="Hyperlink"/>
            <w:lang w:eastAsia="en-US"/>
          </w:rPr>
          <w:t>Pros and cons of a common interface</w:t>
        </w:r>
        <w:r w:rsidR="00261FA5">
          <w:tab/>
        </w:r>
        <w:r>
          <w:fldChar w:fldCharType="begin"/>
        </w:r>
        <w:r w:rsidR="00261FA5">
          <w:instrText xml:space="preserve"> PAGEREF _Toc421181783 \h </w:instrText>
        </w:r>
        <w:r>
          <w:fldChar w:fldCharType="separate"/>
        </w:r>
        <w:r w:rsidR="00261FA5">
          <w:t>58</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84" w:history="1">
        <w:r w:rsidR="00261FA5" w:rsidRPr="005611BB">
          <w:rPr>
            <w:rStyle w:val="Hyperlink"/>
          </w:rPr>
          <w:t>Table 5-23</w:t>
        </w:r>
        <w:r w:rsidR="00261FA5">
          <w:rPr>
            <w:rFonts w:asciiTheme="minorHAnsi" w:eastAsiaTheme="minorEastAsia" w:hAnsiTheme="minorHAnsi" w:cstheme="minorBidi"/>
            <w:sz w:val="22"/>
            <w:szCs w:val="22"/>
          </w:rPr>
          <w:tab/>
        </w:r>
        <w:r w:rsidR="00261FA5" w:rsidRPr="005611BB">
          <w:rPr>
            <w:rStyle w:val="Hyperlink"/>
          </w:rPr>
          <w:t>Reasoning behind discounted options</w:t>
        </w:r>
        <w:r w:rsidR="00261FA5">
          <w:tab/>
        </w:r>
        <w:r>
          <w:fldChar w:fldCharType="begin"/>
        </w:r>
        <w:r w:rsidR="00261FA5">
          <w:instrText xml:space="preserve"> PAGEREF _Toc421181784 \h </w:instrText>
        </w:r>
        <w:r>
          <w:fldChar w:fldCharType="separate"/>
        </w:r>
        <w:r w:rsidR="00261FA5">
          <w:t>59</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85" w:history="1">
        <w:r w:rsidR="00261FA5" w:rsidRPr="005611BB">
          <w:rPr>
            <w:rStyle w:val="Hyperlink"/>
          </w:rPr>
          <w:t>Table 5-24</w:t>
        </w:r>
        <w:r w:rsidR="00261FA5">
          <w:rPr>
            <w:rFonts w:asciiTheme="minorHAnsi" w:eastAsiaTheme="minorEastAsia" w:hAnsiTheme="minorHAnsi" w:cstheme="minorBidi"/>
            <w:sz w:val="22"/>
            <w:szCs w:val="22"/>
          </w:rPr>
          <w:tab/>
        </w:r>
        <w:r w:rsidR="00261FA5" w:rsidRPr="005611BB">
          <w:rPr>
            <w:rStyle w:val="Hyperlink"/>
          </w:rPr>
          <w:t>Cost breakdown for Option 4</w:t>
        </w:r>
        <w:r w:rsidR="00261FA5">
          <w:tab/>
        </w:r>
        <w:r>
          <w:fldChar w:fldCharType="begin"/>
        </w:r>
        <w:r w:rsidR="00261FA5">
          <w:instrText xml:space="preserve"> PAGEREF _Toc421181785 \h </w:instrText>
        </w:r>
        <w:r>
          <w:fldChar w:fldCharType="separate"/>
        </w:r>
        <w:r w:rsidR="00261FA5">
          <w:t>62</w:t>
        </w:r>
        <w:r>
          <w:fldChar w:fldCharType="end"/>
        </w:r>
      </w:hyperlink>
    </w:p>
    <w:p w:rsidR="00261FA5" w:rsidRDefault="00350C10">
      <w:pPr>
        <w:pStyle w:val="TableofFigures"/>
        <w:rPr>
          <w:rFonts w:asciiTheme="minorHAnsi" w:eastAsiaTheme="minorEastAsia" w:hAnsiTheme="minorHAnsi" w:cstheme="minorBidi"/>
          <w:sz w:val="22"/>
          <w:szCs w:val="22"/>
        </w:rPr>
      </w:pPr>
      <w:hyperlink w:anchor="_Toc421181786" w:history="1">
        <w:r w:rsidR="00261FA5" w:rsidRPr="005611BB">
          <w:rPr>
            <w:rStyle w:val="Hyperlink"/>
          </w:rPr>
          <w:t>Table 5-25</w:t>
        </w:r>
        <w:r w:rsidR="00261FA5">
          <w:rPr>
            <w:rFonts w:asciiTheme="minorHAnsi" w:eastAsiaTheme="minorEastAsia" w:hAnsiTheme="minorHAnsi" w:cstheme="minorBidi"/>
            <w:sz w:val="22"/>
            <w:szCs w:val="22"/>
          </w:rPr>
          <w:tab/>
        </w:r>
        <w:r w:rsidR="00261FA5" w:rsidRPr="005611BB">
          <w:rPr>
            <w:rStyle w:val="Hyperlink"/>
          </w:rPr>
          <w:t>Phasing of implementation costs</w:t>
        </w:r>
        <w:r w:rsidR="00261FA5">
          <w:tab/>
        </w:r>
        <w:r>
          <w:fldChar w:fldCharType="begin"/>
        </w:r>
        <w:r w:rsidR="00261FA5">
          <w:instrText xml:space="preserve"> PAGEREF _Toc421181786 \h </w:instrText>
        </w:r>
        <w:r>
          <w:fldChar w:fldCharType="separate"/>
        </w:r>
        <w:r w:rsidR="00261FA5">
          <w:t>63</w:t>
        </w:r>
        <w:r>
          <w:fldChar w:fldCharType="end"/>
        </w:r>
      </w:hyperlink>
    </w:p>
    <w:p w:rsidR="00105569" w:rsidRDefault="00350C10" w:rsidP="00047D9E">
      <w:pPr>
        <w:pStyle w:val="TableofFigures"/>
      </w:pPr>
      <w:r>
        <w:fldChar w:fldCharType="end"/>
      </w:r>
    </w:p>
    <w:p w:rsidR="00105569" w:rsidRDefault="00105569" w:rsidP="00105569">
      <w:pPr>
        <w:pStyle w:val="ParaMargin"/>
      </w:pPr>
    </w:p>
    <w:p w:rsidR="002B1738" w:rsidRPr="0036689C" w:rsidRDefault="002B1738" w:rsidP="00C07F65">
      <w:pPr>
        <w:pStyle w:val="ParaMargin"/>
      </w:pPr>
    </w:p>
    <w:p w:rsidR="002B1738" w:rsidRPr="0036689C" w:rsidRDefault="002B1738" w:rsidP="00C07F65">
      <w:pPr>
        <w:pStyle w:val="ParaMargin"/>
        <w:sectPr w:rsidR="002B1738" w:rsidRPr="0036689C" w:rsidSect="005F6B37">
          <w:type w:val="continuous"/>
          <w:pgSz w:w="11907" w:h="16840" w:code="9"/>
          <w:pgMar w:top="1134" w:right="1134" w:bottom="1134" w:left="1134" w:header="567" w:footer="567" w:gutter="0"/>
          <w:pgNumType w:fmt="lowerRoman" w:start="1"/>
          <w:cols w:space="708"/>
          <w:docGrid w:linePitch="360"/>
        </w:sectPr>
      </w:pPr>
    </w:p>
    <w:p w:rsidR="00582ED5" w:rsidRDefault="00FC78C4" w:rsidP="00FC78C4">
      <w:pPr>
        <w:pStyle w:val="Heading1"/>
        <w:numPr>
          <w:ilvl w:val="0"/>
          <w:numId w:val="0"/>
        </w:numPr>
        <w:tabs>
          <w:tab w:val="clear" w:pos="-567"/>
          <w:tab w:val="clear" w:pos="0"/>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bookmarkStart w:id="16" w:name="_Toc421181726"/>
      <w:r>
        <w:lastRenderedPageBreak/>
        <w:t>Executive Summary</w:t>
      </w:r>
      <w:bookmarkEnd w:id="16"/>
    </w:p>
    <w:p w:rsidR="00473907" w:rsidRDefault="003C2F4C" w:rsidP="00642272">
      <w:pPr>
        <w:pStyle w:val="ParaIndent"/>
      </w:pPr>
      <w:r>
        <w:t xml:space="preserve">An estimated 98% of controlled (hazardous) waste in Australia is generated, transported and disposed or treated within a single state or territory. As a result, data </w:t>
      </w:r>
      <w:r w:rsidR="009A2611">
        <w:t xml:space="preserve">charting </w:t>
      </w:r>
      <w:r>
        <w:t>the end-to-end cycle of this waste is collected and managed through a</w:t>
      </w:r>
      <w:r w:rsidR="009A2611">
        <w:t xml:space="preserve"> tracking regime</w:t>
      </w:r>
      <w:r>
        <w:t xml:space="preserve"> </w:t>
      </w:r>
      <w:r w:rsidR="009A2611">
        <w:t xml:space="preserve">informed by the jurisdiction’s own definitions, gaps, rules and responsibilities. </w:t>
      </w:r>
    </w:p>
    <w:p w:rsidR="00473907" w:rsidRDefault="009A2611" w:rsidP="00473907">
      <w:pPr>
        <w:pStyle w:val="ParaIndent"/>
      </w:pPr>
      <w:r>
        <w:t xml:space="preserve">The challenge is that waste does not operate in a closed system neatly defined by state and territory borders, </w:t>
      </w:r>
      <w:r w:rsidR="00FF6793">
        <w:t>which presents</w:t>
      </w:r>
      <w:r>
        <w:t xml:space="preserve"> </w:t>
      </w:r>
      <w:r w:rsidRPr="00D84287">
        <w:t>challenges</w:t>
      </w:r>
      <w:r>
        <w:t xml:space="preserve"> for Australia’s patchwork of tra</w:t>
      </w:r>
      <w:r w:rsidR="00642272">
        <w:t xml:space="preserve">cking schemes in </w:t>
      </w:r>
      <w:r w:rsidR="00FF6793">
        <w:t xml:space="preserve">terms of </w:t>
      </w:r>
      <w:r w:rsidR="00642272">
        <w:t>optimising the outcomes for hazardous waste.</w:t>
      </w:r>
      <w:r w:rsidR="00473907">
        <w:t xml:space="preserve"> These include a small but significant number of exemptions from tracking, poor alignment of jurisdictional hazardous waste codes and a lack regulatory visibility across </w:t>
      </w:r>
      <w:proofErr w:type="gramStart"/>
      <w:r w:rsidR="00473907">
        <w:t>borders that hampers</w:t>
      </w:r>
      <w:proofErr w:type="gramEnd"/>
      <w:r w:rsidR="00473907">
        <w:t xml:space="preserve"> the capacity to develop a whole-of-system approach to waste tracking.</w:t>
      </w:r>
    </w:p>
    <w:p w:rsidR="00FB2178" w:rsidRDefault="00642272" w:rsidP="00FB2178">
      <w:pPr>
        <w:pStyle w:val="ParaIndent"/>
      </w:pPr>
      <w:r>
        <w:t xml:space="preserve">A partial </w:t>
      </w:r>
      <w:r w:rsidR="0035735F" w:rsidRPr="00D84287">
        <w:t>umbrella</w:t>
      </w:r>
      <w:r w:rsidR="0035735F">
        <w:t xml:space="preserve"> </w:t>
      </w:r>
      <w:r>
        <w:t xml:space="preserve">solution has been the </w:t>
      </w:r>
      <w:r w:rsidRPr="00642272">
        <w:t>National Environment Protection (Controlled Waste between States and Territories) Measure</w:t>
      </w:r>
      <w:r>
        <w:t xml:space="preserve">, which provides a consistent set of rules for wastes </w:t>
      </w:r>
      <w:r w:rsidR="00FB2178">
        <w:t>moved</w:t>
      </w:r>
      <w:r>
        <w:t xml:space="preserve"> across </w:t>
      </w:r>
      <w:r w:rsidR="00FB2178">
        <w:t xml:space="preserve">internal </w:t>
      </w:r>
      <w:r>
        <w:t>domestic borders. But a</w:t>
      </w:r>
      <w:r w:rsidR="007126D4" w:rsidRPr="007126D4">
        <w:t xml:space="preserve"> consistent national </w:t>
      </w:r>
      <w:r w:rsidR="007126D4">
        <w:t xml:space="preserve">dataset </w:t>
      </w:r>
      <w:r w:rsidR="007126D4" w:rsidRPr="007126D4">
        <w:t xml:space="preserve">for hazardous waste </w:t>
      </w:r>
      <w:r>
        <w:t xml:space="preserve">– including both interstate and intrastate flows – </w:t>
      </w:r>
      <w:r w:rsidR="007126D4" w:rsidRPr="007126D4">
        <w:t xml:space="preserve">has been identified as desirable in multiple reports and under Priority </w:t>
      </w:r>
      <w:r>
        <w:t>4 in the National Waste Policy.</w:t>
      </w:r>
      <w:r w:rsidR="004F748C">
        <w:t xml:space="preserve"> The NEPM’s exclusive focus on interstate movements does not address intrastate </w:t>
      </w:r>
      <w:proofErr w:type="spellStart"/>
      <w:r w:rsidR="004F748C">
        <w:t>arisings</w:t>
      </w:r>
      <w:proofErr w:type="spellEnd"/>
      <w:r w:rsidR="004F748C">
        <w:t>, movements and fates.</w:t>
      </w:r>
    </w:p>
    <w:p w:rsidR="00FB2178" w:rsidRDefault="00FB2178" w:rsidP="00FB2178">
      <w:pPr>
        <w:pStyle w:val="ParaIndent"/>
      </w:pPr>
      <w:r>
        <w:t>The k</w:t>
      </w:r>
      <w:r w:rsidR="007126D4" w:rsidRPr="007126D4">
        <w:t xml:space="preserve">ey benefits </w:t>
      </w:r>
      <w:r w:rsidR="00F93206">
        <w:t xml:space="preserve">of </w:t>
      </w:r>
      <w:r>
        <w:t xml:space="preserve">an </w:t>
      </w:r>
      <w:r w:rsidR="00F93206">
        <w:t>umbrella fra</w:t>
      </w:r>
      <w:r w:rsidR="00F93206" w:rsidRPr="007126D4">
        <w:t xml:space="preserve">mework </w:t>
      </w:r>
      <w:r w:rsidR="007126D4" w:rsidRPr="007126D4">
        <w:t>are</w:t>
      </w:r>
      <w:r w:rsidR="00513EBE">
        <w:t>:</w:t>
      </w:r>
      <w:r w:rsidR="007126D4" w:rsidRPr="007126D4">
        <w:t xml:space="preserve"> </w:t>
      </w:r>
      <w:r w:rsidR="00513EBE">
        <w:t xml:space="preserve">a more </w:t>
      </w:r>
      <w:r w:rsidR="00F93206">
        <w:t>comprehensive</w:t>
      </w:r>
      <w:r w:rsidR="00513EBE" w:rsidRPr="007126D4">
        <w:t xml:space="preserve"> </w:t>
      </w:r>
      <w:r w:rsidR="00513EBE">
        <w:t xml:space="preserve">picture of hazardous waste </w:t>
      </w:r>
      <w:proofErr w:type="spellStart"/>
      <w:r w:rsidR="00513EBE">
        <w:t>arisings</w:t>
      </w:r>
      <w:proofErr w:type="spellEnd"/>
      <w:r w:rsidR="00513EBE">
        <w:t xml:space="preserve">, flows and fates; </w:t>
      </w:r>
      <w:r w:rsidR="00F93206">
        <w:t xml:space="preserve">better alignment with international reporting obligations; and </w:t>
      </w:r>
      <w:r w:rsidR="00F93206" w:rsidRPr="007126D4">
        <w:t xml:space="preserve">the promise of streamlining </w:t>
      </w:r>
      <w:r w:rsidR="00F93206">
        <w:t>operations</w:t>
      </w:r>
      <w:r w:rsidR="00F93206" w:rsidRPr="007126D4">
        <w:t xml:space="preserve"> for waste trans</w:t>
      </w:r>
      <w:r w:rsidR="00F93206">
        <w:t xml:space="preserve">porters and </w:t>
      </w:r>
      <w:proofErr w:type="spellStart"/>
      <w:r w:rsidR="00F93206">
        <w:t>receival</w:t>
      </w:r>
      <w:proofErr w:type="spellEnd"/>
      <w:r w:rsidR="00F93206">
        <w:t xml:space="preserve"> facilities, potentially reducing waste costs. The greatest of these </w:t>
      </w:r>
      <w:r w:rsidR="00686167">
        <w:t xml:space="preserve">benefits </w:t>
      </w:r>
      <w:r w:rsidR="00F93206">
        <w:t>is improved picture</w:t>
      </w:r>
      <w:r>
        <w:t xml:space="preserve"> clarity, which will</w:t>
      </w:r>
      <w:r w:rsidR="00F93206">
        <w:t xml:space="preserve"> </w:t>
      </w:r>
      <w:r w:rsidR="00FF6793">
        <w:t xml:space="preserve">help </w:t>
      </w:r>
      <w:r w:rsidR="00642272">
        <w:t>t</w:t>
      </w:r>
      <w:r w:rsidR="00F93206">
        <w:t>arget</w:t>
      </w:r>
      <w:r w:rsidR="00642272">
        <w:t xml:space="preserve"> policy interventions,</w:t>
      </w:r>
      <w:r w:rsidR="00F93206">
        <w:t xml:space="preserve"> </w:t>
      </w:r>
      <w:r w:rsidR="00473907">
        <w:t>inform</w:t>
      </w:r>
      <w:r w:rsidR="00473907" w:rsidRPr="007126D4">
        <w:t xml:space="preserve"> </w:t>
      </w:r>
      <w:r w:rsidR="00F93206" w:rsidRPr="007126D4">
        <w:t>regulatory benchmarks</w:t>
      </w:r>
      <w:r w:rsidR="00F93206">
        <w:t xml:space="preserve"> across jurisdictions and</w:t>
      </w:r>
      <w:r w:rsidR="00642272">
        <w:t xml:space="preserve"> e</w:t>
      </w:r>
      <w:r w:rsidR="00F93206">
        <w:t>nhance</w:t>
      </w:r>
      <w:r w:rsidR="00642272">
        <w:t xml:space="preserve"> market intelligence</w:t>
      </w:r>
      <w:r w:rsidR="00F93206">
        <w:t>.</w:t>
      </w:r>
    </w:p>
    <w:p w:rsidR="00473907" w:rsidRDefault="00FB2178" w:rsidP="00A44CE7">
      <w:pPr>
        <w:pStyle w:val="ParaIndent"/>
      </w:pPr>
      <w:r>
        <w:t xml:space="preserve">The Department of the Environment (DoE) has commissioned </w:t>
      </w:r>
      <w:proofErr w:type="spellStart"/>
      <w:r>
        <w:t>Hyder</w:t>
      </w:r>
      <w:proofErr w:type="spellEnd"/>
      <w:r>
        <w:t xml:space="preserve"> Consulting to </w:t>
      </w:r>
      <w:r w:rsidR="00B4149E">
        <w:t xml:space="preserve">characterise </w:t>
      </w:r>
      <w:r>
        <w:t xml:space="preserve">the current state of hazardous waste </w:t>
      </w:r>
      <w:r w:rsidR="001D3679">
        <w:t>tracking and data management</w:t>
      </w:r>
      <w:r>
        <w:t xml:space="preserve"> in each jurisdiction</w:t>
      </w:r>
      <w:r w:rsidR="00B4149E">
        <w:t>, then</w:t>
      </w:r>
      <w:r>
        <w:t xml:space="preserve"> explore options for developing a </w:t>
      </w:r>
      <w:r w:rsidR="00FF6793">
        <w:t xml:space="preserve">more consistent </w:t>
      </w:r>
      <w:r>
        <w:t xml:space="preserve">national dataset. </w:t>
      </w:r>
      <w:r w:rsidR="00A44CE7">
        <w:t xml:space="preserve">A desktop review and a </w:t>
      </w:r>
      <w:r w:rsidR="00473907">
        <w:t>series of</w:t>
      </w:r>
      <w:r w:rsidR="00A44CE7">
        <w:t xml:space="preserve"> workshops around the country followed by direct industry consultation </w:t>
      </w:r>
      <w:proofErr w:type="gramStart"/>
      <w:r w:rsidR="00A44CE7">
        <w:t>has</w:t>
      </w:r>
      <w:proofErr w:type="gramEnd"/>
      <w:r w:rsidR="00A44CE7">
        <w:t xml:space="preserve"> </w:t>
      </w:r>
      <w:r w:rsidR="008A395F">
        <w:t>resulted in</w:t>
      </w:r>
      <w:r w:rsidR="00A44CE7">
        <w:t xml:space="preserve"> a range of key </w:t>
      </w:r>
      <w:r w:rsidR="00473907">
        <w:t>findings</w:t>
      </w:r>
      <w:r w:rsidR="00FF6793">
        <w:t>.</w:t>
      </w:r>
    </w:p>
    <w:p w:rsidR="00F53911" w:rsidRDefault="00F53911" w:rsidP="00F53911">
      <w:pPr>
        <w:pStyle w:val="ParaIndent"/>
      </w:pPr>
      <w:r w:rsidRPr="002F48A5">
        <w:rPr>
          <w:b/>
        </w:rPr>
        <w:t>A strong move towards electronic systems</w:t>
      </w:r>
      <w:r>
        <w:t>, with Queensland now beginning to explore a transition that will ultimately see all mainland states running online systems. Most advanced economies run paper-based tracking schemes, but best practice is moving to electronic. The US is expecting to this year introduce an electronic scheme based on a common national ‘</w:t>
      </w:r>
      <w:proofErr w:type="spellStart"/>
      <w:r>
        <w:t>eManifest</w:t>
      </w:r>
      <w:proofErr w:type="spellEnd"/>
      <w:r>
        <w:t xml:space="preserve">’ document allowing one-stop </w:t>
      </w:r>
      <w:r w:rsidRPr="005D1E94">
        <w:t xml:space="preserve">submission to </w:t>
      </w:r>
      <w:r>
        <w:t>the federal EPA and all interested states. The US and Canada have also made significant progress on the so-called Single Window Initiative, which aims to provide a central electronic portal to manage the data and permitting on cross-border movement of a range of goods, including hazardous waste.</w:t>
      </w:r>
    </w:p>
    <w:p w:rsidR="00F53911" w:rsidRDefault="00F53911" w:rsidP="00F53911">
      <w:pPr>
        <w:pStyle w:val="ParaIndent"/>
      </w:pPr>
      <w:r w:rsidRPr="002F48A5">
        <w:rPr>
          <w:b/>
        </w:rPr>
        <w:t xml:space="preserve">Mixed government views on the balance </w:t>
      </w:r>
      <w:r>
        <w:rPr>
          <w:b/>
        </w:rPr>
        <w:t>in</w:t>
      </w:r>
      <w:r w:rsidRPr="002F48A5">
        <w:rPr>
          <w:b/>
        </w:rPr>
        <w:t xml:space="preserve"> hazardous waste tracking between its core regulatory role and the provision of data</w:t>
      </w:r>
      <w:r>
        <w:rPr>
          <w:b/>
        </w:rPr>
        <w:t xml:space="preserve"> to inform policy</w:t>
      </w:r>
      <w:r>
        <w:t>. Regulators’ perspectives on the appropriate role(s) of the tracking regime were highly influential in determining the level of acceptance about the need for a national dataset and around willingness to change existing regimes. In general there was greater acceptance of a national role around</w:t>
      </w:r>
      <w:r w:rsidRPr="00352858">
        <w:t xml:space="preserve"> </w:t>
      </w:r>
      <w:r>
        <w:t xml:space="preserve">tracking interstate movements than there was for intrastate movements, which remain the concern of a single regulator. Other key issues were </w:t>
      </w:r>
      <w:proofErr w:type="spellStart"/>
      <w:r>
        <w:t>greentape</w:t>
      </w:r>
      <w:proofErr w:type="spellEnd"/>
      <w:r>
        <w:t xml:space="preserve"> reduction, competing funding priorities and the potential win/loss of landfill levy revenue.</w:t>
      </w:r>
    </w:p>
    <w:p w:rsidR="002117F7" w:rsidRDefault="00A44CE7" w:rsidP="002117F7">
      <w:pPr>
        <w:pStyle w:val="ParaIndent"/>
      </w:pPr>
      <w:proofErr w:type="gramStart"/>
      <w:r w:rsidRPr="002F48A5">
        <w:rPr>
          <w:b/>
        </w:rPr>
        <w:t>Strong</w:t>
      </w:r>
      <w:r w:rsidR="00623404">
        <w:rPr>
          <w:b/>
        </w:rPr>
        <w:t xml:space="preserve"> waste</w:t>
      </w:r>
      <w:r w:rsidRPr="002F48A5">
        <w:rPr>
          <w:b/>
        </w:rPr>
        <w:t xml:space="preserve"> industry support for a consistent national tracking system</w:t>
      </w:r>
      <w:r>
        <w:t xml:space="preserve"> that goes beyond data to include </w:t>
      </w:r>
      <w:r w:rsidR="008A395F">
        <w:t>waste codes, approvals timelines and other operational rules</w:t>
      </w:r>
      <w:r w:rsidR="00AF5BB8">
        <w:t>.</w:t>
      </w:r>
      <w:proofErr w:type="gramEnd"/>
      <w:r w:rsidR="005F3B12">
        <w:t xml:space="preserve"> The </w:t>
      </w:r>
      <w:r w:rsidR="00623404">
        <w:t>unanimous</w:t>
      </w:r>
      <w:r w:rsidR="005F3B12" w:rsidRPr="00C92EE3">
        <w:t xml:space="preserve"> </w:t>
      </w:r>
      <w:r w:rsidR="00623404">
        <w:t xml:space="preserve">industry </w:t>
      </w:r>
      <w:r w:rsidR="005F3B12" w:rsidRPr="00C92EE3">
        <w:t>support</w:t>
      </w:r>
      <w:r w:rsidR="00623404">
        <w:t xml:space="preserve"> for reform</w:t>
      </w:r>
      <w:r w:rsidR="005F3B12">
        <w:t xml:space="preserve"> </w:t>
      </w:r>
      <w:r w:rsidR="005F3B12" w:rsidRPr="00580BFE">
        <w:t xml:space="preserve">speaks </w:t>
      </w:r>
      <w:r w:rsidR="005F3B12">
        <w:t>of</w:t>
      </w:r>
      <w:r w:rsidR="005F3B12" w:rsidRPr="00580BFE">
        <w:t xml:space="preserve"> a general frustration </w:t>
      </w:r>
      <w:r w:rsidR="005F3B12">
        <w:t>with</w:t>
      </w:r>
      <w:r w:rsidR="005F3B12" w:rsidRPr="00580BFE">
        <w:t xml:space="preserve"> </w:t>
      </w:r>
      <w:r w:rsidR="00FB119C">
        <w:t xml:space="preserve">the </w:t>
      </w:r>
      <w:r w:rsidR="005F3B12" w:rsidRPr="00580BFE">
        <w:t xml:space="preserve">current </w:t>
      </w:r>
      <w:r w:rsidR="00623404">
        <w:t xml:space="preserve">plethora of </w:t>
      </w:r>
      <w:r w:rsidR="005F3B12" w:rsidRPr="00580BFE">
        <w:t>systems</w:t>
      </w:r>
      <w:r w:rsidR="005F3B12">
        <w:t xml:space="preserve"> and </w:t>
      </w:r>
      <w:r w:rsidR="005F3B12" w:rsidRPr="00C92EE3">
        <w:t xml:space="preserve">a </w:t>
      </w:r>
      <w:r w:rsidR="005F3B12">
        <w:t xml:space="preserve">clear sense of </w:t>
      </w:r>
      <w:r w:rsidR="005C7592">
        <w:t xml:space="preserve">the </w:t>
      </w:r>
      <w:r w:rsidR="005F3B12">
        <w:t>benefits</w:t>
      </w:r>
      <w:r w:rsidR="005C7592">
        <w:t xml:space="preserve"> of consistency</w:t>
      </w:r>
      <w:r w:rsidR="00FB119C">
        <w:t>. These include</w:t>
      </w:r>
      <w:r w:rsidR="002117F7">
        <w:t xml:space="preserve"> reduced</w:t>
      </w:r>
      <w:r w:rsidR="005F3B12">
        <w:t xml:space="preserve"> </w:t>
      </w:r>
      <w:r w:rsidR="002117F7">
        <w:t xml:space="preserve">regulatory burden, </w:t>
      </w:r>
      <w:r w:rsidR="002117F7">
        <w:lastRenderedPageBreak/>
        <w:t xml:space="preserve">optimised in-house </w:t>
      </w:r>
      <w:r w:rsidR="00FB119C">
        <w:t xml:space="preserve">management and billing </w:t>
      </w:r>
      <w:r w:rsidR="002117F7">
        <w:t xml:space="preserve">systems, reduced </w:t>
      </w:r>
      <w:r w:rsidR="005C7592">
        <w:t xml:space="preserve">waste contractor confusion and </w:t>
      </w:r>
      <w:r w:rsidR="002117F7">
        <w:t>level</w:t>
      </w:r>
      <w:r w:rsidR="005C7592">
        <w:t>ling the</w:t>
      </w:r>
      <w:r w:rsidR="002117F7">
        <w:t xml:space="preserve"> competitive playing field by closing </w:t>
      </w:r>
      <w:r w:rsidR="005C7592">
        <w:t xml:space="preserve">loopholes in </w:t>
      </w:r>
      <w:r w:rsidR="002117F7">
        <w:t>tracking scheme</w:t>
      </w:r>
      <w:r w:rsidR="005C7592">
        <w:t>s</w:t>
      </w:r>
      <w:r w:rsidR="002117F7">
        <w:t xml:space="preserve">. </w:t>
      </w:r>
    </w:p>
    <w:p w:rsidR="002F48A5" w:rsidRDefault="00AF5BB8" w:rsidP="008909DB">
      <w:pPr>
        <w:pStyle w:val="ParaIndent"/>
      </w:pPr>
      <w:proofErr w:type="gramStart"/>
      <w:r w:rsidRPr="00AF5BB8">
        <w:rPr>
          <w:b/>
        </w:rPr>
        <w:t xml:space="preserve">A raft of recent – and planned – activity in many states to upgrade their </w:t>
      </w:r>
      <w:r w:rsidR="00686167" w:rsidRPr="00AF5BB8">
        <w:rPr>
          <w:b/>
        </w:rPr>
        <w:t xml:space="preserve">tracking </w:t>
      </w:r>
      <w:r w:rsidR="00056393" w:rsidRPr="00AF5BB8">
        <w:rPr>
          <w:b/>
        </w:rPr>
        <w:t>systems</w:t>
      </w:r>
      <w:r w:rsidR="00686167" w:rsidRPr="00AF5BB8">
        <w:rPr>
          <w:b/>
        </w:rPr>
        <w:t xml:space="preserve"> </w:t>
      </w:r>
      <w:r w:rsidR="002F48A5" w:rsidRPr="00AF5BB8">
        <w:rPr>
          <w:b/>
        </w:rPr>
        <w:t>or</w:t>
      </w:r>
      <w:r w:rsidR="00686167" w:rsidRPr="00AF5BB8">
        <w:rPr>
          <w:b/>
        </w:rPr>
        <w:t xml:space="preserve"> regulatory architecture</w:t>
      </w:r>
      <w:r>
        <w:t>.</w:t>
      </w:r>
      <w:proofErr w:type="gramEnd"/>
      <w:r w:rsidR="00686167">
        <w:t xml:space="preserve"> </w:t>
      </w:r>
      <w:r>
        <w:t xml:space="preserve">This includes </w:t>
      </w:r>
      <w:r w:rsidR="00686167">
        <w:t>a whole new tracking system in South Australia</w:t>
      </w:r>
      <w:r>
        <w:t xml:space="preserve"> based on the </w:t>
      </w:r>
      <w:r w:rsidR="008909DB">
        <w:t xml:space="preserve">electronic </w:t>
      </w:r>
      <w:r>
        <w:t>NSW scheme</w:t>
      </w:r>
      <w:r w:rsidR="00686167">
        <w:t xml:space="preserve">, a thorough </w:t>
      </w:r>
      <w:r w:rsidR="002F48A5">
        <w:t>overhaul</w:t>
      </w:r>
      <w:r w:rsidR="00686167">
        <w:t xml:space="preserve"> </w:t>
      </w:r>
      <w:r>
        <w:t xml:space="preserve">of the system </w:t>
      </w:r>
      <w:r w:rsidR="00686167">
        <w:t>in Western Australia</w:t>
      </w:r>
      <w:r>
        <w:t xml:space="preserve">, </w:t>
      </w:r>
      <w:r w:rsidR="008909DB">
        <w:t xml:space="preserve">the </w:t>
      </w:r>
      <w:r w:rsidR="00686167">
        <w:t xml:space="preserve">introduction of </w:t>
      </w:r>
      <w:r w:rsidR="00056393">
        <w:t xml:space="preserve">electronic </w:t>
      </w:r>
      <w:proofErr w:type="spellStart"/>
      <w:r w:rsidR="00056393">
        <w:t>licencing</w:t>
      </w:r>
      <w:proofErr w:type="spellEnd"/>
      <w:r w:rsidR="00686167">
        <w:t xml:space="preserve"> in </w:t>
      </w:r>
      <w:r>
        <w:t xml:space="preserve">NSW and initial steps </w:t>
      </w:r>
      <w:r w:rsidR="008909DB">
        <w:t xml:space="preserve">in Queensland </w:t>
      </w:r>
      <w:r>
        <w:t>to overhaul its hazardous waste regulations.</w:t>
      </w:r>
      <w:r w:rsidR="00623404">
        <w:t xml:space="preserve"> </w:t>
      </w:r>
      <w:r w:rsidR="00F53911" w:rsidRPr="00F53911">
        <w:t xml:space="preserve">Any proposed reforms will need to be conscious of the </w:t>
      </w:r>
      <w:proofErr w:type="gramStart"/>
      <w:r w:rsidR="00F53911" w:rsidRPr="00F53911">
        <w:t>sunk</w:t>
      </w:r>
      <w:proofErr w:type="gramEnd"/>
      <w:r w:rsidR="00F53911" w:rsidRPr="00F53911">
        <w:t xml:space="preserve"> investment jurisdictions have made in upgrading and tailoring their tracking schemes for regulatory purposes.</w:t>
      </w:r>
    </w:p>
    <w:p w:rsidR="002F48A5" w:rsidRDefault="002F48A5" w:rsidP="002F48A5">
      <w:pPr>
        <w:pStyle w:val="Heading40"/>
      </w:pPr>
      <w:r>
        <w:t>Data management options</w:t>
      </w:r>
    </w:p>
    <w:p w:rsidR="00513EBE" w:rsidRDefault="00E90D05" w:rsidP="006A784B">
      <w:pPr>
        <w:pStyle w:val="ParaIndent"/>
      </w:pPr>
      <w:r>
        <w:t>Six</w:t>
      </w:r>
      <w:r w:rsidR="00513EBE">
        <w:t xml:space="preserve"> </w:t>
      </w:r>
      <w:r w:rsidR="008909DB">
        <w:t xml:space="preserve">IT </w:t>
      </w:r>
      <w:r w:rsidR="00513EBE">
        <w:t xml:space="preserve">options </w:t>
      </w:r>
      <w:r w:rsidR="00FB2178">
        <w:t>have been crafted</w:t>
      </w:r>
      <w:r>
        <w:t>, each</w:t>
      </w:r>
      <w:r w:rsidR="00FB2178">
        <w:t xml:space="preserve"> </w:t>
      </w:r>
      <w:r w:rsidR="006A784B">
        <w:t>with</w:t>
      </w:r>
      <w:r w:rsidR="00FB2178">
        <w:t xml:space="preserve"> a singular focus on data rather than the underlying</w:t>
      </w:r>
      <w:r w:rsidR="00FB2178" w:rsidRPr="00FB2178">
        <w:t xml:space="preserve"> </w:t>
      </w:r>
      <w:r w:rsidR="00FB2178">
        <w:t>state and territory regulatory regimes</w:t>
      </w:r>
      <w:r>
        <w:t xml:space="preserve"> that </w:t>
      </w:r>
      <w:r w:rsidR="006A784B">
        <w:t>remain</w:t>
      </w:r>
      <w:r w:rsidR="008A395F">
        <w:t xml:space="preserve"> e</w:t>
      </w:r>
      <w:r w:rsidR="006A784B">
        <w:t>xpressions of their individual priorities and approach</w:t>
      </w:r>
      <w:r>
        <w:t>es</w:t>
      </w:r>
      <w:r w:rsidR="006A784B">
        <w:t xml:space="preserve"> to protecting</w:t>
      </w:r>
      <w:r w:rsidR="005C7592">
        <w:t xml:space="preserve"> health and the environment</w:t>
      </w:r>
      <w:r w:rsidR="006A784B">
        <w:t xml:space="preserve">. </w:t>
      </w:r>
      <w:r w:rsidR="008A395F">
        <w:t xml:space="preserve">However, some options </w:t>
      </w:r>
      <w:r w:rsidR="006A784B">
        <w:t xml:space="preserve">may </w:t>
      </w:r>
      <w:r w:rsidR="008A395F">
        <w:t xml:space="preserve">require </w:t>
      </w:r>
      <w:r w:rsidR="006A784B">
        <w:t xml:space="preserve">a level of cooperative amendment to intrastate regulations, for example to find a common approach to waste codes between the descriptive method in NSW and SA and the sub-codes used in Victoria and Western Australia. </w:t>
      </w:r>
    </w:p>
    <w:p w:rsidR="00E53959" w:rsidRDefault="006A784B" w:rsidP="00E53959">
      <w:pPr>
        <w:pStyle w:val="BodyText"/>
        <w:ind w:left="1134"/>
        <w:rPr>
          <w:rFonts w:cs="Arial"/>
        </w:rPr>
      </w:pPr>
      <w:r>
        <w:t xml:space="preserve">The options also consider ways to stage implementation in order to address concerns about the resourcing and cost of the reforms. </w:t>
      </w:r>
      <w:r w:rsidR="00464FD5">
        <w:t>The recommended option is to</w:t>
      </w:r>
      <w:r w:rsidR="00E53959" w:rsidRPr="00E53959">
        <w:t xml:space="preserve"> </w:t>
      </w:r>
      <w:r w:rsidR="00E53959">
        <w:t>develop a</w:t>
      </w:r>
      <w:r w:rsidR="00E53959" w:rsidRPr="00B1789F">
        <w:t xml:space="preserve"> transparent, centralised reporting and analytics capability </w:t>
      </w:r>
      <w:r w:rsidR="00E53959">
        <w:t>that</w:t>
      </w:r>
      <w:r w:rsidR="00E53959" w:rsidRPr="00B1789F">
        <w:t xml:space="preserve"> can be used directly by DoE, jurisdictions, industry and the community. </w:t>
      </w:r>
      <w:r w:rsidR="00E53959">
        <w:t>The states and territories will supply the required data in either a standard format</w:t>
      </w:r>
      <w:r w:rsidR="00E53959" w:rsidRPr="00E53959">
        <w:t xml:space="preserve"> </w:t>
      </w:r>
      <w:r w:rsidR="00E53959">
        <w:t>(</w:t>
      </w:r>
      <w:r w:rsidR="00E53959" w:rsidRPr="00B1789F">
        <w:t>CSV, HTML or spreadsheet</w:t>
      </w:r>
      <w:r w:rsidR="00E53959">
        <w:t xml:space="preserve">) or via a </w:t>
      </w:r>
      <w:r w:rsidR="00E53959" w:rsidRPr="00B1789F">
        <w:t>developed web portal</w:t>
      </w:r>
      <w:r w:rsidR="00E53959">
        <w:t>, allowing DoE to transform, map</w:t>
      </w:r>
      <w:r w:rsidR="00E53959" w:rsidRPr="00B1789F">
        <w:t xml:space="preserve"> (to a s</w:t>
      </w:r>
      <w:r w:rsidR="00E53959">
        <w:t>tandard set of codes) and load the data</w:t>
      </w:r>
      <w:r w:rsidR="00E53959" w:rsidRPr="00B1789F">
        <w:t xml:space="preserve"> to a central database for reporting and analysis. </w:t>
      </w:r>
      <w:r w:rsidR="00E53959">
        <w:t xml:space="preserve">This option of a common back-end database minimises the cost and complexity </w:t>
      </w:r>
      <w:r w:rsidR="002A0CC3">
        <w:t>of reform for the jurisdictions and</w:t>
      </w:r>
      <w:r w:rsidR="00E53959">
        <w:t xml:space="preserve"> provides DoE with greater </w:t>
      </w:r>
      <w:r w:rsidR="00E53959" w:rsidRPr="00D00211">
        <w:rPr>
          <w:rFonts w:cs="Arial"/>
        </w:rPr>
        <w:t>data analytics to drive decision making</w:t>
      </w:r>
      <w:r w:rsidR="00E53959">
        <w:rPr>
          <w:rFonts w:cs="Arial"/>
        </w:rPr>
        <w:t>,</w:t>
      </w:r>
      <w:r w:rsidR="00E53959" w:rsidRPr="00D00211">
        <w:rPr>
          <w:rFonts w:cs="Arial"/>
        </w:rPr>
        <w:t xml:space="preserve"> insight</w:t>
      </w:r>
      <w:r w:rsidR="00E53959">
        <w:rPr>
          <w:rFonts w:cs="Arial"/>
        </w:rPr>
        <w:t xml:space="preserve"> and greater public reporting. </w:t>
      </w:r>
    </w:p>
    <w:p w:rsidR="00675B93" w:rsidRDefault="00E53959" w:rsidP="002F48A5">
      <w:pPr>
        <w:pStyle w:val="BodyText"/>
        <w:ind w:left="1134"/>
      </w:pPr>
      <w:r>
        <w:rPr>
          <w:rFonts w:cs="Arial"/>
        </w:rPr>
        <w:t xml:space="preserve">A </w:t>
      </w:r>
      <w:r w:rsidR="0009742A">
        <w:rPr>
          <w:rFonts w:cs="Arial"/>
        </w:rPr>
        <w:t xml:space="preserve">potential </w:t>
      </w:r>
      <w:r>
        <w:rPr>
          <w:rFonts w:cs="Arial"/>
        </w:rPr>
        <w:t xml:space="preserve">second stage </w:t>
      </w:r>
      <w:r w:rsidR="0009742A">
        <w:rPr>
          <w:rFonts w:cs="Arial"/>
        </w:rPr>
        <w:t xml:space="preserve">is to develop a standardised electronic </w:t>
      </w:r>
      <w:r w:rsidR="0009742A">
        <w:t xml:space="preserve">reporting template across all jurisdictions to further standardise reporting. This </w:t>
      </w:r>
      <w:r w:rsidR="0009742A">
        <w:rPr>
          <w:rFonts w:cs="Arial"/>
        </w:rPr>
        <w:t xml:space="preserve">common </w:t>
      </w:r>
      <w:r w:rsidR="0009742A">
        <w:t>front-</w:t>
      </w:r>
      <w:r w:rsidR="0009742A" w:rsidRPr="00787034">
        <w:t>end</w:t>
      </w:r>
      <w:r w:rsidR="0009742A">
        <w:t xml:space="preserve"> </w:t>
      </w:r>
      <w:r w:rsidR="0009742A" w:rsidRPr="00787034">
        <w:t xml:space="preserve">in its own right is relatively easy and </w:t>
      </w:r>
      <w:r w:rsidR="0009742A">
        <w:t>in</w:t>
      </w:r>
      <w:r w:rsidR="0009742A" w:rsidRPr="00787034">
        <w:t>expensive,</w:t>
      </w:r>
      <w:r w:rsidR="0009742A">
        <w:t xml:space="preserve"> but</w:t>
      </w:r>
      <w:r w:rsidR="0009742A" w:rsidRPr="00787034">
        <w:t xml:space="preserve"> the process to determine and agree requirements, standardise code sets, business rules and business processes is expected to be lengthy and costly. </w:t>
      </w:r>
      <w:r w:rsidR="0009742A">
        <w:t>These discussion</w:t>
      </w:r>
      <w:r w:rsidR="0035735F">
        <w:t>s</w:t>
      </w:r>
      <w:r w:rsidR="0009742A">
        <w:t xml:space="preserve"> could happen either in parallel </w:t>
      </w:r>
      <w:r w:rsidR="00F1512D">
        <w:t>or</w:t>
      </w:r>
      <w:r w:rsidR="0009742A">
        <w:t xml:space="preserve"> subsequent to stage one, </w:t>
      </w:r>
      <w:proofErr w:type="gramStart"/>
      <w:r w:rsidR="0009742A">
        <w:t>depending</w:t>
      </w:r>
      <w:proofErr w:type="gramEnd"/>
      <w:r w:rsidR="0009742A">
        <w:t xml:space="preserve"> on the agreed appetite for developing a national dataset.</w:t>
      </w:r>
      <w:r w:rsidR="00464FD5">
        <w:t xml:space="preserve"> </w:t>
      </w:r>
    </w:p>
    <w:p w:rsidR="001F1165" w:rsidRPr="0009742A" w:rsidRDefault="006A784B" w:rsidP="0009742A">
      <w:pPr>
        <w:pStyle w:val="BodyText"/>
        <w:ind w:left="1134"/>
      </w:pPr>
      <w:r>
        <w:t xml:space="preserve"> </w:t>
      </w:r>
      <w:bookmarkStart w:id="17" w:name="Body"/>
      <w:bookmarkEnd w:id="17"/>
      <w:r w:rsidR="001F1165">
        <w:br w:type="page"/>
      </w:r>
    </w:p>
    <w:p w:rsidR="00F71793" w:rsidRDefault="00FC78C4" w:rsidP="00FC78C4">
      <w:pPr>
        <w:pStyle w:val="Heading1"/>
      </w:pPr>
      <w:bookmarkStart w:id="18" w:name="_Toc421181727"/>
      <w:r>
        <w:lastRenderedPageBreak/>
        <w:t>Introduction</w:t>
      </w:r>
      <w:bookmarkEnd w:id="18"/>
    </w:p>
    <w:p w:rsidR="00047D9E" w:rsidRDefault="001F1165" w:rsidP="00FC78C4">
      <w:pPr>
        <w:pStyle w:val="ParaIndent"/>
      </w:pPr>
      <w:r>
        <w:t xml:space="preserve">The movement of controlled waste within and between Australian jurisdictions is managed through regulations and guidelines. As with many developed policy areas, it is the purview of each state and territory to dictate the requirements regarding hazardous waste management and movement. The approaches taken by the states and territories regarding both the management and tracking of controlled waste varies considerably, the latter covering a range of paper based and electronic systems. </w:t>
      </w:r>
    </w:p>
    <w:p w:rsidR="00FC78C4" w:rsidRDefault="001F1165" w:rsidP="00047D9E">
      <w:pPr>
        <w:pStyle w:val="ParaIndent"/>
      </w:pPr>
      <w:r>
        <w:t>There is</w:t>
      </w:r>
      <w:r w:rsidR="00D2659E">
        <w:t xml:space="preserve"> a</w:t>
      </w:r>
      <w:r>
        <w:t xml:space="preserve"> further requirement at federal level to collect, analyse and report on this data as part of Australia’s international obligations under the Basel Convention</w:t>
      </w:r>
      <w:r w:rsidR="00047D9E">
        <w:t xml:space="preserve"> and the OECD framework covering </w:t>
      </w:r>
      <w:proofErr w:type="spellStart"/>
      <w:r w:rsidR="00047D9E">
        <w:t>t</w:t>
      </w:r>
      <w:r w:rsidR="00047D9E" w:rsidRPr="00F74A5B">
        <w:t>rans</w:t>
      </w:r>
      <w:r w:rsidR="00047D9E">
        <w:t>boundary</w:t>
      </w:r>
      <w:proofErr w:type="spellEnd"/>
      <w:r w:rsidR="00047D9E" w:rsidRPr="00F74A5B">
        <w:t xml:space="preserve"> </w:t>
      </w:r>
      <w:r w:rsidR="00047D9E">
        <w:t>m</w:t>
      </w:r>
      <w:r w:rsidR="00047D9E" w:rsidRPr="00F74A5B">
        <w:t xml:space="preserve">ovements of </w:t>
      </w:r>
      <w:r w:rsidR="00047D9E">
        <w:t>w</w:t>
      </w:r>
      <w:r w:rsidR="00047D9E" w:rsidRPr="00F74A5B">
        <w:t>astes</w:t>
      </w:r>
      <w:r>
        <w:t>.</w:t>
      </w:r>
    </w:p>
    <w:p w:rsidR="00992294" w:rsidRDefault="001F1165" w:rsidP="00992294">
      <w:pPr>
        <w:pStyle w:val="ParaIndent"/>
      </w:pPr>
      <w:r>
        <w:t>S</w:t>
      </w:r>
      <w:r w:rsidR="00047D9E">
        <w:t>ome s</w:t>
      </w:r>
      <w:r>
        <w:t xml:space="preserve">teps have been taken toward greater unification of hazardous waste management in Australia. The National Environment Protection (Movement of Controlled Waste between States and Territories) Measure (NEPM) requires the tracking and reporting of controlled waste movements </w:t>
      </w:r>
      <w:r w:rsidR="00047D9E">
        <w:t xml:space="preserve">between jurisdictions </w:t>
      </w:r>
      <w:r>
        <w:t xml:space="preserve">with the primary aim of minimising the impacts </w:t>
      </w:r>
      <w:r w:rsidR="002A3096">
        <w:t>on</w:t>
      </w:r>
      <w:r>
        <w:t xml:space="preserve"> human health and the environment. A key goal of the NEPM is improved consistency between the states and territories </w:t>
      </w:r>
      <w:r w:rsidR="00047D9E">
        <w:t>around</w:t>
      </w:r>
      <w:r>
        <w:t xml:space="preserve"> </w:t>
      </w:r>
      <w:r w:rsidR="00E5158E">
        <w:t xml:space="preserve">hazardous </w:t>
      </w:r>
      <w:r>
        <w:t>waste categorisation</w:t>
      </w:r>
      <w:r w:rsidR="00675B93">
        <w:t xml:space="preserve"> –</w:t>
      </w:r>
      <w:r w:rsidR="00047D9E">
        <w:t xml:space="preserve"> including definitions, codes and coverage</w:t>
      </w:r>
      <w:r w:rsidR="00675B93">
        <w:t xml:space="preserve"> –</w:t>
      </w:r>
      <w:r w:rsidR="006153BF">
        <w:t xml:space="preserve"> </w:t>
      </w:r>
      <w:r>
        <w:t xml:space="preserve">and </w:t>
      </w:r>
      <w:r w:rsidR="006153BF">
        <w:t xml:space="preserve">of </w:t>
      </w:r>
      <w:r w:rsidR="00047D9E">
        <w:t>the</w:t>
      </w:r>
      <w:r>
        <w:t xml:space="preserve"> </w:t>
      </w:r>
      <w:r w:rsidR="00047D9E">
        <w:t xml:space="preserve">waste tracking systems they use. </w:t>
      </w:r>
    </w:p>
    <w:p w:rsidR="00D619E6" w:rsidRDefault="00E5158E" w:rsidP="00D619E6">
      <w:pPr>
        <w:pStyle w:val="ParaIndent"/>
      </w:pPr>
      <w:r>
        <w:t>Despite some progress</w:t>
      </w:r>
      <w:r w:rsidR="00047D9E">
        <w:t xml:space="preserve">, a deeper alignment </w:t>
      </w:r>
      <w:r w:rsidR="001F1165">
        <w:t xml:space="preserve">of tracking and monitoring </w:t>
      </w:r>
      <w:r w:rsidR="00047D9E">
        <w:t xml:space="preserve">systems incorporating intrastate movements </w:t>
      </w:r>
      <w:r w:rsidR="001F1165">
        <w:t>has yet to be realised</w:t>
      </w:r>
      <w:r w:rsidR="006A33FC">
        <w:t>.</w:t>
      </w:r>
      <w:r w:rsidR="00D619E6">
        <w:t xml:space="preserve"> The result is instances of </w:t>
      </w:r>
      <w:r w:rsidR="00D619E6" w:rsidRPr="00B91BAF">
        <w:t>multiple counting</w:t>
      </w:r>
      <w:r w:rsidR="00D619E6">
        <w:t>;</w:t>
      </w:r>
      <w:r w:rsidR="00D619E6" w:rsidRPr="00B91BAF">
        <w:t xml:space="preserve"> varying methods for classifying wastes, sources and fates; differences in interpretations of </w:t>
      </w:r>
      <w:r w:rsidR="00D619E6">
        <w:t>a</w:t>
      </w:r>
      <w:r w:rsidR="00D619E6" w:rsidRPr="00B91BAF">
        <w:t xml:space="preserve"> waste</w:t>
      </w:r>
      <w:r w:rsidR="00D619E6">
        <w:t xml:space="preserve">, such as whether lead acid batteries should be coded for lead or acid; and </w:t>
      </w:r>
      <w:r w:rsidR="00D619E6" w:rsidRPr="00B91BAF">
        <w:t xml:space="preserve">varying </w:t>
      </w:r>
      <w:r w:rsidR="00D619E6">
        <w:t>metrics.</w:t>
      </w:r>
    </w:p>
    <w:p w:rsidR="00E5158E" w:rsidRDefault="00675B93" w:rsidP="00992294">
      <w:pPr>
        <w:pStyle w:val="ParaIndent"/>
      </w:pPr>
      <w:r>
        <w:t xml:space="preserve">Given </w:t>
      </w:r>
      <w:r w:rsidR="00992294">
        <w:t xml:space="preserve">intrastate movements account for 98% of </w:t>
      </w:r>
      <w:r w:rsidR="00992294" w:rsidRPr="00580BFE">
        <w:t>transported ha</w:t>
      </w:r>
      <w:r w:rsidR="00992294">
        <w:t>zardous waste, this lack of alignment is the single greatest barrier to developing a more consistent national picture. This</w:t>
      </w:r>
      <w:r w:rsidR="00E5158E">
        <w:t xml:space="preserve"> </w:t>
      </w:r>
      <w:r w:rsidR="00746A3E">
        <w:t xml:space="preserve">inconsistency </w:t>
      </w:r>
      <w:r w:rsidR="009E0A89">
        <w:t>undermine</w:t>
      </w:r>
      <w:r w:rsidR="00992294">
        <w:t>s</w:t>
      </w:r>
      <w:r w:rsidR="00E5158E">
        <w:t xml:space="preserve"> the robustness of </w:t>
      </w:r>
      <w:r w:rsidR="00746A3E">
        <w:t xml:space="preserve">Australia’s </w:t>
      </w:r>
      <w:r w:rsidR="00E5158E">
        <w:t>international reporting</w:t>
      </w:r>
      <w:r w:rsidR="00746A3E">
        <w:t xml:space="preserve"> obligations, </w:t>
      </w:r>
      <w:r w:rsidR="00BA79A3">
        <w:t>limit</w:t>
      </w:r>
      <w:r w:rsidR="00992294">
        <w:t>s</w:t>
      </w:r>
      <w:r w:rsidR="00E5158E">
        <w:t xml:space="preserve"> the ability of government policy makers and industry decision maker</w:t>
      </w:r>
      <w:r w:rsidR="00373DBF">
        <w:t xml:space="preserve">s to target </w:t>
      </w:r>
      <w:r w:rsidR="00FA5059">
        <w:t xml:space="preserve">their </w:t>
      </w:r>
      <w:r w:rsidR="00373DBF">
        <w:t>interventions</w:t>
      </w:r>
      <w:r w:rsidR="00746A3E">
        <w:t>,</w:t>
      </w:r>
      <w:r w:rsidR="00373DBF">
        <w:t xml:space="preserve"> </w:t>
      </w:r>
      <w:r w:rsidR="00FA5059">
        <w:t xml:space="preserve">and hampers operating efficiencies for </w:t>
      </w:r>
      <w:r w:rsidR="00746A3E">
        <w:t>the waste industry</w:t>
      </w:r>
      <w:r w:rsidR="00FA5059">
        <w:t>.</w:t>
      </w:r>
    </w:p>
    <w:p w:rsidR="001F1165" w:rsidRDefault="006A33FC" w:rsidP="00047D9E">
      <w:pPr>
        <w:pStyle w:val="ParaIndent"/>
      </w:pPr>
      <w:r>
        <w:t>There are a significant number of barrier</w:t>
      </w:r>
      <w:r w:rsidR="00047D9E">
        <w:t>s that restrict this progress</w:t>
      </w:r>
      <w:r>
        <w:t>, including:</w:t>
      </w:r>
    </w:p>
    <w:p w:rsidR="006A33FC" w:rsidRDefault="006A33FC" w:rsidP="006A33FC">
      <w:pPr>
        <w:pStyle w:val="PointsBullets"/>
      </w:pPr>
      <w:r>
        <w:t>misalignment of priorities and regulations</w:t>
      </w:r>
    </w:p>
    <w:p w:rsidR="006A33FC" w:rsidRDefault="006A33FC" w:rsidP="006A33FC">
      <w:pPr>
        <w:pStyle w:val="PointsBullets"/>
      </w:pPr>
      <w:r>
        <w:t>limited resources and budget across states and territories</w:t>
      </w:r>
    </w:p>
    <w:p w:rsidR="006A33FC" w:rsidRDefault="006A33FC" w:rsidP="006A33FC">
      <w:pPr>
        <w:pStyle w:val="PointsBullets"/>
      </w:pPr>
      <w:r>
        <w:t>poorly integrated system</w:t>
      </w:r>
      <w:r w:rsidR="0039791A">
        <w:t>s</w:t>
      </w:r>
      <w:r>
        <w:t xml:space="preserve"> for tracking controlled waste</w:t>
      </w:r>
      <w:r w:rsidR="0039791A">
        <w:t xml:space="preserve"> across borders</w:t>
      </w:r>
    </w:p>
    <w:p w:rsidR="006A33FC" w:rsidRDefault="006A33FC" w:rsidP="006A33FC">
      <w:pPr>
        <w:pStyle w:val="PointsBullets"/>
      </w:pPr>
      <w:r>
        <w:t>inherent limitations in IT architecture and systems</w:t>
      </w:r>
    </w:p>
    <w:p w:rsidR="006A33FC" w:rsidRDefault="006A33FC" w:rsidP="006A33FC">
      <w:pPr>
        <w:pStyle w:val="PointsBullets"/>
      </w:pPr>
      <w:proofErr w:type="gramStart"/>
      <w:r>
        <w:t>lack</w:t>
      </w:r>
      <w:proofErr w:type="gramEnd"/>
      <w:r>
        <w:t xml:space="preserve"> of overarching data governance agreements and processes.</w:t>
      </w:r>
    </w:p>
    <w:p w:rsidR="00AF4F61" w:rsidRDefault="00AF4F61" w:rsidP="009E3026">
      <w:pPr>
        <w:pStyle w:val="PointsBullets"/>
        <w:numPr>
          <w:ilvl w:val="0"/>
          <w:numId w:val="0"/>
        </w:numPr>
        <w:ind w:left="1134"/>
      </w:pPr>
      <w:r>
        <w:t xml:space="preserve">One further downside of misaligned jurisdictional systems </w:t>
      </w:r>
      <w:r w:rsidR="00992294">
        <w:t>is</w:t>
      </w:r>
      <w:r>
        <w:t xml:space="preserve"> the</w:t>
      </w:r>
      <w:r w:rsidR="00992294">
        <w:t xml:space="preserve"> limited visibility on interstate movements, with only Victoria requiring </w:t>
      </w:r>
      <w:r>
        <w:t xml:space="preserve">in-state </w:t>
      </w:r>
      <w:r w:rsidR="00992294">
        <w:t xml:space="preserve">approval for shipments </w:t>
      </w:r>
      <w:r>
        <w:t>beyond</w:t>
      </w:r>
      <w:r w:rsidR="00992294">
        <w:t xml:space="preserve"> its borders and none requiring the closure of waste tracking certificates by the receiving facility.</w:t>
      </w:r>
      <w:r>
        <w:t xml:space="preserve"> This is a potential weak point in the tracking of hazardous waste nationally given the receiving state regulator will have no insight or oversight of the generator. Anecdotal evidence from waste industry stakeholder</w:t>
      </w:r>
      <w:r w:rsidR="009E3026">
        <w:t>s suggests under-the-radar movements are a live issue, which in turn undermines the Basel Convention principle of prior informed consent for all transportation of hazardous waste.</w:t>
      </w:r>
    </w:p>
    <w:p w:rsidR="006A33FC" w:rsidRDefault="006A33FC" w:rsidP="00D619E6">
      <w:pPr>
        <w:pStyle w:val="Heading40"/>
      </w:pPr>
      <w:bookmarkStart w:id="19" w:name="_Ref418174737"/>
      <w:bookmarkStart w:id="20" w:name="_Ref418174753"/>
      <w:bookmarkStart w:id="21" w:name="_Ref418174760"/>
      <w:bookmarkStart w:id="22" w:name="_Ref418174771"/>
      <w:bookmarkStart w:id="23" w:name="_Ref418174793"/>
      <w:r>
        <w:t xml:space="preserve">Findings from </w:t>
      </w:r>
      <w:r w:rsidR="00082122">
        <w:t>p</w:t>
      </w:r>
      <w:r>
        <w:t xml:space="preserve">ast </w:t>
      </w:r>
      <w:r w:rsidR="00082122">
        <w:t>r</w:t>
      </w:r>
      <w:r>
        <w:t>eports</w:t>
      </w:r>
      <w:bookmarkEnd w:id="19"/>
      <w:bookmarkEnd w:id="20"/>
      <w:bookmarkEnd w:id="21"/>
      <w:bookmarkEnd w:id="22"/>
      <w:bookmarkEnd w:id="23"/>
    </w:p>
    <w:p w:rsidR="006A33FC" w:rsidRDefault="006A33FC" w:rsidP="006A33FC">
      <w:pPr>
        <w:pStyle w:val="ParaIndent"/>
      </w:pPr>
      <w:r>
        <w:t>The federal Department of the Environment (DoE) has commissioned a number of reports in the last few years that provide additional context and insight for assessing the feasibility of a nationally consistent tracking scheme for hazardous wastes.</w:t>
      </w:r>
    </w:p>
    <w:p w:rsidR="006A33FC" w:rsidRDefault="006A33FC" w:rsidP="006A33FC">
      <w:pPr>
        <w:pStyle w:val="ParaIndent"/>
      </w:pPr>
      <w:r>
        <w:lastRenderedPageBreak/>
        <w:t xml:space="preserve">In 2011 the </w:t>
      </w:r>
      <w:r w:rsidRPr="006A33FC">
        <w:rPr>
          <w:i/>
        </w:rPr>
        <w:t>Australian Waste Classifications</w:t>
      </w:r>
      <w:r>
        <w:t xml:space="preserve"> report highlighted major inconsistencies in waste data generally, including noting: “Even where jurisdictions adopt comparable approaches to classifications, different terms may be applied to comparable wastes. For example, ‘hazardous waste’ is designated as ‘regulated waste’ in Queensland, ‘listed waste’ in South Australia, ‘controlled waste’ in Tasmania and Western Australia, and as ‘prescribed industrial waste’ in Victoria.” </w:t>
      </w:r>
    </w:p>
    <w:p w:rsidR="006A33FC" w:rsidRDefault="006A33FC" w:rsidP="006A33FC">
      <w:pPr>
        <w:pStyle w:val="ParaIndent"/>
      </w:pPr>
      <w:r>
        <w:t xml:space="preserve">In 2013 the </w:t>
      </w:r>
      <w:r w:rsidRPr="006A33FC">
        <w:rPr>
          <w:i/>
        </w:rPr>
        <w:t>Hazardous Waste Data Summary</w:t>
      </w:r>
      <w:r>
        <w:t xml:space="preserve"> (KMH, 2013) – and the companion </w:t>
      </w:r>
      <w:r w:rsidRPr="006A33FC">
        <w:rPr>
          <w:i/>
        </w:rPr>
        <w:t>Hazardous Waste Data Assessment</w:t>
      </w:r>
      <w:r>
        <w:t xml:space="preserve"> – studied the information on hazardous waste generation in Australia, including waste that </w:t>
      </w:r>
      <w:r w:rsidR="00B065B3">
        <w:t xml:space="preserve">is </w:t>
      </w:r>
      <w:proofErr w:type="gramStart"/>
      <w:r>
        <w:t>disposed/</w:t>
      </w:r>
      <w:r w:rsidR="00B065B3">
        <w:t>treated</w:t>
      </w:r>
      <w:proofErr w:type="gramEnd"/>
      <w:r>
        <w:t xml:space="preserve"> within one jurisdiction</w:t>
      </w:r>
      <w:r w:rsidR="00B065B3">
        <w:t xml:space="preserve"> and that crosses state, territory or national borders</w:t>
      </w:r>
      <w:r>
        <w:t>. It found little data has been collated and published on intrastate hazardous waste generation and highlighted the challenge posed by inconsistencies in waste classification, data collection and waste tracking systems.</w:t>
      </w:r>
    </w:p>
    <w:p w:rsidR="006A33FC" w:rsidRDefault="006A33FC" w:rsidP="00373DBF">
      <w:pPr>
        <w:pStyle w:val="ParaIndent"/>
      </w:pPr>
      <w:r>
        <w:t>The authors were required to make a number of assumptions to fill data gaps in order to estimate the total amount of hazardous waste generated within Australia. The data compilation in the assessment report, based on jurisdictions’ available tracking system data, estimated almost 4.4 million tonnes of hazardous waste were generated in Australia in 2010-11. The summary report’s attempt to normalise the data</w:t>
      </w:r>
      <w:r w:rsidR="00373DBF">
        <w:t>, by applying</w:t>
      </w:r>
      <w:r w:rsidR="00E5158E">
        <w:t xml:space="preserve"> standard definitions and </w:t>
      </w:r>
      <w:r w:rsidR="00373DBF">
        <w:t xml:space="preserve">using </w:t>
      </w:r>
      <w:r w:rsidR="00E5158E">
        <w:t xml:space="preserve">estimations to </w:t>
      </w:r>
      <w:r w:rsidR="00373DBF">
        <w:t>cover gaps,</w:t>
      </w:r>
      <w:r>
        <w:t xml:space="preserve"> </w:t>
      </w:r>
      <w:r w:rsidR="00B065B3">
        <w:t>increase the</w:t>
      </w:r>
      <w:r>
        <w:t xml:space="preserve"> generation figure </w:t>
      </w:r>
      <w:r w:rsidR="008107E9">
        <w:t xml:space="preserve">by </w:t>
      </w:r>
      <w:r w:rsidR="00B065B3">
        <w:t>49% to</w:t>
      </w:r>
      <w:r>
        <w:t xml:space="preserve"> 6.46 million tonnes, with </w:t>
      </w:r>
      <w:r w:rsidR="00373DBF">
        <w:t xml:space="preserve">all </w:t>
      </w:r>
      <w:r>
        <w:t xml:space="preserve">the variation coming from </w:t>
      </w:r>
      <w:r w:rsidR="001E4A1A">
        <w:t>movements inside state and territory border</w:t>
      </w:r>
      <w:r w:rsidR="008107E9">
        <w:t>.</w:t>
      </w:r>
      <w:r w:rsidR="001E4A1A">
        <w:t xml:space="preserve"> In effect, intrastate tracking regimes did not track 2.06 million tonnes of hazardous waste.</w:t>
      </w:r>
    </w:p>
    <w:p w:rsidR="006A33FC" w:rsidRDefault="00B065B3" w:rsidP="00B065B3">
      <w:pPr>
        <w:pStyle w:val="ParaIndent"/>
      </w:pPr>
      <w:r>
        <w:t xml:space="preserve">There was no consistent </w:t>
      </w:r>
      <w:r w:rsidR="003C2F4C">
        <w:t>bias</w:t>
      </w:r>
      <w:r>
        <w:t>. T</w:t>
      </w:r>
      <w:r w:rsidR="00373DBF">
        <w:t>he assessment report</w:t>
      </w:r>
      <w:r w:rsidR="006A33FC">
        <w:t xml:space="preserve"> estimated </w:t>
      </w:r>
      <w:r>
        <w:t xml:space="preserve">that </w:t>
      </w:r>
      <w:r w:rsidR="006A33FC">
        <w:t xml:space="preserve">NSW generated 260,920 tonnes of hazardous waste in 2010-11, but </w:t>
      </w:r>
      <w:r w:rsidR="00373DBF">
        <w:t>the summary</w:t>
      </w:r>
      <w:r>
        <w:t xml:space="preserve"> report</w:t>
      </w:r>
      <w:r w:rsidR="00373DBF">
        <w:t xml:space="preserve"> </w:t>
      </w:r>
      <w:r w:rsidR="006A33FC">
        <w:t xml:space="preserve">normalised that to 1.59 million tonnes by including a number of exempted wastes, such as contaminated soils, waste oils, batteries and clinical waste. Victoria and Western Australia each generated around 950,000 tonnes, according to their </w:t>
      </w:r>
      <w:r w:rsidR="00373DBF">
        <w:t xml:space="preserve">respective </w:t>
      </w:r>
      <w:r w:rsidR="006A33FC">
        <w:t>tracking system data, but normalisation in</w:t>
      </w:r>
      <w:r w:rsidR="00373DBF">
        <w:t>creased generation in Victoria  to 1.33 million tonnes</w:t>
      </w:r>
      <w:r w:rsidR="006A33FC">
        <w:t xml:space="preserve"> and r</w:t>
      </w:r>
      <w:r w:rsidR="00373DBF">
        <w:t>educed it in Western Australia to 760,000 tonnes</w:t>
      </w:r>
      <w:r w:rsidR="006A33FC">
        <w:t>. Or take Queensland, where data from the tracking system claimed 2010-11 ge</w:t>
      </w:r>
      <w:r>
        <w:t>neration of 1.45 million tonnes and</w:t>
      </w:r>
      <w:r w:rsidR="006A33FC">
        <w:t xml:space="preserve"> the normalisation exercise increased that to 1.93 million</w:t>
      </w:r>
      <w:r>
        <w:t xml:space="preserve"> – only for </w:t>
      </w:r>
      <w:r w:rsidR="006A33FC">
        <w:t xml:space="preserve">state government figures </w:t>
      </w:r>
      <w:r>
        <w:t xml:space="preserve">released </w:t>
      </w:r>
      <w:r w:rsidR="006A33FC">
        <w:t>two years</w:t>
      </w:r>
      <w:r w:rsidR="00F814DC">
        <w:t xml:space="preserve"> later </w:t>
      </w:r>
      <w:r>
        <w:t xml:space="preserve">to </w:t>
      </w:r>
      <w:r w:rsidR="00F814DC">
        <w:t>put it at 921,000 tonnes</w:t>
      </w:r>
      <w:r w:rsidR="00F814DC">
        <w:rPr>
          <w:rStyle w:val="FootnoteReference"/>
        </w:rPr>
        <w:footnoteReference w:id="1"/>
      </w:r>
      <w:r w:rsidR="006A33FC">
        <w:t>.</w:t>
      </w:r>
    </w:p>
    <w:p w:rsidR="005E5943" w:rsidRDefault="006A33FC" w:rsidP="005E5943">
      <w:pPr>
        <w:pStyle w:val="ParaIndent"/>
      </w:pPr>
      <w:r>
        <w:t>The report also pointed to a potential lack of coordination within regulatory agencie</w:t>
      </w:r>
      <w:r w:rsidR="00B065B3">
        <w:t>s between regulatory personnel,</w:t>
      </w:r>
      <w:r>
        <w:t xml:space="preserve"> who manage the data</w:t>
      </w:r>
      <w:r w:rsidR="00B065B3">
        <w:t xml:space="preserve"> tracking and collation systems,</w:t>
      </w:r>
      <w:r>
        <w:t xml:space="preserve"> and those </w:t>
      </w:r>
      <w:r w:rsidR="00B065B3">
        <w:t xml:space="preserve">seeking </w:t>
      </w:r>
      <w:r>
        <w:t>strategic information from analysis of this data. I</w:t>
      </w:r>
      <w:r w:rsidR="006E633F">
        <w:t xml:space="preserve">t recommended, but did not detail, </w:t>
      </w:r>
      <w:r>
        <w:t xml:space="preserve">exploring </w:t>
      </w:r>
      <w:r w:rsidR="006E633F">
        <w:t xml:space="preserve">cooperative </w:t>
      </w:r>
      <w:r>
        <w:t>federal</w:t>
      </w:r>
      <w:r w:rsidR="00B065B3">
        <w:t>-</w:t>
      </w:r>
      <w:r>
        <w:t xml:space="preserve">state government projects </w:t>
      </w:r>
      <w:r w:rsidR="005E5943">
        <w:t>“</w:t>
      </w:r>
      <w:r>
        <w:t xml:space="preserve">with a view </w:t>
      </w:r>
      <w:r w:rsidR="005E5943" w:rsidRPr="005E5943">
        <w:t>to analysing hazardous waste data both at the collated and individual transaction level (if appropriate), to assist in informing future waste management policy and priorities</w:t>
      </w:r>
      <w:r w:rsidR="005E5943">
        <w:t>”</w:t>
      </w:r>
      <w:r w:rsidR="005E5943" w:rsidRPr="005E5943">
        <w:t>.</w:t>
      </w:r>
    </w:p>
    <w:p w:rsidR="006A33FC" w:rsidRDefault="006A33FC" w:rsidP="006A33FC">
      <w:pPr>
        <w:pStyle w:val="ParaIndent"/>
      </w:pPr>
      <w:r>
        <w:t>In 2014, Blue Environment et al mapped the jurisdictional classification and coding of hazardous wastes to their appropriate category under the Basel Convention</w:t>
      </w:r>
      <w:r w:rsidR="00B361B5">
        <w:t>’s 47 Y-codes</w:t>
      </w:r>
      <w:r>
        <w:t xml:space="preserve">. The conversion was designed to assist in the compilation of standardised jurisdictional and national reports, suitable for publication by the Federal Government and for provision to the Basel Convention secretariat. Among recommendations relevant to this study </w:t>
      </w:r>
      <w:r w:rsidR="00373DBF">
        <w:t>we</w:t>
      </w:r>
      <w:r>
        <w:t>re:</w:t>
      </w:r>
    </w:p>
    <w:p w:rsidR="006A33FC" w:rsidRDefault="00FB119C" w:rsidP="006A33FC">
      <w:pPr>
        <w:pStyle w:val="PointsBullets"/>
      </w:pPr>
      <w:r>
        <w:t>c</w:t>
      </w:r>
      <w:r w:rsidR="006A33FC">
        <w:t>onsider mechanisms for obtaining ongoing data on the fate of hazardous waste in order to eliminate the discrepancies between the data presented for Basel and the (then) proposed National Waste Data System</w:t>
      </w:r>
    </w:p>
    <w:p w:rsidR="005B4BF4" w:rsidRDefault="00FB119C" w:rsidP="005B4BF4">
      <w:pPr>
        <w:pStyle w:val="PointsBullets"/>
      </w:pPr>
      <w:proofErr w:type="gramStart"/>
      <w:r>
        <w:t>a</w:t>
      </w:r>
      <w:r w:rsidR="006A33FC">
        <w:t>ddress</w:t>
      </w:r>
      <w:proofErr w:type="gramEnd"/>
      <w:r w:rsidR="006A33FC">
        <w:t xml:space="preserve"> deficiencies in data recording and tracking in relation to contaminated soils </w:t>
      </w:r>
      <w:r w:rsidR="005B4BF4">
        <w:t xml:space="preserve">(all jurisdictions except Victoria) </w:t>
      </w:r>
      <w:r w:rsidR="006A33FC">
        <w:t>and asbestos (WA and NSW</w:t>
      </w:r>
      <w:r w:rsidR="005B4BF4">
        <w:t>).</w:t>
      </w:r>
    </w:p>
    <w:p w:rsidR="006A33FC" w:rsidRDefault="006A33FC" w:rsidP="00EB44ED">
      <w:pPr>
        <w:pStyle w:val="ParaIndent"/>
      </w:pPr>
      <w:r>
        <w:lastRenderedPageBreak/>
        <w:t xml:space="preserve">In 2015 the </w:t>
      </w:r>
      <w:r w:rsidRPr="00F814DC">
        <w:rPr>
          <w:i/>
        </w:rPr>
        <w:t>Hazardous Waste Infrastructure Need</w:t>
      </w:r>
      <w:r w:rsidR="00765BA0">
        <w:rPr>
          <w:i/>
        </w:rPr>
        <w:t>s and Capacity</w:t>
      </w:r>
      <w:r w:rsidRPr="00F814DC">
        <w:rPr>
          <w:i/>
        </w:rPr>
        <w:t xml:space="preserve"> Assessment</w:t>
      </w:r>
      <w:r>
        <w:t xml:space="preserve"> (Blue Environment et al) provided DoE with an indication of Australia’s capacity </w:t>
      </w:r>
      <w:r w:rsidR="007029A6">
        <w:t>and shortcomings in the</w:t>
      </w:r>
      <w:r>
        <w:t xml:space="preserve"> manage</w:t>
      </w:r>
      <w:r w:rsidR="007029A6">
        <w:t>ment of</w:t>
      </w:r>
      <w:r>
        <w:t xml:space="preserve"> hazardous waste. </w:t>
      </w:r>
      <w:r w:rsidR="007029A6">
        <w:t>It</w:t>
      </w:r>
      <w:r>
        <w:t xml:space="preserve"> </w:t>
      </w:r>
      <w:r w:rsidR="00EB44ED">
        <w:t>reiterated</w:t>
      </w:r>
      <w:r>
        <w:t xml:space="preserve"> limitations relat</w:t>
      </w:r>
      <w:r w:rsidR="00EB44ED">
        <w:t>ing</w:t>
      </w:r>
      <w:r>
        <w:t xml:space="preserve"> to hazardous waste data that could potentially be resolved with a uniform hazardous wa</w:t>
      </w:r>
      <w:r w:rsidR="00EB44ED">
        <w:t>ste tracking system, including d</w:t>
      </w:r>
      <w:r>
        <w:t xml:space="preserve">ifferences </w:t>
      </w:r>
      <w:r w:rsidR="00EB44ED">
        <w:t xml:space="preserve">in </w:t>
      </w:r>
      <w:r>
        <w:t>track</w:t>
      </w:r>
      <w:r w:rsidR="00EB44ED">
        <w:t>ing</w:t>
      </w:r>
      <w:r>
        <w:t xml:space="preserve"> and </w:t>
      </w:r>
      <w:r w:rsidR="00EB44ED">
        <w:t xml:space="preserve">classification methods, </w:t>
      </w:r>
      <w:r>
        <w:t xml:space="preserve">imperfect industry compliance </w:t>
      </w:r>
      <w:r w:rsidR="00EB44ED">
        <w:t>(</w:t>
      </w:r>
      <w:r>
        <w:t>especially in the early years of system operation</w:t>
      </w:r>
      <w:r w:rsidR="00EB44ED">
        <w:t xml:space="preserve">) and </w:t>
      </w:r>
      <w:r w:rsidR="005B4BF4">
        <w:t>differences in the codes.</w:t>
      </w:r>
    </w:p>
    <w:p w:rsidR="00EB44ED" w:rsidRDefault="00EB44ED" w:rsidP="0092072D">
      <w:pPr>
        <w:pStyle w:val="PointsBullets"/>
        <w:numPr>
          <w:ilvl w:val="0"/>
          <w:numId w:val="0"/>
        </w:numPr>
        <w:ind w:left="1134"/>
      </w:pPr>
      <w:r>
        <w:t xml:space="preserve">The report projected </w:t>
      </w:r>
      <w:r w:rsidR="005B4BF4">
        <w:t xml:space="preserve">2.8% </w:t>
      </w:r>
      <w:r w:rsidRPr="00EB44ED">
        <w:t xml:space="preserve">average </w:t>
      </w:r>
      <w:r w:rsidR="00BA788A">
        <w:t xml:space="preserve">annual </w:t>
      </w:r>
      <w:r w:rsidRPr="00EB44ED">
        <w:t xml:space="preserve">growth </w:t>
      </w:r>
      <w:r w:rsidR="005B4BF4">
        <w:t xml:space="preserve">in hazardous waste volumes </w:t>
      </w:r>
      <w:r w:rsidR="00BA788A">
        <w:t xml:space="preserve">over the next 20 years, </w:t>
      </w:r>
      <w:r w:rsidR="00BA788A" w:rsidRPr="00BA788A">
        <w:t xml:space="preserve">from about 5.7 million tonnes (Mt) in 2013-14 </w:t>
      </w:r>
      <w:r w:rsidR="00BA788A">
        <w:t xml:space="preserve">up </w:t>
      </w:r>
      <w:r w:rsidR="00BA788A" w:rsidRPr="00BA788A">
        <w:t>to 9.9 Mt</w:t>
      </w:r>
      <w:r w:rsidR="00BA788A">
        <w:t xml:space="preserve"> in </w:t>
      </w:r>
      <w:r>
        <w:t>20</w:t>
      </w:r>
      <w:r w:rsidR="00BA788A">
        <w:t>33-34.</w:t>
      </w:r>
      <w:r w:rsidR="0092072D">
        <w:t xml:space="preserve"> </w:t>
      </w:r>
      <w:r>
        <w:t>Of t</w:t>
      </w:r>
      <w:r w:rsidRPr="00EB44ED">
        <w:t xml:space="preserve">he </w:t>
      </w:r>
      <w:r w:rsidR="00CA66A4">
        <w:t>largest</w:t>
      </w:r>
      <w:r w:rsidRPr="00EB44ED">
        <w:t xml:space="preserve"> six </w:t>
      </w:r>
      <w:r w:rsidR="008107E9">
        <w:t>waste types</w:t>
      </w:r>
      <w:r w:rsidR="00CA66A4">
        <w:t xml:space="preserve"> </w:t>
      </w:r>
      <w:r w:rsidRPr="00EB44ED">
        <w:t>–</w:t>
      </w:r>
      <w:r>
        <w:t xml:space="preserve"> </w:t>
      </w:r>
      <w:r w:rsidRPr="00EB44ED">
        <w:t>oils, contaminated soils, asbestos</w:t>
      </w:r>
      <w:r>
        <w:t>,</w:t>
      </w:r>
      <w:r w:rsidRPr="00EB44ED">
        <w:t xml:space="preserve"> alkalis, </w:t>
      </w:r>
      <w:r>
        <w:t xml:space="preserve">grease trap waste </w:t>
      </w:r>
      <w:r w:rsidRPr="00EB44ED">
        <w:t>and tyres</w:t>
      </w:r>
      <w:r>
        <w:t xml:space="preserve"> – the first three are subject to various tracking exemptions and exclusions. </w:t>
      </w:r>
      <w:r w:rsidR="008107E9">
        <w:t>The report</w:t>
      </w:r>
      <w:r w:rsidR="00CA66A4">
        <w:t xml:space="preserve"> also flagged </w:t>
      </w:r>
      <w:r>
        <w:t>a range of emerging wastes that are currently not tracked:</w:t>
      </w:r>
    </w:p>
    <w:p w:rsidR="00EB44ED" w:rsidRDefault="007029A6" w:rsidP="00CA66A4">
      <w:pPr>
        <w:pStyle w:val="PointsBullets"/>
        <w:numPr>
          <w:ilvl w:val="2"/>
          <w:numId w:val="61"/>
        </w:numPr>
        <w:ind w:left="1494"/>
      </w:pPr>
      <w:r w:rsidRPr="006E633F">
        <w:t xml:space="preserve">new Stockholm Convention </w:t>
      </w:r>
      <w:r w:rsidR="00EB44ED">
        <w:t>wastes</w:t>
      </w:r>
      <w:r w:rsidR="00CA66A4">
        <w:t xml:space="preserve"> the Federal Government is assessing for ratification</w:t>
      </w:r>
      <w:r w:rsidR="00EB44ED">
        <w:t>, including HBCDs (</w:t>
      </w:r>
      <w:proofErr w:type="spellStart"/>
      <w:r w:rsidR="004B431D">
        <w:t>eg</w:t>
      </w:r>
      <w:proofErr w:type="spellEnd"/>
      <w:r w:rsidR="004B431D">
        <w:t xml:space="preserve"> </w:t>
      </w:r>
      <w:proofErr w:type="spellStart"/>
      <w:r w:rsidR="00EB44ED" w:rsidRPr="00EB44ED">
        <w:t>brominated</w:t>
      </w:r>
      <w:proofErr w:type="spellEnd"/>
      <w:r w:rsidR="00EB44ED" w:rsidRPr="00EB44ED">
        <w:t xml:space="preserve"> flame retardant</w:t>
      </w:r>
      <w:r w:rsidR="00EB44ED">
        <w:t xml:space="preserve">), </w:t>
      </w:r>
      <w:r w:rsidR="00CA66A4" w:rsidRPr="00CA66A4">
        <w:t>Persistent Organic Pollutants</w:t>
      </w:r>
      <w:r w:rsidR="00CA66A4" w:rsidRPr="006E633F">
        <w:t xml:space="preserve"> </w:t>
      </w:r>
      <w:r w:rsidR="00EB44ED" w:rsidRPr="006E633F">
        <w:t>(</w:t>
      </w:r>
      <w:proofErr w:type="spellStart"/>
      <w:r w:rsidR="004B431D">
        <w:t>eg</w:t>
      </w:r>
      <w:proofErr w:type="spellEnd"/>
      <w:r w:rsidR="004B431D">
        <w:t xml:space="preserve"> </w:t>
      </w:r>
      <w:r w:rsidR="00EB44ED" w:rsidRPr="006E633F">
        <w:t xml:space="preserve">recycled plastics in </w:t>
      </w:r>
      <w:proofErr w:type="spellStart"/>
      <w:r w:rsidR="00CA66A4">
        <w:t>ewaste</w:t>
      </w:r>
      <w:proofErr w:type="spellEnd"/>
      <w:r w:rsidR="00CA66A4">
        <w:t>) and PFOs (</w:t>
      </w:r>
      <w:proofErr w:type="spellStart"/>
      <w:r w:rsidR="004B431D">
        <w:t>eg</w:t>
      </w:r>
      <w:proofErr w:type="spellEnd"/>
      <w:r w:rsidR="004B431D">
        <w:t xml:space="preserve"> </w:t>
      </w:r>
      <w:r w:rsidR="00CA66A4">
        <w:t>fire-fighting foams and</w:t>
      </w:r>
      <w:r w:rsidR="00EB44ED" w:rsidRPr="006E633F">
        <w:t xml:space="preserve"> </w:t>
      </w:r>
      <w:proofErr w:type="spellStart"/>
      <w:r w:rsidR="00EB44ED" w:rsidRPr="006E633F">
        <w:t>washwaters</w:t>
      </w:r>
      <w:proofErr w:type="spellEnd"/>
      <w:r w:rsidR="00CA66A4">
        <w:t>)</w:t>
      </w:r>
    </w:p>
    <w:p w:rsidR="00CA66A4" w:rsidRDefault="007029A6" w:rsidP="00CA66A4">
      <w:pPr>
        <w:pStyle w:val="PointsBullets"/>
        <w:numPr>
          <w:ilvl w:val="2"/>
          <w:numId w:val="61"/>
        </w:numPr>
        <w:ind w:left="1494"/>
      </w:pPr>
      <w:r w:rsidRPr="006E633F">
        <w:t xml:space="preserve">contaminated </w:t>
      </w:r>
      <w:proofErr w:type="spellStart"/>
      <w:r w:rsidRPr="006E633F">
        <w:t>biosolids</w:t>
      </w:r>
      <w:proofErr w:type="spellEnd"/>
      <w:r w:rsidRPr="006E633F">
        <w:t xml:space="preserve"> </w:t>
      </w:r>
    </w:p>
    <w:p w:rsidR="007029A6" w:rsidRDefault="007029A6" w:rsidP="00CA66A4">
      <w:pPr>
        <w:pStyle w:val="PointsBullets"/>
        <w:numPr>
          <w:ilvl w:val="2"/>
          <w:numId w:val="61"/>
        </w:numPr>
        <w:ind w:left="1494"/>
      </w:pPr>
      <w:r w:rsidRPr="006E633F">
        <w:t>lithium ion batter</w:t>
      </w:r>
      <w:r w:rsidR="00CA66A4">
        <w:t>ies</w:t>
      </w:r>
    </w:p>
    <w:p w:rsidR="004B431D" w:rsidRDefault="00CA66A4" w:rsidP="004B431D">
      <w:pPr>
        <w:pStyle w:val="PointsBullets"/>
        <w:numPr>
          <w:ilvl w:val="2"/>
          <w:numId w:val="61"/>
        </w:numPr>
        <w:ind w:left="1494"/>
      </w:pPr>
      <w:proofErr w:type="gramStart"/>
      <w:r>
        <w:t>non-toxic</w:t>
      </w:r>
      <w:proofErr w:type="gramEnd"/>
      <w:r>
        <w:t xml:space="preserve"> salts from c</w:t>
      </w:r>
      <w:r w:rsidRPr="00CA66A4">
        <w:t>oal seam gas</w:t>
      </w:r>
      <w:r>
        <w:t>.</w:t>
      </w:r>
    </w:p>
    <w:p w:rsidR="007029A6" w:rsidRDefault="008107E9" w:rsidP="009D664D">
      <w:pPr>
        <w:pStyle w:val="ParaIndent"/>
      </w:pPr>
      <w:r>
        <w:t>This series of</w:t>
      </w:r>
      <w:r w:rsidR="006A33FC">
        <w:t xml:space="preserve"> recent reports highlight how differences in the way Australian jurisdictions classify and track hazardous waste can undermine an accurate assessment of the generation</w:t>
      </w:r>
      <w:r w:rsidR="006153BF">
        <w:t>, flows</w:t>
      </w:r>
      <w:r w:rsidR="006A33FC">
        <w:t xml:space="preserve"> and fate </w:t>
      </w:r>
      <w:r w:rsidR="001B20E1">
        <w:t xml:space="preserve">of this sensitive waste stream. </w:t>
      </w:r>
      <w:r w:rsidR="009D664D">
        <w:t>Some of the emerging waste streams present challenges to tracking systems</w:t>
      </w:r>
      <w:r w:rsidR="00FB119C">
        <w:t xml:space="preserve"> and will need to be carefully considered</w:t>
      </w:r>
      <w:r w:rsidR="009D664D">
        <w:t>, t</w:t>
      </w:r>
      <w:r w:rsidR="00FB119C">
        <w:t>h</w:t>
      </w:r>
      <w:r w:rsidR="009D664D">
        <w:t>ough the</w:t>
      </w:r>
      <w:r w:rsidR="00FB119C">
        <w:t xml:space="preserve"> issues</w:t>
      </w:r>
      <w:r w:rsidR="009D664D">
        <w:t xml:space="preserve"> have not explored here.</w:t>
      </w:r>
      <w:r w:rsidR="00A45BBE">
        <w:t xml:space="preserve"> </w:t>
      </w:r>
      <w:r w:rsidR="00350C10">
        <w:fldChar w:fldCharType="begin"/>
      </w:r>
      <w:r w:rsidR="00DD4FB2">
        <w:instrText xml:space="preserve"> REF _Ref418494855 \h </w:instrText>
      </w:r>
      <w:r w:rsidR="00350C10">
        <w:fldChar w:fldCharType="separate"/>
      </w:r>
      <w:r w:rsidR="00261FA5" w:rsidRPr="006226B1">
        <w:t xml:space="preserve">Table </w:t>
      </w:r>
      <w:r w:rsidR="00261FA5">
        <w:rPr>
          <w:noProof/>
        </w:rPr>
        <w:t>1</w:t>
      </w:r>
      <w:r w:rsidR="00261FA5" w:rsidRPr="006226B1">
        <w:t>-</w:t>
      </w:r>
      <w:r w:rsidR="00261FA5">
        <w:rPr>
          <w:noProof/>
        </w:rPr>
        <w:t>1</w:t>
      </w:r>
      <w:r w:rsidR="00350C10">
        <w:fldChar w:fldCharType="end"/>
      </w:r>
      <w:r w:rsidR="00DD4FB2">
        <w:t xml:space="preserve"> </w:t>
      </w:r>
      <w:r w:rsidR="009215E2">
        <w:t>highlights the top 10 waste streams in terms of the data gaps and exemptions.</w:t>
      </w:r>
    </w:p>
    <w:p w:rsidR="009215E2" w:rsidRDefault="00A45BBE" w:rsidP="00112897">
      <w:pPr>
        <w:pStyle w:val="ParaIndent"/>
      </w:pPr>
      <w:r>
        <w:t xml:space="preserve">This report outlines the various controlled waste tracking systems </w:t>
      </w:r>
      <w:r w:rsidR="00BE390E">
        <w:t xml:space="preserve">currently </w:t>
      </w:r>
      <w:r>
        <w:t xml:space="preserve">in use across Australia and </w:t>
      </w:r>
      <w:r w:rsidR="00BE390E">
        <w:t xml:space="preserve">explores </w:t>
      </w:r>
      <w:r>
        <w:t xml:space="preserve">potential options that could </w:t>
      </w:r>
      <w:r w:rsidR="00BE390E">
        <w:t>deliver</w:t>
      </w:r>
      <w:r>
        <w:t xml:space="preserve"> a more consistent </w:t>
      </w:r>
      <w:r w:rsidR="00BE390E">
        <w:t xml:space="preserve">and holistic </w:t>
      </w:r>
      <w:r>
        <w:t xml:space="preserve">approach </w:t>
      </w:r>
      <w:r w:rsidR="00BE390E">
        <w:t>to tracking</w:t>
      </w:r>
      <w:r>
        <w:t xml:space="preserve"> controlled </w:t>
      </w:r>
      <w:r w:rsidR="00BE390E">
        <w:t>waste</w:t>
      </w:r>
      <w:r>
        <w:t>.</w:t>
      </w:r>
    </w:p>
    <w:p w:rsidR="009215E2" w:rsidRPr="00A45BBE" w:rsidRDefault="009215E2" w:rsidP="009215E2">
      <w:pPr>
        <w:pStyle w:val="Caption"/>
        <w:ind w:left="567" w:firstLine="567"/>
      </w:pPr>
      <w:bookmarkStart w:id="24" w:name="_Ref418494855"/>
      <w:bookmarkStart w:id="25" w:name="_Toc421181762"/>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1</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1</w:t>
      </w:r>
      <w:r w:rsidR="00350C10">
        <w:fldChar w:fldCharType="end"/>
      </w:r>
      <w:bookmarkEnd w:id="24"/>
      <w:r w:rsidRPr="006226B1">
        <w:tab/>
      </w:r>
      <w:proofErr w:type="gramStart"/>
      <w:r w:rsidRPr="00C71463">
        <w:t>The</w:t>
      </w:r>
      <w:proofErr w:type="gramEnd"/>
      <w:r w:rsidRPr="00C71463">
        <w:t xml:space="preserve"> top 10 gaps in </w:t>
      </w:r>
      <w:r>
        <w:t xml:space="preserve">waste tracking </w:t>
      </w:r>
      <w:r w:rsidRPr="00C71463">
        <w:t>coverage (Blue Environment, 2015)</w:t>
      </w:r>
      <w:bookmarkEnd w:id="25"/>
    </w:p>
    <w:tbl>
      <w:tblPr>
        <w:tblStyle w:val="HyderTableStyle"/>
        <w:tblW w:w="0" w:type="auto"/>
        <w:tblInd w:w="1219" w:type="dxa"/>
        <w:tblLook w:val="04A0"/>
      </w:tblPr>
      <w:tblGrid>
        <w:gridCol w:w="2677"/>
        <w:gridCol w:w="5713"/>
      </w:tblGrid>
      <w:tr w:rsidR="009215E2" w:rsidTr="006E633F">
        <w:trPr>
          <w:cnfStyle w:val="100000000000"/>
        </w:trPr>
        <w:tc>
          <w:tcPr>
            <w:tcW w:w="2677" w:type="dxa"/>
          </w:tcPr>
          <w:p w:rsidR="009215E2" w:rsidRPr="00580BFE" w:rsidRDefault="009215E2" w:rsidP="00EF6368">
            <w:pPr>
              <w:spacing w:line="240" w:lineRule="auto"/>
              <w:rPr>
                <w:b/>
                <w:bCs/>
                <w:szCs w:val="18"/>
              </w:rPr>
            </w:pPr>
            <w:r w:rsidRPr="00580BFE">
              <w:rPr>
                <w:b/>
                <w:bCs/>
                <w:szCs w:val="18"/>
              </w:rPr>
              <w:t>Waste</w:t>
            </w:r>
          </w:p>
        </w:tc>
        <w:tc>
          <w:tcPr>
            <w:tcW w:w="5713" w:type="dxa"/>
          </w:tcPr>
          <w:p w:rsidR="009215E2" w:rsidRPr="00580BFE" w:rsidRDefault="009215E2" w:rsidP="00EF6368">
            <w:pPr>
              <w:spacing w:line="240" w:lineRule="auto"/>
              <w:rPr>
                <w:b/>
                <w:bCs/>
                <w:szCs w:val="18"/>
              </w:rPr>
            </w:pPr>
            <w:r>
              <w:rPr>
                <w:b/>
                <w:bCs/>
                <w:szCs w:val="18"/>
              </w:rPr>
              <w:t>Jurisdictions not tracking</w:t>
            </w:r>
          </w:p>
        </w:tc>
      </w:tr>
      <w:tr w:rsidR="009215E2" w:rsidTr="006E633F">
        <w:tc>
          <w:tcPr>
            <w:tcW w:w="2677" w:type="dxa"/>
          </w:tcPr>
          <w:p w:rsidR="009215E2" w:rsidRPr="00580BFE" w:rsidRDefault="009215E2" w:rsidP="00EF6368">
            <w:pPr>
              <w:spacing w:line="240" w:lineRule="auto"/>
              <w:rPr>
                <w:szCs w:val="18"/>
              </w:rPr>
            </w:pPr>
            <w:r w:rsidRPr="00580BFE">
              <w:rPr>
                <w:szCs w:val="18"/>
              </w:rPr>
              <w:t>Asbestos</w:t>
            </w:r>
          </w:p>
        </w:tc>
        <w:tc>
          <w:tcPr>
            <w:tcW w:w="5713" w:type="dxa"/>
          </w:tcPr>
          <w:p w:rsidR="009215E2" w:rsidRPr="00580BFE" w:rsidRDefault="009215E2" w:rsidP="00EF6368">
            <w:pPr>
              <w:spacing w:line="240" w:lineRule="auto"/>
              <w:rPr>
                <w:szCs w:val="18"/>
              </w:rPr>
            </w:pPr>
            <w:r w:rsidRPr="00580BFE">
              <w:rPr>
                <w:szCs w:val="18"/>
              </w:rPr>
              <w:t xml:space="preserve">NSW, WA </w:t>
            </w:r>
            <w:r>
              <w:rPr>
                <w:szCs w:val="18"/>
              </w:rPr>
              <w:t xml:space="preserve"> </w:t>
            </w:r>
            <w:r w:rsidRPr="00580BFE">
              <w:rPr>
                <w:sz w:val="16"/>
                <w:szCs w:val="16"/>
              </w:rPr>
              <w:t>(NSW has just started tracking)</w:t>
            </w:r>
          </w:p>
        </w:tc>
      </w:tr>
      <w:tr w:rsidR="009215E2" w:rsidTr="006E633F">
        <w:tc>
          <w:tcPr>
            <w:tcW w:w="2677" w:type="dxa"/>
          </w:tcPr>
          <w:p w:rsidR="009215E2" w:rsidRPr="00580BFE" w:rsidRDefault="009215E2" w:rsidP="00EF6368">
            <w:pPr>
              <w:spacing w:line="240" w:lineRule="auto"/>
              <w:rPr>
                <w:szCs w:val="18"/>
              </w:rPr>
            </w:pPr>
            <w:r w:rsidRPr="00580BFE">
              <w:rPr>
                <w:szCs w:val="18"/>
              </w:rPr>
              <w:t>Contaminated soils</w:t>
            </w:r>
          </w:p>
        </w:tc>
        <w:tc>
          <w:tcPr>
            <w:tcW w:w="5713" w:type="dxa"/>
          </w:tcPr>
          <w:p w:rsidR="009215E2" w:rsidRPr="00580BFE" w:rsidRDefault="009215E2" w:rsidP="00EF6368">
            <w:pPr>
              <w:spacing w:line="240" w:lineRule="auto"/>
              <w:rPr>
                <w:szCs w:val="18"/>
              </w:rPr>
            </w:pPr>
            <w:r w:rsidRPr="00580BFE">
              <w:rPr>
                <w:szCs w:val="18"/>
              </w:rPr>
              <w:t>NSW, WA, Qld</w:t>
            </w:r>
          </w:p>
        </w:tc>
      </w:tr>
      <w:tr w:rsidR="009215E2" w:rsidTr="006E633F">
        <w:tc>
          <w:tcPr>
            <w:tcW w:w="2677" w:type="dxa"/>
          </w:tcPr>
          <w:p w:rsidR="009215E2" w:rsidRPr="00580BFE" w:rsidRDefault="009215E2" w:rsidP="00EF6368">
            <w:pPr>
              <w:spacing w:line="240" w:lineRule="auto"/>
              <w:rPr>
                <w:szCs w:val="18"/>
              </w:rPr>
            </w:pPr>
            <w:r w:rsidRPr="00580BFE">
              <w:rPr>
                <w:szCs w:val="18"/>
              </w:rPr>
              <w:t>Grease trap</w:t>
            </w:r>
          </w:p>
        </w:tc>
        <w:tc>
          <w:tcPr>
            <w:tcW w:w="5713" w:type="dxa"/>
          </w:tcPr>
          <w:p w:rsidR="009215E2" w:rsidRPr="00580BFE" w:rsidRDefault="009215E2" w:rsidP="00EF6368">
            <w:pPr>
              <w:spacing w:line="240" w:lineRule="auto"/>
              <w:rPr>
                <w:szCs w:val="18"/>
              </w:rPr>
            </w:pPr>
            <w:r w:rsidRPr="00580BFE">
              <w:rPr>
                <w:szCs w:val="18"/>
              </w:rPr>
              <w:t>NSW, SA</w:t>
            </w:r>
          </w:p>
        </w:tc>
      </w:tr>
      <w:tr w:rsidR="009215E2" w:rsidTr="006E633F">
        <w:tc>
          <w:tcPr>
            <w:tcW w:w="2677" w:type="dxa"/>
          </w:tcPr>
          <w:p w:rsidR="009215E2" w:rsidRPr="00580BFE" w:rsidRDefault="009215E2" w:rsidP="00EF6368">
            <w:pPr>
              <w:spacing w:line="240" w:lineRule="auto"/>
              <w:rPr>
                <w:szCs w:val="18"/>
              </w:rPr>
            </w:pPr>
            <w:r w:rsidRPr="00580BFE">
              <w:rPr>
                <w:szCs w:val="18"/>
              </w:rPr>
              <w:t>Animal effluent &amp; residues</w:t>
            </w:r>
          </w:p>
        </w:tc>
        <w:tc>
          <w:tcPr>
            <w:tcW w:w="5713" w:type="dxa"/>
          </w:tcPr>
          <w:p w:rsidR="009215E2" w:rsidRPr="00580BFE" w:rsidRDefault="009215E2" w:rsidP="00EF6368">
            <w:pPr>
              <w:spacing w:line="240" w:lineRule="auto"/>
              <w:rPr>
                <w:szCs w:val="18"/>
              </w:rPr>
            </w:pPr>
            <w:r w:rsidRPr="00580BFE">
              <w:rPr>
                <w:szCs w:val="18"/>
              </w:rPr>
              <w:t>NSW</w:t>
            </w:r>
          </w:p>
        </w:tc>
      </w:tr>
      <w:tr w:rsidR="009215E2" w:rsidTr="006E633F">
        <w:tc>
          <w:tcPr>
            <w:tcW w:w="2677" w:type="dxa"/>
          </w:tcPr>
          <w:p w:rsidR="009215E2" w:rsidRPr="00580BFE" w:rsidRDefault="009215E2" w:rsidP="00EF6368">
            <w:pPr>
              <w:spacing w:line="240" w:lineRule="auto"/>
              <w:rPr>
                <w:szCs w:val="18"/>
              </w:rPr>
            </w:pPr>
            <w:r w:rsidRPr="00580BFE">
              <w:rPr>
                <w:szCs w:val="18"/>
              </w:rPr>
              <w:t xml:space="preserve">Contaminated </w:t>
            </w:r>
            <w:proofErr w:type="spellStart"/>
            <w:r w:rsidRPr="00580BFE">
              <w:rPr>
                <w:szCs w:val="18"/>
              </w:rPr>
              <w:t>biosolids</w:t>
            </w:r>
            <w:proofErr w:type="spellEnd"/>
          </w:p>
        </w:tc>
        <w:tc>
          <w:tcPr>
            <w:tcW w:w="5713" w:type="dxa"/>
          </w:tcPr>
          <w:p w:rsidR="009215E2" w:rsidRPr="00580BFE" w:rsidRDefault="009215E2" w:rsidP="00EF6368">
            <w:pPr>
              <w:spacing w:line="240" w:lineRule="auto"/>
              <w:rPr>
                <w:szCs w:val="18"/>
              </w:rPr>
            </w:pPr>
            <w:r w:rsidRPr="00580BFE">
              <w:rPr>
                <w:szCs w:val="18"/>
              </w:rPr>
              <w:t>All</w:t>
            </w:r>
          </w:p>
        </w:tc>
      </w:tr>
      <w:tr w:rsidR="009215E2" w:rsidTr="006E633F">
        <w:tc>
          <w:tcPr>
            <w:tcW w:w="2677" w:type="dxa"/>
          </w:tcPr>
          <w:p w:rsidR="009215E2" w:rsidRPr="00580BFE" w:rsidRDefault="009215E2" w:rsidP="00EF6368">
            <w:pPr>
              <w:spacing w:line="240" w:lineRule="auto"/>
              <w:rPr>
                <w:szCs w:val="18"/>
              </w:rPr>
            </w:pPr>
            <w:r w:rsidRPr="00580BFE">
              <w:rPr>
                <w:szCs w:val="18"/>
              </w:rPr>
              <w:t>Fly ash from power stations</w:t>
            </w:r>
          </w:p>
        </w:tc>
        <w:tc>
          <w:tcPr>
            <w:tcW w:w="5713" w:type="dxa"/>
          </w:tcPr>
          <w:p w:rsidR="009215E2" w:rsidRPr="00580BFE" w:rsidRDefault="009215E2" w:rsidP="00EF6368">
            <w:pPr>
              <w:spacing w:line="240" w:lineRule="auto"/>
              <w:rPr>
                <w:szCs w:val="18"/>
              </w:rPr>
            </w:pPr>
            <w:r w:rsidRPr="00580BFE">
              <w:rPr>
                <w:szCs w:val="18"/>
              </w:rPr>
              <w:t>All</w:t>
            </w:r>
          </w:p>
        </w:tc>
      </w:tr>
      <w:tr w:rsidR="009215E2" w:rsidTr="006E633F">
        <w:tc>
          <w:tcPr>
            <w:tcW w:w="2677" w:type="dxa"/>
          </w:tcPr>
          <w:p w:rsidR="009215E2" w:rsidRPr="00580BFE" w:rsidRDefault="009215E2" w:rsidP="00EF6368">
            <w:pPr>
              <w:spacing w:line="240" w:lineRule="auto"/>
              <w:rPr>
                <w:szCs w:val="18"/>
              </w:rPr>
            </w:pPr>
            <w:r w:rsidRPr="00580BFE">
              <w:rPr>
                <w:szCs w:val="18"/>
              </w:rPr>
              <w:t>Tyres</w:t>
            </w:r>
          </w:p>
        </w:tc>
        <w:tc>
          <w:tcPr>
            <w:tcW w:w="5713" w:type="dxa"/>
          </w:tcPr>
          <w:p w:rsidR="009215E2" w:rsidRPr="00580BFE" w:rsidRDefault="009215E2" w:rsidP="00EF6368">
            <w:pPr>
              <w:spacing w:line="240" w:lineRule="auto"/>
              <w:rPr>
                <w:szCs w:val="18"/>
              </w:rPr>
            </w:pPr>
            <w:r w:rsidRPr="00580BFE">
              <w:rPr>
                <w:szCs w:val="18"/>
              </w:rPr>
              <w:t>NSW, SA, Vic</w:t>
            </w:r>
            <w:r>
              <w:rPr>
                <w:szCs w:val="18"/>
              </w:rPr>
              <w:t xml:space="preserve">toria   </w:t>
            </w:r>
            <w:r w:rsidRPr="00580BFE">
              <w:rPr>
                <w:sz w:val="16"/>
                <w:szCs w:val="16"/>
              </w:rPr>
              <w:t>(NSW has started tracking)</w:t>
            </w:r>
          </w:p>
        </w:tc>
      </w:tr>
      <w:tr w:rsidR="009215E2" w:rsidTr="006E633F">
        <w:tc>
          <w:tcPr>
            <w:tcW w:w="2677" w:type="dxa"/>
          </w:tcPr>
          <w:p w:rsidR="009215E2" w:rsidRPr="00580BFE" w:rsidRDefault="009215E2" w:rsidP="00EF6368">
            <w:pPr>
              <w:spacing w:line="240" w:lineRule="auto"/>
              <w:rPr>
                <w:szCs w:val="18"/>
              </w:rPr>
            </w:pPr>
            <w:r w:rsidRPr="00580BFE">
              <w:rPr>
                <w:szCs w:val="18"/>
              </w:rPr>
              <w:t>Clinical waste</w:t>
            </w:r>
          </w:p>
        </w:tc>
        <w:tc>
          <w:tcPr>
            <w:tcW w:w="5713" w:type="dxa"/>
          </w:tcPr>
          <w:p w:rsidR="009215E2" w:rsidRPr="00580BFE" w:rsidRDefault="009215E2" w:rsidP="00EF6368">
            <w:pPr>
              <w:spacing w:line="240" w:lineRule="auto"/>
              <w:rPr>
                <w:szCs w:val="18"/>
              </w:rPr>
            </w:pPr>
            <w:r w:rsidRPr="00580BFE">
              <w:rPr>
                <w:szCs w:val="18"/>
              </w:rPr>
              <w:t>NSW</w:t>
            </w:r>
          </w:p>
        </w:tc>
      </w:tr>
      <w:tr w:rsidR="009215E2" w:rsidTr="006E633F">
        <w:tc>
          <w:tcPr>
            <w:tcW w:w="2677" w:type="dxa"/>
          </w:tcPr>
          <w:p w:rsidR="009215E2" w:rsidRPr="00580BFE" w:rsidRDefault="009215E2" w:rsidP="00EF6368">
            <w:pPr>
              <w:spacing w:line="240" w:lineRule="auto"/>
              <w:rPr>
                <w:szCs w:val="18"/>
              </w:rPr>
            </w:pPr>
            <w:r w:rsidRPr="00580BFE">
              <w:rPr>
                <w:szCs w:val="18"/>
              </w:rPr>
              <w:t>Waste pharmaceuticals, drugs &amp; medicines</w:t>
            </w:r>
          </w:p>
        </w:tc>
        <w:tc>
          <w:tcPr>
            <w:tcW w:w="5713" w:type="dxa"/>
          </w:tcPr>
          <w:p w:rsidR="009215E2" w:rsidRPr="00580BFE" w:rsidRDefault="009215E2" w:rsidP="00EF6368">
            <w:pPr>
              <w:spacing w:line="240" w:lineRule="auto"/>
              <w:rPr>
                <w:szCs w:val="18"/>
              </w:rPr>
            </w:pPr>
            <w:r w:rsidRPr="00580BFE">
              <w:rPr>
                <w:szCs w:val="18"/>
              </w:rPr>
              <w:t>NSW</w:t>
            </w:r>
          </w:p>
        </w:tc>
      </w:tr>
      <w:tr w:rsidR="009215E2" w:rsidTr="006E633F">
        <w:tc>
          <w:tcPr>
            <w:tcW w:w="2677" w:type="dxa"/>
          </w:tcPr>
          <w:p w:rsidR="009215E2" w:rsidRPr="00580BFE" w:rsidRDefault="009215E2" w:rsidP="00EF6368">
            <w:pPr>
              <w:spacing w:line="240" w:lineRule="auto"/>
              <w:rPr>
                <w:szCs w:val="18"/>
              </w:rPr>
            </w:pPr>
            <w:r w:rsidRPr="00580BFE">
              <w:rPr>
                <w:szCs w:val="18"/>
              </w:rPr>
              <w:t>Lithium ion batteries</w:t>
            </w:r>
          </w:p>
        </w:tc>
        <w:tc>
          <w:tcPr>
            <w:tcW w:w="5713" w:type="dxa"/>
          </w:tcPr>
          <w:p w:rsidR="009215E2" w:rsidRPr="00580BFE" w:rsidRDefault="009215E2" w:rsidP="00EF6368">
            <w:pPr>
              <w:spacing w:line="240" w:lineRule="auto"/>
              <w:rPr>
                <w:szCs w:val="18"/>
              </w:rPr>
            </w:pPr>
            <w:r w:rsidRPr="00580BFE">
              <w:rPr>
                <w:szCs w:val="18"/>
              </w:rPr>
              <w:t xml:space="preserve">All </w:t>
            </w:r>
            <w:r w:rsidRPr="00580BFE">
              <w:rPr>
                <w:sz w:val="16"/>
                <w:szCs w:val="16"/>
              </w:rPr>
              <w:t>(Not classified as hazardous, but sometimes burst into flames)</w:t>
            </w:r>
          </w:p>
        </w:tc>
      </w:tr>
    </w:tbl>
    <w:p w:rsidR="006E633F" w:rsidRDefault="006E633F">
      <w:r>
        <w:rPr>
          <w:b/>
        </w:rPr>
        <w:br w:type="page"/>
      </w:r>
    </w:p>
    <w:p w:rsidR="00313A2A" w:rsidRDefault="00F814DC" w:rsidP="00F814DC">
      <w:pPr>
        <w:pStyle w:val="Heading1"/>
      </w:pPr>
      <w:bookmarkStart w:id="26" w:name="_Toc421181728"/>
      <w:r>
        <w:lastRenderedPageBreak/>
        <w:t xml:space="preserve">Review of </w:t>
      </w:r>
      <w:r w:rsidR="00101A6F">
        <w:t>j</w:t>
      </w:r>
      <w:r>
        <w:t>urisdictions</w:t>
      </w:r>
      <w:bookmarkEnd w:id="26"/>
    </w:p>
    <w:p w:rsidR="00F814DC" w:rsidRDefault="00F814DC" w:rsidP="00F814DC">
      <w:pPr>
        <w:pStyle w:val="ParaIndent"/>
      </w:pPr>
      <w:r>
        <w:t>The management of controlled waste is governed under regulatory regimes enacted by each jurisdiction and administered by the relevant state or territory agency. Hazardous waste is typically viewed as discrete from broader waste policies and goals</w:t>
      </w:r>
      <w:r w:rsidR="006153BF">
        <w:t xml:space="preserve">, with no </w:t>
      </w:r>
      <w:r>
        <w:t xml:space="preserve">state or territory waste strategies </w:t>
      </w:r>
      <w:r w:rsidR="006153BF">
        <w:t>other than Tasmania</w:t>
      </w:r>
      <w:r>
        <w:t xml:space="preserve"> set</w:t>
      </w:r>
      <w:r w:rsidR="006153BF">
        <w:t>ting any</w:t>
      </w:r>
      <w:r>
        <w:t xml:space="preserve"> management objective</w:t>
      </w:r>
      <w:r w:rsidR="006153BF">
        <w:t>s</w:t>
      </w:r>
      <w:r>
        <w:t xml:space="preserve"> or target</w:t>
      </w:r>
      <w:r w:rsidR="006153BF">
        <w:t>s</w:t>
      </w:r>
      <w:r>
        <w:t xml:space="preserve">, </w:t>
      </w:r>
      <w:r w:rsidR="006153BF">
        <w:t>apart from</w:t>
      </w:r>
      <w:r>
        <w:t xml:space="preserve"> household hazardous wastes.</w:t>
      </w:r>
    </w:p>
    <w:p w:rsidR="00F814DC" w:rsidRDefault="00F814DC" w:rsidP="00F814DC">
      <w:pPr>
        <w:pStyle w:val="ParaIndent"/>
      </w:pPr>
      <w:r>
        <w:t xml:space="preserve">The review of controlled waste tracking practices in Australia jurisdictions has been undertaken to determine the similarities </w:t>
      </w:r>
      <w:r w:rsidR="006153BF">
        <w:t xml:space="preserve">and differences </w:t>
      </w:r>
      <w:r>
        <w:t>in regu</w:t>
      </w:r>
      <w:r w:rsidR="00093774">
        <w:t>lations, policy and procedures.</w:t>
      </w:r>
    </w:p>
    <w:p w:rsidR="00093774" w:rsidRDefault="00093774" w:rsidP="00093774">
      <w:pPr>
        <w:pStyle w:val="Heading2"/>
      </w:pPr>
      <w:bookmarkStart w:id="27" w:name="_Toc421181729"/>
      <w:r>
        <w:t>National</w:t>
      </w:r>
      <w:bookmarkEnd w:id="27"/>
    </w:p>
    <w:p w:rsidR="0026552E" w:rsidRDefault="002362F9" w:rsidP="0026552E">
      <w:pPr>
        <w:pStyle w:val="ParaIndent"/>
      </w:pPr>
      <w:r>
        <w:t>DoE administers Australia’s international treaties</w:t>
      </w:r>
      <w:r w:rsidR="0026552E">
        <w:t xml:space="preserve"> covering hazardous waste</w:t>
      </w:r>
      <w:r>
        <w:t xml:space="preserve">, which include the Basel </w:t>
      </w:r>
      <w:r w:rsidR="0026552E">
        <w:t xml:space="preserve">Convention on the Control of the </w:t>
      </w:r>
      <w:proofErr w:type="spellStart"/>
      <w:r w:rsidR="0026552E">
        <w:t>Transboundary</w:t>
      </w:r>
      <w:proofErr w:type="spellEnd"/>
      <w:r w:rsidR="0026552E">
        <w:t xml:space="preserve"> Movements of Hazardous Waste and their Disposal </w:t>
      </w:r>
      <w:r>
        <w:t xml:space="preserve">and </w:t>
      </w:r>
      <w:r w:rsidRPr="00F74A5B">
        <w:t xml:space="preserve">the </w:t>
      </w:r>
      <w:r w:rsidR="0026552E">
        <w:t xml:space="preserve">equally descriptive </w:t>
      </w:r>
      <w:r w:rsidRPr="00F74A5B">
        <w:t xml:space="preserve">OECD Decision on the Control of </w:t>
      </w:r>
      <w:proofErr w:type="spellStart"/>
      <w:r w:rsidRPr="00F74A5B">
        <w:t>Transfrontier</w:t>
      </w:r>
      <w:proofErr w:type="spellEnd"/>
      <w:r w:rsidRPr="00F74A5B">
        <w:t xml:space="preserve"> Movements of Wastes D</w:t>
      </w:r>
      <w:r w:rsidR="0026552E">
        <w:t>estined for Recovery Operations.</w:t>
      </w:r>
    </w:p>
    <w:p w:rsidR="00E05262" w:rsidRDefault="004B67E0" w:rsidP="00E05262">
      <w:pPr>
        <w:pStyle w:val="ParaIndent"/>
      </w:pPr>
      <w:r>
        <w:t>Basel requires an annual</w:t>
      </w:r>
      <w:r w:rsidR="0026552E">
        <w:t xml:space="preserve"> report on </w:t>
      </w:r>
      <w:r w:rsidR="0026552E" w:rsidRPr="00F74A5B">
        <w:t xml:space="preserve">the international movement of hazardous waste </w:t>
      </w:r>
      <w:r w:rsidR="0026552E">
        <w:t>and basic numbers around domestic waste generation. The OECD framework</w:t>
      </w:r>
      <w:r w:rsidR="002362F9" w:rsidRPr="00F74A5B">
        <w:t xml:space="preserve"> aims to provide a more explicit means of controlling movements of </w:t>
      </w:r>
      <w:r w:rsidR="0026552E" w:rsidRPr="00F74A5B">
        <w:t xml:space="preserve">such </w:t>
      </w:r>
      <w:r w:rsidR="002362F9" w:rsidRPr="00F74A5B">
        <w:t>wastes</w:t>
      </w:r>
      <w:r w:rsidR="002362F9">
        <w:t xml:space="preserve"> by including aspects such as</w:t>
      </w:r>
      <w:r w:rsidR="0026552E">
        <w:t xml:space="preserve"> the</w:t>
      </w:r>
      <w:r w:rsidR="002362F9">
        <w:t xml:space="preserve"> </w:t>
      </w:r>
      <w:r w:rsidR="0026552E">
        <w:t xml:space="preserve">waste’s </w:t>
      </w:r>
      <w:r w:rsidR="002362F9">
        <w:t xml:space="preserve">industry </w:t>
      </w:r>
      <w:r w:rsidR="0026552E">
        <w:t>of origin</w:t>
      </w:r>
      <w:r w:rsidR="002362F9">
        <w:t xml:space="preserve"> </w:t>
      </w:r>
      <w:r w:rsidR="0026552E">
        <w:t>and final fate</w:t>
      </w:r>
      <w:r w:rsidR="002362F9" w:rsidRPr="00F74A5B">
        <w:t>. It adopts the Basel waste definitions for simplicity, but the clarity of the picture is limited by the fact it is does not integrate with Australia’s ANZIC industry codes</w:t>
      </w:r>
      <w:r w:rsidR="00E05262">
        <w:t>, nor</w:t>
      </w:r>
      <w:r w:rsidR="0026552E">
        <w:t xml:space="preserve"> provide any taxonomy around the preference of fates, including whether treatment is a final fate or simply a </w:t>
      </w:r>
      <w:proofErr w:type="spellStart"/>
      <w:r w:rsidR="0026552E">
        <w:t>waystation</w:t>
      </w:r>
      <w:proofErr w:type="spellEnd"/>
      <w:r w:rsidR="0026552E">
        <w:t>.</w:t>
      </w:r>
    </w:p>
    <w:p w:rsidR="00093774" w:rsidRDefault="0026552E" w:rsidP="00E05262">
      <w:pPr>
        <w:pStyle w:val="ParaIndent"/>
      </w:pPr>
      <w:r>
        <w:t>DoE</w:t>
      </w:r>
      <w:r w:rsidR="002362F9">
        <w:t xml:space="preserve"> also </w:t>
      </w:r>
      <w:r w:rsidR="00093774">
        <w:t xml:space="preserve">administers and implements the federal </w:t>
      </w:r>
      <w:r w:rsidR="00093774" w:rsidRPr="00A46075">
        <w:rPr>
          <w:i/>
        </w:rPr>
        <w:t>Hazardous Waste (Regulations of Exports and Imports) Act 1989</w:t>
      </w:r>
      <w:r w:rsidR="00093774">
        <w:t xml:space="preserve">, which enables Australia to comply with specific </w:t>
      </w:r>
      <w:r>
        <w:t xml:space="preserve">Basel </w:t>
      </w:r>
      <w:r w:rsidR="00093774">
        <w:t>obl</w:t>
      </w:r>
      <w:r>
        <w:t xml:space="preserve">igations. </w:t>
      </w:r>
      <w:r w:rsidR="00093774">
        <w:t xml:space="preserve">The objective of the Act and regulations is to regulate the export, import and transit of hazardous waste to ensure it is managed in an environmentally sound manner to protect people and the environment, both inside and outside Australia. </w:t>
      </w:r>
    </w:p>
    <w:p w:rsidR="00E05262" w:rsidRDefault="0026552E" w:rsidP="000B66F1">
      <w:pPr>
        <w:pStyle w:val="ParaIndent"/>
      </w:pPr>
      <w:r>
        <w:t>Under the Act</w:t>
      </w:r>
      <w:r w:rsidR="00E05262">
        <w:t>,</w:t>
      </w:r>
      <w:r>
        <w:t xml:space="preserve"> </w:t>
      </w:r>
      <w:r w:rsidR="00F74A5B" w:rsidRPr="00F74A5B">
        <w:t xml:space="preserve">DoE </w:t>
      </w:r>
      <w:r w:rsidR="00E05262">
        <w:t>operates</w:t>
      </w:r>
      <w:r w:rsidR="00F74A5B" w:rsidRPr="00F74A5B">
        <w:t xml:space="preserve"> a </w:t>
      </w:r>
      <w:r w:rsidR="00F844BA">
        <w:t>notification and permit system</w:t>
      </w:r>
      <w:r w:rsidR="002362F9">
        <w:t xml:space="preserve"> for </w:t>
      </w:r>
      <w:r w:rsidR="002362F9" w:rsidRPr="00F74A5B">
        <w:t>internationa</w:t>
      </w:r>
      <w:r w:rsidR="00E05262">
        <w:t>l movements</w:t>
      </w:r>
      <w:r w:rsidR="00F844BA">
        <w:t>, which includes information from the states and territories on issues such as local markets and the</w:t>
      </w:r>
      <w:r w:rsidR="00D506DC">
        <w:t xml:space="preserve"> track record of the applicant. </w:t>
      </w:r>
    </w:p>
    <w:p w:rsidR="00E05262" w:rsidRDefault="002362F9" w:rsidP="000B66F1">
      <w:pPr>
        <w:pStyle w:val="ParaIndent"/>
      </w:pPr>
      <w:r>
        <w:t xml:space="preserve">Finally, DoE </w:t>
      </w:r>
      <w:r w:rsidR="000B66F1">
        <w:t xml:space="preserve">is </w:t>
      </w:r>
      <w:r w:rsidR="00913D23">
        <w:t>an observer</w:t>
      </w:r>
      <w:r w:rsidR="000B66F1">
        <w:t xml:space="preserve"> </w:t>
      </w:r>
      <w:r w:rsidR="000F3F15">
        <w:t xml:space="preserve">member </w:t>
      </w:r>
      <w:r w:rsidR="000B66F1">
        <w:t>of</w:t>
      </w:r>
      <w:r>
        <w:t xml:space="preserve"> the </w:t>
      </w:r>
      <w:r w:rsidR="00D506B8">
        <w:t>multi</w:t>
      </w:r>
      <w:r>
        <w:t xml:space="preserve">-jurisdiction </w:t>
      </w:r>
      <w:r w:rsidRPr="00F74A5B">
        <w:t>National Environment Protection (Controlled Waste between States and Territories) Measure</w:t>
      </w:r>
      <w:r>
        <w:t>, which governs m</w:t>
      </w:r>
      <w:r w:rsidR="00F74A5B" w:rsidRPr="00F74A5B">
        <w:t xml:space="preserve">ovement of hazardous wastes between jurisdictions. </w:t>
      </w:r>
      <w:r w:rsidR="00E05262">
        <w:t>E</w:t>
      </w:r>
      <w:r w:rsidR="00F74A5B" w:rsidRPr="00F74A5B">
        <w:t xml:space="preserve">stablished in July 1998, and last updated in 2010, </w:t>
      </w:r>
      <w:r w:rsidR="00E05262">
        <w:t>the</w:t>
      </w:r>
      <w:r w:rsidR="00E05262" w:rsidRPr="00F74A5B">
        <w:t xml:space="preserve"> NEPM was implemented and administered by the laws and arrangements the participating jurisdictions consider necessary</w:t>
      </w:r>
      <w:r w:rsidR="00E05262">
        <w:t xml:space="preserve">. It </w:t>
      </w:r>
      <w:r w:rsidR="00F74A5B" w:rsidRPr="00F74A5B">
        <w:t>provide</w:t>
      </w:r>
      <w:r w:rsidR="00E05262">
        <w:t>s</w:t>
      </w:r>
      <w:r w:rsidR="00F74A5B" w:rsidRPr="00F74A5B">
        <w:t xml:space="preserve"> a </w:t>
      </w:r>
      <w:r w:rsidR="000F3F15">
        <w:t xml:space="preserve">protocol or </w:t>
      </w:r>
      <w:r w:rsidR="00F74A5B" w:rsidRPr="00F74A5B">
        <w:t>framework for developing and integrating state and territory systems for the management a</w:t>
      </w:r>
      <w:r w:rsidR="00E05262">
        <w:t>nd movement of controlled waste</w:t>
      </w:r>
      <w:r w:rsidR="000B66F1">
        <w:t>.</w:t>
      </w:r>
      <w:r w:rsidR="00E05262">
        <w:t xml:space="preserve"> </w:t>
      </w:r>
    </w:p>
    <w:p w:rsidR="00F74A5B" w:rsidRDefault="00F74A5B" w:rsidP="00093774">
      <w:pPr>
        <w:pStyle w:val="ParaIndent"/>
      </w:pPr>
      <w:r w:rsidRPr="00F74A5B">
        <w:t>There are 75 ‘controlled wastes’ on the NEPM list</w:t>
      </w:r>
      <w:r w:rsidR="00D54C8D">
        <w:t xml:space="preserve"> (Appendix B)</w:t>
      </w:r>
      <w:r w:rsidRPr="00F74A5B">
        <w:t xml:space="preserve">, though by convention there are 15 general categories of NEPM waste that are often used to simplify hazardous waste tracking </w:t>
      </w:r>
      <w:r w:rsidR="00904C2B" w:rsidRPr="00F74A5B">
        <w:t>reporting</w:t>
      </w:r>
      <w:r w:rsidR="00904C2B">
        <w:t xml:space="preserve"> (</w:t>
      </w:r>
      <w:r w:rsidR="00350C10">
        <w:fldChar w:fldCharType="begin"/>
      </w:r>
      <w:r w:rsidR="008107E9">
        <w:instrText xml:space="preserve"> REF _Ref421173216 \h </w:instrText>
      </w:r>
      <w:r w:rsidR="00350C10">
        <w:fldChar w:fldCharType="separate"/>
      </w:r>
      <w:r w:rsidR="00261FA5" w:rsidRPr="006226B1">
        <w:t xml:space="preserve">Table </w:t>
      </w:r>
      <w:r w:rsidR="00261FA5">
        <w:rPr>
          <w:noProof/>
        </w:rPr>
        <w:t>2</w:t>
      </w:r>
      <w:r w:rsidR="00261FA5" w:rsidRPr="006226B1">
        <w:t>-</w:t>
      </w:r>
      <w:r w:rsidR="00261FA5">
        <w:rPr>
          <w:noProof/>
        </w:rPr>
        <w:t>2</w:t>
      </w:r>
      <w:r w:rsidR="00350C10">
        <w:fldChar w:fldCharType="end"/>
      </w:r>
      <w:r w:rsidR="008107E9">
        <w:t>).</w:t>
      </w:r>
    </w:p>
    <w:p w:rsidR="00F74A5B" w:rsidRDefault="00F74A5B" w:rsidP="00F74A5B">
      <w:pPr>
        <w:pStyle w:val="Caption"/>
        <w:ind w:left="1134"/>
      </w:pPr>
      <w:bookmarkStart w:id="28" w:name="_Ref421173216"/>
      <w:bookmarkStart w:id="29" w:name="_Toc421181763"/>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2</w:t>
      </w:r>
      <w:r w:rsidR="00350C10">
        <w:fldChar w:fldCharType="end"/>
      </w:r>
      <w:bookmarkEnd w:id="28"/>
      <w:r w:rsidRPr="006226B1">
        <w:tab/>
      </w:r>
      <w:r>
        <w:t>High level NEPM waste categories</w:t>
      </w:r>
      <w:bookmarkEnd w:id="29"/>
    </w:p>
    <w:tbl>
      <w:tblPr>
        <w:tblStyle w:val="HyderTableStyle1"/>
        <w:tblW w:w="0" w:type="auto"/>
        <w:tblInd w:w="1134" w:type="dxa"/>
        <w:tblLook w:val="04A0"/>
      </w:tblPr>
      <w:tblGrid>
        <w:gridCol w:w="1651"/>
        <w:gridCol w:w="7024"/>
      </w:tblGrid>
      <w:tr w:rsidR="00F74A5B" w:rsidRPr="00F74A5B" w:rsidTr="001E645D">
        <w:trPr>
          <w:cnfStyle w:val="100000000000"/>
        </w:trPr>
        <w:tc>
          <w:tcPr>
            <w:tcW w:w="1651" w:type="dxa"/>
            <w:tcBorders>
              <w:bottom w:val="single" w:sz="12" w:space="0" w:color="FFFFFF" w:themeColor="background1"/>
            </w:tcBorders>
          </w:tcPr>
          <w:p w:rsidR="00F74A5B" w:rsidRPr="00F74A5B" w:rsidRDefault="00F74A5B" w:rsidP="00F74A5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lang w:val="en-GB"/>
              </w:rPr>
            </w:pPr>
            <w:r w:rsidRPr="00F74A5B">
              <w:rPr>
                <w:b/>
                <w:lang w:val="en-GB"/>
              </w:rPr>
              <w:t>NEPM ‘15’ Code</w:t>
            </w:r>
          </w:p>
        </w:tc>
        <w:tc>
          <w:tcPr>
            <w:tcW w:w="7024" w:type="dxa"/>
            <w:tcBorders>
              <w:bottom w:val="single" w:sz="12" w:space="0" w:color="FFFFFF" w:themeColor="background1"/>
            </w:tcBorders>
          </w:tcPr>
          <w:p w:rsidR="00F74A5B" w:rsidRPr="00F74A5B" w:rsidRDefault="00F74A5B" w:rsidP="00F74A5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lang w:val="en-GB"/>
              </w:rPr>
            </w:pPr>
            <w:r w:rsidRPr="00F74A5B">
              <w:rPr>
                <w:b/>
                <w:lang w:val="en-GB"/>
              </w:rPr>
              <w:t>NEPM 15 Waste Description</w:t>
            </w:r>
          </w:p>
        </w:tc>
      </w:tr>
      <w:tr w:rsidR="00F74A5B" w:rsidRPr="00F74A5B" w:rsidTr="001E645D">
        <w:tc>
          <w:tcPr>
            <w:tcW w:w="1651" w:type="dxa"/>
          </w:tcPr>
          <w:p w:rsidR="00F74A5B" w:rsidRPr="00F74A5B" w:rsidRDefault="00F74A5B" w:rsidP="00F74A5B">
            <w:pPr>
              <w:spacing w:after="60"/>
            </w:pPr>
            <w:r w:rsidRPr="00F74A5B">
              <w:t>A</w:t>
            </w:r>
          </w:p>
        </w:tc>
        <w:tc>
          <w:tcPr>
            <w:tcW w:w="7024" w:type="dxa"/>
          </w:tcPr>
          <w:p w:rsidR="00F74A5B" w:rsidRPr="00F74A5B" w:rsidRDefault="00F74A5B" w:rsidP="00F74A5B">
            <w:pPr>
              <w:spacing w:after="60"/>
            </w:pPr>
            <w:r w:rsidRPr="00F74A5B">
              <w:t>Plating and heat treatment</w:t>
            </w:r>
          </w:p>
        </w:tc>
      </w:tr>
      <w:tr w:rsidR="00F74A5B" w:rsidRPr="00F74A5B" w:rsidTr="001E645D">
        <w:tc>
          <w:tcPr>
            <w:tcW w:w="1651" w:type="dxa"/>
          </w:tcPr>
          <w:p w:rsidR="00F74A5B" w:rsidRPr="00F74A5B" w:rsidRDefault="00F74A5B" w:rsidP="00F74A5B">
            <w:pPr>
              <w:spacing w:after="60"/>
            </w:pPr>
            <w:r w:rsidRPr="00F74A5B">
              <w:t>B</w:t>
            </w:r>
          </w:p>
        </w:tc>
        <w:tc>
          <w:tcPr>
            <w:tcW w:w="7024" w:type="dxa"/>
          </w:tcPr>
          <w:p w:rsidR="00F74A5B" w:rsidRPr="00F74A5B" w:rsidRDefault="00F74A5B" w:rsidP="00F74A5B">
            <w:pPr>
              <w:spacing w:after="60"/>
            </w:pPr>
            <w:r w:rsidRPr="00F74A5B">
              <w:t>Acids</w:t>
            </w:r>
          </w:p>
        </w:tc>
      </w:tr>
      <w:tr w:rsidR="00F74A5B" w:rsidRPr="00F74A5B" w:rsidTr="001E645D">
        <w:tc>
          <w:tcPr>
            <w:tcW w:w="1651" w:type="dxa"/>
          </w:tcPr>
          <w:p w:rsidR="00F74A5B" w:rsidRPr="00F74A5B" w:rsidRDefault="00F74A5B" w:rsidP="00F74A5B">
            <w:pPr>
              <w:spacing w:after="60"/>
            </w:pPr>
            <w:r w:rsidRPr="00F74A5B">
              <w:t>C</w:t>
            </w:r>
          </w:p>
        </w:tc>
        <w:tc>
          <w:tcPr>
            <w:tcW w:w="7024" w:type="dxa"/>
          </w:tcPr>
          <w:p w:rsidR="00F74A5B" w:rsidRPr="00F74A5B" w:rsidRDefault="00F74A5B" w:rsidP="00F74A5B">
            <w:pPr>
              <w:spacing w:after="60"/>
            </w:pPr>
            <w:r w:rsidRPr="00F74A5B">
              <w:t>Alkalis</w:t>
            </w:r>
          </w:p>
        </w:tc>
      </w:tr>
      <w:tr w:rsidR="00F74A5B" w:rsidRPr="00F74A5B" w:rsidTr="001E645D">
        <w:tc>
          <w:tcPr>
            <w:tcW w:w="1651" w:type="dxa"/>
          </w:tcPr>
          <w:p w:rsidR="00F74A5B" w:rsidRPr="00F74A5B" w:rsidRDefault="00F74A5B" w:rsidP="00F74A5B">
            <w:pPr>
              <w:spacing w:after="60"/>
            </w:pPr>
            <w:r w:rsidRPr="00F74A5B">
              <w:lastRenderedPageBreak/>
              <w:t>D</w:t>
            </w:r>
          </w:p>
        </w:tc>
        <w:tc>
          <w:tcPr>
            <w:tcW w:w="7024" w:type="dxa"/>
          </w:tcPr>
          <w:p w:rsidR="00F74A5B" w:rsidRPr="00F74A5B" w:rsidRDefault="00F74A5B" w:rsidP="00F74A5B">
            <w:pPr>
              <w:spacing w:after="60"/>
            </w:pPr>
            <w:r w:rsidRPr="00F74A5B">
              <w:t>Inorganic chemicals</w:t>
            </w:r>
          </w:p>
        </w:tc>
      </w:tr>
      <w:tr w:rsidR="00F74A5B" w:rsidRPr="00F74A5B" w:rsidTr="001E645D">
        <w:tc>
          <w:tcPr>
            <w:tcW w:w="1651" w:type="dxa"/>
          </w:tcPr>
          <w:p w:rsidR="00F74A5B" w:rsidRPr="00F74A5B" w:rsidRDefault="00F74A5B" w:rsidP="00F74A5B">
            <w:pPr>
              <w:spacing w:after="60"/>
            </w:pPr>
            <w:r w:rsidRPr="00F74A5B">
              <w:t>E</w:t>
            </w:r>
          </w:p>
        </w:tc>
        <w:tc>
          <w:tcPr>
            <w:tcW w:w="7024" w:type="dxa"/>
          </w:tcPr>
          <w:p w:rsidR="00F74A5B" w:rsidRPr="00F74A5B" w:rsidRDefault="00F74A5B" w:rsidP="00F74A5B">
            <w:pPr>
              <w:spacing w:after="60"/>
            </w:pPr>
            <w:r w:rsidRPr="00F74A5B">
              <w:t>Reactive chemicals</w:t>
            </w:r>
          </w:p>
        </w:tc>
      </w:tr>
      <w:tr w:rsidR="00F74A5B" w:rsidRPr="00F74A5B" w:rsidTr="001E645D">
        <w:tc>
          <w:tcPr>
            <w:tcW w:w="1651" w:type="dxa"/>
          </w:tcPr>
          <w:p w:rsidR="00F74A5B" w:rsidRPr="00F74A5B" w:rsidRDefault="00F74A5B" w:rsidP="00F74A5B">
            <w:pPr>
              <w:spacing w:after="60"/>
            </w:pPr>
            <w:r w:rsidRPr="00F74A5B">
              <w:t>F</w:t>
            </w:r>
          </w:p>
        </w:tc>
        <w:tc>
          <w:tcPr>
            <w:tcW w:w="7024" w:type="dxa"/>
          </w:tcPr>
          <w:p w:rsidR="00F74A5B" w:rsidRPr="00F74A5B" w:rsidRDefault="00F74A5B" w:rsidP="00F74A5B">
            <w:pPr>
              <w:spacing w:after="60"/>
            </w:pPr>
            <w:r w:rsidRPr="00F74A5B">
              <w:t xml:space="preserve">Paints, resins, inks, organic </w:t>
            </w:r>
            <w:proofErr w:type="spellStart"/>
            <w:r w:rsidRPr="00F74A5B">
              <w:t>sludges</w:t>
            </w:r>
            <w:proofErr w:type="spellEnd"/>
          </w:p>
        </w:tc>
      </w:tr>
      <w:tr w:rsidR="00F74A5B" w:rsidRPr="00F74A5B" w:rsidTr="001E645D">
        <w:tc>
          <w:tcPr>
            <w:tcW w:w="1651" w:type="dxa"/>
          </w:tcPr>
          <w:p w:rsidR="00F74A5B" w:rsidRPr="00F74A5B" w:rsidRDefault="00F74A5B" w:rsidP="00F74A5B">
            <w:pPr>
              <w:spacing w:after="60"/>
            </w:pPr>
            <w:r w:rsidRPr="00F74A5B">
              <w:t>G</w:t>
            </w:r>
          </w:p>
        </w:tc>
        <w:tc>
          <w:tcPr>
            <w:tcW w:w="7024" w:type="dxa"/>
          </w:tcPr>
          <w:p w:rsidR="00F74A5B" w:rsidRPr="00F74A5B" w:rsidRDefault="00F74A5B" w:rsidP="00F74A5B">
            <w:pPr>
              <w:spacing w:after="60"/>
            </w:pPr>
            <w:r w:rsidRPr="00F74A5B">
              <w:t>Organic solvents</w:t>
            </w:r>
          </w:p>
        </w:tc>
      </w:tr>
      <w:tr w:rsidR="00F74A5B" w:rsidRPr="00F74A5B" w:rsidTr="001E645D">
        <w:tc>
          <w:tcPr>
            <w:tcW w:w="1651" w:type="dxa"/>
          </w:tcPr>
          <w:p w:rsidR="00F74A5B" w:rsidRPr="00F74A5B" w:rsidRDefault="00F74A5B" w:rsidP="00F74A5B">
            <w:pPr>
              <w:spacing w:after="60"/>
            </w:pPr>
            <w:r w:rsidRPr="00F74A5B">
              <w:t>H</w:t>
            </w:r>
          </w:p>
        </w:tc>
        <w:tc>
          <w:tcPr>
            <w:tcW w:w="7024" w:type="dxa"/>
          </w:tcPr>
          <w:p w:rsidR="00F74A5B" w:rsidRPr="00F74A5B" w:rsidRDefault="00F74A5B" w:rsidP="00F74A5B">
            <w:pPr>
              <w:spacing w:after="60"/>
            </w:pPr>
            <w:r w:rsidRPr="00F74A5B">
              <w:t>Pesticides</w:t>
            </w:r>
          </w:p>
        </w:tc>
      </w:tr>
      <w:tr w:rsidR="00F74A5B" w:rsidRPr="00F74A5B" w:rsidTr="001E645D">
        <w:tc>
          <w:tcPr>
            <w:tcW w:w="1651" w:type="dxa"/>
          </w:tcPr>
          <w:p w:rsidR="00F74A5B" w:rsidRPr="00F74A5B" w:rsidRDefault="00F74A5B" w:rsidP="00F74A5B">
            <w:pPr>
              <w:spacing w:after="60"/>
            </w:pPr>
            <w:r w:rsidRPr="00F74A5B">
              <w:t>J</w:t>
            </w:r>
          </w:p>
        </w:tc>
        <w:tc>
          <w:tcPr>
            <w:tcW w:w="7024" w:type="dxa"/>
          </w:tcPr>
          <w:p w:rsidR="00F74A5B" w:rsidRPr="00F74A5B" w:rsidRDefault="00F74A5B" w:rsidP="00F74A5B">
            <w:pPr>
              <w:spacing w:after="60"/>
            </w:pPr>
            <w:r w:rsidRPr="00F74A5B">
              <w:t>Oils</w:t>
            </w:r>
          </w:p>
        </w:tc>
      </w:tr>
      <w:tr w:rsidR="00F74A5B" w:rsidRPr="00F74A5B" w:rsidTr="001E645D">
        <w:tc>
          <w:tcPr>
            <w:tcW w:w="1651" w:type="dxa"/>
          </w:tcPr>
          <w:p w:rsidR="00F74A5B" w:rsidRPr="00F74A5B" w:rsidRDefault="00F74A5B" w:rsidP="00F74A5B">
            <w:pPr>
              <w:spacing w:after="60"/>
            </w:pPr>
            <w:r w:rsidRPr="00F74A5B">
              <w:t>K</w:t>
            </w:r>
          </w:p>
        </w:tc>
        <w:tc>
          <w:tcPr>
            <w:tcW w:w="7024" w:type="dxa"/>
          </w:tcPr>
          <w:p w:rsidR="00F74A5B" w:rsidRPr="00F74A5B" w:rsidRDefault="00F74A5B" w:rsidP="00F74A5B">
            <w:pPr>
              <w:spacing w:after="60"/>
            </w:pPr>
            <w:proofErr w:type="spellStart"/>
            <w:r w:rsidRPr="00F74A5B">
              <w:t>Putrescible</w:t>
            </w:r>
            <w:proofErr w:type="spellEnd"/>
            <w:r w:rsidRPr="00F74A5B">
              <w:t xml:space="preserve"> / organic waste</w:t>
            </w:r>
          </w:p>
        </w:tc>
      </w:tr>
      <w:tr w:rsidR="00F74A5B" w:rsidRPr="00F74A5B" w:rsidTr="001E645D">
        <w:tc>
          <w:tcPr>
            <w:tcW w:w="1651" w:type="dxa"/>
          </w:tcPr>
          <w:p w:rsidR="00F74A5B" w:rsidRPr="00F74A5B" w:rsidRDefault="00F74A5B" w:rsidP="00F74A5B">
            <w:pPr>
              <w:spacing w:after="60"/>
            </w:pPr>
            <w:r w:rsidRPr="00F74A5B">
              <w:t>L</w:t>
            </w:r>
          </w:p>
        </w:tc>
        <w:tc>
          <w:tcPr>
            <w:tcW w:w="7024" w:type="dxa"/>
          </w:tcPr>
          <w:p w:rsidR="00F74A5B" w:rsidRPr="00F74A5B" w:rsidRDefault="00F74A5B" w:rsidP="00F74A5B">
            <w:pPr>
              <w:spacing w:after="60"/>
            </w:pPr>
            <w:r w:rsidRPr="00F74A5B">
              <w:t xml:space="preserve">Industrial </w:t>
            </w:r>
            <w:proofErr w:type="spellStart"/>
            <w:r w:rsidRPr="00F74A5B">
              <w:t>washwaters</w:t>
            </w:r>
            <w:proofErr w:type="spellEnd"/>
          </w:p>
        </w:tc>
      </w:tr>
      <w:tr w:rsidR="00F74A5B" w:rsidRPr="00F74A5B" w:rsidTr="001E645D">
        <w:tc>
          <w:tcPr>
            <w:tcW w:w="1651" w:type="dxa"/>
          </w:tcPr>
          <w:p w:rsidR="00F74A5B" w:rsidRPr="00F74A5B" w:rsidRDefault="00F74A5B" w:rsidP="00F74A5B">
            <w:pPr>
              <w:spacing w:after="60"/>
            </w:pPr>
            <w:r w:rsidRPr="00F74A5B">
              <w:t>M</w:t>
            </w:r>
          </w:p>
        </w:tc>
        <w:tc>
          <w:tcPr>
            <w:tcW w:w="7024" w:type="dxa"/>
          </w:tcPr>
          <w:p w:rsidR="00F74A5B" w:rsidRPr="00F74A5B" w:rsidRDefault="00F74A5B" w:rsidP="00F74A5B">
            <w:pPr>
              <w:spacing w:after="60"/>
            </w:pPr>
            <w:r w:rsidRPr="00F74A5B">
              <w:t>Organic chemicals</w:t>
            </w:r>
          </w:p>
        </w:tc>
      </w:tr>
      <w:tr w:rsidR="00F74A5B" w:rsidRPr="00F74A5B" w:rsidTr="001E645D">
        <w:tc>
          <w:tcPr>
            <w:tcW w:w="1651" w:type="dxa"/>
          </w:tcPr>
          <w:p w:rsidR="00F74A5B" w:rsidRPr="00F74A5B" w:rsidRDefault="00F74A5B" w:rsidP="00F74A5B">
            <w:pPr>
              <w:spacing w:after="60"/>
            </w:pPr>
            <w:r w:rsidRPr="00F74A5B">
              <w:t>N</w:t>
            </w:r>
          </w:p>
        </w:tc>
        <w:tc>
          <w:tcPr>
            <w:tcW w:w="7024" w:type="dxa"/>
          </w:tcPr>
          <w:p w:rsidR="00F74A5B" w:rsidRPr="00F74A5B" w:rsidRDefault="00F74A5B" w:rsidP="00F74A5B">
            <w:pPr>
              <w:spacing w:after="60"/>
            </w:pPr>
            <w:r w:rsidRPr="00F74A5B">
              <w:t>Soil / sludge</w:t>
            </w:r>
          </w:p>
        </w:tc>
      </w:tr>
      <w:tr w:rsidR="00F74A5B" w:rsidRPr="00F74A5B" w:rsidTr="001E645D">
        <w:tc>
          <w:tcPr>
            <w:tcW w:w="1651" w:type="dxa"/>
          </w:tcPr>
          <w:p w:rsidR="00F74A5B" w:rsidRPr="00F74A5B" w:rsidRDefault="00F74A5B" w:rsidP="00F74A5B">
            <w:pPr>
              <w:spacing w:after="60"/>
            </w:pPr>
            <w:r w:rsidRPr="00F74A5B">
              <w:t>R</w:t>
            </w:r>
          </w:p>
        </w:tc>
        <w:tc>
          <w:tcPr>
            <w:tcW w:w="7024" w:type="dxa"/>
          </w:tcPr>
          <w:p w:rsidR="00F74A5B" w:rsidRPr="00F74A5B" w:rsidRDefault="00F74A5B" w:rsidP="00F74A5B">
            <w:pPr>
              <w:spacing w:after="60"/>
            </w:pPr>
            <w:r w:rsidRPr="00F74A5B">
              <w:t>Clinical and pharmaceutical</w:t>
            </w:r>
          </w:p>
        </w:tc>
      </w:tr>
      <w:tr w:rsidR="00F74A5B" w:rsidRPr="00F74A5B" w:rsidTr="001E645D">
        <w:tc>
          <w:tcPr>
            <w:tcW w:w="1651" w:type="dxa"/>
          </w:tcPr>
          <w:p w:rsidR="00F74A5B" w:rsidRPr="00F74A5B" w:rsidRDefault="00F74A5B" w:rsidP="00F74A5B">
            <w:pPr>
              <w:spacing w:after="60"/>
            </w:pPr>
            <w:r w:rsidRPr="00F74A5B">
              <w:t>T</w:t>
            </w:r>
          </w:p>
        </w:tc>
        <w:tc>
          <w:tcPr>
            <w:tcW w:w="7024" w:type="dxa"/>
          </w:tcPr>
          <w:p w:rsidR="00F74A5B" w:rsidRPr="00F74A5B" w:rsidRDefault="00F74A5B" w:rsidP="00F74A5B">
            <w:pPr>
              <w:spacing w:after="60"/>
            </w:pPr>
            <w:r w:rsidRPr="00F74A5B">
              <w:t>Miscellaneous</w:t>
            </w:r>
          </w:p>
        </w:tc>
      </w:tr>
    </w:tbl>
    <w:p w:rsidR="0013005E" w:rsidRDefault="0013005E" w:rsidP="00F74A5B">
      <w:pPr>
        <w:pStyle w:val="ParaIndent"/>
        <w:spacing w:before="100" w:beforeAutospacing="1"/>
      </w:pPr>
      <w:r w:rsidRPr="00F74A5B">
        <w:t xml:space="preserve">This compares to </w:t>
      </w:r>
      <w:r>
        <w:t>5</w:t>
      </w:r>
      <w:r w:rsidR="00D54C8D">
        <w:t>5</w:t>
      </w:r>
      <w:r w:rsidRPr="00F74A5B">
        <w:t xml:space="preserve"> Y-codes that Australia must report on under the Basel Convention</w:t>
      </w:r>
      <w:r>
        <w:t xml:space="preserve"> (</w:t>
      </w:r>
      <w:r w:rsidR="00350C10">
        <w:fldChar w:fldCharType="begin"/>
      </w:r>
      <w:r>
        <w:instrText xml:space="preserve"> REF _Ref421082462 \h </w:instrText>
      </w:r>
      <w:r w:rsidR="00350C10">
        <w:fldChar w:fldCharType="separate"/>
      </w:r>
      <w:r w:rsidR="00261FA5" w:rsidRPr="006226B1">
        <w:t xml:space="preserve">Table </w:t>
      </w:r>
      <w:r w:rsidR="00261FA5">
        <w:rPr>
          <w:noProof/>
        </w:rPr>
        <w:t>2</w:t>
      </w:r>
      <w:r w:rsidR="00261FA5" w:rsidRPr="006226B1">
        <w:t>-</w:t>
      </w:r>
      <w:r w:rsidR="00261FA5">
        <w:rPr>
          <w:noProof/>
        </w:rPr>
        <w:t>3</w:t>
      </w:r>
      <w:r w:rsidR="00350C10">
        <w:fldChar w:fldCharType="end"/>
      </w:r>
      <w:r>
        <w:t>)</w:t>
      </w:r>
      <w:r w:rsidRPr="00F74A5B">
        <w:t>. Blue Environment in 2014 mapped the hazardous waste tracked by each jurisdiction into the most appropriate Basel Y-code, in some cases mapping multiple NEPM codes into a single Y-code and in others splitting a single NEPM code into more than one Y-code.</w:t>
      </w:r>
    </w:p>
    <w:p w:rsidR="0013005E" w:rsidRDefault="0013005E" w:rsidP="0013005E">
      <w:pPr>
        <w:pStyle w:val="Caption"/>
        <w:ind w:left="1134"/>
      </w:pPr>
      <w:bookmarkStart w:id="30" w:name="_Ref421082462"/>
      <w:bookmarkStart w:id="31" w:name="_Toc421181764"/>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3</w:t>
      </w:r>
      <w:r w:rsidR="00350C10">
        <w:fldChar w:fldCharType="end"/>
      </w:r>
      <w:bookmarkEnd w:id="30"/>
      <w:r w:rsidRPr="006226B1">
        <w:tab/>
      </w:r>
      <w:r>
        <w:t>Basel Y codes</w:t>
      </w:r>
      <w:bookmarkEnd w:id="31"/>
    </w:p>
    <w:tbl>
      <w:tblPr>
        <w:tblStyle w:val="HyderTableStyle"/>
        <w:tblW w:w="0" w:type="auto"/>
        <w:tblInd w:w="1134" w:type="dxa"/>
        <w:tblLook w:val="04A0"/>
      </w:tblPr>
      <w:tblGrid>
        <w:gridCol w:w="978"/>
        <w:gridCol w:w="7497"/>
      </w:tblGrid>
      <w:tr w:rsidR="0013005E" w:rsidTr="00FD55B7">
        <w:trPr>
          <w:cnfStyle w:val="100000000000"/>
        </w:trPr>
        <w:tc>
          <w:tcPr>
            <w:tcW w:w="8475" w:type="dxa"/>
            <w:gridSpan w:val="2"/>
            <w:tcBorders>
              <w:bottom w:val="single" w:sz="12" w:space="0" w:color="FFFFFF" w:themeColor="background1"/>
            </w:tcBorders>
          </w:tcPr>
          <w:p w:rsidR="0013005E" w:rsidRDefault="0013005E" w:rsidP="00FD55B7">
            <w:pPr>
              <w:pStyle w:val="TableHeadingWhite"/>
            </w:pPr>
            <w:r>
              <w:t>Basel Convention</w:t>
            </w:r>
          </w:p>
        </w:tc>
      </w:tr>
      <w:tr w:rsidR="0013005E" w:rsidTr="00FD55B7">
        <w:tc>
          <w:tcPr>
            <w:tcW w:w="978" w:type="dxa"/>
            <w:shd w:val="clear" w:color="000000" w:fill="DDDDDD"/>
            <w:vAlign w:val="center"/>
          </w:tcPr>
          <w:p w:rsidR="0013005E" w:rsidRDefault="0013005E" w:rsidP="00FD55B7">
            <w:pPr>
              <w:pStyle w:val="TableText"/>
            </w:pPr>
            <w:r w:rsidRPr="00043E50">
              <w:t>Y1</w:t>
            </w:r>
          </w:p>
        </w:tc>
        <w:tc>
          <w:tcPr>
            <w:tcW w:w="7497" w:type="dxa"/>
            <w:shd w:val="clear" w:color="000000" w:fill="DDDDDD"/>
          </w:tcPr>
          <w:p w:rsidR="0013005E" w:rsidRDefault="0013005E" w:rsidP="00FD55B7">
            <w:pPr>
              <w:pStyle w:val="TableText"/>
            </w:pPr>
            <w:r w:rsidRPr="00043E50">
              <w:t>Clinical wastes from medical care in hospitals, medical centres and clinics</w:t>
            </w:r>
          </w:p>
        </w:tc>
      </w:tr>
      <w:tr w:rsidR="0013005E" w:rsidTr="00FD55B7">
        <w:tc>
          <w:tcPr>
            <w:tcW w:w="978" w:type="dxa"/>
            <w:shd w:val="clear" w:color="000000" w:fill="DDDDDD"/>
            <w:vAlign w:val="center"/>
          </w:tcPr>
          <w:p w:rsidR="0013005E" w:rsidRDefault="0013005E" w:rsidP="00FD55B7">
            <w:pPr>
              <w:pStyle w:val="TableText"/>
            </w:pPr>
            <w:r w:rsidRPr="00043E50">
              <w:t>Y2</w:t>
            </w:r>
          </w:p>
        </w:tc>
        <w:tc>
          <w:tcPr>
            <w:tcW w:w="7497" w:type="dxa"/>
            <w:shd w:val="clear" w:color="000000" w:fill="DDDDDD"/>
          </w:tcPr>
          <w:p w:rsidR="0013005E" w:rsidRDefault="0013005E" w:rsidP="00FD55B7">
            <w:pPr>
              <w:pStyle w:val="TableText"/>
            </w:pPr>
            <w:r w:rsidRPr="00043E50">
              <w:t>Wastes from the production and preparation of pharmaceutical products</w:t>
            </w:r>
          </w:p>
        </w:tc>
      </w:tr>
      <w:tr w:rsidR="0013005E" w:rsidTr="00FD55B7">
        <w:tc>
          <w:tcPr>
            <w:tcW w:w="978" w:type="dxa"/>
            <w:shd w:val="clear" w:color="000000" w:fill="DDDDDD"/>
            <w:vAlign w:val="center"/>
          </w:tcPr>
          <w:p w:rsidR="0013005E" w:rsidRDefault="0013005E" w:rsidP="00FD55B7">
            <w:pPr>
              <w:pStyle w:val="TableText"/>
            </w:pPr>
            <w:r w:rsidRPr="00043E50">
              <w:t>Y3</w:t>
            </w:r>
          </w:p>
        </w:tc>
        <w:tc>
          <w:tcPr>
            <w:tcW w:w="7497" w:type="dxa"/>
            <w:shd w:val="clear" w:color="000000" w:fill="DDDDDD"/>
          </w:tcPr>
          <w:p w:rsidR="0013005E" w:rsidRDefault="0013005E" w:rsidP="00FD55B7">
            <w:pPr>
              <w:pStyle w:val="TableText"/>
            </w:pPr>
            <w:r w:rsidRPr="00043E50">
              <w:t>Waste pharmaceuticals, drugs and medicines</w:t>
            </w:r>
          </w:p>
        </w:tc>
      </w:tr>
      <w:tr w:rsidR="0013005E" w:rsidTr="00FD55B7">
        <w:tc>
          <w:tcPr>
            <w:tcW w:w="978" w:type="dxa"/>
            <w:shd w:val="clear" w:color="000000" w:fill="DDDDDD"/>
            <w:vAlign w:val="center"/>
          </w:tcPr>
          <w:p w:rsidR="0013005E" w:rsidRDefault="0013005E" w:rsidP="00FD55B7">
            <w:pPr>
              <w:pStyle w:val="TableText"/>
            </w:pPr>
            <w:r w:rsidRPr="00043E50">
              <w:t>Y4</w:t>
            </w:r>
          </w:p>
        </w:tc>
        <w:tc>
          <w:tcPr>
            <w:tcW w:w="7497" w:type="dxa"/>
            <w:shd w:val="clear" w:color="000000" w:fill="DDDDDD"/>
          </w:tcPr>
          <w:p w:rsidR="0013005E" w:rsidRDefault="0013005E" w:rsidP="00FD55B7">
            <w:pPr>
              <w:pStyle w:val="TableText"/>
            </w:pPr>
            <w:r w:rsidRPr="00043E50">
              <w:t xml:space="preserve">Wastes from the production…... of biocides and </w:t>
            </w:r>
            <w:proofErr w:type="spellStart"/>
            <w:r w:rsidRPr="00043E50">
              <w:t>phytopharmaceuticals</w:t>
            </w:r>
            <w:proofErr w:type="spellEnd"/>
          </w:p>
        </w:tc>
      </w:tr>
      <w:tr w:rsidR="0013005E" w:rsidTr="00FD55B7">
        <w:tc>
          <w:tcPr>
            <w:tcW w:w="978" w:type="dxa"/>
            <w:shd w:val="clear" w:color="000000" w:fill="DDDDDD"/>
            <w:vAlign w:val="center"/>
          </w:tcPr>
          <w:p w:rsidR="0013005E" w:rsidRDefault="0013005E" w:rsidP="00FD55B7">
            <w:pPr>
              <w:pStyle w:val="TableText"/>
            </w:pPr>
            <w:r w:rsidRPr="00043E50">
              <w:t>Y5</w:t>
            </w:r>
          </w:p>
        </w:tc>
        <w:tc>
          <w:tcPr>
            <w:tcW w:w="7497" w:type="dxa"/>
            <w:shd w:val="clear" w:color="000000" w:fill="DDDDDD"/>
          </w:tcPr>
          <w:p w:rsidR="0013005E" w:rsidRDefault="0013005E" w:rsidP="00FD55B7">
            <w:pPr>
              <w:pStyle w:val="TableText"/>
            </w:pPr>
            <w:r w:rsidRPr="00043E50">
              <w:t>Wastes from the manufacture…... of wood preserving chemicals</w:t>
            </w:r>
          </w:p>
        </w:tc>
      </w:tr>
      <w:tr w:rsidR="0013005E" w:rsidTr="00FD55B7">
        <w:tc>
          <w:tcPr>
            <w:tcW w:w="978" w:type="dxa"/>
            <w:shd w:val="clear" w:color="000000" w:fill="DDDDDD"/>
            <w:vAlign w:val="center"/>
          </w:tcPr>
          <w:p w:rsidR="0013005E" w:rsidRDefault="0013005E" w:rsidP="00FD55B7">
            <w:pPr>
              <w:pStyle w:val="TableText"/>
            </w:pPr>
            <w:r w:rsidRPr="00043E50">
              <w:t>Y6</w:t>
            </w:r>
          </w:p>
        </w:tc>
        <w:tc>
          <w:tcPr>
            <w:tcW w:w="7497" w:type="dxa"/>
            <w:shd w:val="clear" w:color="000000" w:fill="DDDDDD"/>
          </w:tcPr>
          <w:p w:rsidR="0013005E" w:rsidRDefault="0013005E" w:rsidP="00FD55B7">
            <w:pPr>
              <w:pStyle w:val="TableText"/>
            </w:pPr>
            <w:r w:rsidRPr="00043E50">
              <w:t>Wastes from the production, formulation and use of organic solvent</w:t>
            </w:r>
          </w:p>
        </w:tc>
      </w:tr>
      <w:tr w:rsidR="0013005E" w:rsidTr="00FD55B7">
        <w:tc>
          <w:tcPr>
            <w:tcW w:w="978" w:type="dxa"/>
            <w:shd w:val="clear" w:color="000000" w:fill="DDDDDD"/>
            <w:vAlign w:val="center"/>
          </w:tcPr>
          <w:p w:rsidR="0013005E" w:rsidRDefault="0013005E" w:rsidP="00FD55B7">
            <w:pPr>
              <w:pStyle w:val="TableText"/>
            </w:pPr>
            <w:r w:rsidRPr="00043E50">
              <w:t>Y7</w:t>
            </w:r>
          </w:p>
        </w:tc>
        <w:tc>
          <w:tcPr>
            <w:tcW w:w="7497" w:type="dxa"/>
            <w:shd w:val="clear" w:color="000000" w:fill="DDDDDD"/>
          </w:tcPr>
          <w:p w:rsidR="0013005E" w:rsidRDefault="0013005E" w:rsidP="00FD55B7">
            <w:pPr>
              <w:pStyle w:val="TableText"/>
            </w:pPr>
            <w:r w:rsidRPr="00043E50">
              <w:t>Wastes from heat treatment and tempering operations containing cyanides</w:t>
            </w:r>
          </w:p>
        </w:tc>
      </w:tr>
      <w:tr w:rsidR="0013005E" w:rsidTr="00FD55B7">
        <w:tc>
          <w:tcPr>
            <w:tcW w:w="978" w:type="dxa"/>
            <w:shd w:val="clear" w:color="000000" w:fill="DDDDDD"/>
            <w:vAlign w:val="center"/>
          </w:tcPr>
          <w:p w:rsidR="0013005E" w:rsidRDefault="0013005E" w:rsidP="00FD55B7">
            <w:pPr>
              <w:pStyle w:val="TableText"/>
            </w:pPr>
            <w:r w:rsidRPr="00043E50">
              <w:t>Y8</w:t>
            </w:r>
          </w:p>
        </w:tc>
        <w:tc>
          <w:tcPr>
            <w:tcW w:w="7497" w:type="dxa"/>
            <w:shd w:val="clear" w:color="000000" w:fill="DDDDDD"/>
          </w:tcPr>
          <w:p w:rsidR="0013005E" w:rsidRDefault="0013005E" w:rsidP="00FD55B7">
            <w:pPr>
              <w:pStyle w:val="TableText"/>
            </w:pPr>
            <w:r w:rsidRPr="00043E50">
              <w:t>Waste mineral oils unfit for their originally intended use</w:t>
            </w:r>
          </w:p>
        </w:tc>
      </w:tr>
      <w:tr w:rsidR="0013005E" w:rsidTr="00FD55B7">
        <w:tc>
          <w:tcPr>
            <w:tcW w:w="978" w:type="dxa"/>
            <w:shd w:val="clear" w:color="000000" w:fill="DDDDDD"/>
            <w:vAlign w:val="center"/>
          </w:tcPr>
          <w:p w:rsidR="0013005E" w:rsidRDefault="0013005E" w:rsidP="00FD55B7">
            <w:pPr>
              <w:pStyle w:val="TableText"/>
            </w:pPr>
            <w:r w:rsidRPr="00043E50">
              <w:t>Y9</w:t>
            </w:r>
          </w:p>
        </w:tc>
        <w:tc>
          <w:tcPr>
            <w:tcW w:w="7497" w:type="dxa"/>
            <w:shd w:val="clear" w:color="000000" w:fill="DDDDDD"/>
          </w:tcPr>
          <w:p w:rsidR="0013005E" w:rsidRDefault="0013005E" w:rsidP="00FD55B7">
            <w:pPr>
              <w:pStyle w:val="TableText"/>
            </w:pPr>
            <w:r w:rsidRPr="00043E50">
              <w:t>Waste oils/water, hydrocarbons/water mixtures, emulsion</w:t>
            </w:r>
          </w:p>
        </w:tc>
      </w:tr>
      <w:tr w:rsidR="0013005E" w:rsidTr="00FD55B7">
        <w:tc>
          <w:tcPr>
            <w:tcW w:w="978" w:type="dxa"/>
            <w:shd w:val="clear" w:color="000000" w:fill="DDDDDD"/>
            <w:vAlign w:val="center"/>
          </w:tcPr>
          <w:p w:rsidR="0013005E" w:rsidRDefault="0013005E" w:rsidP="00FD55B7">
            <w:pPr>
              <w:pStyle w:val="TableText"/>
            </w:pPr>
            <w:r w:rsidRPr="00043E50">
              <w:t>Y10</w:t>
            </w:r>
          </w:p>
        </w:tc>
        <w:tc>
          <w:tcPr>
            <w:tcW w:w="7497" w:type="dxa"/>
            <w:shd w:val="clear" w:color="000000" w:fill="DDDDDD"/>
          </w:tcPr>
          <w:p w:rsidR="0013005E" w:rsidRDefault="0013005E" w:rsidP="00FD55B7">
            <w:pPr>
              <w:pStyle w:val="TableText"/>
            </w:pPr>
            <w:r w:rsidRPr="00043E50">
              <w:t xml:space="preserve">Waste substances ….containing or contaminated with PCBs, PCTs, PBBs </w:t>
            </w:r>
          </w:p>
        </w:tc>
      </w:tr>
      <w:tr w:rsidR="0013005E" w:rsidTr="00FD55B7">
        <w:tc>
          <w:tcPr>
            <w:tcW w:w="978" w:type="dxa"/>
            <w:shd w:val="clear" w:color="000000" w:fill="DDDDDD"/>
            <w:vAlign w:val="center"/>
          </w:tcPr>
          <w:p w:rsidR="0013005E" w:rsidRDefault="0013005E" w:rsidP="00FD55B7">
            <w:pPr>
              <w:pStyle w:val="TableText"/>
            </w:pPr>
            <w:r w:rsidRPr="00043E50">
              <w:t>Y11</w:t>
            </w:r>
          </w:p>
        </w:tc>
        <w:tc>
          <w:tcPr>
            <w:tcW w:w="7497" w:type="dxa"/>
            <w:shd w:val="clear" w:color="000000" w:fill="DDDDDD"/>
          </w:tcPr>
          <w:p w:rsidR="0013005E" w:rsidRDefault="0013005E" w:rsidP="00FD55B7">
            <w:pPr>
              <w:pStyle w:val="TableText"/>
            </w:pPr>
            <w:r w:rsidRPr="00043E50">
              <w:t xml:space="preserve">Waste tarry residues ... from refining, distillation and any </w:t>
            </w:r>
            <w:proofErr w:type="spellStart"/>
            <w:r w:rsidRPr="00043E50">
              <w:t>pyrolytic</w:t>
            </w:r>
            <w:proofErr w:type="spellEnd"/>
            <w:r w:rsidRPr="00043E50">
              <w:t xml:space="preserve"> treatment</w:t>
            </w:r>
          </w:p>
        </w:tc>
      </w:tr>
      <w:tr w:rsidR="0013005E" w:rsidTr="00FD55B7">
        <w:tc>
          <w:tcPr>
            <w:tcW w:w="978" w:type="dxa"/>
            <w:shd w:val="clear" w:color="000000" w:fill="DDDDDD"/>
            <w:vAlign w:val="center"/>
          </w:tcPr>
          <w:p w:rsidR="0013005E" w:rsidRDefault="0013005E" w:rsidP="00FD55B7">
            <w:pPr>
              <w:pStyle w:val="TableText"/>
            </w:pPr>
            <w:r w:rsidRPr="00043E50">
              <w:t>Y12</w:t>
            </w:r>
          </w:p>
        </w:tc>
        <w:tc>
          <w:tcPr>
            <w:tcW w:w="7497" w:type="dxa"/>
            <w:shd w:val="clear" w:color="000000" w:fill="DDDDDD"/>
          </w:tcPr>
          <w:p w:rsidR="0013005E" w:rsidRDefault="0013005E" w:rsidP="00FD55B7">
            <w:pPr>
              <w:pStyle w:val="TableText"/>
            </w:pPr>
            <w:r w:rsidRPr="00043E50">
              <w:t>Wastes from production…... of inks, dyes, pigments, paints, etc</w:t>
            </w:r>
          </w:p>
        </w:tc>
      </w:tr>
      <w:tr w:rsidR="0013005E" w:rsidTr="00FD55B7">
        <w:tc>
          <w:tcPr>
            <w:tcW w:w="978" w:type="dxa"/>
            <w:shd w:val="clear" w:color="000000" w:fill="DDDDDD"/>
            <w:vAlign w:val="center"/>
          </w:tcPr>
          <w:p w:rsidR="0013005E" w:rsidRDefault="0013005E" w:rsidP="00FD55B7">
            <w:pPr>
              <w:pStyle w:val="TableText"/>
            </w:pPr>
            <w:r w:rsidRPr="00043E50">
              <w:t>Y13</w:t>
            </w:r>
          </w:p>
        </w:tc>
        <w:tc>
          <w:tcPr>
            <w:tcW w:w="7497" w:type="dxa"/>
            <w:shd w:val="clear" w:color="000000" w:fill="DDDDDD"/>
          </w:tcPr>
          <w:p w:rsidR="0013005E" w:rsidRDefault="0013005E" w:rsidP="00FD55B7">
            <w:pPr>
              <w:pStyle w:val="TableText"/>
            </w:pPr>
            <w:r w:rsidRPr="00043E50">
              <w:t>Wastes from production……resins, latex, plasticizers, glues, etc</w:t>
            </w:r>
          </w:p>
        </w:tc>
      </w:tr>
      <w:tr w:rsidR="0013005E" w:rsidTr="00FD55B7">
        <w:tc>
          <w:tcPr>
            <w:tcW w:w="978" w:type="dxa"/>
            <w:shd w:val="clear" w:color="000000" w:fill="DDDDDD"/>
            <w:vAlign w:val="center"/>
          </w:tcPr>
          <w:p w:rsidR="0013005E" w:rsidRDefault="0013005E" w:rsidP="00FD55B7">
            <w:pPr>
              <w:pStyle w:val="TableText"/>
            </w:pPr>
            <w:r w:rsidRPr="00043E50">
              <w:t>Y14</w:t>
            </w:r>
          </w:p>
        </w:tc>
        <w:tc>
          <w:tcPr>
            <w:tcW w:w="7497" w:type="dxa"/>
            <w:shd w:val="clear" w:color="000000" w:fill="DDDDDD"/>
          </w:tcPr>
          <w:p w:rsidR="0013005E" w:rsidRDefault="0013005E" w:rsidP="00FD55B7">
            <w:pPr>
              <w:pStyle w:val="TableText"/>
            </w:pPr>
            <w:r w:rsidRPr="00043E50">
              <w:t>Waste chemical substances arising ….. environment are not known</w:t>
            </w:r>
          </w:p>
        </w:tc>
      </w:tr>
      <w:tr w:rsidR="0013005E" w:rsidTr="00FD55B7">
        <w:tc>
          <w:tcPr>
            <w:tcW w:w="978" w:type="dxa"/>
            <w:shd w:val="clear" w:color="000000" w:fill="DDDDDD"/>
            <w:vAlign w:val="center"/>
          </w:tcPr>
          <w:p w:rsidR="0013005E" w:rsidRDefault="0013005E" w:rsidP="00FD55B7">
            <w:pPr>
              <w:pStyle w:val="TableText"/>
            </w:pPr>
            <w:r w:rsidRPr="00043E50">
              <w:t>Y15</w:t>
            </w:r>
          </w:p>
        </w:tc>
        <w:tc>
          <w:tcPr>
            <w:tcW w:w="7497" w:type="dxa"/>
            <w:shd w:val="clear" w:color="000000" w:fill="DDDDDD"/>
          </w:tcPr>
          <w:p w:rsidR="0013005E" w:rsidRDefault="0013005E" w:rsidP="00FD55B7">
            <w:pPr>
              <w:pStyle w:val="TableText"/>
            </w:pPr>
            <w:r w:rsidRPr="00043E50">
              <w:t>Wastes of an explosive nature not subject to other legislation</w:t>
            </w:r>
          </w:p>
        </w:tc>
      </w:tr>
      <w:tr w:rsidR="0013005E" w:rsidTr="00FD55B7">
        <w:tc>
          <w:tcPr>
            <w:tcW w:w="978" w:type="dxa"/>
            <w:shd w:val="clear" w:color="000000" w:fill="DDDDDD"/>
            <w:vAlign w:val="center"/>
          </w:tcPr>
          <w:p w:rsidR="0013005E" w:rsidRDefault="0013005E" w:rsidP="00FD55B7">
            <w:pPr>
              <w:pStyle w:val="TableText"/>
            </w:pPr>
            <w:r w:rsidRPr="00043E50">
              <w:t>Y16</w:t>
            </w:r>
          </w:p>
        </w:tc>
        <w:tc>
          <w:tcPr>
            <w:tcW w:w="7497" w:type="dxa"/>
            <w:shd w:val="clear" w:color="000000" w:fill="DDDDDD"/>
          </w:tcPr>
          <w:p w:rsidR="0013005E" w:rsidRDefault="0013005E" w:rsidP="00FD55B7">
            <w:pPr>
              <w:pStyle w:val="TableText"/>
            </w:pPr>
            <w:r w:rsidRPr="00043E50">
              <w:t>Wastes from production, formulation and use of photographic chemicals…</w:t>
            </w:r>
          </w:p>
        </w:tc>
      </w:tr>
      <w:tr w:rsidR="0013005E" w:rsidTr="00FD55B7">
        <w:tc>
          <w:tcPr>
            <w:tcW w:w="978" w:type="dxa"/>
            <w:shd w:val="clear" w:color="000000" w:fill="DDDDDD"/>
            <w:vAlign w:val="center"/>
          </w:tcPr>
          <w:p w:rsidR="0013005E" w:rsidRDefault="0013005E" w:rsidP="00FD55B7">
            <w:pPr>
              <w:pStyle w:val="TableText"/>
            </w:pPr>
            <w:r w:rsidRPr="00043E50">
              <w:lastRenderedPageBreak/>
              <w:t>Y17</w:t>
            </w:r>
          </w:p>
        </w:tc>
        <w:tc>
          <w:tcPr>
            <w:tcW w:w="7497" w:type="dxa"/>
            <w:shd w:val="clear" w:color="000000" w:fill="DDDDDD"/>
          </w:tcPr>
          <w:p w:rsidR="0013005E" w:rsidRDefault="0013005E" w:rsidP="00FD55B7">
            <w:pPr>
              <w:pStyle w:val="TableText"/>
            </w:pPr>
            <w:r w:rsidRPr="00043E50">
              <w:t>Wastes resulting from surface treatment of metals and plastics</w:t>
            </w:r>
          </w:p>
        </w:tc>
      </w:tr>
      <w:tr w:rsidR="0013005E" w:rsidTr="00FD55B7">
        <w:tc>
          <w:tcPr>
            <w:tcW w:w="978" w:type="dxa"/>
            <w:tcBorders>
              <w:bottom w:val="single" w:sz="12" w:space="0" w:color="FFFFFF" w:themeColor="background1"/>
            </w:tcBorders>
            <w:shd w:val="clear" w:color="000000" w:fill="DDDDDD"/>
            <w:vAlign w:val="center"/>
          </w:tcPr>
          <w:p w:rsidR="0013005E" w:rsidRDefault="0013005E" w:rsidP="00FD55B7">
            <w:pPr>
              <w:pStyle w:val="TableText"/>
            </w:pPr>
            <w:r w:rsidRPr="00043E50">
              <w:t>Y18</w:t>
            </w:r>
          </w:p>
        </w:tc>
        <w:tc>
          <w:tcPr>
            <w:tcW w:w="7497" w:type="dxa"/>
            <w:tcBorders>
              <w:bottom w:val="single" w:sz="12" w:space="0" w:color="FFFFFF" w:themeColor="background1"/>
            </w:tcBorders>
            <w:shd w:val="clear" w:color="000000" w:fill="DDDDDD"/>
          </w:tcPr>
          <w:p w:rsidR="0013005E" w:rsidRDefault="0013005E" w:rsidP="00FD55B7">
            <w:pPr>
              <w:pStyle w:val="TableText"/>
            </w:pPr>
            <w:r w:rsidRPr="00043E50">
              <w:t>Residues arising from industrial waste disposal operations</w:t>
            </w:r>
          </w:p>
        </w:tc>
      </w:tr>
      <w:tr w:rsidR="0013005E" w:rsidTr="00FD55B7">
        <w:tc>
          <w:tcPr>
            <w:tcW w:w="8475" w:type="dxa"/>
            <w:gridSpan w:val="2"/>
            <w:shd w:val="clear" w:color="000000" w:fill="495F70"/>
            <w:vAlign w:val="center"/>
          </w:tcPr>
          <w:p w:rsidR="0013005E" w:rsidRPr="00043E50" w:rsidRDefault="0013005E" w:rsidP="00FD55B7">
            <w:pPr>
              <w:pStyle w:val="TableHeadingWhite"/>
            </w:pPr>
            <w:r>
              <w:t>Waste having as constituents</w:t>
            </w:r>
          </w:p>
        </w:tc>
      </w:tr>
      <w:tr w:rsidR="0013005E" w:rsidTr="00FD55B7">
        <w:tc>
          <w:tcPr>
            <w:tcW w:w="978" w:type="dxa"/>
            <w:shd w:val="clear" w:color="000000" w:fill="DDDDDD"/>
            <w:vAlign w:val="center"/>
          </w:tcPr>
          <w:p w:rsidR="0013005E" w:rsidRDefault="0013005E" w:rsidP="00FD55B7">
            <w:pPr>
              <w:pStyle w:val="TableText"/>
            </w:pPr>
            <w:r w:rsidRPr="00EB7E71">
              <w:t>Y19</w:t>
            </w:r>
          </w:p>
        </w:tc>
        <w:tc>
          <w:tcPr>
            <w:tcW w:w="7497" w:type="dxa"/>
            <w:shd w:val="clear" w:color="000000" w:fill="DDDDDD"/>
          </w:tcPr>
          <w:p w:rsidR="0013005E" w:rsidRDefault="0013005E" w:rsidP="00FD55B7">
            <w:pPr>
              <w:pStyle w:val="TableText"/>
            </w:pPr>
            <w:r w:rsidRPr="00EB7E71">
              <w:t>Metal carbonyls</w:t>
            </w:r>
          </w:p>
        </w:tc>
      </w:tr>
      <w:tr w:rsidR="0013005E" w:rsidTr="00FD55B7">
        <w:tc>
          <w:tcPr>
            <w:tcW w:w="978" w:type="dxa"/>
            <w:shd w:val="clear" w:color="000000" w:fill="DDDDDD"/>
            <w:vAlign w:val="center"/>
          </w:tcPr>
          <w:p w:rsidR="0013005E" w:rsidRDefault="0013005E" w:rsidP="00FD55B7">
            <w:pPr>
              <w:pStyle w:val="TableText"/>
            </w:pPr>
            <w:r w:rsidRPr="00EB7E71">
              <w:t>Y20</w:t>
            </w:r>
          </w:p>
        </w:tc>
        <w:tc>
          <w:tcPr>
            <w:tcW w:w="7497" w:type="dxa"/>
            <w:shd w:val="clear" w:color="000000" w:fill="DDDDDD"/>
          </w:tcPr>
          <w:p w:rsidR="0013005E" w:rsidRDefault="0013005E" w:rsidP="00FD55B7">
            <w:pPr>
              <w:pStyle w:val="TableText"/>
            </w:pPr>
            <w:r w:rsidRPr="00EB7E71">
              <w:t>Beryllium; beryllium compounds</w:t>
            </w:r>
          </w:p>
        </w:tc>
      </w:tr>
      <w:tr w:rsidR="0013005E" w:rsidTr="00FD55B7">
        <w:tc>
          <w:tcPr>
            <w:tcW w:w="978" w:type="dxa"/>
            <w:shd w:val="clear" w:color="000000" w:fill="DDDDDD"/>
            <w:vAlign w:val="center"/>
          </w:tcPr>
          <w:p w:rsidR="0013005E" w:rsidRDefault="0013005E" w:rsidP="00FD55B7">
            <w:pPr>
              <w:pStyle w:val="TableText"/>
            </w:pPr>
            <w:r w:rsidRPr="00EB7E71">
              <w:t>Y21</w:t>
            </w:r>
          </w:p>
        </w:tc>
        <w:tc>
          <w:tcPr>
            <w:tcW w:w="7497" w:type="dxa"/>
            <w:shd w:val="clear" w:color="000000" w:fill="DDDDDD"/>
          </w:tcPr>
          <w:p w:rsidR="0013005E" w:rsidRDefault="0013005E" w:rsidP="00FD55B7">
            <w:pPr>
              <w:pStyle w:val="TableText"/>
            </w:pPr>
            <w:proofErr w:type="spellStart"/>
            <w:r w:rsidRPr="00EB7E71">
              <w:t>Hexavalent</w:t>
            </w:r>
            <w:proofErr w:type="spellEnd"/>
            <w:r w:rsidRPr="00EB7E71">
              <w:t xml:space="preserve"> chromium compounds</w:t>
            </w:r>
          </w:p>
        </w:tc>
      </w:tr>
      <w:tr w:rsidR="0013005E" w:rsidTr="00FD55B7">
        <w:tc>
          <w:tcPr>
            <w:tcW w:w="978" w:type="dxa"/>
            <w:shd w:val="clear" w:color="000000" w:fill="DDDDDD"/>
            <w:vAlign w:val="center"/>
          </w:tcPr>
          <w:p w:rsidR="0013005E" w:rsidRDefault="0013005E" w:rsidP="00FD55B7">
            <w:pPr>
              <w:pStyle w:val="TableText"/>
            </w:pPr>
            <w:r w:rsidRPr="00EB7E71">
              <w:t>Y22</w:t>
            </w:r>
          </w:p>
        </w:tc>
        <w:tc>
          <w:tcPr>
            <w:tcW w:w="7497" w:type="dxa"/>
            <w:shd w:val="clear" w:color="000000" w:fill="DDDDDD"/>
          </w:tcPr>
          <w:p w:rsidR="0013005E" w:rsidRDefault="0013005E" w:rsidP="00FD55B7">
            <w:pPr>
              <w:pStyle w:val="TableText"/>
            </w:pPr>
            <w:r w:rsidRPr="00EB7E71">
              <w:t>Copper compounds</w:t>
            </w:r>
          </w:p>
        </w:tc>
      </w:tr>
      <w:tr w:rsidR="0013005E" w:rsidTr="00FD55B7">
        <w:tc>
          <w:tcPr>
            <w:tcW w:w="978" w:type="dxa"/>
            <w:shd w:val="clear" w:color="000000" w:fill="DDDDDD"/>
            <w:vAlign w:val="center"/>
          </w:tcPr>
          <w:p w:rsidR="0013005E" w:rsidRDefault="0013005E" w:rsidP="00FD55B7">
            <w:pPr>
              <w:pStyle w:val="TableText"/>
            </w:pPr>
            <w:r w:rsidRPr="00EB7E71">
              <w:t>Y23</w:t>
            </w:r>
          </w:p>
        </w:tc>
        <w:tc>
          <w:tcPr>
            <w:tcW w:w="7497" w:type="dxa"/>
            <w:shd w:val="clear" w:color="000000" w:fill="DDDDDD"/>
          </w:tcPr>
          <w:p w:rsidR="0013005E" w:rsidRDefault="0013005E" w:rsidP="00FD55B7">
            <w:pPr>
              <w:pStyle w:val="TableText"/>
            </w:pPr>
            <w:r w:rsidRPr="00EB7E71">
              <w:t>Zinc compounds</w:t>
            </w:r>
          </w:p>
        </w:tc>
      </w:tr>
      <w:tr w:rsidR="0013005E" w:rsidTr="00FD55B7">
        <w:tc>
          <w:tcPr>
            <w:tcW w:w="978" w:type="dxa"/>
            <w:shd w:val="clear" w:color="000000" w:fill="DDDDDD"/>
            <w:vAlign w:val="center"/>
          </w:tcPr>
          <w:p w:rsidR="0013005E" w:rsidRDefault="0013005E" w:rsidP="00FD55B7">
            <w:pPr>
              <w:pStyle w:val="TableText"/>
            </w:pPr>
            <w:r w:rsidRPr="00EB7E71">
              <w:t>Y24</w:t>
            </w:r>
          </w:p>
        </w:tc>
        <w:tc>
          <w:tcPr>
            <w:tcW w:w="7497" w:type="dxa"/>
            <w:shd w:val="clear" w:color="000000" w:fill="DDDDDD"/>
          </w:tcPr>
          <w:p w:rsidR="0013005E" w:rsidRDefault="0013005E" w:rsidP="00FD55B7">
            <w:pPr>
              <w:pStyle w:val="TableText"/>
            </w:pPr>
            <w:r w:rsidRPr="00EB7E71">
              <w:t>Arsenic; arsenic compounds</w:t>
            </w:r>
          </w:p>
        </w:tc>
      </w:tr>
      <w:tr w:rsidR="0013005E" w:rsidTr="00FD55B7">
        <w:tc>
          <w:tcPr>
            <w:tcW w:w="978" w:type="dxa"/>
            <w:shd w:val="clear" w:color="000000" w:fill="DDDDDD"/>
            <w:vAlign w:val="center"/>
          </w:tcPr>
          <w:p w:rsidR="0013005E" w:rsidRDefault="0013005E" w:rsidP="00FD55B7">
            <w:pPr>
              <w:pStyle w:val="TableText"/>
            </w:pPr>
            <w:r w:rsidRPr="00EB7E71">
              <w:t>Y25</w:t>
            </w:r>
          </w:p>
        </w:tc>
        <w:tc>
          <w:tcPr>
            <w:tcW w:w="7497" w:type="dxa"/>
            <w:shd w:val="clear" w:color="000000" w:fill="DDDDDD"/>
          </w:tcPr>
          <w:p w:rsidR="0013005E" w:rsidRDefault="0013005E" w:rsidP="00FD55B7">
            <w:pPr>
              <w:pStyle w:val="TableText"/>
            </w:pPr>
            <w:r w:rsidRPr="00EB7E71">
              <w:t>Selenium; selenium compounds</w:t>
            </w:r>
          </w:p>
        </w:tc>
      </w:tr>
      <w:tr w:rsidR="0013005E" w:rsidTr="00FD55B7">
        <w:tc>
          <w:tcPr>
            <w:tcW w:w="978" w:type="dxa"/>
            <w:shd w:val="clear" w:color="000000" w:fill="DDDDDD"/>
            <w:vAlign w:val="center"/>
          </w:tcPr>
          <w:p w:rsidR="0013005E" w:rsidRDefault="0013005E" w:rsidP="00FD55B7">
            <w:pPr>
              <w:pStyle w:val="TableText"/>
            </w:pPr>
            <w:r w:rsidRPr="00EB7E71">
              <w:t>Y26</w:t>
            </w:r>
          </w:p>
        </w:tc>
        <w:tc>
          <w:tcPr>
            <w:tcW w:w="7497" w:type="dxa"/>
            <w:shd w:val="clear" w:color="000000" w:fill="DDDDDD"/>
          </w:tcPr>
          <w:p w:rsidR="0013005E" w:rsidRDefault="0013005E" w:rsidP="00FD55B7">
            <w:pPr>
              <w:pStyle w:val="TableText"/>
            </w:pPr>
            <w:r w:rsidRPr="00EB7E71">
              <w:t>Cadmium; cadmium compounds</w:t>
            </w:r>
          </w:p>
        </w:tc>
      </w:tr>
      <w:tr w:rsidR="0013005E" w:rsidTr="00FD55B7">
        <w:tc>
          <w:tcPr>
            <w:tcW w:w="978" w:type="dxa"/>
            <w:shd w:val="clear" w:color="000000" w:fill="DDDDDD"/>
            <w:vAlign w:val="center"/>
          </w:tcPr>
          <w:p w:rsidR="0013005E" w:rsidRDefault="0013005E" w:rsidP="00FD55B7">
            <w:pPr>
              <w:pStyle w:val="TableText"/>
            </w:pPr>
            <w:r w:rsidRPr="00EB7E71">
              <w:t>Y27</w:t>
            </w:r>
          </w:p>
        </w:tc>
        <w:tc>
          <w:tcPr>
            <w:tcW w:w="7497" w:type="dxa"/>
            <w:shd w:val="clear" w:color="000000" w:fill="DDDDDD"/>
          </w:tcPr>
          <w:p w:rsidR="0013005E" w:rsidRDefault="0013005E" w:rsidP="00FD55B7">
            <w:pPr>
              <w:pStyle w:val="TableText"/>
            </w:pPr>
            <w:r w:rsidRPr="00EB7E71">
              <w:t>Antimony; antimony compounds</w:t>
            </w:r>
          </w:p>
        </w:tc>
      </w:tr>
      <w:tr w:rsidR="0013005E" w:rsidTr="00FD55B7">
        <w:tc>
          <w:tcPr>
            <w:tcW w:w="978" w:type="dxa"/>
            <w:shd w:val="clear" w:color="000000" w:fill="DDDDDD"/>
            <w:vAlign w:val="center"/>
          </w:tcPr>
          <w:p w:rsidR="0013005E" w:rsidRDefault="0013005E" w:rsidP="00FD55B7">
            <w:pPr>
              <w:pStyle w:val="TableText"/>
            </w:pPr>
            <w:r w:rsidRPr="00EB7E71">
              <w:t>Y28</w:t>
            </w:r>
          </w:p>
        </w:tc>
        <w:tc>
          <w:tcPr>
            <w:tcW w:w="7497" w:type="dxa"/>
            <w:shd w:val="clear" w:color="000000" w:fill="DDDDDD"/>
          </w:tcPr>
          <w:p w:rsidR="0013005E" w:rsidRDefault="0013005E" w:rsidP="00FD55B7">
            <w:pPr>
              <w:pStyle w:val="TableText"/>
            </w:pPr>
            <w:r w:rsidRPr="00EB7E71">
              <w:t>Tellurium; tellurium compounds</w:t>
            </w:r>
          </w:p>
        </w:tc>
      </w:tr>
      <w:tr w:rsidR="0013005E" w:rsidTr="00FD55B7">
        <w:tc>
          <w:tcPr>
            <w:tcW w:w="978" w:type="dxa"/>
            <w:shd w:val="clear" w:color="000000" w:fill="DDDDDD"/>
            <w:vAlign w:val="center"/>
          </w:tcPr>
          <w:p w:rsidR="0013005E" w:rsidRDefault="0013005E" w:rsidP="00FD55B7">
            <w:pPr>
              <w:pStyle w:val="TableText"/>
            </w:pPr>
            <w:r w:rsidRPr="00EB7E71">
              <w:t>Y29</w:t>
            </w:r>
          </w:p>
        </w:tc>
        <w:tc>
          <w:tcPr>
            <w:tcW w:w="7497" w:type="dxa"/>
            <w:shd w:val="clear" w:color="000000" w:fill="DDDDDD"/>
          </w:tcPr>
          <w:p w:rsidR="0013005E" w:rsidRDefault="0013005E" w:rsidP="00FD55B7">
            <w:pPr>
              <w:pStyle w:val="TableText"/>
            </w:pPr>
            <w:r w:rsidRPr="00EB7E71">
              <w:t>Mercury; mercury compounds</w:t>
            </w:r>
          </w:p>
        </w:tc>
      </w:tr>
      <w:tr w:rsidR="0013005E" w:rsidTr="00FD55B7">
        <w:tc>
          <w:tcPr>
            <w:tcW w:w="978" w:type="dxa"/>
            <w:shd w:val="clear" w:color="000000" w:fill="DDDDDD"/>
            <w:vAlign w:val="center"/>
          </w:tcPr>
          <w:p w:rsidR="0013005E" w:rsidRDefault="0013005E" w:rsidP="00FD55B7">
            <w:pPr>
              <w:pStyle w:val="TableText"/>
            </w:pPr>
            <w:r w:rsidRPr="00EB7E71">
              <w:t>Y30</w:t>
            </w:r>
          </w:p>
        </w:tc>
        <w:tc>
          <w:tcPr>
            <w:tcW w:w="7497" w:type="dxa"/>
            <w:shd w:val="clear" w:color="000000" w:fill="DDDDDD"/>
          </w:tcPr>
          <w:p w:rsidR="0013005E" w:rsidRDefault="0013005E" w:rsidP="00FD55B7">
            <w:pPr>
              <w:pStyle w:val="TableText"/>
            </w:pPr>
            <w:r w:rsidRPr="00EB7E71">
              <w:t>Thallium; thallium compounds</w:t>
            </w:r>
          </w:p>
        </w:tc>
      </w:tr>
      <w:tr w:rsidR="0013005E" w:rsidTr="00FD55B7">
        <w:tc>
          <w:tcPr>
            <w:tcW w:w="978" w:type="dxa"/>
            <w:shd w:val="clear" w:color="000000" w:fill="DDDDDD"/>
            <w:vAlign w:val="center"/>
          </w:tcPr>
          <w:p w:rsidR="0013005E" w:rsidRDefault="0013005E" w:rsidP="00FD55B7">
            <w:pPr>
              <w:pStyle w:val="TableText"/>
            </w:pPr>
            <w:r w:rsidRPr="00EB7E71">
              <w:t>Y31</w:t>
            </w:r>
          </w:p>
        </w:tc>
        <w:tc>
          <w:tcPr>
            <w:tcW w:w="7497" w:type="dxa"/>
            <w:shd w:val="clear" w:color="000000" w:fill="DDDDDD"/>
          </w:tcPr>
          <w:p w:rsidR="0013005E" w:rsidRDefault="0013005E" w:rsidP="00FD55B7">
            <w:pPr>
              <w:pStyle w:val="TableText"/>
            </w:pPr>
            <w:r w:rsidRPr="00EB7E71">
              <w:t>Lead; lead compounds</w:t>
            </w:r>
          </w:p>
        </w:tc>
      </w:tr>
      <w:tr w:rsidR="0013005E" w:rsidTr="00FD55B7">
        <w:tc>
          <w:tcPr>
            <w:tcW w:w="978" w:type="dxa"/>
            <w:shd w:val="clear" w:color="000000" w:fill="DDDDDD"/>
            <w:vAlign w:val="center"/>
          </w:tcPr>
          <w:p w:rsidR="0013005E" w:rsidRDefault="0013005E" w:rsidP="00FD55B7">
            <w:pPr>
              <w:pStyle w:val="TableText"/>
            </w:pPr>
            <w:r w:rsidRPr="00EB7E71">
              <w:t>Y32</w:t>
            </w:r>
          </w:p>
        </w:tc>
        <w:tc>
          <w:tcPr>
            <w:tcW w:w="7497" w:type="dxa"/>
            <w:shd w:val="clear" w:color="000000" w:fill="DDDDDD"/>
          </w:tcPr>
          <w:p w:rsidR="0013005E" w:rsidRDefault="0013005E" w:rsidP="00FD55B7">
            <w:pPr>
              <w:pStyle w:val="TableText"/>
            </w:pPr>
            <w:r w:rsidRPr="00EB7E71">
              <w:t>Inorganic fluorine compounds excluding calcium fluoride</w:t>
            </w:r>
          </w:p>
        </w:tc>
      </w:tr>
      <w:tr w:rsidR="0013005E" w:rsidTr="00FD55B7">
        <w:tc>
          <w:tcPr>
            <w:tcW w:w="978" w:type="dxa"/>
            <w:shd w:val="clear" w:color="000000" w:fill="DDDDDD"/>
            <w:vAlign w:val="center"/>
          </w:tcPr>
          <w:p w:rsidR="0013005E" w:rsidRDefault="0013005E" w:rsidP="00FD55B7">
            <w:pPr>
              <w:pStyle w:val="TableText"/>
            </w:pPr>
            <w:r w:rsidRPr="00EB7E71">
              <w:t>Y33</w:t>
            </w:r>
          </w:p>
        </w:tc>
        <w:tc>
          <w:tcPr>
            <w:tcW w:w="7497" w:type="dxa"/>
            <w:shd w:val="clear" w:color="000000" w:fill="DDDDDD"/>
          </w:tcPr>
          <w:p w:rsidR="0013005E" w:rsidRDefault="0013005E" w:rsidP="00FD55B7">
            <w:pPr>
              <w:pStyle w:val="TableText"/>
            </w:pPr>
            <w:r w:rsidRPr="00EB7E71">
              <w:t>Inorganic cyanides</w:t>
            </w:r>
          </w:p>
        </w:tc>
      </w:tr>
      <w:tr w:rsidR="0013005E" w:rsidTr="00FD55B7">
        <w:tc>
          <w:tcPr>
            <w:tcW w:w="978" w:type="dxa"/>
            <w:shd w:val="clear" w:color="000000" w:fill="DDDDDD"/>
            <w:vAlign w:val="center"/>
          </w:tcPr>
          <w:p w:rsidR="0013005E" w:rsidRDefault="0013005E" w:rsidP="00FD55B7">
            <w:pPr>
              <w:pStyle w:val="TableText"/>
            </w:pPr>
            <w:r w:rsidRPr="00EB7E71">
              <w:t>Y34</w:t>
            </w:r>
          </w:p>
        </w:tc>
        <w:tc>
          <w:tcPr>
            <w:tcW w:w="7497" w:type="dxa"/>
            <w:shd w:val="clear" w:color="000000" w:fill="DDDDDD"/>
          </w:tcPr>
          <w:p w:rsidR="0013005E" w:rsidRDefault="0013005E" w:rsidP="00FD55B7">
            <w:pPr>
              <w:pStyle w:val="TableText"/>
            </w:pPr>
            <w:r w:rsidRPr="00EB7E71">
              <w:t>Acidic solutions or acids in solid form</w:t>
            </w:r>
          </w:p>
        </w:tc>
      </w:tr>
      <w:tr w:rsidR="0013005E" w:rsidTr="00FD55B7">
        <w:tc>
          <w:tcPr>
            <w:tcW w:w="978" w:type="dxa"/>
            <w:shd w:val="clear" w:color="000000" w:fill="DDDDDD"/>
            <w:vAlign w:val="center"/>
          </w:tcPr>
          <w:p w:rsidR="0013005E" w:rsidRDefault="0013005E" w:rsidP="00FD55B7">
            <w:pPr>
              <w:pStyle w:val="TableText"/>
            </w:pPr>
            <w:r w:rsidRPr="00EB7E71">
              <w:t>Y35</w:t>
            </w:r>
          </w:p>
        </w:tc>
        <w:tc>
          <w:tcPr>
            <w:tcW w:w="7497" w:type="dxa"/>
            <w:shd w:val="clear" w:color="000000" w:fill="DDDDDD"/>
          </w:tcPr>
          <w:p w:rsidR="0013005E" w:rsidRDefault="0013005E" w:rsidP="00FD55B7">
            <w:pPr>
              <w:pStyle w:val="TableText"/>
            </w:pPr>
            <w:r w:rsidRPr="00EB7E71">
              <w:t>Basic solutions or bases in solid form</w:t>
            </w:r>
          </w:p>
        </w:tc>
      </w:tr>
      <w:tr w:rsidR="0013005E" w:rsidTr="00FD55B7">
        <w:tc>
          <w:tcPr>
            <w:tcW w:w="978" w:type="dxa"/>
            <w:shd w:val="clear" w:color="000000" w:fill="DDDDDD"/>
            <w:vAlign w:val="center"/>
          </w:tcPr>
          <w:p w:rsidR="0013005E" w:rsidRDefault="0013005E" w:rsidP="00FD55B7">
            <w:pPr>
              <w:pStyle w:val="TableText"/>
            </w:pPr>
            <w:r w:rsidRPr="00EB7E71">
              <w:t>Y36</w:t>
            </w:r>
          </w:p>
        </w:tc>
        <w:tc>
          <w:tcPr>
            <w:tcW w:w="7497" w:type="dxa"/>
            <w:shd w:val="clear" w:color="000000" w:fill="DDDDDD"/>
          </w:tcPr>
          <w:p w:rsidR="0013005E" w:rsidRDefault="0013005E" w:rsidP="00FD55B7">
            <w:pPr>
              <w:pStyle w:val="TableText"/>
            </w:pPr>
            <w:r w:rsidRPr="00EB7E71">
              <w:t>Asbestos (dust and fibres)</w:t>
            </w:r>
          </w:p>
        </w:tc>
      </w:tr>
      <w:tr w:rsidR="0013005E" w:rsidTr="00FD55B7">
        <w:tc>
          <w:tcPr>
            <w:tcW w:w="978" w:type="dxa"/>
            <w:shd w:val="clear" w:color="000000" w:fill="DDDDDD"/>
            <w:vAlign w:val="center"/>
          </w:tcPr>
          <w:p w:rsidR="0013005E" w:rsidRDefault="0013005E" w:rsidP="00FD55B7">
            <w:pPr>
              <w:pStyle w:val="TableText"/>
            </w:pPr>
            <w:r w:rsidRPr="00EB7E71">
              <w:t>Y37</w:t>
            </w:r>
          </w:p>
        </w:tc>
        <w:tc>
          <w:tcPr>
            <w:tcW w:w="7497" w:type="dxa"/>
            <w:shd w:val="clear" w:color="000000" w:fill="DDDDDD"/>
          </w:tcPr>
          <w:p w:rsidR="0013005E" w:rsidRDefault="0013005E" w:rsidP="00FD55B7">
            <w:pPr>
              <w:pStyle w:val="TableText"/>
            </w:pPr>
            <w:r w:rsidRPr="00EB7E71">
              <w:t>Organic phosphorus compounds</w:t>
            </w:r>
          </w:p>
        </w:tc>
      </w:tr>
      <w:tr w:rsidR="0013005E" w:rsidTr="00FD55B7">
        <w:tc>
          <w:tcPr>
            <w:tcW w:w="978" w:type="dxa"/>
            <w:shd w:val="clear" w:color="000000" w:fill="DDDDDD"/>
            <w:vAlign w:val="center"/>
          </w:tcPr>
          <w:p w:rsidR="0013005E" w:rsidRPr="00EB7E71" w:rsidRDefault="0013005E" w:rsidP="00FD55B7">
            <w:pPr>
              <w:pStyle w:val="TableText"/>
            </w:pPr>
            <w:r w:rsidRPr="00EB7E71">
              <w:t>Y38</w:t>
            </w:r>
          </w:p>
        </w:tc>
        <w:tc>
          <w:tcPr>
            <w:tcW w:w="7497" w:type="dxa"/>
            <w:shd w:val="clear" w:color="000000" w:fill="DDDDDD"/>
          </w:tcPr>
          <w:p w:rsidR="0013005E" w:rsidRPr="00EB7E71" w:rsidRDefault="0013005E" w:rsidP="00FD55B7">
            <w:pPr>
              <w:pStyle w:val="TableText"/>
            </w:pPr>
            <w:r w:rsidRPr="00EB7E71">
              <w:t>Organic cyanides</w:t>
            </w:r>
          </w:p>
        </w:tc>
      </w:tr>
      <w:tr w:rsidR="0013005E" w:rsidTr="00FD55B7">
        <w:tc>
          <w:tcPr>
            <w:tcW w:w="978" w:type="dxa"/>
            <w:shd w:val="clear" w:color="000000" w:fill="DDDDDD"/>
            <w:vAlign w:val="center"/>
          </w:tcPr>
          <w:p w:rsidR="0013005E" w:rsidRPr="00EB7E71" w:rsidRDefault="0013005E" w:rsidP="00FD55B7">
            <w:pPr>
              <w:pStyle w:val="TableText"/>
            </w:pPr>
            <w:r w:rsidRPr="00EB7E71">
              <w:t>Y39</w:t>
            </w:r>
          </w:p>
        </w:tc>
        <w:tc>
          <w:tcPr>
            <w:tcW w:w="7497" w:type="dxa"/>
            <w:shd w:val="clear" w:color="000000" w:fill="DDDDDD"/>
          </w:tcPr>
          <w:p w:rsidR="0013005E" w:rsidRPr="00EB7E71" w:rsidRDefault="0013005E" w:rsidP="00FD55B7">
            <w:pPr>
              <w:pStyle w:val="TableText"/>
            </w:pPr>
            <w:r w:rsidRPr="00EB7E71">
              <w:t xml:space="preserve">Phenols; phenol compounds including </w:t>
            </w:r>
            <w:proofErr w:type="spellStart"/>
            <w:r w:rsidRPr="00EB7E71">
              <w:t>chlorophenols</w:t>
            </w:r>
            <w:proofErr w:type="spellEnd"/>
          </w:p>
        </w:tc>
      </w:tr>
      <w:tr w:rsidR="0013005E" w:rsidTr="00FD55B7">
        <w:tc>
          <w:tcPr>
            <w:tcW w:w="978" w:type="dxa"/>
            <w:shd w:val="clear" w:color="000000" w:fill="DDDDDD"/>
            <w:vAlign w:val="center"/>
          </w:tcPr>
          <w:p w:rsidR="0013005E" w:rsidRPr="00EB7E71" w:rsidRDefault="0013005E" w:rsidP="00FD55B7">
            <w:pPr>
              <w:pStyle w:val="TableText"/>
            </w:pPr>
            <w:r w:rsidRPr="00EB7E71">
              <w:t>Y40</w:t>
            </w:r>
          </w:p>
        </w:tc>
        <w:tc>
          <w:tcPr>
            <w:tcW w:w="7497" w:type="dxa"/>
            <w:shd w:val="clear" w:color="000000" w:fill="DDDDDD"/>
          </w:tcPr>
          <w:p w:rsidR="0013005E" w:rsidRPr="00EB7E71" w:rsidRDefault="0013005E" w:rsidP="00FD55B7">
            <w:pPr>
              <w:pStyle w:val="TableText"/>
            </w:pPr>
            <w:r w:rsidRPr="00EB7E71">
              <w:t>Ethers</w:t>
            </w:r>
          </w:p>
        </w:tc>
      </w:tr>
      <w:tr w:rsidR="0013005E" w:rsidTr="00FD55B7">
        <w:tc>
          <w:tcPr>
            <w:tcW w:w="978" w:type="dxa"/>
            <w:shd w:val="clear" w:color="000000" w:fill="DDDDDD"/>
            <w:vAlign w:val="center"/>
          </w:tcPr>
          <w:p w:rsidR="0013005E" w:rsidRPr="00EB7E71" w:rsidRDefault="0013005E" w:rsidP="00FD55B7">
            <w:pPr>
              <w:pStyle w:val="TableText"/>
            </w:pPr>
            <w:r w:rsidRPr="00EB7E71">
              <w:t>Y41</w:t>
            </w:r>
          </w:p>
        </w:tc>
        <w:tc>
          <w:tcPr>
            <w:tcW w:w="7497" w:type="dxa"/>
            <w:shd w:val="clear" w:color="000000" w:fill="DDDDDD"/>
          </w:tcPr>
          <w:p w:rsidR="0013005E" w:rsidRPr="00EB7E71" w:rsidRDefault="0013005E" w:rsidP="00FD55B7">
            <w:pPr>
              <w:pStyle w:val="TableText"/>
            </w:pPr>
            <w:r w:rsidRPr="00EB7E71">
              <w:t>Halogenated organic solvents</w:t>
            </w:r>
          </w:p>
        </w:tc>
      </w:tr>
      <w:tr w:rsidR="0013005E" w:rsidTr="00FD55B7">
        <w:tc>
          <w:tcPr>
            <w:tcW w:w="978" w:type="dxa"/>
            <w:shd w:val="clear" w:color="000000" w:fill="DDDDDD"/>
            <w:vAlign w:val="center"/>
          </w:tcPr>
          <w:p w:rsidR="0013005E" w:rsidRPr="00EB7E71" w:rsidRDefault="0013005E" w:rsidP="00FD55B7">
            <w:pPr>
              <w:pStyle w:val="TableText"/>
            </w:pPr>
            <w:r w:rsidRPr="00EB7E71">
              <w:t>Y42</w:t>
            </w:r>
          </w:p>
        </w:tc>
        <w:tc>
          <w:tcPr>
            <w:tcW w:w="7497" w:type="dxa"/>
            <w:shd w:val="clear" w:color="000000" w:fill="DDDDDD"/>
          </w:tcPr>
          <w:p w:rsidR="0013005E" w:rsidRPr="00EB7E71" w:rsidRDefault="0013005E" w:rsidP="00FD55B7">
            <w:pPr>
              <w:pStyle w:val="TableText"/>
            </w:pPr>
            <w:r w:rsidRPr="00EB7E71">
              <w:t>Organic solvents excluding halogenated solvents</w:t>
            </w:r>
          </w:p>
        </w:tc>
      </w:tr>
      <w:tr w:rsidR="0013005E" w:rsidTr="00FD55B7">
        <w:tc>
          <w:tcPr>
            <w:tcW w:w="978" w:type="dxa"/>
            <w:shd w:val="clear" w:color="000000" w:fill="DDDDDD"/>
            <w:vAlign w:val="center"/>
          </w:tcPr>
          <w:p w:rsidR="0013005E" w:rsidRPr="00EB7E71" w:rsidRDefault="0013005E" w:rsidP="00FD55B7">
            <w:pPr>
              <w:pStyle w:val="TableText"/>
            </w:pPr>
            <w:r w:rsidRPr="00EB7E71">
              <w:t>Y43</w:t>
            </w:r>
          </w:p>
        </w:tc>
        <w:tc>
          <w:tcPr>
            <w:tcW w:w="7497" w:type="dxa"/>
            <w:shd w:val="clear" w:color="000000" w:fill="DDDDDD"/>
          </w:tcPr>
          <w:p w:rsidR="0013005E" w:rsidRPr="00EB7E71" w:rsidRDefault="0013005E" w:rsidP="00FD55B7">
            <w:pPr>
              <w:pStyle w:val="TableText"/>
            </w:pPr>
            <w:r w:rsidRPr="00EB7E71">
              <w:t xml:space="preserve">Any </w:t>
            </w:r>
            <w:proofErr w:type="spellStart"/>
            <w:r w:rsidRPr="00EB7E71">
              <w:t>congenor</w:t>
            </w:r>
            <w:proofErr w:type="spellEnd"/>
            <w:r w:rsidRPr="00EB7E71">
              <w:t xml:space="preserve"> of polychlorinated </w:t>
            </w:r>
            <w:proofErr w:type="spellStart"/>
            <w:r w:rsidRPr="00EB7E71">
              <w:t>dibenzo</w:t>
            </w:r>
            <w:proofErr w:type="spellEnd"/>
            <w:r w:rsidRPr="00EB7E71">
              <w:t>-furan</w:t>
            </w:r>
          </w:p>
        </w:tc>
      </w:tr>
      <w:tr w:rsidR="0013005E" w:rsidTr="00FD55B7">
        <w:tc>
          <w:tcPr>
            <w:tcW w:w="978" w:type="dxa"/>
            <w:shd w:val="clear" w:color="000000" w:fill="DDDDDD"/>
            <w:vAlign w:val="center"/>
          </w:tcPr>
          <w:p w:rsidR="0013005E" w:rsidRPr="00EB7E71" w:rsidRDefault="0013005E" w:rsidP="00FD55B7">
            <w:pPr>
              <w:pStyle w:val="TableText"/>
            </w:pPr>
            <w:r w:rsidRPr="00EB7E71">
              <w:t>Y44</w:t>
            </w:r>
          </w:p>
        </w:tc>
        <w:tc>
          <w:tcPr>
            <w:tcW w:w="7497" w:type="dxa"/>
            <w:shd w:val="clear" w:color="000000" w:fill="DDDDDD"/>
          </w:tcPr>
          <w:p w:rsidR="0013005E" w:rsidRPr="00EB7E71" w:rsidRDefault="0013005E" w:rsidP="00FD55B7">
            <w:pPr>
              <w:pStyle w:val="TableText"/>
            </w:pPr>
            <w:r w:rsidRPr="00EB7E71">
              <w:t xml:space="preserve">Any </w:t>
            </w:r>
            <w:proofErr w:type="spellStart"/>
            <w:r w:rsidRPr="00EB7E71">
              <w:t>congenor</w:t>
            </w:r>
            <w:proofErr w:type="spellEnd"/>
            <w:r w:rsidRPr="00EB7E71">
              <w:t xml:space="preserve"> of polychlorinated </w:t>
            </w:r>
            <w:proofErr w:type="spellStart"/>
            <w:r w:rsidRPr="00EB7E71">
              <w:t>dibenzo</w:t>
            </w:r>
            <w:proofErr w:type="spellEnd"/>
            <w:r w:rsidRPr="00EB7E71">
              <w:t>-p-dioxin</w:t>
            </w:r>
          </w:p>
        </w:tc>
      </w:tr>
      <w:tr w:rsidR="0013005E" w:rsidTr="00FD55B7">
        <w:tc>
          <w:tcPr>
            <w:tcW w:w="978" w:type="dxa"/>
            <w:tcBorders>
              <w:bottom w:val="single" w:sz="12" w:space="0" w:color="FFFFFF" w:themeColor="background1"/>
            </w:tcBorders>
            <w:shd w:val="clear" w:color="000000" w:fill="DDDDDD"/>
            <w:vAlign w:val="center"/>
          </w:tcPr>
          <w:p w:rsidR="0013005E" w:rsidRPr="00EB7E71" w:rsidRDefault="0013005E" w:rsidP="00FD55B7">
            <w:pPr>
              <w:pStyle w:val="TableText"/>
            </w:pPr>
            <w:r w:rsidRPr="00EB7E71">
              <w:t>Y45</w:t>
            </w:r>
          </w:p>
        </w:tc>
        <w:tc>
          <w:tcPr>
            <w:tcW w:w="7497" w:type="dxa"/>
            <w:tcBorders>
              <w:bottom w:val="single" w:sz="12" w:space="0" w:color="FFFFFF" w:themeColor="background1"/>
            </w:tcBorders>
            <w:shd w:val="clear" w:color="000000" w:fill="DDDDDD"/>
          </w:tcPr>
          <w:p w:rsidR="0013005E" w:rsidRPr="00EB7E71" w:rsidRDefault="0013005E" w:rsidP="00FD55B7">
            <w:pPr>
              <w:pStyle w:val="TableText"/>
            </w:pPr>
            <w:proofErr w:type="spellStart"/>
            <w:r w:rsidRPr="00EB7E71">
              <w:t>Organohalogen</w:t>
            </w:r>
            <w:proofErr w:type="spellEnd"/>
            <w:r w:rsidRPr="00EB7E71">
              <w:t xml:space="preserve"> compounds other than …(e.g. Y39, Y41, Y42, Y43, Y44)</w:t>
            </w:r>
          </w:p>
        </w:tc>
      </w:tr>
      <w:tr w:rsidR="0013005E" w:rsidTr="00FD55B7">
        <w:tc>
          <w:tcPr>
            <w:tcW w:w="8475" w:type="dxa"/>
            <w:gridSpan w:val="2"/>
            <w:shd w:val="clear" w:color="auto" w:fill="495F70"/>
            <w:vAlign w:val="center"/>
          </w:tcPr>
          <w:p w:rsidR="0013005E" w:rsidRDefault="0013005E" w:rsidP="00FD55B7">
            <w:pPr>
              <w:pStyle w:val="TableHeadingWhite"/>
            </w:pPr>
            <w:r>
              <w:t>Categories of wastes requiring special consideration (Annex II)</w:t>
            </w:r>
          </w:p>
        </w:tc>
      </w:tr>
      <w:tr w:rsidR="0013005E" w:rsidTr="00FD55B7">
        <w:tc>
          <w:tcPr>
            <w:tcW w:w="978" w:type="dxa"/>
            <w:vAlign w:val="center"/>
          </w:tcPr>
          <w:p w:rsidR="0013005E" w:rsidRDefault="0013005E" w:rsidP="00FD55B7">
            <w:pPr>
              <w:pStyle w:val="TableText"/>
              <w:rPr>
                <w:rFonts w:ascii="Calibri" w:hAnsi="Calibri"/>
                <w:b/>
                <w:bCs/>
                <w:sz w:val="20"/>
              </w:rPr>
            </w:pPr>
            <w:r>
              <w:rPr>
                <w:rFonts w:ascii="Calibri" w:hAnsi="Calibri"/>
                <w:b/>
                <w:bCs/>
                <w:sz w:val="20"/>
              </w:rPr>
              <w:t>Y46</w:t>
            </w:r>
          </w:p>
        </w:tc>
        <w:tc>
          <w:tcPr>
            <w:tcW w:w="7497" w:type="dxa"/>
          </w:tcPr>
          <w:p w:rsidR="0013005E" w:rsidRDefault="0013005E" w:rsidP="00FD55B7">
            <w:pPr>
              <w:pStyle w:val="TableText"/>
              <w:rPr>
                <w:rFonts w:ascii="Calibri" w:hAnsi="Calibri"/>
                <w:sz w:val="20"/>
              </w:rPr>
            </w:pPr>
            <w:r>
              <w:rPr>
                <w:rFonts w:ascii="Calibri" w:hAnsi="Calibri"/>
                <w:sz w:val="20"/>
              </w:rPr>
              <w:t>Wastes collected from households</w:t>
            </w:r>
          </w:p>
        </w:tc>
      </w:tr>
      <w:tr w:rsidR="0013005E" w:rsidTr="00FD55B7">
        <w:tc>
          <w:tcPr>
            <w:tcW w:w="978" w:type="dxa"/>
            <w:tcBorders>
              <w:bottom w:val="single" w:sz="12" w:space="0" w:color="FFFFFF" w:themeColor="background1"/>
            </w:tcBorders>
            <w:vAlign w:val="center"/>
          </w:tcPr>
          <w:p w:rsidR="0013005E" w:rsidRDefault="0013005E" w:rsidP="00FD55B7">
            <w:pPr>
              <w:pStyle w:val="TableText"/>
              <w:rPr>
                <w:rFonts w:ascii="Calibri" w:hAnsi="Calibri"/>
                <w:b/>
                <w:bCs/>
                <w:sz w:val="20"/>
              </w:rPr>
            </w:pPr>
            <w:r>
              <w:rPr>
                <w:rFonts w:ascii="Calibri" w:hAnsi="Calibri"/>
                <w:b/>
                <w:bCs/>
                <w:sz w:val="20"/>
              </w:rPr>
              <w:t>Y47</w:t>
            </w:r>
          </w:p>
        </w:tc>
        <w:tc>
          <w:tcPr>
            <w:tcW w:w="7497" w:type="dxa"/>
            <w:tcBorders>
              <w:bottom w:val="single" w:sz="12" w:space="0" w:color="FFFFFF" w:themeColor="background1"/>
            </w:tcBorders>
          </w:tcPr>
          <w:p w:rsidR="0013005E" w:rsidRDefault="0013005E" w:rsidP="00FD55B7">
            <w:pPr>
              <w:pStyle w:val="TableText"/>
              <w:rPr>
                <w:rFonts w:ascii="Calibri" w:hAnsi="Calibri"/>
                <w:sz w:val="20"/>
              </w:rPr>
            </w:pPr>
            <w:r>
              <w:rPr>
                <w:rFonts w:ascii="Calibri" w:hAnsi="Calibri"/>
                <w:sz w:val="20"/>
              </w:rPr>
              <w:t>Residues arising from the incineration of household wastes</w:t>
            </w:r>
          </w:p>
        </w:tc>
      </w:tr>
      <w:tr w:rsidR="0013005E" w:rsidTr="00FD55B7">
        <w:tc>
          <w:tcPr>
            <w:tcW w:w="8475" w:type="dxa"/>
            <w:gridSpan w:val="2"/>
            <w:shd w:val="clear" w:color="auto" w:fill="495F70"/>
            <w:vAlign w:val="center"/>
          </w:tcPr>
          <w:p w:rsidR="0013005E" w:rsidRDefault="0013005E" w:rsidP="00FD55B7">
            <w:pPr>
              <w:pStyle w:val="TableHeadingWhite"/>
            </w:pPr>
            <w:r>
              <w:lastRenderedPageBreak/>
              <w:t>Additional waste categories not included in Y-codes</w:t>
            </w:r>
          </w:p>
        </w:tc>
      </w:tr>
      <w:tr w:rsidR="0013005E" w:rsidTr="00FD55B7">
        <w:tc>
          <w:tcPr>
            <w:tcW w:w="978" w:type="dxa"/>
          </w:tcPr>
          <w:p w:rsidR="0013005E" w:rsidRPr="0013005E" w:rsidRDefault="0013005E" w:rsidP="00FD55B7">
            <w:pPr>
              <w:pStyle w:val="TableText"/>
            </w:pPr>
            <w:r w:rsidRPr="0013005E">
              <w:t>1</w:t>
            </w:r>
          </w:p>
        </w:tc>
        <w:tc>
          <w:tcPr>
            <w:tcW w:w="7497" w:type="dxa"/>
            <w:vAlign w:val="bottom"/>
          </w:tcPr>
          <w:p w:rsidR="0013005E" w:rsidRPr="0013005E" w:rsidRDefault="0013005E" w:rsidP="00FD55B7">
            <w:pPr>
              <w:pStyle w:val="TableText"/>
            </w:pPr>
            <w:r w:rsidRPr="0013005E">
              <w:t>Other metal compounds</w:t>
            </w:r>
          </w:p>
        </w:tc>
      </w:tr>
      <w:tr w:rsidR="0013005E" w:rsidTr="00FD55B7">
        <w:tc>
          <w:tcPr>
            <w:tcW w:w="978" w:type="dxa"/>
          </w:tcPr>
          <w:p w:rsidR="0013005E" w:rsidRPr="0013005E" w:rsidRDefault="0013005E" w:rsidP="00FD55B7">
            <w:pPr>
              <w:pStyle w:val="TableText"/>
            </w:pPr>
            <w:r w:rsidRPr="0013005E">
              <w:t>2</w:t>
            </w:r>
          </w:p>
        </w:tc>
        <w:tc>
          <w:tcPr>
            <w:tcW w:w="7497" w:type="dxa"/>
            <w:vAlign w:val="bottom"/>
          </w:tcPr>
          <w:p w:rsidR="0013005E" w:rsidRPr="0013005E" w:rsidRDefault="0013005E" w:rsidP="00FD55B7">
            <w:pPr>
              <w:pStyle w:val="TableText"/>
            </w:pPr>
            <w:r w:rsidRPr="0013005E">
              <w:t>Other inorganic chemicals</w:t>
            </w:r>
          </w:p>
        </w:tc>
      </w:tr>
      <w:tr w:rsidR="0013005E" w:rsidTr="00FD55B7">
        <w:tc>
          <w:tcPr>
            <w:tcW w:w="978" w:type="dxa"/>
          </w:tcPr>
          <w:p w:rsidR="0013005E" w:rsidRPr="0013005E" w:rsidRDefault="0013005E" w:rsidP="00FD55B7">
            <w:pPr>
              <w:pStyle w:val="TableText"/>
            </w:pPr>
            <w:r w:rsidRPr="0013005E">
              <w:t>3</w:t>
            </w:r>
          </w:p>
        </w:tc>
        <w:tc>
          <w:tcPr>
            <w:tcW w:w="7497" w:type="dxa"/>
            <w:vAlign w:val="bottom"/>
          </w:tcPr>
          <w:p w:rsidR="0013005E" w:rsidRPr="0013005E" w:rsidRDefault="0013005E" w:rsidP="00FD55B7">
            <w:pPr>
              <w:pStyle w:val="TableText"/>
            </w:pPr>
            <w:r w:rsidRPr="0013005E">
              <w:t>Other organic chemicals</w:t>
            </w:r>
          </w:p>
        </w:tc>
      </w:tr>
      <w:tr w:rsidR="0013005E" w:rsidTr="00FD55B7">
        <w:tc>
          <w:tcPr>
            <w:tcW w:w="978" w:type="dxa"/>
          </w:tcPr>
          <w:p w:rsidR="0013005E" w:rsidRPr="0013005E" w:rsidRDefault="0013005E" w:rsidP="00FD55B7">
            <w:pPr>
              <w:pStyle w:val="TableText"/>
            </w:pPr>
            <w:r w:rsidRPr="0013005E">
              <w:t>4</w:t>
            </w:r>
          </w:p>
        </w:tc>
        <w:tc>
          <w:tcPr>
            <w:tcW w:w="7497" w:type="dxa"/>
            <w:vAlign w:val="bottom"/>
          </w:tcPr>
          <w:p w:rsidR="0013005E" w:rsidRPr="0013005E" w:rsidRDefault="0013005E" w:rsidP="00FD55B7">
            <w:pPr>
              <w:pStyle w:val="TableText"/>
            </w:pPr>
            <w:proofErr w:type="spellStart"/>
            <w:r w:rsidRPr="0013005E">
              <w:t>Putrescible</w:t>
            </w:r>
            <w:proofErr w:type="spellEnd"/>
            <w:r w:rsidRPr="0013005E">
              <w:t>/ organic waste</w:t>
            </w:r>
          </w:p>
        </w:tc>
      </w:tr>
      <w:tr w:rsidR="0013005E" w:rsidTr="00FD55B7">
        <w:tc>
          <w:tcPr>
            <w:tcW w:w="978" w:type="dxa"/>
          </w:tcPr>
          <w:p w:rsidR="0013005E" w:rsidRPr="0013005E" w:rsidRDefault="0013005E" w:rsidP="00FD55B7">
            <w:pPr>
              <w:pStyle w:val="TableText"/>
            </w:pPr>
            <w:r w:rsidRPr="0013005E">
              <w:t>5</w:t>
            </w:r>
          </w:p>
        </w:tc>
        <w:tc>
          <w:tcPr>
            <w:tcW w:w="7497" w:type="dxa"/>
          </w:tcPr>
          <w:p w:rsidR="0013005E" w:rsidRPr="0013005E" w:rsidRDefault="0013005E" w:rsidP="00FD55B7">
            <w:pPr>
              <w:pStyle w:val="TableText"/>
            </w:pPr>
            <w:r w:rsidRPr="0013005E">
              <w:t>Waste packages and containers containing Annex 1 substances in concentrations sufficient to exhibit Annex III hazard characteristics</w:t>
            </w:r>
          </w:p>
        </w:tc>
      </w:tr>
      <w:tr w:rsidR="0013005E" w:rsidTr="00FD55B7">
        <w:tc>
          <w:tcPr>
            <w:tcW w:w="978" w:type="dxa"/>
          </w:tcPr>
          <w:p w:rsidR="0013005E" w:rsidRPr="0013005E" w:rsidRDefault="0013005E" w:rsidP="00FD55B7">
            <w:pPr>
              <w:pStyle w:val="TableText"/>
            </w:pPr>
            <w:r w:rsidRPr="0013005E">
              <w:t>6</w:t>
            </w:r>
          </w:p>
        </w:tc>
        <w:tc>
          <w:tcPr>
            <w:tcW w:w="7497" w:type="dxa"/>
          </w:tcPr>
          <w:p w:rsidR="0013005E" w:rsidRPr="0013005E" w:rsidRDefault="0013005E" w:rsidP="00FD55B7">
            <w:pPr>
              <w:pStyle w:val="TableText"/>
            </w:pPr>
            <w:r w:rsidRPr="0013005E">
              <w:t>Soils contaminated with residues of substances in Basel Y-codes 19-45</w:t>
            </w:r>
          </w:p>
        </w:tc>
      </w:tr>
      <w:tr w:rsidR="0013005E" w:rsidTr="00FD55B7">
        <w:tc>
          <w:tcPr>
            <w:tcW w:w="978" w:type="dxa"/>
          </w:tcPr>
          <w:p w:rsidR="0013005E" w:rsidRPr="0013005E" w:rsidRDefault="0013005E" w:rsidP="00FD55B7">
            <w:pPr>
              <w:pStyle w:val="TableText"/>
            </w:pPr>
            <w:r w:rsidRPr="0013005E">
              <w:t>7</w:t>
            </w:r>
          </w:p>
        </w:tc>
        <w:tc>
          <w:tcPr>
            <w:tcW w:w="7497" w:type="dxa"/>
            <w:vAlign w:val="bottom"/>
          </w:tcPr>
          <w:p w:rsidR="0013005E" w:rsidRPr="0013005E" w:rsidRDefault="0013005E" w:rsidP="00FD55B7">
            <w:pPr>
              <w:pStyle w:val="TableText"/>
            </w:pPr>
            <w:proofErr w:type="spellStart"/>
            <w:r w:rsidRPr="0013005E">
              <w:t>Sludges</w:t>
            </w:r>
            <w:proofErr w:type="spellEnd"/>
            <w:r w:rsidRPr="0013005E">
              <w:t xml:space="preserve"> contaminated with residues of substances in Basel Y-codes 19-45</w:t>
            </w:r>
          </w:p>
        </w:tc>
      </w:tr>
      <w:tr w:rsidR="0013005E" w:rsidTr="00FD55B7">
        <w:tc>
          <w:tcPr>
            <w:tcW w:w="978" w:type="dxa"/>
          </w:tcPr>
          <w:p w:rsidR="0013005E" w:rsidRPr="0013005E" w:rsidRDefault="0013005E" w:rsidP="00FD55B7">
            <w:pPr>
              <w:pStyle w:val="TableText"/>
            </w:pPr>
            <w:r w:rsidRPr="0013005E">
              <w:t>8</w:t>
            </w:r>
          </w:p>
        </w:tc>
        <w:tc>
          <w:tcPr>
            <w:tcW w:w="7497" w:type="dxa"/>
            <w:vAlign w:val="bottom"/>
          </w:tcPr>
          <w:p w:rsidR="0013005E" w:rsidRPr="0013005E" w:rsidRDefault="0013005E" w:rsidP="00FD55B7">
            <w:pPr>
              <w:pStyle w:val="TableText"/>
            </w:pPr>
            <w:r w:rsidRPr="0013005E">
              <w:t>Tyres</w:t>
            </w:r>
          </w:p>
        </w:tc>
      </w:tr>
    </w:tbl>
    <w:p w:rsidR="00DB3342" w:rsidRDefault="00DB3342" w:rsidP="00DB3342">
      <w:pPr>
        <w:pStyle w:val="ParaIndent"/>
        <w:spacing w:before="100" w:beforeAutospacing="1"/>
      </w:pPr>
      <w:r>
        <w:t xml:space="preserve">In Australia </w:t>
      </w:r>
      <w:r w:rsidRPr="00DB3342">
        <w:t xml:space="preserve">the controlled waste NEPM </w:t>
      </w:r>
      <w:r>
        <w:t>spells</w:t>
      </w:r>
      <w:r w:rsidRPr="00DB3342">
        <w:t xml:space="preserve"> out a raft of issues</w:t>
      </w:r>
      <w:r>
        <w:t xml:space="preserve"> for consideration by the states and territories</w:t>
      </w:r>
      <w:r w:rsidRPr="00DB3342">
        <w:t>, from hazardous waste definitions to</w:t>
      </w:r>
      <w:r>
        <w:t xml:space="preserve"> waste tracking certificate</w:t>
      </w:r>
      <w:r w:rsidRPr="00DB3342">
        <w:t xml:space="preserve"> information requirements </w:t>
      </w:r>
      <w:r>
        <w:t>to</w:t>
      </w:r>
      <w:r w:rsidRPr="00DB3342">
        <w:t xml:space="preserve"> data report regimes. </w:t>
      </w:r>
      <w:r>
        <w:t>For example, t</w:t>
      </w:r>
      <w:r w:rsidRPr="00F74A5B">
        <w:t xml:space="preserve">he NEPM 75 </w:t>
      </w:r>
      <w:r>
        <w:t xml:space="preserve">wastes </w:t>
      </w:r>
      <w:r w:rsidRPr="00F74A5B">
        <w:t>possess one or m</w:t>
      </w:r>
      <w:r>
        <w:t xml:space="preserve">ore of the characteristics in </w:t>
      </w:r>
      <w:r w:rsidR="00350C10">
        <w:rPr>
          <w:highlight w:val="yellow"/>
        </w:rPr>
        <w:fldChar w:fldCharType="begin"/>
      </w:r>
      <w:r>
        <w:instrText xml:space="preserve"> REF _Ref417564342 \h </w:instrText>
      </w:r>
      <w:r w:rsidR="00350C10">
        <w:rPr>
          <w:highlight w:val="yellow"/>
        </w:rPr>
      </w:r>
      <w:r w:rsidR="00350C10">
        <w:rPr>
          <w:highlight w:val="yellow"/>
        </w:rPr>
        <w:fldChar w:fldCharType="separate"/>
      </w:r>
      <w:r w:rsidR="00261FA5" w:rsidRPr="006226B1">
        <w:t xml:space="preserve">Table </w:t>
      </w:r>
      <w:r w:rsidR="00261FA5">
        <w:rPr>
          <w:noProof/>
        </w:rPr>
        <w:t>2</w:t>
      </w:r>
      <w:r w:rsidR="00261FA5" w:rsidRPr="006226B1">
        <w:t>-</w:t>
      </w:r>
      <w:r w:rsidR="00261FA5">
        <w:rPr>
          <w:noProof/>
        </w:rPr>
        <w:t>4</w:t>
      </w:r>
      <w:r w:rsidR="00350C10">
        <w:rPr>
          <w:highlight w:val="yellow"/>
        </w:rPr>
        <w:fldChar w:fldCharType="end"/>
      </w:r>
      <w:r w:rsidRPr="00F74A5B">
        <w:t xml:space="preserve">. </w:t>
      </w:r>
    </w:p>
    <w:p w:rsidR="00DB3342" w:rsidRDefault="00DB3342" w:rsidP="00DB3342">
      <w:pPr>
        <w:pStyle w:val="Caption"/>
        <w:ind w:left="1134"/>
      </w:pPr>
      <w:bookmarkStart w:id="32" w:name="_Ref417564342"/>
      <w:bookmarkStart w:id="33" w:name="_Toc421181765"/>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4</w:t>
      </w:r>
      <w:r w:rsidR="00350C10">
        <w:fldChar w:fldCharType="end"/>
      </w:r>
      <w:bookmarkEnd w:id="32"/>
      <w:r w:rsidRPr="006226B1">
        <w:tab/>
      </w:r>
      <w:r>
        <w:t>Characteristics of controlled wastes</w:t>
      </w:r>
      <w:bookmarkEnd w:id="33"/>
    </w:p>
    <w:tbl>
      <w:tblPr>
        <w:tblStyle w:val="HyderTableStyle2"/>
        <w:tblW w:w="0" w:type="auto"/>
        <w:tblInd w:w="1134" w:type="dxa"/>
        <w:tblLook w:val="04A0"/>
      </w:tblPr>
      <w:tblGrid>
        <w:gridCol w:w="1806"/>
        <w:gridCol w:w="716"/>
        <w:gridCol w:w="5953"/>
      </w:tblGrid>
      <w:tr w:rsidR="00DB3342" w:rsidRPr="00F74A5B" w:rsidTr="00596D62">
        <w:trPr>
          <w:cnfStyle w:val="100000000000"/>
        </w:trPr>
        <w:tc>
          <w:tcPr>
            <w:tcW w:w="1806" w:type="dxa"/>
            <w:tcBorders>
              <w:bottom w:val="single" w:sz="12" w:space="0" w:color="FFFFFF" w:themeColor="background1"/>
            </w:tcBorders>
          </w:tcPr>
          <w:p w:rsidR="00DB3342" w:rsidRPr="00F74A5B" w:rsidRDefault="00DB334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rPr>
            </w:pPr>
            <w:r w:rsidRPr="00F74A5B">
              <w:rPr>
                <w:b/>
              </w:rPr>
              <w:t>Dangerous Goods Class (UN Class)</w:t>
            </w:r>
          </w:p>
        </w:tc>
        <w:tc>
          <w:tcPr>
            <w:tcW w:w="716" w:type="dxa"/>
            <w:tcBorders>
              <w:bottom w:val="single" w:sz="12" w:space="0" w:color="FFFFFF" w:themeColor="background1"/>
            </w:tcBorders>
          </w:tcPr>
          <w:p w:rsidR="00DB3342" w:rsidRPr="00F74A5B" w:rsidRDefault="00DB334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rPr>
            </w:pPr>
            <w:r w:rsidRPr="00F74A5B">
              <w:rPr>
                <w:b/>
              </w:rPr>
              <w:t>UN Code</w:t>
            </w:r>
          </w:p>
        </w:tc>
        <w:tc>
          <w:tcPr>
            <w:tcW w:w="5953" w:type="dxa"/>
            <w:tcBorders>
              <w:bottom w:val="single" w:sz="12" w:space="0" w:color="FFFFFF" w:themeColor="background1"/>
            </w:tcBorders>
          </w:tcPr>
          <w:p w:rsidR="00DB3342" w:rsidRPr="00F74A5B" w:rsidRDefault="00DB334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rPr>
            </w:pPr>
            <w:r w:rsidRPr="00F74A5B">
              <w:rPr>
                <w:b/>
              </w:rPr>
              <w:t>Characteristic</w:t>
            </w:r>
          </w:p>
        </w:tc>
      </w:tr>
      <w:tr w:rsidR="00DB3342" w:rsidRPr="00F74A5B" w:rsidTr="00596D62">
        <w:tc>
          <w:tcPr>
            <w:tcW w:w="1806" w:type="dxa"/>
          </w:tcPr>
          <w:p w:rsidR="00DB3342" w:rsidRPr="00F74A5B" w:rsidRDefault="00DB3342" w:rsidP="00596D62">
            <w:pPr>
              <w:spacing w:after="60"/>
            </w:pPr>
            <w:r w:rsidRPr="00F74A5B">
              <w:t>1</w:t>
            </w:r>
          </w:p>
        </w:tc>
        <w:tc>
          <w:tcPr>
            <w:tcW w:w="716" w:type="dxa"/>
          </w:tcPr>
          <w:p w:rsidR="00DB3342" w:rsidRPr="00F74A5B" w:rsidRDefault="00DB3342" w:rsidP="00596D62">
            <w:pPr>
              <w:spacing w:after="60"/>
            </w:pPr>
            <w:r w:rsidRPr="00F74A5B">
              <w:t>H1</w:t>
            </w:r>
          </w:p>
        </w:tc>
        <w:tc>
          <w:tcPr>
            <w:tcW w:w="5953" w:type="dxa"/>
          </w:tcPr>
          <w:p w:rsidR="00DB3342" w:rsidRPr="00F74A5B" w:rsidRDefault="00DB3342" w:rsidP="00596D62">
            <w:pPr>
              <w:spacing w:after="60"/>
            </w:pPr>
            <w:r w:rsidRPr="00F74A5B">
              <w:t>Explosive</w:t>
            </w:r>
          </w:p>
        </w:tc>
      </w:tr>
      <w:tr w:rsidR="00DB3342" w:rsidRPr="00F74A5B" w:rsidTr="00596D62">
        <w:tc>
          <w:tcPr>
            <w:tcW w:w="1806" w:type="dxa"/>
          </w:tcPr>
          <w:p w:rsidR="00DB3342" w:rsidRPr="00F74A5B" w:rsidRDefault="00DB3342" w:rsidP="00596D62">
            <w:pPr>
              <w:spacing w:after="60"/>
            </w:pPr>
            <w:r w:rsidRPr="00F74A5B">
              <w:t>3</w:t>
            </w:r>
          </w:p>
        </w:tc>
        <w:tc>
          <w:tcPr>
            <w:tcW w:w="716" w:type="dxa"/>
          </w:tcPr>
          <w:p w:rsidR="00DB3342" w:rsidRPr="00F74A5B" w:rsidRDefault="00DB3342" w:rsidP="00596D62">
            <w:pPr>
              <w:spacing w:after="60"/>
            </w:pPr>
            <w:r w:rsidRPr="00F74A5B">
              <w:t>H3</w:t>
            </w:r>
          </w:p>
        </w:tc>
        <w:tc>
          <w:tcPr>
            <w:tcW w:w="5953" w:type="dxa"/>
          </w:tcPr>
          <w:p w:rsidR="00DB3342" w:rsidRPr="00F74A5B" w:rsidRDefault="00DB3342" w:rsidP="00596D62">
            <w:pPr>
              <w:spacing w:after="60"/>
            </w:pPr>
            <w:r w:rsidRPr="00F74A5B">
              <w:t>Flammable liquid</w:t>
            </w:r>
          </w:p>
        </w:tc>
      </w:tr>
      <w:tr w:rsidR="00DB3342" w:rsidRPr="00F74A5B" w:rsidTr="00596D62">
        <w:tc>
          <w:tcPr>
            <w:tcW w:w="1806" w:type="dxa"/>
          </w:tcPr>
          <w:p w:rsidR="00DB3342" w:rsidRPr="00F74A5B" w:rsidRDefault="00DB3342" w:rsidP="00596D62">
            <w:pPr>
              <w:spacing w:after="60"/>
            </w:pPr>
            <w:r w:rsidRPr="00F74A5B">
              <w:t>4.1</w:t>
            </w:r>
          </w:p>
        </w:tc>
        <w:tc>
          <w:tcPr>
            <w:tcW w:w="716" w:type="dxa"/>
          </w:tcPr>
          <w:p w:rsidR="00DB3342" w:rsidRPr="00F74A5B" w:rsidRDefault="00DB3342" w:rsidP="00596D62">
            <w:pPr>
              <w:spacing w:after="60"/>
            </w:pPr>
            <w:r w:rsidRPr="00F74A5B">
              <w:t>H4.1</w:t>
            </w:r>
          </w:p>
        </w:tc>
        <w:tc>
          <w:tcPr>
            <w:tcW w:w="5953" w:type="dxa"/>
          </w:tcPr>
          <w:p w:rsidR="00DB3342" w:rsidRPr="00F74A5B" w:rsidRDefault="00DB3342" w:rsidP="00596D62">
            <w:pPr>
              <w:spacing w:after="60"/>
            </w:pPr>
            <w:r w:rsidRPr="00F74A5B">
              <w:t>Flammable solid</w:t>
            </w:r>
          </w:p>
        </w:tc>
      </w:tr>
      <w:tr w:rsidR="00DB3342" w:rsidRPr="00F74A5B" w:rsidTr="00596D62">
        <w:tc>
          <w:tcPr>
            <w:tcW w:w="1806" w:type="dxa"/>
          </w:tcPr>
          <w:p w:rsidR="00DB3342" w:rsidRPr="00F74A5B" w:rsidRDefault="00DB3342" w:rsidP="00596D62">
            <w:pPr>
              <w:spacing w:after="60"/>
            </w:pPr>
            <w:r w:rsidRPr="00F74A5B">
              <w:t>4.2</w:t>
            </w:r>
          </w:p>
        </w:tc>
        <w:tc>
          <w:tcPr>
            <w:tcW w:w="716" w:type="dxa"/>
          </w:tcPr>
          <w:p w:rsidR="00DB3342" w:rsidRPr="00F74A5B" w:rsidRDefault="00DB3342" w:rsidP="00596D62">
            <w:pPr>
              <w:spacing w:after="60"/>
            </w:pPr>
            <w:r w:rsidRPr="00F74A5B">
              <w:t>H4.2</w:t>
            </w:r>
          </w:p>
        </w:tc>
        <w:tc>
          <w:tcPr>
            <w:tcW w:w="5953" w:type="dxa"/>
          </w:tcPr>
          <w:p w:rsidR="00DB3342" w:rsidRPr="00F74A5B" w:rsidRDefault="00DB3342" w:rsidP="00596D62">
            <w:pPr>
              <w:spacing w:after="60"/>
            </w:pPr>
            <w:r w:rsidRPr="00F74A5B">
              <w:t>Substances or wastes liable to spontaneous combustion</w:t>
            </w:r>
          </w:p>
        </w:tc>
      </w:tr>
      <w:tr w:rsidR="00DB3342" w:rsidRPr="00F74A5B" w:rsidTr="00596D62">
        <w:tc>
          <w:tcPr>
            <w:tcW w:w="1806" w:type="dxa"/>
          </w:tcPr>
          <w:p w:rsidR="00DB3342" w:rsidRPr="00F74A5B" w:rsidRDefault="00DB3342" w:rsidP="00596D62">
            <w:pPr>
              <w:spacing w:after="60"/>
            </w:pPr>
            <w:r w:rsidRPr="00F74A5B">
              <w:t>4.3</w:t>
            </w:r>
          </w:p>
        </w:tc>
        <w:tc>
          <w:tcPr>
            <w:tcW w:w="716" w:type="dxa"/>
          </w:tcPr>
          <w:p w:rsidR="00DB3342" w:rsidRPr="00F74A5B" w:rsidRDefault="00DB3342" w:rsidP="00596D62">
            <w:pPr>
              <w:spacing w:after="60"/>
            </w:pPr>
            <w:r w:rsidRPr="00F74A5B">
              <w:t>H4.3</w:t>
            </w:r>
          </w:p>
        </w:tc>
        <w:tc>
          <w:tcPr>
            <w:tcW w:w="5953" w:type="dxa"/>
          </w:tcPr>
          <w:p w:rsidR="00DB3342" w:rsidRPr="00F74A5B" w:rsidRDefault="00DB3342" w:rsidP="00596D62">
            <w:pPr>
              <w:spacing w:after="60"/>
            </w:pPr>
            <w:r w:rsidRPr="00F74A5B">
              <w:t>Substances or wastes which, in contact with water, emit flammable gases</w:t>
            </w:r>
          </w:p>
        </w:tc>
      </w:tr>
      <w:tr w:rsidR="00DB3342" w:rsidRPr="00F74A5B" w:rsidTr="00596D62">
        <w:tc>
          <w:tcPr>
            <w:tcW w:w="1806" w:type="dxa"/>
          </w:tcPr>
          <w:p w:rsidR="00DB3342" w:rsidRPr="00F74A5B" w:rsidRDefault="00DB3342" w:rsidP="00596D62">
            <w:pPr>
              <w:spacing w:after="60"/>
            </w:pPr>
            <w:r w:rsidRPr="00F74A5B">
              <w:t>5.1</w:t>
            </w:r>
          </w:p>
        </w:tc>
        <w:tc>
          <w:tcPr>
            <w:tcW w:w="716" w:type="dxa"/>
          </w:tcPr>
          <w:p w:rsidR="00DB3342" w:rsidRPr="00F74A5B" w:rsidRDefault="00DB3342" w:rsidP="00596D62">
            <w:pPr>
              <w:spacing w:after="60"/>
            </w:pPr>
            <w:r w:rsidRPr="00F74A5B">
              <w:t>H5.1</w:t>
            </w:r>
          </w:p>
        </w:tc>
        <w:tc>
          <w:tcPr>
            <w:tcW w:w="5953" w:type="dxa"/>
          </w:tcPr>
          <w:p w:rsidR="00DB3342" w:rsidRPr="00F74A5B" w:rsidRDefault="00DB3342" w:rsidP="00596D62">
            <w:pPr>
              <w:spacing w:after="60"/>
            </w:pPr>
            <w:r w:rsidRPr="00F74A5B">
              <w:t>Oxidising</w:t>
            </w:r>
          </w:p>
        </w:tc>
      </w:tr>
      <w:tr w:rsidR="00DB3342" w:rsidRPr="00F74A5B" w:rsidTr="00596D62">
        <w:tc>
          <w:tcPr>
            <w:tcW w:w="1806" w:type="dxa"/>
          </w:tcPr>
          <w:p w:rsidR="00DB3342" w:rsidRPr="00F74A5B" w:rsidRDefault="00DB3342" w:rsidP="00596D62">
            <w:pPr>
              <w:spacing w:after="60"/>
            </w:pPr>
            <w:r w:rsidRPr="00F74A5B">
              <w:t>5.2</w:t>
            </w:r>
          </w:p>
        </w:tc>
        <w:tc>
          <w:tcPr>
            <w:tcW w:w="716" w:type="dxa"/>
          </w:tcPr>
          <w:p w:rsidR="00DB3342" w:rsidRPr="00F74A5B" w:rsidRDefault="00DB3342" w:rsidP="00596D62">
            <w:pPr>
              <w:spacing w:after="60"/>
            </w:pPr>
            <w:r w:rsidRPr="00F74A5B">
              <w:t>H5.2</w:t>
            </w:r>
          </w:p>
        </w:tc>
        <w:tc>
          <w:tcPr>
            <w:tcW w:w="5953" w:type="dxa"/>
          </w:tcPr>
          <w:p w:rsidR="00DB3342" w:rsidRPr="00F74A5B" w:rsidRDefault="00DB3342" w:rsidP="00596D62">
            <w:pPr>
              <w:spacing w:after="60"/>
            </w:pPr>
            <w:r w:rsidRPr="00F74A5B">
              <w:t>Organic peroxides</w:t>
            </w:r>
          </w:p>
        </w:tc>
      </w:tr>
      <w:tr w:rsidR="00DB3342" w:rsidRPr="00F74A5B" w:rsidTr="00596D62">
        <w:tc>
          <w:tcPr>
            <w:tcW w:w="1806" w:type="dxa"/>
          </w:tcPr>
          <w:p w:rsidR="00DB3342" w:rsidRPr="00F74A5B" w:rsidRDefault="00DB3342" w:rsidP="00596D62">
            <w:pPr>
              <w:spacing w:after="60"/>
            </w:pPr>
            <w:r w:rsidRPr="00F74A5B">
              <w:t>6.1</w:t>
            </w:r>
          </w:p>
        </w:tc>
        <w:tc>
          <w:tcPr>
            <w:tcW w:w="716" w:type="dxa"/>
          </w:tcPr>
          <w:p w:rsidR="00DB3342" w:rsidRPr="00F74A5B" w:rsidRDefault="00DB3342" w:rsidP="00596D62">
            <w:pPr>
              <w:spacing w:after="60"/>
            </w:pPr>
            <w:r w:rsidRPr="00F74A5B">
              <w:t>H6.1</w:t>
            </w:r>
          </w:p>
        </w:tc>
        <w:tc>
          <w:tcPr>
            <w:tcW w:w="5953" w:type="dxa"/>
          </w:tcPr>
          <w:p w:rsidR="00DB3342" w:rsidRPr="00F74A5B" w:rsidRDefault="00DB3342" w:rsidP="00596D62">
            <w:pPr>
              <w:spacing w:after="60"/>
            </w:pPr>
            <w:r w:rsidRPr="00F74A5B">
              <w:t>Poisonous (acute)</w:t>
            </w:r>
          </w:p>
        </w:tc>
      </w:tr>
      <w:tr w:rsidR="00DB3342" w:rsidRPr="00F74A5B" w:rsidTr="00596D62">
        <w:tc>
          <w:tcPr>
            <w:tcW w:w="1806" w:type="dxa"/>
          </w:tcPr>
          <w:p w:rsidR="00DB3342" w:rsidRPr="00F74A5B" w:rsidRDefault="00DB3342" w:rsidP="00596D62">
            <w:pPr>
              <w:spacing w:after="60"/>
            </w:pPr>
            <w:r w:rsidRPr="00F74A5B">
              <w:t>6.2</w:t>
            </w:r>
          </w:p>
        </w:tc>
        <w:tc>
          <w:tcPr>
            <w:tcW w:w="716" w:type="dxa"/>
          </w:tcPr>
          <w:p w:rsidR="00DB3342" w:rsidRPr="00F74A5B" w:rsidRDefault="00DB3342" w:rsidP="00596D62">
            <w:pPr>
              <w:spacing w:after="60"/>
            </w:pPr>
            <w:r w:rsidRPr="00F74A5B">
              <w:t>H6.2</w:t>
            </w:r>
          </w:p>
        </w:tc>
        <w:tc>
          <w:tcPr>
            <w:tcW w:w="5953" w:type="dxa"/>
          </w:tcPr>
          <w:p w:rsidR="00DB3342" w:rsidRPr="00F74A5B" w:rsidRDefault="00DB3342" w:rsidP="00596D62">
            <w:pPr>
              <w:spacing w:after="60"/>
            </w:pPr>
            <w:r w:rsidRPr="00F74A5B">
              <w:t>Infectious substances</w:t>
            </w:r>
          </w:p>
        </w:tc>
      </w:tr>
      <w:tr w:rsidR="00DB3342" w:rsidRPr="00F74A5B" w:rsidTr="00596D62">
        <w:tc>
          <w:tcPr>
            <w:tcW w:w="1806" w:type="dxa"/>
          </w:tcPr>
          <w:p w:rsidR="00DB3342" w:rsidRPr="00F74A5B" w:rsidRDefault="00DB3342" w:rsidP="00596D62">
            <w:pPr>
              <w:spacing w:after="60"/>
            </w:pPr>
            <w:r w:rsidRPr="00F74A5B">
              <w:t>8</w:t>
            </w:r>
          </w:p>
        </w:tc>
        <w:tc>
          <w:tcPr>
            <w:tcW w:w="716" w:type="dxa"/>
          </w:tcPr>
          <w:p w:rsidR="00DB3342" w:rsidRPr="00F74A5B" w:rsidRDefault="00DB3342" w:rsidP="00596D62">
            <w:pPr>
              <w:spacing w:after="60"/>
            </w:pPr>
            <w:r w:rsidRPr="00F74A5B">
              <w:t>H8</w:t>
            </w:r>
          </w:p>
        </w:tc>
        <w:tc>
          <w:tcPr>
            <w:tcW w:w="5953" w:type="dxa"/>
          </w:tcPr>
          <w:p w:rsidR="00DB3342" w:rsidRPr="00F74A5B" w:rsidRDefault="00DB3342" w:rsidP="00596D62">
            <w:pPr>
              <w:spacing w:after="60"/>
            </w:pPr>
            <w:r w:rsidRPr="00F74A5B">
              <w:t>Corrosives</w:t>
            </w:r>
          </w:p>
        </w:tc>
      </w:tr>
      <w:tr w:rsidR="00DB3342" w:rsidRPr="00F74A5B" w:rsidTr="00596D62">
        <w:tc>
          <w:tcPr>
            <w:tcW w:w="1806" w:type="dxa"/>
          </w:tcPr>
          <w:p w:rsidR="00DB3342" w:rsidRPr="00F74A5B" w:rsidRDefault="00DB3342" w:rsidP="00596D62">
            <w:pPr>
              <w:spacing w:after="60"/>
            </w:pPr>
            <w:r w:rsidRPr="00F74A5B">
              <w:t>9</w:t>
            </w:r>
          </w:p>
        </w:tc>
        <w:tc>
          <w:tcPr>
            <w:tcW w:w="716" w:type="dxa"/>
          </w:tcPr>
          <w:p w:rsidR="00DB3342" w:rsidRPr="00F74A5B" w:rsidRDefault="00DB3342" w:rsidP="00596D62">
            <w:pPr>
              <w:spacing w:after="60"/>
            </w:pPr>
            <w:r w:rsidRPr="00F74A5B">
              <w:t>H10</w:t>
            </w:r>
          </w:p>
        </w:tc>
        <w:tc>
          <w:tcPr>
            <w:tcW w:w="5953" w:type="dxa"/>
          </w:tcPr>
          <w:p w:rsidR="00DB3342" w:rsidRPr="00F74A5B" w:rsidRDefault="00DB3342" w:rsidP="00596D62">
            <w:pPr>
              <w:spacing w:after="60"/>
            </w:pPr>
            <w:r w:rsidRPr="00F74A5B">
              <w:t>Liberation of toxic gases in contact with air or water</w:t>
            </w:r>
          </w:p>
        </w:tc>
      </w:tr>
      <w:tr w:rsidR="00DB3342" w:rsidRPr="00F74A5B" w:rsidTr="00596D62">
        <w:tc>
          <w:tcPr>
            <w:tcW w:w="1806" w:type="dxa"/>
          </w:tcPr>
          <w:p w:rsidR="00DB3342" w:rsidRPr="00F74A5B" w:rsidRDefault="00DB3342" w:rsidP="00596D62">
            <w:pPr>
              <w:spacing w:after="60"/>
            </w:pPr>
            <w:r w:rsidRPr="00F74A5B">
              <w:t>9</w:t>
            </w:r>
          </w:p>
        </w:tc>
        <w:tc>
          <w:tcPr>
            <w:tcW w:w="716" w:type="dxa"/>
          </w:tcPr>
          <w:p w:rsidR="00DB3342" w:rsidRPr="00F74A5B" w:rsidRDefault="00DB3342" w:rsidP="00596D62">
            <w:pPr>
              <w:spacing w:after="60"/>
            </w:pPr>
            <w:r w:rsidRPr="00F74A5B">
              <w:t>H11</w:t>
            </w:r>
          </w:p>
        </w:tc>
        <w:tc>
          <w:tcPr>
            <w:tcW w:w="5953" w:type="dxa"/>
          </w:tcPr>
          <w:p w:rsidR="00DB3342" w:rsidRPr="00F74A5B" w:rsidRDefault="00DB3342" w:rsidP="00596D62">
            <w:pPr>
              <w:spacing w:after="60"/>
            </w:pPr>
            <w:r w:rsidRPr="00F74A5B">
              <w:t>Toxic (delay or chronic)</w:t>
            </w:r>
          </w:p>
        </w:tc>
      </w:tr>
      <w:tr w:rsidR="00DB3342" w:rsidRPr="00F74A5B" w:rsidTr="00596D62">
        <w:tc>
          <w:tcPr>
            <w:tcW w:w="1806" w:type="dxa"/>
          </w:tcPr>
          <w:p w:rsidR="00DB3342" w:rsidRPr="00F74A5B" w:rsidRDefault="00DB3342" w:rsidP="00596D62">
            <w:pPr>
              <w:spacing w:after="60"/>
            </w:pPr>
            <w:r w:rsidRPr="00F74A5B">
              <w:t>9</w:t>
            </w:r>
          </w:p>
        </w:tc>
        <w:tc>
          <w:tcPr>
            <w:tcW w:w="716" w:type="dxa"/>
          </w:tcPr>
          <w:p w:rsidR="00DB3342" w:rsidRPr="00F74A5B" w:rsidRDefault="00DB3342" w:rsidP="00596D62">
            <w:pPr>
              <w:spacing w:after="60"/>
            </w:pPr>
            <w:r w:rsidRPr="00F74A5B">
              <w:t>H12</w:t>
            </w:r>
          </w:p>
        </w:tc>
        <w:tc>
          <w:tcPr>
            <w:tcW w:w="5953" w:type="dxa"/>
          </w:tcPr>
          <w:p w:rsidR="00DB3342" w:rsidRPr="00F74A5B" w:rsidRDefault="00DB3342" w:rsidP="00596D62">
            <w:pPr>
              <w:spacing w:after="60"/>
            </w:pPr>
            <w:proofErr w:type="spellStart"/>
            <w:r w:rsidRPr="00F74A5B">
              <w:t>Ecotoxic</w:t>
            </w:r>
            <w:proofErr w:type="spellEnd"/>
          </w:p>
        </w:tc>
      </w:tr>
      <w:tr w:rsidR="00DB3342" w:rsidRPr="00F74A5B" w:rsidTr="00596D62">
        <w:tc>
          <w:tcPr>
            <w:tcW w:w="1806" w:type="dxa"/>
          </w:tcPr>
          <w:p w:rsidR="00DB3342" w:rsidRPr="00F74A5B" w:rsidRDefault="00DB3342" w:rsidP="00596D62">
            <w:pPr>
              <w:spacing w:after="60"/>
            </w:pPr>
            <w:r w:rsidRPr="00F74A5B">
              <w:t>9</w:t>
            </w:r>
          </w:p>
        </w:tc>
        <w:tc>
          <w:tcPr>
            <w:tcW w:w="716" w:type="dxa"/>
          </w:tcPr>
          <w:p w:rsidR="00DB3342" w:rsidRPr="00F74A5B" w:rsidRDefault="00DB3342" w:rsidP="00596D62">
            <w:pPr>
              <w:spacing w:after="60"/>
            </w:pPr>
            <w:r w:rsidRPr="00F74A5B">
              <w:t>H13</w:t>
            </w:r>
          </w:p>
        </w:tc>
        <w:tc>
          <w:tcPr>
            <w:tcW w:w="5953" w:type="dxa"/>
          </w:tcPr>
          <w:p w:rsidR="00DB3342" w:rsidRPr="00F74A5B" w:rsidRDefault="00DB3342" w:rsidP="00596D62">
            <w:pPr>
              <w:spacing w:after="60"/>
            </w:pPr>
            <w:r w:rsidRPr="00F74A5B">
              <w:t>Capable of yielding another material which possesses H1-H12</w:t>
            </w:r>
          </w:p>
        </w:tc>
      </w:tr>
      <w:tr w:rsidR="00DB3342" w:rsidRPr="00F74A5B" w:rsidTr="00596D62">
        <w:tc>
          <w:tcPr>
            <w:tcW w:w="1806" w:type="dxa"/>
          </w:tcPr>
          <w:p w:rsidR="00DB3342" w:rsidRPr="00F74A5B" w:rsidRDefault="00DB3342" w:rsidP="00596D62">
            <w:pPr>
              <w:spacing w:after="60"/>
            </w:pPr>
          </w:p>
        </w:tc>
        <w:tc>
          <w:tcPr>
            <w:tcW w:w="716" w:type="dxa"/>
          </w:tcPr>
          <w:p w:rsidR="00DB3342" w:rsidRPr="00F74A5B" w:rsidRDefault="00DB3342" w:rsidP="00596D62">
            <w:pPr>
              <w:spacing w:after="60"/>
            </w:pPr>
          </w:p>
        </w:tc>
        <w:tc>
          <w:tcPr>
            <w:tcW w:w="5953" w:type="dxa"/>
          </w:tcPr>
          <w:p w:rsidR="00DB3342" w:rsidRPr="00F74A5B" w:rsidRDefault="00DB3342" w:rsidP="00596D62">
            <w:pPr>
              <w:spacing w:after="60"/>
            </w:pPr>
            <w:r w:rsidRPr="00F74A5B">
              <w:t>Other reasons</w:t>
            </w:r>
          </w:p>
        </w:tc>
      </w:tr>
    </w:tbl>
    <w:p w:rsidR="00F74A5B" w:rsidRDefault="00D12992" w:rsidP="00F74A5B">
      <w:pPr>
        <w:pStyle w:val="ParaIndent"/>
        <w:spacing w:before="100" w:beforeAutospacing="1"/>
      </w:pPr>
      <w:r w:rsidRPr="009F1B37">
        <w:lastRenderedPageBreak/>
        <w:t xml:space="preserve">The NEPM outlines the information that is required to be provided when transporting controlled waste, </w:t>
      </w:r>
      <w:r>
        <w:t xml:space="preserve">although </w:t>
      </w:r>
      <w:r w:rsidRPr="009F1B37">
        <w:t xml:space="preserve">this information can be provided in a manner approved by the </w:t>
      </w:r>
      <w:r w:rsidR="008E36A5">
        <w:t>relevant</w:t>
      </w:r>
      <w:r w:rsidRPr="009F1B37">
        <w:t xml:space="preserve"> </w:t>
      </w:r>
      <w:r>
        <w:t>s</w:t>
      </w:r>
      <w:r w:rsidRPr="009F1B37">
        <w:t xml:space="preserve">tate or </w:t>
      </w:r>
      <w:r>
        <w:t>t</w:t>
      </w:r>
      <w:r w:rsidRPr="009F1B37">
        <w:t xml:space="preserve">erritory of origin. </w:t>
      </w:r>
      <w:r w:rsidR="00350C10">
        <w:rPr>
          <w:highlight w:val="yellow"/>
        </w:rPr>
        <w:fldChar w:fldCharType="begin"/>
      </w:r>
      <w:r w:rsidR="00A140CF">
        <w:instrText xml:space="preserve"> REF _Ref417564392 \h </w:instrText>
      </w:r>
      <w:r w:rsidR="00350C10">
        <w:rPr>
          <w:highlight w:val="yellow"/>
        </w:rPr>
      </w:r>
      <w:r w:rsidR="00350C10">
        <w:rPr>
          <w:highlight w:val="yellow"/>
        </w:rPr>
        <w:fldChar w:fldCharType="separate"/>
      </w:r>
      <w:r w:rsidR="00261FA5" w:rsidRPr="006226B1">
        <w:t xml:space="preserve">Table </w:t>
      </w:r>
      <w:r w:rsidR="00261FA5">
        <w:rPr>
          <w:noProof/>
        </w:rPr>
        <w:t>2</w:t>
      </w:r>
      <w:r w:rsidR="00261FA5" w:rsidRPr="006226B1">
        <w:t>-</w:t>
      </w:r>
      <w:r w:rsidR="00261FA5">
        <w:rPr>
          <w:noProof/>
        </w:rPr>
        <w:t>5</w:t>
      </w:r>
      <w:r w:rsidR="00350C10">
        <w:rPr>
          <w:highlight w:val="yellow"/>
        </w:rPr>
        <w:fldChar w:fldCharType="end"/>
      </w:r>
      <w:r w:rsidRPr="009F1B37">
        <w:t xml:space="preserve"> shows who is required to provide </w:t>
      </w:r>
      <w:r>
        <w:t>what</w:t>
      </w:r>
      <w:r w:rsidRPr="009F1B37">
        <w:t xml:space="preserve"> information.</w:t>
      </w:r>
    </w:p>
    <w:p w:rsidR="00A140CF" w:rsidRDefault="00A140CF" w:rsidP="00A140CF">
      <w:pPr>
        <w:pStyle w:val="Caption"/>
        <w:ind w:left="1134"/>
      </w:pPr>
      <w:bookmarkStart w:id="34" w:name="_Ref417564392"/>
      <w:bookmarkStart w:id="35" w:name="_Ref421018520"/>
      <w:bookmarkStart w:id="36" w:name="_Toc421181766"/>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5</w:t>
      </w:r>
      <w:r w:rsidR="00350C10">
        <w:fldChar w:fldCharType="end"/>
      </w:r>
      <w:bookmarkEnd w:id="34"/>
      <w:r w:rsidRPr="006226B1">
        <w:tab/>
      </w:r>
      <w:r>
        <w:t>Waste transport certificate information requirements</w:t>
      </w:r>
      <w:bookmarkEnd w:id="35"/>
      <w:bookmarkEnd w:id="36"/>
    </w:p>
    <w:tbl>
      <w:tblPr>
        <w:tblStyle w:val="HyderTableStyle3"/>
        <w:tblW w:w="0" w:type="auto"/>
        <w:tblInd w:w="1134" w:type="dxa"/>
        <w:tblLook w:val="04A0"/>
      </w:tblPr>
      <w:tblGrid>
        <w:gridCol w:w="2920"/>
        <w:gridCol w:w="2897"/>
        <w:gridCol w:w="2858"/>
      </w:tblGrid>
      <w:tr w:rsidR="00D12992" w:rsidRPr="00D12992" w:rsidTr="001E645D">
        <w:trPr>
          <w:cnfStyle w:val="100000000000"/>
        </w:trPr>
        <w:tc>
          <w:tcPr>
            <w:tcW w:w="2920" w:type="dxa"/>
            <w:tcBorders>
              <w:bottom w:val="single" w:sz="12" w:space="0" w:color="FFFFFF" w:themeColor="background1"/>
            </w:tcBorders>
          </w:tcPr>
          <w:p w:rsidR="00D12992" w:rsidRPr="00D12992" w:rsidRDefault="00D12992" w:rsidP="00D1299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rPr>
            </w:pPr>
            <w:r w:rsidRPr="00D12992">
              <w:rPr>
                <w:b/>
              </w:rPr>
              <w:t>Waste Producer</w:t>
            </w:r>
          </w:p>
        </w:tc>
        <w:tc>
          <w:tcPr>
            <w:tcW w:w="2897" w:type="dxa"/>
            <w:tcBorders>
              <w:bottom w:val="single" w:sz="12" w:space="0" w:color="FFFFFF" w:themeColor="background1"/>
            </w:tcBorders>
          </w:tcPr>
          <w:p w:rsidR="00D12992" w:rsidRPr="00D12992" w:rsidRDefault="00D12992" w:rsidP="00D1299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rPr>
            </w:pPr>
            <w:r w:rsidRPr="00D12992">
              <w:rPr>
                <w:b/>
              </w:rPr>
              <w:t>Transporter</w:t>
            </w:r>
          </w:p>
        </w:tc>
        <w:tc>
          <w:tcPr>
            <w:tcW w:w="2858" w:type="dxa"/>
            <w:tcBorders>
              <w:bottom w:val="single" w:sz="12" w:space="0" w:color="FFFFFF" w:themeColor="background1"/>
            </w:tcBorders>
          </w:tcPr>
          <w:p w:rsidR="00D12992" w:rsidRPr="00D12992" w:rsidRDefault="00D12992" w:rsidP="00D1299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rPr>
            </w:pPr>
            <w:r w:rsidRPr="00D12992">
              <w:rPr>
                <w:b/>
              </w:rPr>
              <w:t>Facility Operator</w:t>
            </w:r>
          </w:p>
        </w:tc>
      </w:tr>
      <w:tr w:rsidR="00D12992" w:rsidRPr="00D12992" w:rsidTr="001E645D">
        <w:tc>
          <w:tcPr>
            <w:tcW w:w="2920" w:type="dxa"/>
          </w:tcPr>
          <w:p w:rsidR="00D12992" w:rsidRPr="00D12992" w:rsidRDefault="00D12992" w:rsidP="00D12992">
            <w:pPr>
              <w:spacing w:after="60"/>
            </w:pPr>
            <w:r w:rsidRPr="00D12992">
              <w:t>Description of the waste</w:t>
            </w:r>
          </w:p>
          <w:p w:rsidR="00D12992" w:rsidRPr="00D12992" w:rsidRDefault="00D12992" w:rsidP="00D12992">
            <w:pPr>
              <w:spacing w:after="60"/>
            </w:pPr>
            <w:r w:rsidRPr="00D12992">
              <w:t>Physical nature of the waste</w:t>
            </w:r>
          </w:p>
          <w:p w:rsidR="00D12992" w:rsidRPr="00D12992" w:rsidRDefault="00D12992" w:rsidP="00D12992">
            <w:pPr>
              <w:spacing w:after="60"/>
            </w:pPr>
            <w:r w:rsidRPr="00D12992">
              <w:t>Waste codes</w:t>
            </w:r>
          </w:p>
          <w:p w:rsidR="00D12992" w:rsidRPr="00D12992" w:rsidRDefault="00D12992" w:rsidP="00D12992">
            <w:pPr>
              <w:spacing w:after="60"/>
            </w:pPr>
            <w:r w:rsidRPr="00D12992">
              <w:t>UN numbers and codes</w:t>
            </w:r>
          </w:p>
          <w:p w:rsidR="00D12992" w:rsidRPr="00D12992" w:rsidRDefault="00D12992" w:rsidP="00D12992">
            <w:pPr>
              <w:spacing w:after="60"/>
            </w:pPr>
            <w:r w:rsidRPr="00D12992">
              <w:t>Dangerous goods classes</w:t>
            </w:r>
          </w:p>
          <w:p w:rsidR="00D12992" w:rsidRPr="00D12992" w:rsidRDefault="00D12992" w:rsidP="00D12992">
            <w:pPr>
              <w:spacing w:after="60"/>
            </w:pPr>
            <w:r w:rsidRPr="00D12992">
              <w:t>Packaging group number</w:t>
            </w:r>
          </w:p>
          <w:p w:rsidR="00D12992" w:rsidRPr="00D12992" w:rsidRDefault="00D12992" w:rsidP="00D12992">
            <w:pPr>
              <w:spacing w:after="60"/>
            </w:pPr>
            <w:r w:rsidRPr="00D12992">
              <w:t>Amount of waste</w:t>
            </w:r>
          </w:p>
          <w:p w:rsidR="00D12992" w:rsidRPr="00D12992" w:rsidRDefault="00D12992" w:rsidP="00D12992">
            <w:pPr>
              <w:spacing w:after="60"/>
            </w:pPr>
            <w:r w:rsidRPr="00D12992">
              <w:t>Type of package</w:t>
            </w:r>
          </w:p>
          <w:p w:rsidR="00D12992" w:rsidRPr="00D12992" w:rsidRDefault="00D12992" w:rsidP="00D12992">
            <w:pPr>
              <w:spacing w:after="60"/>
            </w:pPr>
            <w:r w:rsidRPr="00D12992">
              <w:t>Facility name and address</w:t>
            </w:r>
          </w:p>
          <w:p w:rsidR="00D12992" w:rsidRPr="00D12992" w:rsidRDefault="00D12992" w:rsidP="00D12992">
            <w:pPr>
              <w:spacing w:after="60"/>
            </w:pPr>
            <w:r w:rsidRPr="00D12992">
              <w:t>State / Territory destination</w:t>
            </w:r>
          </w:p>
          <w:p w:rsidR="00D12992" w:rsidRPr="00D12992" w:rsidRDefault="00D12992" w:rsidP="00D12992">
            <w:pPr>
              <w:spacing w:after="60"/>
            </w:pPr>
            <w:r w:rsidRPr="00D12992">
              <w:t>Name and address of waste producer</w:t>
            </w:r>
          </w:p>
          <w:p w:rsidR="00D12992" w:rsidRPr="00D12992" w:rsidRDefault="00D12992" w:rsidP="00D12992">
            <w:pPr>
              <w:spacing w:after="60"/>
            </w:pPr>
            <w:r w:rsidRPr="00D12992">
              <w:t>Producer’s telephone number and emergency contact number</w:t>
            </w:r>
          </w:p>
          <w:p w:rsidR="00D12992" w:rsidRPr="00D12992" w:rsidRDefault="00D12992" w:rsidP="00D12992">
            <w:pPr>
              <w:spacing w:after="60"/>
            </w:pPr>
            <w:r w:rsidRPr="00D12992">
              <w:t>Consignment authorisation number</w:t>
            </w:r>
          </w:p>
          <w:p w:rsidR="00D12992" w:rsidRPr="00D12992" w:rsidRDefault="00D12992" w:rsidP="00D12992">
            <w:pPr>
              <w:spacing w:after="60"/>
            </w:pPr>
            <w:r w:rsidRPr="00D12992">
              <w:t>Producer identification number</w:t>
            </w:r>
          </w:p>
          <w:p w:rsidR="00D12992" w:rsidRPr="00D12992" w:rsidRDefault="00D12992" w:rsidP="00D12992">
            <w:pPr>
              <w:spacing w:after="60"/>
            </w:pPr>
            <w:r w:rsidRPr="00D12992">
              <w:t>Date of dispatch</w:t>
            </w:r>
          </w:p>
        </w:tc>
        <w:tc>
          <w:tcPr>
            <w:tcW w:w="2897" w:type="dxa"/>
          </w:tcPr>
          <w:p w:rsidR="00D12992" w:rsidRPr="00D12992" w:rsidRDefault="00D12992" w:rsidP="00D12992">
            <w:pPr>
              <w:spacing w:after="60"/>
            </w:pPr>
            <w:r w:rsidRPr="00D12992">
              <w:t>Name and address of transporter</w:t>
            </w:r>
          </w:p>
          <w:p w:rsidR="00D12992" w:rsidRPr="00D12992" w:rsidRDefault="00D12992" w:rsidP="00D12992">
            <w:pPr>
              <w:spacing w:after="60"/>
            </w:pPr>
            <w:r w:rsidRPr="00D12992">
              <w:t>Vehicle registration number</w:t>
            </w:r>
          </w:p>
          <w:p w:rsidR="00D12992" w:rsidRPr="00D12992" w:rsidRDefault="00D12992" w:rsidP="00D12992">
            <w:pPr>
              <w:spacing w:after="60"/>
            </w:pPr>
            <w:r w:rsidRPr="00D12992">
              <w:t>Name of transit State / Territory</w:t>
            </w:r>
          </w:p>
          <w:p w:rsidR="00D12992" w:rsidRPr="00D12992" w:rsidRDefault="00D12992" w:rsidP="00D12992">
            <w:pPr>
              <w:spacing w:after="60"/>
            </w:pPr>
            <w:r w:rsidRPr="00D12992">
              <w:t>Transport licence number</w:t>
            </w:r>
          </w:p>
          <w:p w:rsidR="00D12992" w:rsidRPr="00D12992" w:rsidRDefault="00D12992" w:rsidP="00D12992">
            <w:pPr>
              <w:spacing w:after="60"/>
            </w:pPr>
            <w:r w:rsidRPr="00D12992">
              <w:t>Date of transport</w:t>
            </w:r>
          </w:p>
          <w:p w:rsidR="00D12992" w:rsidRPr="00D12992" w:rsidRDefault="00D12992" w:rsidP="00D12992">
            <w:pPr>
              <w:spacing w:after="60"/>
            </w:pPr>
            <w:r w:rsidRPr="00D12992">
              <w:t>Type of transport</w:t>
            </w:r>
          </w:p>
        </w:tc>
        <w:tc>
          <w:tcPr>
            <w:tcW w:w="2858" w:type="dxa"/>
          </w:tcPr>
          <w:p w:rsidR="00D12992" w:rsidRPr="00D12992" w:rsidRDefault="00D12992" w:rsidP="00D12992">
            <w:pPr>
              <w:spacing w:after="60"/>
            </w:pPr>
            <w:r w:rsidRPr="00D12992">
              <w:t>Type of treatment facility</w:t>
            </w:r>
          </w:p>
          <w:p w:rsidR="00D12992" w:rsidRPr="00D12992" w:rsidRDefault="00D12992" w:rsidP="00D12992">
            <w:pPr>
              <w:spacing w:after="60"/>
            </w:pPr>
            <w:r w:rsidRPr="00D12992">
              <w:t>Date of receipt at facility</w:t>
            </w:r>
          </w:p>
          <w:p w:rsidR="00D12992" w:rsidRPr="00D12992" w:rsidRDefault="00D12992" w:rsidP="00D12992">
            <w:pPr>
              <w:spacing w:after="60"/>
            </w:pPr>
            <w:r w:rsidRPr="00D12992">
              <w:t>Any discrepancies noted in producer or transporter information</w:t>
            </w:r>
          </w:p>
        </w:tc>
      </w:tr>
    </w:tbl>
    <w:p w:rsidR="00D6185F" w:rsidRDefault="008F12D0" w:rsidP="00D6185F">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after="120"/>
        <w:ind w:left="1134"/>
      </w:pPr>
      <w:r w:rsidRPr="008F12D0">
        <w:t xml:space="preserve">Before transporting waste to another jurisdiction the waste producer must obtain a consignment authorisation from an agency (typically an EPA or similar) </w:t>
      </w:r>
      <w:r w:rsidR="00C1296C">
        <w:t xml:space="preserve">within the </w:t>
      </w:r>
      <w:r w:rsidR="00C1296C" w:rsidRPr="008F12D0">
        <w:t>destination jurisdiction</w:t>
      </w:r>
      <w:r w:rsidR="00395D8C">
        <w:t>,</w:t>
      </w:r>
      <w:r w:rsidR="00C1296C" w:rsidRPr="008F12D0">
        <w:t xml:space="preserve"> </w:t>
      </w:r>
      <w:r w:rsidRPr="008F12D0">
        <w:t xml:space="preserve">or a facility delegated by that agency. The destination jurisdiction must issue or refuse a consignment authorisation within five working days following receipt of a completed application. </w:t>
      </w:r>
    </w:p>
    <w:p w:rsidR="00AB4901" w:rsidRPr="00AB4901" w:rsidRDefault="00AB4901" w:rsidP="00AB4901">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after="120"/>
        <w:ind w:left="1134"/>
      </w:pPr>
      <w:r w:rsidRPr="00AB4901">
        <w:t>Each participating state or territory should ensure that records of the data generated by the tracking system are kept for at least 12 months. That data reveals a range of shortcomings in the approvals regimes regulating interstate movements of controlled waste in Queensland and South Australia</w:t>
      </w:r>
      <w:r w:rsidRPr="00AB4901">
        <w:rPr>
          <w:vertAlign w:val="superscript"/>
        </w:rPr>
        <w:footnoteReference w:id="2"/>
      </w:r>
      <w:r w:rsidRPr="00AB4901">
        <w:t>: Among the findings of the annual NEPM report for 2012-13 is that 42% of consignments from NSW into Queensland did not officially arrive and 60% from Victoria had no authorisation, while 88% of loads from Western Australia into South Australia had non-matching documentation and 21% waste data issues.</w:t>
      </w:r>
    </w:p>
    <w:p w:rsidR="00D6185F" w:rsidRDefault="00D6185F" w:rsidP="00D6185F">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after="120"/>
        <w:ind w:left="1134"/>
      </w:pPr>
      <w:r>
        <w:rPr>
          <w:rFonts w:cs="Arial"/>
        </w:rPr>
        <w:t>T</w:t>
      </w:r>
      <w:r w:rsidR="00AB4901">
        <w:rPr>
          <w:rFonts w:cs="Arial"/>
        </w:rPr>
        <w:t>he other states and territories</w:t>
      </w:r>
      <w:r>
        <w:rPr>
          <w:rFonts w:cs="Arial"/>
        </w:rPr>
        <w:t xml:space="preserve"> had clean</w:t>
      </w:r>
      <w:r w:rsidR="00AB4901">
        <w:rPr>
          <w:rFonts w:cs="Arial"/>
        </w:rPr>
        <w:t xml:space="preserve"> import</w:t>
      </w:r>
      <w:r>
        <w:rPr>
          <w:rFonts w:cs="Arial"/>
        </w:rPr>
        <w:t xml:space="preserve"> records</w:t>
      </w:r>
      <w:r w:rsidR="00AB4901">
        <w:rPr>
          <w:rFonts w:cs="Arial"/>
        </w:rPr>
        <w:t>,</w:t>
      </w:r>
      <w:r w:rsidR="005A1232">
        <w:rPr>
          <w:rFonts w:cs="Arial"/>
        </w:rPr>
        <w:t xml:space="preserve"> </w:t>
      </w:r>
      <w:r>
        <w:rPr>
          <w:rFonts w:cs="Arial"/>
        </w:rPr>
        <w:t xml:space="preserve">although </w:t>
      </w:r>
      <w:r w:rsidR="005A1232">
        <w:rPr>
          <w:rFonts w:cs="Arial"/>
        </w:rPr>
        <w:t xml:space="preserve">anecdotal evidence gathered during the stakeholder engagement process suggests no jurisdictions are immune from </w:t>
      </w:r>
      <w:r w:rsidR="00585F48">
        <w:rPr>
          <w:rFonts w:cs="Arial"/>
        </w:rPr>
        <w:t xml:space="preserve">under-the-radar movements and other </w:t>
      </w:r>
      <w:r w:rsidR="005A1232">
        <w:rPr>
          <w:rFonts w:cs="Arial"/>
        </w:rPr>
        <w:t xml:space="preserve">leakage from their tracking systems, raising questions about the </w:t>
      </w:r>
      <w:r w:rsidR="00585F48">
        <w:rPr>
          <w:rFonts w:cs="Arial"/>
        </w:rPr>
        <w:t>official data. Any such</w:t>
      </w:r>
      <w:r w:rsidR="005A1232">
        <w:t xml:space="preserve"> </w:t>
      </w:r>
      <w:r w:rsidR="00585F48">
        <w:t xml:space="preserve">discrepancies </w:t>
      </w:r>
      <w:r w:rsidR="005A1232">
        <w:t>undermine the Basel principle of prior informed consent</w:t>
      </w:r>
      <w:r w:rsidR="00585F48">
        <w:t xml:space="preserve"> by ju</w:t>
      </w:r>
      <w:r>
        <w:t>risdictions.</w:t>
      </w:r>
    </w:p>
    <w:p w:rsidR="00D12992" w:rsidRDefault="008F12D0" w:rsidP="00D6185F">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after="120"/>
        <w:ind w:left="1134"/>
      </w:pPr>
      <w:r w:rsidRPr="008F12D0">
        <w:t xml:space="preserve">The information outlined </w:t>
      </w:r>
      <w:r w:rsidR="00F35158">
        <w:t xml:space="preserve">in </w:t>
      </w:r>
      <w:r w:rsidR="00350C10">
        <w:fldChar w:fldCharType="begin"/>
      </w:r>
      <w:r w:rsidR="00F35158">
        <w:instrText xml:space="preserve"> REF _Ref417564392 \h </w:instrText>
      </w:r>
      <w:r w:rsidR="00350C10">
        <w:fldChar w:fldCharType="separate"/>
      </w:r>
      <w:r w:rsidR="00261FA5" w:rsidRPr="006226B1">
        <w:t xml:space="preserve">Table </w:t>
      </w:r>
      <w:r w:rsidR="00261FA5">
        <w:rPr>
          <w:noProof/>
        </w:rPr>
        <w:t>2</w:t>
      </w:r>
      <w:r w:rsidR="00261FA5" w:rsidRPr="006226B1">
        <w:t>-</w:t>
      </w:r>
      <w:r w:rsidR="00261FA5">
        <w:rPr>
          <w:noProof/>
        </w:rPr>
        <w:t>5</w:t>
      </w:r>
      <w:r w:rsidR="00350C10">
        <w:fldChar w:fldCharType="end"/>
      </w:r>
      <w:r w:rsidR="007072E4">
        <w:t xml:space="preserve"> </w:t>
      </w:r>
      <w:r w:rsidRPr="008F12D0">
        <w:t xml:space="preserve">is also typical of what the state and territories require when tracking controlled waste for intrastate purposes. Typically the producer, transporter and </w:t>
      </w:r>
      <w:r w:rsidRPr="008F12D0">
        <w:lastRenderedPageBreak/>
        <w:t>facility operator will each keep a copy of the waste transport certificate, with copies sent to EPAs (or relevant agency) where required. These requirements are explored further below.</w:t>
      </w:r>
    </w:p>
    <w:p w:rsidR="000B66F1" w:rsidRDefault="000B66F1" w:rsidP="000B66F1">
      <w:pPr>
        <w:pStyle w:val="ParaIndent"/>
      </w:pPr>
      <w:r>
        <w:t xml:space="preserve">Despite this range of instruments, none of them alone or in combination provide the </w:t>
      </w:r>
      <w:r w:rsidR="00BE390E">
        <w:t xml:space="preserve">level of </w:t>
      </w:r>
      <w:r>
        <w:t xml:space="preserve">detail </w:t>
      </w:r>
      <w:r w:rsidR="00BE390E">
        <w:t>on</w:t>
      </w:r>
      <w:r>
        <w:t xml:space="preserve"> hazardous waste across Australia</w:t>
      </w:r>
      <w:r w:rsidRPr="000B66F1">
        <w:t xml:space="preserve"> </w:t>
      </w:r>
      <w:r>
        <w:t xml:space="preserve">required to: drive domestic policy, including </w:t>
      </w:r>
      <w:r w:rsidRPr="00F74A5B">
        <w:t>waste sources, internal country flows and final fates</w:t>
      </w:r>
      <w:r>
        <w:t>; and fully</w:t>
      </w:r>
      <w:r w:rsidR="00F35158">
        <w:t xml:space="preserve"> meet Basel report requirements and foundation principles.</w:t>
      </w:r>
    </w:p>
    <w:p w:rsidR="00093774" w:rsidRDefault="00093774" w:rsidP="00093774">
      <w:pPr>
        <w:pStyle w:val="Heading2"/>
      </w:pPr>
      <w:bookmarkStart w:id="37" w:name="_Toc421181730"/>
      <w:r>
        <w:t>New South Wales</w:t>
      </w:r>
      <w:bookmarkEnd w:id="37"/>
    </w:p>
    <w:p w:rsidR="00093774" w:rsidRDefault="00093774" w:rsidP="00093774">
      <w:pPr>
        <w:pStyle w:val="ParaIndent"/>
      </w:pPr>
      <w:r>
        <w:t xml:space="preserve">Controlled waste </w:t>
      </w:r>
      <w:r w:rsidR="003676CF">
        <w:t>(referred to as hazardous waste</w:t>
      </w:r>
      <w:r>
        <w:t xml:space="preserve"> in New South Wales</w:t>
      </w:r>
      <w:r w:rsidR="003676CF">
        <w:t>)</w:t>
      </w:r>
      <w:r>
        <w:t xml:space="preserve"> is legislated under the Protection of the Environment Operations (Waste) Regulation 2014, which outlines the requirements for tracking waste within, out of and into NSW. The NSW EPA administers the regulations in regards to controlled waste tracking, with the main focus being on minimising risk to the environment.</w:t>
      </w:r>
    </w:p>
    <w:p w:rsidR="006B1EC4" w:rsidRDefault="008F12D0" w:rsidP="008F12D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ind w:left="1134"/>
      </w:pPr>
      <w:r>
        <w:t xml:space="preserve">NSW operate an in-house electronic waste tracking system that covers both intrastate and interstate movement (movements </w:t>
      </w:r>
      <w:r w:rsidRPr="006238FA">
        <w:rPr>
          <w:i/>
        </w:rPr>
        <w:t>into</w:t>
      </w:r>
      <w:r>
        <w:t xml:space="preserve"> NSW) of controlled waste. </w:t>
      </w:r>
      <w:r w:rsidR="006B1EC4" w:rsidRPr="006B1EC4">
        <w:t xml:space="preserve">Waste transported from NSW to other jurisdictions is tracked using </w:t>
      </w:r>
      <w:r w:rsidR="006B1EC4">
        <w:t xml:space="preserve">a five </w:t>
      </w:r>
      <w:r w:rsidR="006B1EC4" w:rsidRPr="006B1EC4">
        <w:t>docket paper system in line with the requirements of the receiving jurisdiction.</w:t>
      </w:r>
    </w:p>
    <w:p w:rsidR="008F12D0" w:rsidRDefault="008F12D0" w:rsidP="008F12D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ind w:left="1134"/>
      </w:pPr>
      <w:r>
        <w:t xml:space="preserve">The </w:t>
      </w:r>
      <w:r w:rsidR="008B5C21">
        <w:t xml:space="preserve">electronic </w:t>
      </w:r>
      <w:r>
        <w:t xml:space="preserve">system has been in place since 2005 and has undergone a number of upgrades during this time to improve </w:t>
      </w:r>
      <w:r w:rsidR="006238FA">
        <w:t>functionality</w:t>
      </w:r>
      <w:r>
        <w:t>. As the system has been developed in-house it is relatively easy to make changes</w:t>
      </w:r>
      <w:r w:rsidR="004702DC">
        <w:t>/improvements</w:t>
      </w:r>
      <w:r>
        <w:t xml:space="preserve"> – providing there is a budge</w:t>
      </w:r>
      <w:r w:rsidR="004702DC">
        <w:t>t</w:t>
      </w:r>
      <w:r>
        <w:t xml:space="preserve"> allowance</w:t>
      </w:r>
      <w:r w:rsidR="004702DC">
        <w:t>. Having been developed in-house</w:t>
      </w:r>
      <w:r w:rsidR="003676CF">
        <w:t>,</w:t>
      </w:r>
      <w:r w:rsidR="004702DC">
        <w:t xml:space="preserve"> NSW </w:t>
      </w:r>
      <w:r w:rsidR="003676CF">
        <w:t>has</w:t>
      </w:r>
      <w:r w:rsidR="004702DC">
        <w:t xml:space="preserve"> also</w:t>
      </w:r>
      <w:r w:rsidR="003676CF">
        <w:t xml:space="preserve"> offered to</w:t>
      </w:r>
      <w:r w:rsidR="004702DC">
        <w:t xml:space="preserve"> </w:t>
      </w:r>
      <w:r w:rsidR="0073008B">
        <w:t xml:space="preserve">donate </w:t>
      </w:r>
      <w:r w:rsidR="004702DC">
        <w:t>the system to other jurisdictions looking to implement an online tracking system.</w:t>
      </w:r>
    </w:p>
    <w:p w:rsidR="00B267E0" w:rsidRPr="008F12D0" w:rsidRDefault="00B267E0" w:rsidP="00CB7B4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ind w:left="1134"/>
      </w:pPr>
      <w:r w:rsidRPr="008F12D0">
        <w:t xml:space="preserve">The electronic system allows users to select data from drop down lists and stores previous waste transport certificate information for use in subsequent documentation. A user name and password is required to obtain access to the system and various access levels can be requested, ranging from view only to create and update. </w:t>
      </w:r>
      <w:r w:rsidR="003676CF">
        <w:t>The reporting system</w:t>
      </w:r>
      <w:r w:rsidR="00CB7B4D">
        <w:t>, which stores data on the EPA system,</w:t>
      </w:r>
      <w:r w:rsidR="003676CF">
        <w:t xml:space="preserve"> is capable of a number of functions that interrogate the database, with custom reports produced by EPA staff using Crystal Reports. </w:t>
      </w:r>
    </w:p>
    <w:p w:rsidR="00B267E0" w:rsidRDefault="00B267E0" w:rsidP="00B267E0">
      <w:pPr>
        <w:pStyle w:val="ParaIndent"/>
      </w:pPr>
      <w:r w:rsidRPr="008F12D0">
        <w:t xml:space="preserve">A hard copy waste transport certificate is still required to accompany </w:t>
      </w:r>
      <w:r w:rsidR="007D16F2">
        <w:t>the</w:t>
      </w:r>
      <w:r w:rsidR="007D16F2" w:rsidRPr="008F12D0">
        <w:t xml:space="preserve"> </w:t>
      </w:r>
      <w:r w:rsidRPr="008F12D0">
        <w:t>waste during transport</w:t>
      </w:r>
      <w:r w:rsidR="007D16F2">
        <w:t>,</w:t>
      </w:r>
      <w:r w:rsidRPr="008F12D0">
        <w:t xml:space="preserve"> however one of the main benefits of the electronic system to waste generators is they do not need to complete quarterly reporting as the data can be easily accessed and consolidated by the EPA. Waste can also be tracked online so waste generators are aware of the progress of their consignment. In the event the online system is unavailable</w:t>
      </w:r>
      <w:r w:rsidR="003676CF">
        <w:t>,</w:t>
      </w:r>
      <w:r w:rsidRPr="008F12D0">
        <w:t xml:space="preserve"> waste can be tracked using the paper based system and entered into the online system at the receiving facility.</w:t>
      </w:r>
    </w:p>
    <w:p w:rsidR="00532509" w:rsidRDefault="00532509" w:rsidP="008F12D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ind w:left="1134"/>
      </w:pPr>
      <w:r>
        <w:t xml:space="preserve">The </w:t>
      </w:r>
      <w:r w:rsidR="00C21D00">
        <w:t xml:space="preserve">simplified process for undertaking hazardous waste tracking within NSW is shown below. </w:t>
      </w:r>
      <w:r w:rsidR="00C21D00" w:rsidRPr="008F12D0">
        <w:t>A consignment authorisation is provided by the receiving facility after which, once the waste transport certificate has been filled out, the waste can be transported from the producer’s premises to the receiving facility</w:t>
      </w:r>
      <w:r w:rsidR="00C21D00">
        <w:t xml:space="preserve">. The information required in NSW tracking documentation is similar to that described in </w:t>
      </w:r>
      <w:r w:rsidR="00350C10">
        <w:fldChar w:fldCharType="begin"/>
      </w:r>
      <w:r w:rsidR="00A140CF">
        <w:instrText xml:space="preserve"> REF _Ref417564392 \h </w:instrText>
      </w:r>
      <w:r w:rsidR="00350C10">
        <w:fldChar w:fldCharType="separate"/>
      </w:r>
      <w:r w:rsidR="00261FA5" w:rsidRPr="006226B1">
        <w:t xml:space="preserve">Table </w:t>
      </w:r>
      <w:r w:rsidR="00261FA5">
        <w:rPr>
          <w:noProof/>
        </w:rPr>
        <w:t>2</w:t>
      </w:r>
      <w:r w:rsidR="00261FA5" w:rsidRPr="006226B1">
        <w:t>-</w:t>
      </w:r>
      <w:r w:rsidR="00261FA5">
        <w:rPr>
          <w:noProof/>
        </w:rPr>
        <w:t>5</w:t>
      </w:r>
      <w:r w:rsidR="00350C10">
        <w:fldChar w:fldCharType="end"/>
      </w:r>
      <w:r w:rsidR="00C21D00">
        <w:t xml:space="preserve">. </w:t>
      </w:r>
    </w:p>
    <w:p w:rsidR="00B267E0" w:rsidRDefault="00C21D00" w:rsidP="00C21D0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ind w:left="1134"/>
        <w:jc w:val="center"/>
      </w:pPr>
      <w:r>
        <w:rPr>
          <w:noProof/>
        </w:rPr>
        <w:lastRenderedPageBreak/>
        <w:drawing>
          <wp:inline distT="0" distB="0" distL="0" distR="0">
            <wp:extent cx="2698563" cy="454010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SW tracking process.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8563" cy="4540102"/>
                    </a:xfrm>
                    <a:prstGeom prst="rect">
                      <a:avLst/>
                    </a:prstGeom>
                  </pic:spPr>
                </pic:pic>
              </a:graphicData>
            </a:graphic>
          </wp:inline>
        </w:drawing>
      </w:r>
    </w:p>
    <w:p w:rsidR="00A140CF" w:rsidRDefault="00A140CF" w:rsidP="00A140CF">
      <w:pPr>
        <w:pStyle w:val="Caption"/>
        <w:ind w:left="1134"/>
      </w:pPr>
      <w:bookmarkStart w:id="38" w:name="_Toc421181757"/>
      <w:r w:rsidRPr="00C7569F">
        <w:t xml:space="preserve">Figure </w:t>
      </w:r>
      <w:r w:rsidR="00350C10" w:rsidRPr="00C7569F">
        <w:fldChar w:fldCharType="begin"/>
      </w:r>
      <w:r w:rsidRPr="00C7569F">
        <w:instrText xml:space="preserve"> STYLEREF "_Heading1" \n </w:instrText>
      </w:r>
      <w:r w:rsidR="00350C10" w:rsidRPr="00C7569F">
        <w:fldChar w:fldCharType="separate"/>
      </w:r>
      <w:r w:rsidR="00261FA5">
        <w:rPr>
          <w:noProof/>
        </w:rPr>
        <w:t>2</w:t>
      </w:r>
      <w:r w:rsidR="00350C10" w:rsidRPr="00C7569F">
        <w:fldChar w:fldCharType="end"/>
      </w:r>
      <w:r w:rsidRPr="00C7569F">
        <w:t>-</w:t>
      </w:r>
      <w:r w:rsidR="00350C10" w:rsidRPr="00C7569F">
        <w:fldChar w:fldCharType="begin"/>
      </w:r>
      <w:r w:rsidRPr="00C7569F">
        <w:instrText xml:space="preserve"> SEQ Figure \* Arabic </w:instrText>
      </w:r>
      <w:r w:rsidR="00350C10" w:rsidRPr="00C7569F">
        <w:fldChar w:fldCharType="separate"/>
      </w:r>
      <w:r w:rsidR="00261FA5">
        <w:rPr>
          <w:noProof/>
        </w:rPr>
        <w:t>1</w:t>
      </w:r>
      <w:r w:rsidR="00350C10" w:rsidRPr="00C7569F">
        <w:fldChar w:fldCharType="end"/>
      </w:r>
      <w:r w:rsidRPr="00C7569F">
        <w:tab/>
      </w:r>
      <w:r>
        <w:t>NSW hazardous waste tracking process</w:t>
      </w:r>
      <w:bookmarkEnd w:id="38"/>
    </w:p>
    <w:p w:rsidR="00C21D00" w:rsidRPr="00C21D00" w:rsidRDefault="00C21D00" w:rsidP="00C21D0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ind w:left="1134"/>
      </w:pPr>
      <w:r w:rsidRPr="00C21D00">
        <w:t xml:space="preserve">NSW </w:t>
      </w:r>
      <w:r>
        <w:t>aligns</w:t>
      </w:r>
      <w:r w:rsidRPr="00C21D00">
        <w:t xml:space="preserve"> to the NEPM when tracking interstate movement</w:t>
      </w:r>
      <w:r>
        <w:t>s</w:t>
      </w:r>
      <w:r w:rsidRPr="00C21D00">
        <w:t xml:space="preserve"> of controlled </w:t>
      </w:r>
      <w:proofErr w:type="gramStart"/>
      <w:r w:rsidRPr="00C21D00">
        <w:t>waste,</w:t>
      </w:r>
      <w:proofErr w:type="gramEnd"/>
      <w:r w:rsidRPr="00C21D00">
        <w:t xml:space="preserve"> however there are differences in those wastes that are tracked when transported to an intrastate location.</w:t>
      </w:r>
      <w:r w:rsidR="006A3F4E">
        <w:t xml:space="preserve"> It has just started tracking asbestos and tyres, but the remaining</w:t>
      </w:r>
      <w:r w:rsidRPr="00C21D00">
        <w:t xml:space="preserve"> wastes that do not require tracking when transported intrastate are:</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animal effluent and residues</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containers and drums that are contained with residues of waste referred to in this list</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encapsulated, chemically fixed, solidified or polymerised wastes referred to in this list</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filter cake contaminated with residues of substances that are referred to in this list</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grease trap waste</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soils contaminated with a substance or waste referred to in this list</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tannery waste including leather, dust, ash, sludge and flours</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proofErr w:type="gramStart"/>
      <w:r w:rsidRPr="00C21D00">
        <w:rPr>
          <w:lang w:val="en-GB"/>
        </w:rPr>
        <w:t>wool</w:t>
      </w:r>
      <w:proofErr w:type="gramEnd"/>
      <w:r w:rsidRPr="00C21D00">
        <w:rPr>
          <w:lang w:val="en-GB"/>
        </w:rPr>
        <w:t xml:space="preserve"> scouring waste.</w:t>
      </w:r>
    </w:p>
    <w:p w:rsidR="00C21D00" w:rsidRPr="00C21D00" w:rsidRDefault="00C21D00" w:rsidP="00C21D0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ind w:left="1134"/>
        <w:rPr>
          <w:lang w:val="en-GB"/>
        </w:rPr>
      </w:pPr>
      <w:r w:rsidRPr="00C21D00">
        <w:rPr>
          <w:lang w:val="en-GB"/>
        </w:rPr>
        <w:t>Along with the wastes listed above, the NSW Waste Regulation set out a provision that allows the EPA to exempt wastes from waste tracking</w:t>
      </w:r>
      <w:r w:rsidR="003676CF">
        <w:rPr>
          <w:lang w:val="en-GB"/>
        </w:rPr>
        <w:t xml:space="preserve"> where there are strong commercial recovery options</w:t>
      </w:r>
      <w:r w:rsidRPr="00C21D00">
        <w:rPr>
          <w:lang w:val="en-GB"/>
        </w:rPr>
        <w:t>. There are currently five wastes that are exempt from tracking:</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zinc wastes destined for reuse</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lastRenderedPageBreak/>
        <w:t>waste batteries destined for reuse</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spent pickle liquor destined for reuse</w:t>
      </w:r>
    </w:p>
    <w:p w:rsidR="00C21D00" w:rsidRPr="00C21D00" w:rsidRDefault="00C21D00" w:rsidP="00C21D00">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rPr>
          <w:lang w:val="en-GB"/>
        </w:rPr>
      </w:pPr>
      <w:r w:rsidRPr="00C21D00">
        <w:rPr>
          <w:lang w:val="en-GB"/>
        </w:rPr>
        <w:t>non-hazardous waste hydrocarbon oil destined for recycling</w:t>
      </w:r>
    </w:p>
    <w:p w:rsidR="00C21D00" w:rsidRDefault="00C21D00" w:rsidP="00C21D00">
      <w:pPr>
        <w:pStyle w:val="PointsBullets"/>
      </w:pPr>
      <w:proofErr w:type="gramStart"/>
      <w:r w:rsidRPr="00C21D00">
        <w:t>tracking</w:t>
      </w:r>
      <w:proofErr w:type="gramEnd"/>
      <w:r w:rsidRPr="00C21D00">
        <w:t xml:space="preserve"> of clinical and other specified wastes</w:t>
      </w:r>
      <w:r w:rsidR="007B02E3">
        <w:t>.</w:t>
      </w:r>
    </w:p>
    <w:p w:rsidR="003676CF" w:rsidRDefault="003676CF" w:rsidP="006A3F4E">
      <w:pPr>
        <w:pStyle w:val="PointsBullets"/>
        <w:numPr>
          <w:ilvl w:val="0"/>
          <w:numId w:val="0"/>
        </w:numPr>
        <w:ind w:left="1134"/>
      </w:pPr>
      <w:r>
        <w:t>While not a large number of omissions and exemptions, some of these streams account for considerable volumes of waste, notably contaminated soils, asbestos and oily wastes.</w:t>
      </w:r>
    </w:p>
    <w:p w:rsidR="008F12D0" w:rsidRDefault="008F12D0" w:rsidP="008F12D0">
      <w:pPr>
        <w:pStyle w:val="Heading3"/>
      </w:pPr>
      <w:r>
        <w:t>Strengths and Weaknesses</w:t>
      </w:r>
    </w:p>
    <w:p w:rsidR="002F11B6" w:rsidRDefault="002F11B6" w:rsidP="002F11B6">
      <w:pPr>
        <w:pStyle w:val="ParaIndent"/>
      </w:pPr>
      <w:r>
        <w:t>A number of criteria have been considered in a qualitative sense w</w:t>
      </w:r>
      <w:r w:rsidR="00CB7B4D">
        <w:t>h</w:t>
      </w:r>
      <w:r>
        <w:t>e</w:t>
      </w:r>
      <w:r w:rsidR="00CB7B4D">
        <w:t>n</w:t>
      </w:r>
      <w:r>
        <w:t xml:space="preserve"> assessing</w:t>
      </w:r>
      <w:r w:rsidR="00CB7B4D">
        <w:t xml:space="preserve"> the</w:t>
      </w:r>
      <w:r>
        <w:t xml:space="preserve"> strengths and weaknesses of the NSW system</w:t>
      </w:r>
      <w:r w:rsidR="00CB7B4D">
        <w:t>,</w:t>
      </w:r>
      <w:r>
        <w:t xml:space="preserve"> as outlined in </w:t>
      </w:r>
      <w:r w:rsidR="00350C10">
        <w:fldChar w:fldCharType="begin"/>
      </w:r>
      <w:r w:rsidR="00A140CF">
        <w:instrText xml:space="preserve"> REF _Ref417564494 \h </w:instrText>
      </w:r>
      <w:r w:rsidR="00350C10">
        <w:fldChar w:fldCharType="separate"/>
      </w:r>
      <w:r w:rsidR="00261FA5" w:rsidRPr="006226B1">
        <w:t xml:space="preserve">Table </w:t>
      </w:r>
      <w:r w:rsidR="00261FA5">
        <w:rPr>
          <w:noProof/>
        </w:rPr>
        <w:t>2</w:t>
      </w:r>
      <w:r w:rsidR="00261FA5" w:rsidRPr="006226B1">
        <w:t>-</w:t>
      </w:r>
      <w:r w:rsidR="00261FA5">
        <w:rPr>
          <w:noProof/>
        </w:rPr>
        <w:t>6</w:t>
      </w:r>
      <w:r w:rsidR="00350C10">
        <w:fldChar w:fldCharType="end"/>
      </w:r>
      <w:r>
        <w:t>.</w:t>
      </w:r>
    </w:p>
    <w:p w:rsidR="00A140CF" w:rsidRPr="002F11B6" w:rsidRDefault="00A140CF" w:rsidP="00A140CF">
      <w:pPr>
        <w:pStyle w:val="Caption"/>
        <w:ind w:left="1134"/>
      </w:pPr>
      <w:bookmarkStart w:id="39" w:name="_Ref417564494"/>
      <w:bookmarkStart w:id="40" w:name="_Toc421181767"/>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6</w:t>
      </w:r>
      <w:r w:rsidR="00350C10">
        <w:fldChar w:fldCharType="end"/>
      </w:r>
      <w:bookmarkEnd w:id="39"/>
      <w:r w:rsidRPr="006226B1">
        <w:tab/>
      </w:r>
      <w:r>
        <w:t>NSW hazardous waste tracking system strengths and weaknesses</w:t>
      </w:r>
      <w:bookmarkEnd w:id="40"/>
    </w:p>
    <w:tbl>
      <w:tblPr>
        <w:tblStyle w:val="HyderTableStyle"/>
        <w:tblW w:w="0" w:type="auto"/>
        <w:tblInd w:w="1134" w:type="dxa"/>
        <w:tblLook w:val="04A0"/>
      </w:tblPr>
      <w:tblGrid>
        <w:gridCol w:w="2982"/>
        <w:gridCol w:w="2746"/>
        <w:gridCol w:w="2747"/>
      </w:tblGrid>
      <w:tr w:rsidR="007C698A" w:rsidTr="007C698A">
        <w:trPr>
          <w:cnfStyle w:val="100000000000"/>
        </w:trPr>
        <w:tc>
          <w:tcPr>
            <w:tcW w:w="2982" w:type="dxa"/>
            <w:tcBorders>
              <w:bottom w:val="single" w:sz="12" w:space="0" w:color="FFFFFF" w:themeColor="background1"/>
            </w:tcBorders>
          </w:tcPr>
          <w:p w:rsidR="007C698A" w:rsidRDefault="007C698A" w:rsidP="008F12D0">
            <w:pPr>
              <w:pStyle w:val="TableHeadingWhite"/>
            </w:pPr>
            <w:r>
              <w:t>Criteria</w:t>
            </w:r>
          </w:p>
        </w:tc>
        <w:tc>
          <w:tcPr>
            <w:tcW w:w="2746" w:type="dxa"/>
            <w:tcBorders>
              <w:bottom w:val="single" w:sz="12" w:space="0" w:color="FFFFFF" w:themeColor="background1"/>
            </w:tcBorders>
          </w:tcPr>
          <w:p w:rsidR="007C698A" w:rsidRDefault="007C698A" w:rsidP="008F12D0">
            <w:pPr>
              <w:pStyle w:val="TableHeadingWhite"/>
            </w:pPr>
            <w:r>
              <w:t>Intrastate tracking</w:t>
            </w:r>
          </w:p>
        </w:tc>
        <w:tc>
          <w:tcPr>
            <w:tcW w:w="2747" w:type="dxa"/>
            <w:tcBorders>
              <w:bottom w:val="single" w:sz="12" w:space="0" w:color="FFFFFF" w:themeColor="background1"/>
            </w:tcBorders>
          </w:tcPr>
          <w:p w:rsidR="007C698A" w:rsidRDefault="007C698A" w:rsidP="008F12D0">
            <w:pPr>
              <w:pStyle w:val="TableHeadingWhite"/>
            </w:pPr>
            <w:r>
              <w:t>Interstate tracking</w:t>
            </w:r>
          </w:p>
        </w:tc>
      </w:tr>
      <w:tr w:rsidR="0013005E" w:rsidTr="007C698A">
        <w:tc>
          <w:tcPr>
            <w:tcW w:w="2982" w:type="dxa"/>
          </w:tcPr>
          <w:p w:rsidR="0013005E" w:rsidRDefault="0013005E" w:rsidP="0013005E">
            <w:pPr>
              <w:pStyle w:val="TableText"/>
            </w:pPr>
            <w:r>
              <w:t>Interstate and intrastate compatibility</w:t>
            </w:r>
          </w:p>
        </w:tc>
        <w:tc>
          <w:tcPr>
            <w:tcW w:w="2746" w:type="dxa"/>
          </w:tcPr>
          <w:p w:rsidR="0013005E" w:rsidRDefault="0013005E" w:rsidP="0013005E">
            <w:pPr>
              <w:pStyle w:val="TableText"/>
            </w:pPr>
            <w:r w:rsidRPr="002F11B6">
              <w:rPr>
                <w:b/>
              </w:rPr>
              <w:t>Strength</w:t>
            </w:r>
            <w:r>
              <w:t xml:space="preserve"> – online system covers all intrastate and incoming interstate hazardous waste movements</w:t>
            </w:r>
          </w:p>
        </w:tc>
        <w:tc>
          <w:tcPr>
            <w:tcW w:w="2747" w:type="dxa"/>
          </w:tcPr>
          <w:p w:rsidR="0013005E" w:rsidRPr="002F11B6" w:rsidRDefault="0013005E" w:rsidP="0013005E">
            <w:pPr>
              <w:pStyle w:val="TableText"/>
              <w:rPr>
                <w:b/>
              </w:rPr>
            </w:pPr>
            <w:r w:rsidRPr="002F11B6">
              <w:rPr>
                <w:b/>
              </w:rPr>
              <w:t>Strength</w:t>
            </w:r>
            <w:r>
              <w:t xml:space="preserve"> – online system covers all intrastate hazardous waste movements and is able to be used for all incoming interstate hazardous waste movements</w:t>
            </w:r>
          </w:p>
        </w:tc>
      </w:tr>
      <w:tr w:rsidR="0013005E" w:rsidTr="007C698A">
        <w:tc>
          <w:tcPr>
            <w:tcW w:w="2982" w:type="dxa"/>
          </w:tcPr>
          <w:p w:rsidR="0013005E" w:rsidRDefault="0013005E" w:rsidP="0013005E">
            <w:pPr>
              <w:pStyle w:val="TableText"/>
            </w:pPr>
            <w:r>
              <w:t>Real time analysis, reporting and management</w:t>
            </w:r>
          </w:p>
        </w:tc>
        <w:tc>
          <w:tcPr>
            <w:tcW w:w="2746" w:type="dxa"/>
          </w:tcPr>
          <w:p w:rsidR="0013005E" w:rsidRDefault="0013005E" w:rsidP="0013005E">
            <w:pPr>
              <w:pStyle w:val="TableText"/>
            </w:pPr>
            <w:r w:rsidRPr="002F11B6">
              <w:rPr>
                <w:b/>
              </w:rPr>
              <w:t>Strength</w:t>
            </w:r>
            <w:r>
              <w:t xml:space="preserve"> – up to date data is available, system capable of running reports and data is easily stored</w:t>
            </w:r>
          </w:p>
        </w:tc>
        <w:tc>
          <w:tcPr>
            <w:tcW w:w="2747" w:type="dxa"/>
          </w:tcPr>
          <w:p w:rsidR="0013005E" w:rsidRPr="002F11B6" w:rsidRDefault="0013005E" w:rsidP="0013005E">
            <w:pPr>
              <w:pStyle w:val="TableText"/>
              <w:rPr>
                <w:b/>
              </w:rPr>
            </w:pPr>
            <w:r>
              <w:rPr>
                <w:b/>
              </w:rPr>
              <w:t xml:space="preserve">Strength </w:t>
            </w:r>
            <w:r w:rsidR="00FE5BE5">
              <w:rPr>
                <w:b/>
              </w:rPr>
              <w:t>–</w:t>
            </w:r>
            <w:r>
              <w:rPr>
                <w:b/>
              </w:rPr>
              <w:t xml:space="preserve"> </w:t>
            </w:r>
            <w:r>
              <w:t xml:space="preserve"> interstate system operates in the same way as the intrastate system</w:t>
            </w:r>
          </w:p>
        </w:tc>
      </w:tr>
      <w:tr w:rsidR="0013005E" w:rsidTr="007C698A">
        <w:tc>
          <w:tcPr>
            <w:tcW w:w="2982" w:type="dxa"/>
          </w:tcPr>
          <w:p w:rsidR="0013005E" w:rsidRDefault="0013005E" w:rsidP="0013005E">
            <w:pPr>
              <w:pStyle w:val="TableText"/>
            </w:pPr>
            <w:r>
              <w:t>Coverage of controlled wastes</w:t>
            </w:r>
          </w:p>
        </w:tc>
        <w:tc>
          <w:tcPr>
            <w:tcW w:w="2746" w:type="dxa"/>
          </w:tcPr>
          <w:p w:rsidR="0013005E" w:rsidRDefault="0013005E" w:rsidP="00AB4901">
            <w:pPr>
              <w:pStyle w:val="TableText"/>
            </w:pPr>
            <w:r w:rsidRPr="000751D7">
              <w:rPr>
                <w:b/>
              </w:rPr>
              <w:t>Weakness</w:t>
            </w:r>
            <w:r>
              <w:t xml:space="preserve"> – number of controlled wastes are not tracked </w:t>
            </w:r>
            <w:r w:rsidR="00AB4901" w:rsidRPr="00AB4901">
              <w:t>or have been exempted</w:t>
            </w:r>
          </w:p>
        </w:tc>
        <w:tc>
          <w:tcPr>
            <w:tcW w:w="2747" w:type="dxa"/>
          </w:tcPr>
          <w:p w:rsidR="0013005E" w:rsidRPr="000751D7" w:rsidRDefault="0013005E" w:rsidP="0013005E">
            <w:pPr>
              <w:pStyle w:val="TableText"/>
              <w:rPr>
                <w:b/>
              </w:rPr>
            </w:pPr>
            <w:r>
              <w:rPr>
                <w:b/>
              </w:rPr>
              <w:t xml:space="preserve">Strength – </w:t>
            </w:r>
            <w:r>
              <w:t>waste that must be tracked interstate follows the ‘NEPM 75’</w:t>
            </w:r>
          </w:p>
        </w:tc>
      </w:tr>
      <w:tr w:rsidR="0013005E" w:rsidTr="007C698A">
        <w:tc>
          <w:tcPr>
            <w:tcW w:w="2982" w:type="dxa"/>
          </w:tcPr>
          <w:p w:rsidR="0013005E" w:rsidRDefault="0013005E" w:rsidP="0013005E">
            <w:pPr>
              <w:pStyle w:val="TableText"/>
            </w:pPr>
            <w:r>
              <w:t>Alignment of coding and descriptions</w:t>
            </w:r>
          </w:p>
        </w:tc>
        <w:tc>
          <w:tcPr>
            <w:tcW w:w="2746" w:type="dxa"/>
          </w:tcPr>
          <w:p w:rsidR="0013005E" w:rsidRDefault="0013005E" w:rsidP="0013005E">
            <w:pPr>
              <w:pStyle w:val="TableText"/>
            </w:pPr>
            <w:r w:rsidRPr="000751D7">
              <w:rPr>
                <w:b/>
              </w:rPr>
              <w:t>Strength</w:t>
            </w:r>
            <w:r>
              <w:t xml:space="preserve"> – codes and descriptions match NEPM</w:t>
            </w:r>
          </w:p>
        </w:tc>
        <w:tc>
          <w:tcPr>
            <w:tcW w:w="2747" w:type="dxa"/>
          </w:tcPr>
          <w:p w:rsidR="0013005E" w:rsidRPr="000751D7" w:rsidRDefault="0013005E" w:rsidP="0013005E">
            <w:pPr>
              <w:pStyle w:val="TableText"/>
              <w:rPr>
                <w:b/>
              </w:rPr>
            </w:pPr>
            <w:r>
              <w:rPr>
                <w:b/>
              </w:rPr>
              <w:t xml:space="preserve">Strength – </w:t>
            </w:r>
            <w:r>
              <w:t>codes and descriptions match NEPM</w:t>
            </w:r>
          </w:p>
        </w:tc>
      </w:tr>
      <w:tr w:rsidR="0013005E" w:rsidTr="007C698A">
        <w:tc>
          <w:tcPr>
            <w:tcW w:w="2982" w:type="dxa"/>
          </w:tcPr>
          <w:p w:rsidR="0013005E" w:rsidRDefault="0013005E" w:rsidP="0013005E">
            <w:pPr>
              <w:pStyle w:val="TableText"/>
            </w:pPr>
            <w:r>
              <w:t>Ease of updating system</w:t>
            </w:r>
          </w:p>
        </w:tc>
        <w:tc>
          <w:tcPr>
            <w:tcW w:w="2746" w:type="dxa"/>
          </w:tcPr>
          <w:p w:rsidR="0013005E" w:rsidRDefault="0013005E" w:rsidP="0013005E">
            <w:pPr>
              <w:pStyle w:val="TableText"/>
            </w:pPr>
            <w:r w:rsidRPr="000751D7">
              <w:rPr>
                <w:b/>
              </w:rPr>
              <w:t>Strength</w:t>
            </w:r>
            <w:r>
              <w:t xml:space="preserve"> – developed in-house so providing budget is available no major constraints</w:t>
            </w:r>
          </w:p>
        </w:tc>
        <w:tc>
          <w:tcPr>
            <w:tcW w:w="2747" w:type="dxa"/>
          </w:tcPr>
          <w:p w:rsidR="0013005E" w:rsidRPr="000751D7" w:rsidRDefault="0013005E" w:rsidP="0013005E">
            <w:pPr>
              <w:pStyle w:val="TableText"/>
              <w:rPr>
                <w:b/>
              </w:rPr>
            </w:pPr>
            <w:r>
              <w:rPr>
                <w:b/>
              </w:rPr>
              <w:t xml:space="preserve">Strength – </w:t>
            </w:r>
            <w:r>
              <w:t>online system is based on the same platform as the intrastate system</w:t>
            </w:r>
          </w:p>
        </w:tc>
      </w:tr>
      <w:tr w:rsidR="0013005E" w:rsidTr="007C698A">
        <w:tc>
          <w:tcPr>
            <w:tcW w:w="2982" w:type="dxa"/>
          </w:tcPr>
          <w:p w:rsidR="0013005E" w:rsidRDefault="0013005E" w:rsidP="0013005E">
            <w:pPr>
              <w:pStyle w:val="TableText"/>
            </w:pPr>
            <w:r>
              <w:t>Data quality and accuracy</w:t>
            </w:r>
          </w:p>
        </w:tc>
        <w:tc>
          <w:tcPr>
            <w:tcW w:w="2746" w:type="dxa"/>
          </w:tcPr>
          <w:p w:rsidR="0013005E" w:rsidRDefault="0013005E" w:rsidP="0013005E">
            <w:pPr>
              <w:pStyle w:val="TableText"/>
            </w:pPr>
            <w:r w:rsidRPr="000751D7">
              <w:rPr>
                <w:b/>
              </w:rPr>
              <w:t>Strength</w:t>
            </w:r>
            <w:r>
              <w:t xml:space="preserve"> – system has a number of in-built integrity checks and user error is reduced through use of drop down boxes and limited free text fields</w:t>
            </w:r>
          </w:p>
        </w:tc>
        <w:tc>
          <w:tcPr>
            <w:tcW w:w="2747" w:type="dxa"/>
          </w:tcPr>
          <w:p w:rsidR="0013005E" w:rsidRPr="000751D7" w:rsidRDefault="0013005E" w:rsidP="00FE5BE5">
            <w:pPr>
              <w:pStyle w:val="TableText"/>
              <w:rPr>
                <w:b/>
              </w:rPr>
            </w:pPr>
            <w:r w:rsidRPr="007F5BDA">
              <w:rPr>
                <w:b/>
              </w:rPr>
              <w:t>Strength</w:t>
            </w:r>
            <w:r>
              <w:t xml:space="preserve"> – interstate system offers the same checks and balances as intrastate </w:t>
            </w:r>
          </w:p>
        </w:tc>
      </w:tr>
      <w:tr w:rsidR="0013005E" w:rsidTr="007C698A">
        <w:tc>
          <w:tcPr>
            <w:tcW w:w="2982" w:type="dxa"/>
          </w:tcPr>
          <w:p w:rsidR="0013005E" w:rsidRDefault="0013005E" w:rsidP="0013005E">
            <w:pPr>
              <w:pStyle w:val="TableText"/>
            </w:pPr>
            <w:r>
              <w:t>Prior informed consent</w:t>
            </w:r>
          </w:p>
        </w:tc>
        <w:tc>
          <w:tcPr>
            <w:tcW w:w="2746" w:type="dxa"/>
          </w:tcPr>
          <w:p w:rsidR="0013005E" w:rsidRPr="000751D7" w:rsidRDefault="0013005E" w:rsidP="00803613">
            <w:pPr>
              <w:pStyle w:val="TableText"/>
              <w:rPr>
                <w:b/>
              </w:rPr>
            </w:pPr>
            <w:r w:rsidRPr="0013005E">
              <w:rPr>
                <w:b/>
              </w:rPr>
              <w:t xml:space="preserve">Strength – </w:t>
            </w:r>
            <w:r w:rsidR="007072E4">
              <w:t>CA</w:t>
            </w:r>
            <w:r w:rsidRPr="0013005E">
              <w:t xml:space="preserve">s are required from receiving facilities before waste is transported and the online system </w:t>
            </w:r>
            <w:r w:rsidR="00803613">
              <w:t>keeps</w:t>
            </w:r>
            <w:r w:rsidRPr="0013005E">
              <w:t xml:space="preserve"> NSW EPA generally up-to-date with hazardous waste movements</w:t>
            </w:r>
          </w:p>
        </w:tc>
        <w:tc>
          <w:tcPr>
            <w:tcW w:w="2747" w:type="dxa"/>
          </w:tcPr>
          <w:p w:rsidR="0013005E" w:rsidRPr="000751D7" w:rsidRDefault="0013005E" w:rsidP="0013005E">
            <w:pPr>
              <w:pStyle w:val="TableText"/>
              <w:rPr>
                <w:b/>
              </w:rPr>
            </w:pPr>
            <w:r>
              <w:rPr>
                <w:b/>
              </w:rPr>
              <w:t xml:space="preserve">Weakness </w:t>
            </w:r>
            <w:r w:rsidR="00803613" w:rsidRPr="0013005E">
              <w:rPr>
                <w:b/>
              </w:rPr>
              <w:t>–</w:t>
            </w:r>
            <w:r>
              <w:rPr>
                <w:b/>
              </w:rPr>
              <w:t xml:space="preserve"> </w:t>
            </w:r>
            <w:r>
              <w:t xml:space="preserve"> For hazardous waste slated to </w:t>
            </w:r>
            <w:r w:rsidRPr="00EB7E71">
              <w:rPr>
                <w:i/>
              </w:rPr>
              <w:t>leave</w:t>
            </w:r>
            <w:r>
              <w:t xml:space="preserve"> NSW the EPA has no knowledge of this until the WTC paperwork is received</w:t>
            </w:r>
          </w:p>
        </w:tc>
      </w:tr>
    </w:tbl>
    <w:p w:rsidR="008F12D0" w:rsidRDefault="006E418B" w:rsidP="006E418B">
      <w:pPr>
        <w:pStyle w:val="Heading2"/>
      </w:pPr>
      <w:bookmarkStart w:id="41" w:name="_Toc421181731"/>
      <w:r>
        <w:lastRenderedPageBreak/>
        <w:t>Victoria</w:t>
      </w:r>
      <w:bookmarkEnd w:id="41"/>
    </w:p>
    <w:p w:rsidR="00B433E6" w:rsidRDefault="006E418B" w:rsidP="00B433E6">
      <w:pPr>
        <w:pStyle w:val="ParaIndent"/>
      </w:pPr>
      <w:r w:rsidRPr="009F1B37">
        <w:t xml:space="preserve">Controlled waste (referred to as </w:t>
      </w:r>
      <w:r>
        <w:t>prescribed industrial waste</w:t>
      </w:r>
      <w:r w:rsidRPr="009F1B37">
        <w:t xml:space="preserve">) in </w:t>
      </w:r>
      <w:r>
        <w:t>Victoria</w:t>
      </w:r>
      <w:r w:rsidRPr="009F1B37">
        <w:t xml:space="preserve"> is legislated under the Environment</w:t>
      </w:r>
      <w:r>
        <w:t xml:space="preserve">al Protection (Industrial Waste Resource) Regulations 2009, which </w:t>
      </w:r>
      <w:r w:rsidRPr="009F1B37">
        <w:t xml:space="preserve">outline the requirements for tracking </w:t>
      </w:r>
      <w:r>
        <w:t>prescribed industrial waste</w:t>
      </w:r>
      <w:r w:rsidRPr="009F1B37">
        <w:t xml:space="preserve">. EPA </w:t>
      </w:r>
      <w:r>
        <w:t xml:space="preserve">Victoria </w:t>
      </w:r>
      <w:r w:rsidRPr="009F1B37">
        <w:t xml:space="preserve">administers the </w:t>
      </w:r>
      <w:r>
        <w:t>r</w:t>
      </w:r>
      <w:r w:rsidRPr="009F1B37">
        <w:t xml:space="preserve">egulations in regards to </w:t>
      </w:r>
      <w:r>
        <w:t>prescribed industrial</w:t>
      </w:r>
      <w:r w:rsidRPr="009F1B37">
        <w:t xml:space="preserve"> waste tracking</w:t>
      </w:r>
      <w:r>
        <w:t>,</w:t>
      </w:r>
      <w:r w:rsidRPr="009F1B37">
        <w:t xml:space="preserve"> with </w:t>
      </w:r>
      <w:r>
        <w:t>a key</w:t>
      </w:r>
      <w:r w:rsidRPr="009F1B37">
        <w:t xml:space="preserve"> focus being on </w:t>
      </w:r>
      <w:r>
        <w:t>encouraging industry to utilise industrial waste as a resource</w:t>
      </w:r>
      <w:r w:rsidR="00B433E6">
        <w:t xml:space="preserve">, born in part from a </w:t>
      </w:r>
      <w:r w:rsidR="00B433E6" w:rsidRPr="00B433E6">
        <w:t xml:space="preserve">severe </w:t>
      </w:r>
      <w:r w:rsidR="00B433E6">
        <w:t xml:space="preserve">constraint on hazardous waste </w:t>
      </w:r>
      <w:r w:rsidR="00682A78">
        <w:t>disposal</w:t>
      </w:r>
      <w:r w:rsidR="00B433E6">
        <w:t xml:space="preserve"> capacity.</w:t>
      </w:r>
    </w:p>
    <w:p w:rsidR="006E418B" w:rsidRDefault="006E418B" w:rsidP="006E418B">
      <w:pPr>
        <w:pStyle w:val="ParaIndent"/>
      </w:pPr>
      <w:r>
        <w:t xml:space="preserve">Victoria has an electronic controlled waste tracking system that is supported by </w:t>
      </w:r>
      <w:r w:rsidR="002F4C23">
        <w:t>a</w:t>
      </w:r>
      <w:r>
        <w:t xml:space="preserve"> traditional paper based system. Interstate tracking is undertaken using a paper based system. The electronic system was introduced in March 2013 and so far is used for approximately </w:t>
      </w:r>
      <w:r w:rsidR="00CB7B4D">
        <w:t>half</w:t>
      </w:r>
      <w:r>
        <w:t xml:space="preserve"> of controlled waste movements</w:t>
      </w:r>
      <w:r w:rsidR="00CB7B4D">
        <w:t>. H</w:t>
      </w:r>
      <w:r>
        <w:t>owever</w:t>
      </w:r>
      <w:r w:rsidR="00CB7B4D">
        <w:t>,</w:t>
      </w:r>
      <w:r>
        <w:t xml:space="preserve"> electronic certificates only cost 50c compared to $5 for a paper version</w:t>
      </w:r>
      <w:r w:rsidR="00CB7B4D">
        <w:t>,</w:t>
      </w:r>
      <w:r>
        <w:t xml:space="preserve"> so it is anticipated that usage will increase</w:t>
      </w:r>
      <w:r w:rsidR="00CB7B4D">
        <w:t xml:space="preserve"> over time</w:t>
      </w:r>
      <w:r>
        <w:t xml:space="preserve"> as pre-purcha</w:t>
      </w:r>
      <w:r w:rsidR="002F4C23">
        <w:t>sed paper certificates are used up.</w:t>
      </w:r>
    </w:p>
    <w:p w:rsidR="002F4C23" w:rsidRDefault="00287016" w:rsidP="00287016">
      <w:pPr>
        <w:pStyle w:val="ParaIndent"/>
      </w:pPr>
      <w:r>
        <w:t xml:space="preserve">The electronic system was developed by a third party and it is expensive to alter or update. </w:t>
      </w:r>
      <w:r w:rsidR="00CB7B4D">
        <w:t xml:space="preserve">All data (paper-based and electronic) is entered in a web-based portal and is stored on the Victorian EPA’s IBIS system. </w:t>
      </w:r>
      <w:r w:rsidR="002F4C23">
        <w:t>T</w:t>
      </w:r>
      <w:r w:rsidR="002F4C23" w:rsidRPr="002F4C23">
        <w:t xml:space="preserve">he paper </w:t>
      </w:r>
      <w:proofErr w:type="gramStart"/>
      <w:r w:rsidR="002F4C23" w:rsidRPr="002F4C23">
        <w:t>certificates</w:t>
      </w:r>
      <w:r w:rsidR="002F4C23">
        <w:t xml:space="preserve"> are</w:t>
      </w:r>
      <w:r>
        <w:t xml:space="preserve"> also</w:t>
      </w:r>
      <w:r w:rsidR="002F4C23" w:rsidRPr="002F4C23">
        <w:t xml:space="preserve"> entered by a third party data entry company on behalf of EPA</w:t>
      </w:r>
      <w:r w:rsidR="002F4C23">
        <w:t xml:space="preserve"> but</w:t>
      </w:r>
      <w:r w:rsidR="002F4C23" w:rsidRPr="002F4C23">
        <w:t xml:space="preserve"> does</w:t>
      </w:r>
      <w:proofErr w:type="gramEnd"/>
      <w:r w:rsidR="002F4C23" w:rsidRPr="002F4C23">
        <w:t xml:space="preserve"> not </w:t>
      </w:r>
      <w:r w:rsidR="002F4C23">
        <w:t>include all details on the form;</w:t>
      </w:r>
      <w:r w:rsidR="002F4C23" w:rsidRPr="002F4C23">
        <w:t xml:space="preserve"> for example</w:t>
      </w:r>
      <w:r w:rsidR="002F4C23">
        <w:t>,</w:t>
      </w:r>
      <w:r w:rsidR="002F4C23" w:rsidRPr="002F4C23">
        <w:t xml:space="preserve"> consignments are included as attachments.</w:t>
      </w:r>
    </w:p>
    <w:p w:rsidR="006E418B" w:rsidRDefault="00570809" w:rsidP="00CB7B4D">
      <w:pPr>
        <w:pStyle w:val="ParaIndent"/>
      </w:pPr>
      <w:r>
        <w:t xml:space="preserve">Information provided via the electronic system is stored unaltered and can be extracted as required for reporting to the DoE. The information on paper submissions </w:t>
      </w:r>
      <w:r w:rsidR="00DA11E1">
        <w:t>may be changed when entered into the system, mainly to correct information gaps and errors.</w:t>
      </w:r>
    </w:p>
    <w:p w:rsidR="00DA11E1" w:rsidRDefault="00DA11E1" w:rsidP="006E418B">
      <w:pPr>
        <w:pStyle w:val="ParaIndent"/>
      </w:pPr>
      <w:r>
        <w:t>The Victorian waste codes are slightly different f</w:t>
      </w:r>
      <w:r w:rsidR="00CB7B4D">
        <w:t>rom those used under the NEPM. O</w:t>
      </w:r>
      <w:r>
        <w:t xml:space="preserve">verall there are 97 waste codes (compared to 75 NEPM codes) with the main differences being in the ‘J’ and ‘N’ codes (oils and soil/sludge). It is also noted that the definitions </w:t>
      </w:r>
      <w:r w:rsidR="00A645D5">
        <w:t xml:space="preserve">for particular wastes vary compared to NEPM descriptions. </w:t>
      </w:r>
      <w:r w:rsidR="004E28A8">
        <w:t>Previous work done by Blue Environment has mapped Victorian waste codes into NEPM and then Basel codes, however there is still confusion in industry when a different code is used for the same waste when working in different jurisdictions.</w:t>
      </w:r>
    </w:p>
    <w:p w:rsidR="004E28A8" w:rsidRDefault="004E28A8" w:rsidP="006E418B">
      <w:pPr>
        <w:pStyle w:val="ParaIndent"/>
      </w:pPr>
      <w:r>
        <w:t>The generator has more responsibility regarding controlled waste tracking in Victoria co</w:t>
      </w:r>
      <w:r w:rsidR="00CB7B4D">
        <w:t xml:space="preserve">mpared to other jurisdictions, </w:t>
      </w:r>
      <w:r>
        <w:t>the logic being that waste generators should know the composition of their waste better than a contractor. The controlled waste tracking documentation process in Victoria is highlighted below.</w:t>
      </w:r>
    </w:p>
    <w:p w:rsidR="00A140CF" w:rsidRDefault="00A140CF" w:rsidP="008040F9">
      <w:pPr>
        <w:pStyle w:val="Caption"/>
        <w:ind w:left="1134"/>
      </w:pPr>
      <w:bookmarkStart w:id="42" w:name="_Toc421181768"/>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7</w:t>
      </w:r>
      <w:r w:rsidR="00350C10">
        <w:fldChar w:fldCharType="end"/>
      </w:r>
      <w:r w:rsidRPr="006226B1">
        <w:tab/>
      </w:r>
      <w:r w:rsidR="008040F9">
        <w:t>Victorian prescribed industrial waste tracking stakeholder responsibilities</w:t>
      </w:r>
      <w:bookmarkEnd w:id="42"/>
    </w:p>
    <w:tbl>
      <w:tblPr>
        <w:tblStyle w:val="HyderTableStyle"/>
        <w:tblW w:w="0" w:type="auto"/>
        <w:tblInd w:w="1134" w:type="dxa"/>
        <w:tblLook w:val="04A0"/>
      </w:tblPr>
      <w:tblGrid>
        <w:gridCol w:w="2353"/>
        <w:gridCol w:w="6322"/>
      </w:tblGrid>
      <w:tr w:rsidR="000E6849" w:rsidTr="000E6849">
        <w:trPr>
          <w:cnfStyle w:val="100000000000"/>
        </w:trPr>
        <w:tc>
          <w:tcPr>
            <w:tcW w:w="2353" w:type="dxa"/>
            <w:tcBorders>
              <w:bottom w:val="single" w:sz="12" w:space="0" w:color="FFFFFF" w:themeColor="background1"/>
            </w:tcBorders>
          </w:tcPr>
          <w:p w:rsidR="000E6849" w:rsidRDefault="000E6849" w:rsidP="000E6849">
            <w:pPr>
              <w:pStyle w:val="TableHeadingWhite"/>
            </w:pPr>
            <w:r>
              <w:t>Stakeholder</w:t>
            </w:r>
          </w:p>
        </w:tc>
        <w:tc>
          <w:tcPr>
            <w:tcW w:w="6322" w:type="dxa"/>
            <w:tcBorders>
              <w:bottom w:val="single" w:sz="12" w:space="0" w:color="FFFFFF" w:themeColor="background1"/>
            </w:tcBorders>
          </w:tcPr>
          <w:p w:rsidR="000E6849" w:rsidRDefault="000E6849" w:rsidP="000E6849">
            <w:pPr>
              <w:pStyle w:val="TableHeadingWhite"/>
            </w:pPr>
            <w:r>
              <w:t>Responsibilities</w:t>
            </w:r>
          </w:p>
        </w:tc>
      </w:tr>
      <w:tr w:rsidR="000E6849" w:rsidTr="000E6849">
        <w:tc>
          <w:tcPr>
            <w:tcW w:w="2353" w:type="dxa"/>
          </w:tcPr>
          <w:p w:rsidR="000E6849" w:rsidRDefault="000E6849" w:rsidP="000E6849">
            <w:pPr>
              <w:pStyle w:val="TableText"/>
            </w:pPr>
            <w:r>
              <w:t>Waste Generator</w:t>
            </w:r>
          </w:p>
        </w:tc>
        <w:tc>
          <w:tcPr>
            <w:tcW w:w="6322" w:type="dxa"/>
          </w:tcPr>
          <w:p w:rsidR="000E6849" w:rsidRDefault="000E6849" w:rsidP="000E6849">
            <w:pPr>
              <w:pStyle w:val="TableText"/>
            </w:pPr>
            <w:r>
              <w:t>Have a valid consignment number</w:t>
            </w:r>
          </w:p>
          <w:p w:rsidR="000E6849" w:rsidRDefault="000E6849" w:rsidP="000E6849">
            <w:pPr>
              <w:pStyle w:val="TableText"/>
            </w:pPr>
            <w:r>
              <w:t>Complete waste transport certificate (WTC) and provide to transporter</w:t>
            </w:r>
          </w:p>
          <w:p w:rsidR="000E6849" w:rsidRDefault="000E6849" w:rsidP="000E6849">
            <w:pPr>
              <w:pStyle w:val="TableText"/>
            </w:pPr>
            <w:r>
              <w:t>Ensure transporter has valid permit/licence</w:t>
            </w:r>
          </w:p>
          <w:p w:rsidR="000E6849" w:rsidRDefault="000E6849" w:rsidP="000E6849">
            <w:pPr>
              <w:pStyle w:val="TableText"/>
            </w:pPr>
            <w:r>
              <w:t>Ensure transporter fills out relevant sections of WTC before waste leaves the premises</w:t>
            </w:r>
          </w:p>
          <w:p w:rsidR="000E6849" w:rsidRDefault="000E6849" w:rsidP="000E6849">
            <w:pPr>
              <w:pStyle w:val="TableText"/>
            </w:pPr>
            <w:r>
              <w:t>Keep information for two years</w:t>
            </w:r>
          </w:p>
        </w:tc>
      </w:tr>
      <w:tr w:rsidR="000E6849" w:rsidTr="000E6849">
        <w:tc>
          <w:tcPr>
            <w:tcW w:w="2353" w:type="dxa"/>
          </w:tcPr>
          <w:p w:rsidR="000E6849" w:rsidRDefault="000E6849" w:rsidP="000E6849">
            <w:pPr>
              <w:pStyle w:val="TableText"/>
            </w:pPr>
            <w:r>
              <w:t>Waste Transporter</w:t>
            </w:r>
          </w:p>
        </w:tc>
        <w:tc>
          <w:tcPr>
            <w:tcW w:w="6322" w:type="dxa"/>
          </w:tcPr>
          <w:p w:rsidR="000E6849" w:rsidRDefault="000E6849" w:rsidP="000E6849">
            <w:pPr>
              <w:pStyle w:val="TableText"/>
            </w:pPr>
            <w:r>
              <w:t>Provide and confirm relevant WTC details</w:t>
            </w:r>
          </w:p>
          <w:p w:rsidR="000E6849" w:rsidRDefault="000E6849" w:rsidP="000E6849">
            <w:pPr>
              <w:pStyle w:val="TableText"/>
            </w:pPr>
            <w:r>
              <w:t>Ensure vehicle has valid permit/licence</w:t>
            </w:r>
          </w:p>
          <w:p w:rsidR="000E6849" w:rsidRDefault="000E6849" w:rsidP="000E6849">
            <w:pPr>
              <w:pStyle w:val="TableText"/>
            </w:pPr>
            <w:r>
              <w:t>Keep hard copy documentation in the vehicle</w:t>
            </w:r>
          </w:p>
        </w:tc>
      </w:tr>
      <w:tr w:rsidR="000E6849" w:rsidTr="000E6849">
        <w:tc>
          <w:tcPr>
            <w:tcW w:w="2353" w:type="dxa"/>
          </w:tcPr>
          <w:p w:rsidR="000E6849" w:rsidRDefault="000E6849" w:rsidP="000E6849">
            <w:pPr>
              <w:pStyle w:val="TableText"/>
            </w:pPr>
            <w:r>
              <w:lastRenderedPageBreak/>
              <w:t>Waste Receiver</w:t>
            </w:r>
          </w:p>
        </w:tc>
        <w:tc>
          <w:tcPr>
            <w:tcW w:w="6322" w:type="dxa"/>
          </w:tcPr>
          <w:p w:rsidR="000E6849" w:rsidRDefault="000E6849" w:rsidP="000E6849">
            <w:pPr>
              <w:pStyle w:val="TableText"/>
            </w:pPr>
            <w:r>
              <w:t>Complete relevant sections of WTC</w:t>
            </w:r>
          </w:p>
          <w:p w:rsidR="000E6849" w:rsidRDefault="000E6849" w:rsidP="000E6849">
            <w:pPr>
              <w:pStyle w:val="TableText"/>
            </w:pPr>
            <w:r>
              <w:t>Confirm receipt of waste</w:t>
            </w:r>
          </w:p>
          <w:p w:rsidR="000E6849" w:rsidRDefault="000E6849" w:rsidP="000E6849">
            <w:pPr>
              <w:pStyle w:val="TableText"/>
            </w:pPr>
            <w:r>
              <w:t>Report on discrepancies</w:t>
            </w:r>
          </w:p>
          <w:p w:rsidR="000E6849" w:rsidRDefault="000E6849" w:rsidP="000E6849">
            <w:pPr>
              <w:pStyle w:val="TableText"/>
            </w:pPr>
            <w:r>
              <w:t>Keep information for two years</w:t>
            </w:r>
          </w:p>
        </w:tc>
      </w:tr>
    </w:tbl>
    <w:p w:rsidR="00B433E6" w:rsidRDefault="00A645D5" w:rsidP="001851DC">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after="120"/>
        <w:ind w:left="1134"/>
        <w:rPr>
          <w:lang w:val="en-GB"/>
        </w:rPr>
      </w:pPr>
      <w:r w:rsidRPr="00A645D5">
        <w:rPr>
          <w:lang w:val="en-GB"/>
        </w:rPr>
        <w:t>The Victorian hazardous waste regime has some unique characteristics borne of a desire to more closely influence the fate of the material.</w:t>
      </w:r>
      <w:r w:rsidR="00B433E6">
        <w:rPr>
          <w:lang w:val="en-GB"/>
        </w:rPr>
        <w:t xml:space="preserve"> </w:t>
      </w:r>
      <w:r w:rsidR="001851DC">
        <w:rPr>
          <w:lang w:val="en-GB"/>
        </w:rPr>
        <w:t>O</w:t>
      </w:r>
      <w:r w:rsidR="00B433E6">
        <w:rPr>
          <w:lang w:val="en-GB"/>
        </w:rPr>
        <w:t xml:space="preserve">pposition </w:t>
      </w:r>
      <w:r w:rsidR="001851DC">
        <w:rPr>
          <w:lang w:val="en-GB"/>
        </w:rPr>
        <w:t xml:space="preserve">by community groups </w:t>
      </w:r>
      <w:r w:rsidR="00B433E6">
        <w:rPr>
          <w:lang w:val="en-GB"/>
        </w:rPr>
        <w:t>to a</w:t>
      </w:r>
      <w:r w:rsidR="001851DC">
        <w:rPr>
          <w:lang w:val="en-GB"/>
        </w:rPr>
        <w:t>ny</w:t>
      </w:r>
      <w:r w:rsidR="00B433E6">
        <w:rPr>
          <w:lang w:val="en-GB"/>
        </w:rPr>
        <w:t xml:space="preserve"> new hazardous waste containment </w:t>
      </w:r>
      <w:r w:rsidR="001851DC">
        <w:rPr>
          <w:lang w:val="en-GB"/>
        </w:rPr>
        <w:t xml:space="preserve">sites in the state saw the Victorian Government opt to create tiered hazard ratings in a bid to encourage </w:t>
      </w:r>
      <w:r w:rsidR="001851DC" w:rsidRPr="00B433E6">
        <w:t>resource recovery</w:t>
      </w:r>
      <w:r w:rsidR="001851DC">
        <w:rPr>
          <w:lang w:val="en-GB"/>
        </w:rPr>
        <w:t>.</w:t>
      </w:r>
    </w:p>
    <w:p w:rsidR="001851DC" w:rsidRPr="00A645D5" w:rsidRDefault="001851DC" w:rsidP="001851DC">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00" w:beforeAutospacing="1" w:after="120"/>
        <w:ind w:left="1134"/>
        <w:rPr>
          <w:lang w:val="en-GB"/>
        </w:rPr>
      </w:pPr>
      <w:r>
        <w:rPr>
          <w:lang w:val="en-GB"/>
        </w:rPr>
        <w:t>It</w:t>
      </w:r>
      <w:r w:rsidR="00A645D5" w:rsidRPr="00A645D5">
        <w:rPr>
          <w:lang w:val="en-GB"/>
        </w:rPr>
        <w:t xml:space="preserve"> categorises </w:t>
      </w:r>
      <w:r w:rsidR="00A645D5">
        <w:rPr>
          <w:lang w:val="en-GB"/>
        </w:rPr>
        <w:t>‘</w:t>
      </w:r>
      <w:r w:rsidR="00A645D5" w:rsidRPr="00A645D5">
        <w:rPr>
          <w:lang w:val="en-GB"/>
        </w:rPr>
        <w:t>prescribed industrial wastes</w:t>
      </w:r>
      <w:r w:rsidR="00A645D5">
        <w:rPr>
          <w:lang w:val="en-GB"/>
        </w:rPr>
        <w:t>’</w:t>
      </w:r>
      <w:r w:rsidR="00A645D5" w:rsidRPr="00A645D5">
        <w:rPr>
          <w:lang w:val="en-GB"/>
        </w:rPr>
        <w:t xml:space="preserve"> for the purposes of determining where it can be disposed of. Category A is the most contaminated and Category C the least contaminated, depending on chemical thresholds. This also ties in with landfill levies, which range from $250 per tonne for Category B to $70 per tonne for Category C and $30 per tonne for packaged waste asbestos to encourage correct disposal. Cat</w:t>
      </w:r>
      <w:r>
        <w:rPr>
          <w:lang w:val="en-GB"/>
        </w:rPr>
        <w:t xml:space="preserve">egory A is banned from landfill, while material that has been processed for reuse can get a </w:t>
      </w:r>
      <w:r w:rsidRPr="001851DC">
        <w:rPr>
          <w:lang w:val="en-GB"/>
        </w:rPr>
        <w:t>secondary beneficial reuse</w:t>
      </w:r>
      <w:r>
        <w:rPr>
          <w:lang w:val="en-GB"/>
        </w:rPr>
        <w:t xml:space="preserve"> exemption from </w:t>
      </w:r>
      <w:r w:rsidRPr="001851DC">
        <w:rPr>
          <w:lang w:val="en-GB"/>
        </w:rPr>
        <w:t>categorisation</w:t>
      </w:r>
      <w:r>
        <w:rPr>
          <w:lang w:val="en-GB"/>
        </w:rPr>
        <w:t>.</w:t>
      </w:r>
    </w:p>
    <w:p w:rsidR="001851DC" w:rsidRDefault="00A645D5" w:rsidP="004037AA">
      <w:pPr>
        <w:pStyle w:val="ParaIndent"/>
      </w:pPr>
      <w:r w:rsidRPr="00A645D5">
        <w:t xml:space="preserve">Unlike other jurisdictions, waste producers must seek approval from the Victorian EPA </w:t>
      </w:r>
      <w:r w:rsidR="004037AA">
        <w:t>before</w:t>
      </w:r>
      <w:r w:rsidRPr="00A645D5">
        <w:t xml:space="preserve"> transport</w:t>
      </w:r>
      <w:r w:rsidR="004037AA">
        <w:t>ing</w:t>
      </w:r>
      <w:r w:rsidRPr="00A645D5">
        <w:t xml:space="preserve"> hazardous waste out of the state, rather than simply having to notify the agency as in other jurisdictions.</w:t>
      </w:r>
      <w:r w:rsidR="00CB7B4D">
        <w:t xml:space="preserve"> </w:t>
      </w:r>
      <w:r w:rsidR="004037AA">
        <w:t xml:space="preserve">Prior approval is not required for polychlorinated biphenyls (PCBs) or liquid wastes. </w:t>
      </w:r>
      <w:r w:rsidR="00CB7B4D">
        <w:t xml:space="preserve">Victoria allows 20 days to make a determination. </w:t>
      </w:r>
      <w:r w:rsidRPr="00A645D5">
        <w:t>As with other regimes, the waste producer would also be required to obtain a consignment authorisation from the destination jurisdiction</w:t>
      </w:r>
      <w:r>
        <w:t>.</w:t>
      </w:r>
    </w:p>
    <w:p w:rsidR="006E418B" w:rsidRDefault="006E418B" w:rsidP="006E418B">
      <w:pPr>
        <w:pStyle w:val="Heading3"/>
      </w:pPr>
      <w:r>
        <w:t>Strengths and Weaknesses</w:t>
      </w:r>
    </w:p>
    <w:p w:rsidR="005B5D4D" w:rsidRDefault="005B5D4D" w:rsidP="005B5D4D">
      <w:pPr>
        <w:pStyle w:val="ParaIndent"/>
      </w:pPr>
      <w:r>
        <w:t>While the use of paper compared to the electronic system in Victoria is approximately 50:50</w:t>
      </w:r>
      <w:r w:rsidR="00CB7B4D">
        <w:t>,</w:t>
      </w:r>
      <w:r>
        <w:t xml:space="preserve"> for the purposes of this assessment the electronic system has</w:t>
      </w:r>
      <w:r w:rsidR="00CB7B4D">
        <w:t xml:space="preserve"> been considered the predominant</w:t>
      </w:r>
      <w:r>
        <w:t xml:space="preserve"> waste tracking system.</w:t>
      </w:r>
    </w:p>
    <w:p w:rsidR="008040F9" w:rsidRPr="005B5D4D" w:rsidRDefault="008040F9" w:rsidP="008040F9">
      <w:pPr>
        <w:pStyle w:val="Caption"/>
        <w:ind w:left="1134"/>
      </w:pPr>
      <w:bookmarkStart w:id="43" w:name="_Toc421181769"/>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8</w:t>
      </w:r>
      <w:r w:rsidR="00350C10">
        <w:fldChar w:fldCharType="end"/>
      </w:r>
      <w:r w:rsidRPr="006226B1">
        <w:tab/>
      </w:r>
      <w:r>
        <w:t>Victorian prescribed industrial waste tracking system strengths and weaknesses</w:t>
      </w:r>
      <w:bookmarkEnd w:id="43"/>
    </w:p>
    <w:tbl>
      <w:tblPr>
        <w:tblStyle w:val="HyderTableStyle"/>
        <w:tblW w:w="0" w:type="auto"/>
        <w:tblInd w:w="1134" w:type="dxa"/>
        <w:tblLook w:val="04A0"/>
      </w:tblPr>
      <w:tblGrid>
        <w:gridCol w:w="2943"/>
        <w:gridCol w:w="2766"/>
        <w:gridCol w:w="2766"/>
      </w:tblGrid>
      <w:tr w:rsidR="007C698A" w:rsidTr="007C698A">
        <w:trPr>
          <w:cnfStyle w:val="100000000000"/>
        </w:trPr>
        <w:tc>
          <w:tcPr>
            <w:tcW w:w="2943" w:type="dxa"/>
            <w:tcBorders>
              <w:bottom w:val="single" w:sz="12" w:space="0" w:color="FFFFFF" w:themeColor="background1"/>
            </w:tcBorders>
          </w:tcPr>
          <w:p w:rsidR="007C698A" w:rsidRDefault="007C698A" w:rsidP="00B267E0">
            <w:pPr>
              <w:pStyle w:val="TableHeadingWhite"/>
            </w:pPr>
            <w:r>
              <w:t>Criteria</w:t>
            </w:r>
          </w:p>
        </w:tc>
        <w:tc>
          <w:tcPr>
            <w:tcW w:w="2766" w:type="dxa"/>
            <w:tcBorders>
              <w:bottom w:val="single" w:sz="12" w:space="0" w:color="FFFFFF" w:themeColor="background1"/>
            </w:tcBorders>
          </w:tcPr>
          <w:p w:rsidR="007C698A" w:rsidRDefault="007C698A" w:rsidP="00B267E0">
            <w:pPr>
              <w:pStyle w:val="TableHeadingWhite"/>
            </w:pPr>
            <w:r>
              <w:t>Intrastate tracking</w:t>
            </w:r>
          </w:p>
        </w:tc>
        <w:tc>
          <w:tcPr>
            <w:tcW w:w="2766" w:type="dxa"/>
            <w:tcBorders>
              <w:bottom w:val="single" w:sz="12" w:space="0" w:color="FFFFFF" w:themeColor="background1"/>
            </w:tcBorders>
          </w:tcPr>
          <w:p w:rsidR="007C698A" w:rsidRDefault="007C698A" w:rsidP="00B267E0">
            <w:pPr>
              <w:pStyle w:val="TableHeadingWhite"/>
            </w:pPr>
            <w:r>
              <w:t>Interstate tracking</w:t>
            </w:r>
          </w:p>
        </w:tc>
      </w:tr>
      <w:tr w:rsidR="0013005E" w:rsidTr="007C698A">
        <w:tc>
          <w:tcPr>
            <w:tcW w:w="2943" w:type="dxa"/>
          </w:tcPr>
          <w:p w:rsidR="0013005E" w:rsidRDefault="0013005E" w:rsidP="0013005E">
            <w:pPr>
              <w:pStyle w:val="TableText"/>
            </w:pPr>
            <w:r>
              <w:t>Interstate and intrastate compatibility</w:t>
            </w:r>
          </w:p>
        </w:tc>
        <w:tc>
          <w:tcPr>
            <w:tcW w:w="2766" w:type="dxa"/>
          </w:tcPr>
          <w:p w:rsidR="0013005E" w:rsidRDefault="0013005E" w:rsidP="0013005E">
            <w:pPr>
              <w:pStyle w:val="TableText"/>
            </w:pPr>
            <w:r w:rsidRPr="002F11B6">
              <w:rPr>
                <w:b/>
              </w:rPr>
              <w:t>Strength</w:t>
            </w:r>
            <w:r>
              <w:t xml:space="preserve"> </w:t>
            </w:r>
            <w:r w:rsidR="00723A6B" w:rsidRPr="00723A6B">
              <w:rPr>
                <w:b/>
              </w:rPr>
              <w:t>–</w:t>
            </w:r>
            <w:r>
              <w:t xml:space="preserve"> online system is able to be used for all intrastate and incoming interstate hazardous waste movements</w:t>
            </w:r>
          </w:p>
        </w:tc>
        <w:tc>
          <w:tcPr>
            <w:tcW w:w="2766" w:type="dxa"/>
          </w:tcPr>
          <w:p w:rsidR="0013005E" w:rsidRPr="002F11B6" w:rsidRDefault="0013005E" w:rsidP="0013005E">
            <w:pPr>
              <w:pStyle w:val="TableText"/>
              <w:rPr>
                <w:b/>
              </w:rPr>
            </w:pPr>
            <w:r w:rsidRPr="002F11B6">
              <w:rPr>
                <w:b/>
              </w:rPr>
              <w:t>Strength</w:t>
            </w:r>
            <w:r>
              <w:t xml:space="preserve"> </w:t>
            </w:r>
            <w:r w:rsidR="00723A6B" w:rsidRPr="00723A6B">
              <w:rPr>
                <w:b/>
              </w:rPr>
              <w:t>–</w:t>
            </w:r>
            <w:r>
              <w:t xml:space="preserve"> online system is able to be used for all intrastate and incoming interstate hazardous waste movements</w:t>
            </w:r>
          </w:p>
        </w:tc>
      </w:tr>
      <w:tr w:rsidR="0013005E" w:rsidTr="007C698A">
        <w:tc>
          <w:tcPr>
            <w:tcW w:w="2943" w:type="dxa"/>
          </w:tcPr>
          <w:p w:rsidR="0013005E" w:rsidRDefault="0013005E" w:rsidP="0013005E">
            <w:pPr>
              <w:pStyle w:val="TableText"/>
            </w:pPr>
            <w:r>
              <w:t>Real time analysis, reporting and management</w:t>
            </w:r>
          </w:p>
        </w:tc>
        <w:tc>
          <w:tcPr>
            <w:tcW w:w="2766" w:type="dxa"/>
          </w:tcPr>
          <w:p w:rsidR="0013005E" w:rsidRDefault="00B433E6" w:rsidP="00FE5BE5">
            <w:pPr>
              <w:pStyle w:val="TableText"/>
            </w:pPr>
            <w:r>
              <w:rPr>
                <w:b/>
              </w:rPr>
              <w:t>Strength (notional)</w:t>
            </w:r>
            <w:r w:rsidR="0013005E">
              <w:t xml:space="preserve"> </w:t>
            </w:r>
            <w:r w:rsidR="0013005E" w:rsidRPr="00723A6B">
              <w:rPr>
                <w:b/>
              </w:rPr>
              <w:t>–</w:t>
            </w:r>
            <w:r w:rsidR="00FE5BE5">
              <w:t xml:space="preserve"> </w:t>
            </w:r>
            <w:r w:rsidR="0013005E">
              <w:t>up to date data is available</w:t>
            </w:r>
            <w:r w:rsidR="00FE5BE5">
              <w:t xml:space="preserve"> from electronic tracking but not </w:t>
            </w:r>
            <w:r>
              <w:t xml:space="preserve">from </w:t>
            </w:r>
            <w:r w:rsidR="00FE5BE5">
              <w:t>paper</w:t>
            </w:r>
            <w:r w:rsidR="0013005E">
              <w:t xml:space="preserve">, </w:t>
            </w:r>
            <w:r w:rsidR="00FE5BE5">
              <w:t xml:space="preserve">while the </w:t>
            </w:r>
            <w:r w:rsidR="0013005E">
              <w:t xml:space="preserve">system </w:t>
            </w:r>
            <w:r w:rsidR="00FE5BE5">
              <w:t xml:space="preserve">is </w:t>
            </w:r>
            <w:r w:rsidR="0013005E">
              <w:t>capable of running reports and data is easily stored</w:t>
            </w:r>
          </w:p>
        </w:tc>
        <w:tc>
          <w:tcPr>
            <w:tcW w:w="2766" w:type="dxa"/>
          </w:tcPr>
          <w:p w:rsidR="0013005E" w:rsidRPr="002F11B6" w:rsidRDefault="0013005E" w:rsidP="00E12BE2">
            <w:pPr>
              <w:pStyle w:val="TableText"/>
              <w:rPr>
                <w:b/>
              </w:rPr>
            </w:pPr>
            <w:r w:rsidRPr="002F11B6">
              <w:rPr>
                <w:b/>
              </w:rPr>
              <w:t>Strength</w:t>
            </w:r>
            <w:r w:rsidR="00B433E6">
              <w:rPr>
                <w:b/>
              </w:rPr>
              <w:t xml:space="preserve"> (notional)</w:t>
            </w:r>
            <w:r>
              <w:t xml:space="preserve"> </w:t>
            </w:r>
            <w:r w:rsidR="00723A6B" w:rsidRPr="00723A6B">
              <w:rPr>
                <w:b/>
              </w:rPr>
              <w:t>–</w:t>
            </w:r>
            <w:r>
              <w:t xml:space="preserve"> online system can be used for </w:t>
            </w:r>
            <w:r w:rsidR="00E12BE2">
              <w:t xml:space="preserve">interstate </w:t>
            </w:r>
            <w:r>
              <w:t xml:space="preserve">movements </w:t>
            </w:r>
          </w:p>
        </w:tc>
      </w:tr>
      <w:tr w:rsidR="0013005E" w:rsidTr="007C698A">
        <w:tc>
          <w:tcPr>
            <w:tcW w:w="2943" w:type="dxa"/>
          </w:tcPr>
          <w:p w:rsidR="0013005E" w:rsidRDefault="0013005E" w:rsidP="0013005E">
            <w:pPr>
              <w:pStyle w:val="TableText"/>
            </w:pPr>
            <w:r>
              <w:t>Coverage of controlled wastes</w:t>
            </w:r>
          </w:p>
        </w:tc>
        <w:tc>
          <w:tcPr>
            <w:tcW w:w="2766" w:type="dxa"/>
          </w:tcPr>
          <w:p w:rsidR="0013005E" w:rsidRDefault="0013005E" w:rsidP="0013005E">
            <w:pPr>
              <w:pStyle w:val="TableText"/>
            </w:pPr>
            <w:r>
              <w:rPr>
                <w:b/>
              </w:rPr>
              <w:t>Strength</w:t>
            </w:r>
            <w:r>
              <w:t xml:space="preserve"> </w:t>
            </w:r>
            <w:r w:rsidRPr="00723A6B">
              <w:rPr>
                <w:b/>
              </w:rPr>
              <w:t>–</w:t>
            </w:r>
            <w:r>
              <w:t xml:space="preserve"> there are no blanket exemptions, with industry required to apply for secondary beneficial reuse exemption if tracking is not believed to be necessary</w:t>
            </w:r>
          </w:p>
        </w:tc>
        <w:tc>
          <w:tcPr>
            <w:tcW w:w="2766" w:type="dxa"/>
          </w:tcPr>
          <w:p w:rsidR="0013005E" w:rsidRDefault="0013005E" w:rsidP="0013005E">
            <w:pPr>
              <w:pStyle w:val="TableText"/>
              <w:rPr>
                <w:b/>
              </w:rPr>
            </w:pPr>
            <w:r>
              <w:rPr>
                <w:b/>
              </w:rPr>
              <w:t xml:space="preserve">Strength – </w:t>
            </w:r>
            <w:r>
              <w:t>NEPM 75 are tracked interstate</w:t>
            </w:r>
          </w:p>
        </w:tc>
      </w:tr>
      <w:tr w:rsidR="0013005E" w:rsidTr="007C698A">
        <w:tc>
          <w:tcPr>
            <w:tcW w:w="2943" w:type="dxa"/>
          </w:tcPr>
          <w:p w:rsidR="0013005E" w:rsidRDefault="0013005E" w:rsidP="0013005E">
            <w:pPr>
              <w:pStyle w:val="TableText"/>
            </w:pPr>
            <w:r>
              <w:lastRenderedPageBreak/>
              <w:t>Alignment of coding and descriptions</w:t>
            </w:r>
          </w:p>
        </w:tc>
        <w:tc>
          <w:tcPr>
            <w:tcW w:w="2766" w:type="dxa"/>
          </w:tcPr>
          <w:p w:rsidR="0013005E" w:rsidRDefault="0013005E" w:rsidP="0013005E">
            <w:pPr>
              <w:pStyle w:val="TableText"/>
            </w:pPr>
            <w:r>
              <w:rPr>
                <w:b/>
              </w:rPr>
              <w:t>Weakness</w:t>
            </w:r>
            <w:r w:rsidRPr="00723A6B">
              <w:rPr>
                <w:b/>
              </w:rPr>
              <w:t xml:space="preserve"> –</w:t>
            </w:r>
            <w:r>
              <w:t xml:space="preserve"> a number of sub codes and descriptions vary from those in the NEPM</w:t>
            </w:r>
          </w:p>
        </w:tc>
        <w:tc>
          <w:tcPr>
            <w:tcW w:w="2766" w:type="dxa"/>
          </w:tcPr>
          <w:p w:rsidR="0013005E" w:rsidRDefault="0013005E" w:rsidP="0013005E">
            <w:pPr>
              <w:pStyle w:val="TableText"/>
              <w:rPr>
                <w:b/>
              </w:rPr>
            </w:pPr>
            <w:r>
              <w:rPr>
                <w:b/>
              </w:rPr>
              <w:t>Weakness</w:t>
            </w:r>
            <w:r>
              <w:t xml:space="preserve"> </w:t>
            </w:r>
            <w:r w:rsidRPr="00723A6B">
              <w:rPr>
                <w:b/>
              </w:rPr>
              <w:t>–</w:t>
            </w:r>
            <w:r>
              <w:t xml:space="preserve"> when transporting PIW </w:t>
            </w:r>
            <w:r w:rsidRPr="00F75FE5">
              <w:rPr>
                <w:i/>
              </w:rPr>
              <w:t>from</w:t>
            </w:r>
            <w:r>
              <w:rPr>
                <w:i/>
              </w:rPr>
              <w:t xml:space="preserve"> </w:t>
            </w:r>
            <w:r>
              <w:t>Victoria the guidelines refer to Victorian waste codes which vary from those in the NEPM</w:t>
            </w:r>
          </w:p>
        </w:tc>
      </w:tr>
      <w:tr w:rsidR="0013005E" w:rsidTr="007C698A">
        <w:tc>
          <w:tcPr>
            <w:tcW w:w="2943" w:type="dxa"/>
          </w:tcPr>
          <w:p w:rsidR="0013005E" w:rsidRDefault="0013005E" w:rsidP="0013005E">
            <w:pPr>
              <w:pStyle w:val="TableText"/>
            </w:pPr>
            <w:r>
              <w:t>Ease of updating system</w:t>
            </w:r>
          </w:p>
        </w:tc>
        <w:tc>
          <w:tcPr>
            <w:tcW w:w="2766" w:type="dxa"/>
          </w:tcPr>
          <w:p w:rsidR="0013005E" w:rsidRDefault="0013005E" w:rsidP="0013005E">
            <w:pPr>
              <w:pStyle w:val="TableText"/>
            </w:pPr>
            <w:r>
              <w:rPr>
                <w:b/>
              </w:rPr>
              <w:t>Weakness</w:t>
            </w:r>
            <w:r>
              <w:t xml:space="preserve"> </w:t>
            </w:r>
            <w:r w:rsidRPr="00723A6B">
              <w:rPr>
                <w:b/>
              </w:rPr>
              <w:t>–</w:t>
            </w:r>
            <w:r>
              <w:t xml:space="preserve"> would require a third party to undertake the programming and is an expensive exercise</w:t>
            </w:r>
          </w:p>
        </w:tc>
        <w:tc>
          <w:tcPr>
            <w:tcW w:w="2766" w:type="dxa"/>
          </w:tcPr>
          <w:p w:rsidR="0013005E" w:rsidRDefault="0013005E" w:rsidP="0013005E">
            <w:pPr>
              <w:pStyle w:val="TableText"/>
              <w:rPr>
                <w:b/>
              </w:rPr>
            </w:pPr>
            <w:r>
              <w:rPr>
                <w:b/>
              </w:rPr>
              <w:t>Weakness</w:t>
            </w:r>
            <w:r>
              <w:t xml:space="preserve"> </w:t>
            </w:r>
            <w:r w:rsidRPr="00723A6B">
              <w:rPr>
                <w:b/>
              </w:rPr>
              <w:t>–</w:t>
            </w:r>
            <w:r>
              <w:t xml:space="preserve"> would require a third party to undertake the programming and is an expensive exercise</w:t>
            </w:r>
          </w:p>
        </w:tc>
      </w:tr>
      <w:tr w:rsidR="0013005E" w:rsidTr="007C698A">
        <w:tc>
          <w:tcPr>
            <w:tcW w:w="2943" w:type="dxa"/>
          </w:tcPr>
          <w:p w:rsidR="0013005E" w:rsidRDefault="0013005E" w:rsidP="0013005E">
            <w:pPr>
              <w:pStyle w:val="TableText"/>
            </w:pPr>
            <w:r>
              <w:t>Data quality and accuracy</w:t>
            </w:r>
          </w:p>
        </w:tc>
        <w:tc>
          <w:tcPr>
            <w:tcW w:w="2766" w:type="dxa"/>
          </w:tcPr>
          <w:p w:rsidR="0013005E" w:rsidRDefault="0013005E" w:rsidP="00A10077">
            <w:pPr>
              <w:pStyle w:val="TableText"/>
            </w:pPr>
            <w:r w:rsidRPr="000751D7">
              <w:rPr>
                <w:b/>
              </w:rPr>
              <w:t>Strength</w:t>
            </w:r>
            <w:r w:rsidRPr="00A10077">
              <w:rPr>
                <w:b/>
              </w:rPr>
              <w:t xml:space="preserve"> </w:t>
            </w:r>
            <w:r w:rsidR="00A10077" w:rsidRPr="00A10077">
              <w:rPr>
                <w:b/>
              </w:rPr>
              <w:t>(notional)</w:t>
            </w:r>
            <w:r w:rsidR="00A10077">
              <w:t xml:space="preserve"> </w:t>
            </w:r>
            <w:r w:rsidRPr="00723A6B">
              <w:rPr>
                <w:b/>
              </w:rPr>
              <w:t>–</w:t>
            </w:r>
            <w:r>
              <w:t xml:space="preserve"> the data entered via the online system is of good quality with reasonable accuracy, though </w:t>
            </w:r>
            <w:r w:rsidR="00A10077">
              <w:t xml:space="preserve">confidence dips with the </w:t>
            </w:r>
            <w:r>
              <w:t>paper system</w:t>
            </w:r>
          </w:p>
        </w:tc>
        <w:tc>
          <w:tcPr>
            <w:tcW w:w="2766" w:type="dxa"/>
          </w:tcPr>
          <w:p w:rsidR="0013005E" w:rsidRPr="000751D7" w:rsidRDefault="0013005E" w:rsidP="0013005E">
            <w:pPr>
              <w:pStyle w:val="TableText"/>
              <w:rPr>
                <w:b/>
              </w:rPr>
            </w:pPr>
            <w:r w:rsidRPr="000751D7">
              <w:rPr>
                <w:b/>
              </w:rPr>
              <w:t>Strength</w:t>
            </w:r>
            <w:r w:rsidR="00A10077">
              <w:rPr>
                <w:b/>
              </w:rPr>
              <w:t xml:space="preserve"> (notional)</w:t>
            </w:r>
            <w:r>
              <w:t xml:space="preserve"> </w:t>
            </w:r>
            <w:r w:rsidRPr="00723A6B">
              <w:rPr>
                <w:b/>
              </w:rPr>
              <w:t>–</w:t>
            </w:r>
            <w:r>
              <w:t xml:space="preserve"> the data entered via the online system is of good quality with reasonable accuracy</w:t>
            </w:r>
            <w:r w:rsidR="00687FF1">
              <w:t>, though confidence dips with the paper system</w:t>
            </w:r>
          </w:p>
        </w:tc>
      </w:tr>
      <w:tr w:rsidR="0013005E" w:rsidTr="007C698A">
        <w:tc>
          <w:tcPr>
            <w:tcW w:w="2943" w:type="dxa"/>
          </w:tcPr>
          <w:p w:rsidR="0013005E" w:rsidRDefault="0013005E" w:rsidP="0013005E">
            <w:pPr>
              <w:pStyle w:val="TableText"/>
            </w:pPr>
            <w:r>
              <w:t>Prior informed consent</w:t>
            </w:r>
          </w:p>
        </w:tc>
        <w:tc>
          <w:tcPr>
            <w:tcW w:w="2766" w:type="dxa"/>
          </w:tcPr>
          <w:p w:rsidR="0013005E" w:rsidRPr="000751D7" w:rsidRDefault="0013005E" w:rsidP="0013005E">
            <w:pPr>
              <w:pStyle w:val="TableText"/>
              <w:rPr>
                <w:b/>
              </w:rPr>
            </w:pPr>
            <w:r>
              <w:rPr>
                <w:b/>
              </w:rPr>
              <w:t xml:space="preserve">Strength </w:t>
            </w:r>
            <w:r w:rsidR="00803613">
              <w:rPr>
                <w:b/>
              </w:rPr>
              <w:t>–</w:t>
            </w:r>
            <w:r>
              <w:rPr>
                <w:b/>
              </w:rPr>
              <w:t xml:space="preserve"> </w:t>
            </w:r>
            <w:r w:rsidR="00B433E6">
              <w:t>CA</w:t>
            </w:r>
            <w:r w:rsidRPr="0013005E">
              <w:t>s are required from receiving facilities before waste is transported and the online system allows the Vic</w:t>
            </w:r>
            <w:r w:rsidR="00B433E6">
              <w:t>torian</w:t>
            </w:r>
            <w:r w:rsidRPr="0013005E">
              <w:t xml:space="preserve"> EPA to be generally up-to-date with hazardous waste movements</w:t>
            </w:r>
          </w:p>
        </w:tc>
        <w:tc>
          <w:tcPr>
            <w:tcW w:w="2766" w:type="dxa"/>
          </w:tcPr>
          <w:p w:rsidR="0013005E" w:rsidRPr="000751D7" w:rsidRDefault="0013005E" w:rsidP="00687FF1">
            <w:pPr>
              <w:pStyle w:val="TableText"/>
              <w:rPr>
                <w:b/>
              </w:rPr>
            </w:pPr>
            <w:r>
              <w:rPr>
                <w:b/>
              </w:rPr>
              <w:t xml:space="preserve">Strength </w:t>
            </w:r>
            <w:r w:rsidR="00803613">
              <w:rPr>
                <w:b/>
              </w:rPr>
              <w:t>–</w:t>
            </w:r>
            <w:r>
              <w:rPr>
                <w:b/>
              </w:rPr>
              <w:t xml:space="preserve"> </w:t>
            </w:r>
            <w:r>
              <w:t xml:space="preserve"> outgoing movements of PIW</w:t>
            </w:r>
            <w:r w:rsidR="00B433E6">
              <w:t xml:space="preserve"> requires approval from</w:t>
            </w:r>
            <w:r>
              <w:t xml:space="preserve"> the Victorian EPA before the movement is undertaken</w:t>
            </w:r>
            <w:r w:rsidR="00687FF1">
              <w:t>, other than PCBs and liquid waste</w:t>
            </w:r>
          </w:p>
        </w:tc>
      </w:tr>
    </w:tbl>
    <w:p w:rsidR="006E418B" w:rsidRDefault="00AA60B8" w:rsidP="00AA60B8">
      <w:pPr>
        <w:pStyle w:val="Heading2"/>
      </w:pPr>
      <w:bookmarkStart w:id="44" w:name="_Toc421181732"/>
      <w:r>
        <w:t>Queensland</w:t>
      </w:r>
      <w:bookmarkEnd w:id="44"/>
    </w:p>
    <w:p w:rsidR="00AA60B8" w:rsidRDefault="00AA60B8" w:rsidP="00AA60B8">
      <w:pPr>
        <w:pStyle w:val="ParaIndent"/>
      </w:pPr>
      <w:r>
        <w:t xml:space="preserve">Hazardous (regulated and </w:t>
      </w:r>
      <w:proofErr w:type="spellStart"/>
      <w:r>
        <w:t>trackable</w:t>
      </w:r>
      <w:proofErr w:type="spellEnd"/>
      <w:r>
        <w:t xml:space="preserve">) waste in Queensland is managed under the Environmental Protection Regulation 2008, which outlines the requirements for tracking these wastes. The Department of Environment and Heritage Protection </w:t>
      </w:r>
      <w:r w:rsidR="00C50AFF">
        <w:t xml:space="preserve">(DEHP) </w:t>
      </w:r>
      <w:r>
        <w:t>administers the regulation</w:t>
      </w:r>
      <w:r w:rsidRPr="00D7595A">
        <w:t>s, which aim to prevent illegal waste dumping that has the potential to cause environmental harm.</w:t>
      </w:r>
    </w:p>
    <w:p w:rsidR="00472E62" w:rsidRDefault="00AA60B8" w:rsidP="00AA60B8">
      <w:pPr>
        <w:pStyle w:val="ParaIndent"/>
      </w:pPr>
      <w:r>
        <w:t>The system currently in use is mostly paper-based, although larger companies are able to provide data in spreadsheet format.</w:t>
      </w:r>
      <w:r w:rsidR="003D0982">
        <w:t xml:space="preserve"> </w:t>
      </w:r>
      <w:r>
        <w:t xml:space="preserve">DEHP </w:t>
      </w:r>
      <w:r w:rsidR="00C50AFF">
        <w:t>is</w:t>
      </w:r>
      <w:r>
        <w:t xml:space="preserve"> in the </w:t>
      </w:r>
      <w:r w:rsidR="00AF385E">
        <w:t>early stages</w:t>
      </w:r>
      <w:r>
        <w:t xml:space="preserve"> of developing an electronic system, with the paper-based and spreadsheet options retained for the foreseeable future. </w:t>
      </w:r>
      <w:r w:rsidR="000732B1">
        <w:t>Development and implementation of the electronic system is likely to take at least 12 months.</w:t>
      </w:r>
    </w:p>
    <w:p w:rsidR="00AA60B8" w:rsidRDefault="003D0982" w:rsidP="00472E62">
      <w:pPr>
        <w:pStyle w:val="ParaIndent"/>
      </w:pPr>
      <w:r>
        <w:t>T</w:t>
      </w:r>
      <w:r w:rsidRPr="003D0982">
        <w:t>he Queensland Waste Avoidance and Resource Productivity Strategy (2014–2024) noted the regulated waste framework is under review</w:t>
      </w:r>
      <w:r w:rsidR="00472E62">
        <w:t>. A</w:t>
      </w:r>
      <w:r w:rsidR="00472E62" w:rsidRPr="003D0982">
        <w:t xml:space="preserve"> draft is expected to be released in 2015</w:t>
      </w:r>
      <w:r w:rsidRPr="003D0982">
        <w:t xml:space="preserve">, with </w:t>
      </w:r>
      <w:r w:rsidR="00472E62">
        <w:t xml:space="preserve">an expectation it will follow the lines of Victoria’s Prescribed Industrial Waste model, </w:t>
      </w:r>
      <w:r w:rsidR="009C53EB">
        <w:t>allowing</w:t>
      </w:r>
      <w:r w:rsidR="00472E62">
        <w:t xml:space="preserve"> more flexibility in lower threshold categories. From a data perspective, </w:t>
      </w:r>
      <w:r w:rsidRPr="003D0982">
        <w:t>proposed changes including providing more certainty about what wastes are regulated and gathering additional information for baseline data.</w:t>
      </w:r>
    </w:p>
    <w:p w:rsidR="00723A6B" w:rsidRDefault="00C50AFF" w:rsidP="00723A6B">
      <w:pPr>
        <w:pStyle w:val="ParaIndent"/>
      </w:pPr>
      <w:r w:rsidRPr="00AA60B8">
        <w:t xml:space="preserve">While there is considerable overlap between regulated and </w:t>
      </w:r>
      <w:proofErr w:type="spellStart"/>
      <w:r w:rsidRPr="00AA60B8">
        <w:t>trackable</w:t>
      </w:r>
      <w:proofErr w:type="spellEnd"/>
      <w:r w:rsidRPr="00AA60B8">
        <w:t xml:space="preserve"> wastes, they do not completely match. Schedule 7 of the regulations list 77 regulated wastes, while Schedule 2E lists 70 </w:t>
      </w:r>
      <w:proofErr w:type="spellStart"/>
      <w:r w:rsidRPr="00AA60B8">
        <w:t>trackable</w:t>
      </w:r>
      <w:proofErr w:type="spellEnd"/>
      <w:r w:rsidRPr="00AA60B8">
        <w:t xml:space="preserve"> wastes.</w:t>
      </w:r>
      <w:r>
        <w:t xml:space="preserve"> </w:t>
      </w:r>
      <w:r w:rsidR="00AA60B8" w:rsidRPr="00AA60B8">
        <w:t xml:space="preserve">Fire debris and </w:t>
      </w:r>
      <w:proofErr w:type="spellStart"/>
      <w:r w:rsidR="00AA60B8" w:rsidRPr="00AA60B8">
        <w:t>washwaters</w:t>
      </w:r>
      <w:proofErr w:type="spellEnd"/>
      <w:r w:rsidR="00AA60B8" w:rsidRPr="00AA60B8">
        <w:t xml:space="preserve"> is the only non-regulated waste that must be tracked. Among wastes that are regulated but do not have to be tracked are food processing waste and vegetable oils, pesticides, oxidising and reducing agents and hydrocarbon/water mixtures. Nevertheless, the transporter must still keep a record for these wastes detailing the date of pickup, a description and quantity of waste, plus its origin and destination.</w:t>
      </w:r>
    </w:p>
    <w:p w:rsidR="00723A6B" w:rsidRPr="00723A6B" w:rsidRDefault="00723A6B" w:rsidP="00723A6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rPr>
          <w:lang w:val="en-GB"/>
        </w:rPr>
      </w:pPr>
      <w:r w:rsidRPr="003D0982">
        <w:rPr>
          <w:lang w:val="en-GB"/>
        </w:rPr>
        <w:t xml:space="preserve">When transporting </w:t>
      </w:r>
      <w:proofErr w:type="spellStart"/>
      <w:r w:rsidRPr="003D0982">
        <w:rPr>
          <w:lang w:val="en-GB"/>
        </w:rPr>
        <w:t>trackable</w:t>
      </w:r>
      <w:proofErr w:type="spellEnd"/>
      <w:r w:rsidRPr="003D0982">
        <w:rPr>
          <w:lang w:val="en-GB"/>
        </w:rPr>
        <w:t xml:space="preserve"> waste out of Queensland the jurisdiction receiving the waste must authorise its acceptance and issue a consignment number before transportation.</w:t>
      </w:r>
      <w:r>
        <w:rPr>
          <w:lang w:val="en-GB"/>
        </w:rPr>
        <w:t xml:space="preserve"> </w:t>
      </w:r>
      <w:r w:rsidR="003D0982" w:rsidRPr="00723A6B">
        <w:rPr>
          <w:lang w:val="en-GB"/>
        </w:rPr>
        <w:t xml:space="preserve">For </w:t>
      </w:r>
      <w:proofErr w:type="spellStart"/>
      <w:r w:rsidR="003D0982" w:rsidRPr="00723A6B">
        <w:rPr>
          <w:lang w:val="en-GB"/>
        </w:rPr>
        <w:t>trackable</w:t>
      </w:r>
      <w:proofErr w:type="spellEnd"/>
      <w:r w:rsidR="003D0982" w:rsidRPr="00723A6B">
        <w:rPr>
          <w:lang w:val="en-GB"/>
        </w:rPr>
        <w:t xml:space="preserve"> </w:t>
      </w:r>
      <w:r w:rsidR="003D0982" w:rsidRPr="00723A6B">
        <w:rPr>
          <w:lang w:val="en-GB"/>
        </w:rPr>
        <w:lastRenderedPageBreak/>
        <w:t xml:space="preserve">wastes coming into </w:t>
      </w:r>
      <w:r>
        <w:rPr>
          <w:lang w:val="en-GB"/>
        </w:rPr>
        <w:t>the state,</w:t>
      </w:r>
      <w:r w:rsidR="003D0982" w:rsidRPr="00723A6B">
        <w:rPr>
          <w:lang w:val="en-GB"/>
        </w:rPr>
        <w:t xml:space="preserve"> approval must be granted by DEHP and a consignment number issued. </w:t>
      </w:r>
      <w:r w:rsidRPr="00723A6B">
        <w:rPr>
          <w:lang w:val="en-GB"/>
        </w:rPr>
        <w:t xml:space="preserve">However, Queensland experiences a significant number of discrepancies around hazardous waste movements into the state, with the most recently available numbers from 2012-13 revealing </w:t>
      </w:r>
      <w:r>
        <w:t>181</w:t>
      </w:r>
      <w:r w:rsidRPr="00C1296C">
        <w:t xml:space="preserve"> </w:t>
      </w:r>
      <w:r>
        <w:t>instances</w:t>
      </w:r>
      <w:r w:rsidRPr="00723A6B">
        <w:t xml:space="preserve"> </w:t>
      </w:r>
      <w:r>
        <w:t>of consignment non-arrival, 139 movements without authorisation</w:t>
      </w:r>
      <w:r w:rsidRPr="00723A6B">
        <w:t xml:space="preserve"> </w:t>
      </w:r>
      <w:r>
        <w:t>and 84 cases of non-matching documentation</w:t>
      </w:r>
      <w:r>
        <w:rPr>
          <w:rStyle w:val="FootnoteReference"/>
        </w:rPr>
        <w:footnoteReference w:id="3"/>
      </w:r>
      <w:r>
        <w:t>.</w:t>
      </w:r>
      <w:r w:rsidRPr="00723A6B">
        <w:rPr>
          <w:rFonts w:cs="Arial"/>
        </w:rPr>
        <w:t xml:space="preserve"> </w:t>
      </w:r>
      <w:r>
        <w:rPr>
          <w:rFonts w:cs="Arial"/>
        </w:rPr>
        <w:t>The NEPC reports sheets home the</w:t>
      </w:r>
      <w:r w:rsidRPr="005A1232">
        <w:rPr>
          <w:rFonts w:cs="Arial"/>
        </w:rPr>
        <w:t xml:space="preserve"> </w:t>
      </w:r>
      <w:r>
        <w:rPr>
          <w:rFonts w:cs="Arial"/>
        </w:rPr>
        <w:t xml:space="preserve">nearly half the </w:t>
      </w:r>
      <w:r w:rsidRPr="007B760E">
        <w:rPr>
          <w:rFonts w:cs="Arial"/>
        </w:rPr>
        <w:t xml:space="preserve">Queensland discrepancies </w:t>
      </w:r>
      <w:r>
        <w:rPr>
          <w:rFonts w:cs="Arial"/>
        </w:rPr>
        <w:t xml:space="preserve">to a </w:t>
      </w:r>
      <w:r w:rsidRPr="007B760E">
        <w:rPr>
          <w:rFonts w:cs="Arial"/>
        </w:rPr>
        <w:t xml:space="preserve">small number of waste </w:t>
      </w:r>
      <w:r>
        <w:rPr>
          <w:rFonts w:cs="Arial"/>
        </w:rPr>
        <w:t>companies</w:t>
      </w:r>
      <w:r w:rsidRPr="007B760E">
        <w:rPr>
          <w:rFonts w:cs="Arial"/>
        </w:rPr>
        <w:t xml:space="preserve"> transporting oils, grease, tyres and clinical wastes </w:t>
      </w:r>
      <w:r>
        <w:rPr>
          <w:rFonts w:cs="Arial"/>
        </w:rPr>
        <w:t>from n</w:t>
      </w:r>
      <w:r w:rsidRPr="007B760E">
        <w:rPr>
          <w:rFonts w:cs="Arial"/>
        </w:rPr>
        <w:t xml:space="preserve">orthern </w:t>
      </w:r>
      <w:r>
        <w:rPr>
          <w:rFonts w:cs="Arial"/>
        </w:rPr>
        <w:t>NSW.</w:t>
      </w:r>
    </w:p>
    <w:p w:rsidR="003D0982" w:rsidRPr="003D0982" w:rsidRDefault="00723A6B" w:rsidP="003D098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rPr>
          <w:lang w:val="en-GB"/>
        </w:rPr>
      </w:pPr>
      <w:r>
        <w:rPr>
          <w:lang w:val="en-GB"/>
        </w:rPr>
        <w:t>Queensland w</w:t>
      </w:r>
      <w:r w:rsidR="003D0982" w:rsidRPr="003D0982">
        <w:rPr>
          <w:lang w:val="en-GB"/>
        </w:rPr>
        <w:t>aste handlers can apply for an exemption to their waste tracking obligations where they can demonstrate the waste does not possess environmentally significant characteristics. Exemptions are based on:</w:t>
      </w:r>
    </w:p>
    <w:p w:rsidR="003D0982" w:rsidRPr="003D0982" w:rsidRDefault="003D0982" w:rsidP="003D0982">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120"/>
        <w:rPr>
          <w:lang w:val="en-GB"/>
        </w:rPr>
      </w:pPr>
      <w:r>
        <w:rPr>
          <w:lang w:val="en-GB"/>
        </w:rPr>
        <w:t>t</w:t>
      </w:r>
      <w:r w:rsidRPr="003D0982">
        <w:rPr>
          <w:lang w:val="en-GB"/>
        </w:rPr>
        <w:t>ype of contaminants</w:t>
      </w:r>
    </w:p>
    <w:p w:rsidR="003D0982" w:rsidRPr="003D0982" w:rsidRDefault="003D0982" w:rsidP="003D0982">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120"/>
        <w:rPr>
          <w:lang w:val="en-GB"/>
        </w:rPr>
      </w:pPr>
      <w:r>
        <w:rPr>
          <w:lang w:val="en-GB"/>
        </w:rPr>
        <w:t>l</w:t>
      </w:r>
      <w:r w:rsidRPr="003D0982">
        <w:rPr>
          <w:lang w:val="en-GB"/>
        </w:rPr>
        <w:t>evel and/or concentration of contaminants</w:t>
      </w:r>
    </w:p>
    <w:p w:rsidR="003D0982" w:rsidRPr="003D0982" w:rsidRDefault="003D0982" w:rsidP="003D0982">
      <w:pPr>
        <w:numPr>
          <w:ilvl w:val="0"/>
          <w:numId w:val="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120"/>
        <w:rPr>
          <w:lang w:val="en-GB"/>
        </w:rPr>
      </w:pPr>
      <w:r>
        <w:rPr>
          <w:lang w:val="en-GB"/>
        </w:rPr>
        <w:t>l</w:t>
      </w:r>
      <w:r w:rsidRPr="003D0982">
        <w:rPr>
          <w:lang w:val="en-GB"/>
        </w:rPr>
        <w:t>evel of environmental risk</w:t>
      </w:r>
    </w:p>
    <w:p w:rsidR="003D0982" w:rsidRDefault="003D0982" w:rsidP="003D0982">
      <w:pPr>
        <w:pStyle w:val="PointsBullets"/>
      </w:pPr>
      <w:proofErr w:type="gramStart"/>
      <w:r>
        <w:t>w</w:t>
      </w:r>
      <w:r w:rsidRPr="003D0982">
        <w:t>hether</w:t>
      </w:r>
      <w:proofErr w:type="gramEnd"/>
      <w:r w:rsidRPr="003D0982">
        <w:t xml:space="preserve"> the waste is a dangerous good.</w:t>
      </w:r>
    </w:p>
    <w:p w:rsidR="008A2DFF" w:rsidRDefault="008A2DFF" w:rsidP="008A2DFF">
      <w:pPr>
        <w:pStyle w:val="Heading3"/>
      </w:pPr>
      <w:r>
        <w:t>Strengths and Weaknesses</w:t>
      </w:r>
    </w:p>
    <w:p w:rsidR="008040F9" w:rsidRPr="008040F9" w:rsidRDefault="008040F9" w:rsidP="008040F9">
      <w:pPr>
        <w:pStyle w:val="Caption"/>
        <w:ind w:left="1134"/>
      </w:pPr>
      <w:bookmarkStart w:id="45" w:name="_Toc421181770"/>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9</w:t>
      </w:r>
      <w:r w:rsidR="00350C10">
        <w:fldChar w:fldCharType="end"/>
      </w:r>
      <w:r w:rsidRPr="006226B1">
        <w:tab/>
      </w:r>
      <w:r>
        <w:t>Queensland regulated waste tracking system strengths and weaknesses</w:t>
      </w:r>
      <w:bookmarkEnd w:id="45"/>
    </w:p>
    <w:tbl>
      <w:tblPr>
        <w:tblStyle w:val="HyderTableStyle"/>
        <w:tblW w:w="0" w:type="auto"/>
        <w:tblInd w:w="1134" w:type="dxa"/>
        <w:tblLook w:val="04A0"/>
      </w:tblPr>
      <w:tblGrid>
        <w:gridCol w:w="2960"/>
        <w:gridCol w:w="2757"/>
        <w:gridCol w:w="2758"/>
      </w:tblGrid>
      <w:tr w:rsidR="007C698A" w:rsidTr="007C698A">
        <w:trPr>
          <w:cnfStyle w:val="100000000000"/>
        </w:trPr>
        <w:tc>
          <w:tcPr>
            <w:tcW w:w="2960" w:type="dxa"/>
            <w:tcBorders>
              <w:bottom w:val="single" w:sz="12" w:space="0" w:color="FFFFFF" w:themeColor="background1"/>
            </w:tcBorders>
          </w:tcPr>
          <w:p w:rsidR="007C698A" w:rsidRDefault="007C698A" w:rsidP="00B34F9A">
            <w:pPr>
              <w:pStyle w:val="TableHeadingWhite"/>
            </w:pPr>
            <w:r>
              <w:t>Criteria</w:t>
            </w:r>
          </w:p>
        </w:tc>
        <w:tc>
          <w:tcPr>
            <w:tcW w:w="2757" w:type="dxa"/>
            <w:tcBorders>
              <w:bottom w:val="single" w:sz="12" w:space="0" w:color="FFFFFF" w:themeColor="background1"/>
            </w:tcBorders>
          </w:tcPr>
          <w:p w:rsidR="007C698A" w:rsidRDefault="007C698A" w:rsidP="00B34F9A">
            <w:pPr>
              <w:pStyle w:val="TableHeadingWhite"/>
            </w:pPr>
            <w:r w:rsidRPr="007C698A">
              <w:rPr>
                <w:lang w:val="en-AU"/>
              </w:rPr>
              <w:t>Intrastate tracking</w:t>
            </w:r>
          </w:p>
        </w:tc>
        <w:tc>
          <w:tcPr>
            <w:tcW w:w="2758" w:type="dxa"/>
            <w:tcBorders>
              <w:bottom w:val="single" w:sz="12" w:space="0" w:color="FFFFFF" w:themeColor="background1"/>
            </w:tcBorders>
          </w:tcPr>
          <w:p w:rsidR="007C698A" w:rsidRDefault="007C698A" w:rsidP="00B34F9A">
            <w:pPr>
              <w:pStyle w:val="TableHeadingWhite"/>
            </w:pPr>
            <w:r>
              <w:t>Interstate tracking</w:t>
            </w:r>
          </w:p>
        </w:tc>
      </w:tr>
      <w:tr w:rsidR="0013005E" w:rsidTr="007C698A">
        <w:tc>
          <w:tcPr>
            <w:tcW w:w="2960" w:type="dxa"/>
          </w:tcPr>
          <w:p w:rsidR="0013005E" w:rsidRDefault="0013005E" w:rsidP="0013005E">
            <w:pPr>
              <w:pStyle w:val="TableText"/>
            </w:pPr>
            <w:r>
              <w:t>Interstate and intrastate compatibility</w:t>
            </w:r>
          </w:p>
        </w:tc>
        <w:tc>
          <w:tcPr>
            <w:tcW w:w="2757" w:type="dxa"/>
          </w:tcPr>
          <w:p w:rsidR="0013005E" w:rsidRDefault="0013005E" w:rsidP="0013005E">
            <w:pPr>
              <w:pStyle w:val="TableText"/>
            </w:pPr>
            <w:r>
              <w:rPr>
                <w:b/>
                <w:bCs/>
              </w:rPr>
              <w:t>Weakness</w:t>
            </w:r>
            <w:r>
              <w:t xml:space="preserve"> – a different paper based certificate is required for intrastate movements and incoming interstate movements</w:t>
            </w:r>
          </w:p>
        </w:tc>
        <w:tc>
          <w:tcPr>
            <w:tcW w:w="2758" w:type="dxa"/>
          </w:tcPr>
          <w:p w:rsidR="0013005E" w:rsidRDefault="0013005E" w:rsidP="0013005E">
            <w:pPr>
              <w:pStyle w:val="TableText"/>
              <w:rPr>
                <w:b/>
                <w:bCs/>
              </w:rPr>
            </w:pPr>
            <w:r>
              <w:rPr>
                <w:b/>
                <w:bCs/>
              </w:rPr>
              <w:t>Weakness</w:t>
            </w:r>
            <w:r>
              <w:t xml:space="preserve"> – a different paper based certificate is required for intrastate movements and incoming interstate movements</w:t>
            </w:r>
          </w:p>
        </w:tc>
      </w:tr>
      <w:tr w:rsidR="0013005E" w:rsidTr="007C698A">
        <w:tc>
          <w:tcPr>
            <w:tcW w:w="2960" w:type="dxa"/>
          </w:tcPr>
          <w:p w:rsidR="0013005E" w:rsidRDefault="0013005E" w:rsidP="0013005E">
            <w:pPr>
              <w:pStyle w:val="TableText"/>
            </w:pPr>
            <w:r>
              <w:t>Real time analysis, reporting and management</w:t>
            </w:r>
          </w:p>
        </w:tc>
        <w:tc>
          <w:tcPr>
            <w:tcW w:w="2757" w:type="dxa"/>
          </w:tcPr>
          <w:p w:rsidR="0013005E" w:rsidRDefault="0013005E" w:rsidP="0013005E">
            <w:pPr>
              <w:pStyle w:val="TableText"/>
            </w:pPr>
            <w:r>
              <w:rPr>
                <w:b/>
                <w:bCs/>
              </w:rPr>
              <w:t>Weakness</w:t>
            </w:r>
            <w:r>
              <w:t xml:space="preserve"> – can take months for data from the paper certificates to be entered in the system</w:t>
            </w:r>
          </w:p>
        </w:tc>
        <w:tc>
          <w:tcPr>
            <w:tcW w:w="2758" w:type="dxa"/>
          </w:tcPr>
          <w:p w:rsidR="0013005E" w:rsidRDefault="0013005E" w:rsidP="0013005E">
            <w:pPr>
              <w:pStyle w:val="TableText"/>
              <w:rPr>
                <w:b/>
                <w:bCs/>
              </w:rPr>
            </w:pPr>
            <w:r>
              <w:rPr>
                <w:b/>
                <w:bCs/>
              </w:rPr>
              <w:t>Weakness</w:t>
            </w:r>
            <w:r>
              <w:t xml:space="preserve"> – can take months for data from the paper certificates to be entered in the system</w:t>
            </w:r>
          </w:p>
        </w:tc>
      </w:tr>
      <w:tr w:rsidR="0013005E" w:rsidTr="007C698A">
        <w:tc>
          <w:tcPr>
            <w:tcW w:w="2960" w:type="dxa"/>
          </w:tcPr>
          <w:p w:rsidR="0013005E" w:rsidRDefault="0013005E" w:rsidP="0013005E">
            <w:pPr>
              <w:pStyle w:val="TableText"/>
            </w:pPr>
            <w:r>
              <w:t>Coverage of controlled wastes</w:t>
            </w:r>
          </w:p>
        </w:tc>
        <w:tc>
          <w:tcPr>
            <w:tcW w:w="2757" w:type="dxa"/>
          </w:tcPr>
          <w:p w:rsidR="0013005E" w:rsidRDefault="0013005E" w:rsidP="0013005E">
            <w:pPr>
              <w:pStyle w:val="TableText"/>
            </w:pPr>
            <w:r>
              <w:rPr>
                <w:b/>
                <w:bCs/>
              </w:rPr>
              <w:t>Weakness</w:t>
            </w:r>
            <w:r>
              <w:t xml:space="preserve"> – small loads (250kg) are not captured under the regulations</w:t>
            </w:r>
          </w:p>
        </w:tc>
        <w:tc>
          <w:tcPr>
            <w:tcW w:w="2758" w:type="dxa"/>
          </w:tcPr>
          <w:p w:rsidR="0013005E" w:rsidRDefault="0013005E" w:rsidP="0013005E">
            <w:pPr>
              <w:pStyle w:val="TableText"/>
              <w:rPr>
                <w:b/>
                <w:bCs/>
              </w:rPr>
            </w:pPr>
            <w:r>
              <w:rPr>
                <w:b/>
              </w:rPr>
              <w:t xml:space="preserve">Strength – </w:t>
            </w:r>
            <w:r>
              <w:t>NEPM 75 are tracked interstate</w:t>
            </w:r>
          </w:p>
        </w:tc>
      </w:tr>
      <w:tr w:rsidR="0013005E" w:rsidTr="007C698A">
        <w:tc>
          <w:tcPr>
            <w:tcW w:w="2960" w:type="dxa"/>
          </w:tcPr>
          <w:p w:rsidR="0013005E" w:rsidRDefault="0013005E" w:rsidP="0013005E">
            <w:pPr>
              <w:pStyle w:val="TableText"/>
            </w:pPr>
            <w:r>
              <w:t>Alignment of coding and descriptions</w:t>
            </w:r>
          </w:p>
        </w:tc>
        <w:tc>
          <w:tcPr>
            <w:tcW w:w="2757" w:type="dxa"/>
          </w:tcPr>
          <w:p w:rsidR="0013005E" w:rsidRDefault="0013005E" w:rsidP="0013005E">
            <w:pPr>
              <w:pStyle w:val="TableText"/>
            </w:pPr>
            <w:r>
              <w:rPr>
                <w:b/>
                <w:bCs/>
              </w:rPr>
              <w:t>Strength</w:t>
            </w:r>
            <w:r>
              <w:t xml:space="preserve"> – the Qld waste codes and descriptions align reasonably well with NEPM codes</w:t>
            </w:r>
          </w:p>
        </w:tc>
        <w:tc>
          <w:tcPr>
            <w:tcW w:w="2758" w:type="dxa"/>
          </w:tcPr>
          <w:p w:rsidR="0013005E" w:rsidRDefault="0013005E" w:rsidP="0013005E">
            <w:pPr>
              <w:pStyle w:val="TableText"/>
              <w:rPr>
                <w:b/>
                <w:bCs/>
              </w:rPr>
            </w:pPr>
            <w:r>
              <w:rPr>
                <w:b/>
              </w:rPr>
              <w:t xml:space="preserve">Strength – </w:t>
            </w:r>
            <w:r>
              <w:t>codes and descriptions align well with NEPM</w:t>
            </w:r>
          </w:p>
        </w:tc>
      </w:tr>
      <w:tr w:rsidR="0013005E" w:rsidTr="007C698A">
        <w:tc>
          <w:tcPr>
            <w:tcW w:w="2960" w:type="dxa"/>
          </w:tcPr>
          <w:p w:rsidR="0013005E" w:rsidRDefault="0013005E" w:rsidP="0013005E">
            <w:pPr>
              <w:pStyle w:val="TableText"/>
            </w:pPr>
            <w:r>
              <w:t>Ease of updating system</w:t>
            </w:r>
          </w:p>
        </w:tc>
        <w:tc>
          <w:tcPr>
            <w:tcW w:w="2757" w:type="dxa"/>
          </w:tcPr>
          <w:p w:rsidR="0013005E" w:rsidRDefault="0013005E" w:rsidP="0013005E">
            <w:pPr>
              <w:pStyle w:val="TableText"/>
            </w:pPr>
            <w:r>
              <w:rPr>
                <w:b/>
                <w:bCs/>
              </w:rPr>
              <w:t>Strength</w:t>
            </w:r>
            <w:r>
              <w:t xml:space="preserve"> – system is relatively basic (spreadsheet) and updating can be done in house</w:t>
            </w:r>
          </w:p>
        </w:tc>
        <w:tc>
          <w:tcPr>
            <w:tcW w:w="2758" w:type="dxa"/>
          </w:tcPr>
          <w:p w:rsidR="0013005E" w:rsidRDefault="0013005E" w:rsidP="0013005E">
            <w:pPr>
              <w:pStyle w:val="TableText"/>
              <w:rPr>
                <w:b/>
                <w:bCs/>
              </w:rPr>
            </w:pPr>
            <w:r>
              <w:rPr>
                <w:b/>
                <w:bCs/>
              </w:rPr>
              <w:t>Strength</w:t>
            </w:r>
            <w:r>
              <w:t xml:space="preserve"> – system is relatively basic (spreadsheet) and updating can be done in house</w:t>
            </w:r>
          </w:p>
        </w:tc>
      </w:tr>
      <w:tr w:rsidR="0013005E" w:rsidTr="007C698A">
        <w:tc>
          <w:tcPr>
            <w:tcW w:w="2960" w:type="dxa"/>
          </w:tcPr>
          <w:p w:rsidR="0013005E" w:rsidRDefault="0013005E" w:rsidP="0013005E">
            <w:pPr>
              <w:pStyle w:val="TableText"/>
            </w:pPr>
            <w:r>
              <w:t>Data quality and accuracy</w:t>
            </w:r>
          </w:p>
        </w:tc>
        <w:tc>
          <w:tcPr>
            <w:tcW w:w="2757" w:type="dxa"/>
          </w:tcPr>
          <w:p w:rsidR="0013005E" w:rsidRDefault="0013005E" w:rsidP="0013005E">
            <w:pPr>
              <w:pStyle w:val="TableText"/>
            </w:pPr>
            <w:r>
              <w:rPr>
                <w:b/>
                <w:bCs/>
              </w:rPr>
              <w:t>Weakness</w:t>
            </w:r>
            <w:r>
              <w:t xml:space="preserve"> – manually entering data creates potential errors </w:t>
            </w:r>
          </w:p>
        </w:tc>
        <w:tc>
          <w:tcPr>
            <w:tcW w:w="2758" w:type="dxa"/>
          </w:tcPr>
          <w:p w:rsidR="0013005E" w:rsidRDefault="0013005E" w:rsidP="0013005E">
            <w:pPr>
              <w:pStyle w:val="TableText"/>
              <w:rPr>
                <w:b/>
                <w:bCs/>
              </w:rPr>
            </w:pPr>
            <w:r>
              <w:rPr>
                <w:b/>
                <w:bCs/>
              </w:rPr>
              <w:t>Weakness</w:t>
            </w:r>
            <w:r>
              <w:t xml:space="preserve"> – manually entering data creates potential errors</w:t>
            </w:r>
          </w:p>
        </w:tc>
      </w:tr>
      <w:tr w:rsidR="0013005E" w:rsidTr="007C698A">
        <w:tc>
          <w:tcPr>
            <w:tcW w:w="2960" w:type="dxa"/>
          </w:tcPr>
          <w:p w:rsidR="0013005E" w:rsidRDefault="0013005E" w:rsidP="00CD0E25">
            <w:pPr>
              <w:pStyle w:val="TableText"/>
            </w:pPr>
            <w:r>
              <w:lastRenderedPageBreak/>
              <w:t>Prior informed consent</w:t>
            </w:r>
          </w:p>
        </w:tc>
        <w:tc>
          <w:tcPr>
            <w:tcW w:w="2757" w:type="dxa"/>
          </w:tcPr>
          <w:p w:rsidR="0013005E" w:rsidRPr="00803613" w:rsidRDefault="00FD55B7" w:rsidP="00803613">
            <w:pPr>
              <w:pStyle w:val="TableText"/>
              <w:rPr>
                <w:bCs/>
              </w:rPr>
            </w:pPr>
            <w:r>
              <w:rPr>
                <w:b/>
                <w:bCs/>
              </w:rPr>
              <w:t xml:space="preserve">Weakness – </w:t>
            </w:r>
            <w:r w:rsidR="007072E4">
              <w:rPr>
                <w:bCs/>
              </w:rPr>
              <w:t>CA</w:t>
            </w:r>
            <w:r w:rsidR="00803613">
              <w:rPr>
                <w:bCs/>
              </w:rPr>
              <w:t>s</w:t>
            </w:r>
            <w:r>
              <w:rPr>
                <w:bCs/>
              </w:rPr>
              <w:t xml:space="preserve"> are not required</w:t>
            </w:r>
            <w:r w:rsidR="006A3F36">
              <w:rPr>
                <w:bCs/>
              </w:rPr>
              <w:t>,</w:t>
            </w:r>
            <w:r>
              <w:rPr>
                <w:bCs/>
              </w:rPr>
              <w:t xml:space="preserve"> with the generator only required to nominate the disposal/treatment/storage facility</w:t>
            </w:r>
          </w:p>
        </w:tc>
        <w:tc>
          <w:tcPr>
            <w:tcW w:w="2758" w:type="dxa"/>
          </w:tcPr>
          <w:p w:rsidR="0013005E" w:rsidRPr="00803613" w:rsidRDefault="0013005E" w:rsidP="00FD55B7">
            <w:pPr>
              <w:pStyle w:val="TableText"/>
              <w:rPr>
                <w:b/>
              </w:rPr>
            </w:pPr>
            <w:r>
              <w:rPr>
                <w:b/>
              </w:rPr>
              <w:t xml:space="preserve">Weakness </w:t>
            </w:r>
            <w:r w:rsidR="00803613">
              <w:rPr>
                <w:b/>
              </w:rPr>
              <w:t>–</w:t>
            </w:r>
            <w:r>
              <w:rPr>
                <w:b/>
              </w:rPr>
              <w:t xml:space="preserve"> </w:t>
            </w:r>
            <w:r>
              <w:t xml:space="preserve"> For regulated waste slated to </w:t>
            </w:r>
            <w:r w:rsidRPr="00EB7E71">
              <w:rPr>
                <w:i/>
              </w:rPr>
              <w:t>leave</w:t>
            </w:r>
            <w:r>
              <w:t xml:space="preserve"> QLD the </w:t>
            </w:r>
            <w:r w:rsidR="00FD55B7">
              <w:t>DEHP</w:t>
            </w:r>
            <w:r>
              <w:t xml:space="preserve"> has no knowledge of this until the WTC paperwork is received</w:t>
            </w:r>
          </w:p>
        </w:tc>
      </w:tr>
    </w:tbl>
    <w:p w:rsidR="002939A9" w:rsidRDefault="002939A9" w:rsidP="00F46C95">
      <w:pPr>
        <w:pStyle w:val="Heading2"/>
      </w:pPr>
      <w:bookmarkStart w:id="46" w:name="_Toc421181733"/>
      <w:r>
        <w:t>Western Australia</w:t>
      </w:r>
      <w:bookmarkEnd w:id="46"/>
    </w:p>
    <w:p w:rsidR="002939A9" w:rsidRPr="00BF05BE" w:rsidRDefault="002939A9" w:rsidP="002939A9">
      <w:pPr>
        <w:pStyle w:val="ParaIndent"/>
        <w:rPr>
          <w:lang w:val="en-GB"/>
        </w:rPr>
      </w:pPr>
      <w:r w:rsidRPr="00BF05BE">
        <w:rPr>
          <w:lang w:val="en-GB"/>
        </w:rPr>
        <w:t>The key implementation framework relating to controlled waste tracking in Western Australia is the Environmental Protection (Controlled Was</w:t>
      </w:r>
      <w:r>
        <w:rPr>
          <w:lang w:val="en-GB"/>
        </w:rPr>
        <w:t>te) Regulations 2004, which sit</w:t>
      </w:r>
      <w:r w:rsidRPr="00BF05BE">
        <w:rPr>
          <w:lang w:val="en-GB"/>
        </w:rPr>
        <w:t xml:space="preserve"> under the </w:t>
      </w:r>
      <w:r w:rsidRPr="00A46075">
        <w:rPr>
          <w:i/>
          <w:lang w:val="en-GB"/>
        </w:rPr>
        <w:t>Environment Protection Act 1986</w:t>
      </w:r>
      <w:r w:rsidRPr="00BF05BE">
        <w:rPr>
          <w:lang w:val="en-GB"/>
        </w:rPr>
        <w:t>. It is administered by the Department of Environment Regulation (DER) and aims to minimise transport risks and illegal dumping, inform policy and provide a level commercial playing field.</w:t>
      </w:r>
    </w:p>
    <w:p w:rsidR="002939A9" w:rsidRPr="00BF05BE" w:rsidRDefault="002939A9" w:rsidP="002939A9">
      <w:pPr>
        <w:pStyle w:val="ParaIndent"/>
        <w:rPr>
          <w:lang w:val="en-GB"/>
        </w:rPr>
      </w:pPr>
      <w:r w:rsidRPr="00BF05BE">
        <w:rPr>
          <w:lang w:val="en-GB"/>
        </w:rPr>
        <w:t>To det</w:t>
      </w:r>
      <w:r>
        <w:rPr>
          <w:lang w:val="en-GB"/>
        </w:rPr>
        <w:t xml:space="preserve">ermine if waste is controlled </w:t>
      </w:r>
      <w:r w:rsidRPr="00BF05BE">
        <w:rPr>
          <w:lang w:val="en-GB"/>
        </w:rPr>
        <w:t>require</w:t>
      </w:r>
      <w:r>
        <w:rPr>
          <w:lang w:val="en-GB"/>
        </w:rPr>
        <w:t>s</w:t>
      </w:r>
      <w:r w:rsidRPr="00BF05BE">
        <w:rPr>
          <w:lang w:val="en-GB"/>
        </w:rPr>
        <w:t xml:space="preserve"> information about its composition, pH, flashpoint and/or the process that generated the waste, such as a septic tank. The </w:t>
      </w:r>
      <w:r>
        <w:rPr>
          <w:lang w:val="en-GB"/>
        </w:rPr>
        <w:t>r</w:t>
      </w:r>
      <w:r w:rsidRPr="00BF05BE">
        <w:rPr>
          <w:lang w:val="en-GB"/>
        </w:rPr>
        <w:t xml:space="preserve">egulations only apply to loads of </w:t>
      </w:r>
      <w:r>
        <w:rPr>
          <w:lang w:val="en-GB"/>
        </w:rPr>
        <w:t>more than 200kg or 200 litres. C</w:t>
      </w:r>
      <w:proofErr w:type="spellStart"/>
      <w:r w:rsidRPr="00BF05BE">
        <w:t>ontrolled</w:t>
      </w:r>
      <w:proofErr w:type="spellEnd"/>
      <w:r w:rsidRPr="00BF05BE">
        <w:t xml:space="preserve"> wastes</w:t>
      </w:r>
      <w:r>
        <w:t xml:space="preserve"> are listed in Schedule 1 of the Regulations</w:t>
      </w:r>
      <w:r w:rsidRPr="00BF05BE">
        <w:t>,</w:t>
      </w:r>
      <w:r>
        <w:t xml:space="preserve"> which</w:t>
      </w:r>
      <w:r w:rsidRPr="00BF05BE">
        <w:t xml:space="preserve"> </w:t>
      </w:r>
      <w:r w:rsidRPr="00BF05BE">
        <w:rPr>
          <w:lang w:val="en-GB"/>
        </w:rPr>
        <w:t>includes some definitions that are different from other jurisdictions:</w:t>
      </w:r>
    </w:p>
    <w:p w:rsidR="002939A9" w:rsidRPr="00BF05BE" w:rsidRDefault="002939A9" w:rsidP="002939A9">
      <w:pPr>
        <w:pStyle w:val="PointsBullets"/>
      </w:pPr>
      <w:r w:rsidRPr="00BF05BE">
        <w:t xml:space="preserve">Bulk controlled waste – means a controlled waste that is transported in a “tank” (with each vehicle and driver to be specifically </w:t>
      </w:r>
      <w:proofErr w:type="spellStart"/>
      <w:r w:rsidRPr="00BF05BE">
        <w:t>licenced</w:t>
      </w:r>
      <w:proofErr w:type="spellEnd"/>
      <w:r w:rsidRPr="00BF05BE">
        <w:t>)</w:t>
      </w:r>
    </w:p>
    <w:p w:rsidR="002939A9" w:rsidRPr="00BF05BE" w:rsidRDefault="002939A9" w:rsidP="002939A9">
      <w:pPr>
        <w:pStyle w:val="PointsBullets"/>
      </w:pPr>
      <w:r w:rsidRPr="00BF05BE">
        <w:t>Packaged controlled waste – means a controlled waste that is transported otherwise than as a bulk controlled waste (with all vehicles and drive</w:t>
      </w:r>
      <w:r w:rsidR="00360897">
        <w:t>r</w:t>
      </w:r>
      <w:r w:rsidRPr="00BF05BE">
        <w:t xml:space="preserve">s listed, but only the transport company </w:t>
      </w:r>
      <w:proofErr w:type="spellStart"/>
      <w:r w:rsidRPr="00BF05BE">
        <w:t>licenced</w:t>
      </w:r>
      <w:proofErr w:type="spellEnd"/>
      <w:r w:rsidRPr="00BF05BE">
        <w:t>).</w:t>
      </w:r>
    </w:p>
    <w:p w:rsidR="002939A9" w:rsidRDefault="002939A9" w:rsidP="002939A9">
      <w:pPr>
        <w:pStyle w:val="ParaIndent"/>
        <w:rPr>
          <w:lang w:val="en-GB"/>
        </w:rPr>
      </w:pPr>
      <w:r w:rsidRPr="00BF05BE">
        <w:rPr>
          <w:lang w:val="en-GB"/>
        </w:rPr>
        <w:t xml:space="preserve">Western Australia’s electronic Controlled Waste Tracking System </w:t>
      </w:r>
      <w:r>
        <w:rPr>
          <w:lang w:val="en-GB"/>
        </w:rPr>
        <w:t>(CWTS) was established in 2003</w:t>
      </w:r>
      <w:r w:rsidRPr="00BF05BE">
        <w:rPr>
          <w:lang w:val="en-GB"/>
        </w:rPr>
        <w:t>, with a paper option for those unable to access the electronic system f</w:t>
      </w:r>
      <w:r w:rsidR="00F82EE5">
        <w:rPr>
          <w:lang w:val="en-GB"/>
        </w:rPr>
        <w:t xml:space="preserve">or any reason. The transporter </w:t>
      </w:r>
      <w:r w:rsidRPr="00BF05BE">
        <w:rPr>
          <w:lang w:val="en-GB"/>
        </w:rPr>
        <w:t xml:space="preserve">is the key to the system. The company opens an electronic Controlled Waste Tracking Form and gives a printed copy to the driver, who returns it at completion of the job. Once the </w:t>
      </w:r>
      <w:proofErr w:type="spellStart"/>
      <w:r w:rsidRPr="00BF05BE">
        <w:rPr>
          <w:lang w:val="en-GB"/>
        </w:rPr>
        <w:t>receival</w:t>
      </w:r>
      <w:proofErr w:type="spellEnd"/>
      <w:r w:rsidRPr="00BF05BE">
        <w:rPr>
          <w:lang w:val="en-GB"/>
        </w:rPr>
        <w:t xml:space="preserve"> facility has entered its data online confirming receipt, the transporter electronically submits the information to DER by closing out the form.</w:t>
      </w:r>
      <w:r w:rsidR="003D0982">
        <w:rPr>
          <w:lang w:val="en-GB"/>
        </w:rPr>
        <w:t xml:space="preserve"> A significant amount of funding (~$500,000) was invested in </w:t>
      </w:r>
      <w:r w:rsidR="00D9092E">
        <w:rPr>
          <w:lang w:val="en-GB"/>
        </w:rPr>
        <w:t xml:space="preserve">updating </w:t>
      </w:r>
      <w:r w:rsidR="003D0982">
        <w:rPr>
          <w:lang w:val="en-GB"/>
        </w:rPr>
        <w:t>the CWTS and there is currently no future budget for enhancements and support</w:t>
      </w:r>
      <w:r w:rsidR="00F82EE5">
        <w:rPr>
          <w:lang w:val="en-GB"/>
        </w:rPr>
        <w:t>,</w:t>
      </w:r>
      <w:r w:rsidR="003D0982">
        <w:rPr>
          <w:lang w:val="en-GB"/>
        </w:rPr>
        <w:t xml:space="preserve"> which is being transitioned into the DER.</w:t>
      </w:r>
    </w:p>
    <w:p w:rsidR="0049492C" w:rsidRDefault="0049492C" w:rsidP="002939A9">
      <w:pPr>
        <w:pStyle w:val="ParaIndent"/>
        <w:rPr>
          <w:lang w:val="en-GB"/>
        </w:rPr>
      </w:pPr>
      <w:r>
        <w:rPr>
          <w:lang w:val="en-GB"/>
        </w:rPr>
        <w:t xml:space="preserve">The CWTS was developed by </w:t>
      </w:r>
      <w:proofErr w:type="spellStart"/>
      <w:r>
        <w:rPr>
          <w:lang w:val="en-GB"/>
        </w:rPr>
        <w:t>Amri</w:t>
      </w:r>
      <w:proofErr w:type="spellEnd"/>
      <w:r>
        <w:rPr>
          <w:lang w:val="en-GB"/>
        </w:rPr>
        <w:t xml:space="preserve">-star for DER and an online user interface populates data into the SQL Access database. The system is integrated into </w:t>
      </w:r>
      <w:r w:rsidR="002117F7">
        <w:rPr>
          <w:lang w:val="en-GB"/>
        </w:rPr>
        <w:t xml:space="preserve">an </w:t>
      </w:r>
      <w:r>
        <w:rPr>
          <w:lang w:val="en-GB"/>
        </w:rPr>
        <w:t xml:space="preserve">Oracle </w:t>
      </w:r>
      <w:r w:rsidR="002117F7">
        <w:rPr>
          <w:lang w:val="en-GB"/>
        </w:rPr>
        <w:t xml:space="preserve">database </w:t>
      </w:r>
      <w:r>
        <w:rPr>
          <w:lang w:val="en-GB"/>
        </w:rPr>
        <w:t xml:space="preserve">(for </w:t>
      </w:r>
      <w:r w:rsidR="002117F7">
        <w:rPr>
          <w:lang w:val="en-GB"/>
        </w:rPr>
        <w:t xml:space="preserve">licence </w:t>
      </w:r>
      <w:r>
        <w:rPr>
          <w:lang w:val="en-GB"/>
        </w:rPr>
        <w:t>invoicing) an</w:t>
      </w:r>
      <w:r w:rsidR="00453383">
        <w:rPr>
          <w:lang w:val="en-GB"/>
        </w:rPr>
        <w:t>d</w:t>
      </w:r>
      <w:r>
        <w:rPr>
          <w:lang w:val="en-GB"/>
        </w:rPr>
        <w:t xml:space="preserve"> will integrate into the Industry Licensing System for correlation with waste facilities licensed under the </w:t>
      </w:r>
      <w:r w:rsidRPr="00A46075">
        <w:rPr>
          <w:i/>
          <w:lang w:val="en-GB"/>
        </w:rPr>
        <w:t>Environmental Protection Act 1986</w:t>
      </w:r>
      <w:r>
        <w:rPr>
          <w:lang w:val="en-GB"/>
        </w:rPr>
        <w:t>.</w:t>
      </w:r>
      <w:r w:rsidR="00453383">
        <w:rPr>
          <w:lang w:val="en-GB"/>
        </w:rPr>
        <w:t xml:space="preserve"> The software has an interface for all users</w:t>
      </w:r>
      <w:r w:rsidR="00F82EE5">
        <w:rPr>
          <w:lang w:val="en-GB"/>
        </w:rPr>
        <w:t>,</w:t>
      </w:r>
      <w:r w:rsidR="00453383">
        <w:rPr>
          <w:lang w:val="en-GB"/>
        </w:rPr>
        <w:t xml:space="preserve"> with different levels of access/editorial rights and permissions for truck drivers, data entry and managers. DER inspectors and administration officers can see an additional level of fields to what the industry can see. The interface limits free text fields to minimise the opportunity for data entry errors or non-compliant transactions. </w:t>
      </w:r>
      <w:r w:rsidR="00453383" w:rsidRPr="00453383">
        <w:rPr>
          <w:lang w:val="en-GB"/>
        </w:rPr>
        <w:t>For example if a waste type is populated</w:t>
      </w:r>
      <w:r w:rsidR="00F82EE5">
        <w:rPr>
          <w:lang w:val="en-GB"/>
        </w:rPr>
        <w:t>,</w:t>
      </w:r>
      <w:r w:rsidR="00453383" w:rsidRPr="00453383">
        <w:rPr>
          <w:lang w:val="en-GB"/>
        </w:rPr>
        <w:t xml:space="preserve"> only facilities licensed to accept that waste will appear. Anomalies </w:t>
      </w:r>
      <w:r w:rsidR="00F82EE5">
        <w:rPr>
          <w:lang w:val="en-GB"/>
        </w:rPr>
        <w:t>in data entry are also flagged,</w:t>
      </w:r>
      <w:r w:rsidR="00453383" w:rsidRPr="00453383">
        <w:rPr>
          <w:lang w:val="en-GB"/>
        </w:rPr>
        <w:t xml:space="preserve"> for example discrepancies in litres/ tonnages received</w:t>
      </w:r>
      <w:r w:rsidR="00453383">
        <w:rPr>
          <w:lang w:val="en-GB"/>
        </w:rPr>
        <w:t>.</w:t>
      </w:r>
    </w:p>
    <w:p w:rsidR="00F82EE5" w:rsidRDefault="008367AB" w:rsidP="008367AB">
      <w:pPr>
        <w:pStyle w:val="ParaIndent"/>
        <w:rPr>
          <w:lang w:val="en-GB"/>
        </w:rPr>
      </w:pPr>
      <w:r>
        <w:rPr>
          <w:lang w:val="en-GB"/>
        </w:rPr>
        <w:t>There is approximately 90% compliance with use of the electronic system</w:t>
      </w:r>
      <w:r w:rsidR="00792E86">
        <w:rPr>
          <w:lang w:val="en-GB"/>
        </w:rPr>
        <w:t xml:space="preserve"> and if the paper system is used this information is manually entered into the CWTS to ensure data is kept in a single location. Part of the uptake has been the price difference between paper and electronic forms. </w:t>
      </w:r>
      <w:r w:rsidRPr="008367AB">
        <w:rPr>
          <w:lang w:val="en-GB"/>
        </w:rPr>
        <w:t>Operators</w:t>
      </w:r>
      <w:r w:rsidR="00792E86">
        <w:rPr>
          <w:lang w:val="en-GB"/>
        </w:rPr>
        <w:t xml:space="preserve"> can</w:t>
      </w:r>
      <w:r w:rsidRPr="008367AB">
        <w:rPr>
          <w:lang w:val="en-GB"/>
        </w:rPr>
        <w:t xml:space="preserve"> buy a book of paper forms from the DER at a cost of $1010 (20 triplicate forms </w:t>
      </w:r>
      <w:r w:rsidR="00F82EE5">
        <w:rPr>
          <w:lang w:val="en-GB"/>
        </w:rPr>
        <w:t xml:space="preserve">at $50.50/form), which </w:t>
      </w:r>
      <w:r w:rsidRPr="008367AB">
        <w:rPr>
          <w:lang w:val="en-GB"/>
        </w:rPr>
        <w:t>includes the administration cost of DER manually entering the transaction in the system. Each electronic form is</w:t>
      </w:r>
      <w:r w:rsidR="00F82EE5">
        <w:rPr>
          <w:lang w:val="en-GB"/>
        </w:rPr>
        <w:t xml:space="preserve"> charged at $39.50 per </w:t>
      </w:r>
      <w:r w:rsidR="00792E86">
        <w:rPr>
          <w:lang w:val="en-GB"/>
        </w:rPr>
        <w:t xml:space="preserve">transaction. </w:t>
      </w:r>
    </w:p>
    <w:p w:rsidR="00D9092E" w:rsidRDefault="00D9092E" w:rsidP="00D9092E">
      <w:pPr>
        <w:pStyle w:val="ParaIndent"/>
        <w:rPr>
          <w:lang w:val="en-GB"/>
        </w:rPr>
      </w:pPr>
      <w:r>
        <w:rPr>
          <w:lang w:val="en-GB"/>
        </w:rPr>
        <w:lastRenderedPageBreak/>
        <w:t>Adding the</w:t>
      </w:r>
      <w:r w:rsidRPr="00D9092E">
        <w:rPr>
          <w:lang w:val="en-GB"/>
        </w:rPr>
        <w:t xml:space="preserve"> ability to fill out the consignment authorisations for interstate movements online – superseding the manual system – has been beneficial and reduces duplication.</w:t>
      </w:r>
      <w:r w:rsidR="00E66CF6" w:rsidRPr="00E66CF6">
        <w:t xml:space="preserve"> </w:t>
      </w:r>
      <w:r w:rsidR="00E66CF6">
        <w:rPr>
          <w:lang w:val="en-GB"/>
        </w:rPr>
        <w:t>H</w:t>
      </w:r>
      <w:r w:rsidR="00E66CF6" w:rsidRPr="00E66CF6">
        <w:rPr>
          <w:lang w:val="en-GB"/>
        </w:rPr>
        <w:t>owever</w:t>
      </w:r>
      <w:r w:rsidR="0064277D">
        <w:rPr>
          <w:lang w:val="en-GB"/>
        </w:rPr>
        <w:t>,</w:t>
      </w:r>
      <w:r w:rsidR="00E66CF6" w:rsidRPr="00E66CF6">
        <w:rPr>
          <w:lang w:val="en-GB"/>
        </w:rPr>
        <w:t xml:space="preserve"> hardcopies for interstate agencies are still generally required.</w:t>
      </w:r>
    </w:p>
    <w:p w:rsidR="008367AB" w:rsidRDefault="008367AB" w:rsidP="00F82EE5">
      <w:pPr>
        <w:pStyle w:val="ParaIndent"/>
        <w:rPr>
          <w:lang w:val="en-GB"/>
        </w:rPr>
      </w:pPr>
      <w:r w:rsidRPr="008367AB">
        <w:rPr>
          <w:lang w:val="en-GB"/>
        </w:rPr>
        <w:t xml:space="preserve">DER </w:t>
      </w:r>
      <w:r w:rsidR="00F82EE5">
        <w:rPr>
          <w:lang w:val="en-GB"/>
        </w:rPr>
        <w:t xml:space="preserve">has capped </w:t>
      </w:r>
      <w:r w:rsidRPr="008367AB">
        <w:rPr>
          <w:lang w:val="en-GB"/>
        </w:rPr>
        <w:t xml:space="preserve">the license fee </w:t>
      </w:r>
      <w:r w:rsidR="00F82EE5">
        <w:rPr>
          <w:lang w:val="en-GB"/>
        </w:rPr>
        <w:t>at</w:t>
      </w:r>
      <w:r w:rsidRPr="008367AB">
        <w:rPr>
          <w:lang w:val="en-GB"/>
        </w:rPr>
        <w:t xml:space="preserve"> 2004 </w:t>
      </w:r>
      <w:r w:rsidR="00F82EE5">
        <w:rPr>
          <w:lang w:val="en-GB"/>
        </w:rPr>
        <w:t xml:space="preserve">levels </w:t>
      </w:r>
      <w:r w:rsidR="00792E86">
        <w:rPr>
          <w:lang w:val="en-GB"/>
        </w:rPr>
        <w:t>(</w:t>
      </w:r>
      <w:r w:rsidRPr="008367AB">
        <w:rPr>
          <w:lang w:val="en-GB"/>
        </w:rPr>
        <w:t>$225/license with a $60/year renewal fee</w:t>
      </w:r>
      <w:r w:rsidR="00792E86">
        <w:rPr>
          <w:lang w:val="en-GB"/>
        </w:rPr>
        <w:t>)</w:t>
      </w:r>
      <w:r w:rsidR="00F82EE5">
        <w:rPr>
          <w:lang w:val="en-GB"/>
        </w:rPr>
        <w:t xml:space="preserve"> </w:t>
      </w:r>
      <w:r w:rsidRPr="008367AB">
        <w:rPr>
          <w:lang w:val="en-GB"/>
        </w:rPr>
        <w:t xml:space="preserve">to </w:t>
      </w:r>
      <w:r w:rsidR="00F82EE5">
        <w:rPr>
          <w:lang w:val="en-GB"/>
        </w:rPr>
        <w:t>avoid discouraging</w:t>
      </w:r>
      <w:r w:rsidRPr="008367AB">
        <w:rPr>
          <w:lang w:val="en-GB"/>
        </w:rPr>
        <w:t xml:space="preserve"> </w:t>
      </w:r>
      <w:r w:rsidR="00792E86">
        <w:rPr>
          <w:lang w:val="en-GB"/>
        </w:rPr>
        <w:t>industry</w:t>
      </w:r>
      <w:r w:rsidRPr="008367AB">
        <w:rPr>
          <w:lang w:val="en-GB"/>
        </w:rPr>
        <w:t xml:space="preserve"> from registering vehicles</w:t>
      </w:r>
      <w:r w:rsidR="00F82EE5">
        <w:rPr>
          <w:lang w:val="en-GB"/>
        </w:rPr>
        <w:t>, facilities and</w:t>
      </w:r>
      <w:r w:rsidRPr="008367AB">
        <w:rPr>
          <w:lang w:val="en-GB"/>
        </w:rPr>
        <w:t xml:space="preserve"> drivers</w:t>
      </w:r>
      <w:r w:rsidR="00F82EE5">
        <w:rPr>
          <w:lang w:val="en-GB"/>
        </w:rPr>
        <w:t>,</w:t>
      </w:r>
      <w:r w:rsidR="00F82EE5" w:rsidRPr="00F82EE5">
        <w:rPr>
          <w:lang w:val="en-GB"/>
        </w:rPr>
        <w:t xml:space="preserve"> </w:t>
      </w:r>
      <w:r w:rsidR="00F82EE5">
        <w:rPr>
          <w:lang w:val="en-GB"/>
        </w:rPr>
        <w:t>but has</w:t>
      </w:r>
      <w:r w:rsidR="00F82EE5" w:rsidRPr="008367AB">
        <w:rPr>
          <w:lang w:val="en-GB"/>
        </w:rPr>
        <w:t xml:space="preserve"> inc</w:t>
      </w:r>
      <w:r w:rsidR="00F82EE5">
        <w:rPr>
          <w:lang w:val="en-GB"/>
        </w:rPr>
        <w:t>reased the cost per transaction to reflect</w:t>
      </w:r>
      <w:r w:rsidRPr="008367AB">
        <w:rPr>
          <w:lang w:val="en-GB"/>
        </w:rPr>
        <w:t xml:space="preserve"> a user pays system, where the cost is transparent to the waste holder and covered by the transporter</w:t>
      </w:r>
      <w:r w:rsidR="00792E86">
        <w:rPr>
          <w:lang w:val="en-GB"/>
        </w:rPr>
        <w:t>.</w:t>
      </w:r>
    </w:p>
    <w:p w:rsidR="00D9092E" w:rsidRPr="00BF05BE" w:rsidRDefault="001066B2" w:rsidP="00D9092E">
      <w:pPr>
        <w:pStyle w:val="ParaIndent"/>
        <w:rPr>
          <w:lang w:val="en-GB"/>
        </w:rPr>
      </w:pPr>
      <w:r w:rsidRPr="001066B2">
        <w:rPr>
          <w:lang w:val="en-GB"/>
        </w:rPr>
        <w:t>Reports can be generated on any of the information that is captured</w:t>
      </w:r>
      <w:r>
        <w:rPr>
          <w:lang w:val="en-GB"/>
        </w:rPr>
        <w:t xml:space="preserve"> in the CWTS</w:t>
      </w:r>
      <w:r w:rsidRPr="001066B2">
        <w:rPr>
          <w:lang w:val="en-GB"/>
        </w:rPr>
        <w:t>. For reports that are run regularly the DER administrators can re-run the query at any time</w:t>
      </w:r>
      <w:r w:rsidR="00F82EE5">
        <w:rPr>
          <w:lang w:val="en-GB"/>
        </w:rPr>
        <w:t>,</w:t>
      </w:r>
      <w:r w:rsidRPr="001066B2">
        <w:rPr>
          <w:lang w:val="en-GB"/>
        </w:rPr>
        <w:t xml:space="preserve"> adjusting the date ranges as appropriate. For unique reporting enquiries it may require some additional programming or manual manipulation of data</w:t>
      </w:r>
      <w:r>
        <w:rPr>
          <w:lang w:val="en-GB"/>
        </w:rPr>
        <w:t>.</w:t>
      </w:r>
    </w:p>
    <w:p w:rsidR="002939A9" w:rsidRPr="00BF05BE" w:rsidRDefault="002939A9" w:rsidP="002939A9">
      <w:pPr>
        <w:pStyle w:val="ParaIndent"/>
        <w:rPr>
          <w:lang w:val="en-GB"/>
        </w:rPr>
      </w:pPr>
      <w:r w:rsidRPr="00BF05BE">
        <w:rPr>
          <w:lang w:val="en-GB"/>
        </w:rPr>
        <w:t xml:space="preserve">CWTFs are valid for 7 days from pick up of bulk controlled waste and 21 days for packaged controlled waste, and cease to be valid as soon as any part of the waste is unloaded, except at an approved transit facility or during a truck-to-truck transfer. They must be closed within 14 days of unloading. For paper forms, which come in triplicate, the transporter gives one copy to the </w:t>
      </w:r>
      <w:proofErr w:type="spellStart"/>
      <w:r w:rsidRPr="00BF05BE">
        <w:rPr>
          <w:lang w:val="en-GB"/>
        </w:rPr>
        <w:t>receival</w:t>
      </w:r>
      <w:proofErr w:type="spellEnd"/>
      <w:r w:rsidRPr="00BF05BE">
        <w:rPr>
          <w:lang w:val="en-GB"/>
        </w:rPr>
        <w:t xml:space="preserve"> facility, retains one and within 14 days of unloading must submit the final copy to DER, which inputs</w:t>
      </w:r>
      <w:r>
        <w:rPr>
          <w:lang w:val="en-GB"/>
        </w:rPr>
        <w:t xml:space="preserve"> the data</w:t>
      </w:r>
      <w:r w:rsidRPr="00BF05BE">
        <w:rPr>
          <w:lang w:val="en-GB"/>
        </w:rPr>
        <w:t xml:space="preserve"> into the electronic system.</w:t>
      </w:r>
    </w:p>
    <w:p w:rsidR="002939A9" w:rsidRPr="005A4AB2" w:rsidRDefault="002939A9" w:rsidP="002939A9">
      <w:pPr>
        <w:pStyle w:val="ParaIndent"/>
        <w:rPr>
          <w:lang w:val="en-GB"/>
        </w:rPr>
      </w:pPr>
      <w:r w:rsidRPr="00BF05BE">
        <w:rPr>
          <w:lang w:val="en-GB"/>
        </w:rPr>
        <w:t xml:space="preserve">A 2013 report for the federal </w:t>
      </w:r>
      <w:r w:rsidR="00F82EE5">
        <w:rPr>
          <w:lang w:val="en-GB"/>
        </w:rPr>
        <w:t xml:space="preserve">DoE </w:t>
      </w:r>
      <w:r w:rsidRPr="00BF05BE">
        <w:rPr>
          <w:lang w:val="en-GB"/>
        </w:rPr>
        <w:t xml:space="preserve">concluded </w:t>
      </w:r>
      <w:r w:rsidR="003D0982">
        <w:rPr>
          <w:lang w:val="en-GB"/>
        </w:rPr>
        <w:t>Western Australia</w:t>
      </w:r>
      <w:r w:rsidRPr="00BF05BE">
        <w:rPr>
          <w:lang w:val="en-GB"/>
        </w:rPr>
        <w:t xml:space="preserve"> was the only state where asbestos data could not be identified, </w:t>
      </w:r>
      <w:r>
        <w:rPr>
          <w:lang w:val="en-GB"/>
        </w:rPr>
        <w:t xml:space="preserve">that it </w:t>
      </w:r>
      <w:r w:rsidRPr="00BF05BE">
        <w:rPr>
          <w:lang w:val="en-GB"/>
        </w:rPr>
        <w:t>covered limited categories of contaminated soil and was one of only two that includes septic wastes (with Queensland)</w:t>
      </w:r>
      <w:r w:rsidRPr="00BF05BE">
        <w:rPr>
          <w:vertAlign w:val="superscript"/>
          <w:lang w:val="en-GB"/>
        </w:rPr>
        <w:footnoteReference w:id="4"/>
      </w:r>
      <w:r w:rsidRPr="00BF05BE">
        <w:rPr>
          <w:lang w:val="en-GB"/>
        </w:rPr>
        <w:t>.</w:t>
      </w:r>
      <w:r w:rsidRPr="005A4AB2">
        <w:rPr>
          <w:lang w:val="en-GB"/>
        </w:rPr>
        <w:t xml:space="preserve"> </w:t>
      </w:r>
    </w:p>
    <w:p w:rsidR="002939A9" w:rsidRDefault="002939A9" w:rsidP="002939A9">
      <w:pPr>
        <w:pStyle w:val="ParaIndent"/>
        <w:rPr>
          <w:lang w:val="en-GB"/>
        </w:rPr>
      </w:pPr>
      <w:r w:rsidRPr="00BF05BE">
        <w:rPr>
          <w:lang w:val="en-GB"/>
        </w:rPr>
        <w:t>Reforms in 2014 introduced a new categoris</w:t>
      </w:r>
      <w:r>
        <w:rPr>
          <w:lang w:val="en-GB"/>
        </w:rPr>
        <w:t xml:space="preserve">ation system that converted </w:t>
      </w:r>
      <w:r w:rsidR="003D0982">
        <w:rPr>
          <w:lang w:val="en-GB"/>
        </w:rPr>
        <w:t>Western Australia’s previous</w:t>
      </w:r>
      <w:r>
        <w:rPr>
          <w:lang w:val="en-GB"/>
        </w:rPr>
        <w:t xml:space="preserve"> </w:t>
      </w:r>
      <w:r w:rsidRPr="00BF05BE">
        <w:rPr>
          <w:lang w:val="en-GB"/>
        </w:rPr>
        <w:t>81 categories to more closely match the NEPM categories and</w:t>
      </w:r>
      <w:r>
        <w:rPr>
          <w:lang w:val="en-GB"/>
        </w:rPr>
        <w:t xml:space="preserve"> made some minor amendments </w:t>
      </w:r>
      <w:r w:rsidRPr="00BF05BE">
        <w:rPr>
          <w:lang w:val="en-GB"/>
        </w:rPr>
        <w:t>to mirror the 2010 NEPM changes.</w:t>
      </w:r>
      <w:r w:rsidR="003D0982">
        <w:rPr>
          <w:lang w:val="en-GB"/>
        </w:rPr>
        <w:t xml:space="preserve"> Like Victoria, Western Australia </w:t>
      </w:r>
      <w:r w:rsidR="0049492C">
        <w:rPr>
          <w:lang w:val="en-GB"/>
        </w:rPr>
        <w:t>added some additional sub-categories, for example codes for lead (D220) an</w:t>
      </w:r>
      <w:r w:rsidR="0074268B">
        <w:rPr>
          <w:lang w:val="en-GB"/>
        </w:rPr>
        <w:t>d lead acid batteries (D221).</w:t>
      </w:r>
      <w:r w:rsidRPr="00BF05BE">
        <w:rPr>
          <w:lang w:val="en-GB"/>
        </w:rPr>
        <w:t xml:space="preserve"> It also broadened the definition of waste to “any matter that is within the definition of waste in the NEPM for the Movement of Controlled Waste between </w:t>
      </w:r>
      <w:r>
        <w:rPr>
          <w:lang w:val="en-GB"/>
        </w:rPr>
        <w:t>states and t</w:t>
      </w:r>
      <w:r w:rsidR="00F82EE5">
        <w:rPr>
          <w:lang w:val="en-GB"/>
        </w:rPr>
        <w:t>erritories”</w:t>
      </w:r>
      <w:r w:rsidRPr="00BF05BE">
        <w:rPr>
          <w:lang w:val="en-GB"/>
        </w:rPr>
        <w:t>.</w:t>
      </w:r>
    </w:p>
    <w:p w:rsidR="008A2DFF" w:rsidRDefault="008A2DFF" w:rsidP="008A2DFF">
      <w:pPr>
        <w:pStyle w:val="Heading3"/>
      </w:pPr>
      <w:r>
        <w:t>Strengths and Weaknesses</w:t>
      </w:r>
    </w:p>
    <w:p w:rsidR="008040F9" w:rsidRPr="008040F9" w:rsidRDefault="008040F9" w:rsidP="008040F9">
      <w:pPr>
        <w:pStyle w:val="Caption"/>
        <w:ind w:left="1134"/>
      </w:pPr>
      <w:bookmarkStart w:id="47" w:name="_Toc421181771"/>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10</w:t>
      </w:r>
      <w:r w:rsidR="00350C10">
        <w:fldChar w:fldCharType="end"/>
      </w:r>
      <w:r w:rsidRPr="006226B1">
        <w:tab/>
      </w:r>
      <w:r>
        <w:t>Western Australia controlled waste tracking system strengths and weaknesses</w:t>
      </w:r>
      <w:bookmarkEnd w:id="47"/>
    </w:p>
    <w:tbl>
      <w:tblPr>
        <w:tblStyle w:val="HyderTableStyle"/>
        <w:tblW w:w="0" w:type="auto"/>
        <w:tblInd w:w="1134" w:type="dxa"/>
        <w:tblLook w:val="04A0"/>
      </w:tblPr>
      <w:tblGrid>
        <w:gridCol w:w="2908"/>
        <w:gridCol w:w="2783"/>
        <w:gridCol w:w="2784"/>
      </w:tblGrid>
      <w:tr w:rsidR="007C698A" w:rsidTr="007C698A">
        <w:trPr>
          <w:cnfStyle w:val="100000000000"/>
        </w:trPr>
        <w:tc>
          <w:tcPr>
            <w:tcW w:w="2908" w:type="dxa"/>
            <w:tcBorders>
              <w:bottom w:val="single" w:sz="12" w:space="0" w:color="FFFFFF" w:themeColor="background1"/>
            </w:tcBorders>
          </w:tcPr>
          <w:p w:rsidR="007C698A" w:rsidRDefault="007C698A" w:rsidP="00B34F9A">
            <w:pPr>
              <w:pStyle w:val="TableHeadingWhite"/>
            </w:pPr>
            <w:r>
              <w:t>Criteria</w:t>
            </w:r>
          </w:p>
        </w:tc>
        <w:tc>
          <w:tcPr>
            <w:tcW w:w="2783" w:type="dxa"/>
            <w:tcBorders>
              <w:bottom w:val="single" w:sz="12" w:space="0" w:color="FFFFFF" w:themeColor="background1"/>
            </w:tcBorders>
          </w:tcPr>
          <w:p w:rsidR="007C698A" w:rsidRDefault="007C698A" w:rsidP="00B34F9A">
            <w:pPr>
              <w:pStyle w:val="TableHeadingWhite"/>
            </w:pPr>
            <w:r>
              <w:t>Intrastate tracking</w:t>
            </w:r>
          </w:p>
        </w:tc>
        <w:tc>
          <w:tcPr>
            <w:tcW w:w="2784" w:type="dxa"/>
            <w:tcBorders>
              <w:bottom w:val="single" w:sz="12" w:space="0" w:color="FFFFFF" w:themeColor="background1"/>
            </w:tcBorders>
          </w:tcPr>
          <w:p w:rsidR="007C698A" w:rsidRDefault="007C698A" w:rsidP="00B34F9A">
            <w:pPr>
              <w:pStyle w:val="TableHeadingWhite"/>
            </w:pPr>
            <w:r>
              <w:t>Interstate tracking</w:t>
            </w:r>
          </w:p>
        </w:tc>
      </w:tr>
      <w:tr w:rsidR="00FD55B7" w:rsidTr="007C698A">
        <w:tc>
          <w:tcPr>
            <w:tcW w:w="2908" w:type="dxa"/>
          </w:tcPr>
          <w:p w:rsidR="00FD55B7" w:rsidRDefault="00FD55B7" w:rsidP="00FD55B7">
            <w:pPr>
              <w:pStyle w:val="TableText"/>
            </w:pPr>
            <w:r>
              <w:t>Interstate and intrastate compatibility</w:t>
            </w:r>
          </w:p>
        </w:tc>
        <w:tc>
          <w:tcPr>
            <w:tcW w:w="2783" w:type="dxa"/>
          </w:tcPr>
          <w:p w:rsidR="00FD55B7" w:rsidRDefault="00FD55B7" w:rsidP="00FD55B7">
            <w:pPr>
              <w:pStyle w:val="TableText"/>
            </w:pPr>
            <w:r>
              <w:rPr>
                <w:b/>
              </w:rPr>
              <w:t>Strength</w:t>
            </w:r>
            <w:r>
              <w:t xml:space="preserve"> – online system is able to be used for all intrastate and incoming interstate hazardous waste movements.</w:t>
            </w:r>
          </w:p>
        </w:tc>
        <w:tc>
          <w:tcPr>
            <w:tcW w:w="2784" w:type="dxa"/>
          </w:tcPr>
          <w:p w:rsidR="00FD55B7" w:rsidRDefault="00FD55B7" w:rsidP="00FD55B7">
            <w:pPr>
              <w:pStyle w:val="TableText"/>
              <w:rPr>
                <w:b/>
              </w:rPr>
            </w:pPr>
            <w:r>
              <w:rPr>
                <w:b/>
              </w:rPr>
              <w:t>Strength</w:t>
            </w:r>
            <w:r>
              <w:t xml:space="preserve"> – online system is able to be used for all intrastate and incoming interstate hazardous waste movements.</w:t>
            </w:r>
          </w:p>
        </w:tc>
      </w:tr>
      <w:tr w:rsidR="00FD55B7" w:rsidTr="007C698A">
        <w:tc>
          <w:tcPr>
            <w:tcW w:w="2908" w:type="dxa"/>
          </w:tcPr>
          <w:p w:rsidR="00FD55B7" w:rsidRDefault="00FD55B7" w:rsidP="00FD55B7">
            <w:pPr>
              <w:pStyle w:val="TableText"/>
            </w:pPr>
            <w:r>
              <w:t>Real time analysis, reporting and management</w:t>
            </w:r>
          </w:p>
        </w:tc>
        <w:tc>
          <w:tcPr>
            <w:tcW w:w="2783" w:type="dxa"/>
          </w:tcPr>
          <w:p w:rsidR="00FD55B7" w:rsidRDefault="00FD55B7" w:rsidP="00FD55B7">
            <w:pPr>
              <w:pStyle w:val="TableText"/>
            </w:pPr>
            <w:r w:rsidRPr="002F11B6">
              <w:rPr>
                <w:b/>
              </w:rPr>
              <w:t>Strength</w:t>
            </w:r>
            <w:r>
              <w:t xml:space="preserve"> – up to date data is available, system capable of running reports and data is easily stored</w:t>
            </w:r>
          </w:p>
        </w:tc>
        <w:tc>
          <w:tcPr>
            <w:tcW w:w="2784" w:type="dxa"/>
          </w:tcPr>
          <w:p w:rsidR="00FD55B7" w:rsidRPr="002F11B6" w:rsidRDefault="00FD55B7" w:rsidP="00FD55B7">
            <w:pPr>
              <w:pStyle w:val="TableText"/>
              <w:rPr>
                <w:b/>
              </w:rPr>
            </w:pPr>
            <w:r w:rsidRPr="002F11B6">
              <w:rPr>
                <w:b/>
              </w:rPr>
              <w:t>Strength</w:t>
            </w:r>
            <w:r>
              <w:t xml:space="preserve"> – up to date data is available, system capable of running reports and data is easily stored</w:t>
            </w:r>
          </w:p>
        </w:tc>
      </w:tr>
      <w:tr w:rsidR="00FD55B7" w:rsidTr="007C698A">
        <w:tc>
          <w:tcPr>
            <w:tcW w:w="2908" w:type="dxa"/>
          </w:tcPr>
          <w:p w:rsidR="00FD55B7" w:rsidRDefault="00FD55B7" w:rsidP="00FD55B7">
            <w:pPr>
              <w:pStyle w:val="TableText"/>
            </w:pPr>
            <w:r>
              <w:t>Coverage of controlled wastes</w:t>
            </w:r>
          </w:p>
        </w:tc>
        <w:tc>
          <w:tcPr>
            <w:tcW w:w="2783" w:type="dxa"/>
          </w:tcPr>
          <w:p w:rsidR="00FD55B7" w:rsidRDefault="00FD55B7" w:rsidP="00FD55B7">
            <w:pPr>
              <w:pStyle w:val="TableText"/>
            </w:pPr>
            <w:r>
              <w:rPr>
                <w:b/>
              </w:rPr>
              <w:t>Weakness</w:t>
            </w:r>
            <w:r>
              <w:t xml:space="preserve"> – small loads aren’t captured and asbestos is not tracked intrastate</w:t>
            </w:r>
          </w:p>
        </w:tc>
        <w:tc>
          <w:tcPr>
            <w:tcW w:w="2784" w:type="dxa"/>
          </w:tcPr>
          <w:p w:rsidR="00FD55B7" w:rsidRDefault="00FD55B7" w:rsidP="00FD55B7">
            <w:pPr>
              <w:pStyle w:val="TableText"/>
              <w:rPr>
                <w:b/>
              </w:rPr>
            </w:pPr>
            <w:r>
              <w:rPr>
                <w:b/>
              </w:rPr>
              <w:t xml:space="preserve">Strength – </w:t>
            </w:r>
            <w:r>
              <w:t>NEPM 75 are tracked interstate</w:t>
            </w:r>
          </w:p>
        </w:tc>
      </w:tr>
      <w:tr w:rsidR="00FD55B7" w:rsidTr="007C698A">
        <w:tc>
          <w:tcPr>
            <w:tcW w:w="2908" w:type="dxa"/>
          </w:tcPr>
          <w:p w:rsidR="00FD55B7" w:rsidRDefault="00FD55B7" w:rsidP="00FD55B7">
            <w:pPr>
              <w:pStyle w:val="TableText"/>
            </w:pPr>
            <w:r>
              <w:lastRenderedPageBreak/>
              <w:t>Alignment of coding and descriptions</w:t>
            </w:r>
          </w:p>
        </w:tc>
        <w:tc>
          <w:tcPr>
            <w:tcW w:w="2783" w:type="dxa"/>
          </w:tcPr>
          <w:p w:rsidR="00FD55B7" w:rsidRDefault="00FD55B7" w:rsidP="00FD55B7">
            <w:pPr>
              <w:pStyle w:val="TableText"/>
            </w:pPr>
            <w:r>
              <w:rPr>
                <w:b/>
              </w:rPr>
              <w:t>Strength</w:t>
            </w:r>
            <w:r>
              <w:t xml:space="preserve"> – descriptions and codes</w:t>
            </w:r>
            <w:r w:rsidR="003A0E90">
              <w:t xml:space="preserve"> generally align with the NEPM,</w:t>
            </w:r>
            <w:r>
              <w:t xml:space="preserve"> some additional sub-codes have been added to address some areas of confusion</w:t>
            </w:r>
          </w:p>
        </w:tc>
        <w:tc>
          <w:tcPr>
            <w:tcW w:w="2784" w:type="dxa"/>
          </w:tcPr>
          <w:p w:rsidR="00FD55B7" w:rsidRDefault="00FD55B7" w:rsidP="00FD55B7">
            <w:pPr>
              <w:pStyle w:val="TableText"/>
              <w:rPr>
                <w:b/>
              </w:rPr>
            </w:pPr>
            <w:r>
              <w:rPr>
                <w:b/>
              </w:rPr>
              <w:t xml:space="preserve">Strength – </w:t>
            </w:r>
            <w:r>
              <w:t>codes and descriptions align well with NEPM</w:t>
            </w:r>
          </w:p>
        </w:tc>
      </w:tr>
      <w:tr w:rsidR="00FD55B7" w:rsidTr="007C698A">
        <w:tc>
          <w:tcPr>
            <w:tcW w:w="2908" w:type="dxa"/>
          </w:tcPr>
          <w:p w:rsidR="00FD55B7" w:rsidRDefault="00FD55B7" w:rsidP="00FD55B7">
            <w:pPr>
              <w:pStyle w:val="TableText"/>
            </w:pPr>
            <w:r>
              <w:t>Ease of updating system</w:t>
            </w:r>
          </w:p>
        </w:tc>
        <w:tc>
          <w:tcPr>
            <w:tcW w:w="2783" w:type="dxa"/>
          </w:tcPr>
          <w:p w:rsidR="00FD55B7" w:rsidRDefault="00FD55B7" w:rsidP="00FD55B7">
            <w:pPr>
              <w:pStyle w:val="TableText"/>
            </w:pPr>
            <w:r>
              <w:rPr>
                <w:b/>
              </w:rPr>
              <w:t>Weakness</w:t>
            </w:r>
            <w:r>
              <w:t xml:space="preserve"> – would require a third party to undertake the programming and is an expensive exercise</w:t>
            </w:r>
          </w:p>
        </w:tc>
        <w:tc>
          <w:tcPr>
            <w:tcW w:w="2784" w:type="dxa"/>
          </w:tcPr>
          <w:p w:rsidR="00FD55B7" w:rsidRDefault="00FD55B7" w:rsidP="00FD55B7">
            <w:pPr>
              <w:pStyle w:val="TableText"/>
              <w:rPr>
                <w:b/>
              </w:rPr>
            </w:pPr>
            <w:r>
              <w:rPr>
                <w:b/>
              </w:rPr>
              <w:t>Weakness</w:t>
            </w:r>
            <w:r>
              <w:t xml:space="preserve"> – would require a third party to undertake the programming and is an expensive exercise</w:t>
            </w:r>
          </w:p>
        </w:tc>
      </w:tr>
      <w:tr w:rsidR="00FD55B7" w:rsidTr="007C698A">
        <w:tc>
          <w:tcPr>
            <w:tcW w:w="2908" w:type="dxa"/>
          </w:tcPr>
          <w:p w:rsidR="00FD55B7" w:rsidRDefault="00FD55B7" w:rsidP="00FD55B7">
            <w:pPr>
              <w:pStyle w:val="TableText"/>
            </w:pPr>
            <w:r>
              <w:t>Data quality and accuracy</w:t>
            </w:r>
          </w:p>
        </w:tc>
        <w:tc>
          <w:tcPr>
            <w:tcW w:w="2783" w:type="dxa"/>
          </w:tcPr>
          <w:p w:rsidR="00FD55B7" w:rsidRDefault="00FD55B7" w:rsidP="00FD55B7">
            <w:pPr>
              <w:pStyle w:val="TableText"/>
            </w:pPr>
            <w:r w:rsidRPr="000751D7">
              <w:rPr>
                <w:b/>
              </w:rPr>
              <w:t>Strength</w:t>
            </w:r>
            <w:r>
              <w:t xml:space="preserve"> – the data captured via the online system is of good quality with reasonable accuracy </w:t>
            </w:r>
          </w:p>
        </w:tc>
        <w:tc>
          <w:tcPr>
            <w:tcW w:w="2784" w:type="dxa"/>
          </w:tcPr>
          <w:p w:rsidR="00FD55B7" w:rsidRPr="000751D7" w:rsidRDefault="00FD55B7" w:rsidP="00FD55B7">
            <w:pPr>
              <w:pStyle w:val="TableText"/>
              <w:rPr>
                <w:b/>
              </w:rPr>
            </w:pPr>
            <w:r w:rsidRPr="000751D7">
              <w:rPr>
                <w:b/>
              </w:rPr>
              <w:t>Strength</w:t>
            </w:r>
            <w:r>
              <w:t xml:space="preserve"> – the data captured via the online system is of good quality with reasonable accuracy </w:t>
            </w:r>
          </w:p>
        </w:tc>
      </w:tr>
      <w:tr w:rsidR="006A3F36" w:rsidTr="007C698A">
        <w:tc>
          <w:tcPr>
            <w:tcW w:w="2908" w:type="dxa"/>
          </w:tcPr>
          <w:p w:rsidR="006A3F36" w:rsidRDefault="006A3F36" w:rsidP="006A3F36">
            <w:pPr>
              <w:pStyle w:val="TableText"/>
            </w:pPr>
            <w:r>
              <w:t>Prior informed consent</w:t>
            </w:r>
          </w:p>
        </w:tc>
        <w:tc>
          <w:tcPr>
            <w:tcW w:w="2783" w:type="dxa"/>
          </w:tcPr>
          <w:p w:rsidR="006A3F36" w:rsidRPr="000751D7" w:rsidRDefault="006A3F36" w:rsidP="00803613">
            <w:pPr>
              <w:pStyle w:val="TableText"/>
              <w:rPr>
                <w:b/>
              </w:rPr>
            </w:pPr>
            <w:r>
              <w:rPr>
                <w:b/>
                <w:bCs/>
              </w:rPr>
              <w:t xml:space="preserve">Weakness – </w:t>
            </w:r>
            <w:r w:rsidR="00803613">
              <w:rPr>
                <w:bCs/>
              </w:rPr>
              <w:t>CAs</w:t>
            </w:r>
            <w:r>
              <w:rPr>
                <w:bCs/>
              </w:rPr>
              <w:t xml:space="preserve"> are not required, with the generator only required to nominate the disposal/treatment/storage facility.</w:t>
            </w:r>
          </w:p>
        </w:tc>
        <w:tc>
          <w:tcPr>
            <w:tcW w:w="2784" w:type="dxa"/>
          </w:tcPr>
          <w:p w:rsidR="006A3F36" w:rsidRPr="000751D7" w:rsidRDefault="006A3F36" w:rsidP="006A3F36">
            <w:pPr>
              <w:pStyle w:val="TableText"/>
              <w:rPr>
                <w:b/>
              </w:rPr>
            </w:pPr>
            <w:r>
              <w:rPr>
                <w:b/>
              </w:rPr>
              <w:t xml:space="preserve">Weakness </w:t>
            </w:r>
            <w:r w:rsidR="00803613">
              <w:rPr>
                <w:b/>
              </w:rPr>
              <w:t>–</w:t>
            </w:r>
            <w:r>
              <w:rPr>
                <w:b/>
              </w:rPr>
              <w:t xml:space="preserve"> </w:t>
            </w:r>
            <w:r>
              <w:t xml:space="preserve"> For regulated waste slated to </w:t>
            </w:r>
            <w:r w:rsidRPr="00EB7E71">
              <w:rPr>
                <w:i/>
              </w:rPr>
              <w:t>leave</w:t>
            </w:r>
            <w:r>
              <w:t xml:space="preserve"> WA the DER has no knowledge of this until the WTC paperwork is received</w:t>
            </w:r>
          </w:p>
        </w:tc>
      </w:tr>
    </w:tbl>
    <w:p w:rsidR="00F46C95" w:rsidRDefault="00F46C95" w:rsidP="00F46C95">
      <w:pPr>
        <w:pStyle w:val="Heading2"/>
      </w:pPr>
      <w:bookmarkStart w:id="48" w:name="_Toc421181734"/>
      <w:r>
        <w:t>South Australia</w:t>
      </w:r>
      <w:bookmarkEnd w:id="48"/>
    </w:p>
    <w:p w:rsidR="00F46C95" w:rsidRDefault="00F46C95" w:rsidP="00F46C95">
      <w:pPr>
        <w:pStyle w:val="ParaIndent"/>
      </w:pPr>
      <w:r w:rsidRPr="009F1B37">
        <w:t xml:space="preserve">Controlled waste (referred to as </w:t>
      </w:r>
      <w:r>
        <w:t>listed waste</w:t>
      </w:r>
      <w:r w:rsidRPr="009F1B37">
        <w:t xml:space="preserve">) in </w:t>
      </w:r>
      <w:r>
        <w:t>South Australia</w:t>
      </w:r>
      <w:r w:rsidRPr="009F1B37">
        <w:t xml:space="preserve"> is legislated under the </w:t>
      </w:r>
      <w:r w:rsidRPr="00A46075">
        <w:rPr>
          <w:i/>
        </w:rPr>
        <w:t>Environmental Protection Act 1993</w:t>
      </w:r>
      <w:r>
        <w:t xml:space="preserve"> with the requirements relating to waste tracking implemented through transport and environmental protection licences. The South Australian EPA administers the act and environmental protection licences</w:t>
      </w:r>
      <w:r w:rsidRPr="009F1B37">
        <w:t>.</w:t>
      </w:r>
      <w:r>
        <w:t xml:space="preserve"> The driver behind tracking waste movement in South Australia is to help minimise effects on human health and the environment.</w:t>
      </w:r>
    </w:p>
    <w:p w:rsidR="00586DE7" w:rsidRDefault="00586DE7" w:rsidP="00F46C95">
      <w:pPr>
        <w:pStyle w:val="ParaIndent"/>
      </w:pPr>
      <w:r>
        <w:t>In March 2015 South Australia launched an electronic tracking scheme for intrastate waste and in July 2015 will extend this to incoming interstate waste, although a paper-based scheme will remain in place as a back-up</w:t>
      </w:r>
      <w:r w:rsidR="00F82EE5">
        <w:t xml:space="preserve"> across the scheme</w:t>
      </w:r>
      <w:r>
        <w:t xml:space="preserve">. </w:t>
      </w:r>
      <w:r w:rsidR="00990AD0">
        <w:t xml:space="preserve">The system traces its roots back to the NSW online tracking system, which was provided over two years ago. The system has been altered to align with the requirements of the </w:t>
      </w:r>
      <w:r w:rsidR="00990AD0" w:rsidRPr="00A46075">
        <w:rPr>
          <w:i/>
        </w:rPr>
        <w:t>Environmental Protection Act</w:t>
      </w:r>
      <w:r w:rsidR="00990AD0">
        <w:t xml:space="preserve"> and cost approximately $200,000 to adjust. </w:t>
      </w:r>
    </w:p>
    <w:p w:rsidR="00990AD0" w:rsidRDefault="00990AD0" w:rsidP="00F46C95">
      <w:pPr>
        <w:pStyle w:val="ParaIndent"/>
      </w:pPr>
      <w:r>
        <w:t>The front end user interface did not change dramatically compared to the NSW system, merely adding a requirement for vehicle registration (NSW licences the transport company, not to individual vehicle). The main focus was on the back-end</w:t>
      </w:r>
      <w:r w:rsidR="00F82EE5">
        <w:t xml:space="preserve"> database,</w:t>
      </w:r>
      <w:r>
        <w:t xml:space="preserve"> where changes included:</w:t>
      </w:r>
    </w:p>
    <w:p w:rsidR="00990AD0" w:rsidRDefault="00F82EE5" w:rsidP="00990AD0">
      <w:pPr>
        <w:pStyle w:val="PointsBullets"/>
      </w:pPr>
      <w:r>
        <w:t xml:space="preserve">new </w:t>
      </w:r>
      <w:r w:rsidR="00990AD0">
        <w:t>default settings</w:t>
      </w:r>
    </w:p>
    <w:p w:rsidR="00990AD0" w:rsidRDefault="00990AD0" w:rsidP="00990AD0">
      <w:pPr>
        <w:pStyle w:val="PointsBullets"/>
      </w:pPr>
      <w:r>
        <w:t>removing NSW waste exemptions and levy requirements</w:t>
      </w:r>
    </w:p>
    <w:p w:rsidR="00990AD0" w:rsidRDefault="00990AD0" w:rsidP="00990AD0">
      <w:pPr>
        <w:pStyle w:val="PointsBullets"/>
      </w:pPr>
      <w:proofErr w:type="gramStart"/>
      <w:r>
        <w:t>populating</w:t>
      </w:r>
      <w:proofErr w:type="gramEnd"/>
      <w:r>
        <w:t xml:space="preserve"> </w:t>
      </w:r>
      <w:r w:rsidR="00F82EE5">
        <w:t xml:space="preserve">it </w:t>
      </w:r>
      <w:r>
        <w:t>with local licensing information.</w:t>
      </w:r>
    </w:p>
    <w:p w:rsidR="00990AD0" w:rsidRDefault="00990AD0" w:rsidP="00990AD0">
      <w:pPr>
        <w:pStyle w:val="PointsBullets"/>
        <w:numPr>
          <w:ilvl w:val="0"/>
          <w:numId w:val="0"/>
        </w:numPr>
        <w:ind w:left="1134"/>
      </w:pPr>
      <w:r>
        <w:t>Some aspects of the NSW system were adopted</w:t>
      </w:r>
      <w:r w:rsidR="00F82EE5">
        <w:t>,</w:t>
      </w:r>
      <w:r>
        <w:t xml:space="preserve"> including introducing consignment authorisations for</w:t>
      </w:r>
      <w:r w:rsidR="00F82EE5">
        <w:t xml:space="preserve"> waste generators and the use of</w:t>
      </w:r>
      <w:r>
        <w:t xml:space="preserve"> waste descriptions to aid coding (as opposed to implementing more sub-codes).</w:t>
      </w:r>
    </w:p>
    <w:p w:rsidR="00DF242B" w:rsidRDefault="00DF242B" w:rsidP="00F46C95">
      <w:pPr>
        <w:pStyle w:val="ParaIndent"/>
      </w:pPr>
      <w:r>
        <w:t>South Australia</w:t>
      </w:r>
      <w:r w:rsidR="00C01237">
        <w:t xml:space="preserve">’s waste codes align well with those used under the NEPM </w:t>
      </w:r>
      <w:r w:rsidR="00DB3127">
        <w:t xml:space="preserve">and retain the requirement for </w:t>
      </w:r>
      <w:r w:rsidR="00C01237">
        <w:t>generators, transp</w:t>
      </w:r>
      <w:r w:rsidR="00DB3127">
        <w:t xml:space="preserve">orts and </w:t>
      </w:r>
      <w:proofErr w:type="spellStart"/>
      <w:r w:rsidR="00DB3127">
        <w:t>receival</w:t>
      </w:r>
      <w:proofErr w:type="spellEnd"/>
      <w:r w:rsidR="00DB3127">
        <w:t xml:space="preserve"> facilities</w:t>
      </w:r>
      <w:r w:rsidR="00C01237">
        <w:t xml:space="preserve"> to fill out the relevant sections</w:t>
      </w:r>
      <w:r w:rsidR="00DB3127">
        <w:t xml:space="preserve"> of waste tracking certificates</w:t>
      </w:r>
      <w:r w:rsidR="00C01237">
        <w:t>. A hard-copy certificate must still accompany every load.</w:t>
      </w:r>
    </w:p>
    <w:p w:rsidR="008A2DFF" w:rsidRDefault="008A2DFF" w:rsidP="008A2DFF">
      <w:pPr>
        <w:pStyle w:val="Heading3"/>
      </w:pPr>
      <w:r>
        <w:lastRenderedPageBreak/>
        <w:t>Strengths and Weaknesses</w:t>
      </w:r>
    </w:p>
    <w:p w:rsidR="008040F9" w:rsidRPr="008040F9" w:rsidRDefault="008040F9" w:rsidP="008040F9">
      <w:pPr>
        <w:pStyle w:val="Caption"/>
        <w:ind w:left="1134"/>
      </w:pPr>
      <w:bookmarkStart w:id="49" w:name="_Toc421181772"/>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11</w:t>
      </w:r>
      <w:r w:rsidR="00350C10">
        <w:fldChar w:fldCharType="end"/>
      </w:r>
      <w:r w:rsidRPr="006226B1">
        <w:tab/>
      </w:r>
      <w:r>
        <w:t>South Australia listed waste tracking system strengths and weaknesses</w:t>
      </w:r>
      <w:bookmarkEnd w:id="49"/>
    </w:p>
    <w:tbl>
      <w:tblPr>
        <w:tblStyle w:val="HyderTableStyle"/>
        <w:tblW w:w="0" w:type="auto"/>
        <w:tblInd w:w="1134" w:type="dxa"/>
        <w:tblLook w:val="04A0"/>
      </w:tblPr>
      <w:tblGrid>
        <w:gridCol w:w="2967"/>
        <w:gridCol w:w="2754"/>
        <w:gridCol w:w="2754"/>
      </w:tblGrid>
      <w:tr w:rsidR="007C698A" w:rsidTr="007C698A">
        <w:trPr>
          <w:cnfStyle w:val="100000000000"/>
        </w:trPr>
        <w:tc>
          <w:tcPr>
            <w:tcW w:w="2967" w:type="dxa"/>
            <w:tcBorders>
              <w:bottom w:val="single" w:sz="12" w:space="0" w:color="FFFFFF" w:themeColor="background1"/>
            </w:tcBorders>
          </w:tcPr>
          <w:p w:rsidR="007C698A" w:rsidRDefault="007C698A" w:rsidP="00B34F9A">
            <w:pPr>
              <w:pStyle w:val="TableHeadingWhite"/>
            </w:pPr>
            <w:r>
              <w:t>Criteria</w:t>
            </w:r>
          </w:p>
        </w:tc>
        <w:tc>
          <w:tcPr>
            <w:tcW w:w="2754" w:type="dxa"/>
            <w:tcBorders>
              <w:bottom w:val="single" w:sz="12" w:space="0" w:color="FFFFFF" w:themeColor="background1"/>
            </w:tcBorders>
          </w:tcPr>
          <w:p w:rsidR="007C698A" w:rsidRDefault="007C698A" w:rsidP="00B34F9A">
            <w:pPr>
              <w:pStyle w:val="TableHeadingWhite"/>
            </w:pPr>
            <w:r>
              <w:t>Intrastate</w:t>
            </w:r>
          </w:p>
        </w:tc>
        <w:tc>
          <w:tcPr>
            <w:tcW w:w="2754" w:type="dxa"/>
            <w:tcBorders>
              <w:bottom w:val="single" w:sz="12" w:space="0" w:color="FFFFFF" w:themeColor="background1"/>
            </w:tcBorders>
          </w:tcPr>
          <w:p w:rsidR="007C698A" w:rsidRDefault="007C698A" w:rsidP="00B34F9A">
            <w:pPr>
              <w:pStyle w:val="TableHeadingWhite"/>
            </w:pPr>
            <w:r>
              <w:t>Interstate</w:t>
            </w:r>
          </w:p>
        </w:tc>
      </w:tr>
      <w:tr w:rsidR="006A3F36" w:rsidTr="007C698A">
        <w:tc>
          <w:tcPr>
            <w:tcW w:w="2967" w:type="dxa"/>
          </w:tcPr>
          <w:p w:rsidR="006A3F36" w:rsidRDefault="006A3F36" w:rsidP="006A3F36">
            <w:pPr>
              <w:pStyle w:val="TableText"/>
            </w:pPr>
            <w:r>
              <w:t>Interstate and intrastate compatibility</w:t>
            </w:r>
          </w:p>
        </w:tc>
        <w:tc>
          <w:tcPr>
            <w:tcW w:w="2754" w:type="dxa"/>
          </w:tcPr>
          <w:p w:rsidR="006A3F36" w:rsidRDefault="006A3F36" w:rsidP="006A3F36">
            <w:pPr>
              <w:pStyle w:val="TableText"/>
            </w:pPr>
            <w:r>
              <w:rPr>
                <w:b/>
              </w:rPr>
              <w:t>Strength</w:t>
            </w:r>
            <w:r>
              <w:t xml:space="preserve"> – online system is able to be used for all intrastate and incoming interstate hazardous waste movements.</w:t>
            </w:r>
          </w:p>
        </w:tc>
        <w:tc>
          <w:tcPr>
            <w:tcW w:w="2754" w:type="dxa"/>
          </w:tcPr>
          <w:p w:rsidR="006A3F36" w:rsidRDefault="006A3F36" w:rsidP="006A3F36">
            <w:pPr>
              <w:pStyle w:val="TableText"/>
              <w:rPr>
                <w:b/>
              </w:rPr>
            </w:pPr>
            <w:r>
              <w:rPr>
                <w:b/>
              </w:rPr>
              <w:t>Strength</w:t>
            </w:r>
            <w:r>
              <w:t xml:space="preserve"> – online system is able to be used for all intrastate and incoming interstate hazardous waste movements.</w:t>
            </w:r>
          </w:p>
        </w:tc>
      </w:tr>
      <w:tr w:rsidR="006A3F36" w:rsidTr="007C698A">
        <w:tc>
          <w:tcPr>
            <w:tcW w:w="2967" w:type="dxa"/>
          </w:tcPr>
          <w:p w:rsidR="006A3F36" w:rsidRDefault="006A3F36" w:rsidP="006A3F36">
            <w:pPr>
              <w:pStyle w:val="TableText"/>
            </w:pPr>
            <w:r>
              <w:t>Real time analysis, reporting and management</w:t>
            </w:r>
          </w:p>
        </w:tc>
        <w:tc>
          <w:tcPr>
            <w:tcW w:w="2754" w:type="dxa"/>
          </w:tcPr>
          <w:p w:rsidR="006A3F36" w:rsidRDefault="006A3F36" w:rsidP="006A3F36">
            <w:pPr>
              <w:pStyle w:val="TableText"/>
            </w:pPr>
            <w:r w:rsidRPr="002F11B6">
              <w:rPr>
                <w:b/>
              </w:rPr>
              <w:t>Strength</w:t>
            </w:r>
            <w:r>
              <w:t xml:space="preserve"> – up to date data is available, system capable of running reports and data is easily stored</w:t>
            </w:r>
          </w:p>
        </w:tc>
        <w:tc>
          <w:tcPr>
            <w:tcW w:w="2754" w:type="dxa"/>
          </w:tcPr>
          <w:p w:rsidR="006A3F36" w:rsidRPr="002F11B6" w:rsidRDefault="006A3F36" w:rsidP="006A3F36">
            <w:pPr>
              <w:pStyle w:val="TableText"/>
              <w:rPr>
                <w:b/>
              </w:rPr>
            </w:pPr>
            <w:r w:rsidRPr="002F11B6">
              <w:rPr>
                <w:b/>
              </w:rPr>
              <w:t>Strength</w:t>
            </w:r>
            <w:r>
              <w:t xml:space="preserve"> – up to date data is available, system capable of running reports and data is easily stored</w:t>
            </w:r>
          </w:p>
        </w:tc>
      </w:tr>
      <w:tr w:rsidR="006A3F36" w:rsidTr="007C698A">
        <w:tc>
          <w:tcPr>
            <w:tcW w:w="2967" w:type="dxa"/>
          </w:tcPr>
          <w:p w:rsidR="006A3F36" w:rsidRDefault="006A3F36" w:rsidP="006A3F36">
            <w:pPr>
              <w:pStyle w:val="TableText"/>
            </w:pPr>
            <w:r>
              <w:t>Coverage of controlled wastes</w:t>
            </w:r>
          </w:p>
        </w:tc>
        <w:tc>
          <w:tcPr>
            <w:tcW w:w="2754" w:type="dxa"/>
          </w:tcPr>
          <w:p w:rsidR="006A3F36" w:rsidRDefault="006A3F36" w:rsidP="006A3F36">
            <w:pPr>
              <w:pStyle w:val="TableText"/>
            </w:pPr>
            <w:r>
              <w:rPr>
                <w:b/>
              </w:rPr>
              <w:t>Weakness</w:t>
            </w:r>
            <w:r>
              <w:t xml:space="preserve"> – small loads aren’t captured and asbestos is not tracked intrastate</w:t>
            </w:r>
          </w:p>
        </w:tc>
        <w:tc>
          <w:tcPr>
            <w:tcW w:w="2754" w:type="dxa"/>
          </w:tcPr>
          <w:p w:rsidR="006A3F36" w:rsidRDefault="006A3F36" w:rsidP="006A3F36">
            <w:pPr>
              <w:pStyle w:val="TableText"/>
              <w:rPr>
                <w:b/>
              </w:rPr>
            </w:pPr>
            <w:r>
              <w:rPr>
                <w:b/>
              </w:rPr>
              <w:t xml:space="preserve">Strength – </w:t>
            </w:r>
            <w:r>
              <w:t>NEPM 75 are tracked interstate</w:t>
            </w:r>
          </w:p>
        </w:tc>
      </w:tr>
      <w:tr w:rsidR="006A3F36" w:rsidTr="007C698A">
        <w:tc>
          <w:tcPr>
            <w:tcW w:w="2967" w:type="dxa"/>
          </w:tcPr>
          <w:p w:rsidR="006A3F36" w:rsidRDefault="006A3F36" w:rsidP="006A3F36">
            <w:pPr>
              <w:pStyle w:val="TableText"/>
            </w:pPr>
            <w:r>
              <w:t>Alignment of coding and descriptions</w:t>
            </w:r>
          </w:p>
        </w:tc>
        <w:tc>
          <w:tcPr>
            <w:tcW w:w="2754" w:type="dxa"/>
          </w:tcPr>
          <w:p w:rsidR="006A3F36" w:rsidRDefault="006A3F36" w:rsidP="006A3F36">
            <w:pPr>
              <w:pStyle w:val="TableText"/>
            </w:pPr>
            <w:r>
              <w:rPr>
                <w:b/>
              </w:rPr>
              <w:t>Strength</w:t>
            </w:r>
            <w:r>
              <w:t xml:space="preserve"> – descriptions and codes generally align with the NEPM – some additional sub-codes have been added to address some areas of confusion</w:t>
            </w:r>
          </w:p>
        </w:tc>
        <w:tc>
          <w:tcPr>
            <w:tcW w:w="2754" w:type="dxa"/>
          </w:tcPr>
          <w:p w:rsidR="006A3F36" w:rsidRDefault="006A3F36" w:rsidP="006A3F36">
            <w:pPr>
              <w:pStyle w:val="TableText"/>
              <w:rPr>
                <w:b/>
              </w:rPr>
            </w:pPr>
            <w:r>
              <w:rPr>
                <w:b/>
              </w:rPr>
              <w:t xml:space="preserve">Strength – </w:t>
            </w:r>
            <w:r>
              <w:t>codes and descriptions align well with NEPM</w:t>
            </w:r>
          </w:p>
        </w:tc>
      </w:tr>
      <w:tr w:rsidR="006A3F36" w:rsidTr="007C698A">
        <w:tc>
          <w:tcPr>
            <w:tcW w:w="2967" w:type="dxa"/>
          </w:tcPr>
          <w:p w:rsidR="006A3F36" w:rsidRDefault="006A3F36" w:rsidP="006A3F36">
            <w:pPr>
              <w:pStyle w:val="TableText"/>
            </w:pPr>
            <w:r>
              <w:t>Ease of updating system</w:t>
            </w:r>
          </w:p>
        </w:tc>
        <w:tc>
          <w:tcPr>
            <w:tcW w:w="2754" w:type="dxa"/>
          </w:tcPr>
          <w:p w:rsidR="006A3F36" w:rsidRDefault="006A3F36" w:rsidP="006A3F36">
            <w:pPr>
              <w:pStyle w:val="TableText"/>
            </w:pPr>
            <w:r>
              <w:rPr>
                <w:b/>
              </w:rPr>
              <w:t>Weakness</w:t>
            </w:r>
            <w:r>
              <w:t xml:space="preserve"> – would require a third party to undertake the programming and is an expensive exercise</w:t>
            </w:r>
          </w:p>
        </w:tc>
        <w:tc>
          <w:tcPr>
            <w:tcW w:w="2754" w:type="dxa"/>
          </w:tcPr>
          <w:p w:rsidR="006A3F36" w:rsidRDefault="006A3F36" w:rsidP="006A3F36">
            <w:pPr>
              <w:pStyle w:val="TableText"/>
              <w:rPr>
                <w:b/>
              </w:rPr>
            </w:pPr>
            <w:r>
              <w:rPr>
                <w:b/>
              </w:rPr>
              <w:t>Weakness</w:t>
            </w:r>
            <w:r>
              <w:t xml:space="preserve"> – would require a third party to undertake the programming and is an expensive exercise</w:t>
            </w:r>
          </w:p>
        </w:tc>
      </w:tr>
      <w:tr w:rsidR="006A3F36" w:rsidTr="007C698A">
        <w:tc>
          <w:tcPr>
            <w:tcW w:w="2967" w:type="dxa"/>
          </w:tcPr>
          <w:p w:rsidR="006A3F36" w:rsidRDefault="006A3F36" w:rsidP="006A3F36">
            <w:pPr>
              <w:pStyle w:val="TableText"/>
            </w:pPr>
            <w:r>
              <w:t>Data quality and accuracy</w:t>
            </w:r>
          </w:p>
        </w:tc>
        <w:tc>
          <w:tcPr>
            <w:tcW w:w="2754" w:type="dxa"/>
          </w:tcPr>
          <w:p w:rsidR="006A3F36" w:rsidRDefault="006A3F36" w:rsidP="006A3F36">
            <w:pPr>
              <w:pStyle w:val="TableText"/>
            </w:pPr>
            <w:r w:rsidRPr="000751D7">
              <w:rPr>
                <w:b/>
              </w:rPr>
              <w:t>Strength</w:t>
            </w:r>
            <w:r>
              <w:t xml:space="preserve"> – the data captured via the online system is of good quality with reasonable accuracy </w:t>
            </w:r>
          </w:p>
        </w:tc>
        <w:tc>
          <w:tcPr>
            <w:tcW w:w="2754" w:type="dxa"/>
          </w:tcPr>
          <w:p w:rsidR="006A3F36" w:rsidRPr="000751D7" w:rsidRDefault="006A3F36" w:rsidP="006A3F36">
            <w:pPr>
              <w:pStyle w:val="TableText"/>
              <w:rPr>
                <w:b/>
              </w:rPr>
            </w:pPr>
            <w:r w:rsidRPr="000751D7">
              <w:rPr>
                <w:b/>
              </w:rPr>
              <w:t>Strength</w:t>
            </w:r>
            <w:r>
              <w:t xml:space="preserve"> – the data captured via the online system is of good quality with reasonable accuracy </w:t>
            </w:r>
          </w:p>
        </w:tc>
      </w:tr>
      <w:tr w:rsidR="006A3F36" w:rsidTr="007C698A">
        <w:tc>
          <w:tcPr>
            <w:tcW w:w="2967" w:type="dxa"/>
          </w:tcPr>
          <w:p w:rsidR="006A3F36" w:rsidRDefault="006A3F36" w:rsidP="006A3F36">
            <w:pPr>
              <w:pStyle w:val="TableText"/>
            </w:pPr>
            <w:r>
              <w:t>Prior informed consent</w:t>
            </w:r>
          </w:p>
        </w:tc>
        <w:tc>
          <w:tcPr>
            <w:tcW w:w="2754" w:type="dxa"/>
          </w:tcPr>
          <w:p w:rsidR="006A3F36" w:rsidRPr="000751D7" w:rsidRDefault="003B4A11" w:rsidP="00803613">
            <w:pPr>
              <w:pStyle w:val="TableText"/>
              <w:rPr>
                <w:b/>
              </w:rPr>
            </w:pPr>
            <w:r>
              <w:rPr>
                <w:b/>
                <w:bCs/>
              </w:rPr>
              <w:t xml:space="preserve">Weakness – </w:t>
            </w:r>
            <w:r w:rsidR="00803613">
              <w:rPr>
                <w:bCs/>
              </w:rPr>
              <w:t>CAs</w:t>
            </w:r>
            <w:r>
              <w:rPr>
                <w:bCs/>
              </w:rPr>
              <w:t xml:space="preserve"> are only required when waste is transported interstate</w:t>
            </w:r>
          </w:p>
        </w:tc>
        <w:tc>
          <w:tcPr>
            <w:tcW w:w="2754" w:type="dxa"/>
          </w:tcPr>
          <w:p w:rsidR="006A3F36" w:rsidRPr="000751D7" w:rsidRDefault="00A61104" w:rsidP="003B4A11">
            <w:pPr>
              <w:pStyle w:val="TableText"/>
              <w:rPr>
                <w:b/>
              </w:rPr>
            </w:pPr>
            <w:r>
              <w:rPr>
                <w:b/>
              </w:rPr>
              <w:t xml:space="preserve">Weakness </w:t>
            </w:r>
            <w:r w:rsidR="00803613">
              <w:rPr>
                <w:b/>
              </w:rPr>
              <w:t>–</w:t>
            </w:r>
            <w:r>
              <w:rPr>
                <w:b/>
              </w:rPr>
              <w:t xml:space="preserve"> </w:t>
            </w:r>
            <w:r>
              <w:t xml:space="preserve"> For </w:t>
            </w:r>
            <w:r w:rsidR="003B4A11">
              <w:t>listed</w:t>
            </w:r>
            <w:r>
              <w:t xml:space="preserve"> waste slated to </w:t>
            </w:r>
            <w:r w:rsidRPr="00EB7E71">
              <w:rPr>
                <w:i/>
              </w:rPr>
              <w:t>leave</w:t>
            </w:r>
            <w:r>
              <w:t xml:space="preserve"> SA the EPA has no knowledge of this until the WTC paperwork is received</w:t>
            </w:r>
          </w:p>
        </w:tc>
      </w:tr>
    </w:tbl>
    <w:p w:rsidR="008A2DFF" w:rsidRDefault="008A2DFF" w:rsidP="008A2DFF">
      <w:pPr>
        <w:pStyle w:val="Heading2"/>
      </w:pPr>
      <w:bookmarkStart w:id="50" w:name="_Toc421181735"/>
      <w:r>
        <w:t>Tasmania</w:t>
      </w:r>
      <w:bookmarkEnd w:id="50"/>
    </w:p>
    <w:p w:rsidR="00F33FAB" w:rsidRDefault="008A2DFF" w:rsidP="00F33FAB">
      <w:pPr>
        <w:pStyle w:val="ParaIndent"/>
      </w:pPr>
      <w:r w:rsidRPr="009F1B37">
        <w:t>Controlled waste</w:t>
      </w:r>
      <w:r>
        <w:t xml:space="preserve"> tracking</w:t>
      </w:r>
      <w:r w:rsidRPr="009F1B37">
        <w:t xml:space="preserve"> in </w:t>
      </w:r>
      <w:r>
        <w:t>Tasmania</w:t>
      </w:r>
      <w:r w:rsidRPr="009F1B37">
        <w:t xml:space="preserve"> is legislated under the </w:t>
      </w:r>
      <w:r>
        <w:t>Environmental Management and Pollution Control</w:t>
      </w:r>
      <w:r w:rsidRPr="009F1B37">
        <w:t xml:space="preserve"> (</w:t>
      </w:r>
      <w:r>
        <w:t>Controlled Waste Tracking</w:t>
      </w:r>
      <w:r w:rsidRPr="009F1B37">
        <w:t>) Regulations 201</w:t>
      </w:r>
      <w:r>
        <w:t>0</w:t>
      </w:r>
      <w:r w:rsidRPr="009F1B37">
        <w:t xml:space="preserve">. </w:t>
      </w:r>
      <w:r>
        <w:t>The regulations</w:t>
      </w:r>
      <w:r w:rsidR="0072063F">
        <w:t xml:space="preserve"> for controlled waste tracking,</w:t>
      </w:r>
      <w:r w:rsidR="0072063F" w:rsidRPr="0072063F">
        <w:t xml:space="preserve"> </w:t>
      </w:r>
      <w:r w:rsidR="0072063F">
        <w:t>administered by the Department of Primary Industries, Parks, Water and Environment (EPA division), were first proposed in 2000 and came into effect i</w:t>
      </w:r>
      <w:r>
        <w:t>n February 2010</w:t>
      </w:r>
      <w:r w:rsidR="00F33FAB">
        <w:t xml:space="preserve">, with the intention of developing a waste tracking portal. </w:t>
      </w:r>
    </w:p>
    <w:p w:rsidR="00F33FAB" w:rsidRDefault="0072063F" w:rsidP="00F33FAB">
      <w:pPr>
        <w:pStyle w:val="ParaIndent"/>
      </w:pPr>
      <w:r>
        <w:t xml:space="preserve">However, </w:t>
      </w:r>
      <w:r w:rsidR="00D1725C">
        <w:t>an exemption was immediately put in place</w:t>
      </w:r>
      <w:r>
        <w:t xml:space="preserve"> to defer introduction of the scheme </w:t>
      </w:r>
      <w:r w:rsidR="00F33FAB">
        <w:t>due to issues repurposing an old system and the pressure caused by the global financial crisis.</w:t>
      </w:r>
      <w:r w:rsidR="00F33FAB" w:rsidRPr="00F33FAB">
        <w:t xml:space="preserve"> </w:t>
      </w:r>
      <w:r w:rsidR="00F33FAB">
        <w:t xml:space="preserve">While organisations/individuals must be licensed as a controlled waste transporter or handler, the tracking exemption </w:t>
      </w:r>
      <w:r>
        <w:t>remains</w:t>
      </w:r>
      <w:r w:rsidR="00F33FAB">
        <w:t xml:space="preserve"> in place.</w:t>
      </w:r>
    </w:p>
    <w:p w:rsidR="002F65B7" w:rsidRDefault="00521C2B" w:rsidP="00F33FAB">
      <w:pPr>
        <w:pStyle w:val="ParaIndent"/>
      </w:pPr>
      <w:r>
        <w:t>Tasmania utilises the standard paper based system for the interstate</w:t>
      </w:r>
      <w:r w:rsidR="00A11E84">
        <w:t xml:space="preserve"> </w:t>
      </w:r>
      <w:r>
        <w:t>movement</w:t>
      </w:r>
      <w:r w:rsidR="00CD6D4F">
        <w:t>s</w:t>
      </w:r>
      <w:r w:rsidR="00F33FAB">
        <w:t xml:space="preserve"> of controlled waste. Data is </w:t>
      </w:r>
      <w:r w:rsidR="00B16C94">
        <w:t>manually entered into a spreadsheet</w:t>
      </w:r>
      <w:r w:rsidR="00F33FAB">
        <w:t>,</w:t>
      </w:r>
      <w:r w:rsidR="00B16C94">
        <w:t xml:space="preserve"> where it is stored and backed up within the EPA’s IT system. This data is not used to predict market trends or for major analytical studies </w:t>
      </w:r>
      <w:r w:rsidR="00B16C94">
        <w:lastRenderedPageBreak/>
        <w:t xml:space="preserve">but more from a compliance perspective. The data collected is aggregated and input into </w:t>
      </w:r>
      <w:r w:rsidR="00F33FAB">
        <w:t>the</w:t>
      </w:r>
      <w:r w:rsidR="00B16C94">
        <w:t xml:space="preserve"> Basel reporting spreadsheet provided by the DoE.</w:t>
      </w:r>
    </w:p>
    <w:p w:rsidR="002F65B7" w:rsidRDefault="000B1553" w:rsidP="002F65B7">
      <w:pPr>
        <w:pStyle w:val="ParaIndent"/>
      </w:pPr>
      <w:r>
        <w:t>From a reporting perspective Tasmania’s waste codes are aligned to those under the NEPM</w:t>
      </w:r>
      <w:r w:rsidR="00F33FAB">
        <w:t>,</w:t>
      </w:r>
      <w:r>
        <w:t xml:space="preserve"> with some additional lines for items such as tyres under the Waste Management Regulations. </w:t>
      </w:r>
    </w:p>
    <w:p w:rsidR="008A2DFF" w:rsidRDefault="008A2DFF" w:rsidP="008A2DFF">
      <w:pPr>
        <w:pStyle w:val="Heading3"/>
      </w:pPr>
      <w:r>
        <w:t>Strengths and Weaknesses</w:t>
      </w:r>
    </w:p>
    <w:p w:rsidR="008040F9" w:rsidRPr="008040F9" w:rsidRDefault="008040F9" w:rsidP="008040F9">
      <w:pPr>
        <w:pStyle w:val="Caption"/>
        <w:ind w:left="1134"/>
      </w:pPr>
      <w:bookmarkStart w:id="51" w:name="_Toc421181773"/>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12</w:t>
      </w:r>
      <w:r w:rsidR="00350C10">
        <w:fldChar w:fldCharType="end"/>
      </w:r>
      <w:r w:rsidRPr="006226B1">
        <w:tab/>
      </w:r>
      <w:r>
        <w:t>Tasmania controlled waste tracking system strengths and weaknesses</w:t>
      </w:r>
      <w:bookmarkEnd w:id="51"/>
    </w:p>
    <w:tbl>
      <w:tblPr>
        <w:tblStyle w:val="HyderTableStyle"/>
        <w:tblW w:w="0" w:type="auto"/>
        <w:tblInd w:w="1134" w:type="dxa"/>
        <w:tblLook w:val="04A0"/>
      </w:tblPr>
      <w:tblGrid>
        <w:gridCol w:w="2964"/>
        <w:gridCol w:w="2755"/>
        <w:gridCol w:w="2756"/>
      </w:tblGrid>
      <w:tr w:rsidR="007C698A" w:rsidTr="007C698A">
        <w:trPr>
          <w:cnfStyle w:val="100000000000"/>
        </w:trPr>
        <w:tc>
          <w:tcPr>
            <w:tcW w:w="2964" w:type="dxa"/>
            <w:tcBorders>
              <w:bottom w:val="single" w:sz="12" w:space="0" w:color="FFFFFF" w:themeColor="background1"/>
            </w:tcBorders>
          </w:tcPr>
          <w:p w:rsidR="007C698A" w:rsidRDefault="007C698A" w:rsidP="00B34F9A">
            <w:pPr>
              <w:pStyle w:val="TableHeadingWhite"/>
            </w:pPr>
            <w:r>
              <w:t>Criteria</w:t>
            </w:r>
          </w:p>
        </w:tc>
        <w:tc>
          <w:tcPr>
            <w:tcW w:w="2755" w:type="dxa"/>
            <w:tcBorders>
              <w:bottom w:val="single" w:sz="12" w:space="0" w:color="FFFFFF" w:themeColor="background1"/>
            </w:tcBorders>
          </w:tcPr>
          <w:p w:rsidR="007C698A" w:rsidRDefault="007C698A" w:rsidP="00B34F9A">
            <w:pPr>
              <w:pStyle w:val="TableHeadingWhite"/>
            </w:pPr>
            <w:r>
              <w:t>Intrastate tracking</w:t>
            </w:r>
          </w:p>
        </w:tc>
        <w:tc>
          <w:tcPr>
            <w:tcW w:w="2756" w:type="dxa"/>
            <w:tcBorders>
              <w:bottom w:val="single" w:sz="12" w:space="0" w:color="FFFFFF" w:themeColor="background1"/>
            </w:tcBorders>
          </w:tcPr>
          <w:p w:rsidR="007C698A" w:rsidRDefault="007C698A" w:rsidP="00B34F9A">
            <w:pPr>
              <w:pStyle w:val="TableHeadingWhite"/>
            </w:pPr>
            <w:r>
              <w:t>Interstate tracking</w:t>
            </w:r>
          </w:p>
        </w:tc>
      </w:tr>
      <w:tr w:rsidR="006A3F36" w:rsidTr="007C698A">
        <w:tc>
          <w:tcPr>
            <w:tcW w:w="2964" w:type="dxa"/>
          </w:tcPr>
          <w:p w:rsidR="006A3F36" w:rsidRDefault="006A3F36" w:rsidP="006A3F36">
            <w:pPr>
              <w:pStyle w:val="TableText"/>
            </w:pPr>
            <w:r>
              <w:t>Interstate and intrastate compatibility</w:t>
            </w:r>
          </w:p>
        </w:tc>
        <w:tc>
          <w:tcPr>
            <w:tcW w:w="2755" w:type="dxa"/>
          </w:tcPr>
          <w:p w:rsidR="006A3F36" w:rsidRDefault="006A3F36" w:rsidP="006A3F36">
            <w:pPr>
              <w:pStyle w:val="TableText"/>
            </w:pPr>
            <w:r>
              <w:rPr>
                <w:b/>
              </w:rPr>
              <w:t>Weakness</w:t>
            </w:r>
            <w:r>
              <w:t xml:space="preserve"> – currently only an interstate system</w:t>
            </w:r>
          </w:p>
        </w:tc>
        <w:tc>
          <w:tcPr>
            <w:tcW w:w="2756" w:type="dxa"/>
          </w:tcPr>
          <w:p w:rsidR="006A3F36" w:rsidRDefault="006A3F36" w:rsidP="006A3F36">
            <w:pPr>
              <w:pStyle w:val="TableText"/>
              <w:rPr>
                <w:b/>
              </w:rPr>
            </w:pPr>
            <w:r>
              <w:rPr>
                <w:b/>
              </w:rPr>
              <w:t>Weakness</w:t>
            </w:r>
            <w:r>
              <w:t xml:space="preserve"> – currently only an interstate system</w:t>
            </w:r>
          </w:p>
        </w:tc>
      </w:tr>
      <w:tr w:rsidR="006A3F36" w:rsidTr="007C698A">
        <w:tc>
          <w:tcPr>
            <w:tcW w:w="2964" w:type="dxa"/>
          </w:tcPr>
          <w:p w:rsidR="006A3F36" w:rsidRDefault="006A3F36" w:rsidP="006A3F36">
            <w:pPr>
              <w:pStyle w:val="TableText"/>
            </w:pPr>
            <w:r>
              <w:t>Real time analysis, reporting and management</w:t>
            </w:r>
          </w:p>
        </w:tc>
        <w:tc>
          <w:tcPr>
            <w:tcW w:w="2755" w:type="dxa"/>
          </w:tcPr>
          <w:p w:rsidR="006A3F36" w:rsidRDefault="006A3F36" w:rsidP="006A3F36">
            <w:pPr>
              <w:pStyle w:val="TableText"/>
            </w:pPr>
            <w:r>
              <w:rPr>
                <w:b/>
              </w:rPr>
              <w:t>Weakness</w:t>
            </w:r>
            <w:r>
              <w:t xml:space="preserve"> – up to date information is generally not available until it is entered into the spreadsheet</w:t>
            </w:r>
          </w:p>
        </w:tc>
        <w:tc>
          <w:tcPr>
            <w:tcW w:w="2756" w:type="dxa"/>
          </w:tcPr>
          <w:p w:rsidR="006A3F36" w:rsidRDefault="006A3F36" w:rsidP="006A3F36">
            <w:pPr>
              <w:pStyle w:val="TableText"/>
              <w:rPr>
                <w:b/>
              </w:rPr>
            </w:pPr>
            <w:r>
              <w:rPr>
                <w:b/>
              </w:rPr>
              <w:t>Weakness</w:t>
            </w:r>
            <w:r>
              <w:t xml:space="preserve"> – up to date information is generally not available until it is entered into the spreadsheet</w:t>
            </w:r>
          </w:p>
        </w:tc>
      </w:tr>
      <w:tr w:rsidR="006A3F36" w:rsidTr="007C698A">
        <w:tc>
          <w:tcPr>
            <w:tcW w:w="2964" w:type="dxa"/>
          </w:tcPr>
          <w:p w:rsidR="006A3F36" w:rsidRDefault="006A3F36" w:rsidP="006A3F36">
            <w:pPr>
              <w:pStyle w:val="TableText"/>
            </w:pPr>
            <w:r>
              <w:t>Coverage of controlled wastes</w:t>
            </w:r>
          </w:p>
        </w:tc>
        <w:tc>
          <w:tcPr>
            <w:tcW w:w="2755" w:type="dxa"/>
          </w:tcPr>
          <w:p w:rsidR="006A3F36" w:rsidRDefault="006A3F36" w:rsidP="006A3F36">
            <w:pPr>
              <w:pStyle w:val="TableText"/>
            </w:pPr>
            <w:r>
              <w:rPr>
                <w:b/>
              </w:rPr>
              <w:t>Weakness</w:t>
            </w:r>
            <w:r>
              <w:t xml:space="preserve"> – exemption on controlled waste tracking for intrastate movements means coverage is poor</w:t>
            </w:r>
          </w:p>
        </w:tc>
        <w:tc>
          <w:tcPr>
            <w:tcW w:w="2756" w:type="dxa"/>
          </w:tcPr>
          <w:p w:rsidR="006A3F36" w:rsidRDefault="006A3F36" w:rsidP="006A3F36">
            <w:pPr>
              <w:pStyle w:val="TableText"/>
              <w:rPr>
                <w:b/>
              </w:rPr>
            </w:pPr>
            <w:r>
              <w:rPr>
                <w:b/>
              </w:rPr>
              <w:t xml:space="preserve">Strength – </w:t>
            </w:r>
            <w:r>
              <w:t>NEPM 75 are tracked interstate</w:t>
            </w:r>
          </w:p>
        </w:tc>
      </w:tr>
      <w:tr w:rsidR="006A3F36" w:rsidTr="007C698A">
        <w:tc>
          <w:tcPr>
            <w:tcW w:w="2964" w:type="dxa"/>
          </w:tcPr>
          <w:p w:rsidR="006A3F36" w:rsidRDefault="006A3F36" w:rsidP="006A3F36">
            <w:pPr>
              <w:pStyle w:val="TableText"/>
            </w:pPr>
            <w:r>
              <w:t>Alignment of coding and descriptions</w:t>
            </w:r>
          </w:p>
        </w:tc>
        <w:tc>
          <w:tcPr>
            <w:tcW w:w="2755" w:type="dxa"/>
          </w:tcPr>
          <w:p w:rsidR="006A3F36" w:rsidRDefault="006A3F36" w:rsidP="006A3F36">
            <w:pPr>
              <w:pStyle w:val="TableText"/>
            </w:pPr>
            <w:r>
              <w:rPr>
                <w:b/>
              </w:rPr>
              <w:t>Strength</w:t>
            </w:r>
            <w:r>
              <w:t xml:space="preserve"> – descriptions and codes generally align with the NEPM, though additional sub-codes have been added to address some areas of confusion</w:t>
            </w:r>
          </w:p>
        </w:tc>
        <w:tc>
          <w:tcPr>
            <w:tcW w:w="2756" w:type="dxa"/>
          </w:tcPr>
          <w:p w:rsidR="006A3F36" w:rsidRDefault="006A3F36" w:rsidP="006A3F36">
            <w:pPr>
              <w:pStyle w:val="TableText"/>
              <w:rPr>
                <w:b/>
              </w:rPr>
            </w:pPr>
            <w:r>
              <w:rPr>
                <w:b/>
              </w:rPr>
              <w:t xml:space="preserve">Strength – </w:t>
            </w:r>
            <w:r>
              <w:t>codes and descriptions align well with NEPM</w:t>
            </w:r>
          </w:p>
        </w:tc>
      </w:tr>
      <w:tr w:rsidR="006A3F36" w:rsidTr="007C698A">
        <w:tc>
          <w:tcPr>
            <w:tcW w:w="2964" w:type="dxa"/>
          </w:tcPr>
          <w:p w:rsidR="006A3F36" w:rsidRDefault="006A3F36" w:rsidP="006A3F36">
            <w:pPr>
              <w:pStyle w:val="TableText"/>
            </w:pPr>
            <w:r>
              <w:t>Ease of updating system</w:t>
            </w:r>
          </w:p>
        </w:tc>
        <w:tc>
          <w:tcPr>
            <w:tcW w:w="2755" w:type="dxa"/>
          </w:tcPr>
          <w:p w:rsidR="006A3F36" w:rsidRDefault="006A3F36" w:rsidP="006A3F36">
            <w:pPr>
              <w:pStyle w:val="TableText"/>
            </w:pPr>
            <w:r>
              <w:rPr>
                <w:b/>
              </w:rPr>
              <w:t>Weakness</w:t>
            </w:r>
            <w:r>
              <w:t xml:space="preserve"> – considerable effort would be required, from a time and money perspective, to develop and implement an intrastate tracking system</w:t>
            </w:r>
          </w:p>
        </w:tc>
        <w:tc>
          <w:tcPr>
            <w:tcW w:w="2756" w:type="dxa"/>
          </w:tcPr>
          <w:p w:rsidR="006A3F36" w:rsidRDefault="006A3F36" w:rsidP="005E5943">
            <w:pPr>
              <w:pStyle w:val="TableText"/>
              <w:rPr>
                <w:b/>
              </w:rPr>
            </w:pPr>
            <w:r>
              <w:rPr>
                <w:b/>
              </w:rPr>
              <w:t>Strength</w:t>
            </w:r>
            <w:r>
              <w:t xml:space="preserve"> – currently </w:t>
            </w:r>
            <w:r w:rsidR="003A0E90">
              <w:t xml:space="preserve">uses a </w:t>
            </w:r>
            <w:r>
              <w:t>spreadsheet</w:t>
            </w:r>
            <w:r w:rsidR="003A0E90">
              <w:t xml:space="preserve">, which </w:t>
            </w:r>
            <w:r>
              <w:t>is relatively straightforward</w:t>
            </w:r>
            <w:r w:rsidR="005E5943">
              <w:t xml:space="preserve"> to update</w:t>
            </w:r>
            <w:r>
              <w:t xml:space="preserve">, </w:t>
            </w:r>
            <w:r w:rsidR="005E5943">
              <w:t xml:space="preserve">but </w:t>
            </w:r>
            <w:r>
              <w:t xml:space="preserve">would be difficult to implement </w:t>
            </w:r>
            <w:r w:rsidR="005E5943">
              <w:t xml:space="preserve">a national online system </w:t>
            </w:r>
            <w:r>
              <w:t>given budget constraints</w:t>
            </w:r>
          </w:p>
        </w:tc>
      </w:tr>
      <w:tr w:rsidR="006A3F36" w:rsidTr="007C698A">
        <w:tc>
          <w:tcPr>
            <w:tcW w:w="2964" w:type="dxa"/>
          </w:tcPr>
          <w:p w:rsidR="006A3F36" w:rsidRDefault="006A3F36" w:rsidP="006A3F36">
            <w:pPr>
              <w:pStyle w:val="TableText"/>
            </w:pPr>
            <w:r>
              <w:t>Data quality and accuracy</w:t>
            </w:r>
          </w:p>
        </w:tc>
        <w:tc>
          <w:tcPr>
            <w:tcW w:w="2755" w:type="dxa"/>
          </w:tcPr>
          <w:p w:rsidR="006A3F36" w:rsidRDefault="006A3F36" w:rsidP="006A3F36">
            <w:pPr>
              <w:pStyle w:val="TableText"/>
            </w:pPr>
            <w:r>
              <w:rPr>
                <w:b/>
              </w:rPr>
              <w:t>Weakness</w:t>
            </w:r>
            <w:r>
              <w:t xml:space="preserve"> – the data acquired through interstate movements is reasonable however no data is currently captured internally </w:t>
            </w:r>
          </w:p>
        </w:tc>
        <w:tc>
          <w:tcPr>
            <w:tcW w:w="2756" w:type="dxa"/>
          </w:tcPr>
          <w:p w:rsidR="006A3F36" w:rsidRDefault="006A3F36" w:rsidP="006A3F36">
            <w:pPr>
              <w:pStyle w:val="TableText"/>
              <w:rPr>
                <w:b/>
              </w:rPr>
            </w:pPr>
            <w:r>
              <w:rPr>
                <w:b/>
              </w:rPr>
              <w:t>Strength</w:t>
            </w:r>
            <w:r>
              <w:t xml:space="preserve"> – the data acquired through interstate movements is reasonable and the relatively small tonnages make this task simpler compared to larger jurisdictions using a paper based system</w:t>
            </w:r>
          </w:p>
        </w:tc>
      </w:tr>
      <w:tr w:rsidR="006A3F36" w:rsidTr="007C698A">
        <w:tc>
          <w:tcPr>
            <w:tcW w:w="2964" w:type="dxa"/>
          </w:tcPr>
          <w:p w:rsidR="006A3F36" w:rsidRDefault="006A3F36" w:rsidP="006A3F36">
            <w:pPr>
              <w:pStyle w:val="TableText"/>
            </w:pPr>
            <w:r>
              <w:t>Prior informed consent</w:t>
            </w:r>
          </w:p>
        </w:tc>
        <w:tc>
          <w:tcPr>
            <w:tcW w:w="2755" w:type="dxa"/>
          </w:tcPr>
          <w:p w:rsidR="006A3F36" w:rsidRDefault="006A3F36" w:rsidP="006A3F36">
            <w:pPr>
              <w:pStyle w:val="TableText"/>
              <w:rPr>
                <w:b/>
              </w:rPr>
            </w:pPr>
            <w:r w:rsidRPr="006A3F36">
              <w:rPr>
                <w:b/>
              </w:rPr>
              <w:t xml:space="preserve">Strength – </w:t>
            </w:r>
            <w:r w:rsidRPr="006A3F36">
              <w:t>while there is no formal intrastate tracking system</w:t>
            </w:r>
            <w:r w:rsidR="00803613">
              <w:t>,</w:t>
            </w:r>
            <w:r w:rsidRPr="006A3F36">
              <w:t xml:space="preserve"> operators are required </w:t>
            </w:r>
            <w:r>
              <w:t>to have been given</w:t>
            </w:r>
            <w:r w:rsidRPr="006A3F36">
              <w:t xml:space="preserve"> approval by the receiving facility before accepting controlled waste</w:t>
            </w:r>
          </w:p>
        </w:tc>
        <w:tc>
          <w:tcPr>
            <w:tcW w:w="2756" w:type="dxa"/>
          </w:tcPr>
          <w:p w:rsidR="006A3F36" w:rsidRDefault="006A3F36" w:rsidP="006A3F36">
            <w:pPr>
              <w:pStyle w:val="TableText"/>
              <w:rPr>
                <w:b/>
              </w:rPr>
            </w:pPr>
            <w:r>
              <w:rPr>
                <w:b/>
              </w:rPr>
              <w:t xml:space="preserve">Weakness – </w:t>
            </w:r>
            <w:r>
              <w:t>the Tas EPA provides consignment authorisations for incoming waste and requires the waste producer to complete a WTC for outgoing movements</w:t>
            </w:r>
            <w:r w:rsidR="00803613">
              <w:t>,</w:t>
            </w:r>
            <w:r>
              <w:t xml:space="preserve"> however formal approval to not required for outgoing movements</w:t>
            </w:r>
          </w:p>
        </w:tc>
      </w:tr>
    </w:tbl>
    <w:p w:rsidR="008A2DFF" w:rsidRDefault="008A2DFF" w:rsidP="008A2DFF">
      <w:pPr>
        <w:pStyle w:val="Heading2"/>
      </w:pPr>
      <w:bookmarkStart w:id="52" w:name="_Toc421181736"/>
      <w:r>
        <w:lastRenderedPageBreak/>
        <w:t>Northern Territory</w:t>
      </w:r>
      <w:bookmarkEnd w:id="52"/>
    </w:p>
    <w:p w:rsidR="008A2DFF" w:rsidRDefault="008A2DFF" w:rsidP="008A2DFF">
      <w:pPr>
        <w:pStyle w:val="ParaIndent"/>
      </w:pPr>
      <w:r>
        <w:t xml:space="preserve">The key legislative instruments in the Northern Territory relating to controlled waste tracking are the </w:t>
      </w:r>
      <w:r w:rsidRPr="00A46075">
        <w:rPr>
          <w:i/>
        </w:rPr>
        <w:t>Waste Management and Pollution Control Act</w:t>
      </w:r>
      <w:r>
        <w:t xml:space="preserve"> and the </w:t>
      </w:r>
      <w:r w:rsidRPr="00A46075">
        <w:rPr>
          <w:i/>
        </w:rPr>
        <w:t>Dangerous Goods (Road and Rail Transport) Act</w:t>
      </w:r>
      <w:r>
        <w:t>. The aims of these Acts are,</w:t>
      </w:r>
      <w:r w:rsidRPr="002E5CC4">
        <w:t xml:space="preserve"> </w:t>
      </w:r>
      <w:r>
        <w:t>respectively, to protect the environment in the Northern Territory and reduce the risks of personnel injury, death, property damage and environmental harm.</w:t>
      </w:r>
    </w:p>
    <w:p w:rsidR="008A2DFF" w:rsidRDefault="008A2DFF" w:rsidP="008A2DFF">
      <w:pPr>
        <w:pStyle w:val="ParaIndent"/>
      </w:pPr>
      <w:r>
        <w:t xml:space="preserve">The NT EPA administers the </w:t>
      </w:r>
      <w:r w:rsidR="00B95D9E">
        <w:t>WMPC</w:t>
      </w:r>
      <w:r>
        <w:t xml:space="preserve"> Act, which is currently under review. At this stage it is not known whether that will result in changes to the legislation </w:t>
      </w:r>
      <w:r w:rsidR="00B95D9E">
        <w:t>to introduce</w:t>
      </w:r>
      <w:r>
        <w:t xml:space="preserve"> controlled waste tracking.</w:t>
      </w:r>
    </w:p>
    <w:p w:rsidR="00A140CF" w:rsidRDefault="00A140CF" w:rsidP="008A2DFF">
      <w:pPr>
        <w:pStyle w:val="ParaIndent"/>
      </w:pPr>
      <w:r>
        <w:t xml:space="preserve">The Northern Territory does not have an intrastate controlled waste tracking system, with licensed operators providing annual reports to the EPA on volumes of controlled waste moved within the Territory. </w:t>
      </w:r>
      <w:r w:rsidR="00C67581">
        <w:t xml:space="preserve">This data is then used to calculate the breakdown of hazardous waste types for national reporting requirements. </w:t>
      </w:r>
      <w:r w:rsidR="0068105C">
        <w:t>The NT</w:t>
      </w:r>
      <w:r w:rsidR="00F84E9E">
        <w:t xml:space="preserve"> </w:t>
      </w:r>
      <w:r w:rsidR="0068105C">
        <w:t xml:space="preserve">EPA </w:t>
      </w:r>
      <w:proofErr w:type="gramStart"/>
      <w:r w:rsidR="0068105C">
        <w:t>note</w:t>
      </w:r>
      <w:proofErr w:type="gramEnd"/>
      <w:r w:rsidR="0068105C">
        <w:t xml:space="preserve"> that often the paper certificates are of poor quality as they can often be incomplete or illegible.</w:t>
      </w:r>
    </w:p>
    <w:p w:rsidR="00C67581" w:rsidRDefault="00C67581" w:rsidP="008A2DFF">
      <w:pPr>
        <w:pStyle w:val="ParaIndent"/>
      </w:pPr>
      <w:r>
        <w:t>The NT</w:t>
      </w:r>
      <w:r w:rsidR="00F84E9E">
        <w:t xml:space="preserve"> </w:t>
      </w:r>
      <w:r>
        <w:t xml:space="preserve">EPA has </w:t>
      </w:r>
      <w:r w:rsidR="00076904">
        <w:t xml:space="preserve">been provided with </w:t>
      </w:r>
      <w:r>
        <w:t xml:space="preserve">the NSW EPA’s system used </w:t>
      </w:r>
      <w:r w:rsidR="00F84E9E">
        <w:t>for tracking controlled waste. H</w:t>
      </w:r>
      <w:r>
        <w:t>owever</w:t>
      </w:r>
      <w:r w:rsidR="00F84E9E">
        <w:t>,</w:t>
      </w:r>
      <w:r>
        <w:t xml:space="preserve"> this has not been implemented yet and, like Tasmania, </w:t>
      </w:r>
      <w:r w:rsidR="00076904">
        <w:t xml:space="preserve">NT EPA </w:t>
      </w:r>
      <w:r w:rsidR="00F84E9E">
        <w:t xml:space="preserve">is </w:t>
      </w:r>
      <w:r w:rsidR="00076904">
        <w:t xml:space="preserve">monitoring </w:t>
      </w:r>
      <w:r w:rsidR="00F84E9E">
        <w:t>the success of the NSW</w:t>
      </w:r>
      <w:r w:rsidR="0068105C">
        <w:t xml:space="preserve"> system integration into the South Australian market. </w:t>
      </w:r>
    </w:p>
    <w:p w:rsidR="0068105C" w:rsidRDefault="0068105C" w:rsidP="008A2DFF">
      <w:pPr>
        <w:pStyle w:val="ParaIndent"/>
      </w:pPr>
      <w:r>
        <w:t xml:space="preserve">While there has been an admission that controlled waste tracking intrastate needs to be addressed the highly complex issues associated with it often push this to the bottom of the list. However the </w:t>
      </w:r>
      <w:r w:rsidR="00F84E9E">
        <w:t>WMPC</w:t>
      </w:r>
      <w:r>
        <w:t xml:space="preserve"> Act is being reviewed and a push around controlled waste may drive action on this issue.</w:t>
      </w:r>
    </w:p>
    <w:p w:rsidR="008A2DFF" w:rsidRDefault="008A2DFF" w:rsidP="008A2DFF">
      <w:pPr>
        <w:pStyle w:val="Heading3"/>
      </w:pPr>
      <w:r>
        <w:t>Strengths and Weaknesses</w:t>
      </w:r>
    </w:p>
    <w:p w:rsidR="008040F9" w:rsidRDefault="008040F9" w:rsidP="008040F9">
      <w:pPr>
        <w:pStyle w:val="Caption"/>
        <w:ind w:left="1134"/>
      </w:pPr>
      <w:bookmarkStart w:id="53" w:name="_Toc421181774"/>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2</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13</w:t>
      </w:r>
      <w:r w:rsidR="00350C10">
        <w:fldChar w:fldCharType="end"/>
      </w:r>
      <w:r w:rsidRPr="006226B1">
        <w:tab/>
      </w:r>
      <w:r>
        <w:t>Northern Territory controlled waste tracking system strengths and weaknesses</w:t>
      </w:r>
      <w:bookmarkEnd w:id="53"/>
    </w:p>
    <w:tbl>
      <w:tblPr>
        <w:tblStyle w:val="HyderTableStyle"/>
        <w:tblW w:w="0" w:type="auto"/>
        <w:tblInd w:w="1134" w:type="dxa"/>
        <w:tblLook w:val="04A0"/>
      </w:tblPr>
      <w:tblGrid>
        <w:gridCol w:w="2964"/>
        <w:gridCol w:w="2755"/>
        <w:gridCol w:w="2756"/>
      </w:tblGrid>
      <w:tr w:rsidR="007C698A" w:rsidTr="007C698A">
        <w:trPr>
          <w:cnfStyle w:val="100000000000"/>
        </w:trPr>
        <w:tc>
          <w:tcPr>
            <w:tcW w:w="2964" w:type="dxa"/>
            <w:tcBorders>
              <w:bottom w:val="single" w:sz="12" w:space="0" w:color="FFFFFF" w:themeColor="background1"/>
            </w:tcBorders>
          </w:tcPr>
          <w:p w:rsidR="007C698A" w:rsidRDefault="007C698A" w:rsidP="00B34F9A">
            <w:pPr>
              <w:pStyle w:val="TableHeadingWhite"/>
            </w:pPr>
            <w:r>
              <w:t>Criteria</w:t>
            </w:r>
          </w:p>
        </w:tc>
        <w:tc>
          <w:tcPr>
            <w:tcW w:w="2755" w:type="dxa"/>
            <w:tcBorders>
              <w:bottom w:val="single" w:sz="12" w:space="0" w:color="FFFFFF" w:themeColor="background1"/>
            </w:tcBorders>
          </w:tcPr>
          <w:p w:rsidR="007C698A" w:rsidRDefault="007C698A" w:rsidP="00B34F9A">
            <w:pPr>
              <w:pStyle w:val="TableHeadingWhite"/>
            </w:pPr>
            <w:r>
              <w:t>Intrastate tracking</w:t>
            </w:r>
          </w:p>
        </w:tc>
        <w:tc>
          <w:tcPr>
            <w:tcW w:w="2756" w:type="dxa"/>
            <w:tcBorders>
              <w:bottom w:val="single" w:sz="12" w:space="0" w:color="FFFFFF" w:themeColor="background1"/>
            </w:tcBorders>
          </w:tcPr>
          <w:p w:rsidR="007C698A" w:rsidRDefault="007C698A" w:rsidP="00B34F9A">
            <w:pPr>
              <w:pStyle w:val="TableHeadingWhite"/>
            </w:pPr>
            <w:r>
              <w:t>Interstate tracking</w:t>
            </w:r>
          </w:p>
        </w:tc>
      </w:tr>
      <w:tr w:rsidR="006A3F36" w:rsidTr="007C698A">
        <w:tc>
          <w:tcPr>
            <w:tcW w:w="2964" w:type="dxa"/>
          </w:tcPr>
          <w:p w:rsidR="006A3F36" w:rsidRDefault="006A3F36" w:rsidP="006A3F36">
            <w:pPr>
              <w:pStyle w:val="TableText"/>
            </w:pPr>
            <w:r>
              <w:t>Interstate and intrastate compatibility</w:t>
            </w:r>
          </w:p>
        </w:tc>
        <w:tc>
          <w:tcPr>
            <w:tcW w:w="2755" w:type="dxa"/>
          </w:tcPr>
          <w:p w:rsidR="006A3F36" w:rsidRDefault="006A3F36" w:rsidP="006A3F36">
            <w:pPr>
              <w:pStyle w:val="TableText"/>
            </w:pPr>
            <w:r>
              <w:rPr>
                <w:b/>
              </w:rPr>
              <w:t>Weakness</w:t>
            </w:r>
            <w:r>
              <w:t xml:space="preserve"> – currently only an interstate system</w:t>
            </w:r>
          </w:p>
        </w:tc>
        <w:tc>
          <w:tcPr>
            <w:tcW w:w="2756" w:type="dxa"/>
          </w:tcPr>
          <w:p w:rsidR="006A3F36" w:rsidRDefault="006A3F36" w:rsidP="006A3F36">
            <w:pPr>
              <w:pStyle w:val="TableText"/>
              <w:rPr>
                <w:b/>
              </w:rPr>
            </w:pPr>
            <w:r>
              <w:rPr>
                <w:b/>
              </w:rPr>
              <w:t>Weakness</w:t>
            </w:r>
            <w:r>
              <w:t xml:space="preserve"> – currently only an interstate system</w:t>
            </w:r>
          </w:p>
        </w:tc>
      </w:tr>
      <w:tr w:rsidR="006A3F36" w:rsidTr="007C698A">
        <w:tc>
          <w:tcPr>
            <w:tcW w:w="2964" w:type="dxa"/>
          </w:tcPr>
          <w:p w:rsidR="006A3F36" w:rsidRDefault="006A3F36" w:rsidP="006A3F36">
            <w:pPr>
              <w:pStyle w:val="TableText"/>
            </w:pPr>
            <w:r>
              <w:t>Real time analysis, reporting and management</w:t>
            </w:r>
          </w:p>
        </w:tc>
        <w:tc>
          <w:tcPr>
            <w:tcW w:w="2755" w:type="dxa"/>
          </w:tcPr>
          <w:p w:rsidR="006A3F36" w:rsidRDefault="006A3F36" w:rsidP="006A3F36">
            <w:pPr>
              <w:pStyle w:val="TableText"/>
            </w:pPr>
            <w:r>
              <w:rPr>
                <w:b/>
              </w:rPr>
              <w:t>Weakness</w:t>
            </w:r>
            <w:r>
              <w:t xml:space="preserve"> – up to date information is generally not available due to time taken to receive and manually enter data from the paper certificates</w:t>
            </w:r>
          </w:p>
        </w:tc>
        <w:tc>
          <w:tcPr>
            <w:tcW w:w="2756" w:type="dxa"/>
          </w:tcPr>
          <w:p w:rsidR="006A3F36" w:rsidRDefault="006A3F36" w:rsidP="006A3F36">
            <w:pPr>
              <w:pStyle w:val="TableText"/>
              <w:rPr>
                <w:b/>
              </w:rPr>
            </w:pPr>
            <w:r>
              <w:rPr>
                <w:b/>
              </w:rPr>
              <w:t>Weakness</w:t>
            </w:r>
            <w:r>
              <w:t xml:space="preserve"> – up to date information is generally not available due to time taken to receive and manually enter data from the paper certificates</w:t>
            </w:r>
          </w:p>
        </w:tc>
      </w:tr>
      <w:tr w:rsidR="006A3F36" w:rsidTr="007C698A">
        <w:tc>
          <w:tcPr>
            <w:tcW w:w="2964" w:type="dxa"/>
          </w:tcPr>
          <w:p w:rsidR="006A3F36" w:rsidRDefault="006A3F36" w:rsidP="006A3F36">
            <w:pPr>
              <w:pStyle w:val="TableText"/>
            </w:pPr>
            <w:r>
              <w:t>Coverage of controlled wastes</w:t>
            </w:r>
          </w:p>
        </w:tc>
        <w:tc>
          <w:tcPr>
            <w:tcW w:w="2755" w:type="dxa"/>
          </w:tcPr>
          <w:p w:rsidR="006A3F36" w:rsidRDefault="006A3F36" w:rsidP="006A3F36">
            <w:pPr>
              <w:pStyle w:val="TableText"/>
            </w:pPr>
            <w:r>
              <w:rPr>
                <w:b/>
              </w:rPr>
              <w:t>Strength</w:t>
            </w:r>
            <w:r>
              <w:t xml:space="preserve"> – while controlled wastes are not tracked intrastate there is requirements to report and all those waste listed in the regulations</w:t>
            </w:r>
          </w:p>
        </w:tc>
        <w:tc>
          <w:tcPr>
            <w:tcW w:w="2756" w:type="dxa"/>
          </w:tcPr>
          <w:p w:rsidR="006A3F36" w:rsidRDefault="006A3F36" w:rsidP="006A3F36">
            <w:pPr>
              <w:pStyle w:val="TableText"/>
              <w:rPr>
                <w:b/>
              </w:rPr>
            </w:pPr>
            <w:r>
              <w:rPr>
                <w:b/>
              </w:rPr>
              <w:t xml:space="preserve">Strength – </w:t>
            </w:r>
            <w:r>
              <w:t>NEPM 75 are tracked interstate</w:t>
            </w:r>
          </w:p>
        </w:tc>
      </w:tr>
      <w:tr w:rsidR="006A3F36" w:rsidTr="007C698A">
        <w:tc>
          <w:tcPr>
            <w:tcW w:w="2964" w:type="dxa"/>
          </w:tcPr>
          <w:p w:rsidR="006A3F36" w:rsidRDefault="006A3F36" w:rsidP="006A3F36">
            <w:pPr>
              <w:pStyle w:val="TableText"/>
            </w:pPr>
            <w:r>
              <w:t>Alignment of coding and descriptions</w:t>
            </w:r>
          </w:p>
        </w:tc>
        <w:tc>
          <w:tcPr>
            <w:tcW w:w="2755" w:type="dxa"/>
          </w:tcPr>
          <w:p w:rsidR="006A3F36" w:rsidRDefault="006A3F36" w:rsidP="006A3F36">
            <w:pPr>
              <w:pStyle w:val="TableText"/>
            </w:pPr>
            <w:r>
              <w:rPr>
                <w:b/>
              </w:rPr>
              <w:t>Strength</w:t>
            </w:r>
            <w:r>
              <w:t xml:space="preserve"> – descriptions and codes generally align with the NEPM</w:t>
            </w:r>
          </w:p>
        </w:tc>
        <w:tc>
          <w:tcPr>
            <w:tcW w:w="2756" w:type="dxa"/>
          </w:tcPr>
          <w:p w:rsidR="006A3F36" w:rsidRDefault="006A3F36" w:rsidP="006A3F36">
            <w:pPr>
              <w:pStyle w:val="TableText"/>
              <w:rPr>
                <w:b/>
              </w:rPr>
            </w:pPr>
            <w:r>
              <w:rPr>
                <w:b/>
              </w:rPr>
              <w:t>Strength</w:t>
            </w:r>
            <w:r>
              <w:t xml:space="preserve"> – descriptions and codes align with the NEPM</w:t>
            </w:r>
          </w:p>
        </w:tc>
      </w:tr>
      <w:tr w:rsidR="006A3F36" w:rsidTr="007C698A">
        <w:tc>
          <w:tcPr>
            <w:tcW w:w="2964" w:type="dxa"/>
          </w:tcPr>
          <w:p w:rsidR="006A3F36" w:rsidRDefault="006A3F36" w:rsidP="006A3F36">
            <w:pPr>
              <w:pStyle w:val="TableText"/>
            </w:pPr>
            <w:r>
              <w:t>Ease of updating system</w:t>
            </w:r>
          </w:p>
        </w:tc>
        <w:tc>
          <w:tcPr>
            <w:tcW w:w="2755" w:type="dxa"/>
          </w:tcPr>
          <w:p w:rsidR="006A3F36" w:rsidRDefault="006A3F36" w:rsidP="006A3F36">
            <w:pPr>
              <w:pStyle w:val="TableText"/>
            </w:pPr>
            <w:r>
              <w:rPr>
                <w:b/>
              </w:rPr>
              <w:t>Weakness</w:t>
            </w:r>
            <w:r>
              <w:t xml:space="preserve"> – considerable effort would be required, from a time and money perspective, to develop and implement an intrastate tracking system</w:t>
            </w:r>
          </w:p>
        </w:tc>
        <w:tc>
          <w:tcPr>
            <w:tcW w:w="2756" w:type="dxa"/>
          </w:tcPr>
          <w:p w:rsidR="006A3F36" w:rsidRDefault="006A3F36" w:rsidP="006A3F36">
            <w:pPr>
              <w:pStyle w:val="TableText"/>
              <w:rPr>
                <w:b/>
              </w:rPr>
            </w:pPr>
            <w:r>
              <w:rPr>
                <w:b/>
              </w:rPr>
              <w:t>Weakness</w:t>
            </w:r>
            <w:r>
              <w:t xml:space="preserve"> – considerable effort would be required, from a time and money perspective, to develop and implement an intrastate tracking system</w:t>
            </w:r>
          </w:p>
        </w:tc>
      </w:tr>
      <w:tr w:rsidR="006A3F36" w:rsidTr="007C698A">
        <w:tc>
          <w:tcPr>
            <w:tcW w:w="2964" w:type="dxa"/>
          </w:tcPr>
          <w:p w:rsidR="006A3F36" w:rsidRDefault="006A3F36" w:rsidP="006A3F36">
            <w:pPr>
              <w:pStyle w:val="TableText"/>
            </w:pPr>
            <w:r>
              <w:lastRenderedPageBreak/>
              <w:t>Data quality and accuracy</w:t>
            </w:r>
          </w:p>
        </w:tc>
        <w:tc>
          <w:tcPr>
            <w:tcW w:w="2755" w:type="dxa"/>
          </w:tcPr>
          <w:p w:rsidR="006A3F36" w:rsidRDefault="006A3F36" w:rsidP="006A3F36">
            <w:pPr>
              <w:pStyle w:val="TableText"/>
            </w:pPr>
            <w:r>
              <w:rPr>
                <w:b/>
              </w:rPr>
              <w:t>Weakness</w:t>
            </w:r>
            <w:r>
              <w:t xml:space="preserve"> – the data acquired through interstate movements is reasonable however no data is currently captured internally </w:t>
            </w:r>
          </w:p>
        </w:tc>
        <w:tc>
          <w:tcPr>
            <w:tcW w:w="2756" w:type="dxa"/>
          </w:tcPr>
          <w:p w:rsidR="006A3F36" w:rsidRDefault="006A3F36" w:rsidP="006A3F36">
            <w:pPr>
              <w:pStyle w:val="TableText"/>
              <w:rPr>
                <w:b/>
              </w:rPr>
            </w:pPr>
            <w:r>
              <w:rPr>
                <w:b/>
              </w:rPr>
              <w:t>Strength</w:t>
            </w:r>
            <w:r>
              <w:t xml:space="preserve"> – the data acquired through interstate movements is reasonable</w:t>
            </w:r>
          </w:p>
        </w:tc>
      </w:tr>
      <w:tr w:rsidR="006A3F36" w:rsidTr="007C698A">
        <w:tc>
          <w:tcPr>
            <w:tcW w:w="2964" w:type="dxa"/>
          </w:tcPr>
          <w:p w:rsidR="006A3F36" w:rsidRDefault="006A3F36" w:rsidP="006A3F36">
            <w:pPr>
              <w:pStyle w:val="TableText"/>
            </w:pPr>
            <w:r>
              <w:t>Prior informed consent</w:t>
            </w:r>
          </w:p>
        </w:tc>
        <w:tc>
          <w:tcPr>
            <w:tcW w:w="2755" w:type="dxa"/>
          </w:tcPr>
          <w:p w:rsidR="006A3F36" w:rsidRDefault="006A3F36" w:rsidP="006A3F36">
            <w:pPr>
              <w:pStyle w:val="TableText"/>
              <w:rPr>
                <w:b/>
              </w:rPr>
            </w:pPr>
            <w:r>
              <w:rPr>
                <w:b/>
              </w:rPr>
              <w:t>Weakness –</w:t>
            </w:r>
            <w:r>
              <w:t xml:space="preserve"> there is no formal intrastate tracking system or NTEPA consignment authorisation</w:t>
            </w:r>
            <w:r w:rsidR="00803613">
              <w:t>,</w:t>
            </w:r>
            <w:r>
              <w:t xml:space="preserve"> however operators are required to be </w:t>
            </w:r>
            <w:proofErr w:type="spellStart"/>
            <w:r>
              <w:t>licenced</w:t>
            </w:r>
            <w:proofErr w:type="spellEnd"/>
          </w:p>
        </w:tc>
        <w:tc>
          <w:tcPr>
            <w:tcW w:w="2756" w:type="dxa"/>
          </w:tcPr>
          <w:p w:rsidR="006A3F36" w:rsidRDefault="006A3F36" w:rsidP="006A3F36">
            <w:pPr>
              <w:pStyle w:val="TableText"/>
              <w:rPr>
                <w:b/>
              </w:rPr>
            </w:pPr>
            <w:r>
              <w:rPr>
                <w:b/>
              </w:rPr>
              <w:t xml:space="preserve">Weakness – </w:t>
            </w:r>
            <w:r>
              <w:t xml:space="preserve">the NT only needs to approve waste </w:t>
            </w:r>
            <w:r w:rsidRPr="002C7194">
              <w:rPr>
                <w:i/>
              </w:rPr>
              <w:t>entering</w:t>
            </w:r>
            <w:r>
              <w:t xml:space="preserve"> the territory from other jurisdictions</w:t>
            </w:r>
            <w:r w:rsidR="00686167">
              <w:t>,</w:t>
            </w:r>
            <w:r>
              <w:t xml:space="preserve"> </w:t>
            </w:r>
            <w:r w:rsidR="00686167">
              <w:t>a</w:t>
            </w:r>
            <w:r>
              <w:t>lthough the NTEPA receives WTC documentation after the waste has been transported</w:t>
            </w:r>
          </w:p>
        </w:tc>
      </w:tr>
    </w:tbl>
    <w:p w:rsidR="003C6035" w:rsidRDefault="003C6035" w:rsidP="003C6035">
      <w:pPr>
        <w:pStyle w:val="Heading2"/>
      </w:pPr>
      <w:bookmarkStart w:id="54" w:name="_Toc421181737"/>
      <w:r>
        <w:t>Australian Capital Territory</w:t>
      </w:r>
      <w:bookmarkEnd w:id="54"/>
    </w:p>
    <w:p w:rsidR="003C6035" w:rsidRDefault="003C6035" w:rsidP="003C6035">
      <w:pPr>
        <w:pStyle w:val="ParaIndent"/>
      </w:pPr>
      <w:r>
        <w:t xml:space="preserve">Controlled waste in the Australian Capital Territory is legislated under the </w:t>
      </w:r>
      <w:r w:rsidRPr="001D18BE">
        <w:rPr>
          <w:i/>
        </w:rPr>
        <w:t>Environmental Protection Act 1997</w:t>
      </w:r>
      <w:r>
        <w:t xml:space="preserve"> with the requirements relating to interstate waste tracking implemented through the Environmental Protection Regulation 2005. The ACT EPA administers the regulations, with the main driver being to protect the environment from pollution and its effects. </w:t>
      </w:r>
    </w:p>
    <w:p w:rsidR="003C6035" w:rsidRDefault="003C6035" w:rsidP="003C6035">
      <w:pPr>
        <w:pStyle w:val="ParaIndent"/>
      </w:pPr>
      <w:r>
        <w:t xml:space="preserve">Intrastate waste tracking is dealt with under the act, where transportation of regulated waste is classified as a Class </w:t>
      </w:r>
      <w:proofErr w:type="gramStart"/>
      <w:r>
        <w:t>A</w:t>
      </w:r>
      <w:proofErr w:type="gramEnd"/>
      <w:r>
        <w:t xml:space="preserve"> activity and requires an environmental authorisation. It relates to regulated waste, which includes group A. group B, group C, hazardous and industrial waste , but explicitly does not cover waste consisting only of stabilised asbestos in bonded matrix or more than two tonnes of unwanted tyres.</w:t>
      </w:r>
    </w:p>
    <w:p w:rsidR="003C6035" w:rsidRDefault="003C6035" w:rsidP="003C6035">
      <w:pPr>
        <w:pStyle w:val="ParaIndent"/>
      </w:pPr>
      <w:r>
        <w:t xml:space="preserve">While the ACT EPA does not track hazardous waste when the movements are intrastate, there is a requirement for licence holders to record and retain information on each load of waste transported. This is reported to the ACT EPA quarterly. </w:t>
      </w:r>
    </w:p>
    <w:p w:rsidR="00076904" w:rsidRDefault="003C6035" w:rsidP="002B0F59">
      <w:pPr>
        <w:pStyle w:val="ParaIndent"/>
        <w:sectPr w:rsidR="00076904" w:rsidSect="00313A2A">
          <w:type w:val="oddPage"/>
          <w:pgSz w:w="11907" w:h="16840" w:code="9"/>
          <w:pgMar w:top="1134" w:right="1134" w:bottom="1134" w:left="1134" w:header="567" w:footer="567" w:gutter="0"/>
          <w:pgNumType w:start="1"/>
          <w:cols w:space="708"/>
          <w:docGrid w:linePitch="360"/>
        </w:sectPr>
      </w:pPr>
      <w:r>
        <w:t>Interstate movements align 1:1 with the NEPM, hence 75 wastes are tracked. The ACT EPA must approve any imports into the territory and has access to the NSW electronic system to confirm exports have been appropriately tran</w:t>
      </w:r>
      <w:r w:rsidR="006A3F4E">
        <w:t>sported and disposed or treate</w:t>
      </w:r>
      <w:r w:rsidR="003756B2">
        <w:t>d</w:t>
      </w:r>
      <w:r w:rsidR="00B56655">
        <w:t>.</w:t>
      </w:r>
    </w:p>
    <w:p w:rsidR="003756B2" w:rsidRDefault="003756B2" w:rsidP="003756B2">
      <w:pPr>
        <w:pStyle w:val="Heading1"/>
      </w:pPr>
      <w:bookmarkStart w:id="55" w:name="_Toc421181738"/>
      <w:r>
        <w:lastRenderedPageBreak/>
        <w:t>International review</w:t>
      </w:r>
      <w:bookmarkEnd w:id="55"/>
    </w:p>
    <w:p w:rsidR="00FB0137" w:rsidRDefault="00FB0137" w:rsidP="005D1E94">
      <w:pPr>
        <w:pStyle w:val="ParaIndent"/>
      </w:pPr>
      <w:r w:rsidRPr="00FB0137">
        <w:t>A high level review across international jurisdicti</w:t>
      </w:r>
      <w:r>
        <w:t>ons has been undertaken to high</w:t>
      </w:r>
      <w:r w:rsidRPr="00FB0137">
        <w:t>light the differences and similarities in hazardous waste tracking regimes around the world. To further explore the lessons from successful and unsuccessful initiatives, deeper analysis has been undertaken of the key measures and reforms employed in three similar economies, the United States, Canada and New Zealand.</w:t>
      </w:r>
    </w:p>
    <w:p w:rsidR="005D1E94" w:rsidRDefault="005D1E94" w:rsidP="005D1E94">
      <w:pPr>
        <w:pStyle w:val="Heading2"/>
      </w:pPr>
      <w:bookmarkStart w:id="56" w:name="_Toc421181739"/>
      <w:r>
        <w:t>High level review</w:t>
      </w:r>
      <w:bookmarkEnd w:id="56"/>
    </w:p>
    <w:tbl>
      <w:tblPr>
        <w:tblStyle w:val="HyderTableStyle11"/>
        <w:tblW w:w="0" w:type="auto"/>
        <w:tblInd w:w="1134" w:type="dxa"/>
        <w:tblLayout w:type="fixed"/>
        <w:tblLook w:val="04A0"/>
      </w:tblPr>
      <w:tblGrid>
        <w:gridCol w:w="1261"/>
        <w:gridCol w:w="2550"/>
        <w:gridCol w:w="2160"/>
        <w:gridCol w:w="2520"/>
      </w:tblGrid>
      <w:tr w:rsidR="001E645D" w:rsidRPr="001E645D" w:rsidTr="001E645D">
        <w:trPr>
          <w:cnfStyle w:val="100000000000"/>
        </w:trPr>
        <w:tc>
          <w:tcPr>
            <w:tcW w:w="1261" w:type="dxa"/>
          </w:tcPr>
          <w:p w:rsidR="001E645D" w:rsidRPr="001E645D" w:rsidRDefault="001E645D" w:rsidP="001E645D">
            <w:pPr>
              <w:pStyle w:val="TableHeadingWhite"/>
            </w:pPr>
            <w:r w:rsidRPr="001E645D">
              <w:t>Country</w:t>
            </w:r>
          </w:p>
        </w:tc>
        <w:tc>
          <w:tcPr>
            <w:tcW w:w="2550" w:type="dxa"/>
          </w:tcPr>
          <w:p w:rsidR="001E645D" w:rsidRPr="001E645D" w:rsidRDefault="001E645D" w:rsidP="001E645D">
            <w:pPr>
              <w:pStyle w:val="TableHeadingWhite"/>
            </w:pPr>
            <w:r w:rsidRPr="001E645D">
              <w:t xml:space="preserve">Tracking system </w:t>
            </w:r>
          </w:p>
        </w:tc>
        <w:tc>
          <w:tcPr>
            <w:tcW w:w="2160" w:type="dxa"/>
          </w:tcPr>
          <w:p w:rsidR="001E645D" w:rsidRPr="001E645D" w:rsidRDefault="001E645D" w:rsidP="001E645D">
            <w:pPr>
              <w:pStyle w:val="TableHeadingWhite"/>
            </w:pPr>
            <w:r w:rsidRPr="001E645D">
              <w:t>Strengths</w:t>
            </w:r>
          </w:p>
        </w:tc>
        <w:tc>
          <w:tcPr>
            <w:tcW w:w="2520" w:type="dxa"/>
          </w:tcPr>
          <w:p w:rsidR="001E645D" w:rsidRPr="001E645D" w:rsidRDefault="001E645D" w:rsidP="001E645D">
            <w:pPr>
              <w:pStyle w:val="TableHeadingWhite"/>
            </w:pPr>
            <w:r w:rsidRPr="001E645D">
              <w:t>Weaknesses</w:t>
            </w:r>
          </w:p>
        </w:tc>
      </w:tr>
      <w:tr w:rsidR="001E645D" w:rsidRPr="001E645D" w:rsidTr="001E645D">
        <w:tc>
          <w:tcPr>
            <w:tcW w:w="1261"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Canada (interstate only)</w:t>
            </w:r>
          </w:p>
        </w:tc>
        <w:tc>
          <w:tcPr>
            <w:tcW w:w="255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Paper-based manifests. Sequentially completed by parties from generator through to final recipient.</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Receiver has three days to return consignment note to: the generator; last authorised carrier; and the authorities of the province where the waste originated and terminated.</w:t>
            </w:r>
          </w:p>
        </w:tc>
        <w:tc>
          <w:tcPr>
            <w:tcW w:w="216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Three day submission requirement increases transparency.</w:t>
            </w:r>
          </w:p>
        </w:tc>
        <w:tc>
          <w:tcPr>
            <w:tcW w:w="252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Definitional issues among provinces (states) and with the federal scheme.</w:t>
            </w:r>
          </w:p>
        </w:tc>
      </w:tr>
      <w:tr w:rsidR="001E645D" w:rsidRPr="001E645D" w:rsidTr="001E645D">
        <w:tc>
          <w:tcPr>
            <w:tcW w:w="1261"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European Union (trans-border only)</w:t>
            </w:r>
          </w:p>
        </w:tc>
        <w:tc>
          <w:tcPr>
            <w:tcW w:w="255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Paper-based. Generators and transporters keep a record of the quantity, nature and origin of the waste, plus transport mode and destination.</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Also notice for prior consent provided to authority in origin country, which forwards to counterparts in transit and destination countries.</w:t>
            </w:r>
          </w:p>
        </w:tc>
        <w:tc>
          <w:tcPr>
            <w:tcW w:w="216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The EU list of hazardous wastes is binding on all EU countries, though they can expand it.</w:t>
            </w:r>
          </w:p>
        </w:tc>
        <w:tc>
          <w:tcPr>
            <w:tcW w:w="252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Limited regulatory insight given reporting regime.</w:t>
            </w:r>
          </w:p>
        </w:tc>
      </w:tr>
      <w:tr w:rsidR="001E645D" w:rsidRPr="001E645D" w:rsidTr="001E645D">
        <w:tc>
          <w:tcPr>
            <w:tcW w:w="1261"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France</w:t>
            </w:r>
          </w:p>
        </w:tc>
        <w:tc>
          <w:tcPr>
            <w:tcW w:w="255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Paper-based manifests. The receiver returns the sequential manifest (BSD) to the generator (rather than regulator).</w:t>
            </w:r>
          </w:p>
        </w:tc>
        <w:tc>
          <w:tcPr>
            <w:tcW w:w="216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Generator bears cost of the scheme.</w:t>
            </w:r>
          </w:p>
        </w:tc>
        <w:tc>
          <w:tcPr>
            <w:tcW w:w="252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Limited regulatory insight given reporting regime.</w:t>
            </w:r>
          </w:p>
        </w:tc>
      </w:tr>
      <w:tr w:rsidR="001E645D" w:rsidRPr="001E645D" w:rsidTr="001E645D">
        <w:tc>
          <w:tcPr>
            <w:tcW w:w="1261"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New Zealand</w:t>
            </w:r>
          </w:p>
        </w:tc>
        <w:tc>
          <w:tcPr>
            <w:tcW w:w="255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 xml:space="preserve">Online </w:t>
            </w:r>
            <w:proofErr w:type="spellStart"/>
            <w:r w:rsidRPr="001E645D">
              <w:t>WasteTRACK</w:t>
            </w:r>
            <w:proofErr w:type="spellEnd"/>
            <w:r w:rsidRPr="001E645D">
              <w:t xml:space="preserve"> (for liquid waste only).</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 xml:space="preserve">Open access internet-based tracking system from generator to transporter to receiver. </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 xml:space="preserve">System includes register of “approved” transporters / receivers. </w:t>
            </w:r>
          </w:p>
        </w:tc>
        <w:tc>
          <w:tcPr>
            <w:tcW w:w="216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Easy to use for all parties, encourages industry best practice.</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 xml:space="preserve">Some regulatory efficiencies as regulator can increase focus on generators not using </w:t>
            </w:r>
            <w:proofErr w:type="spellStart"/>
            <w:r w:rsidRPr="001E645D">
              <w:t>WasteTRACK</w:t>
            </w:r>
            <w:proofErr w:type="spellEnd"/>
            <w:r w:rsidRPr="001E645D">
              <w:t>.</w:t>
            </w:r>
          </w:p>
        </w:tc>
        <w:tc>
          <w:tcPr>
            <w:tcW w:w="252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No regulatory underpinning.</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Weak regulatory oversight as operation is outsourced to private operator.</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 xml:space="preserve">Funding support from government. </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No solid waste tracking.</w:t>
            </w:r>
          </w:p>
        </w:tc>
      </w:tr>
      <w:tr w:rsidR="001E645D" w:rsidRPr="001E645D" w:rsidTr="001E645D">
        <w:tc>
          <w:tcPr>
            <w:tcW w:w="1261"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lastRenderedPageBreak/>
              <w:t>Philippines</w:t>
            </w:r>
          </w:p>
        </w:tc>
        <w:tc>
          <w:tcPr>
            <w:tcW w:w="255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 xml:space="preserve">Online and paper manifests. </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Generator logs online job to get paper manifest, transporter then requires separate approval for transport plan, and final receiver has two days to log receipt of waste and 45 days to log Certificate of Treatment.</w:t>
            </w:r>
          </w:p>
        </w:tc>
        <w:tc>
          <w:tcPr>
            <w:tcW w:w="216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Allows faster regulator response as receiver must log receipt within two days.</w:t>
            </w:r>
          </w:p>
        </w:tc>
        <w:tc>
          <w:tcPr>
            <w:tcW w:w="252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Multiple layers of approval - to generator, transporter and receiver.</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Generator manually pays fees to receive receipt number to generate initial approval.</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p>
        </w:tc>
      </w:tr>
      <w:tr w:rsidR="001E645D" w:rsidRPr="001E645D" w:rsidTr="001E645D">
        <w:tc>
          <w:tcPr>
            <w:tcW w:w="1261"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United Kingdom (England and Wales only)</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p>
        </w:tc>
        <w:tc>
          <w:tcPr>
            <w:tcW w:w="255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 xml:space="preserve">Consignment details are recorded either electronically or as paper-based records and then submitted to Environment Agency (EA). </w:t>
            </w:r>
          </w:p>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Receiver returns completed form quarterly to the EA and generator.</w:t>
            </w:r>
          </w:p>
        </w:tc>
        <w:tc>
          <w:tcPr>
            <w:tcW w:w="216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Scheme cost covered by generators buying consignment notes.</w:t>
            </w:r>
          </w:p>
        </w:tc>
        <w:tc>
          <w:tcPr>
            <w:tcW w:w="252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Quarterly return reduces regulatory oversight.</w:t>
            </w:r>
          </w:p>
        </w:tc>
      </w:tr>
      <w:tr w:rsidR="001E645D" w:rsidRPr="001E645D" w:rsidTr="001E645D">
        <w:tc>
          <w:tcPr>
            <w:tcW w:w="1261"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United States</w:t>
            </w:r>
          </w:p>
        </w:tc>
        <w:tc>
          <w:tcPr>
            <w:tcW w:w="255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Paper-based manifests. Each party that handles the waste signs the manifest and retains a copy for themselves.</w:t>
            </w:r>
          </w:p>
        </w:tc>
        <w:tc>
          <w:tcPr>
            <w:tcW w:w="216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Provides national uniformity and benchmark while allowing some state flexibility.</w:t>
            </w:r>
          </w:p>
        </w:tc>
        <w:tc>
          <w:tcPr>
            <w:tcW w:w="2520" w:type="dxa"/>
          </w:tcPr>
          <w:p w:rsidR="001E645D" w:rsidRPr="001E645D" w:rsidRDefault="001E645D" w:rsidP="001E645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59" w:lineRule="auto"/>
            </w:pPr>
            <w:r w:rsidRPr="001E645D">
              <w:t>Generates considerable paperwork. Incoming electronic scheme expected to save more than US$75 million per year for government and industry.</w:t>
            </w:r>
          </w:p>
        </w:tc>
      </w:tr>
    </w:tbl>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p w:rsidR="005D1E94" w:rsidRPr="005D1E94" w:rsidRDefault="005D1E94" w:rsidP="005D1E94">
      <w:pPr>
        <w:pStyle w:val="Heading2"/>
      </w:pPr>
      <w:bookmarkStart w:id="57" w:name="_Toc421181740"/>
      <w:r>
        <w:t>Case studies</w:t>
      </w:r>
      <w:bookmarkEnd w:id="57"/>
    </w:p>
    <w:p w:rsidR="005D1E94" w:rsidRPr="005D1E94" w:rsidRDefault="005D1E94" w:rsidP="0005522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There are many commonalities in the hazardous waste tracking regimes studied. Many are based on multi-sheet manifests to track the waste from generator through to disposal or treatment, but there is growing interest in electronic tracking schemes. But as is clear from the above review of Australian jurisdictions and the myriad reports for DoE in recent years, the capacity for tracking schemes to provide a holistic data picture is in the details. Three countries have been selected for deeper analysis based on the similarity of their economies but div</w:t>
      </w:r>
      <w:r w:rsidR="0005522B">
        <w:t>ersity of approach and success.</w:t>
      </w:r>
    </w:p>
    <w:p w:rsidR="005D1E94" w:rsidRPr="005D1E94" w:rsidRDefault="005D1E94" w:rsidP="005D1E94">
      <w:pPr>
        <w:pStyle w:val="Heading3"/>
      </w:pPr>
      <w:r w:rsidRPr="005D1E94">
        <w:t>United States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Hazardous waste regulations in the United States come under with the 1976 </w:t>
      </w:r>
      <w:r w:rsidRPr="001D18BE">
        <w:rPr>
          <w:i/>
        </w:rPr>
        <w:t xml:space="preserve">Resource Conservation and Recovery Act </w:t>
      </w:r>
      <w:r w:rsidRPr="005D1E94">
        <w:t xml:space="preserve">(RCRA), which sets definitions and covered waste, minimum standards and reporting requirements for the whole country. To avoid regulatory discrepancies and redundancy, the US Environment Protection Agency developed its hazardous waste transporter regulations together with the Department of Transportation (DOT), under its </w:t>
      </w:r>
      <w:r w:rsidRPr="001D18BE">
        <w:rPr>
          <w:i/>
        </w:rPr>
        <w:t>Hazardous Materials Transportation Act</w:t>
      </w:r>
      <w:r w:rsidRPr="005D1E94">
        <w:t xml:space="preserve"> regulations.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RCRA Subtitle C establishes a national cradle-to-grave tracking scheme for hazardous waste, under the administration of the EPA. It also provides for states to develop their own hazardous waste regimes, including tracking, as long as they are “equivalent to, consistent with, and no less stringent than the federal program”.</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lastRenderedPageBreak/>
        <w:t xml:space="preserve">Internationally, the US is a signatory to – though not a ratified member of – the Basel Convention on the Control of </w:t>
      </w:r>
      <w:proofErr w:type="spellStart"/>
      <w:r w:rsidRPr="005D1E94">
        <w:t>Transboundary</w:t>
      </w:r>
      <w:proofErr w:type="spellEnd"/>
      <w:r w:rsidRPr="005D1E94">
        <w:t xml:space="preserve"> Movements of Hazardous Wastes and Their Disposal. As a non-party, it has instead negotiated direct agreements with the OECD and specific countries.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EPA is expected to this year release a major reform to the Hazardous Waste Manifest System (HWMS) by launching a long-awaited electronic manifest system. It is expected to slash compliance costs, improve transparency and establish for the first time a national repository of manifest data and a means to efficiently share that data with RCRA-authorised state partners and the public. </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While very different from Australia’s hazardous wastes regime with its Basel annual reporting requirement and devolved regulatory environment, the US provides some valuable insights on the issues and opportunities created by a centralised system with regional variation.</w:t>
      </w:r>
    </w:p>
    <w:p w:rsidR="005D1E94" w:rsidRPr="005D1E94" w:rsidRDefault="005D1E94" w:rsidP="005D1E94">
      <w:pPr>
        <w:pStyle w:val="Heading40"/>
        <w:rPr>
          <w:lang w:val="en-GB"/>
        </w:rPr>
      </w:pPr>
      <w:r w:rsidRPr="005D1E94">
        <w:rPr>
          <w:lang w:val="en-GB"/>
        </w:rPr>
        <w:t>The tracking regime</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The US tracks the offsite transportation of 5.35 million tonnes of the</w:t>
      </w:r>
      <w:r w:rsidR="00D226B2">
        <w:t xml:space="preserve"> more than</w:t>
      </w:r>
      <w:r w:rsidRPr="005D1E94">
        <w:t xml:space="preserve"> 40 million tonnes of RCRA hazardous wastes generated each year. Hazardous waste is defined via two main criteria:</w:t>
      </w:r>
    </w:p>
    <w:p w:rsidR="005D1E94" w:rsidRPr="005D1E94" w:rsidRDefault="005D1E94" w:rsidP="00F27C74">
      <w:pPr>
        <w:pStyle w:val="ListParagraph"/>
        <w:numPr>
          <w:ilvl w:val="0"/>
          <w:numId w:val="5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494"/>
      </w:pPr>
      <w:r w:rsidRPr="005D1E94">
        <w:t xml:space="preserve">Characteristic hazardous wastes: exhibit any of four characteristics, ignitability, </w:t>
      </w:r>
      <w:proofErr w:type="spellStart"/>
      <w:r w:rsidRPr="005D1E94">
        <w:t>corrosivity</w:t>
      </w:r>
      <w:proofErr w:type="spellEnd"/>
      <w:r w:rsidRPr="005D1E94">
        <w:t>, reactivity or toxicity; and</w:t>
      </w:r>
    </w:p>
    <w:p w:rsidR="005D1E94" w:rsidRPr="005D1E94" w:rsidRDefault="005D1E94" w:rsidP="00F27C74">
      <w:pPr>
        <w:pStyle w:val="ListParagraph"/>
        <w:numPr>
          <w:ilvl w:val="0"/>
          <w:numId w:val="5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494"/>
      </w:pPr>
      <w:r w:rsidRPr="005D1E94">
        <w:t>Listed hazardous wastes: based solely on the specific process that generates them, which is automatically considered hazardous waste regardless of whether the waste shows any of the above characteristics of hazardous waste.</w:t>
      </w:r>
    </w:p>
    <w:p w:rsidR="005D1E94" w:rsidRPr="00C3767C"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C3767C">
        <w:t>The HWMS is based on a set of forms, reports and procedures designed to track the life cycle of hazardous waste, from the generator facility through to the off-site treatment, storage and disposal facility (TSDF). The paper document, required by both the EPA and DOT, has multiple copies of a single form containing information on the type and quantity of the waste being transported, instructions for handling the waste, and signature lines for all parties involved in the disposal process. Each party that handles the waste signs the manifest and retains a copy, while the receiving facility returns a signed copy to the generator confirming the waste has been received. Some states, such as California, also require a copy be sent to the relevant state agency, which is the common practice in Australia.</w:t>
      </w:r>
    </w:p>
    <w:p w:rsidR="005D1E94" w:rsidRPr="00C3767C" w:rsidRDefault="005D1E94" w:rsidP="00A15A6F">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C3767C">
        <w:t xml:space="preserve">A key feature of the RCRA system is consistency of the paperwork nationally, which ties together all the schemes, whether state or federal. Notably, it was only in March 2005 that the EPA published regulations mandating national use of a revised Uniform Hazardous Waste Manifest, giving states 18 months to update their systems. Previously, authorised states had been allowed to modify their manifests or add new forms, but the EPA in 2005 said “the proliferation of many state-specific manifest forms … hampered the movement of hazardous waste”. </w:t>
      </w:r>
      <w:r w:rsidR="00A15A6F">
        <w:t>All s</w:t>
      </w:r>
      <w:r w:rsidRPr="00C3767C">
        <w:t xml:space="preserve">tates now use the </w:t>
      </w:r>
      <w:r w:rsidR="00A15A6F">
        <w:t>same</w:t>
      </w:r>
      <w:r w:rsidRPr="00C3767C">
        <w:t xml:space="preserve"> </w:t>
      </w:r>
      <w:r w:rsidR="002117F7">
        <w:t xml:space="preserve">manifest </w:t>
      </w:r>
      <w:r w:rsidRPr="00C3767C">
        <w:t xml:space="preserve">template but </w:t>
      </w:r>
      <w:r w:rsidR="002117F7">
        <w:t>are permitted to</w:t>
      </w:r>
      <w:r w:rsidR="00A15A6F">
        <w:t xml:space="preserve"> add their own </w:t>
      </w:r>
      <w:r w:rsidR="00A15A6F" w:rsidRPr="00A15A6F">
        <w:t xml:space="preserve">waste </w:t>
      </w:r>
      <w:r w:rsidR="00A15A6F">
        <w:t xml:space="preserve">streams and waste </w:t>
      </w:r>
      <w:r w:rsidR="00A15A6F" w:rsidRPr="00A15A6F">
        <w:t>codes</w:t>
      </w:r>
      <w:r w:rsidR="00A15A6F">
        <w:t xml:space="preserve"> (in addition to federal codes)</w:t>
      </w:r>
      <w:r w:rsidR="00A15A6F" w:rsidRPr="00A15A6F">
        <w:t xml:space="preserve"> </w:t>
      </w:r>
      <w:r w:rsidR="00A15A6F">
        <w:t>to cover s</w:t>
      </w:r>
      <w:r w:rsidR="00A15A6F" w:rsidRPr="00A15A6F">
        <w:t xml:space="preserve">tate-specific </w:t>
      </w:r>
      <w:r w:rsidR="00A15A6F">
        <w:t xml:space="preserve">requirements. </w:t>
      </w:r>
      <w:r w:rsidRPr="00C3767C">
        <w:t>Maryland, for example, adds a host of military-related hazardous wastes.</w:t>
      </w:r>
    </w:p>
    <w:p w:rsidR="005D1E94" w:rsidRPr="00C3767C"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C3767C">
        <w:t xml:space="preserve">One benefit of the HWMS is that it provides a detailed picture of on-ground national outcomes through the </w:t>
      </w:r>
      <w:proofErr w:type="spellStart"/>
      <w:r w:rsidRPr="00C3767C">
        <w:t>RCRAInfo</w:t>
      </w:r>
      <w:proofErr w:type="spellEnd"/>
      <w:r w:rsidRPr="00C3767C">
        <w:t xml:space="preserve"> information system. Hazardous waste transporters, facility operators and large generators (more than one tonne per month) are required to submit formal Hazardous Waste Reports through </w:t>
      </w:r>
      <w:proofErr w:type="spellStart"/>
      <w:r w:rsidRPr="00C3767C">
        <w:t>RCRAInfo</w:t>
      </w:r>
      <w:proofErr w:type="spellEnd"/>
      <w:r w:rsidRPr="00C3767C">
        <w:t xml:space="preserve">. The information is aggregated to produce the </w:t>
      </w:r>
      <w:r w:rsidRPr="00C3767C">
        <w:rPr>
          <w:i/>
        </w:rPr>
        <w:t>National Biennial RCRA Hazardous Waste Report</w:t>
      </w:r>
      <w:r w:rsidRPr="00C3767C">
        <w:t>, which includes facility status, regulated activities and compliance histories, plus detailed data on the generation of hazardous waste from large quantity generators and on waste management practices from TSDFs.</w:t>
      </w:r>
    </w:p>
    <w:p w:rsidR="005D1E94" w:rsidRPr="005D1E94" w:rsidRDefault="005D1E94" w:rsidP="001D528F">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C3767C">
        <w:t xml:space="preserve">There are two further points. As the name implies, the reporting cycle is every </w:t>
      </w:r>
      <w:r w:rsidR="001D528F">
        <w:t xml:space="preserve">two years, but this appears inadequate given one of the perceived advantages of the coming electronic </w:t>
      </w:r>
      <w:r w:rsidR="001D528F">
        <w:lastRenderedPageBreak/>
        <w:t xml:space="preserve">scheme is </w:t>
      </w:r>
      <w:proofErr w:type="gramStart"/>
      <w:r w:rsidR="001D528F">
        <w:t>more timely</w:t>
      </w:r>
      <w:proofErr w:type="gramEnd"/>
      <w:r w:rsidR="001D528F">
        <w:t xml:space="preserve"> reporting. </w:t>
      </w:r>
      <w:r w:rsidRPr="005D1E94">
        <w:t xml:space="preserve">Secondly, as with much hazardous waste information the full report is only available to the US EPA and state agencies, but the EPA periodically uploads specific data into the publically available </w:t>
      </w:r>
      <w:proofErr w:type="spellStart"/>
      <w:r w:rsidRPr="005D1E94">
        <w:t>Envirofacts</w:t>
      </w:r>
      <w:proofErr w:type="spellEnd"/>
      <w:r w:rsidRPr="005D1E94">
        <w:t xml:space="preserve"> Data Warehouse to increase transparency in the sector.</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A key downside of the HWMS is that the multi-layer scheme is costly and somewhat cumbersome. The EPA estimates the HWMS generates between 4.6 and 5.6 million paper manifests per year, at an annual government administration cost of around US$297 million </w:t>
      </w:r>
      <w:r w:rsidRPr="005D1E94">
        <w:softHyphen/>
        <w:t xml:space="preserve">- around US$109 million in federal costs, US$150 million in state costs and US$23 million a year to comply with RCRA biennial reporting. No compliance cost burden on industry was available, although it will be considerable given the scheme covers approximately 160,000 entities in at least 45 industries. </w:t>
      </w:r>
    </w:p>
    <w:p w:rsidR="005D1E94" w:rsidRPr="005D1E94" w:rsidRDefault="005D1E94" w:rsidP="005D1E94">
      <w:pPr>
        <w:pStyle w:val="Heading40"/>
        <w:rPr>
          <w:lang w:val="en-GB"/>
        </w:rPr>
      </w:pPr>
      <w:r w:rsidRPr="005D1E94">
        <w:rPr>
          <w:lang w:val="en-GB"/>
        </w:rPr>
        <w:t>Relationship between jurisdictions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One of the key aspects of the US arrangements from an inter-jurisdictional perspective is the way legislative and enforcement responsibilities cascade from the US EPA to the state agencies. The states can request EPA authorisation to implement their own hazardous waste program in place of the federal regime, as long as it is at least as rigorous as the federal standards. Many states have done so.</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conditions for authorisation are closely spelled out. The state program must cover all the federally defined hazardous wastes and adopt a set of hazardous waste characteristics equivalent to the federal rules. It must include provisions for permitting, compliance evaluation, enforcement, public participation and sharing of information. </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The tracking requirements are similarly specific. The state proposal must include a description of the state manifest tracking system and base its manifests on the federal template. It must also describe the procedures the state will use to coordinate information with other approved state programs and with the federal program regarding interstate and international shipments. In the case of interstate shipments for which the manifest has not been returned, the state program must provide for notification to the receiving state, or to the EPA in the case of unauthorised states.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The RCRA also prevents states from introducing any feature “which unreasonably restricts, impedes or operates as a ban on the free movement across the state border of hazardous wastes from or to other states for treatment, storage, or disposal at facilities authorised to operate under the federal or an approved state program”.</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States also cannot restrict the federal EPA’s right to inspect any generator, transporter or TDSF. However, the EPA will normally first allow the state a reasonable opportunity to conduct a compliance evaluation inspection. The states must provide to the EPA (on request) any information obtained or used to administer the state program, while the EPA shall furnish to authorised states any information they need to implement the approved program, with some caveats around confidentiality.</w:t>
      </w:r>
    </w:p>
    <w:p w:rsidR="005D1E94" w:rsidRPr="005D1E94" w:rsidRDefault="005D1E94" w:rsidP="005D1E94">
      <w:pPr>
        <w:pStyle w:val="Heading40"/>
        <w:rPr>
          <w:lang w:val="en-GB"/>
        </w:rPr>
      </w:pPr>
      <w:r w:rsidRPr="005D1E94">
        <w:rPr>
          <w:lang w:val="en-GB"/>
        </w:rPr>
        <w:t>International movements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The US has not ratified the Basel Convention, but it does draw upon it to inform a multilateral agreement with the members of the OECD and bilateral agreements with Canada, Mexico, Costa Rica, Malaysia and the Philippines.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NAFTA countries (US, Canada and Mexico) have similar requirements for regulating the </w:t>
      </w:r>
      <w:proofErr w:type="spellStart"/>
      <w:r w:rsidRPr="005D1E94">
        <w:t>transboundary</w:t>
      </w:r>
      <w:proofErr w:type="spellEnd"/>
      <w:r w:rsidRPr="005D1E94">
        <w:t xml:space="preserve"> shipments of hazardous waste based on prior informed consent, under which a material regulated as a hazardous waste in one country may only be exported to another with the importing country’s prior consent.</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lastRenderedPageBreak/>
        <w:t>A hazardous waste generator of primary exporter submits to the EPA a notice of intent to export, including quantity and type of waste and the destination; the EPA requests the consent of the receiving country and any transit countries; then issues an Acknowledgment of Consent that must accompany the shipment. For export movements to Mexico and Canada it must also attach a copy to the RCRA uniform manifest, which since 2005 includes a section for exports.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2011 </w:t>
      </w:r>
      <w:r w:rsidRPr="005D1E94">
        <w:rPr>
          <w:i/>
        </w:rPr>
        <w:t>Crossing the Border</w:t>
      </w:r>
      <w:r w:rsidRPr="005D1E94">
        <w:t xml:space="preserve"> report by the Commission for Cooperation (CEC) found: “A major limitation of the current paper-based reporting process for hazardous waste import/export is that it does not provide optimal support for monitoring compliance or enforcement. Inefficient information exchange, processing backlogs, incompatibility of existing information systems, limited integration among border agencies, and limited public access to information also impair the process. In addition, there is a lack of control during the shipping process due to the inability to share real time information on shipments.”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CEC </w:t>
      </w:r>
      <w:r w:rsidRPr="005D1E94">
        <w:rPr>
          <w:lang w:val="en-US"/>
        </w:rPr>
        <w:t>sponsored a project that from</w:t>
      </w:r>
      <w:r w:rsidRPr="005D1E94">
        <w:t xml:space="preserve"> 2014 has seen some permit data exchanged electronically. Further, the US and Canada is developing a Single Window initiative that aims to provide a single, online portal for submitting all import and export related information, including hazardous waste movements (see Section </w:t>
      </w:r>
      <w:r w:rsidR="00350C10" w:rsidRPr="005D1E94">
        <w:fldChar w:fldCharType="begin"/>
      </w:r>
      <w:r w:rsidRPr="005D1E94">
        <w:instrText xml:space="preserve"> REF _Ref412725243 \r \h </w:instrText>
      </w:r>
      <w:r w:rsidR="00350C10" w:rsidRPr="005D1E94">
        <w:fldChar w:fldCharType="separate"/>
      </w:r>
      <w:r w:rsidR="00261FA5">
        <w:t>3.2.3</w:t>
      </w:r>
      <w:r w:rsidR="00350C10" w:rsidRPr="005D1E94">
        <w:fldChar w:fldCharType="end"/>
      </w:r>
      <w:r w:rsidRPr="005D1E94">
        <w:t xml:space="preserve"> for more).</w:t>
      </w:r>
    </w:p>
    <w:p w:rsidR="005D1E94" w:rsidRPr="005D1E94" w:rsidRDefault="005D1E94" w:rsidP="005D1E94">
      <w:pPr>
        <w:pStyle w:val="Heading40"/>
        <w:rPr>
          <w:lang w:val="en-GB"/>
        </w:rPr>
      </w:pPr>
      <w:r w:rsidRPr="005D1E94">
        <w:rPr>
          <w:lang w:val="en-GB"/>
        </w:rPr>
        <w:t xml:space="preserve">Issues and directions </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In 2001 the EPA launched a discussion on the development of an electronic manifest scheme, using drop-downs and pre-populated forms and allowing generators to track their shipments and meet some of their recordkeeping requirements. In 2012 the Hazardous Waste Electronic </w:t>
      </w:r>
      <w:r w:rsidRPr="001D18BE">
        <w:rPr>
          <w:i/>
        </w:rPr>
        <w:t>Manifest Establishment Act</w:t>
      </w:r>
      <w:r w:rsidRPr="005D1E94">
        <w:t xml:space="preserve"> required the EPA to establish an online tracking scheme – which is due to launch in October this year.</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e-Manifest system will introduce new data management possibilities that could ultimately simplify the RCRA biennial reporting requirements and consolidate various federal and state reporting requirements for domestic and </w:t>
      </w:r>
      <w:proofErr w:type="spellStart"/>
      <w:r w:rsidRPr="005D1E94">
        <w:t>transboundary</w:t>
      </w:r>
      <w:proofErr w:type="spellEnd"/>
      <w:r w:rsidRPr="005D1E94">
        <w:t xml:space="preserve"> shipments.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It has been a surprisingly lengthy evolution given the rapid advance in tracking technologies, with retailers these days routinely using bar code tracking to monitor shipments of products around the world. However, only part of the challenge is the digital platform needed to underpin it, with much of the 14-year journey centring on efforts to bring disparate groups together. It is illustrative of the challenges in building any new centralised system serving multiple agendas and stakeholders, even with the existing RCRA architecture providing the regulatory umbrella.</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EPA initially proposed developing scheme standards and letting private sector entities develop their own systems, including large generators, transporters, waste management firms and IT vendors. It accepted strong feedback in favour of a single national system rather than the decentralised and privatised approach, agreeing to develop and host the service on its Central Data Exchange (CDX). </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The e-Manifest system will be available to track shipments of state-only hazardous wastes, even between states with different regulations, as long as the generator, transporter and receiving facility elect to use the system, which will be voluntary. Stakeholders generally agreed the e-Manifest should be an optional means to track waste shipments and receipts for the regulated RCRA hazardous waste transporters, rather than a technology requirement for the entire user community. The EPA rejected the push to narrow the interface to transporters only, but accepted the voluntary option and will ensure it is capable of incorporating data from paper manifests through manual data entry (for an additional fee).</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However, it strongly expects the e-Manifest to be broadly adopted due to economic savings and convenience of electronic submission. Additionally, as more users join the e-Manifest system the cost of maintaining a paper system will fall on a smaller and smaller group of paper users, likely resulting in increasing fees for paper submissions.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lastRenderedPageBreak/>
        <w:t>The EPA estimates the administrative burden will be reduced by between 300,000 and 700,000 hours, cutting costs by 25%, or more than US$75 million per year. It intends to release more detailed cost and benefit estimates for industry more broadly within the Regulatory Impact Analysis for the fee rule. Prominent among the non-economic benefits are:</w:t>
      </w:r>
    </w:p>
    <w:p w:rsidR="005D1E94" w:rsidRPr="005D1E94" w:rsidRDefault="005D1E94" w:rsidP="00F27C74">
      <w:pPr>
        <w:numPr>
          <w:ilvl w:val="0"/>
          <w:numId w:val="54"/>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D1E94">
        <w:t xml:space="preserve">Improved access to higher quality and more timely waste shipment data </w:t>
      </w:r>
    </w:p>
    <w:p w:rsidR="005D1E94" w:rsidRPr="005D1E94" w:rsidRDefault="005D1E94" w:rsidP="00F27C74">
      <w:pPr>
        <w:numPr>
          <w:ilvl w:val="0"/>
          <w:numId w:val="54"/>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D1E94">
        <w:t>Nearly real-time shipment tracking capabilities for users</w:t>
      </w:r>
    </w:p>
    <w:p w:rsidR="005D1E94" w:rsidRPr="005D1E94" w:rsidRDefault="005D1E94" w:rsidP="00F27C74">
      <w:pPr>
        <w:numPr>
          <w:ilvl w:val="0"/>
          <w:numId w:val="54"/>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D1E94">
        <w:t xml:space="preserve">Enhanced manifest inspection and enforcement capabilities for regulators </w:t>
      </w:r>
    </w:p>
    <w:p w:rsidR="005D1E94" w:rsidRPr="005D1E94" w:rsidRDefault="005D1E94" w:rsidP="00F27C74">
      <w:pPr>
        <w:numPr>
          <w:ilvl w:val="0"/>
          <w:numId w:val="54"/>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D1E94">
        <w:t>More rapid notification and responses to problems or discrepancies encountered with shipments or deliveries</w:t>
      </w:r>
    </w:p>
    <w:p w:rsidR="005D1E94" w:rsidRPr="005D1E94" w:rsidRDefault="005D1E94" w:rsidP="00F27C74">
      <w:pPr>
        <w:numPr>
          <w:ilvl w:val="0"/>
          <w:numId w:val="54"/>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D1E94">
        <w:t xml:space="preserve">Greater access for emergency responders about the types and sources of hazardous waste that are in movement between generator sites and waste management facilities </w:t>
      </w:r>
    </w:p>
    <w:p w:rsidR="005D1E94" w:rsidRPr="005D1E94" w:rsidRDefault="005D1E94" w:rsidP="00F27C74">
      <w:pPr>
        <w:numPr>
          <w:ilvl w:val="0"/>
          <w:numId w:val="54"/>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D1E94">
        <w:t>One-stop manifest copy submission to EPA and to all interested states through the Exchange Network architecture</w:t>
      </w:r>
    </w:p>
    <w:p w:rsidR="005D1E94" w:rsidRPr="005D1E94" w:rsidRDefault="005D1E94" w:rsidP="00F27C74">
      <w:pPr>
        <w:numPr>
          <w:ilvl w:val="0"/>
          <w:numId w:val="54"/>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D1E94">
        <w:t>Greater transparency for the public about completed hazardous waste shipments to or from their communities.</w:t>
      </w:r>
    </w:p>
    <w:p w:rsidR="005D1E94" w:rsidRPr="005D1E94" w:rsidRDefault="005D1E94" w:rsidP="005D1E94">
      <w:pPr>
        <w:pStyle w:val="Heading3"/>
      </w:pPr>
      <w:r w:rsidRPr="005D1E94">
        <w:t>New Zealand</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New Zealand has a decentralised approach to hazardous waste management, resulting in many agencies having a role including the Ministry for the Environment and regional councils and territorial authorities.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It is a party to the Basel Convention and the OECD rules, but there is little regulatory activity given the low volumes of hazardous waste generated by the country’s small industrial base. The 2002 New Zealand Waste Strategy included targets to develop a comprehensive policy including transport rules by 2005 and a 20% increase in recovery and recycling for priority hazardous waste by 2012, but the 2010 version makes little mention of hazardous waste.</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Further, there is only a “working definition” of hazardous waste, which has no legal status, and there is no mandatory hazardous waste tracking regime. The voluntary online </w:t>
      </w:r>
      <w:proofErr w:type="spellStart"/>
      <w:r w:rsidRPr="005D1E94">
        <w:t>WasteTRACK</w:t>
      </w:r>
      <w:proofErr w:type="spellEnd"/>
      <w:r w:rsidRPr="005D1E94">
        <w:t xml:space="preserve"> system for liquid wastes was introduced in 2006, but it has failed to thrive and the central government will no longer fund the scheme from June 30 this year.</w:t>
      </w:r>
    </w:p>
    <w:p w:rsidR="005D1E94" w:rsidRPr="005D1E94" w:rsidRDefault="005D1E94" w:rsidP="005D1E94">
      <w:pPr>
        <w:pStyle w:val="Heading40"/>
        <w:rPr>
          <w:lang w:val="en-GB"/>
        </w:rPr>
      </w:pPr>
      <w:r w:rsidRPr="005D1E94">
        <w:rPr>
          <w:lang w:val="en-GB"/>
        </w:rPr>
        <w:t>The tracking regime</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proofErr w:type="spellStart"/>
      <w:r w:rsidRPr="005D1E94">
        <w:t>WasteTRACK</w:t>
      </w:r>
      <w:proofErr w:type="spellEnd"/>
      <w:r w:rsidRPr="005D1E94">
        <w:t xml:space="preserve"> is a version of Western Australia’s 2003 Controlled Waste Tracking System that has been modified for online use and solely for liquid wastes (which are hazardous by definition). The joint industry-government initiative is operated under licence to the Ministry for the Environment by a company called Liquid Systems.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internet-based database consolidates manifest, facility and carrier data to track hazardous wastes from generation, through transport to treatment or disposal. The transporter is the key operator in the process. Each time a shipment is requested by a waste generator, a registered transporter creates a tracking form with a unique number that follows the waste load from pickup through to a registered treatment/disposal. </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information includes the waste generator, the quantity and category of waste and where it is to be </w:t>
      </w:r>
      <w:proofErr w:type="gramStart"/>
      <w:r w:rsidRPr="005D1E94">
        <w:t>treated/disposed</w:t>
      </w:r>
      <w:proofErr w:type="gramEnd"/>
      <w:r w:rsidRPr="005D1E94">
        <w:t xml:space="preserve">. The transporter prints off the tracking form, which can be used as a job sheet. The treatment/disposal facility logs into </w:t>
      </w:r>
      <w:proofErr w:type="spellStart"/>
      <w:r w:rsidRPr="005D1E94">
        <w:t>WasteTRACK</w:t>
      </w:r>
      <w:proofErr w:type="spellEnd"/>
      <w:r w:rsidRPr="005D1E94">
        <w:t xml:space="preserve"> and verifies the waste received is the same as specified on the tracking sheet, </w:t>
      </w:r>
      <w:proofErr w:type="gramStart"/>
      <w:r w:rsidRPr="005D1E94">
        <w:t>then</w:t>
      </w:r>
      <w:proofErr w:type="gramEnd"/>
      <w:r w:rsidRPr="005D1E94">
        <w:t xml:space="preserve"> the transporter closes the tracking form. There </w:t>
      </w:r>
      <w:r w:rsidRPr="005D1E94">
        <w:lastRenderedPageBreak/>
        <w:t>are several different levels of access, with managers able to perform more tasks and see more information than a driver or data entry operator.</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While quite a simple structure, the central government in December 2014 wrote to territorial authorities announcing it would cease funding from June 30, 2015 and had no intention to replace it. The pending closure illustrates a number of flaws in the tracking scheme.</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The system was designed to leverage off the industry’s Liquid and Hazardous Wastes Code of Practice, with only code-compliant companies permitted to register, but it was also envisioned that it would in time be underpinned by federal regulations. There was no federal follow through and, while a few councils require its use via their trade waste bylaws and regional council discharge consents, not many have done so. As a result, few hazardous waste generators have picked it up.</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Second, it has been limited by the heritage of its industry backers, the New Zealand Water and Wastes Association (now Water New Zealand) and the Liquid Waste Contractors Special Interest Group. While there are 15 waste categories within the system, broken into 92 sub-categories, in practice it has only been used to manage liquid wastes.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Third, it does not cost the generator to log a job nor the transporter to process it. As a result, the scheme has no revenue flow and has all along been subsidised by the government.</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Fourth, the voluntary nature of the scheme has meant it never delivered the promised industry-wide insights to </w:t>
      </w:r>
      <w:proofErr w:type="gramStart"/>
      <w:r w:rsidRPr="005D1E94">
        <w:t>inform policy</w:t>
      </w:r>
      <w:proofErr w:type="gramEnd"/>
      <w:r w:rsidRPr="005D1E94">
        <w:t xml:space="preserve"> development nor the regulatory efficiency of identifying those adopting best practice, and therefore by default those who did not.</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Finally, the government said its decision to pull out of the scheme was because the IT architecture lacked the rigour and robustness to adequately deal with industry and government requirements, and it was not willing to fund extensive upgrades. </w:t>
      </w:r>
    </w:p>
    <w:p w:rsidR="005D1E94" w:rsidRPr="005D1E94" w:rsidRDefault="005D1E94" w:rsidP="005D1E94">
      <w:pPr>
        <w:pStyle w:val="Heading40"/>
        <w:rPr>
          <w:lang w:val="en-GB"/>
        </w:rPr>
      </w:pPr>
      <w:r w:rsidRPr="005D1E94">
        <w:rPr>
          <w:lang w:val="en-GB"/>
        </w:rPr>
        <w:t>Relationship between jurisdictions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More broadly, the New Zealand EPA administers international agreements that control the import/export of hazardous waste, while local authorities are responsible for “the prevention or mitigation of any adverse effects of the storage, use, disposal, or transportation of hazardous substances” under the </w:t>
      </w:r>
      <w:r w:rsidRPr="001D18BE">
        <w:rPr>
          <w:i/>
        </w:rPr>
        <w:t>Resource Management Act</w:t>
      </w:r>
      <w:r w:rsidRPr="005D1E94">
        <w:t xml:space="preserve"> (RMA) 1991.</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Guidelines for the Management of Hazardous Waste developed in 2002 provide a good basis for a coordinated approach between jurisdictions, including a framework and forms for record-keeping that span generation, storage, transportation, treatment and disposal. As it stands, however, there are no specific tracking requirements for hazardous waste, which largely falls through gaps of the both the </w:t>
      </w:r>
      <w:r w:rsidRPr="001D18BE">
        <w:rPr>
          <w:i/>
        </w:rPr>
        <w:t>Hazardous Substances and New Organisms Act</w:t>
      </w:r>
      <w:r w:rsidRPr="005D1E94">
        <w:t xml:space="preserve"> and the Land Transport Rule (Dangerous Goods).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The RMA provides tools that enable local authorities to place controls on the use of land for the purposes of addressing adverse effects of the storage and transportation of hazardous wastes. However, these tools are only designed to control the environmental effects of storage and transport of hazardous wastes, not actively manage the tracking of such wastes.</w:t>
      </w:r>
    </w:p>
    <w:p w:rsidR="005D1E94" w:rsidRPr="005D1E94" w:rsidRDefault="005D1E94" w:rsidP="005D1E94">
      <w:pPr>
        <w:pStyle w:val="Heading40"/>
        <w:rPr>
          <w:lang w:val="en-GB"/>
        </w:rPr>
      </w:pPr>
      <w:r w:rsidRPr="005D1E94">
        <w:rPr>
          <w:lang w:val="en-GB"/>
        </w:rPr>
        <w:t>International movements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New Zealand restricts the international movement of hazardous and other wastes for final disposal through the Imports and Exports (Restrictions) Prohibition Order (No 2) 2004. It is a signatory to the Basel Convention, the OECD decision and the </w:t>
      </w:r>
      <w:proofErr w:type="spellStart"/>
      <w:r w:rsidRPr="005D1E94">
        <w:t>Waigani</w:t>
      </w:r>
      <w:proofErr w:type="spellEnd"/>
      <w:r w:rsidRPr="005D1E94">
        <w:t xml:space="preserve"> Convention, which prohibits export to any Pacific Island Forum countries. The EPA must grant a permit for any import or export.</w:t>
      </w:r>
    </w:p>
    <w:p w:rsidR="005D1E94" w:rsidRPr="005D1E94" w:rsidRDefault="005D1E94" w:rsidP="005D1E94">
      <w:pPr>
        <w:pStyle w:val="Heading40"/>
        <w:rPr>
          <w:lang w:val="en-GB"/>
        </w:rPr>
      </w:pPr>
      <w:r w:rsidRPr="005D1E94">
        <w:rPr>
          <w:lang w:val="en-GB"/>
        </w:rPr>
        <w:lastRenderedPageBreak/>
        <w:t xml:space="preserve">Issues and directions </w:t>
      </w:r>
    </w:p>
    <w:p w:rsidR="005D1E94" w:rsidRPr="005D1E94" w:rsidRDefault="005D1E94" w:rsidP="0005522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defunding of the </w:t>
      </w:r>
      <w:proofErr w:type="spellStart"/>
      <w:r w:rsidRPr="005D1E94">
        <w:t>WasteTRACK</w:t>
      </w:r>
      <w:proofErr w:type="spellEnd"/>
      <w:r w:rsidRPr="005D1E94">
        <w:t xml:space="preserve"> system will likely see the cessation of hazardous waste tracking in New Zealand for the foreseeable future, although there have been some early stage industry discuss</w:t>
      </w:r>
      <w:r w:rsidR="0005522B">
        <w:t>ions about alternative options.</w:t>
      </w:r>
    </w:p>
    <w:p w:rsidR="005D1E94" w:rsidRPr="005D1E94" w:rsidRDefault="005D1E94" w:rsidP="005D1E94">
      <w:pPr>
        <w:pStyle w:val="Heading3"/>
      </w:pPr>
      <w:bookmarkStart w:id="58" w:name="_Ref412725243"/>
      <w:r w:rsidRPr="005D1E94">
        <w:t>Canada</w:t>
      </w:r>
      <w:bookmarkEnd w:id="58"/>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Canada’s hazardous waste tracking regime closely resembles that of Australia, with all levels of government having some role in managing hazardous wastes but limited connectivity between province (state) hazardous waste regimes and the federal regulations that control </w:t>
      </w:r>
      <w:proofErr w:type="spellStart"/>
      <w:r w:rsidRPr="005D1E94">
        <w:t>transboundary</w:t>
      </w:r>
      <w:proofErr w:type="spellEnd"/>
      <w:r w:rsidRPr="005D1E94">
        <w:t xml:space="preserve"> movements under the </w:t>
      </w:r>
      <w:r w:rsidRPr="001D18BE">
        <w:rPr>
          <w:i/>
        </w:rPr>
        <w:t>Canadian Environmental Protection Act 1999</w:t>
      </w:r>
      <w:r w:rsidRPr="005D1E94">
        <w:t>.</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Provincial and territorial governments establish measures and criteria for licensing hazardous waste generators, carriers and treatment facilities, in addition to controlling movements of wastes within their jurisdictions. The federal government regulates </w:t>
      </w:r>
      <w:proofErr w:type="spellStart"/>
      <w:r w:rsidRPr="005D1E94">
        <w:t>transboundary</w:t>
      </w:r>
      <w:proofErr w:type="spellEnd"/>
      <w:r w:rsidRPr="005D1E94">
        <w:t xml:space="preserve"> movements of hazardous wastes and hazardous recyclable materials, in addition to negotiating international agreements.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Canada is a signatory to the Basel Convention and guided by the OECD Decision on the Control of </w:t>
      </w:r>
      <w:proofErr w:type="spellStart"/>
      <w:r w:rsidRPr="005D1E94">
        <w:t>Transboundary</w:t>
      </w:r>
      <w:proofErr w:type="spellEnd"/>
      <w:r w:rsidRPr="005D1E94">
        <w:t xml:space="preserve"> Movements of Wastes for Recovery Operations. Significantly, it has also ratified the 1986 Canada–US Agreement on </w:t>
      </w:r>
      <w:proofErr w:type="spellStart"/>
      <w:r w:rsidRPr="005D1E94">
        <w:t>Transboundary</w:t>
      </w:r>
      <w:proofErr w:type="spellEnd"/>
      <w:r w:rsidRPr="005D1E94">
        <w:t xml:space="preserve"> Movement of Hazardous Waste, which substantially shapes primary definitions of hazardous waste at all jurisdictional levels as most provinces end up working with the US on import/export movements.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That agreement has also seen Canada (and Mexico) make an explicit inclusion of hazardous recyclable materials in the tracking requirements, because the US waived the need to track recyclables. Australia extended its tracking to include recyclables in 1996, but Canada </w:t>
      </w:r>
      <w:r w:rsidR="00B56655">
        <w:t>went further and</w:t>
      </w:r>
      <w:r w:rsidRPr="005D1E94">
        <w:t xml:space="preserve"> introduced some variations in the requirements and exemptions for hazardous recyclables, both at the federal and provincial level. For example, intrastate shipments of hazardous recyclables in Alberta do not require a PIN registered transporter and need only a basic “recycled docket” printed off the environment department’s website, not a formal tracking manifest.</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Another key interest point in the Canadian system is the transparency of the ground-up provincial system versus the top-down </w:t>
      </w:r>
      <w:proofErr w:type="spellStart"/>
      <w:r w:rsidRPr="005D1E94">
        <w:t>transboundary</w:t>
      </w:r>
      <w:proofErr w:type="spellEnd"/>
      <w:r w:rsidRPr="005D1E94">
        <w:t xml:space="preserve"> one. Unlike the semi-centralised US system that aggregates all data nationally in a biennial report, Canada does not produce any periodic nationwide data that covers all hazardous waste, including domestic. On the other hand, its single system for tracking all </w:t>
      </w:r>
      <w:proofErr w:type="spellStart"/>
      <w:r w:rsidRPr="005D1E94">
        <w:t>transboundary</w:t>
      </w:r>
      <w:proofErr w:type="spellEnd"/>
      <w:r w:rsidRPr="005D1E94">
        <w:t xml:space="preserve"> movements is more comprehensive and responsive than the comparable US system, including an annual report on the export and import of hazardous waste and hazardous recyclable materials. </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Most provinces have paper-based tracking systems but Ontario has developed an electronic regime, while Environment Canada is developing an electronic tracking system for all </w:t>
      </w:r>
      <w:proofErr w:type="spellStart"/>
      <w:r w:rsidRPr="005D1E94">
        <w:t>transboundary</w:t>
      </w:r>
      <w:proofErr w:type="spellEnd"/>
      <w:r w:rsidRPr="005D1E94">
        <w:t xml:space="preserve"> movements. </w:t>
      </w:r>
    </w:p>
    <w:p w:rsidR="005D1E94" w:rsidRPr="005D1E94" w:rsidRDefault="005D1E94" w:rsidP="005D1E94">
      <w:pPr>
        <w:pStyle w:val="Heading40"/>
        <w:rPr>
          <w:lang w:val="en-GB"/>
        </w:rPr>
      </w:pPr>
      <w:r w:rsidRPr="005D1E94">
        <w:rPr>
          <w:lang w:val="en-GB"/>
        </w:rPr>
        <w:t>The tracking regime</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In 2005 Canada is estimated to have generated about 6 million tonnes of hazardous waste, around 17% of the US volume that year. Generation is concentrated in four provinces, Ontario, Quebec, Alberta and British Columbia, which have the most advanced hazardous waste regulations and tracking schemes. At the other end of the scale provinces such as Nova Scotia have no tracking, relying purely on the federal Transportation of Dangerous Goods Regulations to provide safeguards.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Ontario, which has the most comprehensive regulatory system for hazardous wastes, began tracking hazardous waste in 1985 and updated the scheme in 2002 to introduce the Hazardous </w:t>
      </w:r>
      <w:r w:rsidRPr="005D1E94">
        <w:lastRenderedPageBreak/>
        <w:t xml:space="preserve">Waste Information Network (HWIN). It allows generators, carriers and receivers to register their activities and process electronic manifests online, although it does allow paper permits in order to tie in with the other provinces and the federal government, all of which use variations on the multiple copy paper </w:t>
      </w:r>
      <w:proofErr w:type="gramStart"/>
      <w:r w:rsidRPr="005D1E94">
        <w:t>manifest</w:t>
      </w:r>
      <w:proofErr w:type="gramEnd"/>
      <w:r w:rsidRPr="005D1E94">
        <w:t>.</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In general, Part A of the paper manifest is prepared by the generator (consignor), Part B by the transporter and Part C by the receiver (consignee), who must then send the completed manifest within three days of receiving the waste to the generator, the last authorised carrier and the authorities of the province where the waste originated and terminated. </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w:t>
      </w:r>
      <w:proofErr w:type="gramStart"/>
      <w:r w:rsidRPr="005D1E94">
        <w:t>exceptions to the decentralised provincial responsibilities is</w:t>
      </w:r>
      <w:proofErr w:type="gramEnd"/>
      <w:r w:rsidRPr="005D1E94">
        <w:t xml:space="preserve"> the tracking of hazardous waste shipments between provinces, which comes under the federal Interprovincial Movement of Hazardous Waste Regulations, and for international movements via the Export and Import of Hazardous Waste and Hazardous Recyclable Material Regulations (EIHWHRMR).</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Environment Canada administers the </w:t>
      </w:r>
      <w:proofErr w:type="spellStart"/>
      <w:r w:rsidRPr="005D1E94">
        <w:t>transboundary</w:t>
      </w:r>
      <w:proofErr w:type="spellEnd"/>
      <w:r w:rsidRPr="005D1E94">
        <w:t xml:space="preserve"> regimes and uses the Canadian Notice and Manifest Tracking System (CNMTS) to collect, store and process information on inter-provincial and international movement of hazardous waste/recyclable material. It is still in the early stages of electronically exchanging information with regulated companies and the Canada Border Services Agency (CBSA) – and still uses paper-based communications with the US and provinces – but the shift to greater electronic exchange is gathering pace. The vision is the new system would be accessible by not only program staff but by other internal partners in program delivery as well as regulates and competent authorities in other jurisdictions.</w:t>
      </w:r>
    </w:p>
    <w:p w:rsidR="005D1E94" w:rsidRPr="005D1E94" w:rsidRDefault="005D1E94" w:rsidP="005D1E94">
      <w:pPr>
        <w:pStyle w:val="Heading40"/>
        <w:rPr>
          <w:lang w:val="en-GB"/>
        </w:rPr>
      </w:pPr>
      <w:r w:rsidRPr="005D1E94">
        <w:rPr>
          <w:lang w:val="en-GB"/>
        </w:rPr>
        <w:t>Relationship between jurisdictions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No intrastate provincial information is shared with Environment Canada, which only tracks </w:t>
      </w:r>
      <w:proofErr w:type="spellStart"/>
      <w:r w:rsidRPr="005D1E94">
        <w:t>transboundary</w:t>
      </w:r>
      <w:proofErr w:type="spellEnd"/>
      <w:r w:rsidRPr="005D1E94">
        <w:t xml:space="preserve"> movements. However, some provinces are more aligned with the federal tracking system than others. For example, in British Columbia the </w:t>
      </w:r>
      <w:r w:rsidR="000B0946">
        <w:t xml:space="preserve">standard </w:t>
      </w:r>
      <w:r w:rsidRPr="005D1E94">
        <w:t>movement manifest includes a section for international movements, which complies with the federal EIHWHRMR regime. The Ontario and federal regimes have been designed to largely harmonise in terms of coverage, but do not overlap entirely. Ontario includes categories of "liquid industrial wastes" and "</w:t>
      </w:r>
      <w:proofErr w:type="spellStart"/>
      <w:r w:rsidRPr="005D1E94">
        <w:t>registerable</w:t>
      </w:r>
      <w:proofErr w:type="spellEnd"/>
      <w:r w:rsidRPr="005D1E94">
        <w:t xml:space="preserve"> solid wastes”, while the federal regulations require manifesting for "corrosive solid wastes", which are not covered in the province. </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In 2006 there were discussions at the national/inter-jurisdictional level about greater harmonisation, including issues such as hazardous waste/recyclables definitions, tracking and information sharing and classification codes. However, it failed due to disagreements on the information sharing mechanisms and the allocation of costs.</w:t>
      </w:r>
    </w:p>
    <w:p w:rsidR="005D1E94" w:rsidRPr="005D1E94" w:rsidRDefault="005D1E94" w:rsidP="005D1E94">
      <w:pPr>
        <w:pStyle w:val="Heading40"/>
        <w:rPr>
          <w:lang w:val="en-GB"/>
        </w:rPr>
      </w:pPr>
      <w:r w:rsidRPr="005D1E94">
        <w:rPr>
          <w:lang w:val="en-GB"/>
        </w:rPr>
        <w:t>International movements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There are about 34,000 movements of hazardous waste/recyclables between the US and Canada per year. Despite the volume, multiple reports have raised questions about the efficacy of the tracking processes. </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Commission for Environmental Cooperation (CEC) 1999 report, </w:t>
      </w:r>
      <w:r w:rsidRPr="005D1E94">
        <w:rPr>
          <w:i/>
        </w:rPr>
        <w:t xml:space="preserve">Tracking and Enforcement of </w:t>
      </w:r>
      <w:proofErr w:type="spellStart"/>
      <w:r w:rsidRPr="005D1E94">
        <w:rPr>
          <w:i/>
        </w:rPr>
        <w:t>Transboundary</w:t>
      </w:r>
      <w:proofErr w:type="spellEnd"/>
      <w:r w:rsidRPr="005D1E94">
        <w:rPr>
          <w:i/>
        </w:rPr>
        <w:t xml:space="preserve"> Hazardous Waste Shipments in North America</w:t>
      </w:r>
      <w:r w:rsidRPr="005D1E94">
        <w:t xml:space="preserve">, concluded the processes and systems were deficient with respect to the quality, quantity and timing of information. The CEC’s 2011 </w:t>
      </w:r>
      <w:proofErr w:type="gramStart"/>
      <w:r w:rsidRPr="005D1E94">
        <w:t>Crossing</w:t>
      </w:r>
      <w:proofErr w:type="gramEnd"/>
      <w:r w:rsidRPr="005D1E94">
        <w:t xml:space="preserve"> the Border report found: “The availability, usefulness and comparability of data related to hazardous waste generation and disposal remains a challenge. In addition, greater efforts must be directed towards the sound management and appropriate monitoring of these wastes and materials as they are transported across North American borders.”</w:t>
      </w:r>
    </w:p>
    <w:p w:rsidR="005D1E94" w:rsidRPr="005D1E94" w:rsidRDefault="005D1E94" w:rsidP="005D1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The key response in Canada (and the US) has been the Single Window Initiative, which consolidates multiple reporting requirements for cross-border movements into a single electronic report, which is </w:t>
      </w:r>
      <w:proofErr w:type="gramStart"/>
      <w:r w:rsidRPr="005D1E94">
        <w:t>then</w:t>
      </w:r>
      <w:proofErr w:type="gramEnd"/>
      <w:r w:rsidRPr="005D1E94">
        <w:t xml:space="preserve"> distributed the appropriate agencies. The customs service in </w:t>
      </w:r>
      <w:r w:rsidRPr="005D1E94">
        <w:lastRenderedPageBreak/>
        <w:t>effect becomes a central clearing house, streamlining information flow and reducing compliance and administration costs. Late last year CBSA included Environment Canada as a partner agency for hazardous waste movements; the US Customs and Border Protection refers to its’ single window as the International Trade Data System.</w:t>
      </w:r>
    </w:p>
    <w:p w:rsidR="005D1E94" w:rsidRPr="005D1E94" w:rsidRDefault="005D1E94" w:rsidP="005D1E94">
      <w:pPr>
        <w:pStyle w:val="Heading40"/>
        <w:rPr>
          <w:lang w:val="en-GB"/>
        </w:rPr>
      </w:pPr>
      <w:r w:rsidRPr="005D1E94">
        <w:rPr>
          <w:lang w:val="en-GB"/>
        </w:rPr>
        <w:t xml:space="preserve">Issues and directions </w:t>
      </w:r>
    </w:p>
    <w:p w:rsidR="00C904CF" w:rsidRDefault="005D1E94" w:rsidP="00953A4C">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D1E94">
        <w:t xml:space="preserve">While the Canadian Council of Ministers of the Environment (CCME) does have on its agenda a desire to harmonise and streamline environmental regulation, it has not returned to hazardous waste regimes since 2006. The key active change at the moment is Environment Canada’s development of an electronic system tracking system for </w:t>
      </w:r>
      <w:proofErr w:type="spellStart"/>
      <w:r w:rsidRPr="005D1E94">
        <w:t>transboundary</w:t>
      </w:r>
      <w:proofErr w:type="spellEnd"/>
      <w:r w:rsidRPr="005D1E94">
        <w:t xml:space="preserve"> movement of waste, which will include the submission of notices, the issuance of permits and other types of information exchanges required by the tracking regulations.</w:t>
      </w:r>
    </w:p>
    <w:p w:rsidR="00C904CF" w:rsidRDefault="00C904CF" w:rsidP="00C71087">
      <w:pPr>
        <w:pStyle w:val="Heading2"/>
      </w:pPr>
      <w:bookmarkStart w:id="59" w:name="_Toc421181741"/>
      <w:r w:rsidRPr="00C904CF">
        <w:t>Learning for Australia</w:t>
      </w:r>
      <w:bookmarkEnd w:id="59"/>
    </w:p>
    <w:p w:rsidR="004C1B53" w:rsidRDefault="004C1B53" w:rsidP="004C1B53">
      <w:pPr>
        <w:pStyle w:val="ParaIndent"/>
      </w:pPr>
      <w:r>
        <w:t xml:space="preserve">The range of countries reviewed demonstrate a remarkably common general approach to tracking hazardous waste, typically based on multi-copy manifests with responsibilities along the waste chain from generator to transport and </w:t>
      </w:r>
      <w:proofErr w:type="spellStart"/>
      <w:r>
        <w:t>receival</w:t>
      </w:r>
      <w:proofErr w:type="spellEnd"/>
      <w:r>
        <w:t xml:space="preserve"> facility. However, the case studies have highlighted some </w:t>
      </w:r>
      <w:r w:rsidR="003756B2">
        <w:t xml:space="preserve">of the </w:t>
      </w:r>
      <w:r>
        <w:t>finer differences</w:t>
      </w:r>
      <w:r w:rsidR="003756B2">
        <w:t xml:space="preserve"> between regimes that go a long way to dictating operational effectiveness.</w:t>
      </w:r>
    </w:p>
    <w:p w:rsidR="00986FEB" w:rsidRDefault="00C71087" w:rsidP="00F27C74">
      <w:pPr>
        <w:pStyle w:val="ParaIndent"/>
        <w:numPr>
          <w:ilvl w:val="2"/>
          <w:numId w:val="52"/>
        </w:numPr>
        <w:ind w:left="1494"/>
      </w:pPr>
      <w:r>
        <w:t xml:space="preserve">For the US, disparate manifests for states running their own schemes proved a barrier to waste movements, despite the overarching </w:t>
      </w:r>
      <w:r w:rsidRPr="001D18BE">
        <w:rPr>
          <w:i/>
        </w:rPr>
        <w:t>Resource Conservation and Recovery Act</w:t>
      </w:r>
      <w:r>
        <w:t>.</w:t>
      </w:r>
      <w:r w:rsidRPr="00C71087">
        <w:t xml:space="preserve"> </w:t>
      </w:r>
      <w:r w:rsidRPr="00C3767C">
        <w:t xml:space="preserve">States now use </w:t>
      </w:r>
      <w:r>
        <w:t>an approved</w:t>
      </w:r>
      <w:r w:rsidRPr="00C3767C">
        <w:t xml:space="preserve"> basic template but are permitted to</w:t>
      </w:r>
      <w:r>
        <w:t xml:space="preserve"> add </w:t>
      </w:r>
      <w:r w:rsidR="002C107A">
        <w:t xml:space="preserve">wastes and codes </w:t>
      </w:r>
      <w:r>
        <w:t>as justified by individual circumstance</w:t>
      </w:r>
      <w:r w:rsidR="00986FEB">
        <w:t>s</w:t>
      </w:r>
      <w:r w:rsidR="00737FDF">
        <w:t>.</w:t>
      </w:r>
    </w:p>
    <w:p w:rsidR="00C71087" w:rsidRDefault="00C30D39" w:rsidP="00F27C74">
      <w:pPr>
        <w:pStyle w:val="ListParagraph"/>
        <w:numPr>
          <w:ilvl w:val="2"/>
          <w:numId w:val="5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494"/>
      </w:pPr>
      <w:r>
        <w:t>This central template will ease the shift to a single electronic</w:t>
      </w:r>
      <w:r w:rsidR="00986FEB">
        <w:t xml:space="preserve"> manifest (</w:t>
      </w:r>
      <w:r w:rsidR="00986FEB" w:rsidRPr="005D1E94">
        <w:t>e-Manifest</w:t>
      </w:r>
      <w:r w:rsidR="00986FEB">
        <w:t>)</w:t>
      </w:r>
      <w:r w:rsidR="00986FEB" w:rsidRPr="005D1E94">
        <w:t xml:space="preserve"> </w:t>
      </w:r>
      <w:r w:rsidR="00986FEB">
        <w:t>which</w:t>
      </w:r>
      <w:r w:rsidR="00986FEB" w:rsidRPr="005D1E94">
        <w:t xml:space="preserve"> will be available to track shipments of state-only hazardous wastes, even between states with different regulations, as long as the generator, transporter and receiving facility elect to use the system</w:t>
      </w:r>
      <w:r w:rsidR="00986FEB">
        <w:t xml:space="preserve">. It will allow one-stop </w:t>
      </w:r>
      <w:r w:rsidR="00986FEB" w:rsidRPr="005D1E94">
        <w:t xml:space="preserve">submission to </w:t>
      </w:r>
      <w:r w:rsidR="00986FEB">
        <w:t>the EPA and</w:t>
      </w:r>
      <w:r w:rsidR="00986FEB" w:rsidRPr="005D1E94">
        <w:t xml:space="preserve"> all interested states through the Exchange Network architecture</w:t>
      </w:r>
      <w:r w:rsidR="00737FDF">
        <w:t>.</w:t>
      </w:r>
    </w:p>
    <w:p w:rsidR="005029B3" w:rsidRDefault="001D528F" w:rsidP="00F27C74">
      <w:pPr>
        <w:pStyle w:val="ParaIndent"/>
        <w:numPr>
          <w:ilvl w:val="2"/>
          <w:numId w:val="52"/>
        </w:numPr>
        <w:ind w:left="1494"/>
      </w:pPr>
      <w:r>
        <w:t xml:space="preserve">Ineffective and inefficient monitoring of international movements between Canada, the US and Mexico </w:t>
      </w:r>
      <w:r w:rsidR="005029B3">
        <w:t>is</w:t>
      </w:r>
      <w:r>
        <w:t xml:space="preserve"> driving a push towards </w:t>
      </w:r>
      <w:r w:rsidR="005029B3">
        <w:t xml:space="preserve">online </w:t>
      </w:r>
      <w:r>
        <w:t>consolidation, via a so-called Single Window I</w:t>
      </w:r>
      <w:r w:rsidRPr="005D1E94">
        <w:t>nitiative</w:t>
      </w:r>
      <w:r>
        <w:t>.</w:t>
      </w:r>
      <w:r w:rsidR="005029B3">
        <w:t xml:space="preserve"> The</w:t>
      </w:r>
      <w:r w:rsidR="005029B3" w:rsidRPr="005D1E94">
        <w:t xml:space="preserve"> online portal for submitting all import and export related information, including hazardous waste movements</w:t>
      </w:r>
      <w:r w:rsidR="005029B3">
        <w:t xml:space="preserve">, will </w:t>
      </w:r>
      <w:r w:rsidR="000B0946">
        <w:t xml:space="preserve">efficiently </w:t>
      </w:r>
      <w:r w:rsidR="005029B3">
        <w:t>distribute the information t</w:t>
      </w:r>
      <w:r w:rsidR="00737FDF">
        <w:t>o the relevant partner agencies.</w:t>
      </w:r>
    </w:p>
    <w:p w:rsidR="00737FDF" w:rsidRDefault="00737FDF" w:rsidP="00F27C74">
      <w:pPr>
        <w:pStyle w:val="ListParagraph"/>
        <w:numPr>
          <w:ilvl w:val="2"/>
          <w:numId w:val="5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494"/>
      </w:pPr>
      <w:r>
        <w:t xml:space="preserve">Canada, which most closely resembles the Australian model, highlighted the need to tackle </w:t>
      </w:r>
      <w:r w:rsidRPr="005D1E94">
        <w:t xml:space="preserve">the allocation of </w:t>
      </w:r>
      <w:r>
        <w:t xml:space="preserve">reform </w:t>
      </w:r>
      <w:r w:rsidRPr="005D1E94">
        <w:t>costs</w:t>
      </w:r>
      <w:r w:rsidRPr="000B0946">
        <w:t xml:space="preserve"> </w:t>
      </w:r>
      <w:r>
        <w:t>and how information would be shared.</w:t>
      </w:r>
    </w:p>
    <w:p w:rsidR="007A0759" w:rsidRDefault="007A0759" w:rsidP="00F27C74">
      <w:pPr>
        <w:pStyle w:val="ParaIndent"/>
        <w:numPr>
          <w:ilvl w:val="2"/>
          <w:numId w:val="52"/>
        </w:numPr>
        <w:ind w:left="1494"/>
      </w:pPr>
      <w:r>
        <w:t>The New Zealand experience suggests</w:t>
      </w:r>
      <w:r w:rsidR="000B0946">
        <w:t xml:space="preserve"> international treaties are only as compelling as the national government is prepared to enforce. Further, </w:t>
      </w:r>
      <w:r>
        <w:t xml:space="preserve">industry </w:t>
      </w:r>
      <w:r w:rsidR="000B0946">
        <w:t>is reluctant to</w:t>
      </w:r>
      <w:r>
        <w:t xml:space="preserve"> voluntarily move to an electronic scheme unless </w:t>
      </w:r>
      <w:r w:rsidR="000B0946">
        <w:t>encouraged</w:t>
      </w:r>
      <w:r>
        <w:t xml:space="preserve"> by government and underpinned by a robust, user-friendly electronic</w:t>
      </w:r>
      <w:r w:rsidR="000B0946">
        <w:t xml:space="preserve"> scheme and a strong business case.</w:t>
      </w:r>
    </w:p>
    <w:p w:rsidR="00C71087" w:rsidRDefault="00C71087" w:rsidP="00F27C74">
      <w:pPr>
        <w:pStyle w:val="ParaIndent"/>
        <w:numPr>
          <w:ilvl w:val="2"/>
          <w:numId w:val="52"/>
        </w:numPr>
        <w:ind w:left="1494"/>
      </w:pPr>
      <w:r>
        <w:t>T</w:t>
      </w:r>
      <w:r w:rsidRPr="005D1E94">
        <w:t xml:space="preserve">he US </w:t>
      </w:r>
      <w:r>
        <w:t>EPA</w:t>
      </w:r>
      <w:r w:rsidRPr="005D1E94">
        <w:t xml:space="preserve"> developed its hazardous waste transporter regulations together with the Depa</w:t>
      </w:r>
      <w:r>
        <w:t>rtment of Transpo</w:t>
      </w:r>
      <w:r w:rsidR="000B0946">
        <w:t>rtation to avoid conflicting requirements.</w:t>
      </w:r>
    </w:p>
    <w:p w:rsidR="00CD3F54" w:rsidRDefault="005D1E94" w:rsidP="0074618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0" w:line="240" w:lineRule="auto"/>
      </w:pPr>
      <w:r>
        <w:br w:type="page"/>
      </w:r>
    </w:p>
    <w:p w:rsidR="00580BFE" w:rsidRPr="00580BFE" w:rsidRDefault="00580BFE" w:rsidP="00580BFE">
      <w:pPr>
        <w:pStyle w:val="Heading1"/>
      </w:pPr>
      <w:bookmarkStart w:id="60" w:name="_Toc421181742"/>
      <w:r w:rsidRPr="00580BFE">
        <w:lastRenderedPageBreak/>
        <w:t xml:space="preserve">Stakeholder </w:t>
      </w:r>
      <w:r w:rsidR="00101A6F">
        <w:t>p</w:t>
      </w:r>
      <w:r w:rsidRPr="00580BFE">
        <w:t>erspectives</w:t>
      </w:r>
      <w:bookmarkEnd w:id="60"/>
    </w:p>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 xml:space="preserve">Through March and April 2015 </w:t>
      </w:r>
      <w:proofErr w:type="spellStart"/>
      <w:r w:rsidRPr="00580BFE">
        <w:t>Hyder</w:t>
      </w:r>
      <w:proofErr w:type="spellEnd"/>
      <w:r w:rsidRPr="00580BFE">
        <w:t xml:space="preserve"> facilitated workshops</w:t>
      </w:r>
      <w:r w:rsidR="005F73E4">
        <w:t xml:space="preserve"> </w:t>
      </w:r>
      <w:r w:rsidR="00CC3BBE" w:rsidRPr="00580BFE">
        <w:t>in each state and territory</w:t>
      </w:r>
      <w:r w:rsidR="00CC3BBE">
        <w:t xml:space="preserve"> </w:t>
      </w:r>
      <w:r w:rsidR="00CC3BBE" w:rsidRPr="00580BFE">
        <w:t>(except the ACT</w:t>
      </w:r>
      <w:r w:rsidR="00CC3BBE">
        <w:t xml:space="preserve">) </w:t>
      </w:r>
      <w:r w:rsidR="005F73E4">
        <w:t>and directly contacted</w:t>
      </w:r>
      <w:r w:rsidRPr="00580BFE">
        <w:t xml:space="preserve"> industry stakeholders to confirm the existing context of hazardous waste tracking, understand the </w:t>
      </w:r>
      <w:r w:rsidR="00663BEB">
        <w:t xml:space="preserve">priorities </w:t>
      </w:r>
      <w:r w:rsidRPr="00580BFE">
        <w:t xml:space="preserve">of key actors and assess the scope for national reform spanning interstate and intrastate </w:t>
      </w:r>
      <w:r w:rsidR="00663BEB">
        <w:t>tracking</w:t>
      </w:r>
      <w:r w:rsidR="00CC3BBE">
        <w:t xml:space="preserve"> regimes</w:t>
      </w:r>
      <w:r w:rsidRPr="00580BFE">
        <w:t xml:space="preserve">. </w:t>
      </w:r>
    </w:p>
    <w:p w:rsidR="00D91A7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Hosted in each case by the environment agency charged with managing hazardous waste</w:t>
      </w:r>
      <w:r w:rsidR="00663BEB">
        <w:t xml:space="preserve"> in the jurisdiction</w:t>
      </w:r>
      <w:r w:rsidRPr="00580BFE">
        <w:t xml:space="preserve">, some workshops combined government and key industry personnel, others (on request) were government-only. Either way, </w:t>
      </w:r>
      <w:proofErr w:type="spellStart"/>
      <w:r w:rsidRPr="00580BFE">
        <w:t>Hyder</w:t>
      </w:r>
      <w:proofErr w:type="spellEnd"/>
      <w:r w:rsidRPr="00580BFE">
        <w:t xml:space="preserve"> directly pursued further industry input through phone ca</w:t>
      </w:r>
      <w:r w:rsidR="00663BEB">
        <w:t>l</w:t>
      </w:r>
      <w:r w:rsidR="001E50CE">
        <w:t xml:space="preserve">ls and an email questionnaire. </w:t>
      </w:r>
    </w:p>
    <w:p w:rsidR="00580BFE" w:rsidRPr="00580BFE" w:rsidRDefault="00CC3BBE" w:rsidP="008E1B6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T</w:t>
      </w:r>
      <w:r w:rsidR="00663BEB">
        <w:t xml:space="preserve">he key </w:t>
      </w:r>
      <w:r>
        <w:t xml:space="preserve">industry </w:t>
      </w:r>
      <w:r w:rsidR="00580BFE" w:rsidRPr="00580BFE">
        <w:t>target</w:t>
      </w:r>
      <w:r w:rsidR="00663BEB">
        <w:t xml:space="preserve"> was</w:t>
      </w:r>
      <w:r w:rsidR="00580BFE" w:rsidRPr="00580BFE">
        <w:t xml:space="preserve"> th</w:t>
      </w:r>
      <w:r w:rsidR="00663BEB">
        <w:t xml:space="preserve">e waste management sector given it </w:t>
      </w:r>
      <w:r w:rsidR="00580BFE" w:rsidRPr="00580BFE">
        <w:t xml:space="preserve">has the primary interface with the </w:t>
      </w:r>
      <w:r>
        <w:t>hazardous waste tracking system. This</w:t>
      </w:r>
      <w:r w:rsidR="00580BFE" w:rsidRPr="00580BFE">
        <w:t xml:space="preserve"> </w:t>
      </w:r>
      <w:r>
        <w:t>included</w:t>
      </w:r>
      <w:r w:rsidR="001E50CE">
        <w:t xml:space="preserve"> </w:t>
      </w:r>
      <w:r w:rsidR="009B2084">
        <w:t>mature hazardous waste specialists</w:t>
      </w:r>
      <w:r w:rsidR="001E50CE">
        <w:t xml:space="preserve">, the </w:t>
      </w:r>
      <w:r w:rsidR="00917589">
        <w:t>major</w:t>
      </w:r>
      <w:r w:rsidR="001E50CE">
        <w:t xml:space="preserve"> waste contractors and </w:t>
      </w:r>
      <w:r w:rsidR="008264D8">
        <w:t xml:space="preserve">facility owners, along with </w:t>
      </w:r>
      <w:r>
        <w:t>other</w:t>
      </w:r>
      <w:r w:rsidR="001E50CE">
        <w:t xml:space="preserve"> stakeholders such as Cement Australia.</w:t>
      </w:r>
      <w:r w:rsidR="00D91A7E">
        <w:t xml:space="preserve"> </w:t>
      </w:r>
      <w:r w:rsidR="008E1B64">
        <w:t>The response from w</w:t>
      </w:r>
      <w:r w:rsidR="00D91A7E" w:rsidRPr="00C92EE3">
        <w:t xml:space="preserve">aste generators </w:t>
      </w:r>
      <w:r w:rsidR="008E1B64">
        <w:t xml:space="preserve">was minimal, which is unsurprising given few </w:t>
      </w:r>
      <w:r w:rsidR="00D91A7E" w:rsidRPr="00C92EE3">
        <w:t xml:space="preserve">have any significant interaction with the </w:t>
      </w:r>
      <w:r w:rsidR="008E1B64">
        <w:t xml:space="preserve">tracking </w:t>
      </w:r>
      <w:r w:rsidR="00D91A7E" w:rsidRPr="00C92EE3">
        <w:t>system and are unlikely to be significan</w:t>
      </w:r>
      <w:r>
        <w:t xml:space="preserve">tly impacted by reforms that </w:t>
      </w:r>
      <w:r w:rsidR="00D91A7E" w:rsidRPr="00C92EE3">
        <w:t>concentrate on data requirements.</w:t>
      </w:r>
    </w:p>
    <w:p w:rsidR="00580BFE" w:rsidRPr="00746186" w:rsidRDefault="00663BEB" w:rsidP="00B109DF">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The outcomes revealed</w:t>
      </w:r>
      <w:r w:rsidR="00580BFE" w:rsidRPr="00580BFE">
        <w:t xml:space="preserve"> considerable variation in perspectives and priorities, both </w:t>
      </w:r>
      <w:r w:rsidR="00B109DF">
        <w:t>among</w:t>
      </w:r>
      <w:r w:rsidR="008318F8">
        <w:t xml:space="preserve"> jurisdictions</w:t>
      </w:r>
      <w:r w:rsidR="00580BFE" w:rsidRPr="00580BFE">
        <w:t xml:space="preserve"> and between government and industry. Reconciling them in pursuit of some form of nationally consistent hazardous waste tracking system </w:t>
      </w:r>
      <w:r w:rsidR="00B109DF">
        <w:t>will require</w:t>
      </w:r>
      <w:r w:rsidR="00580BFE" w:rsidRPr="00580BFE">
        <w:t xml:space="preserve"> careful consideration</w:t>
      </w:r>
      <w:r w:rsidR="00B109DF">
        <w:t xml:space="preserve"> of options, staging and scope.</w:t>
      </w:r>
    </w:p>
    <w:p w:rsidR="00421C2C" w:rsidRDefault="009215E2" w:rsidP="00421C2C">
      <w:pPr>
        <w:pStyle w:val="Heading2"/>
      </w:pPr>
      <w:bookmarkStart w:id="61" w:name="_Toc421181743"/>
      <w:r>
        <w:t>N</w:t>
      </w:r>
      <w:r w:rsidR="00D629D4">
        <w:t>eed</w:t>
      </w:r>
      <w:r>
        <w:t xml:space="preserve">, </w:t>
      </w:r>
      <w:r w:rsidR="00D629D4">
        <w:t>wi</w:t>
      </w:r>
      <w:r>
        <w:t xml:space="preserve">llingness and </w:t>
      </w:r>
      <w:r w:rsidR="00D629D4">
        <w:t>r</w:t>
      </w:r>
      <w:r>
        <w:t>eadiness</w:t>
      </w:r>
      <w:bookmarkEnd w:id="61"/>
    </w:p>
    <w:p w:rsidR="0038368A" w:rsidRDefault="0038368A" w:rsidP="0038368A">
      <w:pPr>
        <w:pStyle w:val="Heading3"/>
      </w:pPr>
      <w:r>
        <w:t xml:space="preserve">The </w:t>
      </w:r>
      <w:r w:rsidR="005616A4">
        <w:t>need</w:t>
      </w:r>
      <w:r>
        <w:t xml:space="preserve"> for change</w:t>
      </w:r>
    </w:p>
    <w:p w:rsidR="00421C2C" w:rsidRDefault="007F4382" w:rsidP="00421C2C">
      <w:pPr>
        <w:pStyle w:val="ParaIndent"/>
      </w:pPr>
      <w:r>
        <w:t>T</w:t>
      </w:r>
      <w:r w:rsidR="00421C2C">
        <w:t>here are three strands to the case for developing a nationally consistent hazardous waste tr</w:t>
      </w:r>
      <w:r w:rsidR="008318F8">
        <w:t xml:space="preserve">acking system encompassing all </w:t>
      </w:r>
      <w:r w:rsidR="005D3403">
        <w:t>flows</w:t>
      </w:r>
      <w:r w:rsidR="008318F8">
        <w:t xml:space="preserve"> nationally</w:t>
      </w:r>
      <w:r w:rsidR="005D3403">
        <w:t>: greater clarity on</w:t>
      </w:r>
      <w:r w:rsidR="00421C2C">
        <w:t xml:space="preserve"> </w:t>
      </w:r>
      <w:proofErr w:type="spellStart"/>
      <w:r w:rsidR="00421C2C">
        <w:t>arisings</w:t>
      </w:r>
      <w:proofErr w:type="spellEnd"/>
      <w:r w:rsidR="00421C2C">
        <w:t xml:space="preserve">, flows and fates; improved international reporting; and greater </w:t>
      </w:r>
      <w:r w:rsidR="002F4C23">
        <w:t xml:space="preserve">efficiency </w:t>
      </w:r>
      <w:r w:rsidR="008318F8">
        <w:t xml:space="preserve">and insight </w:t>
      </w:r>
      <w:r w:rsidR="002F4C23">
        <w:t>for industry.</w:t>
      </w:r>
    </w:p>
    <w:p w:rsidR="00446E9E" w:rsidRDefault="008318F8" w:rsidP="008318F8">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One of the clearest messages </w:t>
      </w:r>
      <w:r w:rsidR="004B00D3">
        <w:t xml:space="preserve">from the consultation was </w:t>
      </w:r>
      <w:r w:rsidR="00865F1A">
        <w:t xml:space="preserve">strong </w:t>
      </w:r>
      <w:r w:rsidR="004B00D3">
        <w:t xml:space="preserve">waste industry </w:t>
      </w:r>
      <w:r>
        <w:t xml:space="preserve">support </w:t>
      </w:r>
      <w:r w:rsidR="004B00D3">
        <w:t>for reform</w:t>
      </w:r>
      <w:r w:rsidR="00EF6368">
        <w:t xml:space="preserve">. </w:t>
      </w:r>
      <w:r>
        <w:t>In fact w</w:t>
      </w:r>
      <w:r w:rsidR="00927C5E">
        <w:t xml:space="preserve">aste companies were </w:t>
      </w:r>
      <w:r>
        <w:t>unanimous</w:t>
      </w:r>
      <w:r w:rsidR="00927C5E">
        <w:t xml:space="preserve"> in calling for greater consistency to reduce the regulatory burden of multiple, incompatible jurisdictional systems. T</w:t>
      </w:r>
      <w:r w:rsidR="007F4382">
        <w:t>here wa</w:t>
      </w:r>
      <w:r w:rsidR="00421C2C">
        <w:t xml:space="preserve">s no such </w:t>
      </w:r>
      <w:r>
        <w:t>unity</w:t>
      </w:r>
      <w:r w:rsidR="00421C2C">
        <w:t xml:space="preserve"> among the states and territories. </w:t>
      </w:r>
      <w:r w:rsidR="00E7419F">
        <w:t xml:space="preserve">While </w:t>
      </w:r>
      <w:r w:rsidR="001C42F6">
        <w:t xml:space="preserve">the </w:t>
      </w:r>
      <w:r>
        <w:t>desirability of</w:t>
      </w:r>
      <w:r w:rsidR="001C42F6">
        <w:t xml:space="preserve"> greater syner</w:t>
      </w:r>
      <w:r w:rsidR="005D3403">
        <w:t>gy around interstate movements wa</w:t>
      </w:r>
      <w:r w:rsidR="001C42F6">
        <w:t xml:space="preserve">s </w:t>
      </w:r>
      <w:r>
        <w:t xml:space="preserve">broadly </w:t>
      </w:r>
      <w:r w:rsidR="001C42F6">
        <w:t>accept</w:t>
      </w:r>
      <w:r>
        <w:t xml:space="preserve">ed by all states and territories, they </w:t>
      </w:r>
      <w:r w:rsidR="006D3A70">
        <w:t xml:space="preserve">were </w:t>
      </w:r>
      <w:r w:rsidR="005D3403">
        <w:t xml:space="preserve">very </w:t>
      </w:r>
      <w:r w:rsidR="006D3A70">
        <w:t xml:space="preserve">mixed views on the need </w:t>
      </w:r>
      <w:r w:rsidR="004867BC">
        <w:t xml:space="preserve">to </w:t>
      </w:r>
      <w:r w:rsidR="00927C5E">
        <w:t>include</w:t>
      </w:r>
      <w:r w:rsidR="00421C2C">
        <w:t xml:space="preserve"> </w:t>
      </w:r>
      <w:r w:rsidR="006D3A70">
        <w:t xml:space="preserve">intrastate </w:t>
      </w:r>
      <w:r w:rsidR="005D3403">
        <w:t>data</w:t>
      </w:r>
      <w:r w:rsidR="00927C5E">
        <w:t xml:space="preserve"> in the reform process.</w:t>
      </w:r>
    </w:p>
    <w:p w:rsidR="00C84CBF" w:rsidRDefault="008318F8" w:rsidP="00E13F0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The case for further national coordination of i</w:t>
      </w:r>
      <w:r w:rsidR="001C42F6">
        <w:t>nterstate</w:t>
      </w:r>
      <w:r>
        <w:t xml:space="preserve"> flows is relatively clear</w:t>
      </w:r>
      <w:r w:rsidR="001B7648">
        <w:t>, focusing on operational efficiencies.</w:t>
      </w:r>
      <w:r>
        <w:t xml:space="preserve"> F</w:t>
      </w:r>
      <w:r w:rsidR="001C42F6">
        <w:t>lows are</w:t>
      </w:r>
      <w:r w:rsidR="001C42F6" w:rsidRPr="00580BFE">
        <w:t xml:space="preserve"> already reported nationally through the Controlled Waste NEPM</w:t>
      </w:r>
      <w:r w:rsidR="001C42F6">
        <w:t xml:space="preserve"> and </w:t>
      </w:r>
      <w:r>
        <w:t xml:space="preserve">currently </w:t>
      </w:r>
      <w:r w:rsidR="001C42F6">
        <w:t>have</w:t>
      </w:r>
      <w:r w:rsidR="001C42F6" w:rsidRPr="00580BFE">
        <w:t xml:space="preserve"> minimal interface with </w:t>
      </w:r>
      <w:r w:rsidR="001C42F6">
        <w:t>regulatory regime</w:t>
      </w:r>
      <w:r w:rsidR="00992294">
        <w:t xml:space="preserve"> of the </w:t>
      </w:r>
      <w:r w:rsidR="00992294" w:rsidRPr="00580BFE">
        <w:t>j</w:t>
      </w:r>
      <w:r w:rsidR="00992294">
        <w:t>urisdiction of origin</w:t>
      </w:r>
      <w:r w:rsidR="001C42F6">
        <w:t>, with only Victoria regulating</w:t>
      </w:r>
      <w:r w:rsidR="001C42F6" w:rsidRPr="00580BFE">
        <w:t xml:space="preserve"> exports (of non-liquid wastes)</w:t>
      </w:r>
      <w:r w:rsidR="001C42F6">
        <w:t xml:space="preserve"> to other states and territories</w:t>
      </w:r>
      <w:r w:rsidR="001C42F6" w:rsidRPr="00580BFE">
        <w:t xml:space="preserve">. </w:t>
      </w:r>
    </w:p>
    <w:p w:rsidR="00E13F00" w:rsidRDefault="001C42F6" w:rsidP="00E13F0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Addressing interstate flows </w:t>
      </w:r>
      <w:r w:rsidR="00C84CBF">
        <w:t>would also help</w:t>
      </w:r>
      <w:r w:rsidR="00927C5E">
        <w:t xml:space="preserve"> </w:t>
      </w:r>
      <w:r w:rsidR="00C84CBF">
        <w:t>reduce</w:t>
      </w:r>
      <w:r>
        <w:t xml:space="preserve"> </w:t>
      </w:r>
      <w:r w:rsidRPr="00580BFE">
        <w:t>friction points between jurisdictions, particularly around waste codes</w:t>
      </w:r>
      <w:r w:rsidR="00880393">
        <w:t xml:space="preserve"> and class</w:t>
      </w:r>
      <w:r w:rsidR="00AC76BD">
        <w:t xml:space="preserve">ifications. </w:t>
      </w:r>
      <w:r w:rsidR="00031A6D" w:rsidRPr="00580BFE">
        <w:t xml:space="preserve">For example, Victoria has a sub-code for dry cleaning waste (G130) but South Australia uses the main NEPM code G150, meaning the SA EPA has to adjust the coding on any incoming loads to comply with its requirements. </w:t>
      </w:r>
      <w:r w:rsidR="00E13F00">
        <w:t>Interstate reforms could also address a range of more minor compatibility issues outlined in</w:t>
      </w:r>
      <w:r w:rsidR="00A50469">
        <w:t xml:space="preserve"> Section </w:t>
      </w:r>
      <w:r w:rsidR="00350C10">
        <w:fldChar w:fldCharType="begin"/>
      </w:r>
      <w:r w:rsidR="00A50469">
        <w:instrText xml:space="preserve"> REF _Ref418235953 \n \h </w:instrText>
      </w:r>
      <w:r w:rsidR="00350C10">
        <w:fldChar w:fldCharType="separate"/>
      </w:r>
      <w:r w:rsidR="00261FA5">
        <w:t>4.5</w:t>
      </w:r>
      <w:r w:rsidR="00350C10">
        <w:fldChar w:fldCharType="end"/>
      </w:r>
      <w:r w:rsidR="00E13F00" w:rsidRPr="00E13F00">
        <w:t>.</w:t>
      </w:r>
    </w:p>
    <w:p w:rsidR="005E3975" w:rsidRDefault="008318F8" w:rsidP="005E397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Howe</w:t>
      </w:r>
      <w:r w:rsidR="005E3975">
        <w:t xml:space="preserve">ver, interstate waste </w:t>
      </w:r>
      <w:proofErr w:type="gramStart"/>
      <w:r w:rsidR="005E3975">
        <w:t>flows</w:t>
      </w:r>
      <w:proofErr w:type="gramEnd"/>
      <w:r w:rsidR="005E3975">
        <w:t xml:space="preserve"> account</w:t>
      </w:r>
      <w:r w:rsidR="005E3975" w:rsidRPr="00580BFE">
        <w:t xml:space="preserve"> for </w:t>
      </w:r>
      <w:r w:rsidR="00957939">
        <w:t xml:space="preserve">only </w:t>
      </w:r>
      <w:r w:rsidR="005E3975">
        <w:t>an estimated 2</w:t>
      </w:r>
      <w:r w:rsidR="005E3975" w:rsidRPr="00580BFE">
        <w:t>% of transported ha</w:t>
      </w:r>
      <w:r w:rsidR="005E3975">
        <w:t>zardous waste. E</w:t>
      </w:r>
      <w:r w:rsidR="005E3975" w:rsidRPr="00580BFE">
        <w:t xml:space="preserve">xcising </w:t>
      </w:r>
      <w:r w:rsidR="005E3975">
        <w:t>intrastate movements</w:t>
      </w:r>
      <w:r w:rsidR="005E3975" w:rsidRPr="00580BFE">
        <w:t xml:space="preserve"> from consideration effectively </w:t>
      </w:r>
      <w:r w:rsidR="005E3975">
        <w:t>neuters</w:t>
      </w:r>
      <w:r w:rsidR="005E3975" w:rsidRPr="00580BFE">
        <w:t xml:space="preserve"> the </w:t>
      </w:r>
      <w:r w:rsidR="005E3975">
        <w:t>goal of improving the overall national data picture, yet t</w:t>
      </w:r>
      <w:r w:rsidR="00957939">
        <w:t>here were</w:t>
      </w:r>
      <w:r w:rsidR="006109C6">
        <w:t xml:space="preserve"> much </w:t>
      </w:r>
      <w:r w:rsidR="00957939">
        <w:t>more conflicted</w:t>
      </w:r>
      <w:r w:rsidR="006109C6">
        <w:t xml:space="preserve"> </w:t>
      </w:r>
      <w:r w:rsidR="00957939">
        <w:t>positions around</w:t>
      </w:r>
      <w:r w:rsidR="006109C6">
        <w:t xml:space="preserve"> the need to include intrastate regimes in any </w:t>
      </w:r>
      <w:r w:rsidR="00DA4E16">
        <w:t xml:space="preserve">national </w:t>
      </w:r>
      <w:r w:rsidR="006109C6">
        <w:t>data reforms.</w:t>
      </w:r>
      <w:r w:rsidR="006109C6" w:rsidRPr="006109C6">
        <w:t xml:space="preserve"> </w:t>
      </w:r>
    </w:p>
    <w:p w:rsidR="00765DE4" w:rsidRDefault="00DA4E16" w:rsidP="005E397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lastRenderedPageBreak/>
        <w:t xml:space="preserve">Most jurisdictions </w:t>
      </w:r>
      <w:r w:rsidR="006109C6">
        <w:t>view</w:t>
      </w:r>
      <w:r>
        <w:t>ed</w:t>
      </w:r>
      <w:r w:rsidR="006109C6">
        <w:t xml:space="preserve"> their intrastate systems as reasonably robust, particularly those with electronic systems </w:t>
      </w:r>
      <w:r>
        <w:t>as they</w:t>
      </w:r>
      <w:r w:rsidR="00927C5E">
        <w:t xml:space="preserve"> typically</w:t>
      </w:r>
      <w:r w:rsidR="006109C6">
        <w:t xml:space="preserve"> include built-in data integrity checks and </w:t>
      </w:r>
      <w:r w:rsidR="00927C5E">
        <w:t xml:space="preserve">help </w:t>
      </w:r>
      <w:r w:rsidR="006109C6">
        <w:t xml:space="preserve">minimise data entry error. NSW, Victoria and WA </w:t>
      </w:r>
      <w:r w:rsidR="005D3403">
        <w:t>each self-assessed their data quality</w:t>
      </w:r>
      <w:r w:rsidR="006109C6">
        <w:t xml:space="preserve"> </w:t>
      </w:r>
      <w:r w:rsidR="005D3403">
        <w:t xml:space="preserve">at </w:t>
      </w:r>
      <w:r w:rsidR="006109C6">
        <w:t xml:space="preserve">four or more points out of five. </w:t>
      </w:r>
      <w:r w:rsidR="00D560D9">
        <w:t>T</w:t>
      </w:r>
      <w:r w:rsidR="006109C6">
        <w:t xml:space="preserve">his </w:t>
      </w:r>
      <w:r>
        <w:t>rating</w:t>
      </w:r>
      <w:r w:rsidR="00361666">
        <w:t xml:space="preserve"> </w:t>
      </w:r>
      <w:r w:rsidR="006109C6">
        <w:t>focuses on the standard of existing inputs and arrangements</w:t>
      </w:r>
      <w:r w:rsidR="005D3403">
        <w:t>. It does not</w:t>
      </w:r>
      <w:r w:rsidR="005E3975">
        <w:t xml:space="preserve"> </w:t>
      </w:r>
      <w:r w:rsidR="005D3403">
        <w:t xml:space="preserve">take a </w:t>
      </w:r>
      <w:r w:rsidR="00880393">
        <w:t>higher level view</w:t>
      </w:r>
      <w:r w:rsidR="005D3403">
        <w:t xml:space="preserve"> that </w:t>
      </w:r>
      <w:r w:rsidR="00927C5E">
        <w:t xml:space="preserve">addresses the </w:t>
      </w:r>
      <w:r w:rsidR="00AC76BD">
        <w:t xml:space="preserve">whole-of-system </w:t>
      </w:r>
      <w:r w:rsidR="00927C5E">
        <w:t xml:space="preserve">issues </w:t>
      </w:r>
      <w:r w:rsidR="00F52268">
        <w:t>identified</w:t>
      </w:r>
      <w:r w:rsidR="00927C5E">
        <w:t xml:space="preserve"> in the </w:t>
      </w:r>
      <w:r w:rsidR="00893ECC">
        <w:t xml:space="preserve">suite of </w:t>
      </w:r>
      <w:r w:rsidR="00F542D5">
        <w:t xml:space="preserve">recent </w:t>
      </w:r>
      <w:r w:rsidR="00927C5E">
        <w:t xml:space="preserve">reports </w:t>
      </w:r>
      <w:r w:rsidR="00893ECC">
        <w:t xml:space="preserve">(Section </w:t>
      </w:r>
      <w:r w:rsidR="00350C10">
        <w:fldChar w:fldCharType="begin"/>
      </w:r>
      <w:r w:rsidR="00893ECC">
        <w:instrText xml:space="preserve"> REF _Ref418174793 \r \h </w:instrText>
      </w:r>
      <w:r w:rsidR="00350C10">
        <w:fldChar w:fldCharType="separate"/>
      </w:r>
      <w:r w:rsidR="00261FA5">
        <w:t>0</w:t>
      </w:r>
      <w:r w:rsidR="00350C10">
        <w:fldChar w:fldCharType="end"/>
      </w:r>
      <w:r w:rsidR="00893ECC">
        <w:t>)</w:t>
      </w:r>
      <w:r w:rsidR="00765DE4">
        <w:t>, including:</w:t>
      </w:r>
    </w:p>
    <w:p w:rsidR="00765DE4" w:rsidRDefault="00B85604" w:rsidP="00E135DE">
      <w:pPr>
        <w:pStyle w:val="ListParagraph"/>
        <w:numPr>
          <w:ilvl w:val="0"/>
          <w:numId w:val="27"/>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lack of public information on </w:t>
      </w:r>
      <w:r w:rsidR="00880393">
        <w:t xml:space="preserve">hazardous </w:t>
      </w:r>
      <w:r>
        <w:t xml:space="preserve">waste generation </w:t>
      </w:r>
      <w:r w:rsidR="00880393">
        <w:t>and sources</w:t>
      </w:r>
    </w:p>
    <w:p w:rsidR="00765DE4" w:rsidRDefault="00880393" w:rsidP="00E135DE">
      <w:pPr>
        <w:pStyle w:val="ListParagraph"/>
        <w:numPr>
          <w:ilvl w:val="0"/>
          <w:numId w:val="27"/>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significant gaps in coverage due to exemptions and </w:t>
      </w:r>
      <w:r w:rsidR="00F52268">
        <w:t>differing</w:t>
      </w:r>
      <w:r w:rsidR="00765DE4">
        <w:t xml:space="preserve"> interpretations</w:t>
      </w:r>
    </w:p>
    <w:p w:rsidR="00765DE4" w:rsidRDefault="00AC76BD" w:rsidP="00E135DE">
      <w:pPr>
        <w:pStyle w:val="ListParagraph"/>
        <w:numPr>
          <w:ilvl w:val="0"/>
          <w:numId w:val="27"/>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poor visibility on waste fates interstate as waste transport certificate responsibilities do not </w:t>
      </w:r>
      <w:r w:rsidR="00765DE4">
        <w:t xml:space="preserve">cross borders </w:t>
      </w:r>
    </w:p>
    <w:p w:rsidR="00927C5E" w:rsidRDefault="00586EB9" w:rsidP="00E135DE">
      <w:pPr>
        <w:pStyle w:val="ListParagraph"/>
        <w:numPr>
          <w:ilvl w:val="0"/>
          <w:numId w:val="27"/>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roofErr w:type="gramStart"/>
      <w:r>
        <w:t>a</w:t>
      </w:r>
      <w:proofErr w:type="gramEnd"/>
      <w:r>
        <w:t xml:space="preserve"> challenge </w:t>
      </w:r>
      <w:r w:rsidR="00AC76BD">
        <w:t>for the DoE to bring the data together into a meaningful national whole.</w:t>
      </w:r>
    </w:p>
    <w:p w:rsidR="005F3B12" w:rsidRDefault="00893ECC" w:rsidP="005F3B1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The lack of a whole-of-</w:t>
      </w:r>
      <w:r w:rsidR="00EB477E">
        <w:t>system</w:t>
      </w:r>
      <w:r w:rsidR="00420437">
        <w:t xml:space="preserve"> </w:t>
      </w:r>
      <w:r>
        <w:t xml:space="preserve">approach </w:t>
      </w:r>
      <w:r w:rsidR="005F3B12">
        <w:t xml:space="preserve">contributes to </w:t>
      </w:r>
      <w:r>
        <w:t>waste</w:t>
      </w:r>
      <w:r w:rsidR="005B2BC2">
        <w:t xml:space="preserve"> either avoiding or leaking out of the tracking regime.</w:t>
      </w:r>
      <w:r w:rsidR="00420437">
        <w:t xml:space="preserve"> </w:t>
      </w:r>
      <w:r w:rsidR="005E3975">
        <w:t>An example</w:t>
      </w:r>
      <w:r w:rsidR="005F3B12">
        <w:t xml:space="preserve"> from a Victorian stakeholder (but with broader relevance)</w:t>
      </w:r>
      <w:r w:rsidR="005E3975">
        <w:t>: i</w:t>
      </w:r>
      <w:r w:rsidR="00EB477E">
        <w:t>n</w:t>
      </w:r>
      <w:r w:rsidR="00B772E1">
        <w:t xml:space="preserve"> Victoria </w:t>
      </w:r>
      <w:r w:rsidR="00EB477E">
        <w:t>there is no apparent</w:t>
      </w:r>
      <w:r w:rsidR="00B772E1">
        <w:t xml:space="preserve"> linkage between the </w:t>
      </w:r>
      <w:r w:rsidR="00B772E1" w:rsidRPr="0045253B">
        <w:t xml:space="preserve">expected volumes from site assessments </w:t>
      </w:r>
      <w:r w:rsidR="00B772E1">
        <w:t>or</w:t>
      </w:r>
      <w:r w:rsidR="00B772E1" w:rsidRPr="0045253B">
        <w:t xml:space="preserve"> clean-ups/audits and</w:t>
      </w:r>
      <w:r w:rsidR="00EB477E">
        <w:t xml:space="preserve"> actual</w:t>
      </w:r>
      <w:r w:rsidR="00B772E1" w:rsidRPr="0045253B">
        <w:t xml:space="preserve"> tracked transport volumes. </w:t>
      </w:r>
      <w:r w:rsidR="00EB477E">
        <w:t xml:space="preserve">In a </w:t>
      </w:r>
      <w:r w:rsidR="007F6E0E">
        <w:t>connected</w:t>
      </w:r>
      <w:r w:rsidR="00EB477E">
        <w:t xml:space="preserve"> system,</w:t>
      </w:r>
      <w:r w:rsidR="00B772E1">
        <w:t xml:space="preserve"> if </w:t>
      </w:r>
      <w:r w:rsidR="00B772E1" w:rsidRPr="0045253B">
        <w:t>1</w:t>
      </w:r>
      <w:r w:rsidR="00B772E1">
        <w:t>,</w:t>
      </w:r>
      <w:r w:rsidR="00B772E1" w:rsidRPr="0045253B">
        <w:t>000 tonnes of Cat</w:t>
      </w:r>
      <w:r w:rsidR="00B772E1">
        <w:t>egory</w:t>
      </w:r>
      <w:r w:rsidR="00B772E1" w:rsidRPr="0045253B">
        <w:t xml:space="preserve"> </w:t>
      </w:r>
      <w:proofErr w:type="gramStart"/>
      <w:r w:rsidR="00B772E1" w:rsidRPr="0045253B">
        <w:t>A</w:t>
      </w:r>
      <w:proofErr w:type="gramEnd"/>
      <w:r w:rsidR="00B772E1" w:rsidRPr="0045253B">
        <w:t xml:space="preserve"> </w:t>
      </w:r>
      <w:r w:rsidR="005F3B12">
        <w:t xml:space="preserve">highly </w:t>
      </w:r>
      <w:r w:rsidR="00B772E1">
        <w:t xml:space="preserve">contaminated </w:t>
      </w:r>
      <w:r w:rsidR="00B772E1" w:rsidRPr="0045253B">
        <w:t>soil or waste was identified in a site assessment</w:t>
      </w:r>
      <w:r w:rsidR="00B772E1">
        <w:t>,</w:t>
      </w:r>
      <w:r w:rsidR="00B772E1" w:rsidRPr="0045253B">
        <w:t xml:space="preserve"> then 1</w:t>
      </w:r>
      <w:r w:rsidR="00B772E1">
        <w:t>,</w:t>
      </w:r>
      <w:r w:rsidR="00B772E1" w:rsidRPr="0045253B">
        <w:t>000 tonnes of tracked Cat</w:t>
      </w:r>
      <w:r w:rsidR="00EB477E">
        <w:t>egory</w:t>
      </w:r>
      <w:r w:rsidR="00B772E1" w:rsidRPr="0045253B">
        <w:t xml:space="preserve"> A transport should be verifiable within the system</w:t>
      </w:r>
      <w:r w:rsidR="00B772E1">
        <w:t>.</w:t>
      </w:r>
      <w:r w:rsidR="007F6E0E">
        <w:t xml:space="preserve"> </w:t>
      </w:r>
    </w:p>
    <w:p w:rsidR="00C21DAE" w:rsidRDefault="00420437" w:rsidP="00FE5BE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As it stands, there is no way to monitor how effectively the tracking system is covering all </w:t>
      </w:r>
      <w:proofErr w:type="spellStart"/>
      <w:r>
        <w:t>arisings</w:t>
      </w:r>
      <w:proofErr w:type="spellEnd"/>
      <w:r w:rsidR="005F3B12">
        <w:t xml:space="preserve">. Creating such a link </w:t>
      </w:r>
      <w:r w:rsidR="00C21DAE">
        <w:t>is likely to</w:t>
      </w:r>
      <w:r w:rsidR="005F3B12">
        <w:t xml:space="preserve"> be </w:t>
      </w:r>
      <w:r w:rsidR="002C107A">
        <w:t>a complex and costly exercise</w:t>
      </w:r>
      <w:r w:rsidR="00C21DAE">
        <w:t>,</w:t>
      </w:r>
      <w:r w:rsidR="005F3B12">
        <w:t xml:space="preserve"> </w:t>
      </w:r>
      <w:r w:rsidR="00C21DAE">
        <w:t xml:space="preserve">but is outside the scope of this report. However, the issue </w:t>
      </w:r>
      <w:r>
        <w:t>can be exacerbated by leakage between states</w:t>
      </w:r>
      <w:r w:rsidR="00C21DAE">
        <w:t xml:space="preserve"> given the originator jurisdiction has limited visibility into disposal or treatment of loads leaving its borders</w:t>
      </w:r>
      <w:r w:rsidR="00FE5BE5">
        <w:t>, with the exception of Victoria</w:t>
      </w:r>
      <w:r w:rsidR="00C21DAE">
        <w:t xml:space="preserve">. </w:t>
      </w:r>
    </w:p>
    <w:p w:rsidR="004C06FA" w:rsidRDefault="00AC76BD" w:rsidP="004C06F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The absence </w:t>
      </w:r>
      <w:r w:rsidR="005E3975">
        <w:t xml:space="preserve">of </w:t>
      </w:r>
      <w:r>
        <w:t xml:space="preserve">a </w:t>
      </w:r>
      <w:r w:rsidR="00A73F37">
        <w:t>broader</w:t>
      </w:r>
      <w:r>
        <w:t xml:space="preserve"> perspective reflects a general drift in the priority given to hazardous waste in recent years. Where s</w:t>
      </w:r>
      <w:r w:rsidR="00765DE4">
        <w:t>tates and territories</w:t>
      </w:r>
      <w:r>
        <w:t xml:space="preserve"> once had public ambitions around hazardous waste, i</w:t>
      </w:r>
      <w:r w:rsidR="0038368A" w:rsidRPr="00580BFE">
        <w:t xml:space="preserve">t </w:t>
      </w:r>
      <w:r w:rsidR="004C06FA">
        <w:t xml:space="preserve">typically </w:t>
      </w:r>
      <w:r w:rsidR="0038368A" w:rsidRPr="00580BFE">
        <w:t xml:space="preserve">rates </w:t>
      </w:r>
      <w:r w:rsidR="005E3975">
        <w:t xml:space="preserve">only </w:t>
      </w:r>
      <w:r w:rsidR="0038368A" w:rsidRPr="00580BFE">
        <w:t xml:space="preserve">a </w:t>
      </w:r>
      <w:r w:rsidR="0038368A">
        <w:t xml:space="preserve">minor </w:t>
      </w:r>
      <w:r w:rsidR="004C06FA">
        <w:t>mention</w:t>
      </w:r>
      <w:r w:rsidR="005E3975" w:rsidRPr="005E3975">
        <w:t xml:space="preserve"> </w:t>
      </w:r>
      <w:r w:rsidR="005E3975" w:rsidRPr="00580BFE">
        <w:t xml:space="preserve">in most </w:t>
      </w:r>
      <w:r w:rsidR="005E3975">
        <w:t>waste strategies these days</w:t>
      </w:r>
      <w:r w:rsidR="004C06FA">
        <w:t xml:space="preserve">, </w:t>
      </w:r>
      <w:r>
        <w:t xml:space="preserve">rarely with targets attached. </w:t>
      </w:r>
      <w:r w:rsidR="005E3975">
        <w:t>Hazardous waste remain</w:t>
      </w:r>
      <w:r w:rsidR="004C06FA">
        <w:t>s an important issue for environment agencies but a</w:t>
      </w:r>
      <w:r w:rsidR="0038368A" w:rsidRPr="00580BFE">
        <w:t xml:space="preserve">ttention </w:t>
      </w:r>
      <w:r>
        <w:t xml:space="preserve">has </w:t>
      </w:r>
      <w:r w:rsidR="0038368A" w:rsidRPr="00580BFE">
        <w:t>t</w:t>
      </w:r>
      <w:r w:rsidR="00765DE4">
        <w:t>ended</w:t>
      </w:r>
      <w:r w:rsidR="0038368A" w:rsidRPr="00580BFE">
        <w:t xml:space="preserve"> to centre on higher volume, more amenable waste streams. </w:t>
      </w:r>
    </w:p>
    <w:p w:rsidR="009D0C17" w:rsidRDefault="00765DE4" w:rsidP="009D0C1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The trend has resulted in prioritisation of regulatory and operational issues for hazardous waste over broader strategic </w:t>
      </w:r>
      <w:r w:rsidR="00AB2B0F">
        <w:t xml:space="preserve">and </w:t>
      </w:r>
      <w:r>
        <w:t>policy goals.</w:t>
      </w:r>
      <w:r w:rsidR="00AB2B0F">
        <w:t xml:space="preserve"> Waste i</w:t>
      </w:r>
      <w:r>
        <w:t xml:space="preserve">ndustry participants in the Queensland </w:t>
      </w:r>
      <w:r w:rsidR="00481F52">
        <w:t xml:space="preserve">workshop, and </w:t>
      </w:r>
      <w:r w:rsidR="005E3975">
        <w:t xml:space="preserve">variously </w:t>
      </w:r>
      <w:r w:rsidR="00481F52">
        <w:t>echoed in other workshops,</w:t>
      </w:r>
      <w:r>
        <w:t xml:space="preserve"> noted that for all the data collected</w:t>
      </w:r>
      <w:r w:rsidR="00AB2B0F">
        <w:t xml:space="preserve"> and internationally reported, </w:t>
      </w:r>
      <w:r w:rsidRPr="00765DE4">
        <w:t xml:space="preserve">industry has seen little evidence </w:t>
      </w:r>
      <w:r w:rsidR="00AB2B0F">
        <w:t xml:space="preserve">over the last decade that </w:t>
      </w:r>
      <w:r>
        <w:t>it</w:t>
      </w:r>
      <w:r w:rsidRPr="00765DE4">
        <w:t xml:space="preserve"> has had a beneficial impact on policy</w:t>
      </w:r>
      <w:r w:rsidR="009D0C17">
        <w:t xml:space="preserve"> development</w:t>
      </w:r>
      <w:r w:rsidR="00AB2B0F">
        <w:t>,</w:t>
      </w:r>
      <w:r w:rsidRPr="00765DE4">
        <w:t xml:space="preserve"> </w:t>
      </w:r>
      <w:r w:rsidR="00AB2B0F" w:rsidRPr="00765DE4">
        <w:t>performance</w:t>
      </w:r>
      <w:r w:rsidR="00AB2B0F">
        <w:t xml:space="preserve"> </w:t>
      </w:r>
      <w:r w:rsidR="00AB2B0F" w:rsidRPr="00765DE4">
        <w:t>benchmark</w:t>
      </w:r>
      <w:r w:rsidR="00AB2B0F">
        <w:t xml:space="preserve">ing </w:t>
      </w:r>
      <w:r w:rsidR="005E3975">
        <w:t>or</w:t>
      </w:r>
      <w:r w:rsidR="00AB2B0F" w:rsidRPr="00765DE4">
        <w:t xml:space="preserve"> assess</w:t>
      </w:r>
      <w:r w:rsidR="00AB2B0F">
        <w:t>ment of</w:t>
      </w:r>
      <w:r w:rsidR="00AB2B0F" w:rsidRPr="00765DE4">
        <w:t xml:space="preserve"> infrastructure capacity and requirements</w:t>
      </w:r>
      <w:r w:rsidR="009D0C17">
        <w:t>.</w:t>
      </w:r>
    </w:p>
    <w:p w:rsidR="00481F52" w:rsidRDefault="009D0C17" w:rsidP="009D0C1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Addressing these sorts of broader</w:t>
      </w:r>
      <w:r w:rsidR="001B7648">
        <w:t xml:space="preserve"> </w:t>
      </w:r>
      <w:r>
        <w:t xml:space="preserve">needs requires comprehensive information. </w:t>
      </w:r>
      <w:r w:rsidR="00481F52" w:rsidRPr="00580BFE">
        <w:t xml:space="preserve">The </w:t>
      </w:r>
      <w:r>
        <w:t xml:space="preserve">tracking reforms </w:t>
      </w:r>
      <w:r w:rsidR="00481F52" w:rsidRPr="00580BFE">
        <w:t xml:space="preserve">challenge is to develop options that secure jurisdictional </w:t>
      </w:r>
      <w:r w:rsidR="00481F52">
        <w:t>support for addressing both interstate and intrastate tracking</w:t>
      </w:r>
      <w:r w:rsidR="00481F52" w:rsidRPr="00580BFE">
        <w:t xml:space="preserve">, either by </w:t>
      </w:r>
      <w:r w:rsidR="00481F52">
        <w:t>limiting</w:t>
      </w:r>
      <w:r w:rsidR="00481F52" w:rsidRPr="00580BFE">
        <w:t xml:space="preserve"> the </w:t>
      </w:r>
      <w:r w:rsidR="00481F52">
        <w:t>jurisdictional</w:t>
      </w:r>
      <w:r w:rsidR="00481F52" w:rsidRPr="00580BFE">
        <w:t xml:space="preserve"> changes or by staging their introduction in a </w:t>
      </w:r>
      <w:r w:rsidR="00481F52">
        <w:t xml:space="preserve">more </w:t>
      </w:r>
      <w:r w:rsidR="00481F52" w:rsidRPr="00580BFE">
        <w:t>palatable way.</w:t>
      </w:r>
      <w:r w:rsidR="00481F52">
        <w:t xml:space="preserve"> </w:t>
      </w:r>
    </w:p>
    <w:p w:rsidR="00481F52" w:rsidRDefault="00481F52" w:rsidP="00481F52">
      <w:pPr>
        <w:pStyle w:val="Heading40"/>
      </w:pPr>
      <w:r>
        <w:t>Industry</w:t>
      </w:r>
    </w:p>
    <w:p w:rsidR="00D325FA" w:rsidRDefault="00481F52" w:rsidP="00D325F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C92EE3">
        <w:t xml:space="preserve">The major stakeholder group outside </w:t>
      </w:r>
      <w:r>
        <w:t xml:space="preserve">of </w:t>
      </w:r>
      <w:r w:rsidRPr="00C92EE3">
        <w:t xml:space="preserve">government is the waste industry, </w:t>
      </w:r>
      <w:r>
        <w:t xml:space="preserve">which </w:t>
      </w:r>
      <w:r w:rsidRPr="00C92EE3">
        <w:t>is largely responsible for managing the interface with the tracking system.</w:t>
      </w:r>
      <w:r>
        <w:t xml:space="preserve"> The challenges for industry in the current network of tracking arrangements were clear</w:t>
      </w:r>
      <w:r w:rsidR="00D325FA">
        <w:t xml:space="preserve">, leading to added operational cost and delay, complicating internal business systems and skewing the competitive playing field. </w:t>
      </w:r>
    </w:p>
    <w:p w:rsidR="00EF5756" w:rsidRPr="00957939" w:rsidRDefault="00481F52" w:rsidP="00EF575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rPr>
          <w:u w:val="single"/>
        </w:rPr>
      </w:pPr>
      <w:r>
        <w:t>The consultation teased out</w:t>
      </w:r>
      <w:r w:rsidR="00EF5756">
        <w:t xml:space="preserve"> a range of issues. Incompatible s</w:t>
      </w:r>
      <w:r w:rsidR="00585F48">
        <w:t>ystems in each jurisdiction add</w:t>
      </w:r>
      <w:r w:rsidR="00EF5756">
        <w:t xml:space="preserve"> to the cost of wast</w:t>
      </w:r>
      <w:r w:rsidR="00957939">
        <w:t>e services across the economy. First, i</w:t>
      </w:r>
      <w:r w:rsidR="00EF5756">
        <w:t xml:space="preserve">t layers in </w:t>
      </w:r>
      <w:r w:rsidR="00957939">
        <w:t>additional</w:t>
      </w:r>
      <w:r w:rsidR="00EF5756">
        <w:t xml:space="preserve"> compliance cost for the waste industry. </w:t>
      </w:r>
      <w:r w:rsidR="00EF5756" w:rsidRPr="004B00D3">
        <w:t>JJ Richards</w:t>
      </w:r>
      <w:r w:rsidR="00585F48">
        <w:t>,</w:t>
      </w:r>
      <w:r w:rsidR="00EF5756" w:rsidRPr="004B00D3">
        <w:t xml:space="preserve"> for example, </w:t>
      </w:r>
      <w:r w:rsidR="008633B0">
        <w:t>employs</w:t>
      </w:r>
      <w:r w:rsidR="00EF5756" w:rsidRPr="004B00D3">
        <w:t xml:space="preserve"> 2-3 full time staff in head office</w:t>
      </w:r>
      <w:r w:rsidR="00EF5756">
        <w:t xml:space="preserve">, </w:t>
      </w:r>
      <w:r w:rsidR="008633B0">
        <w:t xml:space="preserve">has </w:t>
      </w:r>
      <w:r w:rsidR="00EF5756">
        <w:t>trained depot managers and</w:t>
      </w:r>
      <w:r w:rsidR="00EF5756" w:rsidRPr="004B00D3">
        <w:t xml:space="preserve"> admin</w:t>
      </w:r>
      <w:r w:rsidR="00EF5756">
        <w:t>istration staff at every site and run</w:t>
      </w:r>
      <w:r w:rsidR="00585F48">
        <w:t>s</w:t>
      </w:r>
      <w:r w:rsidR="00EF5756">
        <w:t xml:space="preserve"> several driver training schemes</w:t>
      </w:r>
      <w:r w:rsidR="00EF5756" w:rsidRPr="004B00D3">
        <w:t>.</w:t>
      </w:r>
      <w:r w:rsidR="00EF5756">
        <w:t xml:space="preserve"> </w:t>
      </w:r>
      <w:proofErr w:type="gramStart"/>
      <w:r w:rsidR="00957939" w:rsidRPr="006334FE">
        <w:t xml:space="preserve">Veolia estimates </w:t>
      </w:r>
      <w:r w:rsidR="006334FE" w:rsidRPr="006334FE">
        <w:t xml:space="preserve">around </w:t>
      </w:r>
      <w:r w:rsidR="006334FE">
        <w:t>20 hours per week per facility</w:t>
      </w:r>
      <w:r w:rsidR="00585F48">
        <w:t xml:space="preserve"> is</w:t>
      </w:r>
      <w:proofErr w:type="gramEnd"/>
      <w:r w:rsidR="00585F48">
        <w:t xml:space="preserve"> spent on compliance,</w:t>
      </w:r>
      <w:r w:rsidR="006334FE" w:rsidRPr="006334FE">
        <w:t xml:space="preserve"> and </w:t>
      </w:r>
      <w:r w:rsidR="006334FE">
        <w:t xml:space="preserve">another </w:t>
      </w:r>
      <w:r w:rsidR="006334FE" w:rsidRPr="006334FE">
        <w:t xml:space="preserve">20 hours per week </w:t>
      </w:r>
      <w:r w:rsidR="006334FE">
        <w:t>for each state</w:t>
      </w:r>
      <w:r w:rsidR="006334FE" w:rsidRPr="006334FE">
        <w:t xml:space="preserve"> transport bu</w:t>
      </w:r>
      <w:r w:rsidR="006334FE">
        <w:t>siness.</w:t>
      </w:r>
    </w:p>
    <w:p w:rsidR="001D1AC4" w:rsidRDefault="00957939" w:rsidP="00957939">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lastRenderedPageBreak/>
        <w:t>Incompatible systems also add</w:t>
      </w:r>
      <w:r w:rsidR="00EF5756">
        <w:t xml:space="preserve"> operational cost for the industry. The most cited need is to improve the clarity and consistency of waste codes and classifications. Despite efforts </w:t>
      </w:r>
      <w:r w:rsidR="00B85B93">
        <w:t xml:space="preserve">by several governments </w:t>
      </w:r>
      <w:r w:rsidR="00EF5756">
        <w:t>to improve alignment with the NEPM codes, there is still considerable confusion among</w:t>
      </w:r>
      <w:r w:rsidR="00EF5756" w:rsidRPr="005F3CE0">
        <w:t xml:space="preserve"> operators</w:t>
      </w:r>
      <w:r w:rsidR="00EF5756">
        <w:t xml:space="preserve">. For facility operators, incorrectly coded wastes result in trucks being held up on weighbridges while clarification </w:t>
      </w:r>
      <w:r>
        <w:t xml:space="preserve">is obtained; for transporters they may be diverted to appropriately </w:t>
      </w:r>
      <w:proofErr w:type="spellStart"/>
      <w:r>
        <w:t>licenced</w:t>
      </w:r>
      <w:proofErr w:type="spellEnd"/>
      <w:r>
        <w:t xml:space="preserve"> facilities</w:t>
      </w:r>
      <w:r w:rsidR="00EF5756">
        <w:t xml:space="preserve">. While the frequency of the problem requires further </w:t>
      </w:r>
      <w:r>
        <w:t>definition</w:t>
      </w:r>
      <w:r w:rsidR="00EF5756">
        <w:t>, the frequency with which it was raise</w:t>
      </w:r>
      <w:r>
        <w:t>d in workshops suggests it represents a real cost to business</w:t>
      </w:r>
      <w:r w:rsidR="00EF5756">
        <w:t>.</w:t>
      </w:r>
    </w:p>
    <w:p w:rsidR="00481F52" w:rsidRDefault="000E201E" w:rsidP="00957939">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Paper system</w:t>
      </w:r>
      <w:r w:rsidR="00B85B93">
        <w:t>s</w:t>
      </w:r>
      <w:r>
        <w:t xml:space="preserve"> were another </w:t>
      </w:r>
      <w:r w:rsidR="00957939">
        <w:t>hold up for facility operators (</w:t>
      </w:r>
      <w:r w:rsidR="00B85B93">
        <w:t>as well as a challenge for environment agencies</w:t>
      </w:r>
      <w:r w:rsidR="00957939">
        <w:t>)</w:t>
      </w:r>
      <w:r w:rsidR="00B85B93">
        <w:t xml:space="preserve">. </w:t>
      </w:r>
      <w:r w:rsidR="00957939">
        <w:t xml:space="preserve">They lack the program logic of electronic systems that prevents loads being directed to inappropriate systems, a prone to being incorrectly filled out and can be </w:t>
      </w:r>
      <w:r w:rsidR="00B85B93">
        <w:t xml:space="preserve">illegible, especially the lower pages of </w:t>
      </w:r>
      <w:r w:rsidR="00C14E61" w:rsidRPr="00C14E61">
        <w:t xml:space="preserve">the multi-carbon copy </w:t>
      </w:r>
      <w:r w:rsidR="00B85B93">
        <w:t>forms. This</w:t>
      </w:r>
      <w:r w:rsidR="00EF5756">
        <w:t xml:space="preserve"> </w:t>
      </w:r>
      <w:r w:rsidR="00B85B93">
        <w:t>also leads</w:t>
      </w:r>
      <w:r w:rsidR="00C14E61">
        <w:t xml:space="preserve"> to a particular gripe about interstate</w:t>
      </w:r>
      <w:r w:rsidR="00316E87">
        <w:t xml:space="preserve"> systems, which are</w:t>
      </w:r>
      <w:r w:rsidR="00B85B93">
        <w:t xml:space="preserve"> </w:t>
      </w:r>
      <w:r w:rsidR="006334FE">
        <w:t xml:space="preserve">largely </w:t>
      </w:r>
      <w:r w:rsidR="00B85B93">
        <w:t xml:space="preserve">paper </w:t>
      </w:r>
      <w:r w:rsidR="00316E87">
        <w:t>based (</w:t>
      </w:r>
      <w:r w:rsidR="00316E87" w:rsidRPr="006334FE">
        <w:t>other than Western Australia</w:t>
      </w:r>
      <w:r w:rsidR="006334FE">
        <w:t xml:space="preserve"> and inflows to NSW</w:t>
      </w:r>
      <w:r w:rsidR="00316E87">
        <w:t xml:space="preserve">) </w:t>
      </w:r>
      <w:r w:rsidR="00B85B93">
        <w:t>and</w:t>
      </w:r>
      <w:r w:rsidR="00EF5756">
        <w:t xml:space="preserve"> </w:t>
      </w:r>
      <w:r w:rsidR="00957939">
        <w:t xml:space="preserve">are </w:t>
      </w:r>
      <w:r w:rsidR="00B85B93">
        <w:t>c</w:t>
      </w:r>
      <w:r w:rsidR="00481F52">
        <w:t xml:space="preserve">onsistently rated </w:t>
      </w:r>
      <w:r w:rsidR="00957939">
        <w:t>by industry as less user friendly and effective</w:t>
      </w:r>
      <w:r w:rsidR="00481F52">
        <w:t xml:space="preserve"> than intrastate ones</w:t>
      </w:r>
      <w:r w:rsidR="00B85B93">
        <w:t>.</w:t>
      </w:r>
    </w:p>
    <w:p w:rsidR="00B85B93" w:rsidRDefault="00316E87" w:rsidP="00B85B93">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One</w:t>
      </w:r>
      <w:r w:rsidR="00B85B93">
        <w:t xml:space="preserve"> unexpected finding was that t</w:t>
      </w:r>
      <w:r w:rsidR="00D325FA">
        <w:t xml:space="preserve">he argument about the need for </w:t>
      </w:r>
      <w:r w:rsidR="00B85B93">
        <w:t xml:space="preserve">robust government </w:t>
      </w:r>
      <w:r w:rsidR="00D325FA">
        <w:t xml:space="preserve">data to inform </w:t>
      </w:r>
      <w:r w:rsidR="003A6375">
        <w:t xml:space="preserve">company </w:t>
      </w:r>
      <w:r w:rsidR="00D325FA">
        <w:t>investment decisions was not</w:t>
      </w:r>
      <w:r w:rsidR="009E0286">
        <w:t xml:space="preserve"> widely made. </w:t>
      </w:r>
      <w:r>
        <w:t>There are two possible explanations. Most</w:t>
      </w:r>
      <w:r w:rsidR="009E0286">
        <w:t xml:space="preserve"> of the information required for regulatory purposes is already routinely captured </w:t>
      </w:r>
      <w:r>
        <w:t>by companies in their</w:t>
      </w:r>
      <w:r w:rsidR="009E0286">
        <w:t xml:space="preserve"> business systems </w:t>
      </w:r>
      <w:r w:rsidR="009E0286" w:rsidRPr="009E0286">
        <w:t>for billing/account management or technical</w:t>
      </w:r>
      <w:r w:rsidR="009E0286">
        <w:t xml:space="preserve"> and </w:t>
      </w:r>
      <w:r w:rsidR="009E0286" w:rsidRPr="009E0286">
        <w:t>waste management purposes</w:t>
      </w:r>
      <w:r w:rsidR="009E0286">
        <w:t>.</w:t>
      </w:r>
      <w:r w:rsidR="00B85B93">
        <w:t xml:space="preserve"> Companies may </w:t>
      </w:r>
      <w:r>
        <w:t xml:space="preserve">well </w:t>
      </w:r>
      <w:r w:rsidR="00B85B93">
        <w:t>have a better idea of</w:t>
      </w:r>
      <w:r w:rsidR="00586EB9">
        <w:t xml:space="preserve"> waste sources than government.</w:t>
      </w:r>
    </w:p>
    <w:p w:rsidR="003A6375" w:rsidRDefault="00316E87" w:rsidP="003A637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Another possibility</w:t>
      </w:r>
      <w:r w:rsidR="001D1AC4">
        <w:t xml:space="preserve"> </w:t>
      </w:r>
      <w:r>
        <w:t xml:space="preserve">is some doubt </w:t>
      </w:r>
      <w:r w:rsidR="001D1AC4">
        <w:t xml:space="preserve">about the </w:t>
      </w:r>
      <w:r>
        <w:t xml:space="preserve">utility of government </w:t>
      </w:r>
      <w:r w:rsidR="001D1AC4">
        <w:t xml:space="preserve">data </w:t>
      </w:r>
      <w:r>
        <w:t>for</w:t>
      </w:r>
      <w:r w:rsidR="001D1AC4">
        <w:t xml:space="preserve"> industry.</w:t>
      </w:r>
      <w:r w:rsidR="00B85B93">
        <w:t xml:space="preserve"> </w:t>
      </w:r>
      <w:r>
        <w:t xml:space="preserve">For data to guide </w:t>
      </w:r>
      <w:r w:rsidR="00115DB2">
        <w:t>investment decisions</w:t>
      </w:r>
      <w:r w:rsidR="00B85B93" w:rsidRPr="00E3010D">
        <w:t xml:space="preserve"> it </w:t>
      </w:r>
      <w:r w:rsidR="00586EB9">
        <w:t>must</w:t>
      </w:r>
      <w:r w:rsidR="00B85B93" w:rsidRPr="00E3010D">
        <w:t xml:space="preserve"> be current (</w:t>
      </w:r>
      <w:r w:rsidR="00115DB2">
        <w:t xml:space="preserve">one stakeholder said no more than three </w:t>
      </w:r>
      <w:r w:rsidR="00B85B93" w:rsidRPr="00E3010D">
        <w:t>months old) so real-time trends can be assessed.</w:t>
      </w:r>
      <w:r w:rsidR="00115DB2">
        <w:t xml:space="preserve"> Further, the level of data aggregation required before any information can be released </w:t>
      </w:r>
      <w:r>
        <w:t>publicly limit</w:t>
      </w:r>
      <w:r w:rsidR="00115DB2">
        <w:t>s its usability for granular business planning.</w:t>
      </w:r>
    </w:p>
    <w:p w:rsidR="00B85B93" w:rsidRDefault="00115DB2" w:rsidP="00B85B93">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From a commercial aspect, companies were </w:t>
      </w:r>
      <w:r w:rsidR="00316E87">
        <w:t xml:space="preserve">actually </w:t>
      </w:r>
      <w:r>
        <w:t xml:space="preserve">more interested in levelling the playing field by bringing </w:t>
      </w:r>
      <w:r w:rsidRPr="005F3CE0">
        <w:t xml:space="preserve">more rigour around the process </w:t>
      </w:r>
      <w:r w:rsidR="00316E87">
        <w:t xml:space="preserve">in order </w:t>
      </w:r>
      <w:r>
        <w:t>to</w:t>
      </w:r>
      <w:r w:rsidRPr="005F3CE0">
        <w:t xml:space="preserve"> eliminate sub-standard operators who don’t track and record information appropriately</w:t>
      </w:r>
      <w:r>
        <w:t xml:space="preserve"> – or avoid the system completely, as discussed above.</w:t>
      </w:r>
      <w:r w:rsidR="00316E87">
        <w:t xml:space="preserve"> A system that is not adequately joined up from generation through to final fate is a vulnerable system.</w:t>
      </w:r>
    </w:p>
    <w:p w:rsidR="001D1AC4" w:rsidRDefault="00115DB2" w:rsidP="00316E8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Most o</w:t>
      </w:r>
      <w:r w:rsidR="00316E87">
        <w:t>f the workshops sounded out the issue of smaller companies</w:t>
      </w:r>
      <w:r>
        <w:t xml:space="preserve"> </w:t>
      </w:r>
      <w:r w:rsidR="00316E87">
        <w:t>that</w:t>
      </w:r>
      <w:r>
        <w:t xml:space="preserve"> may not have the processes and skills to effectively operate within the system. It is compounded by the </w:t>
      </w:r>
      <w:r w:rsidR="00996182" w:rsidRPr="006014D0">
        <w:t xml:space="preserve">confusion </w:t>
      </w:r>
      <w:r>
        <w:t>experienced by s</w:t>
      </w:r>
      <w:r w:rsidRPr="006014D0">
        <w:t>maller waste producers,</w:t>
      </w:r>
      <w:r>
        <w:t xml:space="preserve"> such as dental clinics and photo labs</w:t>
      </w:r>
      <w:r w:rsidR="00996182">
        <w:t xml:space="preserve">, who </w:t>
      </w:r>
      <w:r w:rsidRPr="006014D0">
        <w:t>don’t have specialised staff to handle waste issues</w:t>
      </w:r>
      <w:r w:rsidR="00316E87">
        <w:t>, let alone consignment authorisations for specific waste streams</w:t>
      </w:r>
      <w:r w:rsidRPr="006014D0">
        <w:t xml:space="preserve">. </w:t>
      </w:r>
      <w:r w:rsidR="00316E87">
        <w:t xml:space="preserve">The </w:t>
      </w:r>
      <w:r w:rsidR="00996182">
        <w:t>response</w:t>
      </w:r>
      <w:r w:rsidR="00316E87">
        <w:t xml:space="preserve"> by clinical waste company</w:t>
      </w:r>
      <w:r w:rsidR="00996182">
        <w:t xml:space="preserve"> </w:t>
      </w:r>
      <w:proofErr w:type="spellStart"/>
      <w:r w:rsidR="00996182">
        <w:t>Sterihealth</w:t>
      </w:r>
      <w:proofErr w:type="spellEnd"/>
      <w:r w:rsidRPr="006014D0">
        <w:t xml:space="preserve"> has </w:t>
      </w:r>
      <w:r w:rsidR="00316E87">
        <w:t>been to develop</w:t>
      </w:r>
      <w:r w:rsidRPr="006014D0">
        <w:t xml:space="preserve"> a descriptive framework for </w:t>
      </w:r>
      <w:proofErr w:type="gramStart"/>
      <w:r w:rsidRPr="006014D0">
        <w:t>customers that outlines</w:t>
      </w:r>
      <w:proofErr w:type="gramEnd"/>
      <w:r w:rsidRPr="006014D0">
        <w:t xml:space="preserve"> what waste types they ca</w:t>
      </w:r>
      <w:r w:rsidR="00CC1ABF">
        <w:t xml:space="preserve">n include, but does not cite </w:t>
      </w:r>
      <w:r w:rsidRPr="006014D0">
        <w:t xml:space="preserve">NEPM codes as they are </w:t>
      </w:r>
      <w:r w:rsidR="00996182">
        <w:t xml:space="preserve">not </w:t>
      </w:r>
      <w:r w:rsidRPr="006014D0">
        <w:t>relevant or informative for industry.</w:t>
      </w:r>
      <w:r w:rsidR="00996182">
        <w:t xml:space="preserve"> </w:t>
      </w:r>
    </w:p>
    <w:p w:rsidR="001C25CB" w:rsidRDefault="009F6429" w:rsidP="006B0491">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For industry, the need for greater national</w:t>
      </w:r>
      <w:r w:rsidR="00CC1ABF">
        <w:t xml:space="preserve"> consistency is clear</w:t>
      </w:r>
      <w:r w:rsidR="006B0491">
        <w:t>. Like state and territory</w:t>
      </w:r>
      <w:r w:rsidR="006B0491" w:rsidRPr="006B0491">
        <w:t xml:space="preserve"> </w:t>
      </w:r>
      <w:r w:rsidR="006B0491">
        <w:t>governments it largely focuses on operational issues rather than a higher level perspective. U</w:t>
      </w:r>
      <w:r w:rsidR="00D404E6">
        <w:t>nlike the state</w:t>
      </w:r>
      <w:r w:rsidR="006B0491">
        <w:t>s and territories</w:t>
      </w:r>
      <w:r w:rsidR="00D404E6">
        <w:t>, an interstate</w:t>
      </w:r>
      <w:r w:rsidR="00CC1ABF">
        <w:t>-only focus is ju</w:t>
      </w:r>
      <w:r w:rsidR="006B0491">
        <w:t>st a start, with a</w:t>
      </w:r>
      <w:r w:rsidR="00CC1ABF">
        <w:t xml:space="preserve"> clear position coming through the consultation for </w:t>
      </w:r>
      <w:r w:rsidR="00D404E6">
        <w:t>reform</w:t>
      </w:r>
      <w:r w:rsidR="006B0491">
        <w:t>s</w:t>
      </w:r>
      <w:r w:rsidR="00D404E6">
        <w:t xml:space="preserve"> to </w:t>
      </w:r>
      <w:r w:rsidR="00361666">
        <w:t>embrace</w:t>
      </w:r>
      <w:r w:rsidR="00D404E6">
        <w:t xml:space="preserve"> intrastate systems. </w:t>
      </w:r>
      <w:proofErr w:type="gramStart"/>
      <w:r w:rsidR="00D404E6" w:rsidRPr="00C92EE3">
        <w:t>According to one waste industry figure: “I really don’t care what system and codes are used, the greatest cost is the opportunity cost of not being able to r</w:t>
      </w:r>
      <w:r w:rsidR="00361666">
        <w:t>un a single [business] system.”</w:t>
      </w:r>
      <w:proofErr w:type="gramEnd"/>
    </w:p>
    <w:p w:rsidR="00580BFE" w:rsidRPr="00580BFE" w:rsidRDefault="00580BFE" w:rsidP="00EF6368">
      <w:pPr>
        <w:pStyle w:val="Heading3"/>
      </w:pPr>
      <w:r w:rsidRPr="00580BFE">
        <w:t xml:space="preserve">Willingness </w:t>
      </w:r>
      <w:r w:rsidR="00106B3F">
        <w:t xml:space="preserve">and readiness </w:t>
      </w:r>
      <w:r w:rsidRPr="00580BFE">
        <w:t>to change</w:t>
      </w:r>
    </w:p>
    <w:p w:rsid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 xml:space="preserve">Willingness </w:t>
      </w:r>
      <w:r w:rsidR="00106B3F">
        <w:t xml:space="preserve">and readiness </w:t>
      </w:r>
      <w:r w:rsidRPr="00580BFE">
        <w:t xml:space="preserve">to change </w:t>
      </w:r>
      <w:proofErr w:type="gramStart"/>
      <w:r w:rsidR="00106B3F">
        <w:t>are</w:t>
      </w:r>
      <w:proofErr w:type="gramEnd"/>
      <w:r w:rsidR="00106B3F">
        <w:t xml:space="preserve"> not the same thing. Willingness </w:t>
      </w:r>
      <w:r w:rsidRPr="00580BFE">
        <w:rPr>
          <w:rFonts w:cs="Arial"/>
          <w:color w:val="000000"/>
        </w:rPr>
        <w:t>refers to an organisation’s beliefs and attitudes and the degree to which it could be brought “on board”</w:t>
      </w:r>
      <w:r w:rsidR="00EC79D6">
        <w:rPr>
          <w:rFonts w:cs="Arial"/>
          <w:color w:val="000000"/>
        </w:rPr>
        <w:t xml:space="preserve"> the reforms</w:t>
      </w:r>
      <w:r w:rsidRPr="00580BFE">
        <w:rPr>
          <w:rFonts w:cs="Arial"/>
          <w:color w:val="000000"/>
        </w:rPr>
        <w:t xml:space="preserve">. </w:t>
      </w:r>
      <w:r w:rsidR="00106B3F">
        <w:t>R</w:t>
      </w:r>
      <w:r w:rsidRPr="00580BFE">
        <w:t>e</w:t>
      </w:r>
      <w:r w:rsidR="00D404E6">
        <w:t>adiness for change</w:t>
      </w:r>
      <w:r w:rsidRPr="00580BFE">
        <w:rPr>
          <w:rFonts w:cs="Arial"/>
          <w:color w:val="000000"/>
        </w:rPr>
        <w:t>,</w:t>
      </w:r>
      <w:r w:rsidRPr="00580BFE">
        <w:t xml:space="preserve"> </w:t>
      </w:r>
      <w:r w:rsidR="00106B3F">
        <w:t xml:space="preserve">on the other hand, </w:t>
      </w:r>
      <w:r w:rsidRPr="00580BFE">
        <w:t xml:space="preserve">refers to the degree to which an organisation </w:t>
      </w:r>
      <w:r w:rsidRPr="00580BFE">
        <w:lastRenderedPageBreak/>
        <w:t xml:space="preserve">could feasibly adapt to the change and considers factors such as capacity, </w:t>
      </w:r>
      <w:r w:rsidR="00943228">
        <w:t>resourcing and</w:t>
      </w:r>
      <w:r w:rsidRPr="00580BFE">
        <w:t xml:space="preserve"> </w:t>
      </w:r>
      <w:r w:rsidR="006D0A83">
        <w:t>IT infrastructure.</w:t>
      </w:r>
    </w:p>
    <w:p w:rsidR="00580BFE" w:rsidRPr="00580BFE" w:rsidRDefault="00D404E6" w:rsidP="006334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Willingnes</w:t>
      </w:r>
      <w:r w:rsidR="00B36903">
        <w:t xml:space="preserve">s to change </w:t>
      </w:r>
      <w:r w:rsidR="006334FE">
        <w:t>is</w:t>
      </w:r>
      <w:r>
        <w:t xml:space="preserve"> related to the perception of the </w:t>
      </w:r>
      <w:r w:rsidR="004C06FA">
        <w:t>need for change</w:t>
      </w:r>
      <w:r w:rsidR="00CC1ABF">
        <w:t>, as addressed above</w:t>
      </w:r>
      <w:r w:rsidR="006334FE">
        <w:t>, but</w:t>
      </w:r>
      <w:r w:rsidR="00723B2F">
        <w:t xml:space="preserve"> is also a factor of priorities, the complexity of change, existing systems and </w:t>
      </w:r>
      <w:r w:rsidR="00B36903">
        <w:t>perceived costs and benefits.</w:t>
      </w:r>
      <w:r w:rsidR="006334FE">
        <w:t xml:space="preserve"> </w:t>
      </w:r>
      <w:r w:rsidR="00580BFE" w:rsidRPr="00580BFE">
        <w:t xml:space="preserve">It is </w:t>
      </w:r>
      <w:r w:rsidR="006334FE">
        <w:t xml:space="preserve">also </w:t>
      </w:r>
      <w:r w:rsidR="00580BFE" w:rsidRPr="00580BFE">
        <w:t xml:space="preserve">worth noting upfront that willingness </w:t>
      </w:r>
      <w:r w:rsidR="00723B2F">
        <w:t xml:space="preserve">– </w:t>
      </w:r>
      <w:r w:rsidR="00580BFE" w:rsidRPr="00580BFE">
        <w:t>and readiness</w:t>
      </w:r>
      <w:r w:rsidR="00723B2F">
        <w:t xml:space="preserve"> –</w:t>
      </w:r>
      <w:r w:rsidR="00580BFE" w:rsidRPr="00580BFE">
        <w:t xml:space="preserve"> to embrace </w:t>
      </w:r>
      <w:r w:rsidR="006334FE">
        <w:t xml:space="preserve">national data </w:t>
      </w:r>
      <w:r w:rsidR="00580BFE" w:rsidRPr="00580BFE">
        <w:t xml:space="preserve">reforms will depend on the </w:t>
      </w:r>
      <w:r w:rsidR="004C06FA">
        <w:t xml:space="preserve">specific </w:t>
      </w:r>
      <w:r w:rsidR="00580BFE" w:rsidRPr="00580BFE">
        <w:t>options recommended</w:t>
      </w:r>
      <w:r w:rsidR="002E3F23">
        <w:t xml:space="preserve"> </w:t>
      </w:r>
      <w:r w:rsidR="002E3F23" w:rsidRPr="00B36903">
        <w:t>(</w:t>
      </w:r>
      <w:r w:rsidR="00580BFE" w:rsidRPr="00B36903">
        <w:t xml:space="preserve">Section </w:t>
      </w:r>
      <w:r w:rsidR="00350C10">
        <w:fldChar w:fldCharType="begin"/>
      </w:r>
      <w:r w:rsidR="00CC1ABF">
        <w:instrText xml:space="preserve"> REF _Ref418237405 \n \h </w:instrText>
      </w:r>
      <w:r w:rsidR="00350C10">
        <w:fldChar w:fldCharType="separate"/>
      </w:r>
      <w:r w:rsidR="00261FA5">
        <w:t>5</w:t>
      </w:r>
      <w:r w:rsidR="00350C10">
        <w:fldChar w:fldCharType="end"/>
      </w:r>
      <w:r w:rsidR="002E3F23" w:rsidRPr="00B36903">
        <w:t>)</w:t>
      </w:r>
      <w:r w:rsidR="006334FE">
        <w:t xml:space="preserve">, but </w:t>
      </w:r>
      <w:r w:rsidR="00580BFE" w:rsidRPr="00580BFE">
        <w:t xml:space="preserve">it is possible to make some judgements about the </w:t>
      </w:r>
      <w:r w:rsidR="00B36903">
        <w:t>dis</w:t>
      </w:r>
      <w:r w:rsidR="00EC79D6">
        <w:t xml:space="preserve">position of </w:t>
      </w:r>
      <w:r w:rsidR="002E3F23">
        <w:t>agencies and industry</w:t>
      </w:r>
      <w:r w:rsidR="00EC79D6">
        <w:t xml:space="preserve"> in regards to the broad reform agenda.</w:t>
      </w:r>
    </w:p>
    <w:p w:rsidR="00580BFE" w:rsidRPr="00580BFE" w:rsidRDefault="00580BFE" w:rsidP="00EF6368">
      <w:pPr>
        <w:pStyle w:val="Heading40"/>
      </w:pPr>
      <w:r w:rsidRPr="00580BFE">
        <w:t>Government</w:t>
      </w:r>
    </w:p>
    <w:p w:rsidR="00CC1ABF" w:rsidRDefault="003B09CB" w:rsidP="00CC1ABF">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Two </w:t>
      </w:r>
      <w:r w:rsidR="00037B5A">
        <w:t>themes</w:t>
      </w:r>
      <w:r>
        <w:t xml:space="preserve"> </w:t>
      </w:r>
      <w:r w:rsidR="00B36903">
        <w:t xml:space="preserve">strongly </w:t>
      </w:r>
      <w:r w:rsidR="00037B5A">
        <w:t xml:space="preserve">at play </w:t>
      </w:r>
      <w:r>
        <w:t xml:space="preserve">across </w:t>
      </w:r>
      <w:r w:rsidR="00037B5A">
        <w:t xml:space="preserve">all </w:t>
      </w:r>
      <w:r>
        <w:t>governments</w:t>
      </w:r>
      <w:r w:rsidR="00037B5A">
        <w:t xml:space="preserve"> </w:t>
      </w:r>
      <w:r>
        <w:t xml:space="preserve">are </w:t>
      </w:r>
      <w:r w:rsidR="00037B5A">
        <w:t>regulatory</w:t>
      </w:r>
      <w:r>
        <w:t xml:space="preserve"> reduction and </w:t>
      </w:r>
      <w:r w:rsidR="005834B4">
        <w:t>efficiency dividends –</w:t>
      </w:r>
      <w:r w:rsidR="00037B5A">
        <w:t xml:space="preserve"> the need to reduce </w:t>
      </w:r>
      <w:r w:rsidR="00CC1ABF">
        <w:t xml:space="preserve">the </w:t>
      </w:r>
      <w:r w:rsidR="00037B5A">
        <w:t xml:space="preserve">compliance </w:t>
      </w:r>
      <w:r w:rsidR="00CC1ABF">
        <w:t>burden</w:t>
      </w:r>
      <w:r w:rsidR="00037B5A">
        <w:t xml:space="preserve"> for industry and to respond to tighter </w:t>
      </w:r>
      <w:r w:rsidR="00CC1ABF">
        <w:t xml:space="preserve">public </w:t>
      </w:r>
      <w:r w:rsidR="00037B5A">
        <w:t xml:space="preserve">budgetary </w:t>
      </w:r>
      <w:r w:rsidR="00B64099">
        <w:t>conditions</w:t>
      </w:r>
      <w:r w:rsidR="00037B5A">
        <w:t xml:space="preserve">. </w:t>
      </w:r>
      <w:r w:rsidR="00F21166">
        <w:t xml:space="preserve">This </w:t>
      </w:r>
      <w:r w:rsidR="00B64099">
        <w:t xml:space="preserve">broad </w:t>
      </w:r>
      <w:r w:rsidR="00F21166">
        <w:t xml:space="preserve">backdrop, combined with the </w:t>
      </w:r>
      <w:r w:rsidR="00246EC3">
        <w:t xml:space="preserve">relative </w:t>
      </w:r>
      <w:r w:rsidR="00F21166">
        <w:t xml:space="preserve">weight given hazardous waste among </w:t>
      </w:r>
      <w:r w:rsidR="00B64099">
        <w:t xml:space="preserve">competing </w:t>
      </w:r>
      <w:r w:rsidR="00F21166">
        <w:t xml:space="preserve">environment agency priorities, has </w:t>
      </w:r>
      <w:r w:rsidR="00580BFE" w:rsidRPr="00580BFE">
        <w:t>create</w:t>
      </w:r>
      <w:r w:rsidR="00F21166">
        <w:t>d</w:t>
      </w:r>
      <w:r w:rsidR="00246EC3">
        <w:t xml:space="preserve"> a</w:t>
      </w:r>
      <w:r w:rsidR="00B64099">
        <w:t>n</w:t>
      </w:r>
      <w:r w:rsidR="00246EC3">
        <w:t xml:space="preserve"> </w:t>
      </w:r>
      <w:r w:rsidR="00580BFE" w:rsidRPr="00580BFE">
        <w:t xml:space="preserve">atmosphere of caution within </w:t>
      </w:r>
      <w:r w:rsidR="00246EC3">
        <w:t xml:space="preserve">most </w:t>
      </w:r>
      <w:r w:rsidR="00580BFE" w:rsidRPr="00580BFE">
        <w:t xml:space="preserve">jurisdictions around reforms to hazardous waste tracking. </w:t>
      </w:r>
    </w:p>
    <w:p w:rsidR="00CC1ABF" w:rsidRDefault="00CC1ABF" w:rsidP="00CC1ABF">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Driving reform in such an environment requires a compelling cost-benefit case, broad internal and external support and a model that minimises the cost to government. </w:t>
      </w:r>
      <w:r w:rsidR="00580BFE" w:rsidRPr="00580BFE">
        <w:t>This suggests</w:t>
      </w:r>
      <w:r w:rsidR="00F21166">
        <w:t xml:space="preserve"> the need for</w:t>
      </w:r>
      <w:r w:rsidR="00580BFE" w:rsidRPr="00580BFE">
        <w:t xml:space="preserve"> various hig</w:t>
      </w:r>
      <w:r>
        <w:t>h level strategies, including preferential</w:t>
      </w:r>
      <w:r w:rsidR="00580BFE" w:rsidRPr="00580BFE">
        <w:t xml:space="preserve"> </w:t>
      </w:r>
      <w:r>
        <w:t>development of</w:t>
      </w:r>
      <w:r w:rsidR="00F21166">
        <w:t xml:space="preserve"> </w:t>
      </w:r>
      <w:r w:rsidR="00580BFE" w:rsidRPr="00580BFE">
        <w:t>least cost options, phasing</w:t>
      </w:r>
      <w:r w:rsidR="00EC79D6">
        <w:t xml:space="preserve"> of</w:t>
      </w:r>
      <w:r w:rsidR="00F21166">
        <w:t xml:space="preserve"> the reform package</w:t>
      </w:r>
      <w:r w:rsidR="00580BFE" w:rsidRPr="00580BFE">
        <w:t xml:space="preserve"> and building a level of support within the senior ranks of environment agencies to </w:t>
      </w:r>
      <w:r>
        <w:t>generate</w:t>
      </w:r>
      <w:r w:rsidR="00580BFE" w:rsidRPr="00580BFE">
        <w:t xml:space="preserve"> </w:t>
      </w:r>
      <w:r w:rsidR="00246EC3">
        <w:t>the</w:t>
      </w:r>
      <w:r w:rsidR="00580BFE" w:rsidRPr="00580BFE">
        <w:t xml:space="preserve"> internal capital to push the reforms up the agenda.</w:t>
      </w:r>
    </w:p>
    <w:p w:rsidR="00246EC3" w:rsidRDefault="00246EC3" w:rsidP="00246EC3">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Beyond the general appetite</w:t>
      </w:r>
      <w:r w:rsidR="00B64099">
        <w:t xml:space="preserve"> for reform </w:t>
      </w:r>
      <w:r>
        <w:t xml:space="preserve">is the </w:t>
      </w:r>
      <w:r w:rsidRPr="00580BFE">
        <w:t xml:space="preserve">complex terrain </w:t>
      </w:r>
      <w:r>
        <w:t xml:space="preserve">of hazardous waste management itself, with </w:t>
      </w:r>
      <w:r w:rsidRPr="00580BFE">
        <w:t xml:space="preserve">a range of </w:t>
      </w:r>
      <w:r>
        <w:t>policy and regulatory backdrops</w:t>
      </w:r>
      <w:r w:rsidRPr="00580BFE">
        <w:t xml:space="preserve">, </w:t>
      </w:r>
      <w:proofErr w:type="gramStart"/>
      <w:r w:rsidRPr="00580BFE">
        <w:t>sunk</w:t>
      </w:r>
      <w:proofErr w:type="gramEnd"/>
      <w:r w:rsidRPr="00580BFE">
        <w:t xml:space="preserve"> investments </w:t>
      </w:r>
      <w:r w:rsidR="00E47DB7">
        <w:t xml:space="preserve">in systems </w:t>
      </w:r>
      <w:r w:rsidRPr="00580BFE">
        <w:t xml:space="preserve">and </w:t>
      </w:r>
      <w:r w:rsidR="0005522B">
        <w:t xml:space="preserve">differing </w:t>
      </w:r>
      <w:r w:rsidRPr="00580BFE">
        <w:t>potential opportunities.</w:t>
      </w:r>
      <w:r>
        <w:t xml:space="preserve"> </w:t>
      </w:r>
    </w:p>
    <w:p w:rsidR="00246EC3" w:rsidRPr="00246EC3" w:rsidRDefault="00246EC3" w:rsidP="00953A4C">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One </w:t>
      </w:r>
      <w:r w:rsidR="006468C8">
        <w:t xml:space="preserve">key question </w:t>
      </w:r>
      <w:r>
        <w:t xml:space="preserve">is the jurisdictions’ views of </w:t>
      </w:r>
      <w:r w:rsidR="006468C8">
        <w:t>the role</w:t>
      </w:r>
      <w:r w:rsidR="00D560D9">
        <w:t xml:space="preserve"> </w:t>
      </w:r>
      <w:r w:rsidR="00CC1ABF">
        <w:t>of</w:t>
      </w:r>
      <w:r w:rsidR="00D560D9">
        <w:t xml:space="preserve"> the</w:t>
      </w:r>
      <w:r w:rsidR="00675296">
        <w:t xml:space="preserve">ir tracking schemes, in particular </w:t>
      </w:r>
      <w:r w:rsidR="00675296" w:rsidRPr="00675296">
        <w:t xml:space="preserve">the balance between its core regulatory </w:t>
      </w:r>
      <w:r w:rsidR="006468C8">
        <w:t>function</w:t>
      </w:r>
      <w:r w:rsidR="00675296" w:rsidRPr="00675296">
        <w:t xml:space="preserve"> and </w:t>
      </w:r>
      <w:r w:rsidR="00B64099">
        <w:t xml:space="preserve">the </w:t>
      </w:r>
      <w:r w:rsidR="00675296" w:rsidRPr="00675296">
        <w:t>broader provision of strategic information</w:t>
      </w:r>
      <w:r w:rsidR="00B64099">
        <w:t xml:space="preserve"> on hazardous waste</w:t>
      </w:r>
      <w:r w:rsidR="00675296" w:rsidRPr="00675296">
        <w:t xml:space="preserve">. </w:t>
      </w:r>
      <w:r w:rsidR="00D560D9">
        <w:t>The answer</w:t>
      </w:r>
      <w:r w:rsidRPr="00246EC3">
        <w:t xml:space="preserve"> </w:t>
      </w:r>
      <w:r w:rsidR="00D560D9">
        <w:t>is strongly influenced by the</w:t>
      </w:r>
      <w:r w:rsidRPr="00246EC3">
        <w:t xml:space="preserve"> objectives </w:t>
      </w:r>
      <w:r w:rsidR="00D560D9">
        <w:t xml:space="preserve">of each jurisdiction </w:t>
      </w:r>
      <w:r w:rsidRPr="00246EC3">
        <w:t>around hazardous waste generally</w:t>
      </w:r>
      <w:r w:rsidR="00D560D9">
        <w:t>.</w:t>
      </w:r>
      <w:r w:rsidRPr="00246EC3">
        <w:t xml:space="preserve"> For example, Victoria encourages higher hierarchy outcomes for hazardous (prescribed industrial) waste through its risk classifications (A, B and C), with high risk Category A waste banned from landfill and a state-wide goal to eliminate </w:t>
      </w:r>
      <w:proofErr w:type="spellStart"/>
      <w:r w:rsidRPr="00246EC3">
        <w:t>landfilling</w:t>
      </w:r>
      <w:proofErr w:type="spellEnd"/>
      <w:r w:rsidRPr="00246EC3">
        <w:t xml:space="preserve"> of medium risk Category B waste by 2020. In principle, the EPA sees greater data and real-time information as desirable to inform that policy driver.</w:t>
      </w:r>
    </w:p>
    <w:p w:rsidR="00246EC3" w:rsidRDefault="00246EC3" w:rsidP="00246EC3">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246EC3">
        <w:t xml:space="preserve">NSW, on the other hand, mostly leaves the policy leverage to the overall waste levy rather than specific hazardous waste measures. </w:t>
      </w:r>
      <w:r w:rsidR="00675296" w:rsidRPr="00675296">
        <w:t>While its data is arguably the best of all jurisdictions, it sees the task of the tracking scheme as almost entirely regulatory, focusing quite tightly on minimising risks from hazardous waste movement, treatment and disposal. Data capture for other purposes is a by-product. While not ruling out adjustments to its tracking system, the NSW EPA requires a compelling business case to do so.</w:t>
      </w:r>
    </w:p>
    <w:p w:rsidR="00E47DB7" w:rsidRDefault="00675296" w:rsidP="0099790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675296">
        <w:t>The other jurisdictions generally fall somewhere between Victoria and NSW in their</w:t>
      </w:r>
      <w:r w:rsidR="0099790A">
        <w:t xml:space="preserve"> view of the reform imperative, </w:t>
      </w:r>
      <w:r w:rsidR="0099790A" w:rsidRPr="00246EC3">
        <w:t>although there appears little appetite among the three jurisdictions that do not run active reg</w:t>
      </w:r>
      <w:r w:rsidR="0099790A">
        <w:t>imes, Tasmania, ACT and the N</w:t>
      </w:r>
      <w:r w:rsidR="00CC1ABF">
        <w:t xml:space="preserve">orthern </w:t>
      </w:r>
      <w:r w:rsidR="0099790A">
        <w:t>T</w:t>
      </w:r>
      <w:r w:rsidR="00CC1ABF">
        <w:t>erritory</w:t>
      </w:r>
      <w:r w:rsidR="0099790A">
        <w:t>.</w:t>
      </w:r>
      <w:r>
        <w:t xml:space="preserve"> </w:t>
      </w:r>
      <w:r w:rsidR="00A34B1F">
        <w:t>The Department of Environment R</w:t>
      </w:r>
      <w:r w:rsidR="00A34B1F" w:rsidRPr="00580BFE">
        <w:t>egulation (DER) in Western Australia set some markers for its support for a national reporting system: it reduces duplication in the overall hazardous waste reporting system; maintains the existing regulatory framework in WA; and doesn’t require significant amendments to th</w:t>
      </w:r>
      <w:r w:rsidR="00A34B1F">
        <w:t>e existing data capture system.</w:t>
      </w:r>
    </w:p>
    <w:p w:rsidR="009B2084" w:rsidRDefault="00A34B1F" w:rsidP="009B208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Another core variable is how jurisdictions see the balance of opportunity and risk in </w:t>
      </w:r>
      <w:r w:rsidR="00CC1ABF">
        <w:t xml:space="preserve">a more nationalised approach, which </w:t>
      </w:r>
      <w:r w:rsidR="00675296">
        <w:t xml:space="preserve">could reduce barriers to waste flows. </w:t>
      </w:r>
      <w:r w:rsidR="009B2084">
        <w:t xml:space="preserve">As NSW </w:t>
      </w:r>
      <w:r w:rsidR="00C3689B">
        <w:t>has just amended its waste regulations to clamp</w:t>
      </w:r>
      <w:r w:rsidR="009B2084">
        <w:t xml:space="preserve"> down on f</w:t>
      </w:r>
      <w:r w:rsidR="003B118D">
        <w:t xml:space="preserve">lows of non-hazardous wastes to </w:t>
      </w:r>
      <w:r w:rsidR="009B2084">
        <w:t xml:space="preserve">Queensland, which was taking with it potential waste levy revenue, it could be reluctant to embrace reforms that make hazardous waste border crossings any easier. While not nearly of the same volume, </w:t>
      </w:r>
      <w:r w:rsidR="009B2084">
        <w:lastRenderedPageBreak/>
        <w:t xml:space="preserve">estimated at some </w:t>
      </w:r>
      <w:r w:rsidR="009B2084" w:rsidRPr="007F1C64">
        <w:t>19,780 tonnes in 2012/13</w:t>
      </w:r>
      <w:r w:rsidR="009B2084">
        <w:t xml:space="preserve"> (Appendix A), it nevertheless represents revenue leakage for the</w:t>
      </w:r>
      <w:r w:rsidR="009B2084" w:rsidRPr="007F1C64">
        <w:t xml:space="preserve"> </w:t>
      </w:r>
      <w:r w:rsidR="009B2084">
        <w:t>NSW government and waste facilities.</w:t>
      </w:r>
    </w:p>
    <w:p w:rsidR="009B2084" w:rsidRDefault="009B2084" w:rsidP="009B208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Indeed the Queensland workshop discussed the</w:t>
      </w:r>
      <w:r w:rsidRPr="002F190F">
        <w:t xml:space="preserve"> opportunity for </w:t>
      </w:r>
      <w:r>
        <w:t>the state</w:t>
      </w:r>
      <w:r w:rsidRPr="002F190F">
        <w:t xml:space="preserve"> to become a hub for treatment and recycling of wastes</w:t>
      </w:r>
      <w:r>
        <w:t xml:space="preserve"> </w:t>
      </w:r>
      <w:r w:rsidRPr="002F190F">
        <w:t xml:space="preserve">if the regulatory processes for importing waste </w:t>
      </w:r>
      <w:r>
        <w:t xml:space="preserve">from other states and territories </w:t>
      </w:r>
      <w:r w:rsidRPr="002F190F">
        <w:t>could be streamlined.</w:t>
      </w:r>
    </w:p>
    <w:p w:rsidR="00675296" w:rsidRPr="00580BFE" w:rsidRDefault="009B2084" w:rsidP="009B208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That competitive tension may also exist inside states. </w:t>
      </w:r>
      <w:r w:rsidR="00675296">
        <w:t>T</w:t>
      </w:r>
      <w:r w:rsidR="00675296" w:rsidRPr="00580BFE">
        <w:t>he Northern Territory EPA</w:t>
      </w:r>
      <w:r w:rsidR="00675296">
        <w:t xml:space="preserve"> summed it up neatly, noting</w:t>
      </w:r>
      <w:r w:rsidR="00675296" w:rsidRPr="00580BFE">
        <w:t xml:space="preserve"> better data </w:t>
      </w:r>
      <w:r>
        <w:t>would support</w:t>
      </w:r>
      <w:r w:rsidR="00675296" w:rsidRPr="00580BFE">
        <w:t xml:space="preserve"> the government’s industry development policy by </w:t>
      </w:r>
      <w:r>
        <w:t xml:space="preserve">potentially </w:t>
      </w:r>
      <w:r w:rsidR="00F52268">
        <w:t>informing</w:t>
      </w:r>
      <w:r w:rsidR="00675296" w:rsidRPr="00580BFE">
        <w:t xml:space="preserve"> investments in the recycling sector, but additional data collection requirements </w:t>
      </w:r>
      <w:r>
        <w:t xml:space="preserve">would raise </w:t>
      </w:r>
      <w:r w:rsidR="00675296" w:rsidRPr="00580BFE">
        <w:t>cost</w:t>
      </w:r>
      <w:r>
        <w:t xml:space="preserve">s in the economy by making </w:t>
      </w:r>
      <w:r w:rsidR="00675296" w:rsidRPr="00580BFE">
        <w:t xml:space="preserve">waste </w:t>
      </w:r>
      <w:r w:rsidR="00F52268">
        <w:t>services</w:t>
      </w:r>
      <w:r>
        <w:t xml:space="preserve"> more expensive</w:t>
      </w:r>
      <w:r w:rsidR="00F52268">
        <w:t>.</w:t>
      </w:r>
    </w:p>
    <w:p w:rsidR="006D0A83" w:rsidRDefault="00FE0DCC" w:rsidP="0089077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Willingness to devote resources to implementing change must also be seen in</w:t>
      </w:r>
      <w:r w:rsidR="00B772E1">
        <w:t xml:space="preserve"> the context of broader agency</w:t>
      </w:r>
      <w:r w:rsidR="001E50CE">
        <w:t xml:space="preserve"> priorities and projects, particularly in the hazardous waste area</w:t>
      </w:r>
      <w:r w:rsidRPr="00580BFE">
        <w:t xml:space="preserve">. </w:t>
      </w:r>
      <w:r w:rsidR="001E50CE">
        <w:t xml:space="preserve">For example </w:t>
      </w:r>
      <w:r>
        <w:t>S</w:t>
      </w:r>
      <w:r w:rsidR="001E50CE">
        <w:t xml:space="preserve">outh </w:t>
      </w:r>
      <w:r w:rsidRPr="00580BFE">
        <w:t>A</w:t>
      </w:r>
      <w:r w:rsidR="001E50CE">
        <w:t>ustralia</w:t>
      </w:r>
      <w:r w:rsidRPr="00580BFE">
        <w:t xml:space="preserve"> has</w:t>
      </w:r>
      <w:r w:rsidR="001E50CE">
        <w:t xml:space="preserve"> </w:t>
      </w:r>
      <w:r w:rsidRPr="00580BFE">
        <w:t>just introduced a version of the NSW electronic system after t</w:t>
      </w:r>
      <w:r>
        <w:t xml:space="preserve">wo years </w:t>
      </w:r>
      <w:r w:rsidR="009B2084">
        <w:t>of tweaking and</w:t>
      </w:r>
      <w:r w:rsidR="001E50CE">
        <w:t xml:space="preserve"> </w:t>
      </w:r>
      <w:r>
        <w:t>testing</w:t>
      </w:r>
      <w:r w:rsidR="009B2084">
        <w:t>, plus reviewing</w:t>
      </w:r>
      <w:r w:rsidRPr="00580BFE">
        <w:t xml:space="preserve"> its </w:t>
      </w:r>
      <w:proofErr w:type="spellStart"/>
      <w:r w:rsidRPr="00580BFE">
        <w:t>licencing</w:t>
      </w:r>
      <w:proofErr w:type="spellEnd"/>
      <w:r w:rsidRPr="00580BFE">
        <w:t xml:space="preserve"> arrangements, </w:t>
      </w:r>
      <w:r w:rsidR="001E50CE">
        <w:t xml:space="preserve">so </w:t>
      </w:r>
      <w:r w:rsidR="009B2084">
        <w:t>its</w:t>
      </w:r>
      <w:r w:rsidRPr="00580BFE">
        <w:t xml:space="preserve"> main focus is on bedding down those changes rathe</w:t>
      </w:r>
      <w:r>
        <w:t xml:space="preserve">r than exploring further </w:t>
      </w:r>
      <w:r w:rsidR="001E50CE">
        <w:t>reform</w:t>
      </w:r>
      <w:r>
        <w:t>.</w:t>
      </w:r>
      <w:r w:rsidR="001E50CE">
        <w:t xml:space="preserve"> </w:t>
      </w:r>
      <w:r w:rsidR="00350C10">
        <w:fldChar w:fldCharType="begin"/>
      </w:r>
      <w:r w:rsidR="001E50CE">
        <w:instrText xml:space="preserve"> REF _Ref418173291 \h </w:instrText>
      </w:r>
      <w:r w:rsidR="00350C10">
        <w:fldChar w:fldCharType="separate"/>
      </w:r>
      <w:r w:rsidR="00261FA5" w:rsidRPr="006226B1">
        <w:t xml:space="preserve">Table </w:t>
      </w:r>
      <w:r w:rsidR="00261FA5">
        <w:rPr>
          <w:noProof/>
        </w:rPr>
        <w:t>4</w:t>
      </w:r>
      <w:r w:rsidR="00261FA5" w:rsidRPr="006226B1">
        <w:t>-</w:t>
      </w:r>
      <w:r w:rsidR="00261FA5">
        <w:rPr>
          <w:noProof/>
        </w:rPr>
        <w:t>14</w:t>
      </w:r>
      <w:r w:rsidR="00350C10">
        <w:fldChar w:fldCharType="end"/>
      </w:r>
      <w:r w:rsidR="001E50CE">
        <w:t xml:space="preserve"> highlights some of the key issues in each agency likely to impact their willingness to explore na</w:t>
      </w:r>
      <w:r w:rsidR="0089077D">
        <w:t>tional data arrangements.</w:t>
      </w:r>
    </w:p>
    <w:p w:rsidR="006D0A83" w:rsidRPr="00580BFE" w:rsidRDefault="006D0A83" w:rsidP="006D0A83">
      <w:pPr>
        <w:pStyle w:val="Caption"/>
        <w:ind w:left="567" w:firstLine="567"/>
      </w:pPr>
      <w:bookmarkStart w:id="62" w:name="_Ref418173291"/>
      <w:bookmarkStart w:id="63" w:name="_Toc421181775"/>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4</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14</w:t>
      </w:r>
      <w:r w:rsidR="00350C10">
        <w:fldChar w:fldCharType="end"/>
      </w:r>
      <w:bookmarkEnd w:id="62"/>
      <w:r w:rsidRPr="006226B1">
        <w:tab/>
      </w:r>
      <w:r>
        <w:t xml:space="preserve">Willingness and readiness </w:t>
      </w:r>
      <w:r w:rsidR="006D4117">
        <w:t>for national</w:t>
      </w:r>
      <w:r>
        <w:t xml:space="preserve"> </w:t>
      </w:r>
      <w:r w:rsidR="006D4117">
        <w:t>tracking reform</w:t>
      </w:r>
      <w:bookmarkEnd w:id="63"/>
    </w:p>
    <w:tbl>
      <w:tblPr>
        <w:tblStyle w:val="HyderTableStyle"/>
        <w:tblW w:w="0" w:type="auto"/>
        <w:tblInd w:w="1134" w:type="dxa"/>
        <w:tblLook w:val="04A0"/>
      </w:tblPr>
      <w:tblGrid>
        <w:gridCol w:w="1353"/>
        <w:gridCol w:w="2559"/>
        <w:gridCol w:w="2567"/>
        <w:gridCol w:w="2196"/>
      </w:tblGrid>
      <w:tr w:rsidR="00D97938" w:rsidTr="00E350B2">
        <w:trPr>
          <w:cnfStyle w:val="100000000000"/>
        </w:trPr>
        <w:tc>
          <w:tcPr>
            <w:tcW w:w="1353" w:type="dxa"/>
          </w:tcPr>
          <w:p w:rsidR="006D0A83" w:rsidRPr="007D5310"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7D5310">
              <w:rPr>
                <w:b/>
              </w:rPr>
              <w:t>State</w:t>
            </w:r>
          </w:p>
        </w:tc>
        <w:tc>
          <w:tcPr>
            <w:tcW w:w="2559" w:type="dxa"/>
          </w:tcPr>
          <w:p w:rsidR="006D0A83" w:rsidRPr="007D5310"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7D5310">
              <w:rPr>
                <w:b/>
              </w:rPr>
              <w:t>Willingness</w:t>
            </w:r>
          </w:p>
        </w:tc>
        <w:tc>
          <w:tcPr>
            <w:tcW w:w="2567" w:type="dxa"/>
          </w:tcPr>
          <w:p w:rsidR="006D0A83" w:rsidRPr="007D5310"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7D5310">
              <w:rPr>
                <w:b/>
              </w:rPr>
              <w:t>Readiness</w:t>
            </w:r>
          </w:p>
        </w:tc>
        <w:tc>
          <w:tcPr>
            <w:tcW w:w="2196" w:type="dxa"/>
          </w:tcPr>
          <w:p w:rsidR="006D0A83" w:rsidRPr="007D5310"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Pr>
                <w:b/>
              </w:rPr>
              <w:t>Other issues</w:t>
            </w:r>
          </w:p>
        </w:tc>
      </w:tr>
      <w:tr w:rsidR="00D97938" w:rsidTr="00E350B2">
        <w:tc>
          <w:tcPr>
            <w:tcW w:w="1353"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NSW</w:t>
            </w:r>
          </w:p>
        </w:tc>
        <w:tc>
          <w:tcPr>
            <w:tcW w:w="2559" w:type="dxa"/>
          </w:tcPr>
          <w:p w:rsidR="006D0A83" w:rsidRDefault="00E350B2"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Sees tracking as </w:t>
            </w:r>
            <w:r w:rsidR="006D0A83">
              <w:t>pure</w:t>
            </w:r>
            <w:r>
              <w:t>ly</w:t>
            </w:r>
            <w:r w:rsidR="006D0A83">
              <w:t xml:space="preserve"> regulatory and needs a strong cost-benefit case to justify changes for non-regulatory reasons</w:t>
            </w:r>
          </w:p>
        </w:tc>
        <w:tc>
          <w:tcPr>
            <w:tcW w:w="2567"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A mature </w:t>
            </w:r>
            <w:r w:rsidR="00E350B2">
              <w:t xml:space="preserve">electronic </w:t>
            </w:r>
            <w:r>
              <w:t>system</w:t>
            </w:r>
            <w:r w:rsidR="00E350B2">
              <w:t xml:space="preserve"> managed and adaptable internally;</w:t>
            </w:r>
            <w:r>
              <w:t xml:space="preserve"> </w:t>
            </w:r>
            <w:r w:rsidR="00E350B2">
              <w:t xml:space="preserve">very </w:t>
            </w:r>
            <w:r>
              <w:t>experience</w:t>
            </w:r>
            <w:r w:rsidR="00E350B2">
              <w:t xml:space="preserve">d team; funded by waste levy (no </w:t>
            </w:r>
            <w:r w:rsidR="006D4117">
              <w:t xml:space="preserve">user </w:t>
            </w:r>
            <w:r w:rsidR="00E350B2">
              <w:t>fees)</w:t>
            </w:r>
          </w:p>
        </w:tc>
        <w:tc>
          <w:tcPr>
            <w:tcW w:w="2196"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T</w:t>
            </w:r>
            <w:r w:rsidRPr="00580BFE">
              <w:t>ightening (electronic) tracking of all wastes through reforms to its waste regulations</w:t>
            </w:r>
            <w:r>
              <w:t xml:space="preserve">; and </w:t>
            </w:r>
            <w:proofErr w:type="spellStart"/>
            <w:r>
              <w:t>licencing</w:t>
            </w:r>
            <w:proofErr w:type="spellEnd"/>
            <w:r>
              <w:t xml:space="preserve"> going online</w:t>
            </w:r>
          </w:p>
        </w:tc>
      </w:tr>
      <w:tr w:rsidR="00D97938" w:rsidTr="00E350B2">
        <w:tc>
          <w:tcPr>
            <w:tcW w:w="1353"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Victoria</w:t>
            </w:r>
          </w:p>
        </w:tc>
        <w:tc>
          <w:tcPr>
            <w:tcW w:w="2559" w:type="dxa"/>
          </w:tcPr>
          <w:p w:rsidR="006D0A83" w:rsidRDefault="006D4117" w:rsidP="006D411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In general t</w:t>
            </w:r>
            <w:r w:rsidR="006D0A83">
              <w:t>he most interested in reforms to drive policy obj</w:t>
            </w:r>
            <w:r>
              <w:t>ectives around hazardous waste</w:t>
            </w:r>
          </w:p>
        </w:tc>
        <w:tc>
          <w:tcPr>
            <w:tcW w:w="2567" w:type="dxa"/>
          </w:tcPr>
          <w:p w:rsidR="006D0A83" w:rsidRDefault="00E350B2" w:rsidP="00EA139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Electronic system but managed externally</w:t>
            </w:r>
            <w:r w:rsidR="006D4117">
              <w:t>; slow transition from paper; its system is the most distinct from other states</w:t>
            </w:r>
            <w:r w:rsidR="00EA139A">
              <w:t>; limited funds for reform</w:t>
            </w:r>
          </w:p>
        </w:tc>
        <w:tc>
          <w:tcPr>
            <w:tcW w:w="2196"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A </w:t>
            </w:r>
            <w:r w:rsidR="00E350B2">
              <w:t xml:space="preserve">separate </w:t>
            </w:r>
            <w:r>
              <w:t xml:space="preserve">data integration scheme is </w:t>
            </w:r>
            <w:r w:rsidR="00E350B2">
              <w:t xml:space="preserve">already </w:t>
            </w:r>
            <w:r>
              <w:t>underway among the various environment agencies</w:t>
            </w:r>
          </w:p>
        </w:tc>
      </w:tr>
      <w:tr w:rsidR="00D97938" w:rsidTr="00E350B2">
        <w:tc>
          <w:tcPr>
            <w:tcW w:w="1353"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Queensland</w:t>
            </w:r>
          </w:p>
        </w:tc>
        <w:tc>
          <w:tcPr>
            <w:tcW w:w="2559" w:type="dxa"/>
          </w:tcPr>
          <w:p w:rsidR="006D0A83" w:rsidRDefault="00AF385E" w:rsidP="006D411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Sees upsides in smoothing interstate movements </w:t>
            </w:r>
            <w:r w:rsidR="006D4117">
              <w:t>as long as</w:t>
            </w:r>
            <w:r>
              <w:t xml:space="preserve"> changes to its intrastate system and regulations are minimal</w:t>
            </w:r>
          </w:p>
        </w:tc>
        <w:tc>
          <w:tcPr>
            <w:tcW w:w="2567" w:type="dxa"/>
          </w:tcPr>
          <w:p w:rsidR="006D0A83" w:rsidRDefault="00EA139A" w:rsidP="00EA139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Less data experience than others given no landfill levy, though introduced </w:t>
            </w:r>
            <w:r w:rsidR="006D4117">
              <w:t xml:space="preserve">online tracking </w:t>
            </w:r>
            <w:r>
              <w:t>system for non-hazardous several years ago in readiness for levy</w:t>
            </w:r>
            <w:r w:rsidR="006D4117">
              <w:t xml:space="preserve"> </w:t>
            </w:r>
          </w:p>
        </w:tc>
        <w:tc>
          <w:tcPr>
            <w:tcW w:w="2196" w:type="dxa"/>
          </w:tcPr>
          <w:p w:rsidR="006D0A83" w:rsidRDefault="006D0A83" w:rsidP="00EA139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O</w:t>
            </w:r>
            <w:r w:rsidRPr="00580BFE">
              <w:t xml:space="preserve">verhauling </w:t>
            </w:r>
            <w:r w:rsidR="00E350B2">
              <w:t>its broader hazardous waste regulations</w:t>
            </w:r>
            <w:r w:rsidR="006D4117">
              <w:t xml:space="preserve"> (looking to Victorian classification model)</w:t>
            </w:r>
            <w:r w:rsidR="00EA139A">
              <w:t>;</w:t>
            </w:r>
            <w:r w:rsidR="00E350B2">
              <w:t xml:space="preserve"> </w:t>
            </w:r>
            <w:r w:rsidR="006D4117">
              <w:t xml:space="preserve">developing electronic tracking </w:t>
            </w:r>
          </w:p>
        </w:tc>
      </w:tr>
      <w:tr w:rsidR="00D97938" w:rsidTr="00E350B2">
        <w:tc>
          <w:tcPr>
            <w:tcW w:w="1353"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WA</w:t>
            </w:r>
          </w:p>
        </w:tc>
        <w:tc>
          <w:tcPr>
            <w:tcW w:w="2559" w:type="dxa"/>
          </w:tcPr>
          <w:p w:rsidR="00D97938" w:rsidRDefault="006D0A83" w:rsidP="00D97938">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Open to </w:t>
            </w:r>
            <w:r w:rsidR="00E350B2">
              <w:t xml:space="preserve">national level </w:t>
            </w:r>
            <w:r w:rsidR="00EA139A">
              <w:t xml:space="preserve">data </w:t>
            </w:r>
            <w:r>
              <w:t>reform</w:t>
            </w:r>
            <w:r w:rsidR="00E350B2">
              <w:t>s</w:t>
            </w:r>
            <w:r w:rsidR="00D97938">
              <w:t xml:space="preserve"> on certain conditions: no duplication, maintains existing regulatory framework and minimal change </w:t>
            </w:r>
            <w:r w:rsidR="00AF385E">
              <w:t>to existing data capture system</w:t>
            </w:r>
          </w:p>
        </w:tc>
        <w:tc>
          <w:tcPr>
            <w:tcW w:w="2567" w:type="dxa"/>
          </w:tcPr>
          <w:p w:rsidR="006D0A83" w:rsidRDefault="00D739AA" w:rsidP="00EA139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Long-standing electronic sys</w:t>
            </w:r>
            <w:r w:rsidR="006D4117">
              <w:t xml:space="preserve">tem; </w:t>
            </w:r>
            <w:r w:rsidR="00EA139A">
              <w:t xml:space="preserve">recent system </w:t>
            </w:r>
            <w:r w:rsidR="006D4117">
              <w:t>redevelopment</w:t>
            </w:r>
            <w:r w:rsidR="00EA139A">
              <w:t xml:space="preserve"> provided good skills/insight but investment winding down  </w:t>
            </w:r>
          </w:p>
        </w:tc>
        <w:tc>
          <w:tcPr>
            <w:tcW w:w="2196" w:type="dxa"/>
          </w:tcPr>
          <w:p w:rsidR="006D0A83" w:rsidRDefault="00E350B2" w:rsidP="006D411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Has </w:t>
            </w:r>
            <w:r w:rsidR="006D4117">
              <w:t>strengthened</w:t>
            </w:r>
            <w:r w:rsidR="006D0A83">
              <w:t xml:space="preserve"> </w:t>
            </w:r>
            <w:r w:rsidR="006D0A83" w:rsidRPr="00580BFE">
              <w:t xml:space="preserve">its electronic system </w:t>
            </w:r>
            <w:r>
              <w:t>in recent years</w:t>
            </w:r>
            <w:r w:rsidRPr="00580BFE">
              <w:t xml:space="preserve"> </w:t>
            </w:r>
            <w:r w:rsidR="006D0A83" w:rsidRPr="00580BFE">
              <w:t>and more closely aligned its codes with the NEPM</w:t>
            </w:r>
          </w:p>
        </w:tc>
      </w:tr>
      <w:tr w:rsidR="00D97938" w:rsidTr="00E350B2">
        <w:tc>
          <w:tcPr>
            <w:tcW w:w="1353"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SA</w:t>
            </w:r>
          </w:p>
        </w:tc>
        <w:tc>
          <w:tcPr>
            <w:tcW w:w="2559" w:type="dxa"/>
          </w:tcPr>
          <w:p w:rsidR="006D0A83" w:rsidRDefault="006D0A83" w:rsidP="00B4408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Open to discussion </w:t>
            </w:r>
            <w:r w:rsidR="005A1150">
              <w:t xml:space="preserve">on </w:t>
            </w:r>
            <w:r w:rsidR="00B44087">
              <w:t>national reforms</w:t>
            </w:r>
            <w:r w:rsidR="005A1150">
              <w:t xml:space="preserve">; currently chair of the </w:t>
            </w:r>
            <w:r w:rsidR="001916E4">
              <w:t xml:space="preserve">Controlled Waste </w:t>
            </w:r>
            <w:r w:rsidR="005A1150">
              <w:t xml:space="preserve">NEPM Implementation Committee </w:t>
            </w:r>
          </w:p>
        </w:tc>
        <w:tc>
          <w:tcPr>
            <w:tcW w:w="2567" w:type="dxa"/>
          </w:tcPr>
          <w:p w:rsidR="006D0A83" w:rsidRDefault="00EA139A" w:rsidP="00EA139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Considerable investment in customising NSW version </w:t>
            </w:r>
            <w:r w:rsidR="005A1150">
              <w:t xml:space="preserve">is </w:t>
            </w:r>
            <w:r>
              <w:t>now winding down; hazardous waste staff freed up from data entry</w:t>
            </w:r>
          </w:p>
        </w:tc>
        <w:tc>
          <w:tcPr>
            <w:tcW w:w="2196" w:type="dxa"/>
          </w:tcPr>
          <w:p w:rsidR="006D0A83" w:rsidRDefault="00EA139A" w:rsidP="00EA139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Focus this year on introducing</w:t>
            </w:r>
            <w:r w:rsidR="006D0A83" w:rsidRPr="00580BFE">
              <w:t xml:space="preserve"> </w:t>
            </w:r>
            <w:r w:rsidR="006D0A83">
              <w:t xml:space="preserve">customised </w:t>
            </w:r>
            <w:r w:rsidR="006D0A83" w:rsidRPr="00580BFE">
              <w:t>version of the NSW system</w:t>
            </w:r>
          </w:p>
        </w:tc>
      </w:tr>
      <w:tr w:rsidR="00D97938" w:rsidTr="00E350B2">
        <w:tc>
          <w:tcPr>
            <w:tcW w:w="1353"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lastRenderedPageBreak/>
              <w:t>Tasmania</w:t>
            </w:r>
          </w:p>
        </w:tc>
        <w:tc>
          <w:tcPr>
            <w:tcW w:w="2559" w:type="dxa"/>
          </w:tcPr>
          <w:p w:rsidR="006D0A83" w:rsidRDefault="005C4C37" w:rsidP="0011289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Tas EPA keen to improve tracking but it is n</w:t>
            </w:r>
            <w:r w:rsidR="005276CA">
              <w:t xml:space="preserve">ot on the </w:t>
            </w:r>
            <w:r>
              <w:t xml:space="preserve">broader government </w:t>
            </w:r>
            <w:r w:rsidR="00D739AA">
              <w:t>agenda</w:t>
            </w:r>
          </w:p>
        </w:tc>
        <w:tc>
          <w:tcPr>
            <w:tcW w:w="2567"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No tracking scheme currently and minimal resources to devote to it</w:t>
            </w:r>
          </w:p>
        </w:tc>
        <w:tc>
          <w:tcPr>
            <w:tcW w:w="2196" w:type="dxa"/>
          </w:tcPr>
          <w:p w:rsidR="006D0A83" w:rsidRDefault="005276CA"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Currently watching SA’s experience adapting the NSW electronic scheme</w:t>
            </w:r>
          </w:p>
        </w:tc>
      </w:tr>
      <w:tr w:rsidR="00D97938" w:rsidTr="00E350B2">
        <w:tc>
          <w:tcPr>
            <w:tcW w:w="1353"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NT</w:t>
            </w:r>
          </w:p>
        </w:tc>
        <w:tc>
          <w:tcPr>
            <w:tcW w:w="2559"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Conflicting dynamics, with interest in supporting recycling investments but wary of increasing waste costs</w:t>
            </w:r>
          </w:p>
        </w:tc>
        <w:tc>
          <w:tcPr>
            <w:tcW w:w="2567"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No tracking scheme currently and minimal resources to devote to it</w:t>
            </w:r>
          </w:p>
        </w:tc>
        <w:tc>
          <w:tcPr>
            <w:tcW w:w="2196" w:type="dxa"/>
          </w:tcPr>
          <w:p w:rsidR="006D0A83" w:rsidRDefault="006D0A83" w:rsidP="005276C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Is reviewing its waste legislation</w:t>
            </w:r>
            <w:r w:rsidR="005276CA">
              <w:t>; watching SA’s experience adapting the NSW electronic scheme</w:t>
            </w:r>
          </w:p>
        </w:tc>
      </w:tr>
      <w:tr w:rsidR="00D97938" w:rsidTr="00E350B2">
        <w:tc>
          <w:tcPr>
            <w:tcW w:w="1353"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ACT</w:t>
            </w:r>
          </w:p>
        </w:tc>
        <w:tc>
          <w:tcPr>
            <w:tcW w:w="2559" w:type="dxa"/>
          </w:tcPr>
          <w:p w:rsidR="006D0A83" w:rsidRDefault="006D0A83" w:rsidP="005276C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No intrastate disposal </w:t>
            </w:r>
            <w:r w:rsidR="005276CA">
              <w:t>or treatment facilities pushes hazardous waste</w:t>
            </w:r>
            <w:r w:rsidR="00D739AA">
              <w:t xml:space="preserve"> down the priority list</w:t>
            </w:r>
          </w:p>
        </w:tc>
        <w:tc>
          <w:tcPr>
            <w:tcW w:w="2567"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No tracking scheme currently and minimal resources to devote to it</w:t>
            </w:r>
          </w:p>
        </w:tc>
        <w:tc>
          <w:tcPr>
            <w:tcW w:w="2196" w:type="dxa"/>
          </w:tcPr>
          <w:p w:rsidR="006D0A83" w:rsidRDefault="006D0A83" w:rsidP="00E350B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Asbestos issues with ‘Mr Fluffy’ housing has increased pressure on  already limited resources</w:t>
            </w:r>
          </w:p>
        </w:tc>
      </w:tr>
    </w:tbl>
    <w:p w:rsidR="00580BFE" w:rsidRPr="00580BFE" w:rsidRDefault="00580BFE" w:rsidP="0089077D">
      <w:pPr>
        <w:pStyle w:val="Heading40"/>
        <w:ind w:left="567" w:firstLine="567"/>
      </w:pPr>
      <w:r w:rsidRPr="00580BFE">
        <w:t>Industry</w:t>
      </w:r>
    </w:p>
    <w:p w:rsidR="00AD1337" w:rsidRDefault="00580BFE" w:rsidP="005E01C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996182">
        <w:t>The waste industry</w:t>
      </w:r>
      <w:r w:rsidR="000D76D5" w:rsidRPr="00996182">
        <w:t xml:space="preserve"> is far more willing to embrace </w:t>
      </w:r>
      <w:r w:rsidR="00C92EE3" w:rsidRPr="00996182">
        <w:t>national reforms to ha</w:t>
      </w:r>
      <w:r w:rsidR="00996182">
        <w:t xml:space="preserve">zardous waste tracking than </w:t>
      </w:r>
      <w:r w:rsidR="005E01CE">
        <w:t>the jurisdictions</w:t>
      </w:r>
      <w:r w:rsidR="009B2084">
        <w:t>. This is partly</w:t>
      </w:r>
      <w:r w:rsidR="00AD1337">
        <w:t xml:space="preserve"> for the reasons outlined </w:t>
      </w:r>
      <w:r w:rsidR="009B2084">
        <w:t xml:space="preserve">above, but the strength </w:t>
      </w:r>
      <w:r w:rsidR="00D54593" w:rsidRPr="00C92EE3">
        <w:t>of support</w:t>
      </w:r>
      <w:r w:rsidR="00D54593">
        <w:t xml:space="preserve"> for reform </w:t>
      </w:r>
      <w:r w:rsidR="00D54593" w:rsidRPr="00580BFE">
        <w:t xml:space="preserve">speaks </w:t>
      </w:r>
      <w:r w:rsidR="00D54593">
        <w:t>of</w:t>
      </w:r>
      <w:r w:rsidR="00D54593" w:rsidRPr="00580BFE">
        <w:t xml:space="preserve"> a general frustration </w:t>
      </w:r>
      <w:r w:rsidR="00D54593">
        <w:t>with</w:t>
      </w:r>
      <w:r w:rsidR="00D54593" w:rsidRPr="00580BFE">
        <w:t xml:space="preserve"> current systems</w:t>
      </w:r>
      <w:r w:rsidR="00D54593">
        <w:t xml:space="preserve"> and </w:t>
      </w:r>
      <w:r w:rsidR="00D54593" w:rsidRPr="00C92EE3">
        <w:t xml:space="preserve">a </w:t>
      </w:r>
      <w:r w:rsidR="009B2084">
        <w:t xml:space="preserve">clear sense of </w:t>
      </w:r>
      <w:r w:rsidR="00D54593">
        <w:t>consistency benefit</w:t>
      </w:r>
      <w:r w:rsidR="009B2084">
        <w:t>s</w:t>
      </w:r>
      <w:r w:rsidR="005E01CE">
        <w:t xml:space="preserve">. </w:t>
      </w:r>
      <w:r w:rsidR="00AD1337">
        <w:t>It also reflects</w:t>
      </w:r>
      <w:r w:rsidR="00481F52">
        <w:t xml:space="preserve"> </w:t>
      </w:r>
      <w:r w:rsidR="00AD1337">
        <w:t xml:space="preserve">the </w:t>
      </w:r>
      <w:r w:rsidR="005E01CE">
        <w:t xml:space="preserve">fact that the </w:t>
      </w:r>
      <w:r w:rsidR="00C92EE3" w:rsidRPr="00C92EE3">
        <w:t xml:space="preserve">implications </w:t>
      </w:r>
      <w:r w:rsidR="000D76D5">
        <w:t xml:space="preserve">for </w:t>
      </w:r>
      <w:r w:rsidR="00481F52">
        <w:t>their</w:t>
      </w:r>
      <w:r w:rsidR="000D76D5">
        <w:t xml:space="preserve"> business</w:t>
      </w:r>
      <w:r w:rsidR="00481F52">
        <w:t xml:space="preserve"> systems</w:t>
      </w:r>
      <w:r w:rsidR="000D76D5">
        <w:t xml:space="preserve"> </w:t>
      </w:r>
      <w:r w:rsidR="00C92EE3" w:rsidRPr="00C92EE3">
        <w:t>are far fewer and l</w:t>
      </w:r>
      <w:r w:rsidR="000D76D5">
        <w:t>e</w:t>
      </w:r>
      <w:r w:rsidR="00AD1337">
        <w:t xml:space="preserve">ss </w:t>
      </w:r>
      <w:r w:rsidR="009B2084">
        <w:t xml:space="preserve">complex than for government (depending on the data option adopted). </w:t>
      </w:r>
      <w:r w:rsidR="002566ED">
        <w:t xml:space="preserve">While diverse internal business systems are used by waste companies (Section </w:t>
      </w:r>
      <w:r w:rsidR="00350C10">
        <w:fldChar w:fldCharType="begin"/>
      </w:r>
      <w:r w:rsidR="002566ED">
        <w:instrText xml:space="preserve"> REF _Ref418238369 \r \h </w:instrText>
      </w:r>
      <w:r w:rsidR="00350C10">
        <w:fldChar w:fldCharType="separate"/>
      </w:r>
      <w:r w:rsidR="00261FA5">
        <w:t>4.3</w:t>
      </w:r>
      <w:r w:rsidR="00350C10">
        <w:fldChar w:fldCharType="end"/>
      </w:r>
      <w:r w:rsidR="002566ED">
        <w:t xml:space="preserve">), </w:t>
      </w:r>
      <w:r w:rsidR="005E01CE">
        <w:t>few</w:t>
      </w:r>
      <w:r w:rsidR="00F2056C">
        <w:t xml:space="preserve"> </w:t>
      </w:r>
      <w:r w:rsidR="002566ED">
        <w:t>saw</w:t>
      </w:r>
      <w:r w:rsidR="000D43B4">
        <w:t xml:space="preserve"> much difficulty</w:t>
      </w:r>
      <w:r w:rsidR="00F2056C">
        <w:t xml:space="preserve"> in accommodating changes to aspects such as codes and classifications.</w:t>
      </w:r>
    </w:p>
    <w:p w:rsidR="009D0C17" w:rsidRDefault="00F2056C" w:rsidP="009D0C1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South Australia’s introduction </w:t>
      </w:r>
      <w:r w:rsidR="000D43B4">
        <w:t xml:space="preserve">in March </w:t>
      </w:r>
      <w:r>
        <w:t>of an entirely new architecture is the biggest change to any jurisdictional scheme in recent years, and the waste contractors there have not required major changes to their systems. The key requirement has been populating the EPA tracking system with information on a considerable number of waste generators, vehicles and facilities, which the EPA has been supporting.</w:t>
      </w:r>
    </w:p>
    <w:p w:rsidR="00F2056C" w:rsidRDefault="000D43B4" w:rsidP="009202A9">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Nevertheless, </w:t>
      </w:r>
      <w:r w:rsidR="00DE1D31">
        <w:t xml:space="preserve">there </w:t>
      </w:r>
      <w:r w:rsidR="00B62432">
        <w:t>are several</w:t>
      </w:r>
      <w:r>
        <w:t xml:space="preserve"> caveats. </w:t>
      </w:r>
      <w:r w:rsidR="00B62432">
        <w:t>Any</w:t>
      </w:r>
      <w:r>
        <w:t xml:space="preserve"> amendments that did require significa</w:t>
      </w:r>
      <w:r w:rsidR="00B62432">
        <w:t xml:space="preserve">nt changes to business systems </w:t>
      </w:r>
      <w:r>
        <w:t>could be expensive as they tend to be customised s</w:t>
      </w:r>
      <w:r w:rsidR="003A4E94">
        <w:t>ystems from third party providers</w:t>
      </w:r>
      <w:r>
        <w:t xml:space="preserve">. </w:t>
      </w:r>
      <w:r w:rsidR="00F2056C">
        <w:t xml:space="preserve">The Western Australian waste companies noted they were </w:t>
      </w:r>
      <w:r w:rsidR="00F2056C" w:rsidRPr="00843329">
        <w:t xml:space="preserve">prepared to invest </w:t>
      </w:r>
      <w:r w:rsidR="00F2056C">
        <w:t xml:space="preserve">in any revisions to business systems </w:t>
      </w:r>
      <w:r w:rsidR="00F2056C" w:rsidRPr="00843329">
        <w:t>where the expenditure will result in an</w:t>
      </w:r>
      <w:r w:rsidR="00F2056C">
        <w:t xml:space="preserve"> efficiency saving, such as</w:t>
      </w:r>
      <w:r w:rsidR="00F2056C" w:rsidRPr="00843329">
        <w:t xml:space="preserve"> exchange of information tha</w:t>
      </w:r>
      <w:r>
        <w:t>t reduces duplication. Equally, they</w:t>
      </w:r>
      <w:r w:rsidR="00F2056C" w:rsidRPr="00843329">
        <w:t xml:space="preserve"> support</w:t>
      </w:r>
      <w:r>
        <w:t>ed a user pays system where</w:t>
      </w:r>
      <w:r w:rsidR="00F2056C" w:rsidRPr="00843329">
        <w:t xml:space="preserve"> gov</w:t>
      </w:r>
      <w:r>
        <w:t>ernmen</w:t>
      </w:r>
      <w:r w:rsidR="00F2056C" w:rsidRPr="00843329">
        <w:t>t and industry share costs relative to the benefit achieved.</w:t>
      </w:r>
    </w:p>
    <w:p w:rsidR="009E0286" w:rsidRDefault="000D43B4" w:rsidP="003A637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Secondly, t</w:t>
      </w:r>
      <w:r w:rsidR="00D54593">
        <w:t xml:space="preserve">here was no clearly preferred option </w:t>
      </w:r>
      <w:r>
        <w:t>between</w:t>
      </w:r>
      <w:r w:rsidR="00D54593">
        <w:t xml:space="preserve"> the </w:t>
      </w:r>
      <w:r w:rsidR="006B0491">
        <w:t xml:space="preserve">various state schemes, other than a </w:t>
      </w:r>
      <w:r w:rsidR="0069318B">
        <w:t>definite call for the electronic option</w:t>
      </w:r>
      <w:r w:rsidR="006B0491">
        <w:t>. Operators</w:t>
      </w:r>
      <w:r w:rsidR="00D54593">
        <w:t xml:space="preserve"> generally favoured the scheme with which they were most familiar</w:t>
      </w:r>
      <w:r w:rsidR="008264D8">
        <w:t xml:space="preserve"> and criticised other schemes as confusing and awkward. </w:t>
      </w:r>
      <w:r w:rsidR="006B0491">
        <w:t xml:space="preserve">This was even the case within companies, as representatives attending workshops in different states expressed differing views on the merits of the relevant local scheme. Ultimately, </w:t>
      </w:r>
      <w:r w:rsidR="003A6375">
        <w:t>representatives</w:t>
      </w:r>
      <w:r w:rsidR="006B0491">
        <w:t xml:space="preserve"> with national responsibilities were</w:t>
      </w:r>
      <w:r w:rsidR="003A6375">
        <w:t xml:space="preserve"> generally</w:t>
      </w:r>
      <w:r w:rsidR="006B0491">
        <w:t xml:space="preserve"> indifferent to </w:t>
      </w:r>
      <w:r w:rsidR="003A6375">
        <w:t>the set of codes and conditions</w:t>
      </w:r>
      <w:r w:rsidR="006B0491">
        <w:t xml:space="preserve">, as long as </w:t>
      </w:r>
      <w:r w:rsidR="003A6375">
        <w:t>they were nationally consistent.</w:t>
      </w:r>
    </w:p>
    <w:p w:rsidR="001825BB" w:rsidRPr="00580BFE" w:rsidRDefault="009202A9" w:rsidP="006D0A83">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Finally, there is a level of scepticism about the ability of governments to deliver multi-jurisdictional reforms to hazardous waste. Several companies cited prior consultations and reports, driven at both state and federal government levels, whose recommendations were never picked up. They remain cautious about the capacity to now on deliver on policy reform in the current environment.</w:t>
      </w:r>
    </w:p>
    <w:p w:rsidR="00580BFE" w:rsidRPr="00580BFE" w:rsidRDefault="00580BFE" w:rsidP="00580BFE">
      <w:pPr>
        <w:pStyle w:val="Heading2"/>
      </w:pPr>
      <w:bookmarkStart w:id="64" w:name="_Toc421181744"/>
      <w:r w:rsidRPr="00580BFE">
        <w:lastRenderedPageBreak/>
        <w:t>Regulatory systems</w:t>
      </w:r>
      <w:bookmarkEnd w:id="64"/>
    </w:p>
    <w:p w:rsidR="006A0D71" w:rsidRPr="00580BFE" w:rsidRDefault="00580BFE" w:rsidP="00953A4C">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The federalised nature of waste management responsibilities in Australia complicates the reform process</w:t>
      </w:r>
      <w:r w:rsidR="00814364">
        <w:t>.</w:t>
      </w:r>
      <w:r w:rsidR="00C1683A">
        <w:t xml:space="preserve"> </w:t>
      </w:r>
      <w:r w:rsidR="00814364">
        <w:t xml:space="preserve">Unlike the US with its overarching national </w:t>
      </w:r>
      <w:r w:rsidR="00C1683A">
        <w:t xml:space="preserve">hazardous waste </w:t>
      </w:r>
      <w:r w:rsidR="00814364">
        <w:t>legislation and a common (though differentiated) tracking manifest</w:t>
      </w:r>
      <w:r w:rsidR="00C1683A">
        <w:t>, reform here tends to be a cooperative process from</w:t>
      </w:r>
      <w:r w:rsidR="00C1683A" w:rsidRPr="00580BFE">
        <w:t xml:space="preserve"> multiple ju</w:t>
      </w:r>
      <w:r w:rsidR="00C1683A">
        <w:t>risdictions</w:t>
      </w:r>
      <w:r w:rsidR="00C1683A" w:rsidRPr="00580BFE">
        <w:t>.</w:t>
      </w:r>
      <w:r w:rsidR="00953A4C">
        <w:t xml:space="preserve"> </w:t>
      </w:r>
      <w:r w:rsidRPr="00580BFE">
        <w:t xml:space="preserve">A key question therefore is </w:t>
      </w:r>
      <w:r w:rsidR="00585F48">
        <w:t xml:space="preserve">just </w:t>
      </w:r>
      <w:r w:rsidRPr="00580BFE">
        <w:t xml:space="preserve">how the tracking system </w:t>
      </w:r>
      <w:r w:rsidR="006A0D71">
        <w:t>sits within</w:t>
      </w:r>
      <w:r w:rsidRPr="00580BFE">
        <w:t xml:space="preserve"> </w:t>
      </w:r>
      <w:r w:rsidR="00C1683A">
        <w:t>existing government systems</w:t>
      </w:r>
      <w:r w:rsidRPr="00580BFE">
        <w:t xml:space="preserve">, because this has the potential to influence the complexity </w:t>
      </w:r>
      <w:r w:rsidR="00C1683A">
        <w:t>and willingness to</w:t>
      </w:r>
      <w:r w:rsidRPr="00580BFE">
        <w:t xml:space="preserve"> change. Here we consider the implications for the key tiers of government</w:t>
      </w:r>
      <w:r w:rsidR="006A0D71">
        <w:t>.</w:t>
      </w:r>
    </w:p>
    <w:p w:rsidR="00580BFE" w:rsidRPr="00580BFE" w:rsidRDefault="00580BFE" w:rsidP="00DE429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 xml:space="preserve">From a </w:t>
      </w:r>
      <w:r w:rsidR="00C1683A">
        <w:t>Federal</w:t>
      </w:r>
      <w:r w:rsidRPr="00580BFE">
        <w:t xml:space="preserve"> </w:t>
      </w:r>
      <w:r w:rsidR="00C1683A">
        <w:t xml:space="preserve">Government </w:t>
      </w:r>
      <w:r w:rsidRPr="00580BFE">
        <w:t xml:space="preserve">perspective there are several powers relevant to hazardous waste. The </w:t>
      </w:r>
      <w:r w:rsidR="00DE429E" w:rsidRPr="001D18BE">
        <w:rPr>
          <w:i/>
        </w:rPr>
        <w:t>Hazardous Waste (Regulations of Exports and Imports) Act</w:t>
      </w:r>
      <w:r w:rsidRPr="00580BFE">
        <w:t xml:space="preserve">, which gives voice to Australia’s international obligations to Basel and OECD, draws its power from the Constitution’s external affairs powers, Section 51(xxix). In principle this wide-ranging power combined with the </w:t>
      </w:r>
      <w:proofErr w:type="gramStart"/>
      <w:r w:rsidRPr="00580BFE">
        <w:t>corporations</w:t>
      </w:r>
      <w:proofErr w:type="gramEnd"/>
      <w:r w:rsidRPr="00580BFE">
        <w:t xml:space="preserve"> power, Section </w:t>
      </w:r>
      <w:r w:rsidR="00DE429E" w:rsidRPr="000F6BD0">
        <w:t>51(xx</w:t>
      </w:r>
      <w:r w:rsidRPr="000F6BD0">
        <w:t>),</w:t>
      </w:r>
      <w:r w:rsidRPr="00580BFE">
        <w:t xml:space="preserve"> gives the </w:t>
      </w:r>
      <w:r w:rsidR="00DE429E">
        <w:t>Federal G</w:t>
      </w:r>
      <w:r w:rsidRPr="00580BFE">
        <w:t>overnment the ability to mandate a nationally consistent tracking scheme for hazardous waste to meet those treaties. The introduction of a federal scheme</w:t>
      </w:r>
      <w:r w:rsidR="00DE429E">
        <w:t xml:space="preserve"> under these powers</w:t>
      </w:r>
      <w:r w:rsidRPr="00580BFE">
        <w:t xml:space="preserve">, similar to the </w:t>
      </w:r>
      <w:r w:rsidRPr="001D18BE">
        <w:rPr>
          <w:i/>
        </w:rPr>
        <w:t xml:space="preserve">Water Act </w:t>
      </w:r>
      <w:r w:rsidR="00DE429E" w:rsidRPr="001D18BE">
        <w:rPr>
          <w:i/>
        </w:rPr>
        <w:t>2007</w:t>
      </w:r>
      <w:r w:rsidR="00DE429E">
        <w:t xml:space="preserve"> </w:t>
      </w:r>
      <w:r w:rsidRPr="00580BFE">
        <w:t xml:space="preserve">that </w:t>
      </w:r>
      <w:r w:rsidR="00C1683A">
        <w:t>creates a single</w:t>
      </w:r>
      <w:r w:rsidR="00C422C4">
        <w:t xml:space="preserve"> management </w:t>
      </w:r>
      <w:r w:rsidR="00C1683A">
        <w:t>arrangement for</w:t>
      </w:r>
      <w:r w:rsidRPr="00580BFE">
        <w:t xml:space="preserve"> Murray Darling Basin water issues, would require a</w:t>
      </w:r>
      <w:r w:rsidR="00DE429E">
        <w:t xml:space="preserve"> strong cost-benefit case and </w:t>
      </w:r>
      <w:r w:rsidR="00DE429E" w:rsidRPr="00580BFE">
        <w:t>a considerable investment of resources, time and political will</w:t>
      </w:r>
      <w:r w:rsidR="00DE429E">
        <w:t>.</w:t>
      </w:r>
    </w:p>
    <w:p w:rsidR="00580BFE" w:rsidRPr="00580BFE" w:rsidRDefault="00FD18A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In practice the Federal G</w:t>
      </w:r>
      <w:r w:rsidR="00580BFE" w:rsidRPr="00580BFE">
        <w:t xml:space="preserve">overnment has focused on </w:t>
      </w:r>
      <w:r w:rsidR="00C1683A">
        <w:t>joint</w:t>
      </w:r>
      <w:r w:rsidR="00580BFE" w:rsidRPr="00580BFE">
        <w:t xml:space="preserve"> arrangements with the states and territories through the NEPM for Controlled Wastes, attempting with limited success to drive greater consistency </w:t>
      </w:r>
      <w:r w:rsidR="00586EB9">
        <w:t xml:space="preserve">across the board </w:t>
      </w:r>
      <w:r w:rsidR="00580BFE" w:rsidRPr="00580BFE">
        <w:t xml:space="preserve">by focusing on interstate movements. Changing the NEPM, perhaps to drive even greater data </w:t>
      </w:r>
      <w:r w:rsidR="00C1683A">
        <w:t xml:space="preserve">and systems </w:t>
      </w:r>
      <w:r w:rsidR="00580BFE" w:rsidRPr="00580BFE">
        <w:t>consistency between the states/territories, would be another lengthy process due to the need for collective agreement.</w:t>
      </w:r>
    </w:p>
    <w:p w:rsidR="00580BFE" w:rsidRPr="000F6BD0" w:rsidRDefault="00580BFE" w:rsidP="000F6BD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From a state/territory government perspective, the caution around tracking system r</w:t>
      </w:r>
      <w:r w:rsidRPr="000F6BD0">
        <w:t xml:space="preserve">eform is </w:t>
      </w:r>
      <w:r w:rsidR="00C1683A">
        <w:t xml:space="preserve">principally </w:t>
      </w:r>
      <w:r w:rsidRPr="000F6BD0">
        <w:t>a factor of its integration with the</w:t>
      </w:r>
      <w:r w:rsidR="00C422C4" w:rsidRPr="000F6BD0">
        <w:t xml:space="preserve"> rest of the regulatory regime</w:t>
      </w:r>
      <w:r w:rsidR="000F6BD0">
        <w:t xml:space="preserve"> (</w:t>
      </w:r>
      <w:r w:rsidR="00350C10">
        <w:fldChar w:fldCharType="begin"/>
      </w:r>
      <w:r w:rsidR="000F0CA6">
        <w:instrText xml:space="preserve"> REF _Ref418195323 \h </w:instrText>
      </w:r>
      <w:r w:rsidR="00350C10">
        <w:fldChar w:fldCharType="separate"/>
      </w:r>
      <w:r w:rsidR="00261FA5" w:rsidRPr="000F0CA6">
        <w:t xml:space="preserve">Figure </w:t>
      </w:r>
      <w:r w:rsidR="00261FA5">
        <w:rPr>
          <w:noProof/>
        </w:rPr>
        <w:t>4</w:t>
      </w:r>
      <w:r w:rsidR="00261FA5" w:rsidRPr="000F0CA6">
        <w:t>-</w:t>
      </w:r>
      <w:r w:rsidR="00261FA5">
        <w:rPr>
          <w:noProof/>
        </w:rPr>
        <w:t>2</w:t>
      </w:r>
      <w:r w:rsidR="00350C10">
        <w:fldChar w:fldCharType="end"/>
      </w:r>
      <w:r w:rsidR="000F6BD0">
        <w:t>)</w:t>
      </w:r>
      <w:r w:rsidR="00C422C4" w:rsidRPr="000F6BD0">
        <w:t>.</w:t>
      </w:r>
      <w:r w:rsidR="000F6BD0" w:rsidRPr="000F6BD0">
        <w:t xml:space="preserve"> </w:t>
      </w:r>
      <w:r w:rsidR="000F0CA6">
        <w:t>T</w:t>
      </w:r>
      <w:r w:rsidRPr="000F6BD0">
        <w:t xml:space="preserve">racking is largely a management and enforcement tool of the </w:t>
      </w:r>
      <w:proofErr w:type="spellStart"/>
      <w:r w:rsidRPr="000F6BD0">
        <w:t>licencing</w:t>
      </w:r>
      <w:proofErr w:type="spellEnd"/>
      <w:r w:rsidRPr="000F6BD0">
        <w:t xml:space="preserve"> regime, which in turn is an expression of waste regulations</w:t>
      </w:r>
      <w:r w:rsidR="000F6BD0" w:rsidRPr="000F6BD0">
        <w:t xml:space="preserve">. </w:t>
      </w:r>
    </w:p>
    <w:p w:rsidR="00580BFE" w:rsidRPr="000F6BD0" w:rsidRDefault="00350C1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0" w:line="240" w:lineRule="auto"/>
      </w:pPr>
      <w:r>
        <w:rPr>
          <w:noProof/>
        </w:rPr>
        <w:pict>
          <v:rect id="Rectangle 27" o:spid="_x0000_s1028" style="position:absolute;margin-left:373.35pt;margin-top:8.7pt;width:97.75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" fillcolor="#4f81bd" strokecolor="#385d8a" strokeweight="2pt">
            <v:textbox>
              <w:txbxContent>
                <w:p w:rsidR="00426DEC" w:rsidRPr="00FF0B35" w:rsidRDefault="00426DEC" w:rsidP="00580BFE">
                  <w:pPr>
                    <w:spacing w:after="0"/>
                    <w:jc w:val="center"/>
                    <w:rPr>
                      <w:b/>
                      <w:color w:val="FFFFFF" w:themeColor="background1"/>
                    </w:rPr>
                  </w:pPr>
                  <w:r>
                    <w:rPr>
                      <w:b/>
                      <w:color w:val="FFFFFF" w:themeColor="background1"/>
                    </w:rPr>
                    <w:t>BASEL / OECD</w:t>
                  </w:r>
                </w:p>
              </w:txbxContent>
            </v:textbox>
          </v:rect>
        </w:pict>
      </w:r>
    </w:p>
    <w:p w:rsidR="00580BFE" w:rsidRPr="000F6BD0"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p>
    <w:p w:rsidR="00580BFE" w:rsidRPr="00580BFE" w:rsidRDefault="00350C1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701" w:hanging="567"/>
      </w:pPr>
      <w:r>
        <w:rPr>
          <w:noProof/>
        </w:rPr>
        <w:pict>
          <v:line id="Straight Connector 29" o:spid="_x0000_s1049"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4pt,16.9pt" to="421.4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" strokecolor="#4a7ebb"/>
        </w:pict>
      </w:r>
    </w:p>
    <w:p w:rsidR="00580BFE" w:rsidRPr="00580BFE" w:rsidRDefault="00350C10" w:rsidP="00580BFE">
      <w:pPr>
        <w:rPr>
          <w:b/>
        </w:rPr>
      </w:pPr>
      <w:r w:rsidRPr="00350C10">
        <w:rPr>
          <w:noProof/>
        </w:rPr>
        <w:pict>
          <v:rect id="Rectangle 13" o:spid="_x0000_s1029" style="position:absolute;margin-left:103.05pt;margin-top:6.7pt;width:228.85pt;height:4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" fillcolor="#4f81bd" strokecolor="#385d8a" strokeweight="2pt">
            <v:textbox>
              <w:txbxContent>
                <w:p w:rsidR="00426DEC" w:rsidRPr="002C20D2" w:rsidRDefault="00426DEC" w:rsidP="00580BFE">
                  <w:pPr>
                    <w:spacing w:after="0"/>
                    <w:rPr>
                      <w:b/>
                    </w:rPr>
                  </w:pPr>
                  <w:r>
                    <w:tab/>
                  </w:r>
                  <w:r w:rsidRPr="00C20A2C">
                    <w:rPr>
                      <w:color w:val="FFFFFF" w:themeColor="background1"/>
                    </w:rPr>
                    <w:t xml:space="preserve">         </w:t>
                  </w:r>
                  <w:r w:rsidRPr="00C20A2C">
                    <w:rPr>
                      <w:b/>
                      <w:color w:val="FFFFFF" w:themeColor="background1"/>
                    </w:rPr>
                    <w:t>WASTE REGULATIONS</w:t>
                  </w:r>
                </w:p>
              </w:txbxContent>
            </v:textbox>
          </v:rect>
        </w:pict>
      </w:r>
      <w:r w:rsidRPr="00350C10">
        <w:rPr>
          <w:noProof/>
        </w:rPr>
        <w:pict>
          <v:rect id="Rectangle 28" o:spid="_x0000_s1030" style="position:absolute;margin-left:373.1pt;margin-top:6.9pt;width:97.8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" fillcolor="#4f81bd" strokecolor="#385d8a" strokeweight="2pt">
            <v:textbox>
              <w:txbxContent>
                <w:p w:rsidR="00426DEC" w:rsidRPr="00FF0B35" w:rsidRDefault="00426DEC" w:rsidP="00580BFE">
                  <w:pPr>
                    <w:spacing w:after="0"/>
                    <w:jc w:val="center"/>
                    <w:rPr>
                      <w:b/>
                      <w:color w:val="FFFFFF" w:themeColor="background1"/>
                    </w:rPr>
                  </w:pPr>
                  <w:r>
                    <w:rPr>
                      <w:b/>
                      <w:color w:val="FFFFFF" w:themeColor="background1"/>
                    </w:rPr>
                    <w:t>NEPM</w:t>
                  </w:r>
                </w:p>
              </w:txbxContent>
            </v:textbox>
          </v:rect>
        </w:pict>
      </w:r>
    </w:p>
    <w:p w:rsidR="00580BFE" w:rsidRPr="00580BFE" w:rsidRDefault="00350C1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701" w:hanging="567"/>
      </w:pPr>
      <w:r>
        <w:rPr>
          <w:noProof/>
        </w:rPr>
        <w:pict>
          <v:line id="Straight Connector 23" o:spid="_x0000_s1048" style="position:absolute;left:0;text-align:left;flip:x;z-index:251653120;visibility:visible;mso-wrap-style:square;mso-wrap-distance-left:9pt;mso-wrap-distance-top:0;mso-wrap-distance-right:9pt;mso-wrap-distance-bottom:0;mso-position-horizontal:absolute;mso-position-horizontal-relative:text;mso-position-vertical:absolute;mso-position-vertical-relative:text" from="332.8pt,7.3pt" to="37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" strokecolor="#4a7ebb"/>
        </w:pict>
      </w:r>
    </w:p>
    <w:p w:rsidR="00580BFE" w:rsidRPr="00580BFE" w:rsidRDefault="00350C1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701" w:hanging="567"/>
      </w:pPr>
      <w:r>
        <w:rPr>
          <w:noProof/>
        </w:rPr>
        <w:pict>
          <v:line id="Straight Connector 22" o:spid="_x0000_s1047" style="position:absolute;left:0;text-align:lef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2pt,5.2pt" to="176.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" strokecolor="#4a7ebb"/>
        </w:pict>
      </w:r>
      <w:r>
        <w:rPr>
          <w:noProof/>
        </w:rPr>
        <w:pict>
          <v:line id="Straight Connector 20" o:spid="_x0000_s1046" style="position:absolute;left:0;text-align:lef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1pt,4.45pt" to="113.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" strokecolor="#4a7ebb"/>
        </w:pict>
      </w:r>
      <w:r>
        <w:rPr>
          <w:noProof/>
        </w:rPr>
        <w:pict>
          <v:line id="Straight Connector 25" o:spid="_x0000_s1045"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4pt,5pt" to="254.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" strokecolor="#4a7ebb"/>
        </w:pict>
      </w:r>
      <w:r>
        <w:rPr>
          <w:noProof/>
        </w:rPr>
        <w:pict>
          <v:line id="Straight Connector 9" o:spid="_x0000_s104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5.3pt" to="317.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" strokecolor="#4a7ebb"/>
        </w:pict>
      </w:r>
    </w:p>
    <w:p w:rsidR="00580BFE" w:rsidRPr="00580BFE" w:rsidRDefault="00350C1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701" w:hanging="567"/>
      </w:pPr>
      <w:r>
        <w:rPr>
          <w:noProof/>
        </w:rPr>
        <w:pict>
          <v:rect id="Rectangle 32" o:spid="_x0000_s1031" style="position:absolute;left:0;text-align:left;margin-left:374.05pt;margin-top:2.45pt;width:97.75pt;height:4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" fillcolor="#4f81bd" strokecolor="#385d8a" strokeweight="2pt">
            <v:textbox>
              <w:txbxContent>
                <w:p w:rsidR="00426DEC" w:rsidRPr="007256A4" w:rsidRDefault="00426DEC" w:rsidP="007256A4">
                  <w:pPr>
                    <w:spacing w:after="0"/>
                    <w:jc w:val="center"/>
                    <w:rPr>
                      <w:b/>
                      <w:color w:val="FFFFFF" w:themeColor="background1"/>
                      <w:sz w:val="19"/>
                      <w:szCs w:val="19"/>
                    </w:rPr>
                  </w:pPr>
                  <w:r w:rsidRPr="007256A4">
                    <w:rPr>
                      <w:b/>
                      <w:color w:val="FFFFFF" w:themeColor="background1"/>
                      <w:sz w:val="19"/>
                      <w:szCs w:val="19"/>
                    </w:rPr>
                    <w:t>DANGEROUS GOODS</w:t>
                  </w:r>
                </w:p>
              </w:txbxContent>
            </v:textbox>
          </v:rect>
        </w:pict>
      </w:r>
      <w:r>
        <w:rPr>
          <w:noProof/>
        </w:rPr>
        <w:pict>
          <v:rect id="Rectangle 10" o:spid="_x0000_s1032" style="position:absolute;left:0;text-align:left;margin-left:135.8pt;margin-top:2.3pt;width:69.3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" fillcolor="#4f81bd" strokecolor="#385d8a" strokeweight="2pt">
            <v:textbox>
              <w:txbxContent>
                <w:p w:rsidR="00426DEC" w:rsidRPr="00112897" w:rsidRDefault="00426DEC" w:rsidP="00580BFE">
                  <w:pPr>
                    <w:spacing w:after="0"/>
                    <w:jc w:val="center"/>
                    <w:rPr>
                      <w:b/>
                      <w:color w:val="FFFFFF" w:themeColor="background1"/>
                      <w:sz w:val="18"/>
                      <w:szCs w:val="18"/>
                    </w:rPr>
                  </w:pPr>
                  <w:r w:rsidRPr="00112897">
                    <w:rPr>
                      <w:b/>
                      <w:color w:val="FFFFFF" w:themeColor="background1"/>
                      <w:sz w:val="18"/>
                      <w:szCs w:val="18"/>
                    </w:rPr>
                    <w:t>EXEMPT</w:t>
                  </w:r>
                  <w:r>
                    <w:rPr>
                      <w:b/>
                      <w:color w:val="FFFFFF" w:themeColor="background1"/>
                      <w:sz w:val="18"/>
                      <w:szCs w:val="18"/>
                    </w:rPr>
                    <w:t>-</w:t>
                  </w:r>
                  <w:r w:rsidRPr="00112897">
                    <w:rPr>
                      <w:b/>
                      <w:color w:val="FFFFFF" w:themeColor="background1"/>
                      <w:sz w:val="18"/>
                      <w:szCs w:val="18"/>
                    </w:rPr>
                    <w:t>IONS</w:t>
                  </w:r>
                </w:p>
              </w:txbxContent>
            </v:textbox>
          </v:rect>
        </w:pict>
      </w:r>
      <w:r>
        <w:rPr>
          <w:noProof/>
        </w:rPr>
        <w:pict>
          <v:rect id="Rectangle 19" o:spid="_x0000_s1033" style="position:absolute;left:0;text-align:left;margin-left:214.2pt;margin-top:2.3pt;width:69.35pt;height:4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" fillcolor="#4f81bd" strokecolor="#385d8a" strokeweight="2pt">
            <v:textbox>
              <w:txbxContent>
                <w:p w:rsidR="00426DEC" w:rsidRPr="008271ED" w:rsidRDefault="00426DEC" w:rsidP="00580BFE">
                  <w:pPr>
                    <w:spacing w:after="0"/>
                    <w:jc w:val="center"/>
                    <w:rPr>
                      <w:b/>
                      <w:color w:val="FFFFFF" w:themeColor="background1"/>
                      <w:sz w:val="19"/>
                      <w:szCs w:val="19"/>
                    </w:rPr>
                  </w:pPr>
                  <w:r w:rsidRPr="008271ED">
                    <w:rPr>
                      <w:b/>
                      <w:color w:val="FFFFFF" w:themeColor="background1"/>
                      <w:sz w:val="19"/>
                      <w:szCs w:val="19"/>
                    </w:rPr>
                    <w:t>ILLEGAL DUMPING</w:t>
                  </w:r>
                </w:p>
              </w:txbxContent>
            </v:textbox>
          </v:rect>
        </w:pict>
      </w:r>
      <w:r>
        <w:rPr>
          <w:noProof/>
        </w:rPr>
        <w:pict>
          <v:rect id="Rectangle 24" o:spid="_x0000_s1034" style="position:absolute;left:0;text-align:left;margin-left:292.4pt;margin-top:2.3pt;width:69.35pt;height:4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" fillcolor="#4f81bd" strokecolor="#385d8a" strokeweight="2pt">
            <v:textbox>
              <w:txbxContent>
                <w:p w:rsidR="00426DEC" w:rsidRPr="008271ED" w:rsidRDefault="00426DEC" w:rsidP="007256A4">
                  <w:pPr>
                    <w:spacing w:after="0"/>
                    <w:jc w:val="center"/>
                    <w:rPr>
                      <w:b/>
                      <w:color w:val="FFFFFF" w:themeColor="background1"/>
                      <w:sz w:val="19"/>
                      <w:szCs w:val="19"/>
                    </w:rPr>
                  </w:pPr>
                  <w:r>
                    <w:rPr>
                      <w:b/>
                      <w:color w:val="FFFFFF" w:themeColor="background1"/>
                      <w:sz w:val="19"/>
                      <w:szCs w:val="19"/>
                    </w:rPr>
                    <w:t>LICENCING</w:t>
                  </w:r>
                </w:p>
              </w:txbxContent>
            </v:textbox>
          </v:rect>
        </w:pict>
      </w:r>
      <w:r>
        <w:rPr>
          <w:noProof/>
        </w:rPr>
        <w:pict>
          <v:rect id="Rectangle 18" o:spid="_x0000_s1035" style="position:absolute;left:0;text-align:left;margin-left:56.1pt;margin-top:2.35pt;width:69.35pt;height:4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" fillcolor="#4f81bd" strokecolor="#385d8a" strokeweight="2pt">
            <v:textbox>
              <w:txbxContent>
                <w:p w:rsidR="00426DEC" w:rsidRPr="008271ED" w:rsidRDefault="00426DEC" w:rsidP="007256A4">
                  <w:pPr>
                    <w:spacing w:after="0"/>
                    <w:jc w:val="center"/>
                    <w:rPr>
                      <w:b/>
                      <w:color w:val="FFFFFF" w:themeColor="background1"/>
                      <w:sz w:val="19"/>
                      <w:szCs w:val="19"/>
                    </w:rPr>
                  </w:pPr>
                  <w:r w:rsidRPr="008271ED">
                    <w:rPr>
                      <w:b/>
                      <w:color w:val="FFFFFF" w:themeColor="background1"/>
                      <w:sz w:val="19"/>
                      <w:szCs w:val="19"/>
                    </w:rPr>
                    <w:t>LANDFILL LEVY</w:t>
                  </w:r>
                </w:p>
              </w:txbxContent>
            </v:textbox>
          </v:rect>
        </w:pict>
      </w:r>
    </w:p>
    <w:p w:rsidR="00580BFE" w:rsidRPr="00580BFE" w:rsidRDefault="00350C1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701" w:hanging="567"/>
      </w:pPr>
      <w:r>
        <w:rPr>
          <w:noProof/>
        </w:rPr>
        <w:pict>
          <v:line id="Straight Connector 33" o:spid="_x0000_s1043" style="position:absolute;left:0;text-align:lef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85pt,3.45pt" to="373.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" strokecolor="#4579b8 [3044]"/>
        </w:pict>
      </w:r>
    </w:p>
    <w:p w:rsidR="00580BFE" w:rsidRPr="00580BFE" w:rsidRDefault="00350C1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701" w:hanging="567"/>
      </w:pPr>
      <w:r>
        <w:rPr>
          <w:noProof/>
        </w:rPr>
        <w:pict>
          <v:line id="Straight Connector 7" o:spid="_x0000_s1042"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3.5pt,.95pt" to="11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" strokecolor="#4a7ebb"/>
        </w:pict>
      </w:r>
      <w:r>
        <w:rPr>
          <w:noProof/>
        </w:rPr>
        <w:pict>
          <v:line id="Straight Connector 17" o:spid="_x0000_s1041"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77.7pt,.95pt" to="177.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" strokecolor="#4a7ebb"/>
        </w:pict>
      </w:r>
      <w:r>
        <w:rPr>
          <w:noProof/>
        </w:rPr>
        <w:pict>
          <v:line id="Straight Connector 26" o:spid="_x0000_s1040"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17.8pt,.95pt" to="317.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" strokecolor="#4a7ebb"/>
        </w:pict>
      </w:r>
      <w:r>
        <w:rPr>
          <w:noProof/>
        </w:rPr>
        <w:pict>
          <v:line id="Straight Connector 21" o:spid="_x0000_s103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54.4pt,.95pt" to="254.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" strokecolor="#4a7ebb"/>
        </w:pict>
      </w:r>
      <w:r>
        <w:rPr>
          <w:noProof/>
        </w:rPr>
        <w:pict>
          <v:rect id="Rectangle 30" o:spid="_x0000_s1036" style="position:absolute;left:0;text-align:left;margin-left:102.8pt;margin-top:19.45pt;width:228.85pt;height:41.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" fillcolor="#002060" strokecolor="#385d8a" strokeweight="2pt">
            <v:textbox>
              <w:txbxContent>
                <w:p w:rsidR="00426DEC" w:rsidRPr="002C20D2" w:rsidRDefault="00426DEC" w:rsidP="00580BFE">
                  <w:pPr>
                    <w:spacing w:after="0"/>
                    <w:jc w:val="center"/>
                    <w:rPr>
                      <w:b/>
                    </w:rPr>
                  </w:pPr>
                  <w:r w:rsidRPr="002C20D2">
                    <w:rPr>
                      <w:b/>
                    </w:rPr>
                    <w:t>WASTE TRACKING SYSTEM</w:t>
                  </w:r>
                </w:p>
              </w:txbxContent>
            </v:textbox>
          </v:rect>
        </w:pict>
      </w:r>
    </w:p>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701" w:hanging="567"/>
      </w:pPr>
    </w:p>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bl>
      <w:tblPr>
        <w:tblW w:w="0" w:type="auto"/>
        <w:tblInd w:w="1134" w:type="dxa"/>
        <w:tblLayout w:type="fixed"/>
        <w:tblCellMar>
          <w:left w:w="0" w:type="dxa"/>
          <w:right w:w="0" w:type="dxa"/>
        </w:tblCellMar>
        <w:tblLook w:val="0000"/>
      </w:tblPr>
      <w:tblGrid>
        <w:gridCol w:w="7371"/>
      </w:tblGrid>
      <w:tr w:rsidR="000F0CA6" w:rsidRPr="000F0CA6">
        <w:trPr>
          <w:cantSplit/>
        </w:trPr>
        <w:tc>
          <w:tcPr>
            <w:tcW w:w="7371" w:type="dxa"/>
          </w:tcPr>
          <w:p w:rsidR="000F0CA6" w:rsidRPr="000F0CA6" w:rsidRDefault="000F0CA6" w:rsidP="006A0D71">
            <w:pPr>
              <w:pStyle w:val="Caption"/>
            </w:pPr>
            <w:bookmarkStart w:id="65" w:name="_Ref418195323"/>
            <w:bookmarkStart w:id="66" w:name="_Toc421181758"/>
            <w:r w:rsidRPr="000F0CA6">
              <w:t xml:space="preserve">Figure </w:t>
            </w:r>
            <w:r w:rsidR="00350C10" w:rsidRPr="000F0CA6">
              <w:fldChar w:fldCharType="begin"/>
            </w:r>
            <w:r w:rsidRPr="000F0CA6">
              <w:instrText xml:space="preserve"> STYLEREF "_Heading1" \n </w:instrText>
            </w:r>
            <w:r w:rsidR="00350C10" w:rsidRPr="000F0CA6">
              <w:fldChar w:fldCharType="separate"/>
            </w:r>
            <w:r w:rsidR="00261FA5">
              <w:rPr>
                <w:noProof/>
              </w:rPr>
              <w:t>4</w:t>
            </w:r>
            <w:r w:rsidR="00350C10" w:rsidRPr="000F0CA6">
              <w:fldChar w:fldCharType="end"/>
            </w:r>
            <w:r w:rsidRPr="000F0CA6">
              <w:t>-</w:t>
            </w:r>
            <w:r w:rsidR="00350C10" w:rsidRPr="000F0CA6">
              <w:fldChar w:fldCharType="begin"/>
            </w:r>
            <w:r w:rsidRPr="000F0CA6">
              <w:instrText xml:space="preserve"> SEQ Figure \* Arabic </w:instrText>
            </w:r>
            <w:r w:rsidR="00350C10" w:rsidRPr="000F0CA6">
              <w:fldChar w:fldCharType="separate"/>
            </w:r>
            <w:r w:rsidR="00261FA5">
              <w:rPr>
                <w:noProof/>
              </w:rPr>
              <w:t>2</w:t>
            </w:r>
            <w:r w:rsidR="00350C10" w:rsidRPr="000F0CA6">
              <w:fldChar w:fldCharType="end"/>
            </w:r>
            <w:bookmarkEnd w:id="65"/>
            <w:r w:rsidRPr="000F0CA6">
              <w:tab/>
            </w:r>
            <w:r w:rsidR="006A0D71">
              <w:t>Waste tracking supports key aspects of waste regulations.</w:t>
            </w:r>
            <w:bookmarkEnd w:id="66"/>
          </w:p>
        </w:tc>
      </w:tr>
    </w:tbl>
    <w:p w:rsidR="00586EB9" w:rsidRDefault="00586EB9" w:rsidP="00953A4C">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p w:rsidR="008271ED" w:rsidRDefault="00580BFE" w:rsidP="008271E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 xml:space="preserve">The waste regulations define key operational aspects of waste tracking, including waste definitions, alphanumeric codes, omissions and exemptions, thresholds, responsibilities and reporting frequency and form. One example: NSW licences the transport firm, Victoria and SA the company and its individual vehicles; and WA the company, vehicles and drivers. </w:t>
      </w:r>
    </w:p>
    <w:p w:rsidR="0089077D" w:rsidRDefault="008271ED" w:rsidP="00C84CBF">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lastRenderedPageBreak/>
        <w:t>A</w:t>
      </w:r>
      <w:r w:rsidRPr="00580BFE">
        <w:t xml:space="preserve">ny proposed reforms to tracking will need to be considered in the light of their consequential impact on </w:t>
      </w:r>
      <w:proofErr w:type="spellStart"/>
      <w:r w:rsidRPr="00580BFE">
        <w:t>licencing</w:t>
      </w:r>
      <w:proofErr w:type="spellEnd"/>
      <w:r>
        <w:t xml:space="preserve"> and other parts of the regime. </w:t>
      </w:r>
      <w:r w:rsidRPr="00580BFE">
        <w:t>Much will depend on the option adopted,</w:t>
      </w:r>
      <w:r>
        <w:t xml:space="preserve"> but even at a conceptual level there were differing views of the difficulty associated with changing the tracking scheme. </w:t>
      </w:r>
    </w:p>
    <w:p w:rsidR="00F24AE9" w:rsidRDefault="008271ED" w:rsidP="0098285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S</w:t>
      </w:r>
      <w:r w:rsidR="007256A4">
        <w:t xml:space="preserve">outh </w:t>
      </w:r>
      <w:r w:rsidRPr="00580BFE">
        <w:t>A</w:t>
      </w:r>
      <w:r w:rsidR="007256A4">
        <w:t>ustralia</w:t>
      </w:r>
      <w:r w:rsidRPr="00580BFE">
        <w:t xml:space="preserve"> did not </w:t>
      </w:r>
      <w:r w:rsidR="00B075B8">
        <w:t>need to</w:t>
      </w:r>
      <w:r w:rsidRPr="00580BFE">
        <w:t xml:space="preserve"> </w:t>
      </w:r>
      <w:r w:rsidR="00997EFF">
        <w:t>amend</w:t>
      </w:r>
      <w:r w:rsidRPr="00580BFE">
        <w:t xml:space="preserve"> its </w:t>
      </w:r>
      <w:r w:rsidRPr="001D18BE">
        <w:rPr>
          <w:i/>
        </w:rPr>
        <w:t>Environmental Protection Act</w:t>
      </w:r>
      <w:r>
        <w:t xml:space="preserve"> </w:t>
      </w:r>
      <w:r w:rsidR="00997EFF">
        <w:t>or regulations to introduce the</w:t>
      </w:r>
      <w:r w:rsidRPr="00580BFE">
        <w:t xml:space="preserve"> electronic tracking system from NSW. The only change required was to its </w:t>
      </w:r>
      <w:proofErr w:type="spellStart"/>
      <w:r w:rsidRPr="00580BFE">
        <w:t>licencing</w:t>
      </w:r>
      <w:proofErr w:type="spellEnd"/>
      <w:r w:rsidRPr="00580BFE">
        <w:t xml:space="preserve"> forms, </w:t>
      </w:r>
      <w:r w:rsidR="007256A4">
        <w:t xml:space="preserve">simply </w:t>
      </w:r>
      <w:r w:rsidRPr="00580BFE">
        <w:t>from mandating and explaining the paper system to allowing electronic or paper.</w:t>
      </w:r>
      <w:r w:rsidR="007256A4">
        <w:t xml:space="preserve"> </w:t>
      </w:r>
      <w:r w:rsidR="00C1683A">
        <w:t>It instead changed the IT system to meet its parameters.</w:t>
      </w:r>
    </w:p>
    <w:p w:rsidR="00F24AE9" w:rsidRDefault="007256A4" w:rsidP="00C1683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In Queensland, DEHP</w:t>
      </w:r>
      <w:r w:rsidRPr="00012023">
        <w:t xml:space="preserve"> generally agreed that alignment of codes </w:t>
      </w:r>
      <w:r>
        <w:t xml:space="preserve">would </w:t>
      </w:r>
      <w:r w:rsidRPr="00012023">
        <w:t xml:space="preserve">probably </w:t>
      </w:r>
      <w:r>
        <w:t xml:space="preserve">be </w:t>
      </w:r>
      <w:r w:rsidRPr="00012023">
        <w:t>relatively easy to implement</w:t>
      </w:r>
      <w:r>
        <w:t xml:space="preserve">, possibly through </w:t>
      </w:r>
      <w:r w:rsidRPr="00012023">
        <w:t>an Operational Policy or similar</w:t>
      </w:r>
      <w:r>
        <w:t xml:space="preserve"> rather than a change in regulation.</w:t>
      </w:r>
      <w:r w:rsidR="00F24AE9">
        <w:t xml:space="preserve"> </w:t>
      </w:r>
      <w:r w:rsidR="00C1683A">
        <w:t xml:space="preserve">The </w:t>
      </w:r>
      <w:r w:rsidR="00F24AE9">
        <w:t>NSW</w:t>
      </w:r>
      <w:r w:rsidR="00C1683A">
        <w:t xml:space="preserve"> EPA</w:t>
      </w:r>
      <w:r w:rsidR="00F24AE9">
        <w:t xml:space="preserve">, on the other hand, noted </w:t>
      </w:r>
      <w:r w:rsidR="00F24AE9" w:rsidRPr="005E4510">
        <w:t>E</w:t>
      </w:r>
      <w:r w:rsidR="00F24AE9">
        <w:t xml:space="preserve">nvironment </w:t>
      </w:r>
      <w:r w:rsidR="00F24AE9" w:rsidRPr="005E4510">
        <w:t>P</w:t>
      </w:r>
      <w:r w:rsidR="00F24AE9">
        <w:t xml:space="preserve">rotection Licences are linked to the NEPM codes, so any change to those codes would flow through to the EPLs. This may be relatively painless for NSW given it is shifting to an electronic </w:t>
      </w:r>
      <w:proofErr w:type="spellStart"/>
      <w:r w:rsidR="00F24AE9" w:rsidRPr="005E4510">
        <w:t>licencing</w:t>
      </w:r>
      <w:proofErr w:type="spellEnd"/>
      <w:r w:rsidR="00F24AE9" w:rsidRPr="005E4510">
        <w:t xml:space="preserve"> </w:t>
      </w:r>
      <w:r w:rsidR="00F24AE9">
        <w:t xml:space="preserve">system, with </w:t>
      </w:r>
      <w:r w:rsidR="00F24AE9" w:rsidRPr="001A1E68">
        <w:t xml:space="preserve">IT upgrades </w:t>
      </w:r>
      <w:r w:rsidR="00F24AE9">
        <w:t>planned</w:t>
      </w:r>
      <w:r w:rsidR="00F24AE9" w:rsidRPr="001A1E68">
        <w:t xml:space="preserve"> </w:t>
      </w:r>
      <w:r w:rsidR="00F24AE9">
        <w:t xml:space="preserve">within </w:t>
      </w:r>
      <w:r w:rsidR="00F24AE9" w:rsidRPr="001A1E68">
        <w:t>the next 12 months</w:t>
      </w:r>
      <w:r w:rsidR="00F24AE9">
        <w:t xml:space="preserve">, but a larger administrative task for other states. </w:t>
      </w:r>
    </w:p>
    <w:p w:rsidR="00EB38AB" w:rsidRDefault="00F24AE9" w:rsidP="00EB38A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Exemptions pose a bigger issue in trying to</w:t>
      </w:r>
      <w:r w:rsidR="00EB38AB">
        <w:t xml:space="preserve"> collect a national picture. While</w:t>
      </w:r>
      <w:r>
        <w:t xml:space="preserve"> all states report the NEPM </w:t>
      </w:r>
      <w:r w:rsidR="00814364">
        <w:t>categories</w:t>
      </w:r>
      <w:r>
        <w:t xml:space="preserve"> on interstate movements</w:t>
      </w:r>
      <w:r w:rsidR="00814364">
        <w:t>, there are major gaps in terms of intrastate movements. F</w:t>
      </w:r>
      <w:r w:rsidR="00A37ADB">
        <w:t xml:space="preserve">or some exempted </w:t>
      </w:r>
      <w:r w:rsidR="00814364">
        <w:t xml:space="preserve">wastes </w:t>
      </w:r>
      <w:r w:rsidR="00A37ADB">
        <w:t xml:space="preserve">there </w:t>
      </w:r>
      <w:r w:rsidR="007256A4">
        <w:t xml:space="preserve">may be options for to </w:t>
      </w:r>
      <w:r>
        <w:t xml:space="preserve">DoE collect </w:t>
      </w:r>
      <w:r w:rsidR="007256A4">
        <w:t xml:space="preserve">information from </w:t>
      </w:r>
      <w:r w:rsidR="00997EFF">
        <w:t>other sources</w:t>
      </w:r>
      <w:r w:rsidR="00814364">
        <w:t xml:space="preserve">, such as </w:t>
      </w:r>
      <w:r w:rsidR="00997EFF">
        <w:t xml:space="preserve">Sydney Waste </w:t>
      </w:r>
      <w:r w:rsidR="00814364">
        <w:t>for</w:t>
      </w:r>
      <w:r w:rsidR="00EB38AB">
        <w:t xml:space="preserve"> grease trap waste, but there appear to be few such alternatives and it opens yet another question around the compatibility of data. </w:t>
      </w:r>
    </w:p>
    <w:p w:rsidR="00A15A6F" w:rsidRPr="00580BFE" w:rsidRDefault="00EB38AB" w:rsidP="002C107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2C107A">
        <w:t>Finally, dangerous g</w:t>
      </w:r>
      <w:r w:rsidR="00814364" w:rsidRPr="002C107A">
        <w:t xml:space="preserve">oods </w:t>
      </w:r>
      <w:r w:rsidRPr="002C107A">
        <w:t xml:space="preserve">transporting </w:t>
      </w:r>
      <w:r w:rsidR="006334FE" w:rsidRPr="002C107A">
        <w:t>regulations</w:t>
      </w:r>
      <w:r w:rsidR="00C80A31" w:rsidRPr="002C107A">
        <w:t>, which set out the requirements for transporters to safely move hazardous shipments, partially overlap – and occasionally contradict – controlled waste regulations in some states.</w:t>
      </w:r>
      <w:r w:rsidR="00D35B77" w:rsidRPr="002C107A">
        <w:t xml:space="preserve"> </w:t>
      </w:r>
      <w:r w:rsidR="002C107A" w:rsidRPr="002C107A">
        <w:t xml:space="preserve">An example from Tasmania </w:t>
      </w:r>
      <w:proofErr w:type="gramStart"/>
      <w:r w:rsidR="002C107A" w:rsidRPr="002C107A">
        <w:t>sees,</w:t>
      </w:r>
      <w:proofErr w:type="gramEnd"/>
      <w:r w:rsidR="002C107A" w:rsidRPr="002C107A">
        <w:t xml:space="preserve"> a company that is highly trained at delivering dangerous good unable to take away the quantity that wasn’t needed as it was then deemed a controlled waste and required a NEPM authorisation to ship back offshore. The issue has been explored further in a separate DoE report. </w:t>
      </w:r>
    </w:p>
    <w:p w:rsidR="00580BFE" w:rsidRPr="00580BFE" w:rsidRDefault="00580BFE" w:rsidP="00580BFE">
      <w:pPr>
        <w:pStyle w:val="Heading2"/>
      </w:pPr>
      <w:bookmarkStart w:id="67" w:name="_Ref418238369"/>
      <w:bookmarkStart w:id="68" w:name="_Toc421181745"/>
      <w:r w:rsidRPr="00580BFE">
        <w:t xml:space="preserve">Technology </w:t>
      </w:r>
      <w:r w:rsidR="00796C22">
        <w:t>systems</w:t>
      </w:r>
      <w:bookmarkEnd w:id="67"/>
      <w:bookmarkEnd w:id="68"/>
    </w:p>
    <w:p w:rsidR="00124B57" w:rsidRDefault="00580BFE" w:rsidP="00124B5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The other legacy issue that must be considered is the technology that underpins the tracking system, from both a government and waste industry perspective. These systems are expensive and highly tailored to the needs of the existing paradigm, and as such represent sunk costs – there is no obvious way to recoup the investment should the requirements change radically.</w:t>
      </w:r>
    </w:p>
    <w:p w:rsidR="00F844BA" w:rsidRDefault="00F844BA" w:rsidP="00F844BA">
      <w:pPr>
        <w:pStyle w:val="Heading3"/>
      </w:pPr>
      <w:r>
        <w:t>Federal Government</w:t>
      </w:r>
    </w:p>
    <w:p w:rsidR="00FF591B" w:rsidRDefault="00FF591B" w:rsidP="00FF59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Reporting to the Federal Government was until recently a highly manual process that saw each jurisdiction submit their own spreadsheets and the DoE spend considerable time massaging and making assumption about the data to make suitable for sending to the Basel Convention secretariat and OECD. </w:t>
      </w:r>
    </w:p>
    <w:p w:rsidR="00FF591B" w:rsidRDefault="00FF591B" w:rsidP="00FF59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Two years ago it streamlined the process by mapping jurisdictional waste codes into the 75 NEPM codes and then into 47 Basel Y codes. That map has been used to populate a tailored spreadsheet for each jurisdiction, introducing major efficiencies for the federal and state/territory governments. According to the South Australia EPA, it has cut the reporting time by two thirds. </w:t>
      </w:r>
    </w:p>
    <w:p w:rsidR="00FF591B" w:rsidRPr="00580BFE" w:rsidRDefault="00FF591B" w:rsidP="00FF59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However, every year the DoE still makes use of internal and external resources to validate and manipulate the data in a bid to cover gaps, consider outliers and exercise a level of quality control. </w:t>
      </w:r>
    </w:p>
    <w:p w:rsidR="00580BFE" w:rsidRPr="00580BFE" w:rsidRDefault="00F844BA" w:rsidP="00580BFE">
      <w:pPr>
        <w:pStyle w:val="Heading3"/>
      </w:pPr>
      <w:r>
        <w:lastRenderedPageBreak/>
        <w:t xml:space="preserve">sTATE </w:t>
      </w:r>
      <w:r w:rsidR="00580BFE" w:rsidRPr="00580BFE">
        <w:t xml:space="preserve">Government </w:t>
      </w:r>
    </w:p>
    <w:p w:rsidR="002654C2"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 xml:space="preserve">As detailed in Section 2, a mix of electronic and paper-based tracking schemes are used across Australia, representing various levels of maturity in the systems. </w:t>
      </w:r>
    </w:p>
    <w:p w:rsidR="002654C2" w:rsidRDefault="002654C2" w:rsidP="002654C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Paper-based systems are labour intensive and costly, with more time spent on manual data entry than on enforcement. Queensland </w:t>
      </w:r>
      <w:r w:rsidRPr="0095403F">
        <w:t>typically process</w:t>
      </w:r>
      <w:r>
        <w:t>es 6,000-8,000 dockets per week and even so t</w:t>
      </w:r>
      <w:r w:rsidRPr="0095403F">
        <w:t xml:space="preserve">here is generally a </w:t>
      </w:r>
      <w:r>
        <w:t>lag in entering data of several months,</w:t>
      </w:r>
      <w:r w:rsidRPr="0095403F">
        <w:t xml:space="preserve"> although this is improving</w:t>
      </w:r>
      <w:r>
        <w:t>. Victoria outsources the data entry but acknowledges inefficiencies and inaccuracies in the process. In South Australia, the shift to electronic has freed an employee from data entry to focus on data analysis and response. It is also expected to save $40,000 a year in avoided printing of waste tracking forms, a significant dividend from the technology transition.</w:t>
      </w:r>
    </w:p>
    <w:p w:rsidR="00580BFE" w:rsidRPr="00580BFE" w:rsidRDefault="00580BFE" w:rsidP="002654C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 xml:space="preserve">Until two years ago there were only two electronic schemes operating in the country, in Western Australia and NSW, but </w:t>
      </w:r>
      <w:r w:rsidR="002654C2">
        <w:t>in the near term</w:t>
      </w:r>
      <w:r w:rsidRPr="00580BFE">
        <w:t xml:space="preserve"> online systems will be completely rolled out across the mainland states. The only jurisdictions without an electronic option will be those that do not have any form of formal tracking scheme – Tasmania, NT and the ACT.</w:t>
      </w:r>
    </w:p>
    <w:p w:rsidR="00FF591B" w:rsidRDefault="00FF591B"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FF591B">
        <w:t>This on the surfac</w:t>
      </w:r>
      <w:r w:rsidR="006334FE">
        <w:t>e presents a unique opportunity as it for the first time establishes</w:t>
      </w:r>
      <w:r w:rsidRPr="00FF591B">
        <w:t xml:space="preserve"> a common technology platform that </w:t>
      </w:r>
      <w:r w:rsidR="006334FE">
        <w:t xml:space="preserve">in principle </w:t>
      </w:r>
      <w:r w:rsidRPr="00FF591B">
        <w:t>creates the prospect of a common approach to tracking</w:t>
      </w:r>
      <w:r w:rsidR="006334FE">
        <w:t>. I</w:t>
      </w:r>
      <w:r w:rsidR="002654C2">
        <w:t>n practice it is not so simple</w:t>
      </w:r>
      <w:r w:rsidRPr="00FF591B">
        <w:t>.</w:t>
      </w:r>
    </w:p>
    <w:p w:rsidR="00901D15" w:rsidRPr="00A76F9A" w:rsidRDefault="00580BFE" w:rsidP="00A76F9A">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rPr>
          <w:highlight w:val="yellow"/>
        </w:rPr>
      </w:pPr>
      <w:r w:rsidRPr="00580BFE">
        <w:t>First, the systems are not all built on the same architecture and a</w:t>
      </w:r>
      <w:r w:rsidR="002654C2">
        <w:t xml:space="preserve">s a result are not compatible. </w:t>
      </w:r>
      <w:r w:rsidRPr="00580BFE">
        <w:t xml:space="preserve">The NSW and SA systems are built </w:t>
      </w:r>
      <w:r w:rsidR="006C2AD0">
        <w:t xml:space="preserve">in-house </w:t>
      </w:r>
      <w:r w:rsidRPr="00580BFE">
        <w:t>on a Microsoft (.net) plat</w:t>
      </w:r>
      <w:r w:rsidR="002654C2">
        <w:t xml:space="preserve">form, </w:t>
      </w:r>
      <w:r w:rsidR="002654C2" w:rsidRPr="006C2AD0">
        <w:t xml:space="preserve">Victoria </w:t>
      </w:r>
      <w:r w:rsidR="00A76F9A" w:rsidRPr="006C2AD0">
        <w:t xml:space="preserve">stores its data in an SAP business warehouse program </w:t>
      </w:r>
      <w:r w:rsidR="002654C2" w:rsidRPr="006C2AD0">
        <w:t xml:space="preserve">and Western Australia </w:t>
      </w:r>
      <w:r w:rsidR="006C2AD0" w:rsidRPr="006C2AD0">
        <w:t xml:space="preserve">a platform built by Perth-based </w:t>
      </w:r>
      <w:proofErr w:type="spellStart"/>
      <w:r w:rsidR="006C2AD0" w:rsidRPr="006C2AD0">
        <w:t>Amristar</w:t>
      </w:r>
      <w:proofErr w:type="spellEnd"/>
      <w:r w:rsidR="004961A9" w:rsidRPr="006C2AD0">
        <w:t>.</w:t>
      </w:r>
      <w:r w:rsidR="00901D15">
        <w:t xml:space="preserve"> </w:t>
      </w:r>
      <w:r w:rsidRPr="00580BFE">
        <w:t>Even where the same platform has been used, such as NSW and its sibling S</w:t>
      </w:r>
      <w:r w:rsidR="00901D15">
        <w:t xml:space="preserve">outh </w:t>
      </w:r>
      <w:r w:rsidRPr="00580BFE">
        <w:t>A</w:t>
      </w:r>
      <w:r w:rsidR="00901D15">
        <w:t>ustralian</w:t>
      </w:r>
      <w:r w:rsidRPr="00580BFE">
        <w:t xml:space="preserve"> system, they are not fully compatible as they remain expressions of the</w:t>
      </w:r>
      <w:r w:rsidR="00901D15">
        <w:t xml:space="preserve"> respective regulatory</w:t>
      </w:r>
      <w:r w:rsidRPr="00580BFE">
        <w:t xml:space="preserve"> regimes. South Australia’s two years tweaking the system to meet local needs has rendered it unable to usefully ‘talk’ to the NSW system. </w:t>
      </w:r>
    </w:p>
    <w:p w:rsidR="00580BFE" w:rsidRPr="00580BFE" w:rsidRDefault="00580BFE" w:rsidP="00901D1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A</w:t>
      </w:r>
      <w:r w:rsidR="00B75084">
        <w:t>nd a</w:t>
      </w:r>
      <w:r w:rsidRPr="00580BFE">
        <w:t xml:space="preserve">s noted in a Queensland workshop, </w:t>
      </w:r>
      <w:r w:rsidR="00B75084">
        <w:t xml:space="preserve">many of the problems </w:t>
      </w:r>
      <w:r w:rsidR="00901D15">
        <w:t xml:space="preserve">that </w:t>
      </w:r>
      <w:r w:rsidR="00B75084">
        <w:t>waste contractors experience relate to the fundamental processes rather than the platform, so a shift to electronic without changing the overall processes will no</w:t>
      </w:r>
      <w:r w:rsidR="00901D15">
        <w:t xml:space="preserve">t necessarily solve all issues. </w:t>
      </w:r>
      <w:r w:rsidRPr="00580BFE">
        <w:t xml:space="preserve">Interestingly, the uptake of the electronic system in Victoria has </w:t>
      </w:r>
      <w:proofErr w:type="spellStart"/>
      <w:r w:rsidRPr="00580BFE">
        <w:t>plateaued</w:t>
      </w:r>
      <w:proofErr w:type="spellEnd"/>
      <w:r w:rsidRPr="00580BFE">
        <w:t xml:space="preserve"> at aroun</w:t>
      </w:r>
      <w:r w:rsidR="00901D15">
        <w:t xml:space="preserve">d 50% since </w:t>
      </w:r>
      <w:r w:rsidR="00B60720">
        <w:t>its</w:t>
      </w:r>
      <w:r w:rsidR="00901D15">
        <w:t xml:space="preserve"> launch in 2013, despite </w:t>
      </w:r>
      <w:r w:rsidRPr="00580BFE">
        <w:t xml:space="preserve">a </w:t>
      </w:r>
      <w:r w:rsidR="00901D15">
        <w:t>price</w:t>
      </w:r>
      <w:r w:rsidRPr="00580BFE">
        <w:t xml:space="preserve"> incentive to use the electronic scheme</w:t>
      </w:r>
      <w:r w:rsidR="00901D15">
        <w:t xml:space="preserve"> and</w:t>
      </w:r>
      <w:r w:rsidRPr="00580BFE">
        <w:t xml:space="preserve"> </w:t>
      </w:r>
      <w:r w:rsidR="00901D15">
        <w:t>promised operational efficiencies</w:t>
      </w:r>
      <w:r w:rsidRPr="00580BFE">
        <w:t>.</w:t>
      </w:r>
    </w:p>
    <w:p w:rsidR="00580BFE" w:rsidRDefault="00901D15"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Acknowledging</w:t>
      </w:r>
      <w:r w:rsidR="00580BFE" w:rsidRPr="00580BFE">
        <w:t xml:space="preserve"> these limitations, there are potential </w:t>
      </w:r>
      <w:r>
        <w:t xml:space="preserve">consistency </w:t>
      </w:r>
      <w:r w:rsidR="00580BFE" w:rsidRPr="00580BFE">
        <w:t xml:space="preserve">upsides from the electronic evolution. </w:t>
      </w:r>
      <w:r>
        <w:t xml:space="preserve">For example, </w:t>
      </w:r>
      <w:r w:rsidR="00580BFE" w:rsidRPr="00580BFE">
        <w:t>NSW and S</w:t>
      </w:r>
      <w:r>
        <w:t xml:space="preserve">outh </w:t>
      </w:r>
      <w:r w:rsidR="00580BFE" w:rsidRPr="00580BFE">
        <w:t>A</w:t>
      </w:r>
      <w:r>
        <w:t>ustralia</w:t>
      </w:r>
      <w:r w:rsidR="00580BFE" w:rsidRPr="00580BFE">
        <w:t xml:space="preserve"> allow other jurisdictions access to their systems to a </w:t>
      </w:r>
      <w:r>
        <w:t>prescribed</w:t>
      </w:r>
      <w:r w:rsidR="00580BFE" w:rsidRPr="00580BFE">
        <w:t xml:space="preserve"> security clearance level, allowing the</w:t>
      </w:r>
      <w:r w:rsidRPr="00901D15">
        <w:t xml:space="preserve"> </w:t>
      </w:r>
      <w:r w:rsidRPr="00580BFE">
        <w:t>agency</w:t>
      </w:r>
      <w:r>
        <w:t xml:space="preserve"> in the</w:t>
      </w:r>
      <w:r w:rsidR="00580BFE" w:rsidRPr="00580BFE">
        <w:t xml:space="preserve"> </w:t>
      </w:r>
      <w:r>
        <w:t>originator</w:t>
      </w:r>
      <w:r w:rsidR="00580BFE" w:rsidRPr="00580BFE">
        <w:t xml:space="preserve"> state to confirm the fate of a load from their domain. While </w:t>
      </w:r>
      <w:r>
        <w:t>this</w:t>
      </w:r>
      <w:r w:rsidR="00580BFE" w:rsidRPr="00580BFE">
        <w:t xml:space="preserve"> does not extend to automated reporting or closure of transpo</w:t>
      </w:r>
      <w:r>
        <w:t>rt certificates,</w:t>
      </w:r>
      <w:r w:rsidR="00580BFE" w:rsidRPr="00580BFE">
        <w:t xml:space="preserve"> the function provides a potential basis for greater</w:t>
      </w:r>
      <w:r>
        <w:t xml:space="preserve"> transparency across jurisdictions</w:t>
      </w:r>
      <w:r w:rsidR="00580BFE" w:rsidRPr="00580BFE">
        <w:t>. Developed to its full extent over time, this could close off one area of leakage from a jurisdiction’s data system.</w:t>
      </w:r>
    </w:p>
    <w:p w:rsidR="00BF1AC5" w:rsidRPr="00BF1AC5" w:rsidRDefault="00BF1AC5" w:rsidP="00BF1AC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rPr>
          <w:lang w:val="en-US"/>
        </w:rPr>
      </w:pPr>
      <w:r>
        <w:t xml:space="preserve">Another useful data sharing feature in the NSW system, retained by South Australia, is the ability for companies to directly </w:t>
      </w:r>
      <w:r w:rsidRPr="00580BFE">
        <w:rPr>
          <w:lang w:val="en-US"/>
        </w:rPr>
        <w:t>interfa</w:t>
      </w:r>
      <w:r>
        <w:rPr>
          <w:lang w:val="en-US"/>
        </w:rPr>
        <w:t xml:space="preserve">ce directly with the EPA system. Several companies including Transpacific Industries (TPI) </w:t>
      </w:r>
      <w:proofErr w:type="gramStart"/>
      <w:r>
        <w:rPr>
          <w:lang w:val="en-US"/>
        </w:rPr>
        <w:t>has</w:t>
      </w:r>
      <w:proofErr w:type="gramEnd"/>
      <w:r>
        <w:rPr>
          <w:lang w:val="en-US"/>
        </w:rPr>
        <w:t xml:space="preserve"> taken advantage of the feature,</w:t>
      </w:r>
      <w:r w:rsidRPr="00580BFE">
        <w:rPr>
          <w:lang w:val="en-US"/>
        </w:rPr>
        <w:t xml:space="preserve"> uploading information directly from their business systems into the EPA database. </w:t>
      </w:r>
      <w:r>
        <w:rPr>
          <w:lang w:val="en-US"/>
        </w:rPr>
        <w:t>TPI worked with the EPA for a year to meet the data quality standards but it now</w:t>
      </w:r>
      <w:r w:rsidRPr="00580BFE">
        <w:rPr>
          <w:lang w:val="en-US"/>
        </w:rPr>
        <w:t xml:space="preserve"> provides significant efficiencie</w:t>
      </w:r>
      <w:r>
        <w:rPr>
          <w:lang w:val="en-US"/>
        </w:rPr>
        <w:t xml:space="preserve">s for both the company and EPA. No other jurisdiction has a similar arrangement, although </w:t>
      </w:r>
      <w:r w:rsidRPr="00580BFE">
        <w:rPr>
          <w:lang w:val="en-US"/>
        </w:rPr>
        <w:t>DER in W</w:t>
      </w:r>
      <w:r>
        <w:rPr>
          <w:lang w:val="en-US"/>
        </w:rPr>
        <w:t xml:space="preserve">estern </w:t>
      </w:r>
      <w:r w:rsidRPr="00580BFE">
        <w:rPr>
          <w:lang w:val="en-US"/>
        </w:rPr>
        <w:t>A</w:t>
      </w:r>
      <w:r>
        <w:rPr>
          <w:lang w:val="en-US"/>
        </w:rPr>
        <w:t>ustralia</w:t>
      </w:r>
      <w:r w:rsidRPr="00580BFE">
        <w:rPr>
          <w:lang w:val="en-US"/>
        </w:rPr>
        <w:t xml:space="preserve"> is prepared to consider it if any company is </w:t>
      </w:r>
      <w:r>
        <w:rPr>
          <w:lang w:val="en-US"/>
        </w:rPr>
        <w:t>prepared to fund development of the interface.</w:t>
      </w:r>
    </w:p>
    <w:p w:rsidR="00B60720" w:rsidRDefault="00BF1AC5" w:rsidP="00BF1AC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E</w:t>
      </w:r>
      <w:r w:rsidR="00580BFE" w:rsidRPr="00580BFE">
        <w:t xml:space="preserve">lectronic systems across the mainland states will </w:t>
      </w:r>
      <w:r>
        <w:t>have other benefits. They will</w:t>
      </w:r>
      <w:r w:rsidR="00580BFE" w:rsidRPr="00580BFE">
        <w:t xml:space="preserve"> ensure a reasonably comparable reporting timeframe, given near real-time reporting is one of the great </w:t>
      </w:r>
      <w:r w:rsidR="00580BFE" w:rsidRPr="00580BFE">
        <w:lastRenderedPageBreak/>
        <w:t>advantages of the technology. Those running paper-based systems acknowledged a sometimes considerable lag in entering data from the dockets into their databases, undermining the potential to determine a comprehensive snapshot for any particular point in time. Upload waste transport certificate information immediately, however, and an electronic system allows users to run any number of reports and query any data.</w:t>
      </w:r>
    </w:p>
    <w:p w:rsidR="006014D0" w:rsidRDefault="00580BFE" w:rsidP="003A4E9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rsidRPr="00580BFE">
        <w:t xml:space="preserve">A less tangible benefit of the rise of electronic systems is the creation of paradigm in each state where </w:t>
      </w:r>
      <w:r w:rsidR="00184900">
        <w:t xml:space="preserve">government and industry </w:t>
      </w:r>
      <w:r w:rsidRPr="00580BFE">
        <w:t xml:space="preserve">users are familiar with electronic </w:t>
      </w:r>
      <w:r w:rsidR="00184900">
        <w:t>reporting. This common baseline –</w:t>
      </w:r>
      <w:r w:rsidRPr="00580BFE">
        <w:t xml:space="preserve"> including operator experience, </w:t>
      </w:r>
      <w:r w:rsidR="00184900">
        <w:t xml:space="preserve">expected process efficiency and </w:t>
      </w:r>
      <w:r w:rsidRPr="00580BFE">
        <w:t xml:space="preserve">investment in </w:t>
      </w:r>
      <w:r w:rsidR="00184900">
        <w:t>technology such as mobile report equipment –</w:t>
      </w:r>
      <w:r w:rsidRPr="00580BFE">
        <w:t xml:space="preserve"> creates a context where a national </w:t>
      </w:r>
      <w:r w:rsidR="00184900">
        <w:t xml:space="preserve">electronic front-end systems interface </w:t>
      </w:r>
      <w:r w:rsidRPr="00580BFE">
        <w:t>could be considered.</w:t>
      </w:r>
    </w:p>
    <w:p w:rsidR="00580BFE" w:rsidRPr="00580BFE" w:rsidRDefault="006014D0" w:rsidP="00184900">
      <w:pPr>
        <w:pStyle w:val="Caption"/>
        <w:ind w:left="567" w:firstLine="567"/>
      </w:pPr>
      <w:bookmarkStart w:id="69" w:name="_Toc421181776"/>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4</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15</w:t>
      </w:r>
      <w:r w:rsidR="00350C10">
        <w:fldChar w:fldCharType="end"/>
      </w:r>
      <w:r w:rsidRPr="006226B1">
        <w:tab/>
      </w:r>
      <w:proofErr w:type="gramStart"/>
      <w:r w:rsidR="003A4E94">
        <w:t>Inside</w:t>
      </w:r>
      <w:proofErr w:type="gramEnd"/>
      <w:r w:rsidR="003A4E94">
        <w:t xml:space="preserve"> the </w:t>
      </w:r>
      <w:r w:rsidR="006A3F4E">
        <w:t xml:space="preserve">tracking </w:t>
      </w:r>
      <w:r w:rsidR="003A4E94">
        <w:t>systems</w:t>
      </w:r>
      <w:bookmarkEnd w:id="69"/>
    </w:p>
    <w:tbl>
      <w:tblPr>
        <w:tblStyle w:val="HyderTableStyle"/>
        <w:tblW w:w="0" w:type="auto"/>
        <w:tblInd w:w="1134" w:type="dxa"/>
        <w:tblLayout w:type="fixed"/>
        <w:tblLook w:val="04A0"/>
      </w:tblPr>
      <w:tblGrid>
        <w:gridCol w:w="1221"/>
        <w:gridCol w:w="1052"/>
        <w:gridCol w:w="1052"/>
        <w:gridCol w:w="1052"/>
        <w:gridCol w:w="1052"/>
        <w:gridCol w:w="1052"/>
        <w:gridCol w:w="664"/>
        <w:gridCol w:w="665"/>
        <w:gridCol w:w="665"/>
      </w:tblGrid>
      <w:tr w:rsidR="00053BE9" w:rsidRPr="00580BFE" w:rsidTr="00184900">
        <w:trPr>
          <w:cnfStyle w:val="100000000000"/>
        </w:trPr>
        <w:tc>
          <w:tcPr>
            <w:tcW w:w="1221"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052"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80BFE">
              <w:rPr>
                <w:b/>
              </w:rPr>
              <w:t>NSW</w:t>
            </w:r>
          </w:p>
        </w:tc>
        <w:tc>
          <w:tcPr>
            <w:tcW w:w="1052"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80BFE">
              <w:rPr>
                <w:b/>
              </w:rPr>
              <w:t>Victoria</w:t>
            </w:r>
          </w:p>
        </w:tc>
        <w:tc>
          <w:tcPr>
            <w:tcW w:w="1052"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80BFE">
              <w:rPr>
                <w:b/>
              </w:rPr>
              <w:t>Qld</w:t>
            </w:r>
          </w:p>
        </w:tc>
        <w:tc>
          <w:tcPr>
            <w:tcW w:w="1052"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80BFE">
              <w:rPr>
                <w:b/>
              </w:rPr>
              <w:t>WA</w:t>
            </w:r>
          </w:p>
        </w:tc>
        <w:tc>
          <w:tcPr>
            <w:tcW w:w="1052"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80BFE">
              <w:rPr>
                <w:b/>
              </w:rPr>
              <w:t>SA</w:t>
            </w:r>
          </w:p>
        </w:tc>
        <w:tc>
          <w:tcPr>
            <w:tcW w:w="664"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80BFE">
              <w:rPr>
                <w:b/>
              </w:rPr>
              <w:t>Tas</w:t>
            </w:r>
          </w:p>
        </w:tc>
        <w:tc>
          <w:tcPr>
            <w:tcW w:w="665"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80BFE">
              <w:rPr>
                <w:b/>
              </w:rPr>
              <w:t>NT</w:t>
            </w:r>
          </w:p>
        </w:tc>
        <w:tc>
          <w:tcPr>
            <w:tcW w:w="665"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80BFE">
              <w:rPr>
                <w:b/>
              </w:rPr>
              <w:t>ACT</w:t>
            </w:r>
          </w:p>
        </w:tc>
      </w:tr>
      <w:tr w:rsidR="00053BE9" w:rsidRPr="00580BFE" w:rsidTr="00184900">
        <w:tc>
          <w:tcPr>
            <w:tcW w:w="1221"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Reporting format</w:t>
            </w:r>
          </w:p>
        </w:tc>
        <w:tc>
          <w:tcPr>
            <w:tcW w:w="1052" w:type="dxa"/>
          </w:tcPr>
          <w:p w:rsidR="00580BFE" w:rsidRPr="00580BFE" w:rsidRDefault="00580BFE" w:rsidP="0018490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Electronic</w:t>
            </w:r>
            <w:r w:rsidR="005B311F">
              <w:t xml:space="preserve"> </w:t>
            </w:r>
            <w:r w:rsidR="00184900">
              <w:t xml:space="preserve"> (paper allowed)</w:t>
            </w:r>
          </w:p>
        </w:tc>
        <w:tc>
          <w:tcPr>
            <w:tcW w:w="1052" w:type="dxa"/>
          </w:tcPr>
          <w:p w:rsidR="00580BFE" w:rsidRPr="00580BFE" w:rsidRDefault="00387891"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Electronic</w:t>
            </w:r>
            <w:r w:rsidR="00053BE9">
              <w:t xml:space="preserve"> and</w:t>
            </w:r>
            <w:r w:rsidR="00580BFE" w:rsidRPr="00580BFE">
              <w:t xml:space="preserve"> paper</w:t>
            </w:r>
          </w:p>
        </w:tc>
        <w:tc>
          <w:tcPr>
            <w:tcW w:w="1052"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Paper</w:t>
            </w:r>
            <w:r w:rsidR="003A4E94">
              <w:t xml:space="preserve"> and spr</w:t>
            </w:r>
            <w:r w:rsidR="006A3F4E">
              <w:t>ea</w:t>
            </w:r>
            <w:r w:rsidR="00FF591B">
              <w:t>d</w:t>
            </w:r>
            <w:r w:rsidR="006A3F4E">
              <w:t>-</w:t>
            </w:r>
            <w:r w:rsidR="00FF591B">
              <w:t>sheet</w:t>
            </w:r>
          </w:p>
        </w:tc>
        <w:tc>
          <w:tcPr>
            <w:tcW w:w="1052" w:type="dxa"/>
          </w:tcPr>
          <w:p w:rsidR="00580BFE" w:rsidRPr="00580BFE" w:rsidRDefault="00580BFE" w:rsidP="0018490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Electronic</w:t>
            </w:r>
            <w:r w:rsidR="005B311F">
              <w:t xml:space="preserve"> </w:t>
            </w:r>
            <w:r w:rsidR="00184900">
              <w:t xml:space="preserve"> (paper allowed)</w:t>
            </w:r>
          </w:p>
        </w:tc>
        <w:tc>
          <w:tcPr>
            <w:tcW w:w="1052" w:type="dxa"/>
          </w:tcPr>
          <w:p w:rsidR="00580BFE" w:rsidRPr="00580BFE" w:rsidRDefault="00580BFE" w:rsidP="0018490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Electronic</w:t>
            </w:r>
            <w:r w:rsidR="00184900">
              <w:t xml:space="preserve"> </w:t>
            </w:r>
            <w:r w:rsidR="005B311F">
              <w:t xml:space="preserve"> </w:t>
            </w:r>
            <w:r w:rsidR="00184900">
              <w:t>(</w:t>
            </w:r>
            <w:r w:rsidR="005B311F">
              <w:t>paper</w:t>
            </w:r>
            <w:r w:rsidR="00184900">
              <w:t xml:space="preserve"> allowed</w:t>
            </w:r>
            <w:r w:rsidR="005B311F">
              <w:t>)</w:t>
            </w:r>
          </w:p>
        </w:tc>
        <w:tc>
          <w:tcPr>
            <w:tcW w:w="664"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 xml:space="preserve"> N/A</w:t>
            </w:r>
          </w:p>
        </w:tc>
        <w:tc>
          <w:tcPr>
            <w:tcW w:w="665"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665"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r>
      <w:tr w:rsidR="00053BE9" w:rsidRPr="00580BFE" w:rsidTr="00184900">
        <w:tc>
          <w:tcPr>
            <w:tcW w:w="1221"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Where stored?</w:t>
            </w:r>
          </w:p>
        </w:tc>
        <w:tc>
          <w:tcPr>
            <w:tcW w:w="1052" w:type="dxa"/>
          </w:tcPr>
          <w:p w:rsidR="00580BFE" w:rsidRPr="00580BFE" w:rsidRDefault="00F6307A"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EPA</w:t>
            </w:r>
            <w:r w:rsidRPr="00F6307A">
              <w:t xml:space="preserve"> servers</w:t>
            </w:r>
          </w:p>
        </w:tc>
        <w:tc>
          <w:tcPr>
            <w:tcW w:w="1052" w:type="dxa"/>
          </w:tcPr>
          <w:p w:rsidR="00580BFE" w:rsidRPr="00580BFE" w:rsidRDefault="00855D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EPA’s </w:t>
            </w:r>
            <w:r w:rsidR="00975601">
              <w:t>IBIS system</w:t>
            </w:r>
          </w:p>
        </w:tc>
        <w:tc>
          <w:tcPr>
            <w:tcW w:w="1052" w:type="dxa"/>
          </w:tcPr>
          <w:p w:rsidR="00580BFE" w:rsidRPr="00172789" w:rsidRDefault="007B6BB3"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highlight w:val="yellow"/>
              </w:rPr>
            </w:pPr>
            <w:r w:rsidRPr="007B6BB3">
              <w:t>EPA servers</w:t>
            </w:r>
          </w:p>
        </w:tc>
        <w:tc>
          <w:tcPr>
            <w:tcW w:w="1052" w:type="dxa"/>
          </w:tcPr>
          <w:p w:rsidR="00580BFE" w:rsidRPr="00580BFE" w:rsidRDefault="0018490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Industry Licensing System</w:t>
            </w:r>
          </w:p>
        </w:tc>
        <w:tc>
          <w:tcPr>
            <w:tcW w:w="1052" w:type="dxa"/>
          </w:tcPr>
          <w:p w:rsidR="00580BFE" w:rsidRPr="00580BFE" w:rsidRDefault="007B6BB3"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EPA servers</w:t>
            </w:r>
          </w:p>
        </w:tc>
        <w:tc>
          <w:tcPr>
            <w:tcW w:w="664" w:type="dxa"/>
          </w:tcPr>
          <w:p w:rsidR="00580BFE" w:rsidRPr="00580BFE" w:rsidRDefault="00B71FB3"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665" w:type="dxa"/>
          </w:tcPr>
          <w:p w:rsidR="00580BFE" w:rsidRPr="00580BFE" w:rsidRDefault="00B71FB3"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665" w:type="dxa"/>
          </w:tcPr>
          <w:p w:rsidR="00580BFE" w:rsidRPr="00580BFE" w:rsidRDefault="00B71FB3"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r>
      <w:tr w:rsidR="00053BE9" w:rsidRPr="00580BFE" w:rsidTr="00184900">
        <w:tc>
          <w:tcPr>
            <w:tcW w:w="1221" w:type="dxa"/>
          </w:tcPr>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Data management technology</w:t>
            </w:r>
          </w:p>
        </w:tc>
        <w:tc>
          <w:tcPr>
            <w:tcW w:w="1052" w:type="dxa"/>
          </w:tcPr>
          <w:p w:rsidR="00580BFE" w:rsidRPr="00580BFE" w:rsidRDefault="00AF0A62"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Microsoft</w:t>
            </w:r>
            <w:r w:rsidR="00674860">
              <w:t xml:space="preserve"> </w:t>
            </w:r>
            <w:r w:rsidR="00F6307A" w:rsidRPr="00F6307A">
              <w:t>SQL database</w:t>
            </w:r>
          </w:p>
        </w:tc>
        <w:tc>
          <w:tcPr>
            <w:tcW w:w="1052" w:type="dxa"/>
          </w:tcPr>
          <w:p w:rsidR="00580BFE" w:rsidRPr="00580BFE" w:rsidRDefault="00975601"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SAP business warehouse</w:t>
            </w:r>
          </w:p>
        </w:tc>
        <w:tc>
          <w:tcPr>
            <w:tcW w:w="1052" w:type="dxa"/>
          </w:tcPr>
          <w:p w:rsidR="00580BFE" w:rsidRPr="00172789" w:rsidRDefault="00586EB9"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highlight w:val="yellow"/>
              </w:rPr>
            </w:pPr>
            <w:r>
              <w:t>Oracle database</w:t>
            </w:r>
          </w:p>
        </w:tc>
        <w:tc>
          <w:tcPr>
            <w:tcW w:w="1052" w:type="dxa"/>
          </w:tcPr>
          <w:p w:rsidR="00580BFE" w:rsidRPr="00580BFE" w:rsidRDefault="00674860"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Oracle database (custom)</w:t>
            </w:r>
          </w:p>
        </w:tc>
        <w:tc>
          <w:tcPr>
            <w:tcW w:w="1052" w:type="dxa"/>
          </w:tcPr>
          <w:p w:rsidR="00580BFE" w:rsidRPr="00580BFE" w:rsidRDefault="00AF0A62"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Microsoft </w:t>
            </w:r>
            <w:r w:rsidRPr="00F6307A">
              <w:t>SQL database</w:t>
            </w:r>
          </w:p>
        </w:tc>
        <w:tc>
          <w:tcPr>
            <w:tcW w:w="664" w:type="dxa"/>
          </w:tcPr>
          <w:p w:rsidR="00580BFE" w:rsidRPr="00580BFE" w:rsidRDefault="00B71FB3"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665" w:type="dxa"/>
          </w:tcPr>
          <w:p w:rsidR="00580BFE" w:rsidRPr="00580BFE" w:rsidRDefault="00B71FB3"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665" w:type="dxa"/>
          </w:tcPr>
          <w:p w:rsidR="00580BFE" w:rsidRPr="00580BFE" w:rsidRDefault="00B71FB3"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r>
      <w:tr w:rsidR="0039341B" w:rsidRPr="00580BFE" w:rsidTr="00184900">
        <w:tc>
          <w:tcPr>
            <w:tcW w:w="1221" w:type="dxa"/>
          </w:tcPr>
          <w:p w:rsidR="0039341B" w:rsidRPr="00580BFE" w:rsidRDefault="0039341B" w:rsidP="00A061F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Data quality</w:t>
            </w:r>
            <w:r w:rsidR="003D2BBD">
              <w:t xml:space="preserve"> (</w:t>
            </w:r>
            <w:r w:rsidR="00A061F6" w:rsidRPr="00580BFE">
              <w:t>1-5</w:t>
            </w:r>
            <w:r w:rsidR="00A061F6">
              <w:t>, self-assessed</w:t>
            </w:r>
            <w:r w:rsidRPr="00580BFE">
              <w:t>)</w:t>
            </w:r>
          </w:p>
        </w:tc>
        <w:tc>
          <w:tcPr>
            <w:tcW w:w="1052"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4+</w:t>
            </w:r>
          </w:p>
        </w:tc>
        <w:tc>
          <w:tcPr>
            <w:tcW w:w="1052"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4   (Paper:&lt;4)</w:t>
            </w:r>
          </w:p>
        </w:tc>
        <w:tc>
          <w:tcPr>
            <w:tcW w:w="1052" w:type="dxa"/>
          </w:tcPr>
          <w:p w:rsidR="0039341B" w:rsidRPr="00580BFE" w:rsidRDefault="00586EB9"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3</w:t>
            </w:r>
          </w:p>
        </w:tc>
        <w:tc>
          <w:tcPr>
            <w:tcW w:w="1052" w:type="dxa"/>
          </w:tcPr>
          <w:p w:rsidR="0039341B" w:rsidRPr="00580BFE" w:rsidRDefault="0043045C"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4</w:t>
            </w:r>
          </w:p>
        </w:tc>
        <w:tc>
          <w:tcPr>
            <w:tcW w:w="1052"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4+</w:t>
            </w:r>
          </w:p>
        </w:tc>
        <w:tc>
          <w:tcPr>
            <w:tcW w:w="664"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665"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665"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r>
      <w:tr w:rsidR="0039341B" w:rsidRPr="00580BFE" w:rsidTr="00184900">
        <w:tc>
          <w:tcPr>
            <w:tcW w:w="1221"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Who maintains the system?</w:t>
            </w:r>
          </w:p>
        </w:tc>
        <w:tc>
          <w:tcPr>
            <w:tcW w:w="1052"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Internal</w:t>
            </w:r>
          </w:p>
        </w:tc>
        <w:tc>
          <w:tcPr>
            <w:tcW w:w="1052"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External</w:t>
            </w:r>
          </w:p>
        </w:tc>
        <w:tc>
          <w:tcPr>
            <w:tcW w:w="1052"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1052"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External</w:t>
            </w:r>
          </w:p>
        </w:tc>
        <w:tc>
          <w:tcPr>
            <w:tcW w:w="1052"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Internal</w:t>
            </w:r>
          </w:p>
        </w:tc>
        <w:tc>
          <w:tcPr>
            <w:tcW w:w="664"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665"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c>
          <w:tcPr>
            <w:tcW w:w="665" w:type="dxa"/>
          </w:tcPr>
          <w:p w:rsidR="0039341B" w:rsidRPr="00580BFE"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80BFE">
              <w:t>N/A</w:t>
            </w:r>
          </w:p>
        </w:tc>
      </w:tr>
    </w:tbl>
    <w:p w:rsidR="00580BFE" w:rsidRPr="00580BFE" w:rsidRDefault="00580BFE" w:rsidP="00580BFE">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p w:rsidR="00580BFE" w:rsidRPr="00580BFE" w:rsidRDefault="00580BFE" w:rsidP="00580BFE">
      <w:pPr>
        <w:pStyle w:val="Heading3"/>
      </w:pPr>
      <w:r w:rsidRPr="00580BFE">
        <w:t>Industry</w:t>
      </w:r>
    </w:p>
    <w:p w:rsidR="0039341B" w:rsidRDefault="00C17773" w:rsidP="00C17773">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A wide variety of </w:t>
      </w:r>
      <w:r w:rsidR="008E7185">
        <w:t>management information</w:t>
      </w:r>
      <w:r>
        <w:t xml:space="preserve"> systems are used in the waste industry. Many of the l</w:t>
      </w:r>
      <w:r w:rsidR="00580BFE" w:rsidRPr="00580BFE">
        <w:t xml:space="preserve">arge waste companies run </w:t>
      </w:r>
      <w:r w:rsidR="008E7185">
        <w:t>company-wide</w:t>
      </w:r>
      <w:r w:rsidR="00580BFE" w:rsidRPr="00580BFE">
        <w:t xml:space="preserve"> enterprise resource planning </w:t>
      </w:r>
      <w:r w:rsidR="008E7185">
        <w:t xml:space="preserve">(ERP) </w:t>
      </w:r>
      <w:r w:rsidR="00580BFE" w:rsidRPr="00580BFE">
        <w:t>systems</w:t>
      </w:r>
      <w:r w:rsidR="00E42481">
        <w:t xml:space="preserve"> from brand names</w:t>
      </w:r>
      <w:r w:rsidR="00580BFE" w:rsidRPr="00580BFE">
        <w:t xml:space="preserve"> such as SAP or </w:t>
      </w:r>
      <w:r w:rsidR="00E42481">
        <w:t>Microsoft Dynamics NAV/</w:t>
      </w:r>
      <w:proofErr w:type="spellStart"/>
      <w:r w:rsidR="00E42481">
        <w:t>Enwis</w:t>
      </w:r>
      <w:proofErr w:type="spellEnd"/>
      <w:r w:rsidR="00E42481">
        <w:t xml:space="preserve"> (</w:t>
      </w:r>
      <w:proofErr w:type="spellStart"/>
      <w:r w:rsidR="00E42481" w:rsidRPr="0092334B">
        <w:t>ENterprise</w:t>
      </w:r>
      <w:proofErr w:type="spellEnd"/>
      <w:r w:rsidR="00E42481" w:rsidRPr="0092334B">
        <w:t xml:space="preserve"> Waste Information Software</w:t>
      </w:r>
      <w:r w:rsidR="00B60720">
        <w:t>)</w:t>
      </w:r>
      <w:r w:rsidR="0039341B">
        <w:t xml:space="preserve">. </w:t>
      </w:r>
    </w:p>
    <w:p w:rsidR="0039341B" w:rsidRDefault="0039341B" w:rsidP="0039341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These are o</w:t>
      </w:r>
      <w:r w:rsidR="00C17773">
        <w:t>ften customised with bolt-</w:t>
      </w:r>
      <w:proofErr w:type="spellStart"/>
      <w:r w:rsidR="00C17773">
        <w:t>ons</w:t>
      </w:r>
      <w:proofErr w:type="spellEnd"/>
      <w:r w:rsidR="00C17773">
        <w:t xml:space="preserve"> or </w:t>
      </w:r>
      <w:r w:rsidR="00C17773" w:rsidRPr="0092334B">
        <w:t>supported by spreadsheets developed internally</w:t>
      </w:r>
      <w:r w:rsidR="00C17773">
        <w:t>.</w:t>
      </w:r>
      <w:r>
        <w:t xml:space="preserve"> For example, </w:t>
      </w:r>
      <w:proofErr w:type="spellStart"/>
      <w:r w:rsidRPr="0039341B">
        <w:t>Toxfree’s</w:t>
      </w:r>
      <w:proofErr w:type="spellEnd"/>
      <w:r w:rsidRPr="0039341B">
        <w:t xml:space="preserve"> </w:t>
      </w:r>
      <w:r>
        <w:t>has</w:t>
      </w:r>
      <w:r w:rsidRPr="0039341B">
        <w:t xml:space="preserve"> </w:t>
      </w:r>
      <w:r>
        <w:t>embedded its</w:t>
      </w:r>
      <w:r w:rsidRPr="0039341B">
        <w:t xml:space="preserve"> ow</w:t>
      </w:r>
      <w:r>
        <w:t>n data conversion rates built into its</w:t>
      </w:r>
      <w:r w:rsidRPr="0039341B">
        <w:t xml:space="preserve"> system based on a panel of</w:t>
      </w:r>
      <w:r>
        <w:t xml:space="preserve"> internal</w:t>
      </w:r>
      <w:r w:rsidRPr="0039341B">
        <w:t xml:space="preserve"> experts and experience in average weights of loads. </w:t>
      </w:r>
    </w:p>
    <w:p w:rsidR="00F15D0C" w:rsidRDefault="008E7185" w:rsidP="008E718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Transporters </w:t>
      </w:r>
      <w:r w:rsidR="00C17773">
        <w:t xml:space="preserve">use </w:t>
      </w:r>
      <w:r w:rsidR="00E42481" w:rsidRPr="006014D0">
        <w:t xml:space="preserve">bespoke </w:t>
      </w:r>
      <w:r w:rsidR="00E42481">
        <w:t>platforms such as Veo</w:t>
      </w:r>
      <w:r w:rsidR="00C17773">
        <w:t>lia’s paperless tracking system or adapt</w:t>
      </w:r>
      <w:r w:rsidR="00C17773" w:rsidRPr="00C17773">
        <w:t xml:space="preserve"> </w:t>
      </w:r>
      <w:r w:rsidR="00C17773">
        <w:t xml:space="preserve">freight management systems such as </w:t>
      </w:r>
      <w:proofErr w:type="spellStart"/>
      <w:r w:rsidR="00C17773">
        <w:t>ImageSoft</w:t>
      </w:r>
      <w:proofErr w:type="spellEnd"/>
      <w:r w:rsidR="00C17773">
        <w:t xml:space="preserve"> or </w:t>
      </w:r>
      <w:proofErr w:type="spellStart"/>
      <w:r w:rsidR="00C17773">
        <w:t>ViewPoint</w:t>
      </w:r>
      <w:proofErr w:type="spellEnd"/>
      <w:r w:rsidR="00C17773">
        <w:t xml:space="preserve">. </w:t>
      </w:r>
      <w:r w:rsidRPr="008E7185">
        <w:t>Facility tracking also uses internal ‘waste logs’ within billing systems or spreadsheets</w:t>
      </w:r>
      <w:r>
        <w:t xml:space="preserve">. </w:t>
      </w:r>
      <w:r w:rsidR="00C17773">
        <w:t>S</w:t>
      </w:r>
      <w:r w:rsidR="00F15D0C" w:rsidRPr="00580BFE">
        <w:t xml:space="preserve">maller companies </w:t>
      </w:r>
      <w:r w:rsidR="00F15D0C">
        <w:t>typically use spreadsheets</w:t>
      </w:r>
      <w:r w:rsidR="00C17773">
        <w:t xml:space="preserve"> to manage work flow.</w:t>
      </w:r>
    </w:p>
    <w:p w:rsidR="00580BFE" w:rsidRPr="00580BFE" w:rsidRDefault="00E42481" w:rsidP="008E7185">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T</w:t>
      </w:r>
      <w:r w:rsidR="00F15D0C">
        <w:t>he consensus</w:t>
      </w:r>
      <w:r w:rsidR="00C17773">
        <w:t xml:space="preserve"> </w:t>
      </w:r>
      <w:r w:rsidR="008E7185">
        <w:t xml:space="preserve">from the larger firms consulted </w:t>
      </w:r>
      <w:r w:rsidR="00F15D0C">
        <w:t xml:space="preserve">is that </w:t>
      </w:r>
      <w:r w:rsidR="00693B16">
        <w:t>amended</w:t>
      </w:r>
      <w:r w:rsidR="00F15D0C">
        <w:t xml:space="preserve"> </w:t>
      </w:r>
      <w:r w:rsidR="00F15D0C" w:rsidRPr="00580BFE">
        <w:t>data requirements</w:t>
      </w:r>
      <w:r w:rsidR="00F15D0C">
        <w:t xml:space="preserve"> for regulatory tracking schemes </w:t>
      </w:r>
      <w:r w:rsidR="008E7185">
        <w:t>should</w:t>
      </w:r>
      <w:r w:rsidR="00693B16">
        <w:t xml:space="preserve"> </w:t>
      </w:r>
      <w:r w:rsidR="00F15D0C">
        <w:t xml:space="preserve">be </w:t>
      </w:r>
      <w:r>
        <w:t xml:space="preserve">fairly easily </w:t>
      </w:r>
      <w:r w:rsidR="00F15D0C">
        <w:t xml:space="preserve">to </w:t>
      </w:r>
      <w:r>
        <w:t>accommodate</w:t>
      </w:r>
      <w:r w:rsidR="0083702D">
        <w:t xml:space="preserve">, </w:t>
      </w:r>
      <w:r w:rsidR="00F15D0C" w:rsidRPr="00F15D0C">
        <w:t xml:space="preserve">but major changes </w:t>
      </w:r>
      <w:r w:rsidR="00693B16">
        <w:t xml:space="preserve">to their systems </w:t>
      </w:r>
      <w:r w:rsidR="00693B16">
        <w:lastRenderedPageBreak/>
        <w:t>would be</w:t>
      </w:r>
      <w:r w:rsidR="00F15D0C" w:rsidRPr="00F15D0C">
        <w:t xml:space="preserve"> costly</w:t>
      </w:r>
      <w:r w:rsidR="00693B16">
        <w:t xml:space="preserve"> as they require supplier</w:t>
      </w:r>
      <w:r w:rsidR="0083702D">
        <w:t xml:space="preserve"> support.</w:t>
      </w:r>
      <w:r w:rsidR="0039341B">
        <w:t xml:space="preserve"> As noted, TPI took the initiative to invest in a systems update to meet the NSW EPA’s data quality requirements.</w:t>
      </w:r>
    </w:p>
    <w:p w:rsidR="00580BFE" w:rsidRPr="00580BFE" w:rsidRDefault="00580BFE" w:rsidP="00580BFE">
      <w:pPr>
        <w:pStyle w:val="Heading2"/>
      </w:pPr>
      <w:bookmarkStart w:id="70" w:name="_Toc421181746"/>
      <w:r w:rsidRPr="00580BFE">
        <w:t>Risks</w:t>
      </w:r>
      <w:r w:rsidR="00926B07">
        <w:t xml:space="preserve"> and opportunities</w:t>
      </w:r>
      <w:bookmarkEnd w:id="70"/>
    </w:p>
    <w:p w:rsidR="00D3424D" w:rsidRDefault="003229C7" w:rsidP="00D3424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As with any change there are risks and opportunities. Stakeholder feedback on risks did not coalesce around any particular issues, probably due the consultation focus on opening up discussion on the feasibility of the broad reform agenda rather than assessing specific data options. </w:t>
      </w:r>
    </w:p>
    <w:p w:rsidR="00D3424D" w:rsidRDefault="003229C7" w:rsidP="00D3424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Despite that, a range of risks can be distilled from the </w:t>
      </w:r>
      <w:r w:rsidR="00D3424D">
        <w:t>workshop discussions. The most obvious risk is f</w:t>
      </w:r>
      <w:r w:rsidR="00D3424D" w:rsidRPr="00580BFE">
        <w:t>ailure to get</w:t>
      </w:r>
      <w:r w:rsidR="00D3424D">
        <w:t xml:space="preserve"> buy-in from all jurisdictions to the idea of a nationally consistent tracking scheme for hazardous waste. </w:t>
      </w:r>
      <w:r w:rsidR="00C82013">
        <w:t>Winning</w:t>
      </w:r>
      <w:r w:rsidR="00D3424D">
        <w:t xml:space="preserve"> the case for reform and exploring least costs options are </w:t>
      </w:r>
      <w:r w:rsidR="00C82013">
        <w:t>critical in b</w:t>
      </w:r>
      <w:r w:rsidR="00D3424D">
        <w:t>uilding</w:t>
      </w:r>
      <w:r w:rsidR="00C82013">
        <w:t xml:space="preserve"> support for</w:t>
      </w:r>
      <w:r w:rsidR="00D3424D">
        <w:t xml:space="preserve"> </w:t>
      </w:r>
      <w:r w:rsidR="00C82013">
        <w:t>a national data solution.</w:t>
      </w:r>
    </w:p>
    <w:p w:rsidR="003229C7" w:rsidRDefault="00D3424D" w:rsidP="003229C7">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The other risks for consideration are:</w:t>
      </w:r>
    </w:p>
    <w:p w:rsidR="00D3424D" w:rsidRDefault="00D3424D" w:rsidP="00E135DE">
      <w:pPr>
        <w:pStyle w:val="ListParagraph"/>
        <w:numPr>
          <w:ilvl w:val="0"/>
          <w:numId w:val="5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Disagreement over the data/technology solution</w:t>
      </w:r>
      <w:r w:rsidRPr="00580BFE">
        <w:t xml:space="preserve"> </w:t>
      </w:r>
    </w:p>
    <w:p w:rsidR="00D3424D" w:rsidRDefault="00D3424D" w:rsidP="00E135DE">
      <w:pPr>
        <w:pStyle w:val="ListParagraph"/>
        <w:numPr>
          <w:ilvl w:val="0"/>
          <w:numId w:val="5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Failure to secure funding</w:t>
      </w:r>
    </w:p>
    <w:p w:rsidR="00D3424D" w:rsidRDefault="00D3424D" w:rsidP="00E135DE">
      <w:pPr>
        <w:pStyle w:val="ListParagraph"/>
        <w:numPr>
          <w:ilvl w:val="0"/>
          <w:numId w:val="5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 xml:space="preserve">A blow out in the delivery cost or timing of the data solution </w:t>
      </w:r>
    </w:p>
    <w:p w:rsidR="00D3424D" w:rsidRDefault="00D3424D" w:rsidP="00E135DE">
      <w:pPr>
        <w:pStyle w:val="ListParagraph"/>
        <w:numPr>
          <w:ilvl w:val="0"/>
          <w:numId w:val="5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Delay or disruption in making related changes, at jurisdictional and company level</w:t>
      </w:r>
    </w:p>
    <w:p w:rsidR="00580BFE" w:rsidRDefault="00D3424D" w:rsidP="00E135DE">
      <w:pPr>
        <w:pStyle w:val="ListParagraph"/>
        <w:numPr>
          <w:ilvl w:val="0"/>
          <w:numId w:val="5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T</w:t>
      </w:r>
      <w:r w:rsidR="00580BFE" w:rsidRPr="00580BFE">
        <w:t xml:space="preserve">oo much </w:t>
      </w:r>
      <w:r>
        <w:t xml:space="preserve">data </w:t>
      </w:r>
      <w:r w:rsidR="00580BFE" w:rsidRPr="00580BFE">
        <w:t xml:space="preserve">aggregation for national </w:t>
      </w:r>
      <w:r w:rsidR="003229C7">
        <w:t xml:space="preserve">reporting </w:t>
      </w:r>
      <w:r>
        <w:t>hides gaps/trends</w:t>
      </w:r>
    </w:p>
    <w:p w:rsidR="00D3424D" w:rsidRDefault="00D3424D" w:rsidP="00E135DE">
      <w:pPr>
        <w:pStyle w:val="ListParagraph"/>
        <w:numPr>
          <w:ilvl w:val="0"/>
          <w:numId w:val="5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Any reporting changes may confuse small operators and generators</w:t>
      </w:r>
      <w:r w:rsidR="00C82013">
        <w:t>.</w:t>
      </w:r>
    </w:p>
    <w:p w:rsidR="00712008" w:rsidRDefault="00D3424D" w:rsidP="00C82013">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Some of these ris</w:t>
      </w:r>
      <w:r w:rsidR="00C82013">
        <w:t>ks</w:t>
      </w:r>
      <w:r w:rsidR="00850ACD">
        <w:t xml:space="preserve"> and issues</w:t>
      </w:r>
      <w:r w:rsidR="00C82013">
        <w:t xml:space="preserve"> are briefly discussed </w:t>
      </w:r>
      <w:r w:rsidR="00850ACD">
        <w:t xml:space="preserve">in Section </w:t>
      </w:r>
      <w:r w:rsidR="00350C10">
        <w:fldChar w:fldCharType="begin"/>
      </w:r>
      <w:r w:rsidR="00850ACD">
        <w:instrText xml:space="preserve"> REF _Ref418235917 \r \h </w:instrText>
      </w:r>
      <w:r w:rsidR="00350C10">
        <w:fldChar w:fldCharType="separate"/>
      </w:r>
      <w:r w:rsidR="00261FA5">
        <w:t>4.5</w:t>
      </w:r>
      <w:r w:rsidR="00350C10">
        <w:fldChar w:fldCharType="end"/>
      </w:r>
      <w:r w:rsidR="00C82013">
        <w:t>. There are few organically arising opportunities given the ambivalence of m</w:t>
      </w:r>
      <w:r w:rsidR="00A4026F">
        <w:t>o</w:t>
      </w:r>
      <w:r w:rsidR="00C82013">
        <w:t>st jurisdictions about the need to include intrastate systems in a national data project. Among the synergies in timing that offer some scope for exploration are</w:t>
      </w:r>
      <w:r w:rsidR="00712008">
        <w:t>:</w:t>
      </w:r>
    </w:p>
    <w:p w:rsidR="00712008" w:rsidRDefault="00712008" w:rsidP="00F27C74">
      <w:pPr>
        <w:pStyle w:val="ListParagraph"/>
        <w:numPr>
          <w:ilvl w:val="0"/>
          <w:numId w:val="55"/>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Queensland’s review of hazardous waste regulations and intention to introduce an electronic tracking scheme</w:t>
      </w:r>
    </w:p>
    <w:p w:rsidR="00712008" w:rsidRDefault="00953A4C" w:rsidP="00F27C74">
      <w:pPr>
        <w:pStyle w:val="ListParagraph"/>
        <w:numPr>
          <w:ilvl w:val="0"/>
          <w:numId w:val="55"/>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T</w:t>
      </w:r>
      <w:r w:rsidR="00712008">
        <w:t xml:space="preserve">he growing NSW focus on tracking non-hazardous waste in the amendments to its waste regulations, and its planned migration to electronic </w:t>
      </w:r>
      <w:proofErr w:type="spellStart"/>
      <w:r w:rsidR="00712008">
        <w:t>licencing</w:t>
      </w:r>
      <w:proofErr w:type="spellEnd"/>
    </w:p>
    <w:p w:rsidR="00712008" w:rsidRDefault="00712008" w:rsidP="00F27C74">
      <w:pPr>
        <w:pStyle w:val="ListParagraph"/>
        <w:numPr>
          <w:ilvl w:val="0"/>
          <w:numId w:val="55"/>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South Australia’s adoption this year of an amended NSW electronic tracking scheme</w:t>
      </w:r>
    </w:p>
    <w:p w:rsidR="00C82013" w:rsidRDefault="00712008" w:rsidP="00F27C74">
      <w:pPr>
        <w:pStyle w:val="ListParagraph"/>
        <w:numPr>
          <w:ilvl w:val="0"/>
          <w:numId w:val="55"/>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Western Australia nearing completion of several-year overhaul of its tracking arrangements</w:t>
      </w:r>
    </w:p>
    <w:p w:rsidR="00FA5059" w:rsidRDefault="00953A4C" w:rsidP="00F27C74">
      <w:pPr>
        <w:pStyle w:val="ListParagraph"/>
        <w:numPr>
          <w:ilvl w:val="0"/>
          <w:numId w:val="55"/>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t>T</w:t>
      </w:r>
      <w:r w:rsidR="00712008">
        <w:t>he Northern Territory’s review of its waste regulations.</w:t>
      </w:r>
    </w:p>
    <w:p w:rsidR="00E42481" w:rsidRDefault="00FA5059" w:rsidP="00E42481">
      <w:pPr>
        <w:pStyle w:val="Heading2"/>
      </w:pPr>
      <w:bookmarkStart w:id="71" w:name="_Ref418235917"/>
      <w:bookmarkStart w:id="72" w:name="_Ref418235929"/>
      <w:bookmarkStart w:id="73" w:name="_Ref418235953"/>
      <w:bookmarkStart w:id="74" w:name="_Toc421181747"/>
      <w:r>
        <w:t>Other issues</w:t>
      </w:r>
      <w:bookmarkEnd w:id="71"/>
      <w:bookmarkEnd w:id="72"/>
      <w:bookmarkEnd w:id="73"/>
      <w:bookmarkEnd w:id="74"/>
    </w:p>
    <w:p w:rsidR="00E42481" w:rsidRDefault="00E42481" w:rsidP="00E42481">
      <w:pPr>
        <w:pStyle w:val="Heading3"/>
      </w:pPr>
      <w:r>
        <w:t xml:space="preserve">Thresholds </w:t>
      </w:r>
    </w:p>
    <w:p w:rsidR="00405E98" w:rsidRDefault="00E42481" w:rsidP="00F03183">
      <w:pPr>
        <w:pStyle w:val="ParaIndent"/>
      </w:pPr>
      <w:r>
        <w:t xml:space="preserve">There is inconsistent application of thresholds </w:t>
      </w:r>
      <w:r w:rsidR="00405E98">
        <w:t>at which tracking schemes apply, making it potentially problematic when seeking to move small loads of items such as batteries across borders.</w:t>
      </w:r>
    </w:p>
    <w:p w:rsidR="0039341B" w:rsidRDefault="00E42481" w:rsidP="00F03183">
      <w:pPr>
        <w:pStyle w:val="ParaIndent"/>
      </w:pPr>
      <w:r>
        <w:t xml:space="preserve">In Queensland tracking </w:t>
      </w:r>
      <w:r w:rsidR="00405E98">
        <w:t>applies to</w:t>
      </w:r>
      <w:r>
        <w:t xml:space="preserve"> </w:t>
      </w:r>
      <w:r w:rsidR="00F03183">
        <w:t xml:space="preserve">hazardous waste </w:t>
      </w:r>
      <w:r>
        <w:t>loads of 250kg</w:t>
      </w:r>
      <w:r w:rsidR="00405E98">
        <w:t xml:space="preserve"> or more</w:t>
      </w:r>
      <w:r>
        <w:t>, although smaller loads will be capt</w:t>
      </w:r>
      <w:r w:rsidR="00F03183">
        <w:t>ured in facility reporting data and the datasets</w:t>
      </w:r>
      <w:r>
        <w:t xml:space="preserve"> could potentially be</w:t>
      </w:r>
      <w:r w:rsidR="00F03183">
        <w:t xml:space="preserve"> reconciled if national requirements dictate. </w:t>
      </w:r>
    </w:p>
    <w:p w:rsidR="00B83CE9" w:rsidRDefault="00F03183" w:rsidP="00B83CE9">
      <w:pPr>
        <w:pStyle w:val="ParaIndent"/>
      </w:pPr>
      <w:r>
        <w:t>The threshold in Western Australia is 200k</w:t>
      </w:r>
      <w:r w:rsidR="0039341B">
        <w:t xml:space="preserve">g or 200 litres of liquid waste, </w:t>
      </w:r>
      <w:r w:rsidR="00405E98">
        <w:t>although</w:t>
      </w:r>
      <w:r w:rsidR="0039341B">
        <w:t xml:space="preserve"> this </w:t>
      </w:r>
      <w:r w:rsidR="0039341B" w:rsidRPr="0039341B">
        <w:t>on</w:t>
      </w:r>
      <w:r w:rsidR="0039341B">
        <w:t>ly applies to the tra</w:t>
      </w:r>
      <w:r w:rsidR="009C53EB">
        <w:t>nsporter. All i</w:t>
      </w:r>
      <w:r w:rsidR="0039341B" w:rsidRPr="0039341B">
        <w:t xml:space="preserve">ndividual waste holders are required to use a </w:t>
      </w:r>
      <w:proofErr w:type="spellStart"/>
      <w:r w:rsidR="0039341B" w:rsidRPr="0039341B">
        <w:t>licenced</w:t>
      </w:r>
      <w:proofErr w:type="spellEnd"/>
      <w:r w:rsidR="0039341B" w:rsidRPr="0039341B">
        <w:t xml:space="preserve"> transporter</w:t>
      </w:r>
      <w:r w:rsidR="009C53EB">
        <w:t>,</w:t>
      </w:r>
      <w:r w:rsidR="0039341B" w:rsidRPr="0039341B">
        <w:t xml:space="preserve"> so they are captured under the legislation even with smaller quantities of waste. The transporter is picked up under the threshold if they are doing a ‘run’ that takes their load </w:t>
      </w:r>
      <w:r w:rsidR="0039341B">
        <w:t>over the 200</w:t>
      </w:r>
      <w:r w:rsidR="0039341B" w:rsidRPr="0039341B">
        <w:t>kg</w:t>
      </w:r>
      <w:r w:rsidR="0039341B">
        <w:t xml:space="preserve">/litre threshold, which the industry sees as an appropriate level given </w:t>
      </w:r>
      <w:r w:rsidR="00B83CE9">
        <w:t>it would be very rare for loads to be less than that.</w:t>
      </w:r>
    </w:p>
    <w:p w:rsidR="007F020A" w:rsidRDefault="00544E07" w:rsidP="00951647">
      <w:pPr>
        <w:pStyle w:val="ParaIndent"/>
      </w:pPr>
      <w:r>
        <w:lastRenderedPageBreak/>
        <w:t>Some states stipulate loads must be</w:t>
      </w:r>
      <w:r w:rsidR="00405E98">
        <w:t xml:space="preserve"> commercial</w:t>
      </w:r>
      <w:r>
        <w:t xml:space="preserve">. </w:t>
      </w:r>
      <w:r w:rsidR="00F03183">
        <w:t xml:space="preserve">NSW applies a </w:t>
      </w:r>
      <w:r w:rsidR="007F020A">
        <w:t>“</w:t>
      </w:r>
      <w:r w:rsidR="00F03183">
        <w:t>common sense</w:t>
      </w:r>
      <w:r w:rsidR="007F020A">
        <w:t>”</w:t>
      </w:r>
      <w:r w:rsidR="00F03183">
        <w:t xml:space="preserve"> test to what dictates a commercial</w:t>
      </w:r>
      <w:r>
        <w:t xml:space="preserve"> sized</w:t>
      </w:r>
      <w:r w:rsidR="00F03183">
        <w:t xml:space="preserve"> (and therefore </w:t>
      </w:r>
      <w:proofErr w:type="spellStart"/>
      <w:r w:rsidR="00F03183">
        <w:t>trackable</w:t>
      </w:r>
      <w:proofErr w:type="spellEnd"/>
      <w:r w:rsidR="00F03183">
        <w:t>) load, although this would seem hard to defi</w:t>
      </w:r>
      <w:r>
        <w:t>ne if it came to a prosecution</w:t>
      </w:r>
      <w:r w:rsidR="007F020A">
        <w:t>. South Australia has no minimum load and no commercial-only filter.</w:t>
      </w:r>
    </w:p>
    <w:p w:rsidR="00951647" w:rsidRDefault="00951647" w:rsidP="00951647">
      <w:pPr>
        <w:pStyle w:val="ParaIndent"/>
      </w:pPr>
      <w:r>
        <w:t xml:space="preserve">Another challenge of tracking small, ad hoc loads from retail premises is the contractor’s administration cost can outweigh the revenue from the collection. </w:t>
      </w:r>
      <w:r w:rsidR="004E1E2B" w:rsidRPr="00B2074C">
        <w:t>M</w:t>
      </w:r>
      <w:r w:rsidR="004E1E2B">
        <w:t>any</w:t>
      </w:r>
      <w:r w:rsidR="004E1E2B" w:rsidRPr="00B2074C">
        <w:t xml:space="preserve"> participants were</w:t>
      </w:r>
      <w:r w:rsidR="004E1E2B">
        <w:t xml:space="preserve"> </w:t>
      </w:r>
      <w:r w:rsidR="004E1E2B" w:rsidRPr="00B2074C">
        <w:t xml:space="preserve">open to looking at national thresholds that may make the system more user friendly for </w:t>
      </w:r>
      <w:r>
        <w:t xml:space="preserve">contractors serving </w:t>
      </w:r>
      <w:r w:rsidR="004E1E2B" w:rsidRPr="00B2074C">
        <w:t>small generators</w:t>
      </w:r>
      <w:r>
        <w:t>.</w:t>
      </w:r>
    </w:p>
    <w:p w:rsidR="00E42481" w:rsidRDefault="00F03183" w:rsidP="00084DBE">
      <w:pPr>
        <w:pStyle w:val="ParaIndent"/>
      </w:pPr>
      <w:r>
        <w:t xml:space="preserve">One of the challenges </w:t>
      </w:r>
      <w:r w:rsidR="004E1E2B">
        <w:t xml:space="preserve">with thresholds </w:t>
      </w:r>
      <w:r>
        <w:t>is that a</w:t>
      </w:r>
      <w:r w:rsidR="004E1E2B">
        <w:t xml:space="preserve"> benchmark figure</w:t>
      </w:r>
      <w:r>
        <w:t xml:space="preserve"> does not take into account the toxicity of the waste and so treats cyanide </w:t>
      </w:r>
      <w:r w:rsidR="00084DBE">
        <w:t>the same as oily wastewater. An</w:t>
      </w:r>
      <w:r>
        <w:t xml:space="preserve"> option is to explore application of risk-based thresholds </w:t>
      </w:r>
      <w:r w:rsidR="00090338">
        <w:t>similar to</w:t>
      </w:r>
      <w:r>
        <w:t xml:space="preserve"> Victoria’s A, B and C categories, although the framework would need to </w:t>
      </w:r>
      <w:r w:rsidR="00951647">
        <w:t xml:space="preserve">be able to </w:t>
      </w:r>
      <w:r>
        <w:t>account for amalgamated loads</w:t>
      </w:r>
      <w:r w:rsidR="004E1E2B">
        <w:t xml:space="preserve"> of different wastes.</w:t>
      </w:r>
    </w:p>
    <w:p w:rsidR="00850ACD" w:rsidRDefault="00850ACD" w:rsidP="00850ACD">
      <w:pPr>
        <w:pStyle w:val="Caption"/>
        <w:ind w:left="567" w:firstLine="567"/>
      </w:pPr>
      <w:bookmarkStart w:id="75" w:name="_Toc421181777"/>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4</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16</w:t>
      </w:r>
      <w:r w:rsidR="00350C10">
        <w:fldChar w:fldCharType="end"/>
      </w:r>
      <w:r w:rsidRPr="006226B1">
        <w:tab/>
      </w:r>
      <w:proofErr w:type="gramStart"/>
      <w:r w:rsidR="00C10BB8">
        <w:t>What</w:t>
      </w:r>
      <w:proofErr w:type="gramEnd"/>
      <w:r w:rsidR="00C10BB8">
        <w:t xml:space="preserve"> thresholds do</w:t>
      </w:r>
      <w:r>
        <w:t xml:space="preserve"> jurisdictions apply to their tracking schemes</w:t>
      </w:r>
      <w:r w:rsidR="00C10BB8">
        <w:t>?</w:t>
      </w:r>
      <w:bookmarkEnd w:id="75"/>
    </w:p>
    <w:tbl>
      <w:tblPr>
        <w:tblStyle w:val="HyderTableStyle"/>
        <w:tblW w:w="0" w:type="auto"/>
        <w:tblInd w:w="1134" w:type="dxa"/>
        <w:tblLook w:val="04A0"/>
      </w:tblPr>
      <w:tblGrid>
        <w:gridCol w:w="4336"/>
        <w:gridCol w:w="4339"/>
      </w:tblGrid>
      <w:tr w:rsidR="00850ACD" w:rsidTr="00850ACD">
        <w:trPr>
          <w:cnfStyle w:val="100000000000"/>
        </w:trPr>
        <w:tc>
          <w:tcPr>
            <w:tcW w:w="4804" w:type="dxa"/>
          </w:tcPr>
          <w:p w:rsidR="00850ACD" w:rsidRPr="00850ACD" w:rsidRDefault="00850ACD" w:rsidP="00084DBE">
            <w:pPr>
              <w:pStyle w:val="ParaIndent"/>
              <w:ind w:left="0"/>
              <w:rPr>
                <w:b/>
              </w:rPr>
            </w:pPr>
            <w:r w:rsidRPr="00850ACD">
              <w:rPr>
                <w:b/>
              </w:rPr>
              <w:t>Jurisdiction</w:t>
            </w:r>
          </w:p>
        </w:tc>
        <w:tc>
          <w:tcPr>
            <w:tcW w:w="4805" w:type="dxa"/>
          </w:tcPr>
          <w:p w:rsidR="00850ACD" w:rsidRPr="00850ACD" w:rsidRDefault="00850ACD" w:rsidP="00084DBE">
            <w:pPr>
              <w:pStyle w:val="ParaIndent"/>
              <w:ind w:left="0"/>
              <w:rPr>
                <w:b/>
              </w:rPr>
            </w:pPr>
            <w:r w:rsidRPr="00850ACD">
              <w:rPr>
                <w:b/>
              </w:rPr>
              <w:t>Tracking threshold</w:t>
            </w:r>
          </w:p>
        </w:tc>
      </w:tr>
      <w:tr w:rsidR="00850ACD" w:rsidTr="00850ACD">
        <w:tc>
          <w:tcPr>
            <w:tcW w:w="4804" w:type="dxa"/>
          </w:tcPr>
          <w:p w:rsidR="00850ACD" w:rsidRDefault="00850ACD" w:rsidP="00084DBE">
            <w:pPr>
              <w:pStyle w:val="ParaIndent"/>
              <w:ind w:left="0"/>
            </w:pPr>
            <w:r>
              <w:t>NSW</w:t>
            </w:r>
          </w:p>
        </w:tc>
        <w:tc>
          <w:tcPr>
            <w:tcW w:w="4805" w:type="dxa"/>
          </w:tcPr>
          <w:p w:rsidR="00850ACD" w:rsidRDefault="00850ACD" w:rsidP="00084DBE">
            <w:pPr>
              <w:pStyle w:val="ParaIndent"/>
              <w:ind w:left="0"/>
            </w:pPr>
            <w:r>
              <w:t>Common sense test of a “commercial” load</w:t>
            </w:r>
          </w:p>
        </w:tc>
      </w:tr>
      <w:tr w:rsidR="00850ACD" w:rsidTr="00850ACD">
        <w:tc>
          <w:tcPr>
            <w:tcW w:w="4804" w:type="dxa"/>
          </w:tcPr>
          <w:p w:rsidR="00850ACD" w:rsidRDefault="00850ACD" w:rsidP="00084DBE">
            <w:pPr>
              <w:pStyle w:val="ParaIndent"/>
              <w:ind w:left="0"/>
            </w:pPr>
            <w:r>
              <w:t>Victoria</w:t>
            </w:r>
          </w:p>
        </w:tc>
        <w:tc>
          <w:tcPr>
            <w:tcW w:w="4805" w:type="dxa"/>
          </w:tcPr>
          <w:p w:rsidR="00850ACD" w:rsidRDefault="009F30B1" w:rsidP="009C53EB">
            <w:pPr>
              <w:pStyle w:val="ParaIndent"/>
              <w:ind w:left="0"/>
            </w:pPr>
            <w:r>
              <w:t>50 kg</w:t>
            </w:r>
            <w:r w:rsidR="009C53EB">
              <w:t xml:space="preserve"> or 50 litres</w:t>
            </w:r>
          </w:p>
        </w:tc>
      </w:tr>
      <w:tr w:rsidR="00850ACD" w:rsidTr="00850ACD">
        <w:tc>
          <w:tcPr>
            <w:tcW w:w="4804" w:type="dxa"/>
          </w:tcPr>
          <w:p w:rsidR="00850ACD" w:rsidRDefault="00850ACD" w:rsidP="00084DBE">
            <w:pPr>
              <w:pStyle w:val="ParaIndent"/>
              <w:ind w:left="0"/>
            </w:pPr>
            <w:r>
              <w:t>Queensland</w:t>
            </w:r>
          </w:p>
        </w:tc>
        <w:tc>
          <w:tcPr>
            <w:tcW w:w="4805" w:type="dxa"/>
          </w:tcPr>
          <w:p w:rsidR="00850ACD" w:rsidRDefault="00850ACD" w:rsidP="00084DBE">
            <w:pPr>
              <w:pStyle w:val="ParaIndent"/>
              <w:ind w:left="0"/>
            </w:pPr>
            <w:r>
              <w:t>250 kg</w:t>
            </w:r>
          </w:p>
        </w:tc>
      </w:tr>
      <w:tr w:rsidR="00850ACD" w:rsidTr="00850ACD">
        <w:tc>
          <w:tcPr>
            <w:tcW w:w="4804" w:type="dxa"/>
          </w:tcPr>
          <w:p w:rsidR="00850ACD" w:rsidRDefault="00850ACD" w:rsidP="00084DBE">
            <w:pPr>
              <w:pStyle w:val="ParaIndent"/>
              <w:ind w:left="0"/>
            </w:pPr>
            <w:r>
              <w:t>Western Australia</w:t>
            </w:r>
          </w:p>
        </w:tc>
        <w:tc>
          <w:tcPr>
            <w:tcW w:w="4805" w:type="dxa"/>
          </w:tcPr>
          <w:p w:rsidR="00850ACD" w:rsidRDefault="00850ACD" w:rsidP="00084DBE">
            <w:pPr>
              <w:pStyle w:val="ParaIndent"/>
              <w:ind w:left="0"/>
            </w:pPr>
            <w:r>
              <w:t>200 kg or 200 litres</w:t>
            </w:r>
          </w:p>
        </w:tc>
      </w:tr>
      <w:tr w:rsidR="00850ACD" w:rsidTr="00850ACD">
        <w:tc>
          <w:tcPr>
            <w:tcW w:w="4804" w:type="dxa"/>
          </w:tcPr>
          <w:p w:rsidR="00850ACD" w:rsidRDefault="00850ACD" w:rsidP="00084DBE">
            <w:pPr>
              <w:pStyle w:val="ParaIndent"/>
              <w:ind w:left="0"/>
            </w:pPr>
            <w:r>
              <w:t>South Australia</w:t>
            </w:r>
          </w:p>
        </w:tc>
        <w:tc>
          <w:tcPr>
            <w:tcW w:w="4805" w:type="dxa"/>
          </w:tcPr>
          <w:p w:rsidR="00850ACD" w:rsidRDefault="00DD4BBF" w:rsidP="00084DBE">
            <w:pPr>
              <w:pStyle w:val="ParaIndent"/>
              <w:ind w:left="0"/>
            </w:pPr>
            <w:r>
              <w:t>No minimum</w:t>
            </w:r>
          </w:p>
        </w:tc>
      </w:tr>
      <w:tr w:rsidR="00850ACD" w:rsidTr="00850ACD">
        <w:tc>
          <w:tcPr>
            <w:tcW w:w="4804" w:type="dxa"/>
          </w:tcPr>
          <w:p w:rsidR="00850ACD" w:rsidRDefault="00850ACD" w:rsidP="00084DBE">
            <w:pPr>
              <w:pStyle w:val="ParaIndent"/>
              <w:ind w:left="0"/>
            </w:pPr>
            <w:r>
              <w:t>NT</w:t>
            </w:r>
          </w:p>
        </w:tc>
        <w:tc>
          <w:tcPr>
            <w:tcW w:w="4805" w:type="dxa"/>
          </w:tcPr>
          <w:p w:rsidR="00850ACD" w:rsidRDefault="001366E0" w:rsidP="00084DBE">
            <w:pPr>
              <w:pStyle w:val="ParaIndent"/>
              <w:ind w:left="0"/>
            </w:pPr>
            <w:r>
              <w:t>N/a</w:t>
            </w:r>
          </w:p>
        </w:tc>
      </w:tr>
      <w:tr w:rsidR="00850ACD" w:rsidTr="00850ACD">
        <w:tc>
          <w:tcPr>
            <w:tcW w:w="4804" w:type="dxa"/>
          </w:tcPr>
          <w:p w:rsidR="00850ACD" w:rsidRDefault="00850ACD" w:rsidP="00084DBE">
            <w:pPr>
              <w:pStyle w:val="ParaIndent"/>
              <w:ind w:left="0"/>
            </w:pPr>
            <w:r>
              <w:t>ACT</w:t>
            </w:r>
          </w:p>
        </w:tc>
        <w:tc>
          <w:tcPr>
            <w:tcW w:w="4805" w:type="dxa"/>
          </w:tcPr>
          <w:p w:rsidR="00850ACD" w:rsidRDefault="001366E0" w:rsidP="00084DBE">
            <w:pPr>
              <w:pStyle w:val="ParaIndent"/>
              <w:ind w:left="0"/>
            </w:pPr>
            <w:r>
              <w:t>N/a</w:t>
            </w:r>
          </w:p>
        </w:tc>
      </w:tr>
    </w:tbl>
    <w:p w:rsidR="004E1E2B" w:rsidRDefault="004E1E2B" w:rsidP="004E1E2B">
      <w:pPr>
        <w:pStyle w:val="Heading3"/>
      </w:pPr>
      <w:r>
        <w:t>Double counting</w:t>
      </w:r>
    </w:p>
    <w:p w:rsidR="00172284" w:rsidRDefault="004E1E2B" w:rsidP="00172284">
      <w:pPr>
        <w:pStyle w:val="ParaIndent"/>
      </w:pPr>
      <w:r>
        <w:t xml:space="preserve">Frequently raised but never resolved was the issue of double counting, where </w:t>
      </w:r>
      <w:r w:rsidR="0053445D">
        <w:t>hazardous waste</w:t>
      </w:r>
      <w:r w:rsidR="00F31704">
        <w:t xml:space="preserve"> that is aggregated in a transfer station or the residual from a treatment process enters the tracking system for a second </w:t>
      </w:r>
      <w:proofErr w:type="gramStart"/>
      <w:r w:rsidR="00F31704">
        <w:t>time.</w:t>
      </w:r>
      <w:proofErr w:type="gramEnd"/>
      <w:r w:rsidR="00F31704">
        <w:t xml:space="preserve"> As a result it is counted again, which distorts generation figures.</w:t>
      </w:r>
      <w:r w:rsidR="00172284">
        <w:t xml:space="preserve"> </w:t>
      </w:r>
      <w:r w:rsidR="00F31704">
        <w:t xml:space="preserve">It is a common issue for all jurisdictions, although </w:t>
      </w:r>
      <w:r>
        <w:t>Q</w:t>
      </w:r>
      <w:r w:rsidR="00F31704">
        <w:t>ueensland</w:t>
      </w:r>
      <w:r>
        <w:t xml:space="preserve"> </w:t>
      </w:r>
      <w:r w:rsidR="00F31704">
        <w:t>attempts to address it using</w:t>
      </w:r>
      <w:r>
        <w:t xml:space="preserve"> a ‘storage’ code for transfer stations</w:t>
      </w:r>
      <w:r w:rsidR="00172284">
        <w:t xml:space="preserve"> to indicate any waste moving through it has not reached its final destination.</w:t>
      </w:r>
    </w:p>
    <w:p w:rsidR="004E1E2B" w:rsidRDefault="00172284" w:rsidP="00172284">
      <w:pPr>
        <w:pStyle w:val="Heading3"/>
      </w:pPr>
      <w:r>
        <w:t xml:space="preserve">Approvals </w:t>
      </w:r>
      <w:r w:rsidR="009B0EAD">
        <w:t>timeframes</w:t>
      </w:r>
    </w:p>
    <w:p w:rsidR="00172284" w:rsidRDefault="00172284" w:rsidP="0073544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 xml:space="preserve">There is also some variation in approvals regimes, notably with </w:t>
      </w:r>
      <w:r w:rsidR="0073544D">
        <w:t>Victoria</w:t>
      </w:r>
      <w:r>
        <w:t>. Its</w:t>
      </w:r>
      <w:r w:rsidRPr="00580BFE">
        <w:t xml:space="preserve"> regulations</w:t>
      </w:r>
      <w:r>
        <w:t xml:space="preserve"> allow 20 business days to</w:t>
      </w:r>
      <w:r w:rsidRPr="00580BFE">
        <w:t xml:space="preserve"> approv</w:t>
      </w:r>
      <w:r>
        <w:t>e a</w:t>
      </w:r>
      <w:r w:rsidR="00436917">
        <w:t>n export</w:t>
      </w:r>
      <w:r>
        <w:t xml:space="preserve"> shipment</w:t>
      </w:r>
      <w:r w:rsidRPr="00580BFE">
        <w:t xml:space="preserve">, where </w:t>
      </w:r>
      <w:r w:rsidR="0073544D">
        <w:t xml:space="preserve">other jurisdictions </w:t>
      </w:r>
      <w:r w:rsidR="00436917">
        <w:t>apply the NE</w:t>
      </w:r>
      <w:r w:rsidR="008260C3">
        <w:t>PM-</w:t>
      </w:r>
      <w:r w:rsidR="00436917">
        <w:t>recommend</w:t>
      </w:r>
      <w:r w:rsidR="008260C3">
        <w:t xml:space="preserve">ed </w:t>
      </w:r>
      <w:r w:rsidRPr="00580BFE">
        <w:t>five days.</w:t>
      </w:r>
      <w:r>
        <w:t xml:space="preserve"> </w:t>
      </w:r>
      <w:r w:rsidR="00436917">
        <w:t xml:space="preserve">When the Victorian process is added to that of the receiving jurisdiction it can </w:t>
      </w:r>
      <w:r w:rsidR="00B85F9C">
        <w:t>take</w:t>
      </w:r>
      <w:r w:rsidR="0073544D">
        <w:t xml:space="preserve"> 25 </w:t>
      </w:r>
      <w:r w:rsidR="008260C3">
        <w:t xml:space="preserve">working </w:t>
      </w:r>
      <w:r w:rsidR="0073544D">
        <w:t>day</w:t>
      </w:r>
      <w:r w:rsidR="00B85F9C">
        <w:t>s to approve an application</w:t>
      </w:r>
      <w:r>
        <w:t xml:space="preserve">, </w:t>
      </w:r>
      <w:r w:rsidR="0073544D">
        <w:t>which has the potential to cause</w:t>
      </w:r>
      <w:r>
        <w:t xml:space="preserve"> </w:t>
      </w:r>
      <w:r w:rsidR="0073544D">
        <w:t xml:space="preserve">frustration for </w:t>
      </w:r>
      <w:r w:rsidR="00D408E5">
        <w:t>companies</w:t>
      </w:r>
      <w:r w:rsidR="00436917">
        <w:t xml:space="preserve"> exporting from Victoria</w:t>
      </w:r>
      <w:r w:rsidR="0073544D">
        <w:t>.</w:t>
      </w:r>
    </w:p>
    <w:p w:rsidR="00252E2F" w:rsidRDefault="00252E2F" w:rsidP="00252E2F">
      <w:pPr>
        <w:pStyle w:val="Heading3"/>
      </w:pPr>
      <w:r>
        <w:t>Problem wastes</w:t>
      </w:r>
    </w:p>
    <w:p w:rsidR="00172789" w:rsidRDefault="00252E2F" w:rsidP="00A55EA3">
      <w:pPr>
        <w:pStyle w:val="ParaIndent"/>
      </w:pPr>
      <w:r>
        <w:t xml:space="preserve">A number of waste streams were cited as particularly problematic. Concern was raised around export of scrap cars and tyres for recycling, in particular the potential abuse of the export codes </w:t>
      </w:r>
      <w:r>
        <w:lastRenderedPageBreak/>
        <w:t xml:space="preserve">by some operators incorrectly describing products as tyre crumb. Brine wastes from coal seam gas </w:t>
      </w:r>
      <w:r w:rsidR="000C30C3">
        <w:t xml:space="preserve">fields </w:t>
      </w:r>
      <w:r>
        <w:t>were cited in Queensland as a particular issue for that state.</w:t>
      </w:r>
    </w:p>
    <w:p w:rsidR="00E42481" w:rsidRDefault="00E42481" w:rsidP="00E42481">
      <w:pPr>
        <w:pStyle w:val="Heading3"/>
      </w:pPr>
      <w:r>
        <w:t>Who pays</w:t>
      </w:r>
      <w:r w:rsidR="0073544D">
        <w:t xml:space="preserve"> for change</w:t>
      </w:r>
      <w:r w:rsidR="00C221D0">
        <w:t>s</w:t>
      </w:r>
      <w:r>
        <w:t>?</w:t>
      </w:r>
    </w:p>
    <w:p w:rsidR="00580BFE" w:rsidRPr="00580BFE" w:rsidRDefault="0073544D" w:rsidP="00A52A83">
      <w:pPr>
        <w:pStyle w:val="ParaIndent"/>
      </w:pPr>
      <w:r>
        <w:t xml:space="preserve">A </w:t>
      </w:r>
      <w:r w:rsidR="00C221D0">
        <w:t>common question from</w:t>
      </w:r>
      <w:r>
        <w:t xml:space="preserve"> all state and territory governments</w:t>
      </w:r>
      <w:r w:rsidR="00C221D0">
        <w:t xml:space="preserve"> wa</w:t>
      </w:r>
      <w:r>
        <w:t xml:space="preserve">s </w:t>
      </w:r>
      <w:r w:rsidR="00C221D0">
        <w:t>around</w:t>
      </w:r>
      <w:r>
        <w:t xml:space="preserve"> </w:t>
      </w:r>
      <w:r w:rsidR="00C221D0">
        <w:t xml:space="preserve">the cost of changes and the availability of </w:t>
      </w:r>
      <w:r>
        <w:t xml:space="preserve">funding </w:t>
      </w:r>
      <w:r w:rsidR="00C221D0">
        <w:t xml:space="preserve">to adapt data or related systems. In particular, the issue of a full or partial financial contribution by the Federal Government was raised </w:t>
      </w:r>
      <w:r w:rsidR="006D4DB0">
        <w:t>in the context of</w:t>
      </w:r>
      <w:r w:rsidR="00C221D0">
        <w:t xml:space="preserve"> </w:t>
      </w:r>
      <w:r w:rsidR="006D4DB0">
        <w:t>a</w:t>
      </w:r>
      <w:r w:rsidR="00C221D0">
        <w:t xml:space="preserve"> national reform agenda.</w:t>
      </w:r>
    </w:p>
    <w:p w:rsidR="00580BFE" w:rsidRPr="00580BFE" w:rsidRDefault="00746186" w:rsidP="0074618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0" w:line="240" w:lineRule="auto"/>
      </w:pPr>
      <w:r>
        <w:br w:type="page"/>
      </w:r>
    </w:p>
    <w:p w:rsidR="00FE02C8" w:rsidRDefault="00FE02C8" w:rsidP="00FE02C8">
      <w:pPr>
        <w:pStyle w:val="Heading1"/>
      </w:pPr>
      <w:bookmarkStart w:id="76" w:name="_Ref418237405"/>
      <w:bookmarkStart w:id="77" w:name="_Toc421181748"/>
      <w:r>
        <w:lastRenderedPageBreak/>
        <w:t>O</w:t>
      </w:r>
      <w:r w:rsidRPr="00521CE0">
        <w:t>ptions</w:t>
      </w:r>
      <w:r>
        <w:t xml:space="preserve"> and recommendations</w:t>
      </w:r>
      <w:bookmarkEnd w:id="76"/>
      <w:bookmarkEnd w:id="77"/>
    </w:p>
    <w:p w:rsidR="00FE02C8" w:rsidRPr="00D00211" w:rsidRDefault="00D508D0" w:rsidP="00D00211">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r>
        <w:t>This section</w:t>
      </w:r>
      <w:r w:rsidR="00FE02C8">
        <w:t xml:space="preserve"> sets out the options and recommendations for addressing the DoE needs and objectives for </w:t>
      </w:r>
      <w:r w:rsidR="006B76BB">
        <w:t>improving</w:t>
      </w:r>
      <w:r w:rsidR="00E75FB8">
        <w:t xml:space="preserve"> </w:t>
      </w:r>
      <w:r w:rsidR="006B76BB">
        <w:t>the data around the generation and management of controlled</w:t>
      </w:r>
      <w:r w:rsidR="00E75FB8">
        <w:t xml:space="preserve"> waste.</w:t>
      </w:r>
      <w:r w:rsidR="00D00211">
        <w:t xml:space="preserve"> </w:t>
      </w:r>
      <w:r w:rsidR="00FE02C8">
        <w:t xml:space="preserve">The options need to address the </w:t>
      </w:r>
      <w:r w:rsidR="00D00211">
        <w:t xml:space="preserve">high level DoE objective to explore </w:t>
      </w:r>
      <w:r w:rsidR="00FE02C8">
        <w:t xml:space="preserve">a </w:t>
      </w:r>
      <w:r w:rsidR="00FE02C8">
        <w:rPr>
          <w:rFonts w:cs="Arial"/>
        </w:rPr>
        <w:t>n</w:t>
      </w:r>
      <w:r w:rsidR="00FE02C8" w:rsidRPr="00521CE0">
        <w:rPr>
          <w:rFonts w:cs="Arial"/>
        </w:rPr>
        <w:t>ational</w:t>
      </w:r>
      <w:r w:rsidR="00895CF5">
        <w:rPr>
          <w:rFonts w:cs="Arial"/>
        </w:rPr>
        <w:t>ly</w:t>
      </w:r>
      <w:r w:rsidR="00FE02C8" w:rsidRPr="00521CE0">
        <w:rPr>
          <w:rFonts w:cs="Arial"/>
        </w:rPr>
        <w:t xml:space="preserve"> consistent approach to tracking controlled waste in Australia</w:t>
      </w:r>
      <w:r w:rsidR="00FE02C8">
        <w:rPr>
          <w:rFonts w:cs="Arial"/>
        </w:rPr>
        <w:t xml:space="preserve"> that:</w:t>
      </w:r>
    </w:p>
    <w:p w:rsidR="00FE02C8" w:rsidRPr="00D00211" w:rsidRDefault="00FE02C8" w:rsidP="00112897">
      <w:pPr>
        <w:pStyle w:val="ListParagraph"/>
        <w:numPr>
          <w:ilvl w:val="0"/>
          <w:numId w:val="4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61" w:hanging="357"/>
        <w:rPr>
          <w:rFonts w:cs="Arial"/>
        </w:rPr>
      </w:pPr>
      <w:r w:rsidRPr="00D00211">
        <w:rPr>
          <w:rFonts w:cs="Arial"/>
        </w:rPr>
        <w:t>Fulfils reporting requirements – domestic and international</w:t>
      </w:r>
    </w:p>
    <w:p w:rsidR="00FE02C8" w:rsidRPr="00D00211" w:rsidRDefault="00FE02C8" w:rsidP="00112897">
      <w:pPr>
        <w:pStyle w:val="ListParagraph"/>
        <w:numPr>
          <w:ilvl w:val="0"/>
          <w:numId w:val="4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61" w:hanging="357"/>
        <w:rPr>
          <w:rFonts w:cs="Arial"/>
        </w:rPr>
      </w:pPr>
      <w:r w:rsidRPr="00D00211">
        <w:rPr>
          <w:rFonts w:cs="Arial"/>
        </w:rPr>
        <w:t>Drives towards better quality information based on timely, accurate and consistent data of known lineage</w:t>
      </w:r>
    </w:p>
    <w:p w:rsidR="00FE02C8" w:rsidRDefault="00FE02C8" w:rsidP="00112897">
      <w:pPr>
        <w:pStyle w:val="ListParagraph"/>
        <w:numPr>
          <w:ilvl w:val="0"/>
          <w:numId w:val="4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61" w:hanging="357"/>
        <w:rPr>
          <w:rFonts w:cs="Arial"/>
        </w:rPr>
      </w:pPr>
      <w:r w:rsidRPr="00D00211">
        <w:rPr>
          <w:rFonts w:cs="Arial"/>
        </w:rPr>
        <w:t xml:space="preserve">Enables data analytics to drive decision making and </w:t>
      </w:r>
      <w:r w:rsidR="00D00211" w:rsidRPr="00D00211">
        <w:rPr>
          <w:rFonts w:cs="Arial"/>
        </w:rPr>
        <w:t>insight while</w:t>
      </w:r>
      <w:r w:rsidRPr="00D00211">
        <w:rPr>
          <w:rFonts w:cs="Arial"/>
        </w:rPr>
        <w:t xml:space="preserve"> also:</w:t>
      </w:r>
    </w:p>
    <w:p w:rsidR="00D00211" w:rsidRPr="00D00211" w:rsidRDefault="00D00211" w:rsidP="00112897">
      <w:pPr>
        <w:pStyle w:val="ListParagraph"/>
        <w:numPr>
          <w:ilvl w:val="0"/>
          <w:numId w:val="46"/>
        </w:numPr>
        <w:tabs>
          <w:tab w:val="clear" w:pos="-567"/>
          <w:tab w:val="clear" w:pos="0"/>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628" w:hanging="357"/>
        <w:rPr>
          <w:rFonts w:cs="Arial"/>
        </w:rPr>
      </w:pPr>
      <w:r w:rsidRPr="00D00211">
        <w:rPr>
          <w:rFonts w:cs="Arial"/>
        </w:rPr>
        <w:t>Providing data to industry and other stakeholders</w:t>
      </w:r>
    </w:p>
    <w:p w:rsidR="00D00211" w:rsidRPr="00D00211" w:rsidRDefault="00D00211" w:rsidP="00112897">
      <w:pPr>
        <w:pStyle w:val="ListParagraph"/>
        <w:numPr>
          <w:ilvl w:val="0"/>
          <w:numId w:val="46"/>
        </w:numPr>
        <w:tabs>
          <w:tab w:val="clear" w:pos="-567"/>
          <w:tab w:val="clear" w:pos="0"/>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628" w:hanging="357"/>
        <w:rPr>
          <w:rFonts w:cs="Arial"/>
        </w:rPr>
      </w:pPr>
      <w:r w:rsidRPr="00D00211">
        <w:rPr>
          <w:rFonts w:cs="Arial"/>
        </w:rPr>
        <w:t>Aggregating data</w:t>
      </w:r>
    </w:p>
    <w:p w:rsidR="00D00211" w:rsidRPr="00D00211" w:rsidRDefault="00D00211" w:rsidP="00112897">
      <w:pPr>
        <w:pStyle w:val="ListParagraph"/>
        <w:numPr>
          <w:ilvl w:val="0"/>
          <w:numId w:val="46"/>
        </w:numPr>
        <w:tabs>
          <w:tab w:val="clear" w:pos="-567"/>
          <w:tab w:val="clear" w:pos="0"/>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628" w:hanging="357"/>
        <w:rPr>
          <w:rFonts w:cs="Arial"/>
        </w:rPr>
      </w:pPr>
      <w:r w:rsidRPr="00D00211">
        <w:rPr>
          <w:rFonts w:cs="Arial"/>
        </w:rPr>
        <w:t>Providing time-based analysis</w:t>
      </w:r>
    </w:p>
    <w:p w:rsidR="00D00211" w:rsidRPr="00D00211" w:rsidRDefault="00D00211" w:rsidP="00112897">
      <w:pPr>
        <w:pStyle w:val="ListParagraph"/>
        <w:numPr>
          <w:ilvl w:val="0"/>
          <w:numId w:val="46"/>
        </w:numPr>
        <w:tabs>
          <w:tab w:val="clear" w:pos="-567"/>
          <w:tab w:val="clear" w:pos="0"/>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628" w:hanging="357"/>
        <w:rPr>
          <w:rFonts w:cs="Arial"/>
        </w:rPr>
      </w:pPr>
      <w:r w:rsidRPr="00D00211">
        <w:rPr>
          <w:rFonts w:cs="Arial"/>
        </w:rPr>
        <w:t>Identifying opportunities for improvements in data capture to improve the quality of data</w:t>
      </w:r>
    </w:p>
    <w:p w:rsidR="00D00211" w:rsidRPr="00D00211" w:rsidRDefault="00D00211" w:rsidP="00112897">
      <w:pPr>
        <w:pStyle w:val="ListParagraph"/>
        <w:numPr>
          <w:ilvl w:val="0"/>
          <w:numId w:val="46"/>
        </w:numPr>
        <w:tabs>
          <w:tab w:val="clear" w:pos="-567"/>
          <w:tab w:val="clear" w:pos="0"/>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628" w:hanging="357"/>
        <w:rPr>
          <w:rFonts w:cs="Arial"/>
        </w:rPr>
      </w:pPr>
      <w:r w:rsidRPr="00D00211">
        <w:rPr>
          <w:rFonts w:cs="Arial"/>
        </w:rPr>
        <w:t>Identifying value back to the states (e.g. identification of loss of levy revenue; risky flows; no closed loop knowledge of disposal)</w:t>
      </w:r>
    </w:p>
    <w:p w:rsidR="00D00211" w:rsidRPr="00D00211" w:rsidRDefault="00D00211" w:rsidP="00112897">
      <w:pPr>
        <w:pStyle w:val="ListParagraph"/>
        <w:numPr>
          <w:ilvl w:val="0"/>
          <w:numId w:val="46"/>
        </w:numPr>
        <w:tabs>
          <w:tab w:val="clear" w:pos="-567"/>
          <w:tab w:val="clear" w:pos="0"/>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628" w:hanging="357"/>
        <w:rPr>
          <w:rFonts w:cs="Arial"/>
        </w:rPr>
      </w:pPr>
      <w:r w:rsidRPr="00D00211">
        <w:rPr>
          <w:rFonts w:cs="Arial"/>
        </w:rPr>
        <w:t>Assisting in driving change at state level (e.g. more consistent processes and code</w:t>
      </w:r>
      <w:r w:rsidR="00DA69E9">
        <w:rPr>
          <w:rFonts w:cs="Arial"/>
        </w:rPr>
        <w:t xml:space="preserve"> </w:t>
      </w:r>
      <w:r w:rsidRPr="00D00211">
        <w:rPr>
          <w:rFonts w:cs="Arial"/>
        </w:rPr>
        <w:t>sets and timelines).</w:t>
      </w:r>
    </w:p>
    <w:p w:rsidR="00D00211" w:rsidRDefault="006B76BB" w:rsidP="00112897">
      <w:pPr>
        <w:pStyle w:val="ListParagraph"/>
        <w:numPr>
          <w:ilvl w:val="0"/>
          <w:numId w:val="4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61" w:hanging="357"/>
        <w:rPr>
          <w:rFonts w:cs="Arial"/>
        </w:rPr>
      </w:pPr>
      <w:r>
        <w:rPr>
          <w:rFonts w:cs="Arial"/>
        </w:rPr>
        <w:t>Delivers i</w:t>
      </w:r>
      <w:r w:rsidR="00FE02C8" w:rsidRPr="00D00211">
        <w:rPr>
          <w:rFonts w:cs="Arial"/>
        </w:rPr>
        <w:t>mprovements in</w:t>
      </w:r>
      <w:r w:rsidR="00D00211">
        <w:rPr>
          <w:rFonts w:cs="Arial"/>
        </w:rPr>
        <w:t>:</w:t>
      </w:r>
    </w:p>
    <w:p w:rsidR="00D00211" w:rsidRPr="00D00211" w:rsidRDefault="00D00211" w:rsidP="00112897">
      <w:pPr>
        <w:pStyle w:val="ListParagraph"/>
        <w:numPr>
          <w:ilvl w:val="0"/>
          <w:numId w:val="47"/>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hanging="357"/>
        <w:rPr>
          <w:rFonts w:cs="Arial"/>
        </w:rPr>
      </w:pPr>
      <w:r w:rsidRPr="00D00211">
        <w:rPr>
          <w:rFonts w:cs="Arial"/>
        </w:rPr>
        <w:t>Reporting to meet international obligations</w:t>
      </w:r>
    </w:p>
    <w:p w:rsidR="00D00211" w:rsidRPr="00D00211" w:rsidRDefault="00D00211" w:rsidP="00112897">
      <w:pPr>
        <w:pStyle w:val="ListParagraph"/>
        <w:numPr>
          <w:ilvl w:val="0"/>
          <w:numId w:val="47"/>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hanging="357"/>
        <w:rPr>
          <w:rFonts w:cs="Arial"/>
        </w:rPr>
      </w:pPr>
      <w:r w:rsidRPr="00D00211">
        <w:rPr>
          <w:rFonts w:cs="Arial"/>
        </w:rPr>
        <w:t>Internal reporting.</w:t>
      </w:r>
    </w:p>
    <w:p w:rsidR="00D00211" w:rsidRDefault="00FE02C8" w:rsidP="00112897">
      <w:pPr>
        <w:pStyle w:val="ListParagraph"/>
        <w:numPr>
          <w:ilvl w:val="0"/>
          <w:numId w:val="4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61" w:hanging="357"/>
        <w:rPr>
          <w:rFonts w:cs="Arial"/>
        </w:rPr>
      </w:pPr>
      <w:r w:rsidRPr="00D00211">
        <w:rPr>
          <w:rFonts w:cs="Arial"/>
        </w:rPr>
        <w:t>Enables</w:t>
      </w:r>
      <w:r w:rsidR="00D00211" w:rsidRPr="00D00211">
        <w:rPr>
          <w:rFonts w:cs="Arial"/>
        </w:rPr>
        <w:t xml:space="preserve"> policy setting and</w:t>
      </w:r>
      <w:r w:rsidRPr="00D00211">
        <w:rPr>
          <w:rFonts w:cs="Arial"/>
        </w:rPr>
        <w:t xml:space="preserve"> development</w:t>
      </w:r>
      <w:r w:rsidR="00D00211" w:rsidRPr="00D00211">
        <w:rPr>
          <w:rFonts w:cs="Arial"/>
        </w:rPr>
        <w:t xml:space="preserve"> to:</w:t>
      </w:r>
    </w:p>
    <w:p w:rsidR="00D00211" w:rsidRPr="00D00211" w:rsidRDefault="00D00211" w:rsidP="00112897">
      <w:pPr>
        <w:pStyle w:val="ListParagraph"/>
        <w:numPr>
          <w:ilvl w:val="0"/>
          <w:numId w:val="48"/>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hanging="357"/>
        <w:rPr>
          <w:rFonts w:cs="Arial"/>
        </w:rPr>
      </w:pPr>
      <w:r w:rsidRPr="00D00211">
        <w:rPr>
          <w:rFonts w:cs="Arial"/>
        </w:rPr>
        <w:t>Reduce waste generation</w:t>
      </w:r>
    </w:p>
    <w:p w:rsidR="00D00211" w:rsidRPr="00D00211" w:rsidRDefault="00D00211" w:rsidP="00112897">
      <w:pPr>
        <w:pStyle w:val="ListParagraph"/>
        <w:numPr>
          <w:ilvl w:val="0"/>
          <w:numId w:val="48"/>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hanging="357"/>
        <w:rPr>
          <w:rFonts w:cs="Arial"/>
        </w:rPr>
      </w:pPr>
      <w:r w:rsidRPr="00D00211">
        <w:rPr>
          <w:rFonts w:cs="Arial"/>
        </w:rPr>
        <w:t>Increase recycling and recovery.</w:t>
      </w:r>
    </w:p>
    <w:p w:rsidR="00FE02C8" w:rsidRPr="00D00211" w:rsidRDefault="00FE02C8" w:rsidP="00112897">
      <w:pPr>
        <w:pStyle w:val="ListParagraph"/>
        <w:numPr>
          <w:ilvl w:val="0"/>
          <w:numId w:val="4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61" w:hanging="357"/>
        <w:rPr>
          <w:rFonts w:cs="Arial"/>
        </w:rPr>
      </w:pPr>
      <w:r w:rsidRPr="00D00211">
        <w:rPr>
          <w:rFonts w:cs="Arial"/>
        </w:rPr>
        <w:t>Increases visibilit</w:t>
      </w:r>
      <w:r w:rsidR="006B76BB">
        <w:rPr>
          <w:rFonts w:cs="Arial"/>
        </w:rPr>
        <w:t xml:space="preserve">y of hazardous waste generation, </w:t>
      </w:r>
      <w:r w:rsidRPr="00D00211">
        <w:rPr>
          <w:rFonts w:cs="Arial"/>
        </w:rPr>
        <w:t xml:space="preserve">flow and disposal (end-to-end), in particular intrastate </w:t>
      </w:r>
      <w:r w:rsidR="006B76BB">
        <w:rPr>
          <w:rFonts w:cs="Arial"/>
        </w:rPr>
        <w:t>movements</w:t>
      </w:r>
    </w:p>
    <w:p w:rsidR="00FE02C8" w:rsidRPr="006B76BB" w:rsidRDefault="00FE02C8" w:rsidP="00112897">
      <w:pPr>
        <w:pStyle w:val="ListParagraph"/>
        <w:numPr>
          <w:ilvl w:val="0"/>
          <w:numId w:val="4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61" w:hanging="357"/>
        <w:rPr>
          <w:rFonts w:cs="Arial"/>
        </w:rPr>
      </w:pPr>
      <w:r w:rsidRPr="00D00211">
        <w:rPr>
          <w:rFonts w:cs="Arial"/>
        </w:rPr>
        <w:t>Provide</w:t>
      </w:r>
      <w:r w:rsidR="006B76BB">
        <w:rPr>
          <w:rFonts w:cs="Arial"/>
        </w:rPr>
        <w:t>s</w:t>
      </w:r>
      <w:r w:rsidRPr="00D00211">
        <w:rPr>
          <w:rFonts w:cs="Arial"/>
        </w:rPr>
        <w:t xml:space="preserve"> </w:t>
      </w:r>
      <w:r w:rsidR="00D31AD2">
        <w:rPr>
          <w:rFonts w:cs="Arial"/>
        </w:rPr>
        <w:t>jurisdictions that</w:t>
      </w:r>
      <w:r w:rsidRPr="00D00211">
        <w:rPr>
          <w:rFonts w:cs="Arial"/>
        </w:rPr>
        <w:t xml:space="preserve"> </w:t>
      </w:r>
      <w:r w:rsidR="006B76BB">
        <w:rPr>
          <w:rFonts w:cs="Arial"/>
        </w:rPr>
        <w:t xml:space="preserve">do not have regulated tracking schemes with a developed system and defined implementation pathway. </w:t>
      </w:r>
      <w:r w:rsidRPr="006B76BB">
        <w:rPr>
          <w:rFonts w:cs="Arial"/>
        </w:rPr>
        <w:t xml:space="preserve">This </w:t>
      </w:r>
      <w:r w:rsidR="00D31AD2">
        <w:rPr>
          <w:rFonts w:cs="Arial"/>
        </w:rPr>
        <w:t>covers</w:t>
      </w:r>
      <w:r w:rsidRPr="006B76BB">
        <w:rPr>
          <w:rFonts w:cs="Arial"/>
        </w:rPr>
        <w:t xml:space="preserve"> Tasmania, </w:t>
      </w:r>
      <w:r w:rsidR="00D00211" w:rsidRPr="006B76BB">
        <w:rPr>
          <w:rFonts w:cs="Arial"/>
        </w:rPr>
        <w:t>ACT</w:t>
      </w:r>
      <w:r w:rsidRPr="006B76BB">
        <w:rPr>
          <w:rFonts w:cs="Arial"/>
        </w:rPr>
        <w:t xml:space="preserve"> and Northern Territory. </w:t>
      </w:r>
    </w:p>
    <w:p w:rsidR="00FE02C8" w:rsidRPr="00D00211" w:rsidRDefault="00FE02C8" w:rsidP="00112897">
      <w:pPr>
        <w:pStyle w:val="ListParagraph"/>
        <w:numPr>
          <w:ilvl w:val="0"/>
          <w:numId w:val="4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61" w:hanging="357"/>
        <w:rPr>
          <w:rFonts w:cs="Arial"/>
        </w:rPr>
      </w:pPr>
      <w:r w:rsidRPr="00D00211">
        <w:rPr>
          <w:rFonts w:cs="Arial"/>
        </w:rPr>
        <w:t xml:space="preserve">Provide a nationally consistent </w:t>
      </w:r>
      <w:r w:rsidR="006B76BB">
        <w:rPr>
          <w:rFonts w:cs="Arial"/>
        </w:rPr>
        <w:t>data set for industry.</w:t>
      </w:r>
    </w:p>
    <w:p w:rsidR="00FE02C8" w:rsidRPr="00C3767C" w:rsidRDefault="00E75FB8" w:rsidP="00C3767C">
      <w:pPr>
        <w:ind w:left="1134"/>
        <w:rPr>
          <w:rFonts w:cs="Arial"/>
        </w:rPr>
      </w:pPr>
      <w:r>
        <w:rPr>
          <w:rFonts w:cs="Arial"/>
        </w:rPr>
        <w:t>While</w:t>
      </w:r>
      <w:r w:rsidR="00FE02C8" w:rsidRPr="00E75FB8">
        <w:rPr>
          <w:rFonts w:cs="Arial"/>
        </w:rPr>
        <w:t xml:space="preserve"> all are objectives for DoE, objectives </w:t>
      </w:r>
      <w:r w:rsidR="00D00211">
        <w:rPr>
          <w:rFonts w:cs="Arial"/>
        </w:rPr>
        <w:t>1-6</w:t>
      </w:r>
      <w:r w:rsidR="00FE02C8" w:rsidRPr="00E75FB8">
        <w:rPr>
          <w:rFonts w:cs="Arial"/>
        </w:rPr>
        <w:t xml:space="preserve"> ar</w:t>
      </w:r>
      <w:r w:rsidR="00632F81">
        <w:rPr>
          <w:rFonts w:cs="Arial"/>
        </w:rPr>
        <w:t>e seen as the higher priority</w:t>
      </w:r>
      <w:r w:rsidR="00FE02C8" w:rsidRPr="00E75FB8">
        <w:rPr>
          <w:rFonts w:cs="Arial"/>
        </w:rPr>
        <w:t xml:space="preserve">. The options presented </w:t>
      </w:r>
      <w:r w:rsidR="00632F81">
        <w:rPr>
          <w:rFonts w:cs="Arial"/>
        </w:rPr>
        <w:t>below</w:t>
      </w:r>
      <w:r w:rsidR="00FE02C8" w:rsidRPr="00E75FB8">
        <w:rPr>
          <w:rFonts w:cs="Arial"/>
        </w:rPr>
        <w:t xml:space="preserve"> aim to address each of the objectives. </w:t>
      </w:r>
    </w:p>
    <w:p w:rsidR="00FE02C8" w:rsidRDefault="00FE02C8" w:rsidP="00640B4C">
      <w:pPr>
        <w:pStyle w:val="Heading2"/>
      </w:pPr>
      <w:bookmarkStart w:id="78" w:name="_Toc421181749"/>
      <w:r w:rsidRPr="00340111">
        <w:t>Options</w:t>
      </w:r>
      <w:bookmarkEnd w:id="78"/>
    </w:p>
    <w:p w:rsidR="00C3767C" w:rsidRDefault="00632F81" w:rsidP="00D00211">
      <w:pPr>
        <w:pStyle w:val="BodyText"/>
        <w:ind w:left="1134"/>
      </w:pPr>
      <w:r>
        <w:t xml:space="preserve">The following options have been developed </w:t>
      </w:r>
      <w:r w:rsidR="00FE02C8">
        <w:t xml:space="preserve">to address the objectives. Further detail on each option is provided in </w:t>
      </w:r>
      <w:r>
        <w:t xml:space="preserve">the subsequent </w:t>
      </w:r>
      <w:r w:rsidR="00FE02C8">
        <w:t xml:space="preserve">sections. </w:t>
      </w:r>
    </w:p>
    <w:p w:rsidR="00C3767C" w:rsidRDefault="00C3767C" w:rsidP="00C3767C">
      <w:pPr>
        <w:pStyle w:val="Caption"/>
        <w:ind w:left="567" w:firstLine="567"/>
      </w:pPr>
      <w:bookmarkStart w:id="79" w:name="_Toc421181778"/>
      <w:r w:rsidRPr="00640B4C">
        <w:t xml:space="preserve">Table </w:t>
      </w:r>
      <w:r w:rsidR="00350C10" w:rsidRPr="00640B4C">
        <w:fldChar w:fldCharType="begin"/>
      </w:r>
      <w:r w:rsidRPr="00640B4C">
        <w:instrText xml:space="preserve"> STYLEREF "_Heading1" \n </w:instrText>
      </w:r>
      <w:r w:rsidR="00350C10" w:rsidRPr="00640B4C">
        <w:fldChar w:fldCharType="separate"/>
      </w:r>
      <w:r w:rsidR="00261FA5">
        <w:rPr>
          <w:noProof/>
        </w:rPr>
        <w:t>5</w:t>
      </w:r>
      <w:r w:rsidR="00350C10" w:rsidRPr="00640B4C">
        <w:fldChar w:fldCharType="end"/>
      </w:r>
      <w:r w:rsidRPr="00640B4C">
        <w:t>-</w:t>
      </w:r>
      <w:r w:rsidR="00350C10" w:rsidRPr="00640B4C">
        <w:fldChar w:fldCharType="begin"/>
      </w:r>
      <w:r w:rsidRPr="00640B4C">
        <w:instrText xml:space="preserve"> SEQ Table \* Arabic </w:instrText>
      </w:r>
      <w:r w:rsidR="00350C10" w:rsidRPr="00640B4C">
        <w:fldChar w:fldCharType="separate"/>
      </w:r>
      <w:r w:rsidR="00261FA5">
        <w:rPr>
          <w:noProof/>
        </w:rPr>
        <w:t>17</w:t>
      </w:r>
      <w:r w:rsidR="00350C10" w:rsidRPr="00640B4C">
        <w:fldChar w:fldCharType="end"/>
      </w:r>
      <w:r w:rsidRPr="00640B4C">
        <w:tab/>
      </w:r>
      <w:proofErr w:type="gramStart"/>
      <w:r w:rsidR="00632F81">
        <w:t>Six</w:t>
      </w:r>
      <w:proofErr w:type="gramEnd"/>
      <w:r w:rsidR="00632F81">
        <w:t xml:space="preserve"> options for a consistent national data regime</w:t>
      </w:r>
      <w:bookmarkEnd w:id="79"/>
    </w:p>
    <w:tbl>
      <w:tblPr>
        <w:tblStyle w:val="HyderTableStyle"/>
        <w:tblW w:w="0" w:type="auto"/>
        <w:tblInd w:w="1134" w:type="dxa"/>
        <w:tblLook w:val="04A0"/>
      </w:tblPr>
      <w:tblGrid>
        <w:gridCol w:w="652"/>
        <w:gridCol w:w="3828"/>
        <w:gridCol w:w="4195"/>
      </w:tblGrid>
      <w:tr w:rsidR="00640B4C" w:rsidTr="00927C5E">
        <w:trPr>
          <w:cnfStyle w:val="100000000000"/>
        </w:trPr>
        <w:tc>
          <w:tcPr>
            <w:tcW w:w="652" w:type="dxa"/>
          </w:tcPr>
          <w:p w:rsidR="00640B4C" w:rsidRDefault="00640B4C" w:rsidP="00640B4C">
            <w:pPr>
              <w:pStyle w:val="BodyText"/>
            </w:pPr>
          </w:p>
        </w:tc>
        <w:tc>
          <w:tcPr>
            <w:tcW w:w="3828" w:type="dxa"/>
            <w:vAlign w:val="center"/>
          </w:tcPr>
          <w:p w:rsidR="00640B4C" w:rsidRPr="00640B4C" w:rsidRDefault="00640B4C" w:rsidP="00640B4C">
            <w:pPr>
              <w:pStyle w:val="BodyText"/>
              <w:rPr>
                <w:b/>
              </w:rPr>
            </w:pPr>
            <w:r w:rsidRPr="00640B4C">
              <w:rPr>
                <w:b/>
              </w:rPr>
              <w:t>Option</w:t>
            </w:r>
          </w:p>
        </w:tc>
        <w:tc>
          <w:tcPr>
            <w:tcW w:w="4195" w:type="dxa"/>
            <w:vAlign w:val="center"/>
          </w:tcPr>
          <w:p w:rsidR="00640B4C" w:rsidRPr="00640B4C" w:rsidRDefault="00640B4C" w:rsidP="00640B4C">
            <w:pPr>
              <w:pStyle w:val="BodyText"/>
              <w:rPr>
                <w:b/>
              </w:rPr>
            </w:pPr>
            <w:r w:rsidRPr="00640B4C">
              <w:rPr>
                <w:b/>
              </w:rPr>
              <w:t>Description</w:t>
            </w:r>
          </w:p>
        </w:tc>
      </w:tr>
      <w:tr w:rsidR="00640B4C" w:rsidTr="00640B4C">
        <w:tc>
          <w:tcPr>
            <w:tcW w:w="652" w:type="dxa"/>
          </w:tcPr>
          <w:p w:rsidR="00640B4C" w:rsidRDefault="00640B4C" w:rsidP="00640B4C">
            <w:pPr>
              <w:pStyle w:val="BodyText"/>
            </w:pPr>
            <w:r>
              <w:t>1</w:t>
            </w:r>
          </w:p>
        </w:tc>
        <w:tc>
          <w:tcPr>
            <w:tcW w:w="3828" w:type="dxa"/>
          </w:tcPr>
          <w:p w:rsidR="00640B4C" w:rsidRDefault="00640B4C" w:rsidP="00640B4C">
            <w:pPr>
              <w:pStyle w:val="BodyText"/>
            </w:pPr>
            <w:r w:rsidRPr="006C4E2C">
              <w:t xml:space="preserve">Deploy </w:t>
            </w:r>
            <w:r>
              <w:t xml:space="preserve">the </w:t>
            </w:r>
            <w:r w:rsidRPr="006C4E2C">
              <w:t xml:space="preserve">NSW waste management system across the other states  </w:t>
            </w:r>
          </w:p>
        </w:tc>
        <w:tc>
          <w:tcPr>
            <w:tcW w:w="4195" w:type="dxa"/>
          </w:tcPr>
          <w:p w:rsidR="00640B4C" w:rsidRDefault="00640B4C" w:rsidP="00640B4C">
            <w:pPr>
              <w:pStyle w:val="BodyText"/>
              <w:spacing w:after="60"/>
            </w:pPr>
            <w:r>
              <w:t>Roll out the NSW electronic system to all other states and territories</w:t>
            </w:r>
            <w:r w:rsidR="00D00211">
              <w:t>,</w:t>
            </w:r>
            <w:r>
              <w:t xml:space="preserve"> in order of priority. </w:t>
            </w:r>
          </w:p>
          <w:p w:rsidR="00640B4C" w:rsidRDefault="00640B4C" w:rsidP="00640B4C">
            <w:pPr>
              <w:pStyle w:val="BodyText"/>
            </w:pPr>
            <w:r>
              <w:t xml:space="preserve">South Australia has recently gone with this option and implemented a customised version. </w:t>
            </w:r>
          </w:p>
        </w:tc>
      </w:tr>
      <w:tr w:rsidR="00640B4C" w:rsidTr="00640B4C">
        <w:tc>
          <w:tcPr>
            <w:tcW w:w="652" w:type="dxa"/>
          </w:tcPr>
          <w:p w:rsidR="00640B4C" w:rsidRDefault="00640B4C" w:rsidP="00640B4C">
            <w:pPr>
              <w:pStyle w:val="BodyText"/>
            </w:pPr>
            <w:r>
              <w:t>2</w:t>
            </w:r>
          </w:p>
        </w:tc>
        <w:tc>
          <w:tcPr>
            <w:tcW w:w="3828" w:type="dxa"/>
          </w:tcPr>
          <w:p w:rsidR="00640B4C" w:rsidRDefault="00640B4C" w:rsidP="00640B4C">
            <w:pPr>
              <w:pStyle w:val="BodyText"/>
            </w:pPr>
            <w:r w:rsidRPr="006C4E2C">
              <w:t xml:space="preserve">DoE </w:t>
            </w:r>
            <w:r>
              <w:t xml:space="preserve">access to </w:t>
            </w:r>
            <w:r w:rsidR="00D00211">
              <w:t xml:space="preserve">state/territory </w:t>
            </w:r>
            <w:r>
              <w:t xml:space="preserve">electronic systems </w:t>
            </w:r>
          </w:p>
        </w:tc>
        <w:tc>
          <w:tcPr>
            <w:tcW w:w="4195" w:type="dxa"/>
          </w:tcPr>
          <w:p w:rsidR="00640B4C" w:rsidRDefault="00640B4C" w:rsidP="00640B4C">
            <w:pPr>
              <w:pStyle w:val="BodyText"/>
              <w:spacing w:after="60"/>
            </w:pPr>
            <w:r>
              <w:t xml:space="preserve">DoE </w:t>
            </w:r>
            <w:r w:rsidR="00D00211">
              <w:t>is</w:t>
            </w:r>
            <w:r>
              <w:t xml:space="preserve"> provided with </w:t>
            </w:r>
            <w:r w:rsidR="00163A76">
              <w:t>either back-end or front-</w:t>
            </w:r>
            <w:r>
              <w:t>end access</w:t>
            </w:r>
            <w:r w:rsidR="00D00211">
              <w:t xml:space="preserve"> to state/territory systems,</w:t>
            </w:r>
            <w:r>
              <w:t xml:space="preserve"> where </w:t>
            </w:r>
            <w:r w:rsidR="00D00211">
              <w:t>it is</w:t>
            </w:r>
            <w:r>
              <w:t xml:space="preserve"> able to </w:t>
            </w:r>
            <w:r w:rsidRPr="00F61D23">
              <w:t>extract all required data</w:t>
            </w:r>
            <w:r>
              <w:t>.</w:t>
            </w:r>
          </w:p>
          <w:p w:rsidR="00640B4C" w:rsidRDefault="00640B4C" w:rsidP="00632F81">
            <w:pPr>
              <w:pStyle w:val="BodyText"/>
            </w:pPr>
            <w:r>
              <w:t xml:space="preserve">This would only </w:t>
            </w:r>
            <w:r w:rsidR="00632F81">
              <w:t>apply to</w:t>
            </w:r>
            <w:r>
              <w:t xml:space="preserve"> states and territories that have an electronic system in place. </w:t>
            </w:r>
          </w:p>
        </w:tc>
      </w:tr>
      <w:tr w:rsidR="00640B4C" w:rsidTr="00640B4C">
        <w:tc>
          <w:tcPr>
            <w:tcW w:w="652" w:type="dxa"/>
          </w:tcPr>
          <w:p w:rsidR="00640B4C" w:rsidRDefault="00640B4C" w:rsidP="00640B4C">
            <w:pPr>
              <w:pStyle w:val="BodyText"/>
            </w:pPr>
            <w:r>
              <w:lastRenderedPageBreak/>
              <w:t>3</w:t>
            </w:r>
          </w:p>
        </w:tc>
        <w:tc>
          <w:tcPr>
            <w:tcW w:w="3828" w:type="dxa"/>
          </w:tcPr>
          <w:p w:rsidR="00640B4C" w:rsidRDefault="00640B4C" w:rsidP="00BD3354">
            <w:pPr>
              <w:pStyle w:val="BodyText"/>
            </w:pPr>
            <w:r w:rsidRPr="006C4E2C">
              <w:t xml:space="preserve">Develop a </w:t>
            </w:r>
            <w:r w:rsidR="00BD3354">
              <w:t>single</w:t>
            </w:r>
            <w:r w:rsidRPr="006C4E2C">
              <w:t xml:space="preserve"> </w:t>
            </w:r>
            <w:r>
              <w:t xml:space="preserve">national system </w:t>
            </w:r>
            <w:r w:rsidRPr="006C4E2C">
              <w:t>for the tracking of controlled wastes to be used by all states and territories</w:t>
            </w:r>
            <w:r w:rsidR="00D00211">
              <w:t xml:space="preserve"> and covering all waste movements</w:t>
            </w:r>
          </w:p>
        </w:tc>
        <w:tc>
          <w:tcPr>
            <w:tcW w:w="4195" w:type="dxa"/>
          </w:tcPr>
          <w:p w:rsidR="00640B4C" w:rsidRDefault="00640B4C" w:rsidP="00640B4C">
            <w:pPr>
              <w:pStyle w:val="BodyText"/>
              <w:spacing w:after="60"/>
            </w:pPr>
            <w:r>
              <w:t>The development of a new standard tracking system (both front</w:t>
            </w:r>
            <w:r w:rsidR="00163A76">
              <w:t>- and back-</w:t>
            </w:r>
            <w:r>
              <w:t>end) for all states and territories. This would utilise a standard in</w:t>
            </w:r>
            <w:r w:rsidR="00BD3354">
              <w:t>terface, functionality and back-</w:t>
            </w:r>
            <w:r>
              <w:t xml:space="preserve">end database. </w:t>
            </w:r>
          </w:p>
          <w:p w:rsidR="00640B4C" w:rsidRDefault="00640B4C" w:rsidP="00640B4C">
            <w:pPr>
              <w:pStyle w:val="BodyText"/>
            </w:pPr>
            <w:r>
              <w:t xml:space="preserve">The solution will also have built in reporting and analysis capabilities. </w:t>
            </w:r>
          </w:p>
        </w:tc>
      </w:tr>
      <w:tr w:rsidR="00640B4C" w:rsidTr="00640B4C">
        <w:tc>
          <w:tcPr>
            <w:tcW w:w="652" w:type="dxa"/>
          </w:tcPr>
          <w:p w:rsidR="00640B4C" w:rsidRDefault="00640B4C" w:rsidP="00640B4C">
            <w:pPr>
              <w:pStyle w:val="BodyText"/>
            </w:pPr>
            <w:r>
              <w:t>4</w:t>
            </w:r>
          </w:p>
        </w:tc>
        <w:tc>
          <w:tcPr>
            <w:tcW w:w="3828" w:type="dxa"/>
          </w:tcPr>
          <w:p w:rsidR="00640B4C" w:rsidRDefault="00640B4C" w:rsidP="00640B4C">
            <w:pPr>
              <w:pStyle w:val="BodyText"/>
            </w:pPr>
            <w:r w:rsidRPr="006C4E2C">
              <w:t xml:space="preserve">Develop </w:t>
            </w:r>
            <w:r>
              <w:t xml:space="preserve">a </w:t>
            </w:r>
            <w:r w:rsidRPr="006C4E2C">
              <w:t>centralised data c</w:t>
            </w:r>
            <w:r>
              <w:t xml:space="preserve">ollection, reporting and analysis solution  </w:t>
            </w:r>
          </w:p>
        </w:tc>
        <w:tc>
          <w:tcPr>
            <w:tcW w:w="4195" w:type="dxa"/>
          </w:tcPr>
          <w:p w:rsidR="00640B4C" w:rsidRDefault="00163A76" w:rsidP="00640B4C">
            <w:pPr>
              <w:pStyle w:val="BodyText"/>
              <w:spacing w:after="60"/>
            </w:pPr>
            <w:r>
              <w:t>Creation of either a web front-</w:t>
            </w:r>
            <w:r w:rsidR="00640B4C">
              <w:t xml:space="preserve">end to capture the required data collection for DoE, or continue to provide in a standard spreadsheet. </w:t>
            </w:r>
          </w:p>
          <w:p w:rsidR="00640B4C" w:rsidRDefault="00D00211" w:rsidP="00640B4C">
            <w:pPr>
              <w:pStyle w:val="BodyText"/>
              <w:spacing w:after="60"/>
            </w:pPr>
            <w:r>
              <w:t>Develop a</w:t>
            </w:r>
            <w:r w:rsidR="00640B4C">
              <w:t xml:space="preserve"> data </w:t>
            </w:r>
            <w:r>
              <w:t>layer to extract the data from either</w:t>
            </w:r>
            <w:r w:rsidR="00163A76">
              <w:t xml:space="preserve"> web front-</w:t>
            </w:r>
            <w:r w:rsidR="00640B4C">
              <w:t xml:space="preserve">end or spreadsheets and use automated logic to map, validate and load data to a central reporting and analysis repository for DoE purposes. </w:t>
            </w:r>
          </w:p>
          <w:p w:rsidR="00640B4C" w:rsidRDefault="00640B4C" w:rsidP="00D00211">
            <w:pPr>
              <w:pStyle w:val="BodyText"/>
            </w:pPr>
            <w:r>
              <w:t>This c</w:t>
            </w:r>
            <w:r w:rsidRPr="00F61D23">
              <w:t xml:space="preserve">an be extended to provide the required reporting and analysis capabilities to not only DoE but also </w:t>
            </w:r>
            <w:r>
              <w:t xml:space="preserve">to all states and territories and other </w:t>
            </w:r>
            <w:r w:rsidRPr="00F61D23">
              <w:t xml:space="preserve"> stakeholders</w:t>
            </w:r>
          </w:p>
        </w:tc>
      </w:tr>
      <w:tr w:rsidR="00640B4C" w:rsidTr="00640B4C">
        <w:tc>
          <w:tcPr>
            <w:tcW w:w="652" w:type="dxa"/>
          </w:tcPr>
          <w:p w:rsidR="00640B4C" w:rsidRDefault="00640B4C" w:rsidP="00640B4C">
            <w:pPr>
              <w:pStyle w:val="BodyText"/>
            </w:pPr>
            <w:r>
              <w:t>5</w:t>
            </w:r>
          </w:p>
        </w:tc>
        <w:tc>
          <w:tcPr>
            <w:tcW w:w="3828" w:type="dxa"/>
          </w:tcPr>
          <w:p w:rsidR="00640B4C" w:rsidRDefault="00640B4C" w:rsidP="00BD3354">
            <w:pPr>
              <w:pStyle w:val="BodyText"/>
            </w:pPr>
            <w:r w:rsidRPr="006C4E2C">
              <w:t>Standard front</w:t>
            </w:r>
            <w:r w:rsidR="00BD3354">
              <w:t>-</w:t>
            </w:r>
            <w:r>
              <w:t>end</w:t>
            </w:r>
            <w:r w:rsidR="00163A76">
              <w:t>,</w:t>
            </w:r>
            <w:r>
              <w:t xml:space="preserve"> with disparate back-ends</w:t>
            </w:r>
          </w:p>
        </w:tc>
        <w:tc>
          <w:tcPr>
            <w:tcW w:w="4195" w:type="dxa"/>
          </w:tcPr>
          <w:p w:rsidR="00640B4C" w:rsidRDefault="00640B4C" w:rsidP="00640B4C">
            <w:pPr>
              <w:pStyle w:val="BodyText"/>
              <w:spacing w:after="60"/>
            </w:pPr>
            <w:r>
              <w:t>The creation of a standard front-end for all states and territories</w:t>
            </w:r>
            <w:r w:rsidR="00163A76">
              <w:t>,</w:t>
            </w:r>
            <w:r>
              <w:t xml:space="preserve"> with disparate databases. </w:t>
            </w:r>
          </w:p>
          <w:p w:rsidR="00640B4C" w:rsidRDefault="00640B4C" w:rsidP="00163A76">
            <w:pPr>
              <w:pStyle w:val="BodyText"/>
            </w:pPr>
            <w:r>
              <w:t xml:space="preserve">This will provide a standard interface and functionality for all </w:t>
            </w:r>
            <w:r w:rsidR="00163A76">
              <w:t>jurisdictions</w:t>
            </w:r>
            <w:r>
              <w:t>. Con</w:t>
            </w:r>
            <w:r w:rsidR="00163A76">
              <w:t>sideration of the required back-</w:t>
            </w:r>
            <w:r>
              <w:t xml:space="preserve">end will need to occur to cater for those states and territories currently using a paper based system. </w:t>
            </w:r>
          </w:p>
        </w:tc>
      </w:tr>
      <w:tr w:rsidR="00640B4C" w:rsidTr="00640B4C">
        <w:tc>
          <w:tcPr>
            <w:tcW w:w="652" w:type="dxa"/>
          </w:tcPr>
          <w:p w:rsidR="00640B4C" w:rsidRDefault="00640B4C" w:rsidP="00640B4C">
            <w:pPr>
              <w:pStyle w:val="BodyText"/>
            </w:pPr>
            <w:r>
              <w:t>6</w:t>
            </w:r>
          </w:p>
        </w:tc>
        <w:tc>
          <w:tcPr>
            <w:tcW w:w="3828" w:type="dxa"/>
          </w:tcPr>
          <w:p w:rsidR="00640B4C" w:rsidRDefault="00640B4C" w:rsidP="00640B4C">
            <w:pPr>
              <w:pStyle w:val="BodyText"/>
            </w:pPr>
            <w:r w:rsidRPr="006C4E2C">
              <w:t xml:space="preserve">Do nothing </w:t>
            </w:r>
          </w:p>
        </w:tc>
        <w:tc>
          <w:tcPr>
            <w:tcW w:w="4195" w:type="dxa"/>
          </w:tcPr>
          <w:p w:rsidR="00640B4C" w:rsidRDefault="00640B4C" w:rsidP="00163A76">
            <w:pPr>
              <w:pStyle w:val="BodyText"/>
            </w:pPr>
            <w:r>
              <w:t>Leave the existing situation as</w:t>
            </w:r>
            <w:r w:rsidR="00163A76">
              <w:t xml:space="preserve"> it </w:t>
            </w:r>
            <w:r>
              <w:t xml:space="preserve">is, that is </w:t>
            </w:r>
            <w:r w:rsidR="00163A76">
              <w:t>a mix of paper-</w:t>
            </w:r>
            <w:r>
              <w:t>based and electronic systems, spreadsheets and processes</w:t>
            </w:r>
            <w:r w:rsidR="00163A76">
              <w:t>.</w:t>
            </w:r>
          </w:p>
        </w:tc>
      </w:tr>
    </w:tbl>
    <w:p w:rsidR="00C3767C" w:rsidRDefault="00C3767C" w:rsidP="00C3767C">
      <w:pPr>
        <w:pStyle w:val="BodyText"/>
        <w:spacing w:after="240"/>
        <w:ind w:left="1134"/>
      </w:pPr>
    </w:p>
    <w:p w:rsidR="00FE02C8" w:rsidRPr="00C3767C" w:rsidRDefault="00640B4C" w:rsidP="00C3767C">
      <w:pPr>
        <w:pStyle w:val="BodyText"/>
        <w:spacing w:after="240"/>
        <w:ind w:left="1134"/>
      </w:pPr>
      <w:r>
        <w:t>While</w:t>
      </w:r>
      <w:r w:rsidR="00FE02C8">
        <w:t xml:space="preserve"> the Do Nothing option has been </w:t>
      </w:r>
      <w:r w:rsidR="00363843">
        <w:t>included</w:t>
      </w:r>
      <w:r w:rsidR="00FE02C8">
        <w:t xml:space="preserve">, it is not seen </w:t>
      </w:r>
      <w:r w:rsidR="00BD3354">
        <w:t xml:space="preserve">as </w:t>
      </w:r>
      <w:r w:rsidR="00FE02C8">
        <w:t>viable as it does not assist DoE in achieving the objectives it has set out for monitoring an</w:t>
      </w:r>
      <w:r w:rsidR="00BD3354">
        <w:t>d reporting of controlled waste. I</w:t>
      </w:r>
      <w:r w:rsidR="00163A76">
        <w:t>t</w:t>
      </w:r>
      <w:r w:rsidR="00FE02C8">
        <w:t xml:space="preserve"> does not provide the required solution for sophi</w:t>
      </w:r>
      <w:r w:rsidR="00163A76">
        <w:t>sticated reporting and analysis; it</w:t>
      </w:r>
      <w:r w:rsidR="00FE02C8">
        <w:t xml:space="preserve"> does not move the states and territories forward in standardising the management of controlled waste</w:t>
      </w:r>
      <w:r w:rsidR="00163A76">
        <w:t>; and</w:t>
      </w:r>
      <w:r w:rsidR="00FE02C8">
        <w:t xml:space="preserve"> </w:t>
      </w:r>
      <w:r w:rsidR="00BD3354">
        <w:t xml:space="preserve">it </w:t>
      </w:r>
      <w:r w:rsidR="00FE02C8">
        <w:t xml:space="preserve">does </w:t>
      </w:r>
      <w:r w:rsidR="00163A76">
        <w:t>not</w:t>
      </w:r>
      <w:r w:rsidR="00FE02C8">
        <w:t xml:space="preserve"> provide </w:t>
      </w:r>
      <w:r w:rsidR="00BD3354">
        <w:t>non-tracking jurisdictions</w:t>
      </w:r>
      <w:r w:rsidR="00FE02C8">
        <w:t xml:space="preserve"> </w:t>
      </w:r>
      <w:r w:rsidR="00BD3354">
        <w:t>(</w:t>
      </w:r>
      <w:r w:rsidR="00FE02C8">
        <w:t xml:space="preserve">Tasmania, </w:t>
      </w:r>
      <w:r w:rsidR="007921DF">
        <w:t>ACT</w:t>
      </w:r>
      <w:r w:rsidR="00FE02C8">
        <w:t xml:space="preserve"> and Northern Territory</w:t>
      </w:r>
      <w:r w:rsidR="00BD3354">
        <w:t>)</w:t>
      </w:r>
      <w:r w:rsidR="00FE02C8">
        <w:t xml:space="preserve"> with an electronic system to manage controlled waste. Therefore</w:t>
      </w:r>
      <w:r w:rsidR="00E75FB8">
        <w:t>,</w:t>
      </w:r>
      <w:r w:rsidR="00FE02C8">
        <w:t xml:space="preserve"> Do Nothing is not feasible and is </w:t>
      </w:r>
      <w:r w:rsidR="00C3767C">
        <w:t xml:space="preserve">not discussed in detail below. </w:t>
      </w:r>
    </w:p>
    <w:p w:rsidR="00FE02C8" w:rsidRDefault="00FE02C8" w:rsidP="00C3767C">
      <w:pPr>
        <w:pStyle w:val="Heading3"/>
        <w:spacing w:before="0"/>
      </w:pPr>
      <w:r w:rsidRPr="00137F00">
        <w:t>Deploy</w:t>
      </w:r>
      <w:r>
        <w:t xml:space="preserve"> </w:t>
      </w:r>
      <w:r w:rsidRPr="00137F00">
        <w:t xml:space="preserve">NSW waste </w:t>
      </w:r>
      <w:r w:rsidR="00E64A30">
        <w:t>tracking</w:t>
      </w:r>
      <w:r w:rsidRPr="00137F00">
        <w:t xml:space="preserve"> system</w:t>
      </w:r>
    </w:p>
    <w:p w:rsidR="00FE02C8" w:rsidRDefault="00163A76" w:rsidP="00C3767C">
      <w:pPr>
        <w:pStyle w:val="BodyText"/>
        <w:spacing w:after="240"/>
        <w:ind w:left="1134"/>
      </w:pPr>
      <w:r>
        <w:t>This</w:t>
      </w:r>
      <w:r w:rsidR="00FE02C8">
        <w:t xml:space="preserve"> option takes the currently deployed solution in NSW and implements </w:t>
      </w:r>
      <w:r>
        <w:t>it</w:t>
      </w:r>
      <w:r w:rsidR="00FE02C8">
        <w:t xml:space="preserve"> across all states and territories, noting that South Australia ha</w:t>
      </w:r>
      <w:r w:rsidR="00837A76">
        <w:t>s</w:t>
      </w:r>
      <w:r w:rsidR="00FE02C8">
        <w:t xml:space="preserve"> recently gone down this path. It is noted that in consultation with South Australia regarding this option, </w:t>
      </w:r>
      <w:r w:rsidR="00837A76">
        <w:t>the EPA</w:t>
      </w:r>
      <w:r w:rsidR="00FE02C8">
        <w:t xml:space="preserve"> implemented their own instance of the solution, that being a separate database to NSW. It was also heavily customised to meet their requirements and regulatory needs. </w:t>
      </w:r>
    </w:p>
    <w:p w:rsidR="00FE02C8" w:rsidRDefault="00FE02C8" w:rsidP="00C3767C">
      <w:pPr>
        <w:pStyle w:val="Heading40"/>
        <w:spacing w:before="0" w:after="240"/>
      </w:pPr>
      <w:r>
        <w:lastRenderedPageBreak/>
        <w:t>What it will and won’t deliver</w:t>
      </w:r>
    </w:p>
    <w:p w:rsidR="00FE02C8" w:rsidRDefault="00FE02C8" w:rsidP="00C3767C">
      <w:pPr>
        <w:pStyle w:val="BodyText"/>
        <w:spacing w:after="240"/>
        <w:ind w:left="1134"/>
      </w:pPr>
      <w:r>
        <w:t xml:space="preserve">Based on the objectives set out above, this option will deliver objectives 1, 2, 6, 7 and 8. </w:t>
      </w:r>
      <w:r w:rsidR="00D00211">
        <w:t>While</w:t>
      </w:r>
      <w:r>
        <w:t xml:space="preserve"> each state and territory will have their own instance, this option will provide a standard s</w:t>
      </w:r>
      <w:r w:rsidR="00163A76">
        <w:t>olution, based on the NSW system,</w:t>
      </w:r>
      <w:r>
        <w:t xml:space="preserve"> for states, territories and industry to manage controlled waste. This will also help to deliver standard business processes and potentially standardisation of code sets. </w:t>
      </w:r>
      <w:r w:rsidR="00163A76">
        <w:t>It</w:t>
      </w:r>
      <w:r>
        <w:t xml:space="preserve"> will require agreement from all jurisdictions for this to be achieved. </w:t>
      </w:r>
    </w:p>
    <w:p w:rsidR="00FE02C8" w:rsidRDefault="00FE02C8" w:rsidP="00C3767C">
      <w:pPr>
        <w:pStyle w:val="BodyText"/>
        <w:spacing w:after="240"/>
        <w:ind w:left="1134"/>
      </w:pPr>
      <w:r>
        <w:t xml:space="preserve">This option will not deliver objectives 3, 4 and 5, this being the required solution to automate the process of extracting data from each electronic system and loading it to a central repository for reporting and analysis by DoE to facilitate decision making and policy development. </w:t>
      </w:r>
    </w:p>
    <w:p w:rsidR="00C3767C" w:rsidRPr="00C3767C" w:rsidRDefault="00C3767C" w:rsidP="00C3767C">
      <w:pPr>
        <w:pStyle w:val="Caption"/>
        <w:ind w:left="567" w:firstLine="567"/>
        <w:rPr>
          <w:lang w:eastAsia="en-US"/>
        </w:rPr>
      </w:pPr>
      <w:bookmarkStart w:id="80" w:name="_Toc421181779"/>
      <w:r w:rsidRPr="00C3767C">
        <w:t xml:space="preserve">Table </w:t>
      </w:r>
      <w:r w:rsidR="00350C10" w:rsidRPr="00C3767C">
        <w:fldChar w:fldCharType="begin"/>
      </w:r>
      <w:r w:rsidRPr="00C3767C">
        <w:instrText xml:space="preserve"> STYLEREF "_Heading1" \n </w:instrText>
      </w:r>
      <w:r w:rsidR="00350C10" w:rsidRPr="00C3767C">
        <w:fldChar w:fldCharType="separate"/>
      </w:r>
      <w:r w:rsidR="00261FA5">
        <w:rPr>
          <w:noProof/>
        </w:rPr>
        <w:t>5</w:t>
      </w:r>
      <w:r w:rsidR="00350C10" w:rsidRPr="00C3767C">
        <w:fldChar w:fldCharType="end"/>
      </w:r>
      <w:r w:rsidRPr="00C3767C">
        <w:t>-</w:t>
      </w:r>
      <w:r w:rsidR="00350C10" w:rsidRPr="00C3767C">
        <w:fldChar w:fldCharType="begin"/>
      </w:r>
      <w:r w:rsidRPr="00C3767C">
        <w:instrText xml:space="preserve"> SEQ Table \* Arabic </w:instrText>
      </w:r>
      <w:r w:rsidR="00350C10" w:rsidRPr="00C3767C">
        <w:fldChar w:fldCharType="separate"/>
      </w:r>
      <w:r w:rsidR="00261FA5">
        <w:rPr>
          <w:noProof/>
        </w:rPr>
        <w:t>18</w:t>
      </w:r>
      <w:r w:rsidR="00350C10" w:rsidRPr="00C3767C">
        <w:fldChar w:fldCharType="end"/>
      </w:r>
      <w:r w:rsidRPr="00C3767C">
        <w:tab/>
      </w:r>
      <w:r w:rsidR="00837A76">
        <w:t>Pros and cons of rolling out the NSW system</w:t>
      </w:r>
      <w:bookmarkEnd w:id="80"/>
    </w:p>
    <w:tbl>
      <w:tblPr>
        <w:tblStyle w:val="HyderTableStyle"/>
        <w:tblW w:w="0" w:type="auto"/>
        <w:tblInd w:w="1134" w:type="dxa"/>
        <w:tblLook w:val="04A0"/>
      </w:tblPr>
      <w:tblGrid>
        <w:gridCol w:w="4337"/>
        <w:gridCol w:w="4338"/>
      </w:tblGrid>
      <w:tr w:rsidR="00E64A30" w:rsidTr="00E64A30">
        <w:trPr>
          <w:cnfStyle w:val="100000000000"/>
        </w:trPr>
        <w:tc>
          <w:tcPr>
            <w:tcW w:w="4337" w:type="dxa"/>
            <w:vAlign w:val="center"/>
          </w:tcPr>
          <w:p w:rsidR="00E64A30" w:rsidRDefault="00E64A30" w:rsidP="00E64A30">
            <w:pPr>
              <w:pStyle w:val="BodyText"/>
            </w:pPr>
            <w:r w:rsidRPr="0080316D">
              <w:rPr>
                <w:b/>
              </w:rPr>
              <w:t>Pros</w:t>
            </w:r>
          </w:p>
        </w:tc>
        <w:tc>
          <w:tcPr>
            <w:tcW w:w="4338" w:type="dxa"/>
            <w:vAlign w:val="center"/>
          </w:tcPr>
          <w:p w:rsidR="00E64A30" w:rsidRDefault="00E64A30" w:rsidP="00E64A30">
            <w:pPr>
              <w:pStyle w:val="BodyText"/>
            </w:pPr>
            <w:r w:rsidRPr="0080316D">
              <w:rPr>
                <w:b/>
              </w:rPr>
              <w:t>Cons</w:t>
            </w:r>
          </w:p>
        </w:tc>
      </w:tr>
      <w:tr w:rsidR="00E64A30" w:rsidRPr="0080316D" w:rsidTr="00E64A30">
        <w:tc>
          <w:tcPr>
            <w:tcW w:w="4337" w:type="dxa"/>
          </w:tcPr>
          <w:p w:rsidR="00E64A30" w:rsidRDefault="00E64A30" w:rsidP="00927C5E">
            <w:r>
              <w:t xml:space="preserve">Provides </w:t>
            </w:r>
            <w:r w:rsidR="00837A76">
              <w:t xml:space="preserve">the same system base across all </w:t>
            </w:r>
            <w:r>
              <w:t>jurisdictions – but not exactly not same instance of system</w:t>
            </w:r>
          </w:p>
          <w:p w:rsidR="00E64A30" w:rsidRDefault="00E64A30" w:rsidP="00927C5E">
            <w:r>
              <w:t>Provides a standard interface for all jurisdictions</w:t>
            </w:r>
          </w:p>
          <w:p w:rsidR="00E64A30" w:rsidRDefault="00E64A30" w:rsidP="00927C5E">
            <w:r>
              <w:t>Provides the ability to standardise processes and code sets</w:t>
            </w:r>
          </w:p>
          <w:p w:rsidR="00E64A30" w:rsidRDefault="00E64A30" w:rsidP="00927C5E">
            <w:r>
              <w:t>Provides much of the required functionality</w:t>
            </w:r>
          </w:p>
          <w:p w:rsidR="00E64A30" w:rsidRPr="0080316D" w:rsidRDefault="00E64A30" w:rsidP="00927C5E">
            <w:r>
              <w:t>Can provide an electronic system to those jurisdic</w:t>
            </w:r>
            <w:r w:rsidR="00163A76">
              <w:t>tions currently running a paper-</w:t>
            </w:r>
            <w:r>
              <w:t>based system</w:t>
            </w:r>
          </w:p>
        </w:tc>
        <w:tc>
          <w:tcPr>
            <w:tcW w:w="4338" w:type="dxa"/>
          </w:tcPr>
          <w:p w:rsidR="00E64A30" w:rsidRDefault="00E64A30" w:rsidP="00927C5E">
            <w:r>
              <w:t>Can be quite lengthy to successfully complete based on the two year timeframe from South Australia</w:t>
            </w:r>
          </w:p>
          <w:p w:rsidR="00E64A30" w:rsidRDefault="00E64A30" w:rsidP="00927C5E">
            <w:r>
              <w:t xml:space="preserve">Can be quite costly for each jurisdiction to implement – </w:t>
            </w:r>
            <w:r w:rsidR="00E94CC0">
              <w:t>a high level estimate</w:t>
            </w:r>
            <w:r>
              <w:t xml:space="preserve"> from </w:t>
            </w:r>
            <w:r w:rsidR="00E94CC0">
              <w:t>South Australia was at least $20</w:t>
            </w:r>
            <w:r>
              <w:t>0,000 which is seen as a conservative cost as it may not have included all of the change management and training costs</w:t>
            </w:r>
          </w:p>
          <w:p w:rsidR="00E64A30" w:rsidRDefault="00E64A30" w:rsidP="00927C5E">
            <w:r>
              <w:t xml:space="preserve">Each jurisdiction will need to customise the solution based on their </w:t>
            </w:r>
            <w:r w:rsidR="00163A76">
              <w:t xml:space="preserve">own </w:t>
            </w:r>
            <w:r>
              <w:t>requirements</w:t>
            </w:r>
          </w:p>
          <w:p w:rsidR="00E64A30" w:rsidRDefault="00E64A30" w:rsidP="00927C5E">
            <w:r>
              <w:t xml:space="preserve">It does not resolve DoE issues with reporting and analysis of the data – in particular regulatory reporting and identifying trends, gaps and issues </w:t>
            </w:r>
          </w:p>
          <w:p w:rsidR="00E64A30" w:rsidRDefault="00E64A30" w:rsidP="00927C5E">
            <w:r>
              <w:t>Significant change management and training required</w:t>
            </w:r>
          </w:p>
          <w:p w:rsidR="00E64A30" w:rsidRDefault="00E64A30" w:rsidP="00927C5E">
            <w:r>
              <w:t>Does not provide a single system nati</w:t>
            </w:r>
            <w:r w:rsidR="00163A76">
              <w:t>onally – that is a single front-</w:t>
            </w:r>
            <w:r>
              <w:t xml:space="preserve">end and database. Therefore it will require a high level of governance to make sure no one deviates significantly from their peers in other states. </w:t>
            </w:r>
          </w:p>
          <w:p w:rsidR="00E64A30" w:rsidRPr="0080316D" w:rsidRDefault="00E64A30" w:rsidP="00CF34FE">
            <w:r>
              <w:t xml:space="preserve">Does not provide the economies of scale as </w:t>
            </w:r>
            <w:r w:rsidR="00CF34FE">
              <w:t>each implementation is</w:t>
            </w:r>
            <w:r>
              <w:t xml:space="preserve"> </w:t>
            </w:r>
            <w:r w:rsidR="00CF34FE">
              <w:t>a separate instance</w:t>
            </w:r>
            <w:r>
              <w:t xml:space="preserve">. </w:t>
            </w:r>
          </w:p>
        </w:tc>
      </w:tr>
    </w:tbl>
    <w:p w:rsidR="00E64A30" w:rsidRPr="00E64A30" w:rsidRDefault="00E64A30" w:rsidP="00837A76">
      <w:pPr>
        <w:pStyle w:val="CaptionFollowOn"/>
        <w:ind w:left="0"/>
      </w:pPr>
    </w:p>
    <w:p w:rsidR="00FE02C8" w:rsidRDefault="00FE02C8" w:rsidP="00E64A30">
      <w:pPr>
        <w:pStyle w:val="Heading40"/>
      </w:pPr>
      <w:r w:rsidRPr="00D71951">
        <w:t>Potential stages for implementation</w:t>
      </w:r>
    </w:p>
    <w:p w:rsidR="00FE02C8" w:rsidRPr="00E64A30" w:rsidRDefault="00FE02C8" w:rsidP="00E64A30">
      <w:pPr>
        <w:ind w:left="1134"/>
      </w:pPr>
      <w:r w:rsidRPr="00E64A30">
        <w:t>As this option will deliver separate instances of the same solution, implementation across all states and territori</w:t>
      </w:r>
      <w:r w:rsidR="00163A76">
        <w:t>es can be done simultaneously. H</w:t>
      </w:r>
      <w:r w:rsidRPr="00E64A30">
        <w:t xml:space="preserve">owever given the nature of the change this is not recommended. </w:t>
      </w:r>
      <w:r w:rsidR="00D00211">
        <w:t>While</w:t>
      </w:r>
      <w:r w:rsidRPr="00E64A30">
        <w:t xml:space="preserve"> an implementation planning study would need to be conducted, it is recommended that for this option, those states with a current paper based system implement the solution first. </w:t>
      </w:r>
      <w:r w:rsidR="00163A76">
        <w:t xml:space="preserve">Those with </w:t>
      </w:r>
      <w:r w:rsidRPr="00E64A30">
        <w:t xml:space="preserve">electronic systems would be the final phases for implementation. </w:t>
      </w:r>
    </w:p>
    <w:p w:rsidR="00FE02C8" w:rsidRPr="00E64A30" w:rsidRDefault="00FE02C8" w:rsidP="00E64A30">
      <w:pPr>
        <w:pStyle w:val="Heading40"/>
      </w:pPr>
      <w:r w:rsidRPr="00E64A30">
        <w:t>Barriers to overcome</w:t>
      </w:r>
    </w:p>
    <w:p w:rsidR="00FE02C8" w:rsidRPr="00E64A30" w:rsidRDefault="00FE02C8" w:rsidP="00E64A30">
      <w:pPr>
        <w:ind w:left="1134"/>
      </w:pPr>
      <w:r w:rsidRPr="00E64A30">
        <w:t xml:space="preserve">A number of barriers would need to be overcome </w:t>
      </w:r>
      <w:r w:rsidR="00837A76">
        <w:t>to</w:t>
      </w:r>
      <w:r w:rsidRPr="00E64A30">
        <w:t xml:space="preserve"> implement this option:</w:t>
      </w:r>
    </w:p>
    <w:p w:rsidR="00FE02C8" w:rsidRPr="00E64A30" w:rsidRDefault="00FE02C8" w:rsidP="00B4070B">
      <w:pPr>
        <w:pStyle w:val="ListParagraph"/>
        <w:numPr>
          <w:ilvl w:val="2"/>
          <w:numId w:val="3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240" w:after="200" w:line="276" w:lineRule="auto"/>
        <w:ind w:left="1494"/>
      </w:pPr>
      <w:r w:rsidRPr="00E64A30">
        <w:lastRenderedPageBreak/>
        <w:t>Agreed standardisation of code sets, business rules and business processes across all jurisdictions</w:t>
      </w:r>
    </w:p>
    <w:p w:rsidR="00FE02C8" w:rsidRPr="00E64A30" w:rsidRDefault="00FE02C8" w:rsidP="00B4070B">
      <w:pPr>
        <w:pStyle w:val="ListParagraph"/>
        <w:numPr>
          <w:ilvl w:val="2"/>
          <w:numId w:val="3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240" w:after="0" w:line="240" w:lineRule="auto"/>
        <w:ind w:left="1494"/>
      </w:pPr>
      <w:r w:rsidRPr="00E64A30">
        <w:t>Gaining agreement from those states with an existing electronic system</w:t>
      </w:r>
      <w:r w:rsidR="00837A76">
        <w:t>,</w:t>
      </w:r>
      <w:r w:rsidRPr="00E64A30">
        <w:t xml:space="preserve"> such as Victoria and Western Australia</w:t>
      </w:r>
      <w:r w:rsidR="00837A76">
        <w:t>,</w:t>
      </w:r>
      <w:r w:rsidRPr="00E64A30">
        <w:t xml:space="preserve"> to implement this option after spending significant time and money on their own systems</w:t>
      </w:r>
    </w:p>
    <w:p w:rsidR="00FE02C8" w:rsidRPr="00E64A30" w:rsidRDefault="00FE02C8" w:rsidP="00B4070B">
      <w:pPr>
        <w:pStyle w:val="ListParagraph"/>
        <w:numPr>
          <w:ilvl w:val="2"/>
          <w:numId w:val="3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240" w:after="0" w:line="240" w:lineRule="auto"/>
        <w:ind w:left="1494"/>
      </w:pPr>
      <w:r w:rsidRPr="00E64A30">
        <w:t>Any required legislative / regulatory changes to provide uniformity nationally</w:t>
      </w:r>
      <w:r w:rsidR="00E64A30">
        <w:t>.</w:t>
      </w:r>
    </w:p>
    <w:p w:rsidR="00FE02C8" w:rsidRPr="00E64A30" w:rsidRDefault="00FE02C8" w:rsidP="00E64A30">
      <w:pPr>
        <w:pStyle w:val="Heading40"/>
      </w:pPr>
      <w:r w:rsidRPr="00E64A30">
        <w:t xml:space="preserve">Estimated cost (implementation and </w:t>
      </w:r>
      <w:r w:rsidR="0006706C">
        <w:t>operation</w:t>
      </w:r>
      <w:r w:rsidRPr="00E64A30">
        <w:t>)</w:t>
      </w:r>
    </w:p>
    <w:p w:rsidR="00837A76" w:rsidRDefault="00FE02C8" w:rsidP="00E64A30">
      <w:pPr>
        <w:ind w:left="1134"/>
      </w:pPr>
      <w:r w:rsidRPr="00E64A30">
        <w:t xml:space="preserve">The estimated cost for implementation is based on the estimates received from South Australia. </w:t>
      </w:r>
      <w:r w:rsidR="00E94CC0">
        <w:t>A back of the envelope estimation</w:t>
      </w:r>
      <w:r w:rsidRPr="00E64A30">
        <w:t xml:space="preserve"> was </w:t>
      </w:r>
      <w:r w:rsidR="00E94CC0">
        <w:t>that it cost in the order of $20</w:t>
      </w:r>
      <w:r w:rsidRPr="00E64A30">
        <w:t>0,000 over two years</w:t>
      </w:r>
      <w:r w:rsidR="00163A76">
        <w:t>,</w:t>
      </w:r>
      <w:r w:rsidRPr="00E64A30">
        <w:t xml:space="preserve"> mainly attributed to </w:t>
      </w:r>
      <w:r w:rsidR="00E94CC0">
        <w:t xml:space="preserve">internal </w:t>
      </w:r>
      <w:r w:rsidRPr="00E64A30">
        <w:t xml:space="preserve">resource costs. </w:t>
      </w:r>
    </w:p>
    <w:p w:rsidR="00CF34FE" w:rsidRDefault="00FE02C8" w:rsidP="00837A76">
      <w:pPr>
        <w:ind w:left="1134"/>
      </w:pPr>
      <w:r w:rsidRPr="00E64A30">
        <w:t>The view is that this may have been a conservative amount given the timeframe and number of resources assigned to the project. A more likely figure is that this</w:t>
      </w:r>
      <w:r w:rsidR="00C3767C">
        <w:t xml:space="preserve"> is somewhere between $250,000 and</w:t>
      </w:r>
      <w:r w:rsidRPr="00E64A30">
        <w:t xml:space="preserve"> $350,000. Based on this it is expecte</w:t>
      </w:r>
      <w:r w:rsidR="00C3767C">
        <w:t>d that on average each jurisdic</w:t>
      </w:r>
      <w:r w:rsidRPr="00E64A30">
        <w:t xml:space="preserve">tion will spend a similar amount. </w:t>
      </w:r>
      <w:r w:rsidR="00CF34FE" w:rsidRPr="00CF34FE">
        <w:t>Should jurisdictions that already have electronic tracking undertake this option, further costs for data migration would need to be added</w:t>
      </w:r>
      <w:r w:rsidR="00CF34FE">
        <w:t>, in</w:t>
      </w:r>
      <w:r w:rsidR="00CF34FE" w:rsidRPr="00CF34FE">
        <w:t xml:space="preserve"> the range of $100,000 </w:t>
      </w:r>
      <w:r w:rsidR="00CF34FE">
        <w:t>to</w:t>
      </w:r>
      <w:r w:rsidR="00CF34FE" w:rsidRPr="00CF34FE">
        <w:t xml:space="preserve"> $200,000 per implementation.</w:t>
      </w:r>
    </w:p>
    <w:p w:rsidR="00FE02C8" w:rsidRPr="00E64A30" w:rsidRDefault="00FE02C8" w:rsidP="00837A76">
      <w:pPr>
        <w:ind w:left="1134"/>
      </w:pPr>
      <w:r w:rsidRPr="00E64A30">
        <w:t xml:space="preserve">Should this solution be </w:t>
      </w:r>
      <w:r w:rsidR="00CF34FE">
        <w:t>adopted</w:t>
      </w:r>
      <w:r w:rsidRPr="00E64A30">
        <w:t xml:space="preserve"> in each jurisdiction outside of NSW and South Australia, this would bring the total </w:t>
      </w:r>
      <w:r w:rsidR="009017E7">
        <w:t xml:space="preserve">cost </w:t>
      </w:r>
      <w:r w:rsidRPr="00E64A30">
        <w:t>to somewhere between $1.</w:t>
      </w:r>
      <w:r w:rsidR="00CF34FE">
        <w:t>7</w:t>
      </w:r>
      <w:r w:rsidRPr="00E64A30">
        <w:t>5</w:t>
      </w:r>
      <w:r w:rsidR="00163A76">
        <w:t xml:space="preserve"> </w:t>
      </w:r>
      <w:r w:rsidRPr="00E64A30">
        <w:t>m</w:t>
      </w:r>
      <w:r w:rsidR="00163A76">
        <w:t xml:space="preserve">illion and </w:t>
      </w:r>
      <w:r w:rsidRPr="00E64A30">
        <w:t>$2</w:t>
      </w:r>
      <w:r w:rsidR="00163A76">
        <w:t xml:space="preserve"> </w:t>
      </w:r>
      <w:r w:rsidRPr="00E64A30">
        <w:t>m</w:t>
      </w:r>
      <w:r w:rsidR="00163A76">
        <w:t>illion</w:t>
      </w:r>
      <w:r w:rsidRPr="00E64A30">
        <w:t xml:space="preserve">. </w:t>
      </w:r>
    </w:p>
    <w:p w:rsidR="00FE02C8" w:rsidRPr="004B2DDF" w:rsidRDefault="00FE02C8" w:rsidP="00E64A30">
      <w:pPr>
        <w:ind w:left="1134"/>
        <w:rPr>
          <w:sz w:val="22"/>
        </w:rPr>
      </w:pPr>
      <w:r w:rsidRPr="00E64A30">
        <w:t xml:space="preserve">Ongoing support costs for maintenance of the system, infrastructure, licenses </w:t>
      </w:r>
      <w:r w:rsidR="00163A76">
        <w:t>and the like</w:t>
      </w:r>
      <w:r w:rsidRPr="00E64A30">
        <w:t xml:space="preserve"> is expected to be in the order of $50,000 </w:t>
      </w:r>
      <w:r w:rsidR="00163A76">
        <w:t>to</w:t>
      </w:r>
      <w:r w:rsidRPr="00E64A30">
        <w:t xml:space="preserve"> $150,000 per annum </w:t>
      </w:r>
      <w:r w:rsidR="00163A76">
        <w:t>for each</w:t>
      </w:r>
      <w:r w:rsidRPr="00E64A30">
        <w:t xml:space="preserve"> jurisdiction. </w:t>
      </w:r>
    </w:p>
    <w:p w:rsidR="00FE02C8" w:rsidRDefault="00FE02C8" w:rsidP="00E64A30">
      <w:pPr>
        <w:pStyle w:val="Heading3"/>
      </w:pPr>
      <w:r w:rsidRPr="00137F00">
        <w:t>D</w:t>
      </w:r>
      <w:r>
        <w:t xml:space="preserve">oE </w:t>
      </w:r>
      <w:r w:rsidR="009017E7">
        <w:t xml:space="preserve">data </w:t>
      </w:r>
      <w:r>
        <w:t>access to electronic systems</w:t>
      </w:r>
    </w:p>
    <w:p w:rsidR="00FE02C8" w:rsidRDefault="00FE02C8" w:rsidP="00E64A30">
      <w:pPr>
        <w:pStyle w:val="BodyText"/>
        <w:ind w:left="1134"/>
      </w:pPr>
      <w:r>
        <w:t xml:space="preserve">The option enables DoE to gain access to those jurisdictions with an electronic system and extract </w:t>
      </w:r>
      <w:r w:rsidR="0006706C">
        <w:t>the</w:t>
      </w:r>
      <w:r>
        <w:t xml:space="preserve"> data it requires. This will </w:t>
      </w:r>
      <w:r w:rsidR="00163A76">
        <w:t>most likely require direct back-</w:t>
      </w:r>
      <w:r>
        <w:t>end access to extract data</w:t>
      </w:r>
      <w:r w:rsidR="00DB712A">
        <w:t xml:space="preserve"> and system access to the front-</w:t>
      </w:r>
      <w:r>
        <w:t>end to verify any data. This option will require each jurisdiction with an electronic system to review and potentially modify their system should th</w:t>
      </w:r>
      <w:r w:rsidR="00E64A30">
        <w:t>e</w:t>
      </w:r>
      <w:r>
        <w:t xml:space="preserve">re be any security concerns with access to data. </w:t>
      </w:r>
    </w:p>
    <w:p w:rsidR="00FE02C8" w:rsidRDefault="00FE02C8" w:rsidP="00E64A30">
      <w:pPr>
        <w:pStyle w:val="Heading40"/>
      </w:pPr>
      <w:r w:rsidRPr="00D75B43">
        <w:t xml:space="preserve">What it will </w:t>
      </w:r>
      <w:r>
        <w:t xml:space="preserve">and won’t </w:t>
      </w:r>
      <w:r w:rsidRPr="00D75B43">
        <w:t>deliver</w:t>
      </w:r>
    </w:p>
    <w:p w:rsidR="00586EB9" w:rsidRDefault="00FE02C8" w:rsidP="00586EB9">
      <w:pPr>
        <w:pStyle w:val="BodyText"/>
        <w:ind w:left="1134"/>
      </w:pPr>
      <w:r>
        <w:t>This option will not directly deliver any of the stated objectives. It will only deliver the ability for DoE to gain access to data f</w:t>
      </w:r>
      <w:r w:rsidR="0006706C">
        <w:t xml:space="preserve">or extraction and verification, with all </w:t>
      </w:r>
      <w:r>
        <w:t>reporting and analysis still be</w:t>
      </w:r>
      <w:r w:rsidR="0006706C">
        <w:t>ing</w:t>
      </w:r>
      <w:r>
        <w:t xml:space="preserve"> of a manual nature. </w:t>
      </w:r>
    </w:p>
    <w:p w:rsidR="00B1789F" w:rsidRPr="00B1789F" w:rsidRDefault="00B1789F" w:rsidP="00586EB9">
      <w:pPr>
        <w:pStyle w:val="Caption"/>
        <w:keepNext/>
        <w:ind w:left="567" w:firstLine="567"/>
        <w:rPr>
          <w:lang w:eastAsia="en-US"/>
        </w:rPr>
      </w:pPr>
      <w:bookmarkStart w:id="81" w:name="_Toc421181780"/>
      <w:r w:rsidRPr="006226B1">
        <w:rPr>
          <w:lang w:eastAsia="en-US"/>
        </w:rPr>
        <w:t xml:space="preserve">Table </w:t>
      </w:r>
      <w:r w:rsidR="00350C10" w:rsidRPr="006226B1">
        <w:rPr>
          <w:lang w:eastAsia="en-US"/>
        </w:rPr>
        <w:fldChar w:fldCharType="begin"/>
      </w:r>
      <w:r w:rsidRPr="006226B1">
        <w:rPr>
          <w:lang w:eastAsia="en-US"/>
        </w:rPr>
        <w:instrText xml:space="preserve"> STYLEREF "_Heading1" \n </w:instrText>
      </w:r>
      <w:r w:rsidR="00350C10" w:rsidRPr="006226B1">
        <w:rPr>
          <w:lang w:eastAsia="en-US"/>
        </w:rPr>
        <w:fldChar w:fldCharType="separate"/>
      </w:r>
      <w:r w:rsidR="00261FA5">
        <w:rPr>
          <w:noProof/>
          <w:lang w:eastAsia="en-US"/>
        </w:rPr>
        <w:t>5</w:t>
      </w:r>
      <w:r w:rsidR="00350C10" w:rsidRPr="006226B1">
        <w:rPr>
          <w:lang w:eastAsia="en-US"/>
        </w:rPr>
        <w:fldChar w:fldCharType="end"/>
      </w:r>
      <w:r w:rsidRPr="006226B1">
        <w:rPr>
          <w:lang w:eastAsia="en-US"/>
        </w:rPr>
        <w:t>-</w:t>
      </w:r>
      <w:r w:rsidR="00350C10">
        <w:rPr>
          <w:lang w:eastAsia="en-US"/>
        </w:rPr>
        <w:fldChar w:fldCharType="begin"/>
      </w:r>
      <w:r>
        <w:rPr>
          <w:lang w:eastAsia="en-US"/>
        </w:rPr>
        <w:instrText xml:space="preserve"> SEQ Table \* Arabic </w:instrText>
      </w:r>
      <w:r w:rsidR="00350C10">
        <w:rPr>
          <w:lang w:eastAsia="en-US"/>
        </w:rPr>
        <w:fldChar w:fldCharType="separate"/>
      </w:r>
      <w:r w:rsidR="00261FA5">
        <w:rPr>
          <w:noProof/>
          <w:lang w:eastAsia="en-US"/>
        </w:rPr>
        <w:t>19</w:t>
      </w:r>
      <w:r w:rsidR="00350C10">
        <w:rPr>
          <w:lang w:eastAsia="en-US"/>
        </w:rPr>
        <w:fldChar w:fldCharType="end"/>
      </w:r>
      <w:r w:rsidRPr="006226B1">
        <w:rPr>
          <w:lang w:eastAsia="en-US"/>
        </w:rPr>
        <w:tab/>
      </w:r>
      <w:r w:rsidR="0006706C">
        <w:rPr>
          <w:lang w:eastAsia="en-US"/>
        </w:rPr>
        <w:t>Pros and cons of a data access agreement</w:t>
      </w:r>
      <w:bookmarkEnd w:id="81"/>
    </w:p>
    <w:tbl>
      <w:tblPr>
        <w:tblStyle w:val="HyderTableStyle"/>
        <w:tblW w:w="0" w:type="auto"/>
        <w:tblInd w:w="1134" w:type="dxa"/>
        <w:tblLook w:val="04A0"/>
      </w:tblPr>
      <w:tblGrid>
        <w:gridCol w:w="4337"/>
        <w:gridCol w:w="4338"/>
      </w:tblGrid>
      <w:tr w:rsidR="00E64A30" w:rsidTr="00586EB9">
        <w:trPr>
          <w:cnfStyle w:val="100000000000"/>
          <w:cantSplit w:val="off"/>
        </w:trPr>
        <w:tc>
          <w:tcPr>
            <w:tcW w:w="4337" w:type="dxa"/>
            <w:vAlign w:val="center"/>
          </w:tcPr>
          <w:p w:rsidR="00E64A30" w:rsidRDefault="00E64A30" w:rsidP="00E64A30">
            <w:pPr>
              <w:pStyle w:val="BodyText"/>
            </w:pPr>
            <w:r w:rsidRPr="0080316D">
              <w:rPr>
                <w:b/>
              </w:rPr>
              <w:t>Pros</w:t>
            </w:r>
          </w:p>
        </w:tc>
        <w:tc>
          <w:tcPr>
            <w:tcW w:w="4338" w:type="dxa"/>
            <w:vAlign w:val="center"/>
          </w:tcPr>
          <w:p w:rsidR="00E64A30" w:rsidRDefault="00E64A30" w:rsidP="00E64A30">
            <w:pPr>
              <w:pStyle w:val="BodyText"/>
            </w:pPr>
            <w:r w:rsidRPr="0080316D">
              <w:rPr>
                <w:b/>
              </w:rPr>
              <w:t>Cons</w:t>
            </w:r>
          </w:p>
        </w:tc>
      </w:tr>
      <w:tr w:rsidR="00E64A30" w:rsidRPr="0080316D" w:rsidTr="00586EB9">
        <w:trPr>
          <w:cantSplit w:val="off"/>
        </w:trPr>
        <w:tc>
          <w:tcPr>
            <w:tcW w:w="4337" w:type="dxa"/>
          </w:tcPr>
          <w:p w:rsidR="00E64A30" w:rsidRDefault="00E64A30" w:rsidP="00112897">
            <w:pPr>
              <w:spacing w:after="120"/>
            </w:pPr>
            <w:r>
              <w:t>Less expensive to execute and implement first off than other options</w:t>
            </w:r>
          </w:p>
          <w:p w:rsidR="00E64A30" w:rsidRPr="0080316D" w:rsidRDefault="00E64A30" w:rsidP="00112897">
            <w:pPr>
              <w:spacing w:after="120"/>
            </w:pPr>
            <w:r>
              <w:t>Provides access to raw data whenever DoE require it</w:t>
            </w:r>
          </w:p>
        </w:tc>
        <w:tc>
          <w:tcPr>
            <w:tcW w:w="4338" w:type="dxa"/>
          </w:tcPr>
          <w:p w:rsidR="00E64A30" w:rsidRDefault="00E64A30" w:rsidP="00112897">
            <w:pPr>
              <w:spacing w:after="120"/>
            </w:pPr>
            <w:r>
              <w:t>Only addresses data issues for jurisdictions with an electronic system</w:t>
            </w:r>
          </w:p>
          <w:p w:rsidR="00E64A30" w:rsidRDefault="00E64A30" w:rsidP="00112897">
            <w:pPr>
              <w:spacing w:after="120"/>
            </w:pPr>
            <w:r>
              <w:t xml:space="preserve">It does not provide </w:t>
            </w:r>
            <w:r w:rsidR="00CF1B08">
              <w:t xml:space="preserve">a </w:t>
            </w:r>
            <w:r w:rsidR="009017E7">
              <w:t>tracking system</w:t>
            </w:r>
            <w:r>
              <w:t xml:space="preserve"> to jur</w:t>
            </w:r>
            <w:r w:rsidR="001648FC">
              <w:t xml:space="preserve">isdictions without </w:t>
            </w:r>
            <w:r>
              <w:t>system</w:t>
            </w:r>
            <w:r w:rsidR="001648FC">
              <w:t>s</w:t>
            </w:r>
          </w:p>
          <w:p w:rsidR="00E64A30" w:rsidRDefault="00E64A30" w:rsidP="00112897">
            <w:pPr>
              <w:spacing w:after="120"/>
            </w:pPr>
            <w:r>
              <w:t xml:space="preserve">It does not resolve DoE issues with reporting and analysis of the data – in particular regulatory reporting and identifying trends, gaps and issues </w:t>
            </w:r>
          </w:p>
          <w:p w:rsidR="00E64A30" w:rsidRDefault="00E64A30" w:rsidP="00112897">
            <w:pPr>
              <w:spacing w:after="120"/>
            </w:pPr>
            <w:r>
              <w:t>It does not resolve mapping issues with code sets</w:t>
            </w:r>
            <w:r w:rsidR="00EC3E58">
              <w:t>, standard business processes and rules</w:t>
            </w:r>
          </w:p>
          <w:p w:rsidR="00E64A30" w:rsidRDefault="00E64A30" w:rsidP="00112897">
            <w:pPr>
              <w:spacing w:after="120"/>
            </w:pPr>
            <w:r>
              <w:t>The whole of life cost is expensive as there is still the need to manually undertake reporting and analysis</w:t>
            </w:r>
            <w:r w:rsidR="00EC3E58">
              <w:t xml:space="preserve"> by DoE</w:t>
            </w:r>
          </w:p>
          <w:p w:rsidR="00E64A30" w:rsidRDefault="00E64A30" w:rsidP="00112897">
            <w:pPr>
              <w:spacing w:after="120"/>
            </w:pPr>
            <w:r>
              <w:lastRenderedPageBreak/>
              <w:t>Requires resou</w:t>
            </w:r>
            <w:r w:rsidR="00EC3E58">
              <w:t>rces that intimately understand</w:t>
            </w:r>
            <w:r>
              <w:t xml:space="preserve"> each of the jurisdictions</w:t>
            </w:r>
            <w:r w:rsidR="00EC3E58">
              <w:t>’</w:t>
            </w:r>
            <w:r>
              <w:t xml:space="preserve"> systems and data model</w:t>
            </w:r>
          </w:p>
          <w:p w:rsidR="00E64A30" w:rsidRPr="0080316D" w:rsidRDefault="00E64A30" w:rsidP="00112897">
            <w:pPr>
              <w:spacing w:after="120"/>
            </w:pPr>
            <w:r>
              <w:t>Greater risk of misinterpreting state based data</w:t>
            </w:r>
          </w:p>
        </w:tc>
      </w:tr>
    </w:tbl>
    <w:p w:rsidR="00FE02C8" w:rsidRDefault="00FE02C8" w:rsidP="00E64A30">
      <w:pPr>
        <w:pStyle w:val="Heading40"/>
      </w:pPr>
      <w:r w:rsidRPr="00D71951">
        <w:lastRenderedPageBreak/>
        <w:t>Potential stages for implementation</w:t>
      </w:r>
    </w:p>
    <w:p w:rsidR="00FE02C8" w:rsidRPr="00DB712A" w:rsidRDefault="00FE02C8" w:rsidP="00B1789F">
      <w:pPr>
        <w:ind w:left="1134"/>
      </w:pPr>
      <w:r w:rsidRPr="00DB712A">
        <w:t>This option is only viable for jurisdictions with an electronic system. Ther</w:t>
      </w:r>
      <w:r w:rsidR="00E64A30" w:rsidRPr="00DB712A">
        <w:t>e</w:t>
      </w:r>
      <w:r w:rsidRPr="00DB712A">
        <w:t>fore implementation can occur simultaneously. Consideration needs to be given as to the required security arrangements and what DoE can and cannot access with respect to the data and what system changes nee</w:t>
      </w:r>
      <w:r w:rsidR="00B1789F" w:rsidRPr="00DB712A">
        <w:t>d to occur to facilitate this.</w:t>
      </w:r>
    </w:p>
    <w:p w:rsidR="00FE02C8" w:rsidRPr="00FE0513" w:rsidRDefault="00FE02C8" w:rsidP="00E64A30">
      <w:pPr>
        <w:pStyle w:val="Heading40"/>
      </w:pPr>
      <w:r w:rsidRPr="00FE0513">
        <w:t>Barriers to overcome</w:t>
      </w:r>
    </w:p>
    <w:p w:rsidR="00FE02C8" w:rsidRPr="002E2594" w:rsidRDefault="00FE02C8" w:rsidP="002E2594">
      <w:pPr>
        <w:ind w:left="1134"/>
      </w:pPr>
      <w:r w:rsidRPr="00B1789F">
        <w:t xml:space="preserve">The main barrier to overcome will be the ability for DoE to gain agreement from each of the jurisdictions for direct access to the data. </w:t>
      </w:r>
      <w:r w:rsidR="002E2594">
        <w:t>The level of access would be negotiated with the s</w:t>
      </w:r>
      <w:r w:rsidR="007050DC">
        <w:t>tate and territory governments</w:t>
      </w:r>
      <w:r w:rsidR="002E2594">
        <w:t xml:space="preserve"> but would be down to the </w:t>
      </w:r>
      <w:r w:rsidR="002E2594" w:rsidRPr="007050DC">
        <w:t>facility and compliance level data</w:t>
      </w:r>
      <w:r w:rsidR="002E2594">
        <w:t xml:space="preserve"> that several jurisdictions indicated</w:t>
      </w:r>
      <w:r w:rsidR="007050DC" w:rsidRPr="007050DC">
        <w:t xml:space="preserve"> </w:t>
      </w:r>
      <w:r w:rsidR="002E2594">
        <w:t>would be sensitive.</w:t>
      </w:r>
    </w:p>
    <w:p w:rsidR="00FE02C8" w:rsidRDefault="00FE02C8" w:rsidP="00E64A30">
      <w:pPr>
        <w:pStyle w:val="Heading40"/>
      </w:pPr>
      <w:r>
        <w:t xml:space="preserve">Estimated cost (implementation and </w:t>
      </w:r>
      <w:r w:rsidR="0006706C">
        <w:t>operation</w:t>
      </w:r>
      <w:r>
        <w:t>)</w:t>
      </w:r>
    </w:p>
    <w:p w:rsidR="0006706C" w:rsidRDefault="00FE02C8" w:rsidP="00E64A30">
      <w:pPr>
        <w:ind w:left="1134"/>
      </w:pPr>
      <w:r w:rsidRPr="00E64A30">
        <w:t>Th</w:t>
      </w:r>
      <w:r w:rsidR="00B1789F">
        <w:t>e estimated cost will depend</w:t>
      </w:r>
      <w:r w:rsidRPr="00E64A30">
        <w:t xml:space="preserve"> on any security and access changes required to existing electronic systems. Should this not be a concern for any jurisdiction then the implementation cost will be minimal as the only tasks required will be for each jurisdiction will be to provide access and any training about the data, data model and system. </w:t>
      </w:r>
    </w:p>
    <w:p w:rsidR="00FE02C8" w:rsidRPr="00E64A30" w:rsidRDefault="00FE02C8" w:rsidP="0006706C">
      <w:pPr>
        <w:ind w:left="1134"/>
      </w:pPr>
      <w:r w:rsidRPr="00E64A30">
        <w:t>The total cost in this scenario is expected to be in th</w:t>
      </w:r>
      <w:r w:rsidR="0006706C">
        <w:t xml:space="preserve">e order of $25,000 to $50,000. </w:t>
      </w:r>
      <w:r w:rsidRPr="00E64A30">
        <w:t xml:space="preserve">Should any system require modifications for security and access, the cost is expected to increase to the order of $50,000 </w:t>
      </w:r>
      <w:r w:rsidR="00DB712A">
        <w:t>to</w:t>
      </w:r>
      <w:r w:rsidRPr="00E64A30">
        <w:t xml:space="preserve"> $150,000. </w:t>
      </w:r>
    </w:p>
    <w:p w:rsidR="00FE02C8" w:rsidRPr="00137F00" w:rsidRDefault="00FE02C8" w:rsidP="00B1789F">
      <w:pPr>
        <w:pStyle w:val="BodyText"/>
        <w:ind w:left="1134"/>
      </w:pPr>
      <w:r w:rsidRPr="00E64A30">
        <w:t>There are no on-going costs to support this solution, however significant costs remain to manually extract, transform, load, report and ana</w:t>
      </w:r>
      <w:r w:rsidR="0006706C">
        <w:t>lyse</w:t>
      </w:r>
      <w:r w:rsidR="00B1789F">
        <w:t xml:space="preserve"> data on a regular basis. </w:t>
      </w:r>
    </w:p>
    <w:p w:rsidR="00FE02C8" w:rsidRDefault="00FE02C8" w:rsidP="00E64A30">
      <w:pPr>
        <w:pStyle w:val="Heading3"/>
      </w:pPr>
      <w:r w:rsidRPr="00137F00">
        <w:t>De</w:t>
      </w:r>
      <w:r w:rsidR="00DB712A">
        <w:t>velop</w:t>
      </w:r>
      <w:r>
        <w:t xml:space="preserve"> a national waste </w:t>
      </w:r>
      <w:r w:rsidR="00DB712A">
        <w:t>tracking</w:t>
      </w:r>
      <w:r>
        <w:t xml:space="preserve"> system</w:t>
      </w:r>
    </w:p>
    <w:p w:rsidR="00FE02C8" w:rsidRDefault="00FE02C8" w:rsidP="00E64A30">
      <w:pPr>
        <w:pStyle w:val="BodyText"/>
        <w:ind w:left="1134"/>
      </w:pPr>
      <w:r>
        <w:t xml:space="preserve">The option is to undertake development of a national waste </w:t>
      </w:r>
      <w:r w:rsidR="00DA69E9">
        <w:t>tracking</w:t>
      </w:r>
      <w:r>
        <w:t xml:space="preserve"> system (for controlled waste) to be implemented in each jurisdiction as a </w:t>
      </w:r>
      <w:proofErr w:type="spellStart"/>
      <w:r>
        <w:t>greenfields</w:t>
      </w:r>
      <w:proofErr w:type="spellEnd"/>
      <w:r>
        <w:t xml:space="preserve"> project. They will share the same front</w:t>
      </w:r>
      <w:r w:rsidR="00DA69E9">
        <w:t>-</w:t>
      </w:r>
      <w:r>
        <w:t xml:space="preserve"> and back</w:t>
      </w:r>
      <w:r w:rsidR="00DA69E9">
        <w:t>-</w:t>
      </w:r>
      <w:r>
        <w:t xml:space="preserve">end. All data required for reporting and analysis will be taken from a single database. The solution will also contain reporting and analysis capability. </w:t>
      </w:r>
    </w:p>
    <w:p w:rsidR="00FE02C8" w:rsidRDefault="00FE02C8" w:rsidP="00C3767C">
      <w:pPr>
        <w:pStyle w:val="Heading40"/>
      </w:pPr>
      <w:r>
        <w:t>What it will and won’t deliver</w:t>
      </w:r>
    </w:p>
    <w:p w:rsidR="00FE02C8" w:rsidRDefault="00FE02C8" w:rsidP="00E64A30">
      <w:pPr>
        <w:pStyle w:val="BodyText"/>
        <w:ind w:left="1134"/>
      </w:pPr>
      <w:r>
        <w:t>This option will deliver all of the objectives set out above. It will provide the required functionality,</w:t>
      </w:r>
      <w:r w:rsidR="00DA69E9">
        <w:t xml:space="preserve"> standardise processes and code </w:t>
      </w:r>
      <w:r>
        <w:t xml:space="preserve">sets and provide the automated capability required for reporting and analysis to support decision making and policy development. </w:t>
      </w:r>
    </w:p>
    <w:p w:rsidR="00B1789F" w:rsidRPr="00B1789F" w:rsidRDefault="00B1789F" w:rsidP="00586EB9">
      <w:pPr>
        <w:pStyle w:val="Caption"/>
        <w:keepNext/>
        <w:ind w:left="567" w:firstLine="567"/>
        <w:rPr>
          <w:lang w:eastAsia="en-US"/>
        </w:rPr>
      </w:pPr>
      <w:bookmarkStart w:id="82" w:name="_Toc421181781"/>
      <w:r w:rsidRPr="006226B1">
        <w:rPr>
          <w:lang w:eastAsia="en-US"/>
        </w:rPr>
        <w:t xml:space="preserve">Table </w:t>
      </w:r>
      <w:r w:rsidR="00350C10" w:rsidRPr="006226B1">
        <w:rPr>
          <w:lang w:eastAsia="en-US"/>
        </w:rPr>
        <w:fldChar w:fldCharType="begin"/>
      </w:r>
      <w:r w:rsidRPr="006226B1">
        <w:rPr>
          <w:lang w:eastAsia="en-US"/>
        </w:rPr>
        <w:instrText xml:space="preserve"> STYLEREF "_Heading1" \n </w:instrText>
      </w:r>
      <w:r w:rsidR="00350C10" w:rsidRPr="006226B1">
        <w:rPr>
          <w:lang w:eastAsia="en-US"/>
        </w:rPr>
        <w:fldChar w:fldCharType="separate"/>
      </w:r>
      <w:r w:rsidR="00261FA5">
        <w:rPr>
          <w:noProof/>
          <w:lang w:eastAsia="en-US"/>
        </w:rPr>
        <w:t>5</w:t>
      </w:r>
      <w:r w:rsidR="00350C10" w:rsidRPr="006226B1">
        <w:rPr>
          <w:lang w:eastAsia="en-US"/>
        </w:rPr>
        <w:fldChar w:fldCharType="end"/>
      </w:r>
      <w:r w:rsidRPr="006226B1">
        <w:rPr>
          <w:lang w:eastAsia="en-US"/>
        </w:rPr>
        <w:t>-</w:t>
      </w:r>
      <w:r w:rsidR="00350C10">
        <w:rPr>
          <w:lang w:eastAsia="en-US"/>
        </w:rPr>
        <w:fldChar w:fldCharType="begin"/>
      </w:r>
      <w:r>
        <w:rPr>
          <w:lang w:eastAsia="en-US"/>
        </w:rPr>
        <w:instrText xml:space="preserve"> SEQ Table \* Arabic </w:instrText>
      </w:r>
      <w:r w:rsidR="00350C10">
        <w:rPr>
          <w:lang w:eastAsia="en-US"/>
        </w:rPr>
        <w:fldChar w:fldCharType="separate"/>
      </w:r>
      <w:r w:rsidR="00261FA5">
        <w:rPr>
          <w:noProof/>
          <w:lang w:eastAsia="en-US"/>
        </w:rPr>
        <w:t>20</w:t>
      </w:r>
      <w:r w:rsidR="00350C10">
        <w:rPr>
          <w:lang w:eastAsia="en-US"/>
        </w:rPr>
        <w:fldChar w:fldCharType="end"/>
      </w:r>
      <w:r w:rsidRPr="006226B1">
        <w:rPr>
          <w:lang w:eastAsia="en-US"/>
        </w:rPr>
        <w:tab/>
      </w:r>
      <w:r w:rsidR="0006706C">
        <w:rPr>
          <w:lang w:eastAsia="en-US"/>
        </w:rPr>
        <w:t xml:space="preserve">Pros and cons of a centralised </w:t>
      </w:r>
      <w:r w:rsidR="00CA74F8">
        <w:rPr>
          <w:lang w:eastAsia="en-US"/>
        </w:rPr>
        <w:t xml:space="preserve">holistic </w:t>
      </w:r>
      <w:r w:rsidR="0006706C">
        <w:rPr>
          <w:lang w:eastAsia="en-US"/>
        </w:rPr>
        <w:t>tracking scheme</w:t>
      </w:r>
      <w:bookmarkEnd w:id="82"/>
    </w:p>
    <w:tbl>
      <w:tblPr>
        <w:tblStyle w:val="HyderTableStyle"/>
        <w:tblW w:w="0" w:type="auto"/>
        <w:tblInd w:w="1134" w:type="dxa"/>
        <w:tblLook w:val="04A0"/>
      </w:tblPr>
      <w:tblGrid>
        <w:gridCol w:w="4337"/>
        <w:gridCol w:w="4338"/>
      </w:tblGrid>
      <w:tr w:rsidR="00C3767C" w:rsidTr="00586EB9">
        <w:trPr>
          <w:cnfStyle w:val="100000000000"/>
          <w:cantSplit w:val="off"/>
        </w:trPr>
        <w:tc>
          <w:tcPr>
            <w:tcW w:w="4337" w:type="dxa"/>
            <w:vAlign w:val="center"/>
          </w:tcPr>
          <w:p w:rsidR="00C3767C" w:rsidRDefault="00C3767C" w:rsidP="00C3767C">
            <w:pPr>
              <w:pStyle w:val="BodyText"/>
            </w:pPr>
            <w:r w:rsidRPr="0080316D">
              <w:rPr>
                <w:b/>
              </w:rPr>
              <w:t>Pros</w:t>
            </w:r>
          </w:p>
        </w:tc>
        <w:tc>
          <w:tcPr>
            <w:tcW w:w="4338" w:type="dxa"/>
            <w:vAlign w:val="center"/>
          </w:tcPr>
          <w:p w:rsidR="00C3767C" w:rsidRDefault="00C3767C" w:rsidP="00C3767C">
            <w:pPr>
              <w:pStyle w:val="BodyText"/>
            </w:pPr>
            <w:r w:rsidRPr="0080316D">
              <w:rPr>
                <w:b/>
              </w:rPr>
              <w:t>Cons</w:t>
            </w:r>
          </w:p>
        </w:tc>
      </w:tr>
      <w:tr w:rsidR="00C3767C" w:rsidTr="00586EB9">
        <w:trPr>
          <w:cantSplit w:val="off"/>
        </w:trPr>
        <w:tc>
          <w:tcPr>
            <w:tcW w:w="4337" w:type="dxa"/>
          </w:tcPr>
          <w:p w:rsidR="00C3767C" w:rsidRDefault="00C3767C" w:rsidP="00112897">
            <w:pPr>
              <w:spacing w:after="120"/>
            </w:pPr>
            <w:r>
              <w:t xml:space="preserve">Standard system – one instance that each jurisdiction uses </w:t>
            </w:r>
          </w:p>
          <w:p w:rsidR="00C3767C" w:rsidRDefault="00C3767C" w:rsidP="00112897">
            <w:pPr>
              <w:spacing w:after="120"/>
            </w:pPr>
            <w:r>
              <w:t>Single standard reporting and analysis  environment</w:t>
            </w:r>
          </w:p>
          <w:p w:rsidR="00C3767C" w:rsidRDefault="00C3767C" w:rsidP="00112897">
            <w:pPr>
              <w:spacing w:after="120"/>
            </w:pPr>
            <w:r>
              <w:t>Provides a standard interface for states, territories and industry</w:t>
            </w:r>
          </w:p>
          <w:p w:rsidR="00C3767C" w:rsidRDefault="00C3767C" w:rsidP="00112897">
            <w:pPr>
              <w:spacing w:after="120"/>
            </w:pPr>
            <w:r>
              <w:t xml:space="preserve">Provides the ability to standardise processes and </w:t>
            </w:r>
            <w:r>
              <w:lastRenderedPageBreak/>
              <w:t>code sets</w:t>
            </w:r>
          </w:p>
          <w:p w:rsidR="00C3767C" w:rsidRDefault="00C3767C" w:rsidP="00112897">
            <w:pPr>
              <w:spacing w:after="120"/>
            </w:pPr>
            <w:r>
              <w:t>Provides the required functionality</w:t>
            </w:r>
          </w:p>
          <w:p w:rsidR="00C3767C" w:rsidRDefault="00C3767C" w:rsidP="00112897">
            <w:pPr>
              <w:spacing w:after="120"/>
            </w:pPr>
            <w:r>
              <w:t>Provides an electronic system to those jurisdictions currently running a paper based system</w:t>
            </w:r>
          </w:p>
          <w:p w:rsidR="00C3767C" w:rsidRDefault="00C3767C" w:rsidP="00112897">
            <w:pPr>
              <w:spacing w:after="120"/>
            </w:pPr>
            <w:r>
              <w:t>Provides economies of scale once implemented – single support function, hosting and licensing</w:t>
            </w:r>
          </w:p>
        </w:tc>
        <w:tc>
          <w:tcPr>
            <w:tcW w:w="4338" w:type="dxa"/>
          </w:tcPr>
          <w:p w:rsidR="00C3767C" w:rsidRDefault="0038073F" w:rsidP="00112897">
            <w:pPr>
              <w:spacing w:after="120"/>
            </w:pPr>
            <w:r>
              <w:lastRenderedPageBreak/>
              <w:t xml:space="preserve">It will </w:t>
            </w:r>
            <w:r w:rsidR="00C3767C">
              <w:t>require a very lengthy development cycle – implementation may take years</w:t>
            </w:r>
          </w:p>
          <w:p w:rsidR="00C3767C" w:rsidRDefault="00C3767C" w:rsidP="00112897">
            <w:pPr>
              <w:spacing w:after="120"/>
            </w:pPr>
            <w:r>
              <w:t>May be difficult to obtain agreement from all jurisdictions with regards to functionality and requirements</w:t>
            </w:r>
          </w:p>
          <w:p w:rsidR="00C3767C" w:rsidRDefault="00C3767C" w:rsidP="00112897">
            <w:pPr>
              <w:spacing w:after="120"/>
            </w:pPr>
            <w:r>
              <w:t xml:space="preserve">High cost with a high risk of cost blow out and </w:t>
            </w:r>
            <w:r>
              <w:lastRenderedPageBreak/>
              <w:t>changes during lengthy development cycle</w:t>
            </w:r>
          </w:p>
          <w:p w:rsidR="00C3767C" w:rsidRDefault="00C3767C" w:rsidP="00112897">
            <w:pPr>
              <w:spacing w:after="120"/>
            </w:pPr>
            <w:r>
              <w:t>Requires significant resource input from each jurisdiction over a lengthy period</w:t>
            </w:r>
          </w:p>
          <w:p w:rsidR="00C3767C" w:rsidRDefault="00C3767C" w:rsidP="00112897">
            <w:pPr>
              <w:spacing w:after="120"/>
            </w:pPr>
            <w:r>
              <w:t>Potentially difficult to co-ordinate activities</w:t>
            </w:r>
            <w:r w:rsidR="0038073F">
              <w:t xml:space="preserve"> across all jurisdictions</w:t>
            </w:r>
          </w:p>
          <w:p w:rsidR="00C3767C" w:rsidRDefault="00C3767C" w:rsidP="00112897">
            <w:pPr>
              <w:spacing w:after="120"/>
            </w:pPr>
            <w:r>
              <w:t>Potential legislative barriers for each jurisdiction to use a standard system</w:t>
            </w:r>
          </w:p>
          <w:p w:rsidR="00C3767C" w:rsidRDefault="00C3767C" w:rsidP="00112897">
            <w:pPr>
              <w:spacing w:after="120"/>
            </w:pPr>
            <w:r>
              <w:t>Significant change management and training activities required</w:t>
            </w:r>
          </w:p>
        </w:tc>
      </w:tr>
    </w:tbl>
    <w:p w:rsidR="00FE02C8" w:rsidRDefault="00FE02C8" w:rsidP="00C3767C">
      <w:pPr>
        <w:pStyle w:val="Heading40"/>
      </w:pPr>
      <w:r w:rsidRPr="00D71951">
        <w:lastRenderedPageBreak/>
        <w:t>Potential stages for implementation</w:t>
      </w:r>
    </w:p>
    <w:p w:rsidR="00FE02C8" w:rsidRPr="00C3767C" w:rsidRDefault="00FE02C8" w:rsidP="00C3767C">
      <w:pPr>
        <w:ind w:left="1134"/>
      </w:pPr>
      <w:r w:rsidRPr="00C3767C">
        <w:t>The adoption of this option will require strong project management expertise to be able to manage stakeholders, scope, schedule and budget. It will also require a strong system development lifecycle experience. Detailed planning will be required in terms of implementation options, with these being:</w:t>
      </w:r>
    </w:p>
    <w:p w:rsidR="00FE02C8" w:rsidRPr="00C3767C" w:rsidRDefault="00FE02C8" w:rsidP="00B4070B">
      <w:pPr>
        <w:pStyle w:val="ListParagraph"/>
        <w:numPr>
          <w:ilvl w:val="0"/>
          <w:numId w:val="31"/>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C3767C">
        <w:t xml:space="preserve">Implementation of all functionality by </w:t>
      </w:r>
      <w:r w:rsidR="00DA69E9">
        <w:t xml:space="preserve">each </w:t>
      </w:r>
      <w:r w:rsidRPr="00C3767C">
        <w:t>jurisdiction</w:t>
      </w:r>
    </w:p>
    <w:p w:rsidR="00FE02C8" w:rsidRPr="00C3767C" w:rsidRDefault="00FE02C8" w:rsidP="00B4070B">
      <w:pPr>
        <w:pStyle w:val="ListParagraph"/>
        <w:numPr>
          <w:ilvl w:val="0"/>
          <w:numId w:val="31"/>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C3767C">
        <w:t>Implementation of functionality in a phased manner across all jurisdictions</w:t>
      </w:r>
      <w:r w:rsidR="00B1789F">
        <w:t>.</w:t>
      </w:r>
    </w:p>
    <w:p w:rsidR="00FE02C8" w:rsidRPr="00B1789F" w:rsidRDefault="00FE02C8" w:rsidP="00B1789F">
      <w:pPr>
        <w:ind w:left="1134"/>
        <w:rPr>
          <w:rFonts w:cs="Arial"/>
        </w:rPr>
      </w:pPr>
      <w:r w:rsidRPr="00C3767C">
        <w:rPr>
          <w:rFonts w:cs="Arial"/>
        </w:rPr>
        <w:t xml:space="preserve">The first step will be to develop and implement the required project governance and undertake high level requirements for a national system. </w:t>
      </w:r>
      <w:r w:rsidR="00B1789F">
        <w:rPr>
          <w:rFonts w:cs="Arial"/>
        </w:rPr>
        <w:t xml:space="preserve"> </w:t>
      </w:r>
    </w:p>
    <w:p w:rsidR="00FE02C8" w:rsidRPr="00FE0513" w:rsidRDefault="00FE02C8" w:rsidP="00B1789F">
      <w:pPr>
        <w:pStyle w:val="Heading40"/>
      </w:pPr>
      <w:r w:rsidRPr="00FE0513">
        <w:t>Barriers to overcome</w:t>
      </w:r>
    </w:p>
    <w:p w:rsidR="00FE02C8" w:rsidRPr="00112897" w:rsidRDefault="00FE02C8" w:rsidP="00C3767C">
      <w:pPr>
        <w:ind w:left="1134"/>
      </w:pPr>
      <w:r w:rsidRPr="00112897">
        <w:t>A number of barriers would need to be overcome with implementation of this option:</w:t>
      </w:r>
    </w:p>
    <w:p w:rsidR="00FE02C8" w:rsidRPr="00B1789F" w:rsidRDefault="00FE02C8" w:rsidP="00B4070B">
      <w:pPr>
        <w:pStyle w:val="ListParagraph"/>
        <w:numPr>
          <w:ilvl w:val="0"/>
          <w:numId w:val="3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B1789F">
        <w:t>Any required legislative / regulatory changes to provide uniformity nationally</w:t>
      </w:r>
    </w:p>
    <w:p w:rsidR="00FE02C8" w:rsidRPr="00B1789F" w:rsidRDefault="00FE02C8" w:rsidP="00B4070B">
      <w:pPr>
        <w:pStyle w:val="ListParagraph"/>
        <w:numPr>
          <w:ilvl w:val="0"/>
          <w:numId w:val="3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B1789F">
        <w:t>Acceptance of each jurisdiction to commit to a lengthy project, particularly those that have recently implemented an electronic system</w:t>
      </w:r>
    </w:p>
    <w:p w:rsidR="00FE02C8" w:rsidRPr="00B1789F" w:rsidRDefault="00FE02C8" w:rsidP="00B4070B">
      <w:pPr>
        <w:pStyle w:val="ListParagraph"/>
        <w:numPr>
          <w:ilvl w:val="0"/>
          <w:numId w:val="3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B1789F">
        <w:t>Commitment of each jurisdiction to provide resources</w:t>
      </w:r>
    </w:p>
    <w:p w:rsidR="00FE02C8" w:rsidRPr="00B1789F" w:rsidRDefault="00FE02C8" w:rsidP="00B4070B">
      <w:pPr>
        <w:pStyle w:val="ListParagraph"/>
        <w:numPr>
          <w:ilvl w:val="0"/>
          <w:numId w:val="3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B1789F">
        <w:t>Agreed standardisation of code sets, business rules and business processes across all jurisdictions</w:t>
      </w:r>
    </w:p>
    <w:p w:rsidR="00FE02C8" w:rsidRPr="00B1789F" w:rsidRDefault="00DA69E9" w:rsidP="00B4070B">
      <w:pPr>
        <w:pStyle w:val="ListParagraph"/>
        <w:numPr>
          <w:ilvl w:val="0"/>
          <w:numId w:val="3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t>T</w:t>
      </w:r>
      <w:r w:rsidRPr="00B1789F">
        <w:t>he required funding</w:t>
      </w:r>
      <w:r>
        <w:t>, given it is t</w:t>
      </w:r>
      <w:r w:rsidR="00FE02C8" w:rsidRPr="00B1789F">
        <w:t>he most expensive option by a significant margin</w:t>
      </w:r>
      <w:r w:rsidR="00B1789F" w:rsidRPr="00B1789F">
        <w:t>.</w:t>
      </w:r>
    </w:p>
    <w:p w:rsidR="00FE02C8" w:rsidRDefault="00FE02C8" w:rsidP="00B1789F">
      <w:pPr>
        <w:pStyle w:val="Heading40"/>
      </w:pPr>
      <w:r>
        <w:t xml:space="preserve">Estimated cost (implementation and </w:t>
      </w:r>
      <w:r w:rsidR="0006706C">
        <w:t>operation</w:t>
      </w:r>
      <w:r>
        <w:t>)</w:t>
      </w:r>
    </w:p>
    <w:p w:rsidR="00FE02C8" w:rsidRPr="00B1789F" w:rsidRDefault="00FE02C8" w:rsidP="00C3767C">
      <w:pPr>
        <w:ind w:left="1134"/>
      </w:pPr>
      <w:r w:rsidRPr="00B1789F">
        <w:t xml:space="preserve">Typical large system development projects of this size within a </w:t>
      </w:r>
      <w:proofErr w:type="spellStart"/>
      <w:r w:rsidRPr="00B1789F">
        <w:t>greenfields</w:t>
      </w:r>
      <w:proofErr w:type="spellEnd"/>
      <w:r w:rsidRPr="00B1789F">
        <w:t xml:space="preserve"> </w:t>
      </w:r>
      <w:r w:rsidR="00DA69E9">
        <w:t>environment cost upwards of $6 million</w:t>
      </w:r>
      <w:r w:rsidRPr="00B1789F">
        <w:t xml:space="preserve"> as they are a lengthy </w:t>
      </w:r>
      <w:r w:rsidR="00675E47">
        <w:t xml:space="preserve">and difficult </w:t>
      </w:r>
      <w:r w:rsidRPr="00B1789F">
        <w:t>process. This is required to cover items such as:</w:t>
      </w:r>
    </w:p>
    <w:p w:rsidR="00FE02C8" w:rsidRPr="00B1789F" w:rsidRDefault="00FE02C8" w:rsidP="00B4070B">
      <w:pPr>
        <w:pStyle w:val="ListParagraph"/>
        <w:numPr>
          <w:ilvl w:val="0"/>
          <w:numId w:val="3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B1789F">
        <w:t>Infrastructure, environments and hardware</w:t>
      </w:r>
    </w:p>
    <w:p w:rsidR="00FE02C8" w:rsidRPr="00B1789F" w:rsidRDefault="00FE02C8" w:rsidP="00B4070B">
      <w:pPr>
        <w:pStyle w:val="ListParagraph"/>
        <w:numPr>
          <w:ilvl w:val="0"/>
          <w:numId w:val="3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B1789F">
        <w:t xml:space="preserve">Tools and technology </w:t>
      </w:r>
      <w:r w:rsidR="00B1789F" w:rsidRPr="00B1789F">
        <w:t>–</w:t>
      </w:r>
      <w:r w:rsidRPr="00B1789F">
        <w:t xml:space="preserve"> licensing</w:t>
      </w:r>
    </w:p>
    <w:p w:rsidR="00FE02C8" w:rsidRDefault="00DA69E9" w:rsidP="00B4070B">
      <w:pPr>
        <w:pStyle w:val="ListParagraph"/>
        <w:numPr>
          <w:ilvl w:val="0"/>
          <w:numId w:val="3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t>Resources</w:t>
      </w:r>
      <w:r w:rsidR="00FE02C8" w:rsidRPr="00B1789F">
        <w:t xml:space="preserve"> covering subject matter experts, project management, business analysts, developers, testers, infrastructure experts, training and change management and communication experts</w:t>
      </w:r>
    </w:p>
    <w:p w:rsidR="00675E47" w:rsidRPr="00B1789F" w:rsidRDefault="00675E47" w:rsidP="00B4070B">
      <w:pPr>
        <w:pStyle w:val="ListParagraph"/>
        <w:numPr>
          <w:ilvl w:val="0"/>
          <w:numId w:val="3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t>Data migration</w:t>
      </w:r>
    </w:p>
    <w:p w:rsidR="00FE02C8" w:rsidRPr="00B1789F" w:rsidRDefault="00FE02C8" w:rsidP="00B4070B">
      <w:pPr>
        <w:pStyle w:val="ListParagraph"/>
        <w:numPr>
          <w:ilvl w:val="0"/>
          <w:numId w:val="3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B1789F">
        <w:t xml:space="preserve">For a national project, travel </w:t>
      </w:r>
      <w:r w:rsidR="00DA69E9">
        <w:t xml:space="preserve">required </w:t>
      </w:r>
      <w:r w:rsidRPr="00B1789F">
        <w:t>between jurisdictions</w:t>
      </w:r>
      <w:r w:rsidR="00B1789F" w:rsidRPr="00B1789F">
        <w:t>.</w:t>
      </w:r>
    </w:p>
    <w:p w:rsidR="00FE02C8" w:rsidRPr="00B1789F" w:rsidRDefault="00FE02C8" w:rsidP="00C3767C">
      <w:pPr>
        <w:ind w:left="1134"/>
      </w:pPr>
      <w:proofErr w:type="gramStart"/>
      <w:r w:rsidRPr="00B1789F">
        <w:t>Ongoing costs for infrastructure, environments, hardware, licensing and maintenance of the system via required resources is</w:t>
      </w:r>
      <w:proofErr w:type="gramEnd"/>
      <w:r w:rsidRPr="00B1789F">
        <w:t xml:space="preserve"> expected </w:t>
      </w:r>
      <w:r w:rsidR="00DA69E9">
        <w:t>to be in the order of $250,000 to</w:t>
      </w:r>
      <w:r w:rsidRPr="00B1789F">
        <w:t xml:space="preserve"> $300,000 per annum. There is potential if desired to commercialise the reporting and analytics solution as part of this option in providing access to the data and reports to waste industry consultants.</w:t>
      </w:r>
    </w:p>
    <w:p w:rsidR="00FE02C8" w:rsidRPr="00B1789F" w:rsidRDefault="00FE02C8" w:rsidP="00B1789F">
      <w:pPr>
        <w:ind w:left="1134"/>
      </w:pPr>
      <w:r w:rsidRPr="00B1789F">
        <w:lastRenderedPageBreak/>
        <w:t>Note that the cost for infrastructure, environments, hardware and licensing will be dependent on what can be leveraged from the existing DoE te</w:t>
      </w:r>
      <w:r w:rsidR="00B1789F" w:rsidRPr="00B1789F">
        <w:t>c</w:t>
      </w:r>
      <w:r w:rsidR="00B1789F">
        <w:t>hnical environment.</w:t>
      </w:r>
    </w:p>
    <w:p w:rsidR="00FE02C8" w:rsidRDefault="00FE02C8" w:rsidP="00B1789F">
      <w:pPr>
        <w:pStyle w:val="Heading3"/>
      </w:pPr>
      <w:r>
        <w:t xml:space="preserve">Develop a data collection, reporting and analysis solution </w:t>
      </w:r>
    </w:p>
    <w:p w:rsidR="00FE02C8" w:rsidRPr="00B1789F" w:rsidRDefault="00DA69E9" w:rsidP="00C3767C">
      <w:pPr>
        <w:pStyle w:val="BodyText"/>
        <w:ind w:left="1134"/>
      </w:pPr>
      <w:r>
        <w:t>This option primarily focu</w:t>
      </w:r>
      <w:r w:rsidR="00FE02C8" w:rsidRPr="00B1789F">
        <w:t xml:space="preserve">ses on providing a transparent, centralised reporting and analytics capability </w:t>
      </w:r>
      <w:r>
        <w:t>that</w:t>
      </w:r>
      <w:r w:rsidR="00FE02C8" w:rsidRPr="00B1789F">
        <w:t xml:space="preserve"> can be used directly by DoE, jurisdictions, industry and the community. </w:t>
      </w:r>
    </w:p>
    <w:p w:rsidR="001C4019" w:rsidRDefault="00FE02C8" w:rsidP="00C3767C">
      <w:pPr>
        <w:ind w:left="1134"/>
      </w:pPr>
      <w:r w:rsidRPr="00B1789F">
        <w:t>The intention is that each jurisdiction will supply the required data to DoE in a standard format – either via a CSV, HTML or spreadsheet. An alternative is to enter data via a developed web portal, however given th</w:t>
      </w:r>
      <w:r w:rsidR="00DA69E9">
        <w:t>e nature and volume of the data</w:t>
      </w:r>
      <w:r w:rsidRPr="00B1789F">
        <w:t xml:space="preserve"> it will be easier for each jurisdiction to provide this via a file. This data will then be taken, transformed, mapped (to a standard set of codes) and loaded to a central database for reporting and analysis. </w:t>
      </w:r>
    </w:p>
    <w:p w:rsidR="00FE02C8" w:rsidRPr="00B1789F" w:rsidRDefault="00350C10" w:rsidP="00C3767C">
      <w:pPr>
        <w:ind w:left="1134"/>
      </w:pPr>
      <w:r>
        <w:fldChar w:fldCharType="begin"/>
      </w:r>
      <w:r w:rsidR="001C4019">
        <w:instrText xml:space="preserve"> REF _Ref418163203 \h </w:instrText>
      </w:r>
      <w:r>
        <w:fldChar w:fldCharType="separate"/>
      </w:r>
      <w:r w:rsidR="00261FA5" w:rsidRPr="00B1789F">
        <w:t xml:space="preserve">Figure </w:t>
      </w:r>
      <w:r w:rsidR="00261FA5">
        <w:rPr>
          <w:noProof/>
        </w:rPr>
        <w:t>5</w:t>
      </w:r>
      <w:r w:rsidR="00261FA5" w:rsidRPr="00B1789F">
        <w:t>-</w:t>
      </w:r>
      <w:r w:rsidR="00261FA5">
        <w:rPr>
          <w:noProof/>
        </w:rPr>
        <w:t>3</w:t>
      </w:r>
      <w:r>
        <w:fldChar w:fldCharType="end"/>
      </w:r>
      <w:r w:rsidR="001C4019">
        <w:t xml:space="preserve"> </w:t>
      </w:r>
      <w:r w:rsidR="00FE02C8" w:rsidRPr="00B1789F">
        <w:t>provides an overview of the proposed option. Note that the source system ju</w:t>
      </w:r>
      <w:r w:rsidR="00CA74F8">
        <w:t>risdictions are examples only, s</w:t>
      </w:r>
      <w:r w:rsidR="00FE02C8" w:rsidRPr="00B1789F">
        <w:t xml:space="preserve">tates such as Tasmania will provide a direct file. </w:t>
      </w:r>
    </w:p>
    <w:p w:rsidR="00FE02C8" w:rsidRDefault="00FE02C8" w:rsidP="00C3767C">
      <w:pPr>
        <w:spacing w:before="240"/>
        <w:ind w:left="1134"/>
        <w:rPr>
          <w:sz w:val="22"/>
        </w:rPr>
      </w:pPr>
      <w:r w:rsidRPr="00514908">
        <w:rPr>
          <w:noProof/>
        </w:rPr>
        <w:drawing>
          <wp:inline distT="0" distB="0" distL="0" distR="0">
            <wp:extent cx="5114925" cy="262914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116011" cy="2629699"/>
                    </a:xfrm>
                    <a:prstGeom prst="rect">
                      <a:avLst/>
                    </a:prstGeom>
                  </pic:spPr>
                </pic:pic>
              </a:graphicData>
            </a:graphic>
          </wp:inline>
        </w:drawing>
      </w:r>
    </w:p>
    <w:tbl>
      <w:tblPr>
        <w:tblW w:w="0" w:type="auto"/>
        <w:tblInd w:w="1134" w:type="dxa"/>
        <w:tblLayout w:type="fixed"/>
        <w:tblCellMar>
          <w:left w:w="0" w:type="dxa"/>
          <w:right w:w="0" w:type="dxa"/>
        </w:tblCellMar>
        <w:tblLook w:val="0000"/>
      </w:tblPr>
      <w:tblGrid>
        <w:gridCol w:w="7371"/>
      </w:tblGrid>
      <w:tr w:rsidR="00B1789F" w:rsidRPr="00B1789F">
        <w:trPr>
          <w:cantSplit/>
        </w:trPr>
        <w:tc>
          <w:tcPr>
            <w:tcW w:w="7371" w:type="dxa"/>
          </w:tcPr>
          <w:p w:rsidR="00B1789F" w:rsidRPr="00B1789F" w:rsidRDefault="00B1789F" w:rsidP="00B4070B">
            <w:pPr>
              <w:pStyle w:val="Caption"/>
              <w:keepNext/>
            </w:pPr>
            <w:bookmarkStart w:id="83" w:name="_Ref418163203"/>
            <w:bookmarkStart w:id="84" w:name="_Toc421181759"/>
            <w:r w:rsidRPr="00B1789F">
              <w:t xml:space="preserve">Figure </w:t>
            </w:r>
            <w:r w:rsidR="00350C10" w:rsidRPr="00B1789F">
              <w:fldChar w:fldCharType="begin"/>
            </w:r>
            <w:r w:rsidRPr="00B1789F">
              <w:instrText xml:space="preserve"> STYLEREF "_Heading1" \n </w:instrText>
            </w:r>
            <w:r w:rsidR="00350C10" w:rsidRPr="00B1789F">
              <w:fldChar w:fldCharType="separate"/>
            </w:r>
            <w:r w:rsidR="00261FA5">
              <w:rPr>
                <w:noProof/>
              </w:rPr>
              <w:t>5</w:t>
            </w:r>
            <w:r w:rsidR="00350C10" w:rsidRPr="00B1789F">
              <w:fldChar w:fldCharType="end"/>
            </w:r>
            <w:r w:rsidRPr="00B1789F">
              <w:t>-</w:t>
            </w:r>
            <w:r w:rsidR="00350C10" w:rsidRPr="00B1789F">
              <w:fldChar w:fldCharType="begin"/>
            </w:r>
            <w:r w:rsidRPr="00B1789F">
              <w:instrText xml:space="preserve"> SEQ Figure \* Arabic </w:instrText>
            </w:r>
            <w:r w:rsidR="00350C10" w:rsidRPr="00B1789F">
              <w:fldChar w:fldCharType="separate"/>
            </w:r>
            <w:r w:rsidR="00261FA5">
              <w:rPr>
                <w:noProof/>
              </w:rPr>
              <w:t>3</w:t>
            </w:r>
            <w:r w:rsidR="00350C10" w:rsidRPr="00B1789F">
              <w:fldChar w:fldCharType="end"/>
            </w:r>
            <w:bookmarkEnd w:id="83"/>
            <w:r w:rsidRPr="00B1789F">
              <w:tab/>
            </w:r>
            <w:r w:rsidR="0012134D">
              <w:t>The p</w:t>
            </w:r>
            <w:r>
              <w:t xml:space="preserve">roposed </w:t>
            </w:r>
            <w:r w:rsidR="001C4019">
              <w:t>data extraction and</w:t>
            </w:r>
            <w:r w:rsidR="00DA69E9">
              <w:t xml:space="preserve"> </w:t>
            </w:r>
            <w:r w:rsidR="001C4019">
              <w:t xml:space="preserve">reporting </w:t>
            </w:r>
            <w:r>
              <w:t>solution</w:t>
            </w:r>
            <w:bookmarkEnd w:id="84"/>
          </w:p>
        </w:tc>
      </w:tr>
    </w:tbl>
    <w:p w:rsidR="00B1789F" w:rsidRDefault="00B1789F" w:rsidP="00C3767C">
      <w:pPr>
        <w:ind w:left="1134"/>
        <w:rPr>
          <w:sz w:val="22"/>
        </w:rPr>
      </w:pPr>
    </w:p>
    <w:p w:rsidR="00FE02C8" w:rsidRPr="00B1789F" w:rsidRDefault="00FE02C8" w:rsidP="00C3767C">
      <w:pPr>
        <w:ind w:left="1134"/>
      </w:pPr>
      <w:r w:rsidRPr="00B1789F">
        <w:t>This solution will provide:</w:t>
      </w:r>
    </w:p>
    <w:p w:rsidR="00FE02C8" w:rsidRPr="00B1789F" w:rsidRDefault="00FE02C8" w:rsidP="00B4070B">
      <w:pPr>
        <w:pStyle w:val="ListParagraph"/>
        <w:numPr>
          <w:ilvl w:val="0"/>
          <w:numId w:val="3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1491" w:hanging="357"/>
      </w:pPr>
      <w:r w:rsidRPr="00B1789F">
        <w:t>Landing place for jurisdictions to provide the required data in an agreed format</w:t>
      </w:r>
    </w:p>
    <w:p w:rsidR="00FE02C8" w:rsidRPr="00B1789F" w:rsidRDefault="00FE02C8" w:rsidP="00B4070B">
      <w:pPr>
        <w:pStyle w:val="ListParagraph"/>
        <w:numPr>
          <w:ilvl w:val="0"/>
          <w:numId w:val="34"/>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1491" w:hanging="357"/>
      </w:pPr>
      <w:r w:rsidRPr="00B1789F">
        <w:t>Staging layer to:</w:t>
      </w:r>
    </w:p>
    <w:p w:rsidR="00FE02C8" w:rsidRPr="00B1789F" w:rsidRDefault="00FE02C8" w:rsidP="00B4070B">
      <w:pPr>
        <w:pStyle w:val="ListParagraph"/>
        <w:numPr>
          <w:ilvl w:val="0"/>
          <w:numId w:val="4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58" w:hanging="357"/>
      </w:pPr>
      <w:r w:rsidRPr="00B1789F">
        <w:t>Import files and load to a staging database</w:t>
      </w:r>
    </w:p>
    <w:p w:rsidR="00FE02C8" w:rsidRPr="00B1789F" w:rsidRDefault="00FE02C8" w:rsidP="00B4070B">
      <w:pPr>
        <w:pStyle w:val="ListParagraph"/>
        <w:numPr>
          <w:ilvl w:val="0"/>
          <w:numId w:val="4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58" w:hanging="357"/>
      </w:pPr>
      <w:r w:rsidRPr="00B1789F">
        <w:t xml:space="preserve">Map data from all jurisdictions to a common format (e.g. all code sets to NEPM). The solution will contain mapping tables for all code sets. </w:t>
      </w:r>
    </w:p>
    <w:p w:rsidR="00FE02C8" w:rsidRPr="00B1789F" w:rsidRDefault="00FE02C8" w:rsidP="00B4070B">
      <w:pPr>
        <w:pStyle w:val="ListParagraph"/>
        <w:numPr>
          <w:ilvl w:val="0"/>
          <w:numId w:val="4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58" w:hanging="357"/>
      </w:pPr>
      <w:r w:rsidRPr="00B1789F">
        <w:t>Cater for other jurisdictional differences (e.g. reporting requirements; timing of reporting etc)</w:t>
      </w:r>
    </w:p>
    <w:p w:rsidR="00FE02C8" w:rsidRPr="00B1789F" w:rsidRDefault="00FE02C8" w:rsidP="00B4070B">
      <w:pPr>
        <w:pStyle w:val="ListParagraph"/>
        <w:numPr>
          <w:ilvl w:val="0"/>
          <w:numId w:val="4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2058" w:hanging="357"/>
      </w:pPr>
      <w:r w:rsidRPr="00B1789F">
        <w:t>Load data into a central reporting database with automated checking and validation</w:t>
      </w:r>
    </w:p>
    <w:p w:rsidR="00FE02C8" w:rsidRPr="00B1789F" w:rsidRDefault="00FE02C8" w:rsidP="00B4070B">
      <w:pPr>
        <w:pStyle w:val="ListParagraph"/>
        <w:numPr>
          <w:ilvl w:val="0"/>
          <w:numId w:val="3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1491" w:hanging="357"/>
      </w:pPr>
      <w:r w:rsidRPr="00B1789F">
        <w:t>One reporting database for the generation of standard reports – may be detailed and/or aggregated</w:t>
      </w:r>
    </w:p>
    <w:p w:rsidR="00FE02C8" w:rsidRPr="00B1789F" w:rsidRDefault="00FE02C8" w:rsidP="00B4070B">
      <w:pPr>
        <w:pStyle w:val="ListParagraph"/>
        <w:numPr>
          <w:ilvl w:val="0"/>
          <w:numId w:val="3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1491" w:hanging="357"/>
      </w:pPr>
      <w:r w:rsidRPr="00B1789F">
        <w:t>Cubes for analysis by DoE, jurisdictions and other stakeholders. The number of cubes required will be based on business and security requirements</w:t>
      </w:r>
    </w:p>
    <w:p w:rsidR="00FE02C8" w:rsidRPr="00B1789F" w:rsidRDefault="00FE02C8" w:rsidP="00B4070B">
      <w:pPr>
        <w:pStyle w:val="ListParagraph"/>
        <w:numPr>
          <w:ilvl w:val="0"/>
          <w:numId w:val="35"/>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1491" w:hanging="357"/>
      </w:pPr>
      <w:r w:rsidRPr="00B1789F">
        <w:t>The presentation of reports and analysis activities will be via a chosen technology</w:t>
      </w:r>
      <w:r w:rsidR="00DA69E9">
        <w:t>.</w:t>
      </w:r>
    </w:p>
    <w:p w:rsidR="00FE02C8" w:rsidRPr="00B1789F" w:rsidRDefault="00FE02C8" w:rsidP="00B1789F">
      <w:pPr>
        <w:pStyle w:val="Heading40"/>
      </w:pPr>
      <w:r w:rsidRPr="00B1789F">
        <w:lastRenderedPageBreak/>
        <w:t>What it will and won’t deliver</w:t>
      </w:r>
    </w:p>
    <w:p w:rsidR="00FE02C8" w:rsidRPr="00B1789F" w:rsidRDefault="00FE02C8" w:rsidP="00DA69E9">
      <w:pPr>
        <w:pStyle w:val="BodyText"/>
        <w:ind w:left="1134"/>
      </w:pPr>
      <w:r w:rsidRPr="00B1789F">
        <w:t>This option will deliver on objectives 1</w:t>
      </w:r>
      <w:r w:rsidR="00DA69E9">
        <w:t>, 2, 3, 4, 5 and to some degree</w:t>
      </w:r>
      <w:r w:rsidRPr="00B1789F">
        <w:t xml:space="preserve"> objective 6 by providing significant capability for DoE to report on and analyse data so fulfil reporting obligations, identify gaps and issues in the data, drive analytics and answer questions on why things happen and drive p</w:t>
      </w:r>
      <w:r w:rsidR="00DA69E9">
        <w:t xml:space="preserve">olicy setting and development. </w:t>
      </w:r>
      <w:r w:rsidRPr="00B1789F">
        <w:t xml:space="preserve">This solution will not meet objectives 7 and 8, which were seen as </w:t>
      </w:r>
      <w:r w:rsidR="00E53959">
        <w:t>second tier priorities</w:t>
      </w:r>
      <w:r w:rsidRPr="00B1789F">
        <w:t xml:space="preserve">. </w:t>
      </w:r>
    </w:p>
    <w:p w:rsidR="00B1789F" w:rsidRPr="00B1789F" w:rsidRDefault="00B1789F" w:rsidP="00B1789F">
      <w:pPr>
        <w:pStyle w:val="Caption"/>
        <w:ind w:left="567" w:firstLine="567"/>
        <w:rPr>
          <w:lang w:eastAsia="en-US"/>
        </w:rPr>
      </w:pPr>
      <w:bookmarkStart w:id="85" w:name="_Toc421181782"/>
      <w:r w:rsidRPr="006226B1">
        <w:rPr>
          <w:lang w:eastAsia="en-US"/>
        </w:rPr>
        <w:t xml:space="preserve">Table </w:t>
      </w:r>
      <w:r w:rsidR="00350C10" w:rsidRPr="006226B1">
        <w:rPr>
          <w:lang w:eastAsia="en-US"/>
        </w:rPr>
        <w:fldChar w:fldCharType="begin"/>
      </w:r>
      <w:r w:rsidRPr="006226B1">
        <w:rPr>
          <w:lang w:eastAsia="en-US"/>
        </w:rPr>
        <w:instrText xml:space="preserve"> STYLEREF "_Heading1" \n </w:instrText>
      </w:r>
      <w:r w:rsidR="00350C10" w:rsidRPr="006226B1">
        <w:rPr>
          <w:lang w:eastAsia="en-US"/>
        </w:rPr>
        <w:fldChar w:fldCharType="separate"/>
      </w:r>
      <w:r w:rsidR="00261FA5">
        <w:rPr>
          <w:noProof/>
          <w:lang w:eastAsia="en-US"/>
        </w:rPr>
        <w:t>5</w:t>
      </w:r>
      <w:r w:rsidR="00350C10" w:rsidRPr="006226B1">
        <w:rPr>
          <w:lang w:eastAsia="en-US"/>
        </w:rPr>
        <w:fldChar w:fldCharType="end"/>
      </w:r>
      <w:r w:rsidRPr="006226B1">
        <w:rPr>
          <w:lang w:eastAsia="en-US"/>
        </w:rPr>
        <w:t>-</w:t>
      </w:r>
      <w:r w:rsidR="00350C10">
        <w:rPr>
          <w:lang w:eastAsia="en-US"/>
        </w:rPr>
        <w:fldChar w:fldCharType="begin"/>
      </w:r>
      <w:r>
        <w:rPr>
          <w:lang w:eastAsia="en-US"/>
        </w:rPr>
        <w:instrText xml:space="preserve"> SEQ Table \* Arabic </w:instrText>
      </w:r>
      <w:r w:rsidR="00350C10">
        <w:rPr>
          <w:lang w:eastAsia="en-US"/>
        </w:rPr>
        <w:fldChar w:fldCharType="separate"/>
      </w:r>
      <w:r w:rsidR="00261FA5">
        <w:rPr>
          <w:noProof/>
          <w:lang w:eastAsia="en-US"/>
        </w:rPr>
        <w:t>21</w:t>
      </w:r>
      <w:r w:rsidR="00350C10">
        <w:rPr>
          <w:lang w:eastAsia="en-US"/>
        </w:rPr>
        <w:fldChar w:fldCharType="end"/>
      </w:r>
      <w:r w:rsidRPr="006226B1">
        <w:rPr>
          <w:lang w:eastAsia="en-US"/>
        </w:rPr>
        <w:tab/>
      </w:r>
      <w:r w:rsidR="00CA74F8">
        <w:rPr>
          <w:lang w:eastAsia="en-US"/>
        </w:rPr>
        <w:t>Pros and cons of a single, national database</w:t>
      </w:r>
      <w:bookmarkEnd w:id="85"/>
    </w:p>
    <w:tbl>
      <w:tblPr>
        <w:tblStyle w:val="HyderTableStyle"/>
        <w:tblW w:w="0" w:type="auto"/>
        <w:tblInd w:w="1134" w:type="dxa"/>
        <w:tblLook w:val="04A0"/>
      </w:tblPr>
      <w:tblGrid>
        <w:gridCol w:w="4337"/>
        <w:gridCol w:w="4338"/>
      </w:tblGrid>
      <w:tr w:rsidR="00B1789F" w:rsidTr="00112897">
        <w:trPr>
          <w:cnfStyle w:val="100000000000"/>
          <w:cantSplit w:val="off"/>
        </w:trPr>
        <w:tc>
          <w:tcPr>
            <w:tcW w:w="4337" w:type="dxa"/>
            <w:vAlign w:val="center"/>
          </w:tcPr>
          <w:p w:rsidR="00B1789F" w:rsidRDefault="00B1789F" w:rsidP="00B1789F">
            <w:pPr>
              <w:pStyle w:val="BodyText"/>
            </w:pPr>
            <w:r w:rsidRPr="0080316D">
              <w:rPr>
                <w:b/>
              </w:rPr>
              <w:t>Pros</w:t>
            </w:r>
          </w:p>
        </w:tc>
        <w:tc>
          <w:tcPr>
            <w:tcW w:w="4338" w:type="dxa"/>
            <w:vAlign w:val="center"/>
          </w:tcPr>
          <w:p w:rsidR="00B1789F" w:rsidRDefault="00B1789F" w:rsidP="00B1789F">
            <w:pPr>
              <w:pStyle w:val="BodyText"/>
            </w:pPr>
            <w:r w:rsidRPr="0080316D">
              <w:rPr>
                <w:b/>
              </w:rPr>
              <w:t>Cons</w:t>
            </w:r>
          </w:p>
        </w:tc>
      </w:tr>
      <w:tr w:rsidR="00B1789F" w:rsidTr="00112897">
        <w:trPr>
          <w:cantSplit w:val="off"/>
        </w:trPr>
        <w:tc>
          <w:tcPr>
            <w:tcW w:w="4337" w:type="dxa"/>
          </w:tcPr>
          <w:p w:rsidR="00B1789F" w:rsidRDefault="00B1789F" w:rsidP="00112897">
            <w:pPr>
              <w:spacing w:after="120"/>
            </w:pPr>
            <w:r>
              <w:t>Automated mapping process from each state to the national set</w:t>
            </w:r>
          </w:p>
          <w:p w:rsidR="00B1789F" w:rsidRDefault="00B1789F" w:rsidP="00112897">
            <w:pPr>
              <w:spacing w:after="120"/>
            </w:pPr>
            <w:r>
              <w:t>Automated reporting</w:t>
            </w:r>
          </w:p>
          <w:p w:rsidR="00B1789F" w:rsidRDefault="00B1789F" w:rsidP="00112897">
            <w:pPr>
              <w:spacing w:after="120"/>
            </w:pPr>
            <w:r>
              <w:t>Provides analysis capability to DoE</w:t>
            </w:r>
          </w:p>
          <w:p w:rsidR="00B1789F" w:rsidRDefault="00B1789F" w:rsidP="00112897">
            <w:pPr>
              <w:spacing w:after="120"/>
            </w:pPr>
            <w:r>
              <w:t>Easy ability to share and publish data</w:t>
            </w:r>
          </w:p>
          <w:p w:rsidR="00B1789F" w:rsidRDefault="00B1789F" w:rsidP="00112897">
            <w:pPr>
              <w:spacing w:after="120"/>
            </w:pPr>
            <w:r>
              <w:t>Move from manual preparation of collated data to automated for DoE</w:t>
            </w:r>
          </w:p>
          <w:p w:rsidR="00B1789F" w:rsidRDefault="00B1789F" w:rsidP="00112897">
            <w:pPr>
              <w:spacing w:after="120"/>
            </w:pPr>
            <w:r>
              <w:t>Mapping is in a system and is visible and exposed to DoE</w:t>
            </w:r>
          </w:p>
          <w:p w:rsidR="00B1789F" w:rsidRDefault="00B1789F" w:rsidP="00112897">
            <w:pPr>
              <w:spacing w:after="120"/>
            </w:pPr>
            <w:r>
              <w:t>Removes existing smarts</w:t>
            </w:r>
            <w:r w:rsidR="00B24C21">
              <w:t xml:space="preserve"> for mapping code sets to national reporting from the current</w:t>
            </w:r>
            <w:r>
              <w:t xml:space="preserve"> spreadsheet</w:t>
            </w:r>
          </w:p>
          <w:p w:rsidR="00B1789F" w:rsidRDefault="00B1789F" w:rsidP="00112897">
            <w:pPr>
              <w:spacing w:after="120"/>
            </w:pPr>
            <w:r>
              <w:t>Removes some</w:t>
            </w:r>
            <w:r w:rsidR="00B24C21">
              <w:t xml:space="preserve"> year-on-year</w:t>
            </w:r>
            <w:r>
              <w:t xml:space="preserve"> reliance on consultants </w:t>
            </w:r>
            <w:r w:rsidR="00B24C21">
              <w:t>to validate data</w:t>
            </w:r>
          </w:p>
          <w:p w:rsidR="00B1789F" w:rsidRDefault="00B1789F" w:rsidP="00112897">
            <w:pPr>
              <w:spacing w:after="120"/>
            </w:pPr>
            <w:r>
              <w:t>Increased reporting and analysis capability to drive identification of gaps in data (data attributes and flow of waste)</w:t>
            </w:r>
          </w:p>
          <w:p w:rsidR="00B1789F" w:rsidRDefault="00B1789F" w:rsidP="00112897">
            <w:pPr>
              <w:spacing w:after="120"/>
            </w:pPr>
            <w:r>
              <w:t>Less impact on jurisdictions than the development and implementation of new systems</w:t>
            </w:r>
          </w:p>
          <w:p w:rsidR="00B1789F" w:rsidRDefault="00B1789F" w:rsidP="00112897">
            <w:pPr>
              <w:spacing w:after="120"/>
            </w:pPr>
            <w:r>
              <w:t>Minimal legislative / regulatory changes</w:t>
            </w:r>
            <w:r w:rsidR="009A3667">
              <w:t xml:space="preserve"> required</w:t>
            </w:r>
          </w:p>
        </w:tc>
        <w:tc>
          <w:tcPr>
            <w:tcW w:w="4338" w:type="dxa"/>
          </w:tcPr>
          <w:p w:rsidR="00B1789F" w:rsidRDefault="00B1789F" w:rsidP="00112897">
            <w:pPr>
              <w:spacing w:after="120"/>
            </w:pPr>
            <w:r>
              <w:t>Data supplied to DoE is still in the form of spreadsheets or files</w:t>
            </w:r>
          </w:p>
          <w:p w:rsidR="00B1789F" w:rsidRDefault="00B1789F" w:rsidP="00112897">
            <w:pPr>
              <w:spacing w:after="120"/>
            </w:pPr>
            <w:r>
              <w:t>Jurisdictions will continue to use their own systems</w:t>
            </w:r>
          </w:p>
          <w:p w:rsidR="00B1789F" w:rsidRDefault="00B1789F" w:rsidP="00112897">
            <w:pPr>
              <w:spacing w:after="120"/>
            </w:pPr>
            <w:r>
              <w:t xml:space="preserve">Does not provide </w:t>
            </w:r>
            <w:r w:rsidR="009A3667">
              <w:t>more sophisticated tracking capabilities for jurisdictions with paper based systems</w:t>
            </w:r>
          </w:p>
          <w:p w:rsidR="00B1789F" w:rsidRDefault="00B1789F" w:rsidP="00112897">
            <w:pPr>
              <w:spacing w:after="120"/>
            </w:pPr>
            <w:r>
              <w:t>Does not provide a uniform system nationally for jurisdictions and industry – in particular will not provide all required data for intrastate flows, only the identification of it</w:t>
            </w:r>
          </w:p>
          <w:p w:rsidR="00B1789F" w:rsidRDefault="00B1789F" w:rsidP="00927C5E"/>
        </w:tc>
      </w:tr>
    </w:tbl>
    <w:p w:rsidR="00FE02C8" w:rsidRPr="00B1789F" w:rsidRDefault="00FE02C8" w:rsidP="00B1789F">
      <w:pPr>
        <w:pStyle w:val="Heading40"/>
      </w:pPr>
      <w:r w:rsidRPr="00B1789F">
        <w:t>Potential stages for implementation</w:t>
      </w:r>
    </w:p>
    <w:p w:rsidR="00FE02C8" w:rsidRPr="00B1789F" w:rsidRDefault="00FE02C8" w:rsidP="00C3767C">
      <w:pPr>
        <w:ind w:left="1134"/>
        <w:rPr>
          <w:rFonts w:cs="Arial"/>
        </w:rPr>
      </w:pPr>
      <w:r w:rsidRPr="00B1789F">
        <w:rPr>
          <w:rFonts w:cs="Arial"/>
        </w:rPr>
        <w:t>Detailed planning will be required in terms of implementation options, with these being:</w:t>
      </w:r>
    </w:p>
    <w:p w:rsidR="00FE02C8" w:rsidRPr="00B1789F" w:rsidRDefault="00FE02C8" w:rsidP="00B4070B">
      <w:pPr>
        <w:pStyle w:val="ListParagraph"/>
        <w:numPr>
          <w:ilvl w:val="0"/>
          <w:numId w:val="36"/>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B1789F">
        <w:rPr>
          <w:rFonts w:cs="Arial"/>
        </w:rPr>
        <w:t>Implementation of all functionality by jurisdiction</w:t>
      </w:r>
    </w:p>
    <w:p w:rsidR="00FE02C8" w:rsidRPr="00B1789F" w:rsidRDefault="00FE02C8" w:rsidP="00B4070B">
      <w:pPr>
        <w:pStyle w:val="ListParagraph"/>
        <w:numPr>
          <w:ilvl w:val="0"/>
          <w:numId w:val="36"/>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B1789F">
        <w:rPr>
          <w:rFonts w:cs="Arial"/>
        </w:rPr>
        <w:t>Implementation of functionality in a phased manner across all jurisdictions</w:t>
      </w:r>
      <w:r w:rsidR="00B1789F" w:rsidRPr="00B1789F">
        <w:rPr>
          <w:rFonts w:cs="Arial"/>
        </w:rPr>
        <w:t>.</w:t>
      </w:r>
    </w:p>
    <w:p w:rsidR="00FE02C8" w:rsidRPr="00B1789F" w:rsidRDefault="00FE02C8" w:rsidP="00B1789F">
      <w:pPr>
        <w:ind w:left="1134"/>
        <w:rPr>
          <w:rFonts w:cs="Arial"/>
        </w:rPr>
      </w:pPr>
      <w:r w:rsidRPr="00B1789F">
        <w:rPr>
          <w:rFonts w:cs="Arial"/>
        </w:rPr>
        <w:t xml:space="preserve">It is recommended that functionality of reporting and analysis be delivered in a phased manner to all jurisdictions. A key critical step will be to obtain agreement on the required mapping of all code sets. </w:t>
      </w:r>
    </w:p>
    <w:p w:rsidR="00FE02C8" w:rsidRPr="00B1789F" w:rsidRDefault="00FE02C8" w:rsidP="00B1789F">
      <w:pPr>
        <w:pStyle w:val="Heading40"/>
      </w:pPr>
      <w:r w:rsidRPr="00B1789F">
        <w:t>Barriers to overcome</w:t>
      </w:r>
    </w:p>
    <w:p w:rsidR="00FE02C8" w:rsidRPr="00B1789F" w:rsidRDefault="00FE02C8" w:rsidP="00C3767C">
      <w:pPr>
        <w:ind w:left="1134"/>
        <w:rPr>
          <w:rFonts w:cs="Arial"/>
        </w:rPr>
      </w:pPr>
      <w:r w:rsidRPr="00B1789F">
        <w:rPr>
          <w:rFonts w:cs="Arial"/>
        </w:rPr>
        <w:t>A number of barriers would need to be overcome with implementation of this option:</w:t>
      </w:r>
    </w:p>
    <w:p w:rsidR="00FE02C8" w:rsidRPr="00B1789F" w:rsidRDefault="00FE02C8" w:rsidP="00B4070B">
      <w:pPr>
        <w:pStyle w:val="ListParagraph"/>
        <w:numPr>
          <w:ilvl w:val="0"/>
          <w:numId w:val="37"/>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B1789F">
        <w:rPr>
          <w:rFonts w:cs="Arial"/>
        </w:rPr>
        <w:t xml:space="preserve">Any required legislative / regulatory changes to provide uniformity nationally – in particular code sets </w:t>
      </w:r>
    </w:p>
    <w:p w:rsidR="00FE02C8" w:rsidRPr="00B1789F" w:rsidRDefault="00FE02C8" w:rsidP="00B4070B">
      <w:pPr>
        <w:pStyle w:val="ListParagraph"/>
        <w:numPr>
          <w:ilvl w:val="0"/>
          <w:numId w:val="37"/>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B1789F">
        <w:rPr>
          <w:rFonts w:cs="Arial"/>
        </w:rPr>
        <w:t>Acceptance of each jurisdiction to commit to the project</w:t>
      </w:r>
      <w:r w:rsidR="00B1789F">
        <w:rPr>
          <w:rFonts w:cs="Arial"/>
        </w:rPr>
        <w:t>.</w:t>
      </w:r>
    </w:p>
    <w:p w:rsidR="00FE02C8" w:rsidRPr="00B1789F" w:rsidRDefault="00FE02C8" w:rsidP="00B1789F">
      <w:pPr>
        <w:pStyle w:val="Heading40"/>
      </w:pPr>
      <w:r w:rsidRPr="00B1789F">
        <w:lastRenderedPageBreak/>
        <w:t xml:space="preserve">Estimated cost (implementation and </w:t>
      </w:r>
      <w:r w:rsidR="0006706C">
        <w:t>operation</w:t>
      </w:r>
      <w:r w:rsidRPr="00B1789F">
        <w:t>)</w:t>
      </w:r>
    </w:p>
    <w:p w:rsidR="00FE02C8" w:rsidRPr="00B1789F" w:rsidRDefault="00FE02C8" w:rsidP="00C3767C">
      <w:pPr>
        <w:ind w:left="1134"/>
        <w:rPr>
          <w:rFonts w:cs="Arial"/>
        </w:rPr>
      </w:pPr>
      <w:r w:rsidRPr="00B1789F">
        <w:rPr>
          <w:rFonts w:cs="Arial"/>
        </w:rPr>
        <w:t>Typical reporting and analytical projects of this size cost betwe</w:t>
      </w:r>
      <w:r w:rsidR="005F7EE0">
        <w:rPr>
          <w:rFonts w:cs="Arial"/>
        </w:rPr>
        <w:t xml:space="preserve">en $500,000 </w:t>
      </w:r>
      <w:r w:rsidR="00DD14F2">
        <w:rPr>
          <w:rFonts w:cs="Arial"/>
        </w:rPr>
        <w:t>and</w:t>
      </w:r>
      <w:r w:rsidRPr="00B1789F">
        <w:rPr>
          <w:rFonts w:cs="Arial"/>
        </w:rPr>
        <w:t xml:space="preserve"> $1</w:t>
      </w:r>
      <w:r w:rsidR="005F7EE0">
        <w:rPr>
          <w:rFonts w:cs="Arial"/>
        </w:rPr>
        <w:t xml:space="preserve"> </w:t>
      </w:r>
      <w:r w:rsidRPr="00B1789F">
        <w:rPr>
          <w:rFonts w:cs="Arial"/>
        </w:rPr>
        <w:t>m</w:t>
      </w:r>
      <w:r w:rsidR="005F7EE0">
        <w:rPr>
          <w:rFonts w:cs="Arial"/>
        </w:rPr>
        <w:t>illion</w:t>
      </w:r>
      <w:r w:rsidRPr="00B1789F">
        <w:rPr>
          <w:rFonts w:cs="Arial"/>
        </w:rPr>
        <w:t>. This is required to cover items such as:</w:t>
      </w:r>
    </w:p>
    <w:p w:rsidR="00FE02C8" w:rsidRPr="00B1789F" w:rsidRDefault="00FE02C8" w:rsidP="00B4070B">
      <w:pPr>
        <w:pStyle w:val="ListParagraph"/>
        <w:numPr>
          <w:ilvl w:val="0"/>
          <w:numId w:val="38"/>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B1789F">
        <w:rPr>
          <w:rFonts w:cs="Arial"/>
        </w:rPr>
        <w:t>Infrastructure, environments and hardware</w:t>
      </w:r>
    </w:p>
    <w:p w:rsidR="00FE02C8" w:rsidRPr="005F7EE0" w:rsidRDefault="00FE02C8" w:rsidP="00B4070B">
      <w:pPr>
        <w:pStyle w:val="ListParagraph"/>
        <w:numPr>
          <w:ilvl w:val="0"/>
          <w:numId w:val="38"/>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B1789F">
        <w:rPr>
          <w:rFonts w:cs="Arial"/>
        </w:rPr>
        <w:t xml:space="preserve">Tools and technology </w:t>
      </w:r>
      <w:r w:rsidR="005F7EE0">
        <w:rPr>
          <w:rFonts w:cs="Arial"/>
        </w:rPr>
        <w:t>–</w:t>
      </w:r>
      <w:r w:rsidRPr="005F7EE0">
        <w:rPr>
          <w:rFonts w:cs="Arial"/>
        </w:rPr>
        <w:t xml:space="preserve"> licensing</w:t>
      </w:r>
    </w:p>
    <w:p w:rsidR="00FE02C8" w:rsidRPr="00B1789F" w:rsidRDefault="00FE02C8" w:rsidP="00B4070B">
      <w:pPr>
        <w:pStyle w:val="ListParagraph"/>
        <w:numPr>
          <w:ilvl w:val="0"/>
          <w:numId w:val="38"/>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B1789F">
        <w:rPr>
          <w:rFonts w:cs="Arial"/>
        </w:rPr>
        <w:t xml:space="preserve">Resources – covering subject matter experts, project management, business analysts, </w:t>
      </w:r>
      <w:r w:rsidR="00BB5C7B" w:rsidRPr="00BB5C7B">
        <w:rPr>
          <w:rFonts w:cs="Arial"/>
        </w:rPr>
        <w:t xml:space="preserve">data architect, ETL </w:t>
      </w:r>
      <w:r w:rsidR="00BB5C7B">
        <w:rPr>
          <w:rFonts w:cs="Arial"/>
        </w:rPr>
        <w:t xml:space="preserve">(extract, transform and load) </w:t>
      </w:r>
      <w:r w:rsidR="00BB5C7B" w:rsidRPr="00BB5C7B">
        <w:rPr>
          <w:rFonts w:cs="Arial"/>
        </w:rPr>
        <w:t xml:space="preserve">developers, report </w:t>
      </w:r>
      <w:r w:rsidRPr="00B1789F">
        <w:rPr>
          <w:rFonts w:cs="Arial"/>
        </w:rPr>
        <w:t>developers, testers, infrastructure experts, training and change management and communication experts</w:t>
      </w:r>
    </w:p>
    <w:p w:rsidR="00FE02C8" w:rsidRPr="00B1789F" w:rsidRDefault="00FE02C8" w:rsidP="00B4070B">
      <w:pPr>
        <w:pStyle w:val="ListParagraph"/>
        <w:numPr>
          <w:ilvl w:val="0"/>
          <w:numId w:val="38"/>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B1789F">
        <w:rPr>
          <w:rFonts w:cs="Arial"/>
        </w:rPr>
        <w:t>For a national project, any required travel between jurisdictions</w:t>
      </w:r>
      <w:r w:rsidR="00B1789F">
        <w:rPr>
          <w:rFonts w:cs="Arial"/>
        </w:rPr>
        <w:t>.</w:t>
      </w:r>
    </w:p>
    <w:p w:rsidR="00FE02C8" w:rsidRDefault="00FE02C8" w:rsidP="00C3767C">
      <w:pPr>
        <w:ind w:left="1134"/>
        <w:rPr>
          <w:rFonts w:cs="Arial"/>
        </w:rPr>
      </w:pPr>
      <w:proofErr w:type="gramStart"/>
      <w:r w:rsidRPr="00B1789F">
        <w:rPr>
          <w:rFonts w:cs="Arial"/>
        </w:rPr>
        <w:t>Ongoing costs for infrastructure, environments, hardware, licensing and maintenance of the system via required resources is</w:t>
      </w:r>
      <w:proofErr w:type="gramEnd"/>
      <w:r w:rsidRPr="00B1789F">
        <w:rPr>
          <w:rFonts w:cs="Arial"/>
        </w:rPr>
        <w:t xml:space="preserve"> expected </w:t>
      </w:r>
      <w:r w:rsidR="00DA69E9">
        <w:rPr>
          <w:rFonts w:cs="Arial"/>
        </w:rPr>
        <w:t>to be in the order of $200,000 to</w:t>
      </w:r>
      <w:r w:rsidRPr="00B1789F">
        <w:rPr>
          <w:rFonts w:cs="Arial"/>
        </w:rPr>
        <w:t xml:space="preserve"> $250,000 per annum. There is potential if desired to commercialise this solution in providing access to the data and reports to waste industry consultants. </w:t>
      </w:r>
    </w:p>
    <w:p w:rsidR="00112897" w:rsidRPr="00B1789F" w:rsidRDefault="00112897" w:rsidP="00C3767C">
      <w:pPr>
        <w:ind w:left="1134"/>
        <w:rPr>
          <w:rFonts w:cs="Arial"/>
        </w:rPr>
      </w:pPr>
      <w:r w:rsidRPr="00112897">
        <w:rPr>
          <w:rFonts w:cs="Arial"/>
        </w:rPr>
        <w:t xml:space="preserve">Note that the cost for infrastructure, environments, hardware and licensing will </w:t>
      </w:r>
      <w:r>
        <w:rPr>
          <w:rFonts w:cs="Arial"/>
        </w:rPr>
        <w:t>depend</w:t>
      </w:r>
      <w:r w:rsidRPr="00112897">
        <w:rPr>
          <w:rFonts w:cs="Arial"/>
        </w:rPr>
        <w:t xml:space="preserve"> on what can be leveraged from the existing DoE assets and the sophistication of the tools required</w:t>
      </w:r>
      <w:r>
        <w:rPr>
          <w:rFonts w:cs="Arial"/>
        </w:rPr>
        <w:t>,</w:t>
      </w:r>
      <w:r w:rsidRPr="00112897">
        <w:rPr>
          <w:rFonts w:cs="Arial"/>
        </w:rPr>
        <w:t xml:space="preserve"> which is dependent on the business requirements</w:t>
      </w:r>
      <w:r>
        <w:rPr>
          <w:rFonts w:cs="Arial"/>
        </w:rPr>
        <w:t>.</w:t>
      </w:r>
    </w:p>
    <w:p w:rsidR="00FE02C8" w:rsidRPr="00B1789F" w:rsidRDefault="00FE02C8" w:rsidP="00B1789F">
      <w:pPr>
        <w:pStyle w:val="Heading3"/>
      </w:pPr>
      <w:r w:rsidRPr="00B1789F">
        <w:t xml:space="preserve">Standard front end with disparate back ends </w:t>
      </w:r>
    </w:p>
    <w:p w:rsidR="00FE02C8" w:rsidRPr="00B1789F" w:rsidRDefault="00FE02C8" w:rsidP="00C3767C">
      <w:pPr>
        <w:pStyle w:val="BodyText"/>
        <w:ind w:left="1134"/>
        <w:rPr>
          <w:rFonts w:cs="Arial"/>
        </w:rPr>
      </w:pPr>
      <w:r w:rsidRPr="00B1789F">
        <w:rPr>
          <w:rFonts w:cs="Arial"/>
        </w:rPr>
        <w:t>This option primarily fo</w:t>
      </w:r>
      <w:r w:rsidR="005F7EE0">
        <w:rPr>
          <w:rFonts w:cs="Arial"/>
        </w:rPr>
        <w:t>cu</w:t>
      </w:r>
      <w:r w:rsidRPr="00B1789F">
        <w:rPr>
          <w:rFonts w:cs="Arial"/>
        </w:rPr>
        <w:t>ses on providing a standard user interface (front</w:t>
      </w:r>
      <w:r w:rsidR="00423B36">
        <w:rPr>
          <w:rFonts w:cs="Arial"/>
        </w:rPr>
        <w:t>-</w:t>
      </w:r>
      <w:r w:rsidRPr="00B1789F">
        <w:rPr>
          <w:rFonts w:cs="Arial"/>
        </w:rPr>
        <w:t>end) to each j</w:t>
      </w:r>
      <w:r w:rsidR="00423B36">
        <w:rPr>
          <w:rFonts w:cs="Arial"/>
        </w:rPr>
        <w:t>urisdiction with disparate back-</w:t>
      </w:r>
      <w:r w:rsidRPr="00B1789F">
        <w:rPr>
          <w:rFonts w:cs="Arial"/>
        </w:rPr>
        <w:t xml:space="preserve">ends for each. This provides the same look and feel and functionality to each jurisdiction with each of their data held in separate databases. </w:t>
      </w:r>
    </w:p>
    <w:p w:rsidR="00FE02C8" w:rsidRDefault="00FE02C8" w:rsidP="00C3767C">
      <w:pPr>
        <w:ind w:left="1134"/>
        <w:rPr>
          <w:sz w:val="22"/>
        </w:rPr>
      </w:pPr>
      <w:r w:rsidRPr="00E56CAB">
        <w:rPr>
          <w:noProof/>
        </w:rPr>
        <w:drawing>
          <wp:inline distT="0" distB="0" distL="0" distR="0">
            <wp:extent cx="4542335" cy="41090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549066" cy="4115174"/>
                    </a:xfrm>
                    <a:prstGeom prst="rect">
                      <a:avLst/>
                    </a:prstGeom>
                  </pic:spPr>
                </pic:pic>
              </a:graphicData>
            </a:graphic>
          </wp:inline>
        </w:drawing>
      </w:r>
    </w:p>
    <w:tbl>
      <w:tblPr>
        <w:tblW w:w="0" w:type="auto"/>
        <w:tblInd w:w="1134" w:type="dxa"/>
        <w:tblLayout w:type="fixed"/>
        <w:tblCellMar>
          <w:left w:w="0" w:type="dxa"/>
          <w:right w:w="0" w:type="dxa"/>
        </w:tblCellMar>
        <w:tblLook w:val="0000"/>
      </w:tblPr>
      <w:tblGrid>
        <w:gridCol w:w="7371"/>
      </w:tblGrid>
      <w:tr w:rsidR="00B1789F" w:rsidRPr="00B1789F">
        <w:trPr>
          <w:cantSplit/>
        </w:trPr>
        <w:tc>
          <w:tcPr>
            <w:tcW w:w="7371" w:type="dxa"/>
          </w:tcPr>
          <w:p w:rsidR="00B1789F" w:rsidRPr="00B1789F" w:rsidRDefault="00B1789F" w:rsidP="00423B36">
            <w:pPr>
              <w:pStyle w:val="Caption"/>
            </w:pPr>
            <w:bookmarkStart w:id="86" w:name="_Toc421181760"/>
            <w:r w:rsidRPr="00B1789F">
              <w:t xml:space="preserve">Figure </w:t>
            </w:r>
            <w:r w:rsidR="00350C10" w:rsidRPr="00B1789F">
              <w:fldChar w:fldCharType="begin"/>
            </w:r>
            <w:r w:rsidRPr="00B1789F">
              <w:instrText xml:space="preserve"> STYLEREF "_Heading1" \n </w:instrText>
            </w:r>
            <w:r w:rsidR="00350C10" w:rsidRPr="00B1789F">
              <w:fldChar w:fldCharType="separate"/>
            </w:r>
            <w:r w:rsidR="00261FA5">
              <w:rPr>
                <w:noProof/>
              </w:rPr>
              <w:t>5</w:t>
            </w:r>
            <w:r w:rsidR="00350C10" w:rsidRPr="00B1789F">
              <w:fldChar w:fldCharType="end"/>
            </w:r>
            <w:r w:rsidRPr="00B1789F">
              <w:t>-</w:t>
            </w:r>
            <w:r w:rsidR="00350C10" w:rsidRPr="00B1789F">
              <w:fldChar w:fldCharType="begin"/>
            </w:r>
            <w:r w:rsidRPr="00B1789F">
              <w:instrText xml:space="preserve"> SEQ Figure \* Arabic </w:instrText>
            </w:r>
            <w:r w:rsidR="00350C10" w:rsidRPr="00B1789F">
              <w:fldChar w:fldCharType="separate"/>
            </w:r>
            <w:r w:rsidR="00261FA5">
              <w:rPr>
                <w:noProof/>
              </w:rPr>
              <w:t>4</w:t>
            </w:r>
            <w:r w:rsidR="00350C10" w:rsidRPr="00B1789F">
              <w:fldChar w:fldCharType="end"/>
            </w:r>
            <w:r w:rsidRPr="00B1789F">
              <w:tab/>
            </w:r>
            <w:r w:rsidR="00891AEE" w:rsidRPr="006A3F4E">
              <w:t>C</w:t>
            </w:r>
            <w:r w:rsidR="005F7EE0" w:rsidRPr="006A3F4E">
              <w:t>onceptual common front</w:t>
            </w:r>
            <w:r w:rsidR="00423B36" w:rsidRPr="006A3F4E">
              <w:t>-</w:t>
            </w:r>
            <w:r w:rsidR="005F7EE0" w:rsidRPr="006A3F4E">
              <w:t>end electronic manifest</w:t>
            </w:r>
            <w:r w:rsidR="005F7EE0">
              <w:rPr>
                <w:b w:val="0"/>
              </w:rPr>
              <w:t>.</w:t>
            </w:r>
            <w:bookmarkEnd w:id="86"/>
          </w:p>
        </w:tc>
      </w:tr>
    </w:tbl>
    <w:p w:rsidR="00FE02C8" w:rsidRDefault="00FE02C8" w:rsidP="00C3767C">
      <w:pPr>
        <w:ind w:left="1134"/>
        <w:rPr>
          <w:sz w:val="22"/>
        </w:rPr>
      </w:pPr>
    </w:p>
    <w:p w:rsidR="00FE02C8" w:rsidRPr="00891AEE" w:rsidRDefault="00FE02C8" w:rsidP="00C3767C">
      <w:pPr>
        <w:ind w:left="1134"/>
      </w:pPr>
      <w:r w:rsidRPr="00891AEE">
        <w:lastRenderedPageBreak/>
        <w:t>This solution will provide a:</w:t>
      </w:r>
    </w:p>
    <w:p w:rsidR="00FE02C8" w:rsidRPr="00891AEE" w:rsidRDefault="00FE02C8" w:rsidP="00B4070B">
      <w:pPr>
        <w:pStyle w:val="ListParagraph"/>
        <w:numPr>
          <w:ilvl w:val="0"/>
          <w:numId w:val="39"/>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1491" w:hanging="357"/>
      </w:pPr>
      <w:r w:rsidRPr="00891AEE">
        <w:t>A single interface for all users, a single set of processes and business rules across all jurisdictions</w:t>
      </w:r>
    </w:p>
    <w:p w:rsidR="00FE02C8" w:rsidRPr="00891AEE" w:rsidRDefault="00FE02C8" w:rsidP="00B4070B">
      <w:pPr>
        <w:pStyle w:val="ListParagraph"/>
        <w:numPr>
          <w:ilvl w:val="0"/>
          <w:numId w:val="39"/>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1491" w:hanging="357"/>
      </w:pPr>
      <w:r w:rsidRPr="00891AEE">
        <w:t>An electronic system for those jurisdictions running a paper based system</w:t>
      </w:r>
    </w:p>
    <w:p w:rsidR="00FE02C8" w:rsidRPr="00891AEE" w:rsidRDefault="00FE02C8" w:rsidP="00B4070B">
      <w:pPr>
        <w:pStyle w:val="ListParagraph"/>
        <w:numPr>
          <w:ilvl w:val="0"/>
          <w:numId w:val="39"/>
        </w:numPr>
        <w:tabs>
          <w:tab w:val="clear" w:pos="-567"/>
          <w:tab w:val="clear" w:pos="0"/>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ind w:left="1491" w:hanging="357"/>
      </w:pPr>
      <w:r w:rsidRPr="00891AEE">
        <w:t>The ability to then store each jurisdictions data in their own database</w:t>
      </w:r>
      <w:r w:rsidR="00891AEE">
        <w:t>.</w:t>
      </w:r>
    </w:p>
    <w:p w:rsidR="00FE02C8" w:rsidRPr="00891AEE" w:rsidRDefault="00FE02C8" w:rsidP="00891AEE">
      <w:pPr>
        <w:spacing w:before="120"/>
        <w:ind w:left="1134"/>
      </w:pPr>
      <w:r w:rsidRPr="00891AEE">
        <w:t xml:space="preserve">For those jurisdictions currently operating paper based systems, a common back end will need to be defined between them to write data back to. Should this be the case, consideration needs to be given as to whether this option is only for those jurisdictions </w:t>
      </w:r>
      <w:r w:rsidR="00445C64">
        <w:t>bec</w:t>
      </w:r>
      <w:r w:rsidRPr="00891AEE">
        <w:t>a</w:t>
      </w:r>
      <w:r w:rsidR="00445C64">
        <w:t>u</w:t>
      </w:r>
      <w:r w:rsidRPr="00891AEE">
        <w:t>s</w:t>
      </w:r>
      <w:r w:rsidR="00445C64">
        <w:t>e</w:t>
      </w:r>
      <w:r w:rsidRPr="00891AEE">
        <w:t xml:space="preserve"> adding Victoria, Western Australia, NSW and South Australia may res</w:t>
      </w:r>
      <w:r w:rsidR="00891AEE">
        <w:t>ult in a solution that mirrors O</w:t>
      </w:r>
      <w:r w:rsidRPr="00891AEE">
        <w:t xml:space="preserve">ption 3. </w:t>
      </w:r>
    </w:p>
    <w:p w:rsidR="00FE02C8" w:rsidRDefault="00FE02C8" w:rsidP="00891AEE">
      <w:pPr>
        <w:pStyle w:val="Heading40"/>
      </w:pPr>
      <w:r>
        <w:t>What it will and won’t deliver</w:t>
      </w:r>
    </w:p>
    <w:p w:rsidR="00B62432" w:rsidRDefault="00FE02C8" w:rsidP="00B62432">
      <w:pPr>
        <w:pStyle w:val="BodyText"/>
        <w:ind w:left="1134"/>
      </w:pPr>
      <w:r>
        <w:t>This option will deliver on objectives 2, 6, 7 and 8 by providing significantly increased capability to jurisdictions using paper based systems and a standard user interface, processes and business to</w:t>
      </w:r>
      <w:r w:rsidR="004E0FA4">
        <w:t xml:space="preserve"> manage controlled waste data. It </w:t>
      </w:r>
      <w:r>
        <w:t>will not meet objectives 1, 3, 4 and 5 to deliver automated and more sophisticated reportin</w:t>
      </w:r>
      <w:r w:rsidR="00787034">
        <w:t>g and analytical capabilities.</w:t>
      </w:r>
    </w:p>
    <w:p w:rsidR="00B62432" w:rsidRDefault="00B6243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0" w:line="240" w:lineRule="auto"/>
      </w:pPr>
      <w:r>
        <w:br w:type="page"/>
      </w:r>
    </w:p>
    <w:p w:rsidR="00B62432" w:rsidRDefault="00B62432" w:rsidP="00B62432">
      <w:pPr>
        <w:pStyle w:val="BodyText"/>
        <w:ind w:left="1134"/>
      </w:pPr>
    </w:p>
    <w:p w:rsidR="00DA69E9" w:rsidRDefault="00787034" w:rsidP="00787034">
      <w:pPr>
        <w:pStyle w:val="Caption"/>
        <w:ind w:left="567" w:firstLine="567"/>
        <w:rPr>
          <w:lang w:eastAsia="en-US"/>
        </w:rPr>
      </w:pPr>
      <w:bookmarkStart w:id="87" w:name="_Toc421181783"/>
      <w:r w:rsidRPr="006226B1">
        <w:rPr>
          <w:lang w:eastAsia="en-US"/>
        </w:rPr>
        <w:t xml:space="preserve">Table </w:t>
      </w:r>
      <w:r w:rsidR="00350C10" w:rsidRPr="006226B1">
        <w:rPr>
          <w:lang w:eastAsia="en-US"/>
        </w:rPr>
        <w:fldChar w:fldCharType="begin"/>
      </w:r>
      <w:r w:rsidRPr="006226B1">
        <w:rPr>
          <w:lang w:eastAsia="en-US"/>
        </w:rPr>
        <w:instrText xml:space="preserve"> STYLEREF "_Heading1" \n </w:instrText>
      </w:r>
      <w:r w:rsidR="00350C10" w:rsidRPr="006226B1">
        <w:rPr>
          <w:lang w:eastAsia="en-US"/>
        </w:rPr>
        <w:fldChar w:fldCharType="separate"/>
      </w:r>
      <w:r w:rsidR="00261FA5">
        <w:rPr>
          <w:noProof/>
          <w:lang w:eastAsia="en-US"/>
        </w:rPr>
        <w:t>5</w:t>
      </w:r>
      <w:r w:rsidR="00350C10" w:rsidRPr="006226B1">
        <w:rPr>
          <w:lang w:eastAsia="en-US"/>
        </w:rPr>
        <w:fldChar w:fldCharType="end"/>
      </w:r>
      <w:r w:rsidRPr="006226B1">
        <w:rPr>
          <w:lang w:eastAsia="en-US"/>
        </w:rPr>
        <w:t>-</w:t>
      </w:r>
      <w:r w:rsidR="00350C10">
        <w:rPr>
          <w:lang w:eastAsia="en-US"/>
        </w:rPr>
        <w:fldChar w:fldCharType="begin"/>
      </w:r>
      <w:r>
        <w:rPr>
          <w:lang w:eastAsia="en-US"/>
        </w:rPr>
        <w:instrText xml:space="preserve"> SEQ Table \* Arabic </w:instrText>
      </w:r>
      <w:r w:rsidR="00350C10">
        <w:rPr>
          <w:lang w:eastAsia="en-US"/>
        </w:rPr>
        <w:fldChar w:fldCharType="separate"/>
      </w:r>
      <w:r w:rsidR="00261FA5">
        <w:rPr>
          <w:noProof/>
          <w:lang w:eastAsia="en-US"/>
        </w:rPr>
        <w:t>22</w:t>
      </w:r>
      <w:r w:rsidR="00350C10">
        <w:rPr>
          <w:lang w:eastAsia="en-US"/>
        </w:rPr>
        <w:fldChar w:fldCharType="end"/>
      </w:r>
      <w:r w:rsidRPr="006226B1">
        <w:rPr>
          <w:lang w:eastAsia="en-US"/>
        </w:rPr>
        <w:tab/>
      </w:r>
      <w:r w:rsidR="004E0FA4">
        <w:rPr>
          <w:lang w:eastAsia="en-US"/>
        </w:rPr>
        <w:t>Pros and cons of a common interface</w:t>
      </w:r>
      <w:bookmarkEnd w:id="87"/>
    </w:p>
    <w:tbl>
      <w:tblPr>
        <w:tblStyle w:val="HyderTableStyle"/>
        <w:tblW w:w="0" w:type="auto"/>
        <w:tblInd w:w="1134" w:type="dxa"/>
        <w:tblLook w:val="04A0"/>
      </w:tblPr>
      <w:tblGrid>
        <w:gridCol w:w="4337"/>
        <w:gridCol w:w="4338"/>
      </w:tblGrid>
      <w:tr w:rsidR="00787034" w:rsidTr="00787034">
        <w:trPr>
          <w:cnfStyle w:val="100000000000"/>
        </w:trPr>
        <w:tc>
          <w:tcPr>
            <w:tcW w:w="4337" w:type="dxa"/>
            <w:vAlign w:val="center"/>
          </w:tcPr>
          <w:p w:rsidR="00787034" w:rsidRDefault="00787034" w:rsidP="00787034">
            <w:pPr>
              <w:pStyle w:val="ParaIndent"/>
              <w:ind w:left="0"/>
              <w:rPr>
                <w:lang w:eastAsia="en-US"/>
              </w:rPr>
            </w:pPr>
            <w:r w:rsidRPr="0080316D">
              <w:rPr>
                <w:b/>
              </w:rPr>
              <w:t>Pros</w:t>
            </w:r>
          </w:p>
        </w:tc>
        <w:tc>
          <w:tcPr>
            <w:tcW w:w="4338" w:type="dxa"/>
            <w:vAlign w:val="center"/>
          </w:tcPr>
          <w:p w:rsidR="00787034" w:rsidRDefault="00787034" w:rsidP="00787034">
            <w:pPr>
              <w:pStyle w:val="ParaIndent"/>
              <w:ind w:left="0"/>
              <w:rPr>
                <w:lang w:eastAsia="en-US"/>
              </w:rPr>
            </w:pPr>
            <w:r w:rsidRPr="0080316D">
              <w:rPr>
                <w:b/>
              </w:rPr>
              <w:t>Cons</w:t>
            </w:r>
          </w:p>
        </w:tc>
      </w:tr>
      <w:tr w:rsidR="00787034" w:rsidTr="00787034">
        <w:tc>
          <w:tcPr>
            <w:tcW w:w="4337" w:type="dxa"/>
          </w:tcPr>
          <w:p w:rsidR="00787034" w:rsidRDefault="00787034" w:rsidP="00F70568">
            <w:pPr>
              <w:spacing w:after="120"/>
            </w:pPr>
            <w:r>
              <w:t>Provides the same user interface and functionality across all jurisdictions and other stakeholders</w:t>
            </w:r>
          </w:p>
          <w:p w:rsidR="00787034" w:rsidRDefault="00787034" w:rsidP="00F70568">
            <w:pPr>
              <w:spacing w:after="120"/>
            </w:pPr>
            <w:r>
              <w:t>Provides the ability to standardise processes, business rules and code sets</w:t>
            </w:r>
          </w:p>
          <w:p w:rsidR="00787034" w:rsidRDefault="00787034" w:rsidP="00F70568">
            <w:pPr>
              <w:spacing w:after="120"/>
            </w:pPr>
            <w:r>
              <w:t>Provides much of the required functionality</w:t>
            </w:r>
          </w:p>
          <w:p w:rsidR="00787034" w:rsidRDefault="00787034" w:rsidP="00F70568">
            <w:pPr>
              <w:pStyle w:val="ParaIndent"/>
              <w:spacing w:after="120"/>
              <w:ind w:left="0"/>
              <w:rPr>
                <w:lang w:eastAsia="en-US"/>
              </w:rPr>
            </w:pPr>
            <w:r>
              <w:t>Can provide an electronic system to those jurisdictions currently running a paper based system</w:t>
            </w:r>
          </w:p>
        </w:tc>
        <w:tc>
          <w:tcPr>
            <w:tcW w:w="4338" w:type="dxa"/>
          </w:tcPr>
          <w:p w:rsidR="00787034" w:rsidRDefault="00787034" w:rsidP="00F70568">
            <w:pPr>
              <w:spacing w:after="120"/>
            </w:pPr>
            <w:r>
              <w:t>May be quite lengthy to implement based on the agreements required across jurisdictions</w:t>
            </w:r>
          </w:p>
          <w:p w:rsidR="00787034" w:rsidRDefault="00787034" w:rsidP="00F70568">
            <w:pPr>
              <w:spacing w:after="120"/>
            </w:pPr>
            <w:r>
              <w:t xml:space="preserve">Requires significant jurisdictional resources </w:t>
            </w:r>
          </w:p>
          <w:p w:rsidR="00787034" w:rsidRDefault="00787034" w:rsidP="00F70568">
            <w:pPr>
              <w:spacing w:after="120"/>
            </w:pPr>
            <w:r>
              <w:t xml:space="preserve">Implementation would need to deal with all the differences in the options for drop downs etc – this may be impossible to fit. </w:t>
            </w:r>
          </w:p>
          <w:p w:rsidR="00787034" w:rsidRDefault="00787034" w:rsidP="00F70568">
            <w:pPr>
              <w:spacing w:after="120"/>
            </w:pPr>
            <w:r>
              <w:t xml:space="preserve">Implementation could not begin until all codes sets resolved, business rules, business processes and other requirements are confirmed and agreed. This may be a lengthy process. </w:t>
            </w:r>
          </w:p>
          <w:p w:rsidR="00787034" w:rsidRDefault="00787034" w:rsidP="00F70568">
            <w:pPr>
              <w:spacing w:after="120"/>
            </w:pPr>
            <w:r>
              <w:t>Significant work required to map the front end data attributes to existing jurisdiction back end databases</w:t>
            </w:r>
          </w:p>
          <w:p w:rsidR="00787034" w:rsidRDefault="00787034" w:rsidP="00F70568">
            <w:pPr>
              <w:spacing w:after="120"/>
            </w:pPr>
            <w:r>
              <w:t xml:space="preserve">Significant work required to design and build a back end database for jurisdictions with paper based systems. </w:t>
            </w:r>
          </w:p>
          <w:p w:rsidR="00787034" w:rsidRDefault="00787034" w:rsidP="00F70568">
            <w:pPr>
              <w:spacing w:after="120"/>
            </w:pPr>
            <w:r>
              <w:t xml:space="preserve">May require rework of existing back end databases if mapping cannot occur </w:t>
            </w:r>
          </w:p>
          <w:p w:rsidR="00787034" w:rsidRDefault="00787034" w:rsidP="00F70568">
            <w:pPr>
              <w:spacing w:after="120"/>
            </w:pPr>
            <w:r>
              <w:t xml:space="preserve">It does not resolve DoE issues with reporting and analysis of the data – in particular regulatory reporting and identifying trends, gaps and issues </w:t>
            </w:r>
          </w:p>
          <w:p w:rsidR="00787034" w:rsidRDefault="00787034" w:rsidP="00F70568">
            <w:pPr>
              <w:spacing w:after="120"/>
            </w:pPr>
            <w:r>
              <w:t>Significant change management and training required</w:t>
            </w:r>
          </w:p>
          <w:p w:rsidR="00787034" w:rsidRDefault="00787034" w:rsidP="00F70568">
            <w:pPr>
              <w:spacing w:after="120"/>
            </w:pPr>
            <w:r>
              <w:t xml:space="preserve">Does not provide a single system nationally – that is a single back end database. </w:t>
            </w:r>
          </w:p>
          <w:p w:rsidR="00787034" w:rsidRDefault="00787034" w:rsidP="00F70568">
            <w:pPr>
              <w:pStyle w:val="ParaIndent"/>
              <w:spacing w:after="120"/>
              <w:ind w:left="0"/>
              <w:rPr>
                <w:lang w:eastAsia="en-US"/>
              </w:rPr>
            </w:pPr>
            <w:r>
              <w:t xml:space="preserve">Does not provide all of the economies of scale as they are mainly separate instances from a back end perspective. </w:t>
            </w:r>
          </w:p>
        </w:tc>
      </w:tr>
    </w:tbl>
    <w:p w:rsidR="00FE02C8" w:rsidRDefault="00FE02C8" w:rsidP="00787034">
      <w:pPr>
        <w:pStyle w:val="Heading40"/>
      </w:pPr>
      <w:r w:rsidRPr="00D71951">
        <w:t>Potential stages for implementation</w:t>
      </w:r>
    </w:p>
    <w:p w:rsidR="00FE02C8" w:rsidRPr="00891AEE" w:rsidRDefault="00FE02C8" w:rsidP="00C3767C">
      <w:pPr>
        <w:ind w:left="1134"/>
      </w:pPr>
      <w:r w:rsidRPr="00891AEE">
        <w:t>Detailed planning will be required in terms of implementation options, with these being:</w:t>
      </w:r>
    </w:p>
    <w:p w:rsidR="00FE02C8" w:rsidRPr="00891AEE" w:rsidRDefault="00FE02C8" w:rsidP="00B4070B">
      <w:pPr>
        <w:pStyle w:val="ListParagraph"/>
        <w:numPr>
          <w:ilvl w:val="0"/>
          <w:numId w:val="4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891AEE">
        <w:t>Implementation of all functionality by jurisdiction</w:t>
      </w:r>
    </w:p>
    <w:p w:rsidR="00FE02C8" w:rsidRPr="00891AEE" w:rsidRDefault="00FE02C8" w:rsidP="00B4070B">
      <w:pPr>
        <w:pStyle w:val="ListParagraph"/>
        <w:numPr>
          <w:ilvl w:val="0"/>
          <w:numId w:val="4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rPr>
          <w:rFonts w:cs="Arial"/>
        </w:rPr>
      </w:pPr>
      <w:r w:rsidRPr="00891AEE">
        <w:t>Implementation of functionality in jurisdictions with paper based systems as a priority</w:t>
      </w:r>
    </w:p>
    <w:p w:rsidR="00FE02C8" w:rsidRPr="00891AEE" w:rsidRDefault="00FE02C8" w:rsidP="00B4070B">
      <w:pPr>
        <w:pStyle w:val="ListParagraph"/>
        <w:numPr>
          <w:ilvl w:val="0"/>
          <w:numId w:val="40"/>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891AEE">
        <w:t>Implementation of functionality in a phased manner across all jurisdictions</w:t>
      </w:r>
      <w:r w:rsidR="00891AEE">
        <w:t>.</w:t>
      </w:r>
    </w:p>
    <w:p w:rsidR="00FE02C8" w:rsidRPr="00891AEE" w:rsidRDefault="00FE02C8" w:rsidP="00891AEE">
      <w:pPr>
        <w:ind w:left="1134"/>
        <w:rPr>
          <w:rFonts w:cs="Arial"/>
        </w:rPr>
      </w:pPr>
      <w:r w:rsidRPr="00891AEE">
        <w:rPr>
          <w:rFonts w:cs="Arial"/>
        </w:rPr>
        <w:t xml:space="preserve">A key critical step will be to obtain agreement on the required mapping of all code sets and agreement of business rules, business processes and requirements.  </w:t>
      </w:r>
    </w:p>
    <w:p w:rsidR="00FE02C8" w:rsidRPr="00FE0513" w:rsidRDefault="00FE02C8" w:rsidP="00891AEE">
      <w:pPr>
        <w:pStyle w:val="Heading40"/>
      </w:pPr>
      <w:r w:rsidRPr="00FE0513">
        <w:t>Barriers to overcome</w:t>
      </w:r>
    </w:p>
    <w:p w:rsidR="00FE02C8" w:rsidRPr="00891AEE" w:rsidRDefault="00FE02C8" w:rsidP="00C3767C">
      <w:pPr>
        <w:ind w:left="1134"/>
      </w:pPr>
      <w:r w:rsidRPr="00891AEE">
        <w:t>A number of barriers would need to be overcome with implementation of this option:</w:t>
      </w:r>
    </w:p>
    <w:p w:rsidR="00FE02C8" w:rsidRPr="00891AEE" w:rsidRDefault="00FE02C8" w:rsidP="00B4070B">
      <w:pPr>
        <w:pStyle w:val="ListParagraph"/>
        <w:numPr>
          <w:ilvl w:val="0"/>
          <w:numId w:val="41"/>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ind w:left="1491" w:hanging="357"/>
        <w:rPr>
          <w:rFonts w:cs="Arial"/>
        </w:rPr>
      </w:pPr>
      <w:r w:rsidRPr="00891AEE">
        <w:t>Any required legislative / regulatory changes to provide uniformity nationally</w:t>
      </w:r>
      <w:r w:rsidRPr="00891AEE">
        <w:rPr>
          <w:rFonts w:cs="Arial"/>
        </w:rPr>
        <w:t xml:space="preserve"> </w:t>
      </w:r>
    </w:p>
    <w:p w:rsidR="00FE02C8" w:rsidRPr="00891AEE" w:rsidRDefault="00FE02C8" w:rsidP="00B4070B">
      <w:pPr>
        <w:pStyle w:val="ListParagraph"/>
        <w:numPr>
          <w:ilvl w:val="0"/>
          <w:numId w:val="41"/>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ind w:left="1491" w:hanging="357"/>
      </w:pPr>
      <w:r w:rsidRPr="00891AEE">
        <w:t>Agreed standardisation of code sets, business rules and business processes across all jurisdictions</w:t>
      </w:r>
    </w:p>
    <w:p w:rsidR="00FE02C8" w:rsidRPr="00891AEE" w:rsidRDefault="00FE02C8" w:rsidP="00B4070B">
      <w:pPr>
        <w:pStyle w:val="ListParagraph"/>
        <w:numPr>
          <w:ilvl w:val="0"/>
          <w:numId w:val="41"/>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ind w:left="1491" w:hanging="357"/>
      </w:pPr>
      <w:r w:rsidRPr="00891AEE">
        <w:t>Acceptance of each jurisdiction to commit to the project, including resources</w:t>
      </w:r>
      <w:r w:rsidR="00891AEE">
        <w:t>.</w:t>
      </w:r>
    </w:p>
    <w:p w:rsidR="00FE02C8" w:rsidRDefault="00FE02C8" w:rsidP="00891AEE">
      <w:pPr>
        <w:pStyle w:val="Heading40"/>
      </w:pPr>
      <w:r>
        <w:lastRenderedPageBreak/>
        <w:t xml:space="preserve">Estimated cost (implementation and </w:t>
      </w:r>
      <w:r w:rsidR="0006706C">
        <w:t>operation</w:t>
      </w:r>
      <w:r>
        <w:t>)</w:t>
      </w:r>
    </w:p>
    <w:p w:rsidR="00891AEE" w:rsidRPr="00787034" w:rsidRDefault="00D00211" w:rsidP="00C3767C">
      <w:pPr>
        <w:ind w:left="1134"/>
      </w:pPr>
      <w:r w:rsidRPr="00787034">
        <w:t>While</w:t>
      </w:r>
      <w:r w:rsidR="00787034">
        <w:t xml:space="preserve"> the development of a front-</w:t>
      </w:r>
      <w:r w:rsidR="00FE02C8" w:rsidRPr="00787034">
        <w:t xml:space="preserve">end in its own right is relatively easy and </w:t>
      </w:r>
      <w:r w:rsidR="00445C64">
        <w:t>in</w:t>
      </w:r>
      <w:r w:rsidR="00FE02C8" w:rsidRPr="00787034">
        <w:t xml:space="preserve">expensive, the process to determine and agree requirements, standardise code sets, business rules and business processes is expected to be lengthy and costly. In addition, the integration and mapping required to write to existing back end databases and design and build a back end database for jurisdictions using paper based systems will also be costly. </w:t>
      </w:r>
    </w:p>
    <w:p w:rsidR="00FE02C8" w:rsidRPr="00787034" w:rsidRDefault="00FE02C8" w:rsidP="00C3767C">
      <w:pPr>
        <w:ind w:left="1134"/>
      </w:pPr>
      <w:r w:rsidRPr="00787034">
        <w:t>It is anticipated that the cost of this option wil</w:t>
      </w:r>
      <w:r w:rsidR="00787034">
        <w:t>l be in the order of $2</w:t>
      </w:r>
      <w:r w:rsidR="00921C26">
        <w:t>.5</w:t>
      </w:r>
      <w:r w:rsidR="00787034">
        <w:t xml:space="preserve"> million to</w:t>
      </w:r>
      <w:r w:rsidR="00891AEE" w:rsidRPr="00787034">
        <w:t xml:space="preserve"> $3</w:t>
      </w:r>
      <w:r w:rsidR="00921C26">
        <w:t>.5</w:t>
      </w:r>
      <w:r w:rsidR="00787034">
        <w:t xml:space="preserve"> </w:t>
      </w:r>
      <w:r w:rsidR="00891AEE" w:rsidRPr="00787034">
        <w:t>m</w:t>
      </w:r>
      <w:r w:rsidR="00787034">
        <w:t>illion</w:t>
      </w:r>
      <w:r w:rsidR="00891AEE" w:rsidRPr="00787034">
        <w:t xml:space="preserve">. </w:t>
      </w:r>
      <w:r w:rsidRPr="00787034">
        <w:t>This is required to cover items such as:</w:t>
      </w:r>
    </w:p>
    <w:p w:rsidR="00FE02C8" w:rsidRPr="00891AEE" w:rsidRDefault="00FE02C8" w:rsidP="00B4070B">
      <w:pPr>
        <w:pStyle w:val="ListParagraph"/>
        <w:numPr>
          <w:ilvl w:val="0"/>
          <w:numId w:val="4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891AEE">
        <w:t>Infrastructure, environments and hardware</w:t>
      </w:r>
    </w:p>
    <w:p w:rsidR="00FE02C8" w:rsidRPr="00891AEE" w:rsidRDefault="00FE02C8" w:rsidP="00B4070B">
      <w:pPr>
        <w:pStyle w:val="ListParagraph"/>
        <w:numPr>
          <w:ilvl w:val="0"/>
          <w:numId w:val="4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891AEE">
        <w:t xml:space="preserve">Tools and technology </w:t>
      </w:r>
      <w:r w:rsidR="00787034">
        <w:t>–</w:t>
      </w:r>
      <w:r w:rsidRPr="00891AEE">
        <w:t xml:space="preserve"> licensing</w:t>
      </w:r>
    </w:p>
    <w:p w:rsidR="00FE02C8" w:rsidRPr="00891AEE" w:rsidRDefault="00787034" w:rsidP="00B4070B">
      <w:pPr>
        <w:pStyle w:val="ListParagraph"/>
        <w:numPr>
          <w:ilvl w:val="0"/>
          <w:numId w:val="4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t xml:space="preserve">Resources </w:t>
      </w:r>
      <w:r w:rsidR="00FE02C8" w:rsidRPr="00891AEE">
        <w:t>covering subject matter experts, project management, business analysts, data architect, data developers, testers, infrastructure experts, training and change management and communication experts</w:t>
      </w:r>
    </w:p>
    <w:p w:rsidR="00FE02C8" w:rsidRPr="00891AEE" w:rsidRDefault="00FE02C8" w:rsidP="00B4070B">
      <w:pPr>
        <w:pStyle w:val="ListParagraph"/>
        <w:numPr>
          <w:ilvl w:val="0"/>
          <w:numId w:val="42"/>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891AEE">
        <w:t>For a national project, any required travel between jurisdictions</w:t>
      </w:r>
      <w:r w:rsidR="00891AEE">
        <w:t>.</w:t>
      </w:r>
    </w:p>
    <w:p w:rsidR="00FE02C8" w:rsidRPr="00891AEE" w:rsidRDefault="00FE02C8" w:rsidP="00C3767C">
      <w:pPr>
        <w:ind w:left="1134"/>
      </w:pPr>
      <w:proofErr w:type="gramStart"/>
      <w:r w:rsidRPr="00891AEE">
        <w:t>Ongoing costs for infrastructure, environments, hardware, licensing and maintenance of the system via required resources is</w:t>
      </w:r>
      <w:proofErr w:type="gramEnd"/>
      <w:r w:rsidRPr="00891AEE">
        <w:t xml:space="preserve"> expected </w:t>
      </w:r>
      <w:r w:rsidR="004E0FA4">
        <w:t>to be in the order of $250,000 to</w:t>
      </w:r>
      <w:r w:rsidRPr="00891AEE">
        <w:t xml:space="preserve"> $350,000 per annum. </w:t>
      </w:r>
    </w:p>
    <w:p w:rsidR="00FE02C8" w:rsidRPr="00891AEE" w:rsidRDefault="00FE02C8" w:rsidP="00891AEE">
      <w:pPr>
        <w:ind w:left="1134"/>
      </w:pPr>
      <w:r w:rsidRPr="00891AEE">
        <w:t>Note that the cost for infrastructure, environments, hardware and licensing will be dependent on what can be leveraged from existing DoE assets.</w:t>
      </w:r>
    </w:p>
    <w:p w:rsidR="00FE02C8" w:rsidRPr="00891AEE" w:rsidRDefault="00FE02C8" w:rsidP="00891AEE">
      <w:pPr>
        <w:pStyle w:val="Heading2"/>
      </w:pPr>
      <w:bookmarkStart w:id="88" w:name="_Toc421181750"/>
      <w:r w:rsidRPr="00891AEE">
        <w:t>Recommendations and</w:t>
      </w:r>
      <w:r w:rsidR="00DA78BA">
        <w:t xml:space="preserve"> costings</w:t>
      </w:r>
      <w:bookmarkEnd w:id="88"/>
    </w:p>
    <w:p w:rsidR="00FE02C8" w:rsidRPr="00891AEE" w:rsidRDefault="00FE02C8" w:rsidP="00C3767C">
      <w:pPr>
        <w:pStyle w:val="BodyText"/>
        <w:ind w:left="1134"/>
      </w:pPr>
      <w:r w:rsidRPr="00891AEE">
        <w:t>Based on the requirements, feedback from each jurisdiction consulted and the objectives of DoE, it is found that options 1, 2 and 3 are not viable, these being:</w:t>
      </w:r>
    </w:p>
    <w:p w:rsidR="00FE02C8" w:rsidRPr="00891AEE" w:rsidRDefault="00FE02C8" w:rsidP="00B4070B">
      <w:pPr>
        <w:pStyle w:val="ListParagraph"/>
        <w:numPr>
          <w:ilvl w:val="0"/>
          <w:numId w:val="4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891AEE">
        <w:t xml:space="preserve">Deploy the NSW waste management system across the other states  </w:t>
      </w:r>
    </w:p>
    <w:p w:rsidR="00FE02C8" w:rsidRPr="00891AEE" w:rsidRDefault="00FE02C8" w:rsidP="00B4070B">
      <w:pPr>
        <w:pStyle w:val="ListParagraph"/>
        <w:numPr>
          <w:ilvl w:val="0"/>
          <w:numId w:val="4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891AEE">
        <w:t xml:space="preserve">DoE access to electronic systems </w:t>
      </w:r>
    </w:p>
    <w:p w:rsidR="00FE02C8" w:rsidRPr="00891AEE" w:rsidRDefault="00FE02C8" w:rsidP="00B4070B">
      <w:pPr>
        <w:pStyle w:val="ListParagraph"/>
        <w:numPr>
          <w:ilvl w:val="0"/>
          <w:numId w:val="43"/>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494"/>
      </w:pPr>
      <w:r w:rsidRPr="00891AEE">
        <w:t xml:space="preserve">Develop </w:t>
      </w:r>
      <w:proofErr w:type="gramStart"/>
      <w:r w:rsidRPr="00891AEE">
        <w:t>a new nation systems</w:t>
      </w:r>
      <w:proofErr w:type="gramEnd"/>
      <w:r w:rsidRPr="00891AEE">
        <w:t xml:space="preserve"> for the tracking of controlled wastes to be used by all states and territories.</w:t>
      </w:r>
    </w:p>
    <w:p w:rsidR="00FE02C8" w:rsidRDefault="00FE02C8" w:rsidP="00C3767C">
      <w:pPr>
        <w:pStyle w:val="BodyText"/>
        <w:ind w:left="1134"/>
      </w:pPr>
      <w:r w:rsidRPr="00891AEE">
        <w:t xml:space="preserve">Option 6, Do Nothing has already been discounted. The reasons for options 1, 2 and 3 being discounted are </w:t>
      </w:r>
      <w:r w:rsidR="00363843">
        <w:t xml:space="preserve">presented </w:t>
      </w:r>
      <w:r w:rsidRPr="00891AEE">
        <w:t>in the table below.</w:t>
      </w:r>
    </w:p>
    <w:p w:rsidR="00891AEE" w:rsidRDefault="00891AEE" w:rsidP="00891AEE">
      <w:pPr>
        <w:pStyle w:val="Caption"/>
        <w:ind w:left="567" w:firstLine="567"/>
      </w:pPr>
      <w:bookmarkStart w:id="89" w:name="_Toc421181784"/>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5</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23</w:t>
      </w:r>
      <w:r w:rsidR="00350C10">
        <w:fldChar w:fldCharType="end"/>
      </w:r>
      <w:r w:rsidRPr="006226B1">
        <w:tab/>
      </w:r>
      <w:proofErr w:type="gramStart"/>
      <w:r w:rsidR="00787034" w:rsidRPr="006A3F4E">
        <w:t>Reasoning</w:t>
      </w:r>
      <w:proofErr w:type="gramEnd"/>
      <w:r w:rsidR="00787034" w:rsidRPr="006A3F4E">
        <w:t xml:space="preserve"> behind d</w:t>
      </w:r>
      <w:r w:rsidRPr="006A3F4E">
        <w:t>iscounted options</w:t>
      </w:r>
      <w:bookmarkEnd w:id="89"/>
    </w:p>
    <w:tbl>
      <w:tblPr>
        <w:tblStyle w:val="HyderTableStyle"/>
        <w:tblW w:w="0" w:type="auto"/>
        <w:tblInd w:w="1134" w:type="dxa"/>
        <w:tblLook w:val="04A0"/>
      </w:tblPr>
      <w:tblGrid>
        <w:gridCol w:w="652"/>
        <w:gridCol w:w="3828"/>
        <w:gridCol w:w="4195"/>
      </w:tblGrid>
      <w:tr w:rsidR="00891AEE" w:rsidTr="00D15505">
        <w:trPr>
          <w:cnfStyle w:val="100000000000"/>
          <w:cantSplit w:val="off"/>
        </w:trPr>
        <w:tc>
          <w:tcPr>
            <w:tcW w:w="652" w:type="dxa"/>
          </w:tcPr>
          <w:p w:rsidR="00891AEE" w:rsidRDefault="00891AEE" w:rsidP="00891AEE">
            <w:pPr>
              <w:pStyle w:val="BodyText"/>
            </w:pPr>
            <w:r>
              <w:rPr>
                <w:b/>
              </w:rPr>
              <w:t>No.</w:t>
            </w:r>
          </w:p>
        </w:tc>
        <w:tc>
          <w:tcPr>
            <w:tcW w:w="3828" w:type="dxa"/>
            <w:vAlign w:val="center"/>
          </w:tcPr>
          <w:p w:rsidR="00891AEE" w:rsidRDefault="00891AEE" w:rsidP="00891AEE">
            <w:pPr>
              <w:pStyle w:val="BodyText"/>
            </w:pPr>
            <w:r w:rsidRPr="00F61D23">
              <w:rPr>
                <w:b/>
              </w:rPr>
              <w:t>Option</w:t>
            </w:r>
          </w:p>
        </w:tc>
        <w:tc>
          <w:tcPr>
            <w:tcW w:w="4195" w:type="dxa"/>
            <w:vAlign w:val="center"/>
          </w:tcPr>
          <w:p w:rsidR="00891AEE" w:rsidRDefault="00891AEE" w:rsidP="00891AEE">
            <w:pPr>
              <w:pStyle w:val="BodyText"/>
            </w:pPr>
            <w:r>
              <w:rPr>
                <w:b/>
              </w:rPr>
              <w:t>Reasons</w:t>
            </w:r>
          </w:p>
        </w:tc>
      </w:tr>
      <w:tr w:rsidR="00891AEE" w:rsidTr="00D15505">
        <w:trPr>
          <w:cantSplit w:val="off"/>
        </w:trPr>
        <w:tc>
          <w:tcPr>
            <w:tcW w:w="652" w:type="dxa"/>
          </w:tcPr>
          <w:p w:rsidR="00891AEE" w:rsidRDefault="00891AEE" w:rsidP="00891AEE">
            <w:pPr>
              <w:pStyle w:val="BodyText"/>
            </w:pPr>
            <w:r>
              <w:t>1</w:t>
            </w:r>
          </w:p>
        </w:tc>
        <w:tc>
          <w:tcPr>
            <w:tcW w:w="3828" w:type="dxa"/>
          </w:tcPr>
          <w:p w:rsidR="00891AEE" w:rsidRDefault="00891AEE" w:rsidP="00891AEE">
            <w:pPr>
              <w:pStyle w:val="BodyText"/>
            </w:pPr>
            <w:r w:rsidRPr="006C4E2C">
              <w:t xml:space="preserve">Deploy </w:t>
            </w:r>
            <w:r>
              <w:t xml:space="preserve">the </w:t>
            </w:r>
            <w:r w:rsidRPr="006C4E2C">
              <w:t xml:space="preserve">NSW waste management system across the other states  </w:t>
            </w:r>
          </w:p>
        </w:tc>
        <w:tc>
          <w:tcPr>
            <w:tcW w:w="4195" w:type="dxa"/>
          </w:tcPr>
          <w:p w:rsidR="00891AEE" w:rsidRDefault="00891AEE" w:rsidP="00891AEE">
            <w:pPr>
              <w:pStyle w:val="BodyText"/>
              <w:spacing w:after="60"/>
            </w:pPr>
            <w:r>
              <w:t xml:space="preserve">Appetite from many of the jurisdictions to undertake this is not apparent. Many have recently invested significantly in their own systems and also stated they are already under resourced to undertake their existing work. </w:t>
            </w:r>
          </w:p>
          <w:p w:rsidR="00891AEE" w:rsidRDefault="00891AEE" w:rsidP="00891AEE">
            <w:pPr>
              <w:pStyle w:val="BodyText"/>
              <w:spacing w:after="60"/>
            </w:pPr>
            <w:r>
              <w:t>It does not achieve many of the priority objectives being sought by DoE</w:t>
            </w:r>
            <w:r w:rsidR="00787034">
              <w:t>.</w:t>
            </w:r>
          </w:p>
          <w:p w:rsidR="00891AEE" w:rsidRDefault="00891AEE" w:rsidP="00891AEE">
            <w:pPr>
              <w:pStyle w:val="BodyText"/>
              <w:spacing w:after="60"/>
            </w:pPr>
            <w:r>
              <w:t>Based on the South Australia experience, it is quite a lengthy process, meaning value will not be delivered in any short period of time</w:t>
            </w:r>
            <w:r w:rsidR="00787034">
              <w:t>.</w:t>
            </w:r>
          </w:p>
          <w:p w:rsidR="00891AEE" w:rsidRDefault="00891AEE" w:rsidP="00891AEE">
            <w:pPr>
              <w:pStyle w:val="BodyText"/>
            </w:pPr>
            <w:r>
              <w:t xml:space="preserve">It does not necessarily provide the uniformity desired as each jurisdiction will have </w:t>
            </w:r>
            <w:proofErr w:type="gramStart"/>
            <w:r>
              <w:t>their own</w:t>
            </w:r>
            <w:proofErr w:type="gramEnd"/>
            <w:r>
              <w:t xml:space="preserve"> instance</w:t>
            </w:r>
            <w:r w:rsidR="00921C26" w:rsidRPr="00921C26">
              <w:t xml:space="preserve"> of the solution. This also makes it d</w:t>
            </w:r>
            <w:r w:rsidR="00921C26">
              <w:t>ifficult to govern uniformity.</w:t>
            </w:r>
          </w:p>
        </w:tc>
      </w:tr>
      <w:tr w:rsidR="00891AEE" w:rsidTr="00D15505">
        <w:trPr>
          <w:cantSplit w:val="off"/>
        </w:trPr>
        <w:tc>
          <w:tcPr>
            <w:tcW w:w="652" w:type="dxa"/>
          </w:tcPr>
          <w:p w:rsidR="00891AEE" w:rsidRDefault="00891AEE" w:rsidP="00891AEE">
            <w:pPr>
              <w:pStyle w:val="BodyText"/>
            </w:pPr>
            <w:r>
              <w:lastRenderedPageBreak/>
              <w:t>2</w:t>
            </w:r>
          </w:p>
        </w:tc>
        <w:tc>
          <w:tcPr>
            <w:tcW w:w="3828" w:type="dxa"/>
          </w:tcPr>
          <w:p w:rsidR="00891AEE" w:rsidRDefault="00891AEE" w:rsidP="00891AEE">
            <w:pPr>
              <w:pStyle w:val="BodyText"/>
            </w:pPr>
            <w:r w:rsidRPr="006C4E2C">
              <w:t xml:space="preserve">DoE </w:t>
            </w:r>
            <w:r>
              <w:t xml:space="preserve">access to electronic systems </w:t>
            </w:r>
          </w:p>
        </w:tc>
        <w:tc>
          <w:tcPr>
            <w:tcW w:w="4195" w:type="dxa"/>
          </w:tcPr>
          <w:p w:rsidR="00891AEE" w:rsidRDefault="00891AEE" w:rsidP="00891AEE">
            <w:pPr>
              <w:pStyle w:val="BodyText"/>
            </w:pPr>
            <w:r>
              <w:t>It does not achieve any of the priority objectives being sought by DoE</w:t>
            </w:r>
            <w:r w:rsidR="00787034">
              <w:t>.</w:t>
            </w:r>
          </w:p>
        </w:tc>
      </w:tr>
      <w:tr w:rsidR="00891AEE" w:rsidTr="00D15505">
        <w:trPr>
          <w:cantSplit w:val="off"/>
        </w:trPr>
        <w:tc>
          <w:tcPr>
            <w:tcW w:w="652" w:type="dxa"/>
          </w:tcPr>
          <w:p w:rsidR="00891AEE" w:rsidRDefault="00891AEE" w:rsidP="00891AEE">
            <w:pPr>
              <w:pStyle w:val="BodyText"/>
            </w:pPr>
            <w:r>
              <w:t>3</w:t>
            </w:r>
          </w:p>
        </w:tc>
        <w:tc>
          <w:tcPr>
            <w:tcW w:w="3828" w:type="dxa"/>
          </w:tcPr>
          <w:p w:rsidR="00891AEE" w:rsidRDefault="00891AEE" w:rsidP="00891AEE">
            <w:pPr>
              <w:pStyle w:val="BodyText"/>
            </w:pPr>
            <w:r w:rsidRPr="006C4E2C">
              <w:t xml:space="preserve">Develop a new </w:t>
            </w:r>
            <w:r>
              <w:t xml:space="preserve">national system </w:t>
            </w:r>
            <w:r w:rsidRPr="006C4E2C">
              <w:t>for the tracking of controlled wastes to be used by all states and territories</w:t>
            </w:r>
            <w:r>
              <w:t>.</w:t>
            </w:r>
          </w:p>
        </w:tc>
        <w:tc>
          <w:tcPr>
            <w:tcW w:w="4195" w:type="dxa"/>
          </w:tcPr>
          <w:p w:rsidR="00891AEE" w:rsidRDefault="00891AEE" w:rsidP="00891AEE">
            <w:pPr>
              <w:pStyle w:val="BodyText"/>
              <w:spacing w:after="60"/>
            </w:pPr>
            <w:r>
              <w:t>Appetite from many of the jurisdictions to undertake this is not apparent. Many have recently invested significantly in their own systems.</w:t>
            </w:r>
          </w:p>
          <w:p w:rsidR="00891AEE" w:rsidRDefault="00891AEE" w:rsidP="00891AEE">
            <w:pPr>
              <w:pStyle w:val="BodyText"/>
              <w:spacing w:after="60"/>
            </w:pPr>
            <w:r>
              <w:t xml:space="preserve">It requires significant investment of resources from each jurisdiction over a lengthy period of time to achieve the uniformity required. They also stated they are already under resourced to undertake their existing work, so commitment to a lengthy project will be hard to achieve. </w:t>
            </w:r>
          </w:p>
          <w:p w:rsidR="00891AEE" w:rsidRDefault="00891AEE" w:rsidP="00891AEE">
            <w:pPr>
              <w:pStyle w:val="BodyText"/>
            </w:pPr>
            <w:r>
              <w:t xml:space="preserve">High cost and higher risk on budget and schedule overrun due to the volume of work, standardisation, collaboration and agreement required between the jurisdictions. </w:t>
            </w:r>
          </w:p>
        </w:tc>
      </w:tr>
    </w:tbl>
    <w:p w:rsidR="00FE02C8" w:rsidRDefault="00787034" w:rsidP="00891AEE">
      <w:pPr>
        <w:pStyle w:val="Heading3"/>
      </w:pPr>
      <w:r>
        <w:t>Recommended option</w:t>
      </w:r>
    </w:p>
    <w:p w:rsidR="00FE02C8" w:rsidRDefault="00FE02C8" w:rsidP="00C3767C">
      <w:pPr>
        <w:pStyle w:val="BodyText"/>
        <w:spacing w:before="60"/>
        <w:ind w:left="1134"/>
      </w:pPr>
      <w:r>
        <w:t>It is recommended that in the fi</w:t>
      </w:r>
      <w:r w:rsidR="00891AEE">
        <w:t>rst instance DoE progress with O</w:t>
      </w:r>
      <w:r>
        <w:t>ption 4, the dev</w:t>
      </w:r>
      <w:r w:rsidRPr="006C4E2C">
        <w:t>elop</w:t>
      </w:r>
      <w:r>
        <w:t>ment</w:t>
      </w:r>
      <w:r w:rsidRPr="006C4E2C">
        <w:t xml:space="preserve"> </w:t>
      </w:r>
      <w:r>
        <w:t xml:space="preserve">of a </w:t>
      </w:r>
      <w:r w:rsidRPr="006C4E2C">
        <w:t>centralised data c</w:t>
      </w:r>
      <w:r>
        <w:t>ollection, reporting and analysis solution. The reasons for this are:</w:t>
      </w:r>
    </w:p>
    <w:p w:rsidR="00FE02C8" w:rsidRPr="00891AEE" w:rsidRDefault="00FE02C8" w:rsidP="00E135DE">
      <w:pPr>
        <w:pStyle w:val="ListParagraph"/>
        <w:numPr>
          <w:ilvl w:val="0"/>
          <w:numId w:val="2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854"/>
      </w:pPr>
      <w:r w:rsidRPr="00891AEE">
        <w:t>It achieves the priority objectives being sought by DoE</w:t>
      </w:r>
      <w:r w:rsidR="004E0FA4">
        <w:t>,</w:t>
      </w:r>
      <w:r w:rsidRPr="00891AEE">
        <w:t xml:space="preserve"> including:</w:t>
      </w:r>
    </w:p>
    <w:p w:rsidR="00FE02C8" w:rsidRPr="00891AEE" w:rsidRDefault="00FE02C8" w:rsidP="00E135DE">
      <w:pPr>
        <w:pStyle w:val="ListParagraph"/>
        <w:numPr>
          <w:ilvl w:val="0"/>
          <w:numId w:val="28"/>
        </w:numPr>
        <w:tabs>
          <w:tab w:val="clear" w:pos="-567"/>
          <w:tab w:val="clear" w:pos="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line="240" w:lineRule="auto"/>
        <w:ind w:left="2214"/>
        <w:contextualSpacing w:val="0"/>
      </w:pPr>
      <w:r w:rsidRPr="00891AEE">
        <w:t>Fulfils reporting requirements – domestic and international</w:t>
      </w:r>
    </w:p>
    <w:p w:rsidR="00FE02C8" w:rsidRPr="00891AEE" w:rsidRDefault="00FE02C8" w:rsidP="00E135DE">
      <w:pPr>
        <w:pStyle w:val="ListParagraph"/>
        <w:numPr>
          <w:ilvl w:val="0"/>
          <w:numId w:val="28"/>
        </w:numPr>
        <w:tabs>
          <w:tab w:val="clear" w:pos="-567"/>
          <w:tab w:val="clear" w:pos="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line="240" w:lineRule="auto"/>
        <w:ind w:left="2214"/>
        <w:contextualSpacing w:val="0"/>
      </w:pPr>
      <w:r w:rsidRPr="00891AEE">
        <w:t>Drives towards better quality information based on timely, accurate and consistent data of known lineage</w:t>
      </w:r>
    </w:p>
    <w:p w:rsidR="00FE02C8" w:rsidRPr="00891AEE" w:rsidRDefault="00FE02C8" w:rsidP="00E135DE">
      <w:pPr>
        <w:pStyle w:val="ListParagraph"/>
        <w:numPr>
          <w:ilvl w:val="0"/>
          <w:numId w:val="28"/>
        </w:numPr>
        <w:tabs>
          <w:tab w:val="clear" w:pos="-567"/>
          <w:tab w:val="clear" w:pos="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line="240" w:lineRule="auto"/>
        <w:ind w:left="2214"/>
        <w:contextualSpacing w:val="0"/>
      </w:pPr>
      <w:r w:rsidRPr="00891AEE">
        <w:t xml:space="preserve">Enables data analytics to drive decision making and insight </w:t>
      </w:r>
    </w:p>
    <w:p w:rsidR="00FE02C8" w:rsidRPr="00891AEE" w:rsidRDefault="00FE02C8" w:rsidP="00E135DE">
      <w:pPr>
        <w:pStyle w:val="ListParagraph"/>
        <w:numPr>
          <w:ilvl w:val="0"/>
          <w:numId w:val="28"/>
        </w:numPr>
        <w:tabs>
          <w:tab w:val="clear" w:pos="-567"/>
          <w:tab w:val="clear" w:pos="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line="240" w:lineRule="auto"/>
        <w:ind w:left="2214"/>
        <w:contextualSpacing w:val="0"/>
      </w:pPr>
      <w:r w:rsidRPr="00891AEE">
        <w:t>Improvements in internal and external reporting</w:t>
      </w:r>
    </w:p>
    <w:p w:rsidR="00FE02C8" w:rsidRPr="00891AEE" w:rsidRDefault="00FE02C8" w:rsidP="00E135DE">
      <w:pPr>
        <w:pStyle w:val="ListParagraph"/>
        <w:numPr>
          <w:ilvl w:val="0"/>
          <w:numId w:val="28"/>
        </w:numPr>
        <w:tabs>
          <w:tab w:val="clear" w:pos="-567"/>
          <w:tab w:val="clear" w:pos="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line="240" w:lineRule="auto"/>
        <w:ind w:left="2214"/>
        <w:contextualSpacing w:val="0"/>
      </w:pPr>
      <w:r w:rsidRPr="00891AEE">
        <w:t>Enables policy setting / development</w:t>
      </w:r>
    </w:p>
    <w:p w:rsidR="00FE02C8" w:rsidRPr="00891AEE" w:rsidRDefault="00FE02C8" w:rsidP="00E135DE">
      <w:pPr>
        <w:pStyle w:val="ListParagraph"/>
        <w:numPr>
          <w:ilvl w:val="0"/>
          <w:numId w:val="28"/>
        </w:numPr>
        <w:tabs>
          <w:tab w:val="clear" w:pos="-567"/>
          <w:tab w:val="clear" w:pos="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line="240" w:lineRule="auto"/>
        <w:ind w:left="2214"/>
        <w:contextualSpacing w:val="0"/>
      </w:pPr>
      <w:r w:rsidRPr="00891AEE">
        <w:t xml:space="preserve">Increases visibility of hazardous waste generation and flow and disposal (end-to-end), in particular intrastate </w:t>
      </w:r>
      <w:r w:rsidR="004E0FA4">
        <w:t>movements</w:t>
      </w:r>
    </w:p>
    <w:p w:rsidR="00FE02C8" w:rsidRPr="00891AEE" w:rsidRDefault="00FE02C8" w:rsidP="00E135DE">
      <w:pPr>
        <w:pStyle w:val="ListParagraph"/>
        <w:numPr>
          <w:ilvl w:val="0"/>
          <w:numId w:val="2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854"/>
      </w:pPr>
      <w:r w:rsidRPr="00891AEE">
        <w:t>It automates the process once data is received from the jurisdictions to validate, map and load data in a consistent manner for reporting and analysis</w:t>
      </w:r>
    </w:p>
    <w:p w:rsidR="00FE02C8" w:rsidRPr="00891AEE" w:rsidRDefault="00FE02C8" w:rsidP="00E135DE">
      <w:pPr>
        <w:pStyle w:val="ListParagraph"/>
        <w:numPr>
          <w:ilvl w:val="0"/>
          <w:numId w:val="2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854"/>
      </w:pPr>
      <w:r w:rsidRPr="00891AEE">
        <w:t>It does not impact significantly on each of the jurisdictions in terms of resources required</w:t>
      </w:r>
    </w:p>
    <w:p w:rsidR="00FE02C8" w:rsidRPr="00891AEE" w:rsidRDefault="00FE02C8" w:rsidP="00E135DE">
      <w:pPr>
        <w:pStyle w:val="ListParagraph"/>
        <w:numPr>
          <w:ilvl w:val="0"/>
          <w:numId w:val="2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854"/>
      </w:pPr>
      <w:r w:rsidRPr="00891AEE">
        <w:t>There is minimal change for the jurisdictions</w:t>
      </w:r>
    </w:p>
    <w:p w:rsidR="00FE02C8" w:rsidRPr="00891AEE" w:rsidRDefault="00FE02C8" w:rsidP="00E135DE">
      <w:pPr>
        <w:pStyle w:val="ListParagraph"/>
        <w:numPr>
          <w:ilvl w:val="0"/>
          <w:numId w:val="2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854"/>
      </w:pPr>
      <w:r w:rsidRPr="00891AEE">
        <w:t xml:space="preserve">Value is able to be </w:t>
      </w:r>
      <w:r w:rsidR="00891AEE">
        <w:t>delivered quickly and incremental</w:t>
      </w:r>
      <w:r w:rsidRPr="00891AEE">
        <w:t>ly to DoE, the jurisdictions and other stakeholders</w:t>
      </w:r>
    </w:p>
    <w:p w:rsidR="00FE02C8" w:rsidRPr="00891AEE" w:rsidRDefault="00FE02C8" w:rsidP="00E135DE">
      <w:pPr>
        <w:pStyle w:val="ListParagraph"/>
        <w:numPr>
          <w:ilvl w:val="0"/>
          <w:numId w:val="29"/>
        </w:num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200" w:line="276" w:lineRule="auto"/>
        <w:ind w:left="1854"/>
      </w:pPr>
      <w:r w:rsidRPr="00891AEE">
        <w:t xml:space="preserve">The implementation and on-going costs are not prohibitive to gain business case approval. It does not require multiple millions of dollars as per the other options. This may be </w:t>
      </w:r>
      <w:proofErr w:type="gramStart"/>
      <w:r w:rsidRPr="00891AEE">
        <w:t>a key criteria</w:t>
      </w:r>
      <w:proofErr w:type="gramEnd"/>
      <w:r w:rsidRPr="00891AEE">
        <w:t xml:space="preserve"> given the current fiscal budget environment. </w:t>
      </w:r>
    </w:p>
    <w:p w:rsidR="00FE02C8" w:rsidRDefault="00FE02C8" w:rsidP="00921C26">
      <w:pPr>
        <w:pStyle w:val="BodyText"/>
        <w:spacing w:before="60"/>
        <w:ind w:left="1134"/>
      </w:pPr>
      <w:r>
        <w:t xml:space="preserve">The consultation with DoE also highlighted the objective of </w:t>
      </w:r>
      <w:r w:rsidR="004E0FA4">
        <w:t>encouraging Tasmania</w:t>
      </w:r>
      <w:r>
        <w:t xml:space="preserve"> and </w:t>
      </w:r>
      <w:r w:rsidR="004E0FA4">
        <w:t xml:space="preserve">the </w:t>
      </w:r>
      <w:r>
        <w:t xml:space="preserve">territories </w:t>
      </w:r>
      <w:r w:rsidR="004E0FA4">
        <w:t xml:space="preserve">to introduce </w:t>
      </w:r>
      <w:r w:rsidR="00921C26">
        <w:t>tracking regimes. While an important goal, t</w:t>
      </w:r>
      <w:r>
        <w:t>his was confirmed to be a second priority over the need to have consistent dat</w:t>
      </w:r>
      <w:r w:rsidR="00787034">
        <w:t>a provided and reported on via O</w:t>
      </w:r>
      <w:r w:rsidR="00921C26">
        <w:t>ption 4</w:t>
      </w:r>
      <w:r>
        <w:t>. Therefore it is recommended that in the f</w:t>
      </w:r>
      <w:r w:rsidR="00787034">
        <w:t>irst instance DoE proceed with O</w:t>
      </w:r>
      <w:r>
        <w:t>ption 4 to begin de</w:t>
      </w:r>
      <w:r w:rsidR="00787034">
        <w:t>livering value and in 2016 re-evaluate Option 5, Standard front-</w:t>
      </w:r>
      <w:r>
        <w:t>end with disparate back-ends</w:t>
      </w:r>
      <w:r w:rsidR="00787034">
        <w:t xml:space="preserve"> with a view</w:t>
      </w:r>
      <w:r>
        <w:t xml:space="preserve"> to:</w:t>
      </w:r>
    </w:p>
    <w:p w:rsidR="00FE02C8" w:rsidRDefault="00FE02C8" w:rsidP="00B4070B">
      <w:pPr>
        <w:pStyle w:val="BodyText"/>
        <w:keepLines/>
        <w:numPr>
          <w:ilvl w:val="0"/>
          <w:numId w:val="44"/>
        </w:numPr>
        <w:tabs>
          <w:tab w:val="clear" w:pos="-567"/>
          <w:tab w:val="clear" w:pos="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line="240" w:lineRule="auto"/>
        <w:ind w:left="1494"/>
      </w:pPr>
      <w:r>
        <w:t>Gain</w:t>
      </w:r>
      <w:r w:rsidR="00787034">
        <w:t>ing</w:t>
      </w:r>
      <w:r>
        <w:t xml:space="preserve"> a better understanding of the effort and cost required</w:t>
      </w:r>
    </w:p>
    <w:p w:rsidR="00FE02C8" w:rsidRDefault="00FE02C8" w:rsidP="00B4070B">
      <w:pPr>
        <w:pStyle w:val="BodyText"/>
        <w:keepLines/>
        <w:numPr>
          <w:ilvl w:val="0"/>
          <w:numId w:val="44"/>
        </w:numPr>
        <w:tabs>
          <w:tab w:val="clear" w:pos="-567"/>
          <w:tab w:val="clear" w:pos="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line="240" w:lineRule="auto"/>
        <w:ind w:left="1494"/>
      </w:pPr>
      <w:r>
        <w:lastRenderedPageBreak/>
        <w:t>Gain</w:t>
      </w:r>
      <w:r w:rsidR="00787034">
        <w:t>ing</w:t>
      </w:r>
      <w:r>
        <w:t xml:space="preserve"> a better understanding of whether the appetite is there from the jurisdictions – at this point </w:t>
      </w:r>
      <w:r w:rsidR="00787034">
        <w:t>appetite</w:t>
      </w:r>
      <w:r>
        <w:t xml:space="preserve"> is not there to participate in a national project due to their current resource constraints</w:t>
      </w:r>
      <w:r w:rsidR="00891AEE">
        <w:t>.</w:t>
      </w:r>
    </w:p>
    <w:p w:rsidR="00FE02C8" w:rsidRPr="006A3F4E" w:rsidRDefault="00FE02C8" w:rsidP="006A3F4E">
      <w:pPr>
        <w:pStyle w:val="BodyText"/>
        <w:spacing w:before="60"/>
        <w:ind w:left="1134"/>
      </w:pPr>
      <w:r>
        <w:t>Proceeding with this re</w:t>
      </w:r>
      <w:r w:rsidR="00891AEE">
        <w:t>commendation means that O</w:t>
      </w:r>
      <w:r>
        <w:t>ption 4 can be completed, and if</w:t>
      </w:r>
      <w:r w:rsidR="00891AEE">
        <w:t xml:space="preserve"> O</w:t>
      </w:r>
      <w:r>
        <w:t>ption</w:t>
      </w:r>
      <w:r w:rsidR="00787034">
        <w:t xml:space="preserve"> 5 is approved it can be</w:t>
      </w:r>
      <w:r>
        <w:t xml:space="preserve"> implemented at a la</w:t>
      </w:r>
      <w:r w:rsidR="00787034">
        <w:t>ter date. It is envisaged that O</w:t>
      </w:r>
      <w:r>
        <w:t xml:space="preserve">ptions 1, 2, and 3 will most likely still not be feasible in future. </w:t>
      </w:r>
    </w:p>
    <w:p w:rsidR="00FE02C8" w:rsidRDefault="00FE02C8" w:rsidP="00C3767C">
      <w:pPr>
        <w:pStyle w:val="BodyText"/>
        <w:spacing w:before="60"/>
        <w:ind w:left="1134"/>
      </w:pPr>
      <w:r w:rsidRPr="00E60046">
        <w:rPr>
          <w:noProof/>
        </w:rPr>
        <w:drawing>
          <wp:inline distT="0" distB="0" distL="0" distR="0">
            <wp:extent cx="5732145" cy="322389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732145" cy="3223895"/>
                    </a:xfrm>
                    <a:prstGeom prst="rect">
                      <a:avLst/>
                    </a:prstGeom>
                  </pic:spPr>
                </pic:pic>
              </a:graphicData>
            </a:graphic>
          </wp:inline>
        </w:drawing>
      </w:r>
    </w:p>
    <w:tbl>
      <w:tblPr>
        <w:tblW w:w="0" w:type="auto"/>
        <w:tblInd w:w="1134" w:type="dxa"/>
        <w:tblLayout w:type="fixed"/>
        <w:tblCellMar>
          <w:left w:w="0" w:type="dxa"/>
          <w:right w:w="0" w:type="dxa"/>
        </w:tblCellMar>
        <w:tblLook w:val="0000"/>
      </w:tblPr>
      <w:tblGrid>
        <w:gridCol w:w="7371"/>
      </w:tblGrid>
      <w:tr w:rsidR="00891AEE" w:rsidRPr="00891AEE">
        <w:trPr>
          <w:cantSplit/>
        </w:trPr>
        <w:tc>
          <w:tcPr>
            <w:tcW w:w="7371" w:type="dxa"/>
          </w:tcPr>
          <w:p w:rsidR="00891AEE" w:rsidRPr="00891AEE" w:rsidRDefault="00891AEE" w:rsidP="00B4070B">
            <w:pPr>
              <w:pStyle w:val="Caption"/>
            </w:pPr>
            <w:bookmarkStart w:id="90" w:name="_Ref418164533"/>
            <w:bookmarkStart w:id="91" w:name="_Toc421181761"/>
            <w:r w:rsidRPr="00891AEE">
              <w:t xml:space="preserve">Figure </w:t>
            </w:r>
            <w:r w:rsidR="00350C10" w:rsidRPr="00891AEE">
              <w:fldChar w:fldCharType="begin"/>
            </w:r>
            <w:r w:rsidRPr="00891AEE">
              <w:instrText xml:space="preserve"> STYLEREF "_Heading1" \n </w:instrText>
            </w:r>
            <w:r w:rsidR="00350C10" w:rsidRPr="00891AEE">
              <w:fldChar w:fldCharType="separate"/>
            </w:r>
            <w:r w:rsidR="00261FA5">
              <w:rPr>
                <w:noProof/>
              </w:rPr>
              <w:t>5</w:t>
            </w:r>
            <w:r w:rsidR="00350C10" w:rsidRPr="00891AEE">
              <w:fldChar w:fldCharType="end"/>
            </w:r>
            <w:r w:rsidRPr="00891AEE">
              <w:t>-</w:t>
            </w:r>
            <w:r w:rsidR="00350C10" w:rsidRPr="00891AEE">
              <w:fldChar w:fldCharType="begin"/>
            </w:r>
            <w:r w:rsidRPr="00891AEE">
              <w:instrText xml:space="preserve"> SEQ Figure \* Arabic </w:instrText>
            </w:r>
            <w:r w:rsidR="00350C10" w:rsidRPr="00891AEE">
              <w:fldChar w:fldCharType="separate"/>
            </w:r>
            <w:r w:rsidR="00261FA5">
              <w:rPr>
                <w:noProof/>
              </w:rPr>
              <w:t>5</w:t>
            </w:r>
            <w:r w:rsidR="00350C10" w:rsidRPr="00891AEE">
              <w:fldChar w:fldCharType="end"/>
            </w:r>
            <w:bookmarkEnd w:id="90"/>
            <w:r w:rsidRPr="00891AEE">
              <w:tab/>
            </w:r>
            <w:r w:rsidRPr="006A3F4E">
              <w:t>High level implementation of options</w:t>
            </w:r>
            <w:r w:rsidR="00787034" w:rsidRPr="006A3F4E">
              <w:t>.</w:t>
            </w:r>
            <w:bookmarkEnd w:id="91"/>
          </w:p>
        </w:tc>
      </w:tr>
    </w:tbl>
    <w:p w:rsidR="00B62432" w:rsidRDefault="00B62432" w:rsidP="00891AEE">
      <w:pPr>
        <w:pStyle w:val="BodyText"/>
        <w:spacing w:before="60"/>
        <w:ind w:left="1134"/>
      </w:pPr>
    </w:p>
    <w:p w:rsidR="00FE02C8" w:rsidRDefault="00FE02C8" w:rsidP="00891AEE">
      <w:pPr>
        <w:pStyle w:val="BodyText"/>
        <w:spacing w:before="60"/>
        <w:ind w:left="1134"/>
      </w:pPr>
      <w:r>
        <w:t>Option 4 is expected to be implemented in a phased manner, delivering value quickly and consistent</w:t>
      </w:r>
      <w:r w:rsidR="00891AEE">
        <w:t>ly to all stakeholders. Should O</w:t>
      </w:r>
      <w:r>
        <w:t xml:space="preserve">ption 5 proceed, it is likely that it will also be delivered in a phased manner. This becomes a data source to feed into the reporting and analysis solution, this being a </w:t>
      </w:r>
      <w:r w:rsidR="00787034">
        <w:t>s</w:t>
      </w:r>
      <w:r>
        <w:t xml:space="preserve">ource </w:t>
      </w:r>
      <w:r w:rsidR="00787034">
        <w:t>s</w:t>
      </w:r>
      <w:r>
        <w:t>ystem as part of the figure for Option 4 – Proposed Solution. It will need to be determined at the time whether any changes are required to the reporting and analysis solution to bring in the data if the type</w:t>
      </w:r>
      <w:r w:rsidR="001C5BE4">
        <w:t xml:space="preserve"> of data or format is altered. </w:t>
      </w:r>
    </w:p>
    <w:p w:rsidR="001C5BE4" w:rsidRPr="002E2A24" w:rsidRDefault="001C5BE4" w:rsidP="001C5BE4">
      <w:pPr>
        <w:spacing w:before="60" w:after="120"/>
        <w:ind w:left="1134"/>
      </w:pPr>
      <w:r w:rsidRPr="002E2A24">
        <w:t>There are various factors that will impact on the cost of Option 4, including:</w:t>
      </w:r>
    </w:p>
    <w:p w:rsidR="001C5BE4" w:rsidRPr="002E2A24" w:rsidRDefault="001C5BE4" w:rsidP="001C5BE4">
      <w:pPr>
        <w:keepLines/>
        <w:numPr>
          <w:ilvl w:val="0"/>
          <w:numId w:val="44"/>
        </w:numPr>
        <w:tabs>
          <w:tab w:val="clear" w:pos="1701"/>
        </w:tabs>
        <w:spacing w:before="60" w:after="120" w:line="240" w:lineRule="auto"/>
        <w:ind w:left="1494"/>
      </w:pPr>
      <w:r w:rsidRPr="002E2A24">
        <w:t>Choice of tools</w:t>
      </w:r>
    </w:p>
    <w:p w:rsidR="001C5BE4" w:rsidRPr="002E2A24" w:rsidRDefault="001C5BE4" w:rsidP="001C5BE4">
      <w:pPr>
        <w:keepLines/>
        <w:numPr>
          <w:ilvl w:val="0"/>
          <w:numId w:val="44"/>
        </w:numPr>
        <w:tabs>
          <w:tab w:val="clear" w:pos="1701"/>
        </w:tabs>
        <w:spacing w:before="60" w:after="120" w:line="240" w:lineRule="auto"/>
        <w:ind w:left="1494"/>
      </w:pPr>
      <w:r w:rsidRPr="002E2A24">
        <w:t>The quality of the data quality</w:t>
      </w:r>
    </w:p>
    <w:p w:rsidR="001C5BE4" w:rsidRPr="002E2A24" w:rsidRDefault="001C5BE4" w:rsidP="001C5BE4">
      <w:pPr>
        <w:keepLines/>
        <w:numPr>
          <w:ilvl w:val="0"/>
          <w:numId w:val="44"/>
        </w:numPr>
        <w:tabs>
          <w:tab w:val="clear" w:pos="1701"/>
        </w:tabs>
        <w:spacing w:before="60" w:after="120" w:line="240" w:lineRule="auto"/>
        <w:ind w:left="1494"/>
      </w:pPr>
      <w:r w:rsidRPr="002E2A24">
        <w:t>Number of stakeholders to consult</w:t>
      </w:r>
    </w:p>
    <w:p w:rsidR="001C5BE4" w:rsidRPr="002E2A24" w:rsidRDefault="001C5BE4" w:rsidP="001C5BE4">
      <w:pPr>
        <w:keepLines/>
        <w:numPr>
          <w:ilvl w:val="0"/>
          <w:numId w:val="44"/>
        </w:numPr>
        <w:tabs>
          <w:tab w:val="clear" w:pos="1701"/>
        </w:tabs>
        <w:spacing w:before="60" w:after="120" w:line="240" w:lineRule="auto"/>
        <w:ind w:left="1494"/>
      </w:pPr>
      <w:r w:rsidRPr="002E2A24">
        <w:t>Number of data sources</w:t>
      </w:r>
    </w:p>
    <w:p w:rsidR="001C5BE4" w:rsidRPr="002E2A24" w:rsidRDefault="001C5BE4" w:rsidP="001C5BE4">
      <w:pPr>
        <w:keepLines/>
        <w:numPr>
          <w:ilvl w:val="0"/>
          <w:numId w:val="44"/>
        </w:numPr>
        <w:tabs>
          <w:tab w:val="clear" w:pos="1701"/>
        </w:tabs>
        <w:spacing w:before="60" w:after="120" w:line="240" w:lineRule="auto"/>
        <w:ind w:left="1494"/>
      </w:pPr>
      <w:r w:rsidRPr="002E2A24">
        <w:t>Number of reports to be developed</w:t>
      </w:r>
    </w:p>
    <w:p w:rsidR="001C5BE4" w:rsidRPr="002E2A24" w:rsidRDefault="001C5BE4" w:rsidP="001C5BE4">
      <w:pPr>
        <w:keepLines/>
        <w:numPr>
          <w:ilvl w:val="0"/>
          <w:numId w:val="44"/>
        </w:numPr>
        <w:tabs>
          <w:tab w:val="clear" w:pos="1701"/>
        </w:tabs>
        <w:spacing w:before="60" w:after="120" w:line="240" w:lineRule="auto"/>
        <w:ind w:left="1494"/>
      </w:pPr>
      <w:r w:rsidRPr="002E2A24">
        <w:t>The clarity and volume of requirements</w:t>
      </w:r>
    </w:p>
    <w:p w:rsidR="001C5BE4" w:rsidRPr="002E2A24" w:rsidRDefault="001C5BE4" w:rsidP="001C5BE4">
      <w:pPr>
        <w:keepLines/>
        <w:numPr>
          <w:ilvl w:val="0"/>
          <w:numId w:val="44"/>
        </w:numPr>
        <w:tabs>
          <w:tab w:val="clear" w:pos="1701"/>
        </w:tabs>
        <w:spacing w:before="60" w:after="120" w:line="240" w:lineRule="auto"/>
        <w:ind w:left="1494"/>
      </w:pPr>
      <w:r w:rsidRPr="002E2A24">
        <w:t>The amount of historical data to be taken on.</w:t>
      </w:r>
    </w:p>
    <w:p w:rsidR="001C5BE4" w:rsidRPr="002E2A24" w:rsidRDefault="001C5BE4" w:rsidP="001C5BE4">
      <w:pPr>
        <w:pStyle w:val="Heading40"/>
      </w:pPr>
      <w:r w:rsidRPr="002E2A24">
        <w:t>What is needed?</w:t>
      </w:r>
    </w:p>
    <w:p w:rsidR="001C5BE4" w:rsidRPr="002E2A24" w:rsidRDefault="001C5BE4" w:rsidP="001C5BE4">
      <w:pPr>
        <w:spacing w:after="120"/>
        <w:ind w:left="1134"/>
      </w:pPr>
      <w:r w:rsidRPr="002E2A24">
        <w:t>The solution will need to address business, functional, technical and data requirements, including statutory reporting. The specific requirements of the solution are detailed below.</w:t>
      </w:r>
    </w:p>
    <w:p w:rsidR="001C5BE4" w:rsidRPr="002E2A24" w:rsidRDefault="001C5BE4" w:rsidP="001C5BE4">
      <w:pPr>
        <w:spacing w:after="120"/>
        <w:ind w:left="1134"/>
      </w:pPr>
      <w:r w:rsidRPr="002E2A24">
        <w:rPr>
          <w:b/>
        </w:rPr>
        <w:t>Solution Architecture</w:t>
      </w:r>
      <w:r w:rsidRPr="002E2A24">
        <w:t xml:space="preserve"> </w:t>
      </w:r>
    </w:p>
    <w:p w:rsidR="001C5BE4" w:rsidRPr="002E2A24" w:rsidRDefault="001C5BE4" w:rsidP="001C5BE4">
      <w:pPr>
        <w:keepLines/>
        <w:numPr>
          <w:ilvl w:val="0"/>
          <w:numId w:val="44"/>
        </w:numPr>
        <w:tabs>
          <w:tab w:val="clear" w:pos="1701"/>
        </w:tabs>
        <w:spacing w:before="60" w:after="120" w:line="240" w:lineRule="auto"/>
        <w:ind w:left="1494"/>
      </w:pPr>
      <w:r w:rsidRPr="002E2A24">
        <w:lastRenderedPageBreak/>
        <w:t>Architecture for the solution, including the flow of data from each jurisdiction through to its end state to be used for reporting and analysis. This also includes how the data will be secured and making the data available to each jurisdiction.</w:t>
      </w:r>
    </w:p>
    <w:p w:rsidR="001C5BE4" w:rsidRPr="002E2A24" w:rsidRDefault="001C5BE4" w:rsidP="001C5BE4">
      <w:pPr>
        <w:spacing w:after="120"/>
        <w:ind w:left="1134"/>
        <w:rPr>
          <w:b/>
        </w:rPr>
      </w:pPr>
      <w:r w:rsidRPr="002E2A24">
        <w:rPr>
          <w:b/>
        </w:rPr>
        <w:t>Information Architecture</w:t>
      </w:r>
    </w:p>
    <w:p w:rsidR="001C5BE4" w:rsidRPr="002E2A24" w:rsidRDefault="001C5BE4" w:rsidP="001C5BE4">
      <w:pPr>
        <w:keepLines/>
        <w:numPr>
          <w:ilvl w:val="0"/>
          <w:numId w:val="44"/>
        </w:numPr>
        <w:tabs>
          <w:tab w:val="clear" w:pos="1701"/>
        </w:tabs>
        <w:spacing w:before="60" w:after="120" w:line="240" w:lineRule="auto"/>
        <w:ind w:left="1494"/>
      </w:pPr>
      <w:r w:rsidRPr="002E2A24">
        <w:t>Creation of standard data definitions and codes</w:t>
      </w:r>
    </w:p>
    <w:p w:rsidR="001C5BE4" w:rsidRPr="002E2A24" w:rsidRDefault="001C5BE4" w:rsidP="001C5BE4">
      <w:pPr>
        <w:keepLines/>
        <w:numPr>
          <w:ilvl w:val="0"/>
          <w:numId w:val="44"/>
        </w:numPr>
        <w:tabs>
          <w:tab w:val="clear" w:pos="1701"/>
        </w:tabs>
        <w:spacing w:before="60" w:after="120" w:line="240" w:lineRule="auto"/>
        <w:ind w:left="1494"/>
      </w:pPr>
      <w:r w:rsidRPr="002E2A24">
        <w:t xml:space="preserve">Data models </w:t>
      </w:r>
    </w:p>
    <w:p w:rsidR="001C5BE4" w:rsidRPr="002E2A24" w:rsidRDefault="001C5BE4" w:rsidP="001C5BE4">
      <w:pPr>
        <w:keepLines/>
        <w:numPr>
          <w:ilvl w:val="0"/>
          <w:numId w:val="44"/>
        </w:numPr>
        <w:tabs>
          <w:tab w:val="clear" w:pos="1701"/>
        </w:tabs>
        <w:spacing w:before="60" w:after="120" w:line="240" w:lineRule="auto"/>
        <w:ind w:left="1494"/>
      </w:pPr>
      <w:r w:rsidRPr="002E2A24">
        <w:t>Data Modelling Tool for development of data models.</w:t>
      </w:r>
    </w:p>
    <w:p w:rsidR="001C5BE4" w:rsidRPr="002E2A24" w:rsidRDefault="001C5BE4" w:rsidP="001C5BE4">
      <w:pPr>
        <w:spacing w:after="120"/>
        <w:ind w:left="1134"/>
        <w:rPr>
          <w:b/>
        </w:rPr>
      </w:pPr>
      <w:r w:rsidRPr="002E2A24">
        <w:rPr>
          <w:b/>
        </w:rPr>
        <w:t xml:space="preserve">Data Quality </w:t>
      </w:r>
    </w:p>
    <w:p w:rsidR="001C5BE4" w:rsidRPr="002E2A24" w:rsidRDefault="001C5BE4" w:rsidP="001C5BE4">
      <w:pPr>
        <w:keepLines/>
        <w:numPr>
          <w:ilvl w:val="0"/>
          <w:numId w:val="44"/>
        </w:numPr>
        <w:tabs>
          <w:tab w:val="clear" w:pos="1701"/>
        </w:tabs>
        <w:spacing w:before="60" w:after="120" w:line="240" w:lineRule="auto"/>
        <w:ind w:left="1494"/>
      </w:pPr>
      <w:r w:rsidRPr="002E2A24">
        <w:t>Data Cleansing to achieve and maintain required quality standard</w:t>
      </w:r>
    </w:p>
    <w:p w:rsidR="001C5BE4" w:rsidRPr="002E2A24" w:rsidRDefault="001C5BE4" w:rsidP="001C5BE4">
      <w:pPr>
        <w:keepLines/>
        <w:numPr>
          <w:ilvl w:val="0"/>
          <w:numId w:val="44"/>
        </w:numPr>
        <w:tabs>
          <w:tab w:val="clear" w:pos="1701"/>
        </w:tabs>
        <w:spacing w:before="60" w:after="120" w:line="240" w:lineRule="auto"/>
        <w:ind w:left="1494"/>
      </w:pPr>
      <w:r w:rsidRPr="002E2A24">
        <w:t>Data Quality Tool to ensure collected and stored data is of standard dictated by the quality plans.</w:t>
      </w:r>
    </w:p>
    <w:p w:rsidR="001C5BE4" w:rsidRPr="002E2A24" w:rsidRDefault="001C5BE4" w:rsidP="001C5BE4">
      <w:pPr>
        <w:spacing w:after="120"/>
        <w:ind w:left="1134"/>
        <w:rPr>
          <w:b/>
        </w:rPr>
      </w:pPr>
      <w:r w:rsidRPr="002E2A24">
        <w:rPr>
          <w:b/>
        </w:rPr>
        <w:t xml:space="preserve">Data integration </w:t>
      </w:r>
    </w:p>
    <w:p w:rsidR="001C5BE4" w:rsidRPr="002E2A24" w:rsidRDefault="001C5BE4" w:rsidP="001C5BE4">
      <w:pPr>
        <w:keepLines/>
        <w:numPr>
          <w:ilvl w:val="0"/>
          <w:numId w:val="44"/>
        </w:numPr>
        <w:tabs>
          <w:tab w:val="clear" w:pos="1701"/>
        </w:tabs>
        <w:spacing w:before="60" w:after="120" w:line="240" w:lineRule="auto"/>
        <w:ind w:left="1494"/>
      </w:pPr>
      <w:r w:rsidRPr="002E2A24">
        <w:t>Integration and transformation of data from disparate sources to standard formats ready for load into central database</w:t>
      </w:r>
    </w:p>
    <w:p w:rsidR="001C5BE4" w:rsidRPr="002E2A24" w:rsidRDefault="001C5BE4" w:rsidP="001C5BE4">
      <w:pPr>
        <w:keepLines/>
        <w:numPr>
          <w:ilvl w:val="0"/>
          <w:numId w:val="44"/>
        </w:numPr>
        <w:tabs>
          <w:tab w:val="clear" w:pos="1701"/>
        </w:tabs>
        <w:spacing w:before="60" w:after="120" w:line="240" w:lineRule="auto"/>
        <w:ind w:left="1494"/>
      </w:pPr>
      <w:r w:rsidRPr="002E2A24">
        <w:t>ETL (Extract Transform Load) Tool to enable data to be integrated and transformed.</w:t>
      </w:r>
    </w:p>
    <w:p w:rsidR="001C5BE4" w:rsidRPr="002E2A24" w:rsidRDefault="001C5BE4" w:rsidP="001C5BE4">
      <w:pPr>
        <w:spacing w:after="120"/>
        <w:ind w:left="1134"/>
        <w:rPr>
          <w:b/>
        </w:rPr>
      </w:pPr>
      <w:r w:rsidRPr="002E2A24">
        <w:rPr>
          <w:b/>
        </w:rPr>
        <w:t>Data warehouse</w:t>
      </w:r>
    </w:p>
    <w:p w:rsidR="001C5BE4" w:rsidRPr="002E2A24" w:rsidRDefault="001C5BE4" w:rsidP="001C5BE4">
      <w:pPr>
        <w:keepLines/>
        <w:numPr>
          <w:ilvl w:val="0"/>
          <w:numId w:val="44"/>
        </w:numPr>
        <w:tabs>
          <w:tab w:val="clear" w:pos="1701"/>
        </w:tabs>
        <w:spacing w:before="60" w:after="120" w:line="240" w:lineRule="auto"/>
        <w:ind w:left="1494"/>
      </w:pPr>
      <w:r w:rsidRPr="002E2A24">
        <w:t>Data warehouse as the central repository to support reporting and analysis requirements and that will serve as the source of truth for all reporting and includes a metadata repository</w:t>
      </w:r>
    </w:p>
    <w:p w:rsidR="001C5BE4" w:rsidRPr="002E2A24" w:rsidRDefault="001C5BE4" w:rsidP="001C5BE4">
      <w:pPr>
        <w:keepLines/>
        <w:numPr>
          <w:ilvl w:val="0"/>
          <w:numId w:val="44"/>
        </w:numPr>
        <w:tabs>
          <w:tab w:val="clear" w:pos="1701"/>
        </w:tabs>
        <w:spacing w:before="60" w:after="120" w:line="240" w:lineRule="auto"/>
        <w:ind w:left="1494"/>
      </w:pPr>
      <w:r w:rsidRPr="002E2A24">
        <w:t>ETL Tool to enable data to be loaded into and transformed within the warehouse.</w:t>
      </w:r>
    </w:p>
    <w:p w:rsidR="001C5BE4" w:rsidRPr="002E2A24" w:rsidRDefault="001C5BE4" w:rsidP="001C5BE4">
      <w:pPr>
        <w:keepLines/>
        <w:numPr>
          <w:ilvl w:val="0"/>
          <w:numId w:val="44"/>
        </w:numPr>
        <w:tabs>
          <w:tab w:val="clear" w:pos="1701"/>
        </w:tabs>
        <w:spacing w:before="60" w:after="120" w:line="240" w:lineRule="auto"/>
        <w:ind w:left="1494"/>
      </w:pPr>
      <w:r w:rsidRPr="002E2A24">
        <w:t>Data Modelling Tool for development of data models.</w:t>
      </w:r>
    </w:p>
    <w:p w:rsidR="001C5BE4" w:rsidRPr="002E2A24" w:rsidRDefault="001C5BE4" w:rsidP="001C5BE4">
      <w:pPr>
        <w:spacing w:after="120"/>
        <w:ind w:left="1134"/>
        <w:rPr>
          <w:b/>
        </w:rPr>
      </w:pPr>
      <w:r w:rsidRPr="002E2A24">
        <w:rPr>
          <w:b/>
        </w:rPr>
        <w:t xml:space="preserve">Business Intelligence </w:t>
      </w:r>
    </w:p>
    <w:p w:rsidR="001C5BE4" w:rsidRPr="002E2A24" w:rsidRDefault="001C5BE4" w:rsidP="001C5BE4">
      <w:pPr>
        <w:keepLines/>
        <w:numPr>
          <w:ilvl w:val="0"/>
          <w:numId w:val="44"/>
        </w:numPr>
        <w:tabs>
          <w:tab w:val="clear" w:pos="1701"/>
        </w:tabs>
        <w:spacing w:before="60" w:after="120" w:line="240" w:lineRule="auto"/>
        <w:ind w:left="1494"/>
      </w:pPr>
      <w:r w:rsidRPr="002E2A24">
        <w:t xml:space="preserve">Access provided via the internet so it is accessible by all entities </w:t>
      </w:r>
    </w:p>
    <w:p w:rsidR="001C5BE4" w:rsidRPr="002E2A24" w:rsidRDefault="001C5BE4" w:rsidP="001C5BE4">
      <w:pPr>
        <w:keepLines/>
        <w:numPr>
          <w:ilvl w:val="0"/>
          <w:numId w:val="44"/>
        </w:numPr>
        <w:tabs>
          <w:tab w:val="clear" w:pos="1701"/>
        </w:tabs>
        <w:spacing w:before="60" w:after="120" w:line="240" w:lineRule="auto"/>
        <w:ind w:left="1494"/>
      </w:pPr>
      <w:r w:rsidRPr="002E2A24">
        <w:t>Self service capability</w:t>
      </w:r>
    </w:p>
    <w:p w:rsidR="001C5BE4" w:rsidRPr="002E2A24" w:rsidRDefault="001C5BE4" w:rsidP="001C5BE4">
      <w:pPr>
        <w:keepLines/>
        <w:numPr>
          <w:ilvl w:val="0"/>
          <w:numId w:val="44"/>
        </w:numPr>
        <w:tabs>
          <w:tab w:val="clear" w:pos="1701"/>
        </w:tabs>
        <w:spacing w:before="60" w:after="120" w:line="240" w:lineRule="auto"/>
        <w:ind w:left="1494"/>
      </w:pPr>
      <w:r w:rsidRPr="002E2A24">
        <w:t>Define and build standard reports</w:t>
      </w:r>
    </w:p>
    <w:p w:rsidR="001C5BE4" w:rsidRPr="002E2A24" w:rsidRDefault="001C5BE4" w:rsidP="001C5BE4">
      <w:pPr>
        <w:keepLines/>
        <w:numPr>
          <w:ilvl w:val="0"/>
          <w:numId w:val="44"/>
        </w:numPr>
        <w:tabs>
          <w:tab w:val="clear" w:pos="1701"/>
        </w:tabs>
        <w:spacing w:before="60" w:after="120" w:line="240" w:lineRule="auto"/>
        <w:ind w:left="1494"/>
      </w:pPr>
      <w:r w:rsidRPr="002E2A24">
        <w:t>Business Intelligence Tools to provide access to data within the warehouse to end users across all entities, enabling access to pre-built reports as well as analytical capability.</w:t>
      </w:r>
    </w:p>
    <w:p w:rsidR="001C5BE4" w:rsidRPr="002E2A24" w:rsidRDefault="001C5BE4" w:rsidP="001C5BE4">
      <w:pPr>
        <w:spacing w:after="120"/>
        <w:ind w:left="1134"/>
        <w:rPr>
          <w:b/>
        </w:rPr>
      </w:pPr>
      <w:r w:rsidRPr="002E2A24">
        <w:rPr>
          <w:b/>
        </w:rPr>
        <w:t>Infrastructure</w:t>
      </w:r>
    </w:p>
    <w:p w:rsidR="001C5BE4" w:rsidRPr="002E2A24" w:rsidRDefault="001C5BE4" w:rsidP="001C5BE4">
      <w:pPr>
        <w:keepLines/>
        <w:numPr>
          <w:ilvl w:val="0"/>
          <w:numId w:val="44"/>
        </w:numPr>
        <w:tabs>
          <w:tab w:val="clear" w:pos="1701"/>
        </w:tabs>
        <w:spacing w:before="60" w:after="120" w:line="240" w:lineRule="auto"/>
        <w:ind w:left="1494"/>
        <w:rPr>
          <w:b/>
        </w:rPr>
      </w:pPr>
      <w:r>
        <w:t>Hardware r</w:t>
      </w:r>
      <w:r w:rsidRPr="002E2A24">
        <w:t>equired to support the solution</w:t>
      </w:r>
    </w:p>
    <w:p w:rsidR="001C5BE4" w:rsidRPr="002E2A24" w:rsidRDefault="001C5BE4" w:rsidP="001C5BE4">
      <w:pPr>
        <w:keepLines/>
        <w:numPr>
          <w:ilvl w:val="0"/>
          <w:numId w:val="44"/>
        </w:numPr>
        <w:tabs>
          <w:tab w:val="clear" w:pos="1701"/>
        </w:tabs>
        <w:spacing w:before="60" w:after="120" w:line="240" w:lineRule="auto"/>
        <w:ind w:left="1494"/>
        <w:rPr>
          <w:b/>
        </w:rPr>
      </w:pPr>
      <w:r w:rsidRPr="002E2A24">
        <w:t>Multiple environments</w:t>
      </w:r>
    </w:p>
    <w:p w:rsidR="001C5BE4" w:rsidRPr="002E2A24" w:rsidRDefault="001C5BE4" w:rsidP="001C5BE4">
      <w:pPr>
        <w:keepLines/>
        <w:numPr>
          <w:ilvl w:val="0"/>
          <w:numId w:val="44"/>
        </w:numPr>
        <w:tabs>
          <w:tab w:val="clear" w:pos="1701"/>
        </w:tabs>
        <w:spacing w:before="60" w:after="120" w:line="240" w:lineRule="auto"/>
        <w:ind w:left="1494"/>
        <w:rPr>
          <w:b/>
        </w:rPr>
      </w:pPr>
      <w:r w:rsidRPr="002E2A24">
        <w:t>Servers for databases and ETL, quality and BI tools.</w:t>
      </w:r>
    </w:p>
    <w:p w:rsidR="001C5BE4" w:rsidRPr="002E2A24" w:rsidRDefault="001C5BE4" w:rsidP="001C5BE4">
      <w:pPr>
        <w:spacing w:after="120"/>
        <w:ind w:left="1134"/>
        <w:rPr>
          <w:b/>
        </w:rPr>
      </w:pPr>
    </w:p>
    <w:p w:rsidR="001C5BE4" w:rsidRPr="002E2A24" w:rsidRDefault="001C5BE4" w:rsidP="001C5BE4">
      <w:pPr>
        <w:pStyle w:val="Heading40"/>
      </w:pPr>
      <w:r w:rsidRPr="002E2A24">
        <w:t>Breakdown of implementation costs</w:t>
      </w:r>
    </w:p>
    <w:p w:rsidR="00663E3D" w:rsidRDefault="00663E3D" w:rsidP="00663E3D">
      <w:pPr>
        <w:spacing w:after="120"/>
        <w:ind w:left="1134"/>
      </w:pPr>
      <w:r w:rsidRPr="002E2A24">
        <w:t>The estimated costs have been broken down by the services required to build and deliver a solution, and the cost of the required infrastructure and tools</w:t>
      </w:r>
      <w:r>
        <w:t>.</w:t>
      </w:r>
    </w:p>
    <w:p w:rsidR="00663E3D" w:rsidRPr="002E2A24" w:rsidRDefault="00663E3D" w:rsidP="00663E3D">
      <w:pPr>
        <w:pStyle w:val="Caption"/>
        <w:ind w:left="567" w:firstLine="567"/>
        <w:rPr>
          <w:sz w:val="20"/>
        </w:rPr>
      </w:pPr>
      <w:bookmarkStart w:id="92" w:name="_Toc421181785"/>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5</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24</w:t>
      </w:r>
      <w:r w:rsidR="00350C10">
        <w:fldChar w:fldCharType="end"/>
      </w:r>
      <w:r w:rsidRPr="006226B1">
        <w:tab/>
      </w:r>
      <w:r>
        <w:t xml:space="preserve">Cost </w:t>
      </w:r>
      <w:proofErr w:type="gramStart"/>
      <w:r>
        <w:t>breakdown</w:t>
      </w:r>
      <w:proofErr w:type="gramEnd"/>
      <w:r>
        <w:t xml:space="preserve"> </w:t>
      </w:r>
      <w:r w:rsidR="00281886">
        <w:t>for</w:t>
      </w:r>
      <w:r>
        <w:t xml:space="preserve"> Option 4</w:t>
      </w:r>
      <w:bookmarkEnd w:id="92"/>
    </w:p>
    <w:tbl>
      <w:tblPr>
        <w:tblStyle w:val="HyderTableStyle"/>
        <w:tblpPr w:leftFromText="180" w:rightFromText="180" w:vertAnchor="text" w:horzAnchor="margin" w:tblpXSpec="right" w:tblpY="24"/>
        <w:tblW w:w="0" w:type="auto"/>
        <w:tblLook w:val="04A0"/>
      </w:tblPr>
      <w:tblGrid>
        <w:gridCol w:w="4245"/>
        <w:gridCol w:w="4245"/>
      </w:tblGrid>
      <w:tr w:rsidR="00A061F6" w:rsidTr="00A061F6">
        <w:trPr>
          <w:cnfStyle w:val="100000000000"/>
        </w:trPr>
        <w:tc>
          <w:tcPr>
            <w:tcW w:w="4245" w:type="dxa"/>
          </w:tcPr>
          <w:p w:rsidR="00A061F6" w:rsidRPr="00663E3D" w:rsidRDefault="00A061F6" w:rsidP="00A061F6">
            <w:pPr>
              <w:spacing w:after="120"/>
              <w:rPr>
                <w:b/>
              </w:rPr>
            </w:pPr>
            <w:r w:rsidRPr="00663E3D">
              <w:rPr>
                <w:b/>
              </w:rPr>
              <w:t>Description</w:t>
            </w:r>
          </w:p>
        </w:tc>
        <w:tc>
          <w:tcPr>
            <w:tcW w:w="4245" w:type="dxa"/>
          </w:tcPr>
          <w:p w:rsidR="00A061F6" w:rsidRPr="00663E3D" w:rsidRDefault="00A061F6" w:rsidP="00A061F6">
            <w:pPr>
              <w:spacing w:after="120"/>
              <w:rPr>
                <w:b/>
              </w:rPr>
            </w:pPr>
            <w:r w:rsidRPr="00663E3D">
              <w:rPr>
                <w:b/>
              </w:rPr>
              <w:t xml:space="preserve">Cost </w:t>
            </w:r>
          </w:p>
        </w:tc>
      </w:tr>
      <w:tr w:rsidR="00A061F6" w:rsidTr="00A061F6">
        <w:tc>
          <w:tcPr>
            <w:tcW w:w="4245" w:type="dxa"/>
          </w:tcPr>
          <w:p w:rsidR="00A061F6" w:rsidRDefault="00A061F6" w:rsidP="00A061F6">
            <w:pPr>
              <w:spacing w:after="120"/>
              <w:rPr>
                <w:b/>
              </w:rPr>
            </w:pPr>
            <w:r w:rsidRPr="00304DA2">
              <w:t>Technical consulting</w:t>
            </w:r>
          </w:p>
        </w:tc>
        <w:tc>
          <w:tcPr>
            <w:tcW w:w="4245" w:type="dxa"/>
          </w:tcPr>
          <w:p w:rsidR="00A061F6" w:rsidRDefault="00A061F6" w:rsidP="00A061F6">
            <w:pPr>
              <w:spacing w:after="120"/>
              <w:rPr>
                <w:b/>
              </w:rPr>
            </w:pPr>
            <w:r w:rsidRPr="00304DA2">
              <w:t>$250,000 - $440,000</w:t>
            </w:r>
          </w:p>
        </w:tc>
      </w:tr>
      <w:tr w:rsidR="00A061F6" w:rsidTr="00A061F6">
        <w:tc>
          <w:tcPr>
            <w:tcW w:w="4245" w:type="dxa"/>
          </w:tcPr>
          <w:p w:rsidR="00A061F6" w:rsidRDefault="00A061F6" w:rsidP="00A061F6">
            <w:pPr>
              <w:spacing w:after="120"/>
              <w:rPr>
                <w:b/>
              </w:rPr>
            </w:pPr>
            <w:r w:rsidRPr="00304DA2">
              <w:t>Change management</w:t>
            </w:r>
          </w:p>
        </w:tc>
        <w:tc>
          <w:tcPr>
            <w:tcW w:w="4245" w:type="dxa"/>
          </w:tcPr>
          <w:p w:rsidR="00A061F6" w:rsidRDefault="00A061F6" w:rsidP="00A061F6">
            <w:pPr>
              <w:spacing w:after="120"/>
              <w:rPr>
                <w:b/>
              </w:rPr>
            </w:pPr>
            <w:r w:rsidRPr="00304DA2">
              <w:t>$50,000 - $140,000</w:t>
            </w:r>
          </w:p>
        </w:tc>
      </w:tr>
      <w:tr w:rsidR="00A061F6" w:rsidTr="00A061F6">
        <w:tc>
          <w:tcPr>
            <w:tcW w:w="4245" w:type="dxa"/>
          </w:tcPr>
          <w:p w:rsidR="00A061F6" w:rsidRDefault="00A061F6" w:rsidP="00A061F6">
            <w:pPr>
              <w:spacing w:after="120"/>
              <w:rPr>
                <w:b/>
              </w:rPr>
            </w:pPr>
            <w:r w:rsidRPr="00304DA2">
              <w:t>Project management</w:t>
            </w:r>
          </w:p>
        </w:tc>
        <w:tc>
          <w:tcPr>
            <w:tcW w:w="4245" w:type="dxa"/>
          </w:tcPr>
          <w:p w:rsidR="00A061F6" w:rsidRDefault="00A061F6" w:rsidP="00A061F6">
            <w:pPr>
              <w:spacing w:after="120"/>
              <w:rPr>
                <w:b/>
              </w:rPr>
            </w:pPr>
            <w:r w:rsidRPr="00304DA2">
              <w:t>$100,000 - $160,000</w:t>
            </w:r>
          </w:p>
        </w:tc>
      </w:tr>
      <w:tr w:rsidR="00A061F6" w:rsidTr="00A061F6">
        <w:tc>
          <w:tcPr>
            <w:tcW w:w="4245" w:type="dxa"/>
          </w:tcPr>
          <w:p w:rsidR="00A061F6" w:rsidRPr="00663E3D" w:rsidRDefault="00A061F6" w:rsidP="00A061F6">
            <w:pPr>
              <w:spacing w:after="120"/>
              <w:rPr>
                <w:b/>
              </w:rPr>
            </w:pPr>
            <w:r>
              <w:rPr>
                <w:b/>
              </w:rPr>
              <w:t xml:space="preserve">                             </w:t>
            </w:r>
            <w:r w:rsidRPr="00663E3D">
              <w:rPr>
                <w:b/>
              </w:rPr>
              <w:t>T</w:t>
            </w:r>
            <w:r>
              <w:rPr>
                <w:b/>
              </w:rPr>
              <w:t>otal</w:t>
            </w:r>
            <w:r w:rsidRPr="00663E3D">
              <w:rPr>
                <w:b/>
              </w:rPr>
              <w:t>: Professional Services</w:t>
            </w:r>
          </w:p>
        </w:tc>
        <w:tc>
          <w:tcPr>
            <w:tcW w:w="4245" w:type="dxa"/>
          </w:tcPr>
          <w:p w:rsidR="00A061F6" w:rsidRPr="00663E3D" w:rsidRDefault="00A061F6" w:rsidP="00A061F6">
            <w:pPr>
              <w:spacing w:after="120"/>
              <w:rPr>
                <w:b/>
              </w:rPr>
            </w:pPr>
            <w:r>
              <w:rPr>
                <w:b/>
              </w:rPr>
              <w:t xml:space="preserve">                                 </w:t>
            </w:r>
            <w:r w:rsidRPr="00663E3D">
              <w:rPr>
                <w:b/>
              </w:rPr>
              <w:t>$400,000 – $740,000</w:t>
            </w:r>
          </w:p>
        </w:tc>
      </w:tr>
      <w:tr w:rsidR="00A061F6" w:rsidTr="00A061F6">
        <w:tc>
          <w:tcPr>
            <w:tcW w:w="4245" w:type="dxa"/>
          </w:tcPr>
          <w:p w:rsidR="00A061F6" w:rsidRPr="00663E3D" w:rsidRDefault="00A061F6" w:rsidP="00A061F6">
            <w:pPr>
              <w:spacing w:after="120"/>
              <w:rPr>
                <w:b/>
              </w:rPr>
            </w:pPr>
            <w:r w:rsidRPr="007079BD">
              <w:lastRenderedPageBreak/>
              <w:t>Data modelling tool</w:t>
            </w:r>
          </w:p>
        </w:tc>
        <w:tc>
          <w:tcPr>
            <w:tcW w:w="4245" w:type="dxa"/>
          </w:tcPr>
          <w:p w:rsidR="00A061F6" w:rsidRPr="00663E3D" w:rsidRDefault="00A061F6" w:rsidP="00A061F6">
            <w:pPr>
              <w:spacing w:after="120"/>
              <w:rPr>
                <w:b/>
              </w:rPr>
            </w:pPr>
            <w:r w:rsidRPr="007079BD">
              <w:t xml:space="preserve">$5,000 - $10,000 </w:t>
            </w:r>
          </w:p>
        </w:tc>
      </w:tr>
      <w:tr w:rsidR="00A061F6" w:rsidTr="00A061F6">
        <w:tc>
          <w:tcPr>
            <w:tcW w:w="4245" w:type="dxa"/>
          </w:tcPr>
          <w:p w:rsidR="00A061F6" w:rsidRPr="00663E3D" w:rsidRDefault="00A061F6" w:rsidP="00A061F6">
            <w:pPr>
              <w:spacing w:after="120"/>
              <w:rPr>
                <w:b/>
              </w:rPr>
            </w:pPr>
            <w:r w:rsidRPr="007079BD">
              <w:t>Data quality tool</w:t>
            </w:r>
          </w:p>
        </w:tc>
        <w:tc>
          <w:tcPr>
            <w:tcW w:w="4245" w:type="dxa"/>
          </w:tcPr>
          <w:p w:rsidR="00A061F6" w:rsidRPr="00663E3D" w:rsidRDefault="00A061F6" w:rsidP="00A061F6">
            <w:pPr>
              <w:spacing w:after="120"/>
              <w:rPr>
                <w:b/>
              </w:rPr>
            </w:pPr>
            <w:r w:rsidRPr="007079BD">
              <w:t>$10,000 - $20,000</w:t>
            </w:r>
          </w:p>
        </w:tc>
      </w:tr>
      <w:tr w:rsidR="00A061F6" w:rsidTr="00A061F6">
        <w:tc>
          <w:tcPr>
            <w:tcW w:w="4245" w:type="dxa"/>
          </w:tcPr>
          <w:p w:rsidR="00A061F6" w:rsidRPr="00663E3D" w:rsidRDefault="00A061F6" w:rsidP="00A061F6">
            <w:pPr>
              <w:spacing w:after="120"/>
              <w:rPr>
                <w:b/>
              </w:rPr>
            </w:pPr>
            <w:r w:rsidRPr="007079BD">
              <w:t>Extraction, Transformation &amp; loading tool</w:t>
            </w:r>
          </w:p>
        </w:tc>
        <w:tc>
          <w:tcPr>
            <w:tcW w:w="4245" w:type="dxa"/>
          </w:tcPr>
          <w:p w:rsidR="00A061F6" w:rsidRPr="00663E3D" w:rsidRDefault="00A061F6" w:rsidP="00A061F6">
            <w:pPr>
              <w:spacing w:after="120"/>
              <w:rPr>
                <w:b/>
              </w:rPr>
            </w:pPr>
            <w:r w:rsidRPr="007079BD">
              <w:t>$25,000 - $60,000</w:t>
            </w:r>
          </w:p>
        </w:tc>
      </w:tr>
      <w:tr w:rsidR="00A061F6" w:rsidTr="00A061F6">
        <w:tc>
          <w:tcPr>
            <w:tcW w:w="4245" w:type="dxa"/>
          </w:tcPr>
          <w:p w:rsidR="00A061F6" w:rsidRPr="00663E3D" w:rsidRDefault="00A061F6" w:rsidP="00A061F6">
            <w:pPr>
              <w:spacing w:after="120"/>
              <w:rPr>
                <w:b/>
              </w:rPr>
            </w:pPr>
            <w:r w:rsidRPr="007079BD">
              <w:t>Reporting tool</w:t>
            </w:r>
          </w:p>
        </w:tc>
        <w:tc>
          <w:tcPr>
            <w:tcW w:w="4245" w:type="dxa"/>
          </w:tcPr>
          <w:p w:rsidR="00A061F6" w:rsidRPr="00663E3D" w:rsidRDefault="00A061F6" w:rsidP="00A061F6">
            <w:pPr>
              <w:spacing w:after="120"/>
              <w:rPr>
                <w:b/>
              </w:rPr>
            </w:pPr>
            <w:r w:rsidRPr="007079BD">
              <w:t>$40,000 - $60,000</w:t>
            </w:r>
          </w:p>
        </w:tc>
      </w:tr>
      <w:tr w:rsidR="00A061F6" w:rsidTr="00A061F6">
        <w:tc>
          <w:tcPr>
            <w:tcW w:w="4245" w:type="dxa"/>
          </w:tcPr>
          <w:p w:rsidR="00A061F6" w:rsidRPr="00663E3D" w:rsidRDefault="00A061F6" w:rsidP="00A061F6">
            <w:pPr>
              <w:spacing w:after="120"/>
              <w:rPr>
                <w:b/>
              </w:rPr>
            </w:pPr>
            <w:r w:rsidRPr="007079BD">
              <w:t>User licences</w:t>
            </w:r>
          </w:p>
        </w:tc>
        <w:tc>
          <w:tcPr>
            <w:tcW w:w="4245" w:type="dxa"/>
          </w:tcPr>
          <w:p w:rsidR="00A061F6" w:rsidRPr="00663E3D" w:rsidRDefault="00A061F6" w:rsidP="00A061F6">
            <w:pPr>
              <w:spacing w:after="120"/>
              <w:rPr>
                <w:b/>
              </w:rPr>
            </w:pPr>
            <w:r w:rsidRPr="007079BD">
              <w:t>$20,000 - $40,000</w:t>
            </w:r>
          </w:p>
        </w:tc>
      </w:tr>
      <w:tr w:rsidR="00A061F6" w:rsidTr="00A061F6">
        <w:tc>
          <w:tcPr>
            <w:tcW w:w="4245" w:type="dxa"/>
          </w:tcPr>
          <w:p w:rsidR="00A061F6" w:rsidRPr="00663E3D" w:rsidRDefault="00A061F6" w:rsidP="00A061F6">
            <w:pPr>
              <w:spacing w:after="120"/>
              <w:rPr>
                <w:b/>
              </w:rPr>
            </w:pPr>
            <w:r w:rsidRPr="007079BD">
              <w:t>Hardware &amp; DB's</w:t>
            </w:r>
          </w:p>
        </w:tc>
        <w:tc>
          <w:tcPr>
            <w:tcW w:w="4245" w:type="dxa"/>
          </w:tcPr>
          <w:p w:rsidR="00A061F6" w:rsidRPr="00663E3D" w:rsidRDefault="00A061F6" w:rsidP="00A061F6">
            <w:pPr>
              <w:spacing w:after="120"/>
              <w:rPr>
                <w:b/>
              </w:rPr>
            </w:pPr>
            <w:r w:rsidRPr="007079BD">
              <w:t>$50,000 - $70,000</w:t>
            </w:r>
          </w:p>
        </w:tc>
      </w:tr>
      <w:tr w:rsidR="00A061F6" w:rsidTr="00A061F6">
        <w:tc>
          <w:tcPr>
            <w:tcW w:w="4245" w:type="dxa"/>
          </w:tcPr>
          <w:p w:rsidR="00A061F6" w:rsidRPr="00663E3D" w:rsidRDefault="00A061F6" w:rsidP="00A061F6">
            <w:pPr>
              <w:spacing w:after="120"/>
              <w:rPr>
                <w:b/>
              </w:rPr>
            </w:pPr>
            <w:r>
              <w:rPr>
                <w:b/>
              </w:rPr>
              <w:t xml:space="preserve">                             Total</w:t>
            </w:r>
            <w:r w:rsidRPr="00663E3D">
              <w:rPr>
                <w:b/>
              </w:rPr>
              <w:t>: Infrastructure and tools</w:t>
            </w:r>
          </w:p>
        </w:tc>
        <w:tc>
          <w:tcPr>
            <w:tcW w:w="4245" w:type="dxa"/>
          </w:tcPr>
          <w:p w:rsidR="00A061F6" w:rsidRPr="00663E3D" w:rsidRDefault="00A061F6" w:rsidP="00A061F6">
            <w:pPr>
              <w:spacing w:after="120"/>
              <w:rPr>
                <w:b/>
              </w:rPr>
            </w:pPr>
            <w:r>
              <w:rPr>
                <w:b/>
              </w:rPr>
              <w:t xml:space="preserve">                                 </w:t>
            </w:r>
            <w:r w:rsidRPr="00663E3D">
              <w:rPr>
                <w:b/>
              </w:rPr>
              <w:t xml:space="preserve">$150,000 </w:t>
            </w:r>
            <w:r w:rsidRPr="002E2A24">
              <w:rPr>
                <w:b/>
              </w:rPr>
              <w:t>–</w:t>
            </w:r>
            <w:r w:rsidRPr="00663E3D">
              <w:rPr>
                <w:b/>
              </w:rPr>
              <w:t xml:space="preserve"> $260,000</w:t>
            </w:r>
          </w:p>
        </w:tc>
      </w:tr>
      <w:tr w:rsidR="00A061F6" w:rsidTr="00A061F6">
        <w:tc>
          <w:tcPr>
            <w:tcW w:w="4245" w:type="dxa"/>
          </w:tcPr>
          <w:p w:rsidR="00A061F6" w:rsidRDefault="00A061F6" w:rsidP="00A061F6">
            <w:pPr>
              <w:spacing w:after="120"/>
              <w:rPr>
                <w:b/>
              </w:rPr>
            </w:pPr>
            <w:r>
              <w:rPr>
                <w:b/>
              </w:rPr>
              <w:t>IMPLEMENTATION COST FOR OPTION 4</w:t>
            </w:r>
          </w:p>
        </w:tc>
        <w:tc>
          <w:tcPr>
            <w:tcW w:w="4245" w:type="dxa"/>
          </w:tcPr>
          <w:p w:rsidR="00A061F6" w:rsidRDefault="00A061F6" w:rsidP="00A061F6">
            <w:pPr>
              <w:spacing w:after="120"/>
              <w:rPr>
                <w:b/>
              </w:rPr>
            </w:pPr>
            <w:r>
              <w:rPr>
                <w:b/>
              </w:rPr>
              <w:t xml:space="preserve">                                 </w:t>
            </w:r>
            <w:r w:rsidRPr="002E2A24">
              <w:rPr>
                <w:b/>
              </w:rPr>
              <w:t>$</w:t>
            </w:r>
            <w:r>
              <w:rPr>
                <w:b/>
              </w:rPr>
              <w:t>55</w:t>
            </w:r>
            <w:r w:rsidRPr="002E2A24">
              <w:rPr>
                <w:b/>
              </w:rPr>
              <w:t>0,000 – $1,000,000</w:t>
            </w:r>
          </w:p>
        </w:tc>
      </w:tr>
    </w:tbl>
    <w:p w:rsidR="001C5BE4" w:rsidRPr="002E2A24" w:rsidRDefault="001C5BE4" w:rsidP="004F1767">
      <w:pPr>
        <w:spacing w:before="60" w:after="120"/>
      </w:pPr>
    </w:p>
    <w:p w:rsidR="004F1767" w:rsidRDefault="004F1767" w:rsidP="001C5BE4">
      <w:pPr>
        <w:keepNext/>
        <w:spacing w:before="120" w:after="120"/>
        <w:ind w:left="1134"/>
        <w:outlineLvl w:val="3"/>
        <w:rPr>
          <w:rFonts w:ascii="Cambria" w:hAnsi="Cambria" w:cs="Arial"/>
          <w:color w:val="495F70"/>
          <w:sz w:val="28"/>
          <w:lang w:eastAsia="en-US"/>
        </w:rPr>
      </w:pPr>
    </w:p>
    <w:p w:rsidR="001C5BE4" w:rsidRPr="002E2A24" w:rsidRDefault="001C5BE4" w:rsidP="004F1767">
      <w:pPr>
        <w:pStyle w:val="Heading40"/>
      </w:pPr>
      <w:r w:rsidRPr="002E2A24">
        <w:t>Timing and expenditure</w:t>
      </w:r>
    </w:p>
    <w:p w:rsidR="001C5BE4" w:rsidRPr="002E2A24" w:rsidRDefault="001C5BE4" w:rsidP="001C5BE4">
      <w:pPr>
        <w:spacing w:after="120"/>
        <w:ind w:left="1134"/>
      </w:pPr>
      <w:r w:rsidRPr="002E2A24">
        <w:t xml:space="preserve">It is estimated that a project of this nature will take approximately six to nine months to deliver and should be done in an agile manner so that functionality and value is delivered incrementally rather than in one big bang. </w:t>
      </w:r>
    </w:p>
    <w:p w:rsidR="001C5BE4" w:rsidRPr="002E2A24" w:rsidRDefault="001C5BE4" w:rsidP="00A061F6">
      <w:pPr>
        <w:spacing w:after="120"/>
        <w:ind w:left="1134"/>
      </w:pPr>
      <w:r w:rsidRPr="002E2A24">
        <w:t>The cost associated with infrastructure and tools will be incurred up front at the beginning of the project. As mentioned previously, the infrastructure and tool costs and their timing</w:t>
      </w:r>
      <w:r w:rsidR="00A061F6">
        <w:t xml:space="preserve"> may vary depending on whether </w:t>
      </w:r>
      <w:r w:rsidRPr="002E2A24">
        <w:t>existing department infrastructure and tools can be leveraged</w:t>
      </w:r>
      <w:r w:rsidR="00A061F6">
        <w:t xml:space="preserve"> </w:t>
      </w:r>
      <w:r w:rsidRPr="002E2A24">
        <w:t>or a solution provider is appointed and provides the tools as part of its service, and whether they charge upfront or on a monthly basis.</w:t>
      </w:r>
    </w:p>
    <w:p w:rsidR="004F1767" w:rsidRDefault="001C5BE4" w:rsidP="001C5BE4">
      <w:pPr>
        <w:spacing w:before="60" w:after="120"/>
        <w:ind w:left="1134"/>
      </w:pPr>
      <w:r w:rsidRPr="002E2A24">
        <w:t>The worst case scenario is that $150,000 to $260,000 will be required upfront at the beginning of the project for infrastructure and tools. Assuming the project is delivered over three phases with eac</w:t>
      </w:r>
      <w:r w:rsidR="00A061F6">
        <w:t>h spanning 2-3 months</w:t>
      </w:r>
      <w:r w:rsidRPr="00F5198C">
        <w:t xml:space="preserve">, the estimated service costs are outlined in </w:t>
      </w:r>
      <w:r w:rsidR="00F5198C" w:rsidRPr="00F5198C">
        <w:t>the table below</w:t>
      </w:r>
      <w:r w:rsidRPr="00F5198C">
        <w:t>.</w:t>
      </w:r>
    </w:p>
    <w:p w:rsidR="004F1767" w:rsidRPr="002E2A24" w:rsidRDefault="004F1767" w:rsidP="004F1767">
      <w:pPr>
        <w:pStyle w:val="Caption"/>
        <w:ind w:left="567" w:firstLine="567"/>
      </w:pPr>
      <w:bookmarkStart w:id="93" w:name="_Toc421181786"/>
      <w:r w:rsidRPr="006226B1">
        <w:t xml:space="preserve">Table </w:t>
      </w:r>
      <w:r w:rsidR="00350C10" w:rsidRPr="006226B1">
        <w:fldChar w:fldCharType="begin"/>
      </w:r>
      <w:r w:rsidRPr="006226B1">
        <w:instrText xml:space="preserve"> STYLEREF "_Heading1" \n </w:instrText>
      </w:r>
      <w:r w:rsidR="00350C10" w:rsidRPr="006226B1">
        <w:fldChar w:fldCharType="separate"/>
      </w:r>
      <w:r w:rsidR="00261FA5">
        <w:rPr>
          <w:noProof/>
        </w:rPr>
        <w:t>5</w:t>
      </w:r>
      <w:r w:rsidR="00350C10" w:rsidRPr="006226B1">
        <w:fldChar w:fldCharType="end"/>
      </w:r>
      <w:r w:rsidRPr="006226B1">
        <w:t>-</w:t>
      </w:r>
      <w:r w:rsidR="00350C10">
        <w:fldChar w:fldCharType="begin"/>
      </w:r>
      <w:r>
        <w:instrText xml:space="preserve"> SEQ Table \* Arabic </w:instrText>
      </w:r>
      <w:r w:rsidR="00350C10">
        <w:fldChar w:fldCharType="separate"/>
      </w:r>
      <w:r w:rsidR="00261FA5">
        <w:rPr>
          <w:noProof/>
        </w:rPr>
        <w:t>25</w:t>
      </w:r>
      <w:r w:rsidR="00350C10">
        <w:fldChar w:fldCharType="end"/>
      </w:r>
      <w:r w:rsidRPr="006226B1">
        <w:tab/>
      </w:r>
      <w:r>
        <w:t>Phasing of implementation costs</w:t>
      </w:r>
      <w:bookmarkEnd w:id="93"/>
    </w:p>
    <w:tbl>
      <w:tblPr>
        <w:tblStyle w:val="HyderTableStyle"/>
        <w:tblW w:w="0" w:type="auto"/>
        <w:tblInd w:w="1134" w:type="dxa"/>
        <w:tblLook w:val="04A0"/>
      </w:tblPr>
      <w:tblGrid>
        <w:gridCol w:w="4237"/>
        <w:gridCol w:w="4238"/>
      </w:tblGrid>
      <w:tr w:rsidR="004F1767" w:rsidTr="004F1767">
        <w:trPr>
          <w:cnfStyle w:val="100000000000"/>
        </w:trPr>
        <w:tc>
          <w:tcPr>
            <w:tcW w:w="4237" w:type="dxa"/>
          </w:tcPr>
          <w:p w:rsidR="004F1767" w:rsidRPr="004F1767" w:rsidRDefault="004F1767" w:rsidP="004F1767">
            <w:pPr>
              <w:spacing w:after="120"/>
              <w:rPr>
                <w:b/>
              </w:rPr>
            </w:pPr>
            <w:r w:rsidRPr="004F1767">
              <w:rPr>
                <w:b/>
              </w:rPr>
              <w:t>Timing</w:t>
            </w:r>
          </w:p>
        </w:tc>
        <w:tc>
          <w:tcPr>
            <w:tcW w:w="4238" w:type="dxa"/>
          </w:tcPr>
          <w:p w:rsidR="004F1767" w:rsidRPr="004F1767" w:rsidRDefault="004F1767" w:rsidP="004F1767">
            <w:pPr>
              <w:spacing w:after="120"/>
              <w:rPr>
                <w:b/>
              </w:rPr>
            </w:pPr>
            <w:r w:rsidRPr="004F1767">
              <w:rPr>
                <w:b/>
              </w:rPr>
              <w:t>Cost</w:t>
            </w:r>
          </w:p>
        </w:tc>
      </w:tr>
      <w:tr w:rsidR="004F1767" w:rsidTr="004F1767">
        <w:tc>
          <w:tcPr>
            <w:tcW w:w="4237" w:type="dxa"/>
          </w:tcPr>
          <w:p w:rsidR="004F1767" w:rsidRDefault="004F1767" w:rsidP="004F1767">
            <w:pPr>
              <w:spacing w:after="120"/>
            </w:pPr>
            <w:r w:rsidRPr="0087068E">
              <w:t>Phase 1</w:t>
            </w:r>
          </w:p>
        </w:tc>
        <w:tc>
          <w:tcPr>
            <w:tcW w:w="4238" w:type="dxa"/>
          </w:tcPr>
          <w:p w:rsidR="004F1767" w:rsidRDefault="004F1767" w:rsidP="004F1767">
            <w:pPr>
              <w:spacing w:after="120"/>
            </w:pPr>
            <w:r w:rsidRPr="0087068E">
              <w:t>$150,000 - $300,000</w:t>
            </w:r>
          </w:p>
        </w:tc>
      </w:tr>
      <w:tr w:rsidR="004F1767" w:rsidTr="004F1767">
        <w:tc>
          <w:tcPr>
            <w:tcW w:w="4237" w:type="dxa"/>
          </w:tcPr>
          <w:p w:rsidR="004F1767" w:rsidRDefault="004F1767" w:rsidP="004F1767">
            <w:pPr>
              <w:spacing w:after="120"/>
            </w:pPr>
            <w:r w:rsidRPr="0087068E">
              <w:t>Phase 2</w:t>
            </w:r>
          </w:p>
        </w:tc>
        <w:tc>
          <w:tcPr>
            <w:tcW w:w="4238" w:type="dxa"/>
          </w:tcPr>
          <w:p w:rsidR="004F1767" w:rsidRDefault="004F1767" w:rsidP="004F1767">
            <w:pPr>
              <w:spacing w:after="120"/>
            </w:pPr>
            <w:r w:rsidRPr="0087068E">
              <w:t>$100,000 - $220,000</w:t>
            </w:r>
          </w:p>
        </w:tc>
      </w:tr>
      <w:tr w:rsidR="004F1767" w:rsidTr="004F1767">
        <w:tc>
          <w:tcPr>
            <w:tcW w:w="4237" w:type="dxa"/>
          </w:tcPr>
          <w:p w:rsidR="004F1767" w:rsidRDefault="004F1767" w:rsidP="004F1767">
            <w:pPr>
              <w:spacing w:after="120"/>
            </w:pPr>
            <w:r w:rsidRPr="0087068E">
              <w:t>Phase 3</w:t>
            </w:r>
          </w:p>
        </w:tc>
        <w:tc>
          <w:tcPr>
            <w:tcW w:w="4238" w:type="dxa"/>
          </w:tcPr>
          <w:p w:rsidR="004F1767" w:rsidRDefault="004F1767" w:rsidP="004F1767">
            <w:pPr>
              <w:spacing w:after="120"/>
            </w:pPr>
            <w:r w:rsidRPr="0087068E">
              <w:t>$100,000 - $220,000</w:t>
            </w:r>
          </w:p>
        </w:tc>
      </w:tr>
      <w:tr w:rsidR="004F1767" w:rsidTr="004F1767">
        <w:tc>
          <w:tcPr>
            <w:tcW w:w="4237" w:type="dxa"/>
          </w:tcPr>
          <w:p w:rsidR="004F1767" w:rsidRPr="004F1767" w:rsidRDefault="004F1767" w:rsidP="002D51A9">
            <w:pPr>
              <w:spacing w:after="120"/>
              <w:rPr>
                <w:b/>
              </w:rPr>
            </w:pPr>
            <w:r w:rsidRPr="004F1767">
              <w:rPr>
                <w:b/>
              </w:rPr>
              <w:t>T</w:t>
            </w:r>
            <w:r w:rsidR="002D51A9">
              <w:rPr>
                <w:b/>
              </w:rPr>
              <w:t>OTAL</w:t>
            </w:r>
          </w:p>
        </w:tc>
        <w:tc>
          <w:tcPr>
            <w:tcW w:w="4238" w:type="dxa"/>
          </w:tcPr>
          <w:p w:rsidR="004F1767" w:rsidRPr="004F1767" w:rsidRDefault="004F1767" w:rsidP="004F1767">
            <w:pPr>
              <w:spacing w:after="120"/>
              <w:rPr>
                <w:b/>
              </w:rPr>
            </w:pPr>
            <w:r w:rsidRPr="004F1767">
              <w:rPr>
                <w:b/>
              </w:rPr>
              <w:t>$350,000 - $740,000</w:t>
            </w:r>
          </w:p>
        </w:tc>
      </w:tr>
    </w:tbl>
    <w:p w:rsidR="001C5BE4" w:rsidRPr="00BF6ED2" w:rsidRDefault="001C5BE4" w:rsidP="004F1767">
      <w:pPr>
        <w:pStyle w:val="BodyText"/>
        <w:spacing w:before="60"/>
      </w:pPr>
    </w:p>
    <w:p w:rsidR="00FE02C8" w:rsidRDefault="00700501" w:rsidP="00AB2F04">
      <w:pPr>
        <w:pStyle w:val="Heading2"/>
      </w:pPr>
      <w:bookmarkStart w:id="94" w:name="_Toc421181751"/>
      <w:r>
        <w:t>N</w:t>
      </w:r>
      <w:r w:rsidR="00FE02C8" w:rsidRPr="005C4CBA">
        <w:t>ext steps</w:t>
      </w:r>
      <w:bookmarkEnd w:id="94"/>
    </w:p>
    <w:p w:rsidR="00FE02C8" w:rsidRDefault="00FE02C8" w:rsidP="00C3767C">
      <w:pPr>
        <w:pStyle w:val="BodyText"/>
        <w:spacing w:before="60"/>
        <w:ind w:left="1134"/>
      </w:pPr>
      <w:r>
        <w:t>The recommended next step for DoE is to undertake the completion of a formal business case and high level requirements</w:t>
      </w:r>
      <w:r w:rsidR="00891AEE">
        <w:t xml:space="preserve"> to undertake O</w:t>
      </w:r>
      <w:r>
        <w:t>ption 4, ‘</w:t>
      </w:r>
      <w:r w:rsidRPr="006C4E2C">
        <w:t xml:space="preserve">Develop </w:t>
      </w:r>
      <w:r>
        <w:t xml:space="preserve">a </w:t>
      </w:r>
      <w:r w:rsidRPr="006C4E2C">
        <w:t>centralised data c</w:t>
      </w:r>
      <w:r>
        <w:t xml:space="preserve">ollection, reporting </w:t>
      </w:r>
      <w:r w:rsidR="00891AEE">
        <w:t xml:space="preserve">and analysis solution’. </w:t>
      </w:r>
      <w:r w:rsidR="00D00211">
        <w:t>While</w:t>
      </w:r>
      <w:r w:rsidR="00891AEE">
        <w:t xml:space="preserve"> O</w:t>
      </w:r>
      <w:r>
        <w:t>ption 5 can be considered in the longer term, as noted above this should be revisited in 2016 and therefore should not form part of the next steps</w:t>
      </w:r>
      <w:r w:rsidR="0039341B">
        <w:t xml:space="preserve"> at this time</w:t>
      </w:r>
      <w:r>
        <w:t xml:space="preserve">. </w:t>
      </w:r>
    </w:p>
    <w:p w:rsidR="00DA2B85" w:rsidRPr="0018343B" w:rsidRDefault="00FE02C8" w:rsidP="0018343B">
      <w:pPr>
        <w:pStyle w:val="BodyText"/>
        <w:spacing w:before="60"/>
        <w:ind w:left="1134"/>
      </w:pPr>
      <w:r>
        <w:t>Once a business case and high level requirements have been developed and approved, it is recommended that DoE seek an expert external provider to begin project implementation. These services are expected to be procured via RFQ or RFT. The high level requirements will form part of the RFQ/RFT.</w:t>
      </w:r>
      <w:r w:rsidR="00DA2B85">
        <w:br w:type="page"/>
      </w:r>
    </w:p>
    <w:p w:rsidR="00DA2B85" w:rsidRDefault="00DA2B85" w:rsidP="00DA2B85">
      <w:pPr>
        <w:pStyle w:val="Heading1"/>
      </w:pPr>
      <w:bookmarkStart w:id="95" w:name="_Toc421181752"/>
      <w:r>
        <w:lastRenderedPageBreak/>
        <w:t>References</w:t>
      </w:r>
      <w:bookmarkEnd w:id="95"/>
    </w:p>
    <w:p w:rsidR="00261FA5" w:rsidRDefault="00350C10" w:rsidP="00261FA5">
      <w:pPr>
        <w:pStyle w:val="Bibliography"/>
        <w:ind w:left="720" w:hanging="720"/>
        <w:rPr>
          <w:noProof/>
          <w:sz w:val="24"/>
          <w:szCs w:val="24"/>
        </w:rPr>
      </w:pPr>
      <w:r>
        <w:fldChar w:fldCharType="begin"/>
      </w:r>
      <w:r w:rsidR="00845709">
        <w:instrText xml:space="preserve"> BIBLIOGRAPHY  \l 3081 </w:instrText>
      </w:r>
      <w:r>
        <w:fldChar w:fldCharType="separate"/>
      </w:r>
      <w:r w:rsidR="00261FA5">
        <w:rPr>
          <w:noProof/>
        </w:rPr>
        <w:t xml:space="preserve">Blue Environment et al. (2014). </w:t>
      </w:r>
      <w:r w:rsidR="00261FA5">
        <w:rPr>
          <w:i/>
          <w:iCs/>
          <w:noProof/>
        </w:rPr>
        <w:t>Improving Australia's reporting on hazardous waste under the Basel Convention.</w:t>
      </w:r>
      <w:r w:rsidR="00261FA5">
        <w:rPr>
          <w:noProof/>
        </w:rPr>
        <w:t xml:space="preserve"> </w:t>
      </w:r>
    </w:p>
    <w:p w:rsidR="00261FA5" w:rsidRDefault="00261FA5" w:rsidP="00261FA5">
      <w:pPr>
        <w:pStyle w:val="Bibliography"/>
        <w:ind w:left="720" w:hanging="720"/>
        <w:rPr>
          <w:noProof/>
        </w:rPr>
      </w:pPr>
      <w:r>
        <w:rPr>
          <w:noProof/>
        </w:rPr>
        <w:t xml:space="preserve">Blue Environment et al. (2014). </w:t>
      </w:r>
      <w:r>
        <w:rPr>
          <w:i/>
          <w:iCs/>
          <w:noProof/>
        </w:rPr>
        <w:t>Reporting hazardous waste under the Basel Convention - guidance to states and territories.</w:t>
      </w:r>
      <w:r>
        <w:rPr>
          <w:noProof/>
        </w:rPr>
        <w:t xml:space="preserve"> </w:t>
      </w:r>
    </w:p>
    <w:p w:rsidR="00261FA5" w:rsidRDefault="00261FA5" w:rsidP="00261FA5">
      <w:pPr>
        <w:pStyle w:val="Bibliography"/>
        <w:ind w:left="720" w:hanging="720"/>
        <w:rPr>
          <w:noProof/>
        </w:rPr>
      </w:pPr>
      <w:r>
        <w:rPr>
          <w:noProof/>
        </w:rPr>
        <w:t xml:space="preserve">KMH Environmental. (2013). </w:t>
      </w:r>
      <w:r>
        <w:rPr>
          <w:i/>
          <w:iCs/>
          <w:noProof/>
        </w:rPr>
        <w:t>Hazardous Waste Data Assessment.</w:t>
      </w:r>
      <w:r>
        <w:rPr>
          <w:noProof/>
        </w:rPr>
        <w:t xml:space="preserve"> </w:t>
      </w:r>
    </w:p>
    <w:p w:rsidR="00261FA5" w:rsidRDefault="00261FA5" w:rsidP="00261FA5">
      <w:pPr>
        <w:pStyle w:val="Bibliography"/>
        <w:ind w:left="720" w:hanging="720"/>
        <w:rPr>
          <w:noProof/>
        </w:rPr>
      </w:pPr>
      <w:r>
        <w:rPr>
          <w:noProof/>
        </w:rPr>
        <w:t xml:space="preserve">National Environment Protection Council. (2014). </w:t>
      </w:r>
      <w:r>
        <w:rPr>
          <w:i/>
          <w:iCs/>
          <w:noProof/>
        </w:rPr>
        <w:t>Annual Report 2012 - 2013.</w:t>
      </w:r>
      <w:r>
        <w:rPr>
          <w:noProof/>
        </w:rPr>
        <w:t xml:space="preserve"> </w:t>
      </w:r>
    </w:p>
    <w:p w:rsidR="00261FA5" w:rsidRDefault="00261FA5" w:rsidP="00261FA5">
      <w:pPr>
        <w:pStyle w:val="Bibliography"/>
        <w:ind w:left="720" w:hanging="720"/>
        <w:rPr>
          <w:noProof/>
        </w:rPr>
      </w:pPr>
      <w:r>
        <w:rPr>
          <w:noProof/>
        </w:rPr>
        <w:t xml:space="preserve">SKM. (2012). </w:t>
      </w:r>
      <w:r>
        <w:rPr>
          <w:i/>
          <w:iCs/>
          <w:noProof/>
        </w:rPr>
        <w:t>Review of Australia's international waste related reporting obligations.</w:t>
      </w:r>
      <w:r>
        <w:rPr>
          <w:noProof/>
        </w:rPr>
        <w:t xml:space="preserve"> </w:t>
      </w:r>
    </w:p>
    <w:p w:rsidR="00DA2B85" w:rsidRPr="00DA2B85" w:rsidRDefault="00350C10" w:rsidP="00261FA5">
      <w:pPr>
        <w:pStyle w:val="ParaIndent"/>
      </w:pPr>
      <w:r>
        <w:fldChar w:fldCharType="end"/>
      </w:r>
    </w:p>
    <w:p w:rsidR="00CD3F54" w:rsidRDefault="00CD3F5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0" w:line="240" w:lineRule="auto"/>
      </w:pPr>
      <w:r>
        <w:br w:type="page"/>
      </w:r>
    </w:p>
    <w:tbl>
      <w:tblPr>
        <w:tblW w:w="9639" w:type="dxa"/>
        <w:tblLayout w:type="fixed"/>
        <w:tblCellMar>
          <w:left w:w="0" w:type="dxa"/>
          <w:right w:w="0" w:type="dxa"/>
        </w:tblCellMar>
        <w:tblLook w:val="01E0"/>
      </w:tblPr>
      <w:tblGrid>
        <w:gridCol w:w="9639"/>
      </w:tblGrid>
      <w:tr w:rsidR="00CD3F54" w:rsidRPr="00CD3F54">
        <w:trPr>
          <w:trHeight w:val="2268"/>
        </w:trPr>
        <w:tc>
          <w:tcPr>
            <w:tcW w:w="9639" w:type="dxa"/>
          </w:tcPr>
          <w:p w:rsidR="00CD3F54" w:rsidRPr="00CD3F54" w:rsidRDefault="00CD3F54" w:rsidP="00CD3F54">
            <w:pPr>
              <w:pStyle w:val="ParaIndent"/>
            </w:pPr>
          </w:p>
        </w:tc>
      </w:tr>
      <w:tr w:rsidR="00CD3F54" w:rsidRPr="00CD3F54">
        <w:tc>
          <w:tcPr>
            <w:tcW w:w="9639" w:type="dxa"/>
          </w:tcPr>
          <w:p w:rsidR="00CD3F54" w:rsidRPr="00CD3F54" w:rsidRDefault="00CD3F54" w:rsidP="00CD3F54">
            <w:pPr>
              <w:pStyle w:val="AppxNo"/>
            </w:pPr>
            <w:bookmarkStart w:id="96" w:name="_Toc421181753"/>
            <w:r w:rsidRPr="00CD3F54">
              <w:t xml:space="preserve">Appendix </w:t>
            </w:r>
            <w:r>
              <w:t>A</w:t>
            </w:r>
            <w:bookmarkEnd w:id="96"/>
          </w:p>
        </w:tc>
      </w:tr>
      <w:tr w:rsidR="00CD3F54" w:rsidRPr="00CD3F54">
        <w:tc>
          <w:tcPr>
            <w:tcW w:w="9639" w:type="dxa"/>
          </w:tcPr>
          <w:p w:rsidR="00CD3F54" w:rsidRPr="00CD3F54" w:rsidRDefault="00350C10" w:rsidP="00CD3F54">
            <w:pPr>
              <w:pStyle w:val="ParaMargin"/>
            </w:pPr>
            <w:r>
              <w:rPr>
                <w:noProof/>
                <w:lang w:val="en-AU"/>
              </w:rPr>
            </w:r>
            <w:r w:rsidRPr="00350C10">
              <w:rPr>
                <w:noProof/>
                <w:lang w:val="en-AU"/>
              </w:rPr>
              <w:pict>
                <v:polyline id="_x0000_s1051"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filled="f" strokecolor="#00519e" strokeweight="1pt">
                  <v:path arrowok="t" o:connecttype="custom" o:connectlocs="0,0;4191000,0;4368800,184150;6083300,184150" o:connectangles="0,0,0,0"/>
                  <w10:wrap type="none"/>
                  <w10:anchorlock/>
                </v:polyline>
              </w:pict>
            </w:r>
          </w:p>
        </w:tc>
      </w:tr>
      <w:tr w:rsidR="00CD3F54" w:rsidRPr="00CD3F54">
        <w:tc>
          <w:tcPr>
            <w:tcW w:w="9639" w:type="dxa"/>
          </w:tcPr>
          <w:p w:rsidR="00CD3F54" w:rsidRPr="00CD3F54" w:rsidRDefault="00CD3F54" w:rsidP="00CD3F54">
            <w:pPr>
              <w:pStyle w:val="AppxName"/>
            </w:pPr>
            <w:bookmarkStart w:id="97" w:name="_Toc421181755"/>
            <w:r>
              <w:t>NEPM Movements</w:t>
            </w:r>
            <w:bookmarkEnd w:id="97"/>
          </w:p>
        </w:tc>
      </w:tr>
    </w:tbl>
    <w:p w:rsidR="00CD3F54" w:rsidRPr="00CD3F54" w:rsidRDefault="00CD3F54" w:rsidP="00CD3F54">
      <w:pPr>
        <w:pStyle w:val="ParaIndent"/>
      </w:pPr>
    </w:p>
    <w:p w:rsidR="00CD3F54" w:rsidRPr="00CD3F54" w:rsidRDefault="00CD3F54" w:rsidP="00CD3F54">
      <w:pPr>
        <w:pStyle w:val="ParaIndent"/>
      </w:pPr>
    </w:p>
    <w:p w:rsidR="00CD3F54" w:rsidRDefault="00CD3F54">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0" w:line="240" w:lineRule="auto"/>
      </w:pPr>
      <w:r>
        <w:br w:type="page"/>
      </w:r>
    </w:p>
    <w:p w:rsidR="007D0A4E" w:rsidRDefault="007D0A4E" w:rsidP="00532509">
      <w:pPr>
        <w:pStyle w:val="ParaIndent"/>
        <w:ind w:left="0"/>
        <w:rPr>
          <w:color w:val="FFFFFF" w:themeColor="background1"/>
        </w:rPr>
        <w:sectPr w:rsidR="007D0A4E" w:rsidSect="00B4070B">
          <w:pgSz w:w="11907" w:h="16840" w:code="9"/>
          <w:pgMar w:top="1134" w:right="1134" w:bottom="1134" w:left="1134" w:header="567" w:footer="567" w:gutter="0"/>
          <w:cols w:space="708"/>
          <w:docGrid w:linePitch="360"/>
        </w:sectPr>
      </w:pPr>
    </w:p>
    <w:p w:rsidR="003F03E5" w:rsidRPr="003F03E5" w:rsidRDefault="00AA19DC" w:rsidP="007F1C64">
      <w:pPr>
        <w:pStyle w:val="HeadingOther"/>
        <w:ind w:left="1134"/>
      </w:pPr>
      <w:r>
        <w:lastRenderedPageBreak/>
        <w:t xml:space="preserve">NEPM Waste Movement </w:t>
      </w:r>
      <w:r w:rsidR="004F748C">
        <w:t>2012</w:t>
      </w:r>
      <w:r w:rsidR="00596D62">
        <w:t>-</w:t>
      </w:r>
      <w:r w:rsidR="004F748C">
        <w:t xml:space="preserve">13 </w:t>
      </w:r>
      <w:r w:rsidR="003F03E5">
        <w:t>–</w:t>
      </w:r>
      <w:r>
        <w:t xml:space="preserve"> Tonnes</w:t>
      </w:r>
    </w:p>
    <w:tbl>
      <w:tblPr>
        <w:tblStyle w:val="HyderTableStyle"/>
        <w:tblW w:w="0" w:type="auto"/>
        <w:tblInd w:w="1495" w:type="dxa"/>
        <w:tblLook w:val="04A0"/>
      </w:tblPr>
      <w:tblGrid>
        <w:gridCol w:w="556"/>
        <w:gridCol w:w="1264"/>
        <w:gridCol w:w="1474"/>
        <w:gridCol w:w="1131"/>
        <w:gridCol w:w="1131"/>
        <w:gridCol w:w="1048"/>
        <w:gridCol w:w="1131"/>
        <w:gridCol w:w="1068"/>
        <w:gridCol w:w="1071"/>
        <w:gridCol w:w="1026"/>
        <w:gridCol w:w="1064"/>
        <w:gridCol w:w="1075"/>
      </w:tblGrid>
      <w:tr w:rsidR="0052384D" w:rsidTr="00C04B22">
        <w:trPr>
          <w:cnfStyle w:val="100000000000"/>
          <w:trHeight w:val="380"/>
        </w:trPr>
        <w:tc>
          <w:tcPr>
            <w:tcW w:w="556" w:type="dxa"/>
            <w:textDirection w:val="btLr"/>
          </w:tcPr>
          <w:p w:rsidR="0052384D" w:rsidRDefault="0052384D" w:rsidP="003F03E5">
            <w:pPr>
              <w:pStyle w:val="TableHeadingWhite"/>
              <w:ind w:left="113" w:right="113"/>
            </w:pPr>
          </w:p>
        </w:tc>
        <w:tc>
          <w:tcPr>
            <w:tcW w:w="12483" w:type="dxa"/>
            <w:gridSpan w:val="11"/>
            <w:tcBorders>
              <w:bottom w:val="single" w:sz="12" w:space="0" w:color="FFFFFF" w:themeColor="background1"/>
            </w:tcBorders>
          </w:tcPr>
          <w:p w:rsidR="0052384D" w:rsidRDefault="0052384D" w:rsidP="00AA19DC">
            <w:pPr>
              <w:pStyle w:val="TableHeadingWhite"/>
            </w:pPr>
            <w:r>
              <w:t xml:space="preserve">                                                                                                                  IMPORT</w:t>
            </w:r>
          </w:p>
        </w:tc>
      </w:tr>
      <w:tr w:rsidR="0052384D" w:rsidTr="00C04B22">
        <w:trPr>
          <w:trHeight w:val="380"/>
        </w:trPr>
        <w:tc>
          <w:tcPr>
            <w:tcW w:w="556" w:type="dxa"/>
            <w:vMerge w:val="restart"/>
            <w:textDirection w:val="btLr"/>
          </w:tcPr>
          <w:p w:rsidR="003F03E5" w:rsidRDefault="003F03E5" w:rsidP="003F03E5">
            <w:pPr>
              <w:pStyle w:val="TableHeadingWhite"/>
              <w:ind w:left="113" w:right="113"/>
            </w:pPr>
            <w:r>
              <w:t xml:space="preserve">                                EXPORT</w:t>
            </w:r>
          </w:p>
        </w:tc>
        <w:tc>
          <w:tcPr>
            <w:tcW w:w="1264" w:type="dxa"/>
            <w:tcBorders>
              <w:bottom w:val="single" w:sz="12" w:space="0" w:color="FFFFFF" w:themeColor="background1"/>
            </w:tcBorders>
          </w:tcPr>
          <w:p w:rsidR="003F03E5" w:rsidRDefault="003F03E5" w:rsidP="00AA19DC">
            <w:pPr>
              <w:pStyle w:val="TableHeadingWhite"/>
            </w:pPr>
          </w:p>
        </w:tc>
        <w:tc>
          <w:tcPr>
            <w:tcW w:w="1474" w:type="dxa"/>
            <w:tcBorders>
              <w:bottom w:val="single" w:sz="12" w:space="0" w:color="FFFFFF" w:themeColor="background1"/>
            </w:tcBorders>
          </w:tcPr>
          <w:p w:rsidR="003F03E5" w:rsidRDefault="003F03E5" w:rsidP="00AA19DC">
            <w:pPr>
              <w:pStyle w:val="TableHeadingWhite"/>
            </w:pPr>
            <w:r>
              <w:t>NSW</w:t>
            </w:r>
          </w:p>
        </w:tc>
        <w:tc>
          <w:tcPr>
            <w:tcW w:w="1131" w:type="dxa"/>
            <w:tcBorders>
              <w:bottom w:val="single" w:sz="12" w:space="0" w:color="FFFFFF" w:themeColor="background1"/>
            </w:tcBorders>
          </w:tcPr>
          <w:p w:rsidR="003F03E5" w:rsidRDefault="003F03E5" w:rsidP="00AA19DC">
            <w:pPr>
              <w:pStyle w:val="TableHeadingWhite"/>
            </w:pPr>
            <w:r>
              <w:t>VIC</w:t>
            </w:r>
          </w:p>
        </w:tc>
        <w:tc>
          <w:tcPr>
            <w:tcW w:w="1131" w:type="dxa"/>
            <w:tcBorders>
              <w:bottom w:val="single" w:sz="12" w:space="0" w:color="FFFFFF" w:themeColor="background1"/>
            </w:tcBorders>
          </w:tcPr>
          <w:p w:rsidR="003F03E5" w:rsidRDefault="003F03E5" w:rsidP="00AA19DC">
            <w:pPr>
              <w:pStyle w:val="TableHeadingWhite"/>
            </w:pPr>
            <w:r>
              <w:t>QLD</w:t>
            </w:r>
          </w:p>
        </w:tc>
        <w:tc>
          <w:tcPr>
            <w:tcW w:w="1048" w:type="dxa"/>
            <w:tcBorders>
              <w:bottom w:val="single" w:sz="12" w:space="0" w:color="FFFFFF" w:themeColor="background1"/>
            </w:tcBorders>
          </w:tcPr>
          <w:p w:rsidR="003F03E5" w:rsidRDefault="003F03E5" w:rsidP="00AA19DC">
            <w:pPr>
              <w:pStyle w:val="TableHeadingWhite"/>
            </w:pPr>
            <w:r>
              <w:t>WA</w:t>
            </w:r>
          </w:p>
        </w:tc>
        <w:tc>
          <w:tcPr>
            <w:tcW w:w="1131" w:type="dxa"/>
            <w:tcBorders>
              <w:bottom w:val="single" w:sz="12" w:space="0" w:color="FFFFFF" w:themeColor="background1"/>
            </w:tcBorders>
          </w:tcPr>
          <w:p w:rsidR="003F03E5" w:rsidRDefault="003F03E5" w:rsidP="00AA19DC">
            <w:pPr>
              <w:pStyle w:val="TableHeadingWhite"/>
            </w:pPr>
            <w:r>
              <w:t>SA</w:t>
            </w:r>
          </w:p>
        </w:tc>
        <w:tc>
          <w:tcPr>
            <w:tcW w:w="1068" w:type="dxa"/>
            <w:tcBorders>
              <w:bottom w:val="single" w:sz="12" w:space="0" w:color="FFFFFF" w:themeColor="background1"/>
            </w:tcBorders>
          </w:tcPr>
          <w:p w:rsidR="003F03E5" w:rsidRDefault="003F03E5" w:rsidP="00AA19DC">
            <w:pPr>
              <w:pStyle w:val="TableHeadingWhite"/>
            </w:pPr>
            <w:r>
              <w:t>TAS</w:t>
            </w:r>
          </w:p>
        </w:tc>
        <w:tc>
          <w:tcPr>
            <w:tcW w:w="1071" w:type="dxa"/>
            <w:tcBorders>
              <w:bottom w:val="single" w:sz="12" w:space="0" w:color="FFFFFF" w:themeColor="background1"/>
            </w:tcBorders>
          </w:tcPr>
          <w:p w:rsidR="003F03E5" w:rsidRDefault="003F03E5" w:rsidP="00AA19DC">
            <w:pPr>
              <w:pStyle w:val="TableHeadingWhite"/>
            </w:pPr>
            <w:r>
              <w:t>ACT</w:t>
            </w:r>
          </w:p>
        </w:tc>
        <w:tc>
          <w:tcPr>
            <w:tcW w:w="1026" w:type="dxa"/>
            <w:tcBorders>
              <w:bottom w:val="single" w:sz="12" w:space="0" w:color="FFFFFF" w:themeColor="background1"/>
            </w:tcBorders>
          </w:tcPr>
          <w:p w:rsidR="003F03E5" w:rsidRDefault="003F03E5" w:rsidP="00AA19DC">
            <w:pPr>
              <w:pStyle w:val="TableHeadingWhite"/>
            </w:pPr>
            <w:r>
              <w:t>NT</w:t>
            </w:r>
          </w:p>
        </w:tc>
        <w:tc>
          <w:tcPr>
            <w:tcW w:w="1064" w:type="dxa"/>
            <w:tcBorders>
              <w:bottom w:val="single" w:sz="12" w:space="0" w:color="FFFFFF" w:themeColor="background1"/>
            </w:tcBorders>
          </w:tcPr>
          <w:p w:rsidR="003F03E5" w:rsidRDefault="003F03E5" w:rsidP="00AA19DC">
            <w:pPr>
              <w:pStyle w:val="TableHeadingWhite"/>
            </w:pPr>
            <w:r>
              <w:t xml:space="preserve">Ex. </w:t>
            </w:r>
            <w:proofErr w:type="spellStart"/>
            <w:r>
              <w:t>Terr</w:t>
            </w:r>
            <w:proofErr w:type="spellEnd"/>
          </w:p>
        </w:tc>
        <w:tc>
          <w:tcPr>
            <w:tcW w:w="1075" w:type="dxa"/>
            <w:tcBorders>
              <w:bottom w:val="single" w:sz="12" w:space="0" w:color="FFFFFF" w:themeColor="background1"/>
            </w:tcBorders>
          </w:tcPr>
          <w:p w:rsidR="003F03E5" w:rsidRDefault="003F03E5" w:rsidP="00AA19DC">
            <w:pPr>
              <w:pStyle w:val="TableHeadingWhite"/>
            </w:pPr>
            <w:r>
              <w:t>SUM</w:t>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NSW</w:t>
            </w:r>
          </w:p>
        </w:tc>
        <w:tc>
          <w:tcPr>
            <w:tcW w:w="1474" w:type="dxa"/>
            <w:shd w:val="clear" w:color="auto" w:fill="000000" w:themeFill="text1"/>
          </w:tcPr>
          <w:p w:rsidR="003F03E5" w:rsidRDefault="003F03E5" w:rsidP="003F03E5">
            <w:pPr>
              <w:pStyle w:val="TableText"/>
            </w:pPr>
          </w:p>
        </w:tc>
        <w:tc>
          <w:tcPr>
            <w:tcW w:w="1131" w:type="dxa"/>
            <w:shd w:val="clear" w:color="000000" w:fill="DDDDDD"/>
          </w:tcPr>
          <w:p w:rsidR="003F03E5" w:rsidRDefault="003F03E5" w:rsidP="003F03E5">
            <w:pPr>
              <w:pStyle w:val="TableText"/>
            </w:pPr>
            <w:r>
              <w:t>28,566</w:t>
            </w:r>
          </w:p>
        </w:tc>
        <w:tc>
          <w:tcPr>
            <w:tcW w:w="1131" w:type="dxa"/>
            <w:shd w:val="clear" w:color="000000" w:fill="DDDDDD"/>
          </w:tcPr>
          <w:p w:rsidR="003F03E5" w:rsidRDefault="003F03E5" w:rsidP="003F03E5">
            <w:pPr>
              <w:pStyle w:val="TableText"/>
            </w:pPr>
            <w:r>
              <w:t>19,780</w:t>
            </w:r>
          </w:p>
        </w:tc>
        <w:tc>
          <w:tcPr>
            <w:tcW w:w="1048"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14,632</w:t>
            </w:r>
          </w:p>
        </w:tc>
        <w:tc>
          <w:tcPr>
            <w:tcW w:w="1068" w:type="dxa"/>
            <w:shd w:val="clear" w:color="000000" w:fill="DDDDDD"/>
          </w:tcPr>
          <w:p w:rsidR="003F03E5" w:rsidRDefault="003F03E5" w:rsidP="003F03E5">
            <w:pPr>
              <w:pStyle w:val="TableText"/>
            </w:pPr>
            <w:r>
              <w:t>0</w:t>
            </w:r>
          </w:p>
        </w:tc>
        <w:tc>
          <w:tcPr>
            <w:tcW w:w="1071" w:type="dxa"/>
            <w:shd w:val="clear" w:color="000000" w:fill="DDDDDD"/>
          </w:tcPr>
          <w:p w:rsidR="003F03E5" w:rsidRDefault="003F03E5" w:rsidP="003F03E5">
            <w:pPr>
              <w:pStyle w:val="TableText"/>
            </w:pPr>
            <w:r>
              <w:t>418</w:t>
            </w:r>
          </w:p>
        </w:tc>
        <w:tc>
          <w:tcPr>
            <w:tcW w:w="1026" w:type="dxa"/>
            <w:shd w:val="clear" w:color="000000" w:fill="DDDDDD"/>
          </w:tcPr>
          <w:p w:rsidR="003F03E5" w:rsidRDefault="003F03E5" w:rsidP="003F03E5">
            <w:pPr>
              <w:pStyle w:val="TableText"/>
            </w:pPr>
            <w:r>
              <w:t>0</w:t>
            </w:r>
          </w:p>
        </w:tc>
        <w:tc>
          <w:tcPr>
            <w:tcW w:w="1064" w:type="dxa"/>
            <w:shd w:val="clear" w:color="000000" w:fill="DDDDDD"/>
          </w:tcPr>
          <w:p w:rsidR="003F03E5" w:rsidRDefault="003F03E5" w:rsidP="003F03E5">
            <w:pPr>
              <w:pStyle w:val="TableText"/>
            </w:pPr>
            <w:r>
              <w:t>0</w:t>
            </w:r>
          </w:p>
        </w:tc>
        <w:tc>
          <w:tcPr>
            <w:tcW w:w="1075" w:type="dxa"/>
            <w:shd w:val="clear" w:color="000000" w:fill="DDDDDD"/>
          </w:tcPr>
          <w:p w:rsidR="003F03E5" w:rsidRDefault="00350C10" w:rsidP="003F03E5">
            <w:pPr>
              <w:pStyle w:val="TableText"/>
            </w:pPr>
            <w:r>
              <w:fldChar w:fldCharType="begin"/>
            </w:r>
            <w:r w:rsidR="003F03E5">
              <w:instrText xml:space="preserve"> =SUM(LEFT) </w:instrText>
            </w:r>
            <w:r>
              <w:fldChar w:fldCharType="separate"/>
            </w:r>
            <w:r w:rsidR="00261FA5">
              <w:rPr>
                <w:noProof/>
              </w:rPr>
              <w:t>63,396</w:t>
            </w:r>
            <w:r>
              <w:fldChar w:fldCharType="end"/>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VIC</w:t>
            </w:r>
          </w:p>
        </w:tc>
        <w:tc>
          <w:tcPr>
            <w:tcW w:w="1474" w:type="dxa"/>
            <w:shd w:val="clear" w:color="000000" w:fill="DDDDDD"/>
          </w:tcPr>
          <w:p w:rsidR="003F03E5" w:rsidRDefault="003F03E5" w:rsidP="003F03E5">
            <w:pPr>
              <w:pStyle w:val="TableText"/>
            </w:pPr>
            <w:r>
              <w:t>31,317</w:t>
            </w:r>
          </w:p>
        </w:tc>
        <w:tc>
          <w:tcPr>
            <w:tcW w:w="1131" w:type="dxa"/>
            <w:shd w:val="clear" w:color="auto" w:fill="000000" w:themeFill="text1"/>
          </w:tcPr>
          <w:p w:rsidR="003F03E5" w:rsidRDefault="003F03E5" w:rsidP="003F03E5">
            <w:pPr>
              <w:pStyle w:val="TableText"/>
            </w:pPr>
          </w:p>
        </w:tc>
        <w:tc>
          <w:tcPr>
            <w:tcW w:w="1131" w:type="dxa"/>
            <w:shd w:val="clear" w:color="000000" w:fill="DDDDDD"/>
          </w:tcPr>
          <w:p w:rsidR="003F03E5" w:rsidRDefault="003F03E5" w:rsidP="003F03E5">
            <w:pPr>
              <w:pStyle w:val="TableText"/>
            </w:pPr>
            <w:r>
              <w:t>2,040</w:t>
            </w:r>
          </w:p>
        </w:tc>
        <w:tc>
          <w:tcPr>
            <w:tcW w:w="1048"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16,089</w:t>
            </w:r>
          </w:p>
        </w:tc>
        <w:tc>
          <w:tcPr>
            <w:tcW w:w="1068" w:type="dxa"/>
            <w:shd w:val="clear" w:color="000000" w:fill="DDDDDD"/>
          </w:tcPr>
          <w:p w:rsidR="003F03E5" w:rsidRDefault="003F03E5" w:rsidP="003F03E5">
            <w:pPr>
              <w:pStyle w:val="TableText"/>
            </w:pPr>
            <w:r>
              <w:t>0</w:t>
            </w:r>
          </w:p>
        </w:tc>
        <w:tc>
          <w:tcPr>
            <w:tcW w:w="1071" w:type="dxa"/>
            <w:shd w:val="clear" w:color="000000" w:fill="DDDDDD"/>
          </w:tcPr>
          <w:p w:rsidR="003F03E5" w:rsidRDefault="003F03E5" w:rsidP="003F03E5">
            <w:pPr>
              <w:pStyle w:val="TableText"/>
            </w:pPr>
            <w:r>
              <w:t>38</w:t>
            </w:r>
          </w:p>
        </w:tc>
        <w:tc>
          <w:tcPr>
            <w:tcW w:w="1026" w:type="dxa"/>
            <w:shd w:val="clear" w:color="000000" w:fill="DDDDDD"/>
          </w:tcPr>
          <w:p w:rsidR="003F03E5" w:rsidRDefault="003F03E5" w:rsidP="003F03E5">
            <w:pPr>
              <w:pStyle w:val="TableText"/>
            </w:pPr>
            <w:r>
              <w:t>0</w:t>
            </w:r>
          </w:p>
        </w:tc>
        <w:tc>
          <w:tcPr>
            <w:tcW w:w="1064" w:type="dxa"/>
            <w:shd w:val="clear" w:color="000000" w:fill="DDDDDD"/>
          </w:tcPr>
          <w:p w:rsidR="003F03E5" w:rsidRDefault="003F03E5" w:rsidP="003F03E5">
            <w:pPr>
              <w:pStyle w:val="TableText"/>
            </w:pPr>
            <w:r>
              <w:t>0</w:t>
            </w:r>
          </w:p>
        </w:tc>
        <w:tc>
          <w:tcPr>
            <w:tcW w:w="1075" w:type="dxa"/>
            <w:shd w:val="clear" w:color="000000" w:fill="DDDDDD"/>
          </w:tcPr>
          <w:p w:rsidR="003F03E5" w:rsidRDefault="00350C10" w:rsidP="003F03E5">
            <w:pPr>
              <w:pStyle w:val="TableText"/>
            </w:pPr>
            <w:r>
              <w:fldChar w:fldCharType="begin"/>
            </w:r>
            <w:r w:rsidR="003F03E5">
              <w:instrText xml:space="preserve"> =SUM(LEFT) </w:instrText>
            </w:r>
            <w:r>
              <w:fldChar w:fldCharType="separate"/>
            </w:r>
            <w:r w:rsidR="00261FA5">
              <w:rPr>
                <w:noProof/>
              </w:rPr>
              <w:t>18,167</w:t>
            </w:r>
            <w:r>
              <w:fldChar w:fldCharType="end"/>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QLD</w:t>
            </w:r>
          </w:p>
        </w:tc>
        <w:tc>
          <w:tcPr>
            <w:tcW w:w="1474" w:type="dxa"/>
            <w:shd w:val="clear" w:color="000000" w:fill="DDDDDD"/>
          </w:tcPr>
          <w:p w:rsidR="003F03E5" w:rsidRDefault="003F03E5" w:rsidP="003F03E5">
            <w:pPr>
              <w:pStyle w:val="TableText"/>
            </w:pPr>
            <w:r>
              <w:t>15,375</w:t>
            </w:r>
          </w:p>
        </w:tc>
        <w:tc>
          <w:tcPr>
            <w:tcW w:w="1131" w:type="dxa"/>
            <w:shd w:val="clear" w:color="000000" w:fill="DDDDDD"/>
          </w:tcPr>
          <w:p w:rsidR="003F03E5" w:rsidRDefault="003F03E5" w:rsidP="003F03E5">
            <w:pPr>
              <w:pStyle w:val="TableText"/>
            </w:pPr>
            <w:r>
              <w:t>3,118</w:t>
            </w:r>
          </w:p>
        </w:tc>
        <w:tc>
          <w:tcPr>
            <w:tcW w:w="1131" w:type="dxa"/>
            <w:shd w:val="clear" w:color="auto" w:fill="000000" w:themeFill="text1"/>
          </w:tcPr>
          <w:p w:rsidR="003F03E5" w:rsidRDefault="003F03E5" w:rsidP="003F03E5">
            <w:pPr>
              <w:pStyle w:val="TableText"/>
            </w:pPr>
          </w:p>
        </w:tc>
        <w:tc>
          <w:tcPr>
            <w:tcW w:w="1048"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1,859</w:t>
            </w:r>
          </w:p>
        </w:tc>
        <w:tc>
          <w:tcPr>
            <w:tcW w:w="1068" w:type="dxa"/>
            <w:shd w:val="clear" w:color="000000" w:fill="DDDDDD"/>
          </w:tcPr>
          <w:p w:rsidR="003F03E5" w:rsidRDefault="003F03E5" w:rsidP="003F03E5">
            <w:pPr>
              <w:pStyle w:val="TableText"/>
            </w:pPr>
            <w:r>
              <w:t>0</w:t>
            </w:r>
          </w:p>
        </w:tc>
        <w:tc>
          <w:tcPr>
            <w:tcW w:w="1071" w:type="dxa"/>
            <w:shd w:val="clear" w:color="000000" w:fill="DDDDDD"/>
          </w:tcPr>
          <w:p w:rsidR="003F03E5" w:rsidRDefault="003F03E5" w:rsidP="003F03E5">
            <w:pPr>
              <w:pStyle w:val="TableText"/>
            </w:pPr>
            <w:r>
              <w:t>132</w:t>
            </w:r>
          </w:p>
        </w:tc>
        <w:tc>
          <w:tcPr>
            <w:tcW w:w="1026" w:type="dxa"/>
            <w:shd w:val="clear" w:color="000000" w:fill="DDDDDD"/>
          </w:tcPr>
          <w:p w:rsidR="003F03E5" w:rsidRDefault="003F03E5" w:rsidP="003F03E5">
            <w:pPr>
              <w:pStyle w:val="TableText"/>
            </w:pPr>
            <w:r>
              <w:t>0</w:t>
            </w:r>
          </w:p>
        </w:tc>
        <w:tc>
          <w:tcPr>
            <w:tcW w:w="1064" w:type="dxa"/>
            <w:shd w:val="clear" w:color="000000" w:fill="DDDDDD"/>
          </w:tcPr>
          <w:p w:rsidR="003F03E5" w:rsidRDefault="003F03E5" w:rsidP="003F03E5">
            <w:pPr>
              <w:pStyle w:val="TableText"/>
            </w:pPr>
            <w:r>
              <w:t>0</w:t>
            </w:r>
          </w:p>
        </w:tc>
        <w:tc>
          <w:tcPr>
            <w:tcW w:w="1075" w:type="dxa"/>
            <w:shd w:val="clear" w:color="000000" w:fill="DDDDDD"/>
          </w:tcPr>
          <w:p w:rsidR="003F03E5" w:rsidRDefault="00350C10" w:rsidP="003F03E5">
            <w:pPr>
              <w:pStyle w:val="TableText"/>
            </w:pPr>
            <w:r>
              <w:fldChar w:fldCharType="begin"/>
            </w:r>
            <w:r w:rsidR="003F03E5">
              <w:instrText xml:space="preserve"> =SUM(LEFT) </w:instrText>
            </w:r>
            <w:r>
              <w:fldChar w:fldCharType="separate"/>
            </w:r>
            <w:r w:rsidR="00261FA5">
              <w:rPr>
                <w:noProof/>
              </w:rPr>
              <w:t>1,991</w:t>
            </w:r>
            <w:r>
              <w:fldChar w:fldCharType="end"/>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WA</w:t>
            </w:r>
          </w:p>
        </w:tc>
        <w:tc>
          <w:tcPr>
            <w:tcW w:w="1474" w:type="dxa"/>
            <w:shd w:val="clear" w:color="000000" w:fill="DDDDDD"/>
          </w:tcPr>
          <w:p w:rsidR="003F03E5" w:rsidRDefault="003F03E5" w:rsidP="003F03E5">
            <w:pPr>
              <w:pStyle w:val="TableText"/>
            </w:pPr>
            <w:r>
              <w:t>5,642</w:t>
            </w:r>
          </w:p>
        </w:tc>
        <w:tc>
          <w:tcPr>
            <w:tcW w:w="1131" w:type="dxa"/>
            <w:shd w:val="clear" w:color="000000" w:fill="DDDDDD"/>
          </w:tcPr>
          <w:p w:rsidR="003F03E5" w:rsidRDefault="003F03E5" w:rsidP="003F03E5">
            <w:pPr>
              <w:pStyle w:val="TableText"/>
            </w:pPr>
            <w:r>
              <w:t>639</w:t>
            </w:r>
          </w:p>
        </w:tc>
        <w:tc>
          <w:tcPr>
            <w:tcW w:w="1131" w:type="dxa"/>
            <w:shd w:val="clear" w:color="000000" w:fill="DDDDDD"/>
          </w:tcPr>
          <w:p w:rsidR="003F03E5" w:rsidRDefault="003F03E5" w:rsidP="003F03E5">
            <w:pPr>
              <w:pStyle w:val="TableText"/>
            </w:pPr>
            <w:r>
              <w:t>21</w:t>
            </w:r>
          </w:p>
        </w:tc>
        <w:tc>
          <w:tcPr>
            <w:tcW w:w="1048" w:type="dxa"/>
            <w:shd w:val="clear" w:color="auto" w:fill="000000" w:themeFill="text1"/>
          </w:tcPr>
          <w:p w:rsidR="003F03E5" w:rsidRDefault="003F03E5" w:rsidP="003F03E5">
            <w:pPr>
              <w:pStyle w:val="TableText"/>
            </w:pPr>
          </w:p>
        </w:tc>
        <w:tc>
          <w:tcPr>
            <w:tcW w:w="1131" w:type="dxa"/>
            <w:shd w:val="clear" w:color="000000" w:fill="DDDDDD"/>
          </w:tcPr>
          <w:p w:rsidR="003F03E5" w:rsidRDefault="003F03E5" w:rsidP="003F03E5">
            <w:pPr>
              <w:pStyle w:val="TableText"/>
            </w:pPr>
            <w:r>
              <w:t>2,393</w:t>
            </w:r>
          </w:p>
        </w:tc>
        <w:tc>
          <w:tcPr>
            <w:tcW w:w="1068" w:type="dxa"/>
            <w:shd w:val="clear" w:color="000000" w:fill="DDDDDD"/>
          </w:tcPr>
          <w:p w:rsidR="003F03E5" w:rsidRDefault="003F03E5" w:rsidP="003F03E5">
            <w:pPr>
              <w:pStyle w:val="TableText"/>
            </w:pPr>
            <w:r>
              <w:t>0</w:t>
            </w:r>
          </w:p>
        </w:tc>
        <w:tc>
          <w:tcPr>
            <w:tcW w:w="1071" w:type="dxa"/>
            <w:shd w:val="clear" w:color="000000" w:fill="DDDDDD"/>
          </w:tcPr>
          <w:p w:rsidR="003F03E5" w:rsidRDefault="003F03E5" w:rsidP="003F03E5">
            <w:pPr>
              <w:pStyle w:val="TableText"/>
            </w:pPr>
            <w:r>
              <w:t>0</w:t>
            </w:r>
          </w:p>
        </w:tc>
        <w:tc>
          <w:tcPr>
            <w:tcW w:w="1026" w:type="dxa"/>
            <w:shd w:val="clear" w:color="000000" w:fill="DDDDDD"/>
          </w:tcPr>
          <w:p w:rsidR="003F03E5" w:rsidRDefault="003F03E5" w:rsidP="003F03E5">
            <w:pPr>
              <w:pStyle w:val="TableText"/>
            </w:pPr>
            <w:r>
              <w:t>0</w:t>
            </w:r>
          </w:p>
        </w:tc>
        <w:tc>
          <w:tcPr>
            <w:tcW w:w="1064" w:type="dxa"/>
            <w:shd w:val="clear" w:color="000000" w:fill="DDDDDD"/>
          </w:tcPr>
          <w:p w:rsidR="003F03E5" w:rsidRDefault="003F03E5" w:rsidP="003F03E5">
            <w:pPr>
              <w:pStyle w:val="TableText"/>
            </w:pPr>
            <w:r>
              <w:t>0</w:t>
            </w:r>
          </w:p>
        </w:tc>
        <w:tc>
          <w:tcPr>
            <w:tcW w:w="1075" w:type="dxa"/>
            <w:shd w:val="clear" w:color="000000" w:fill="DDDDDD"/>
          </w:tcPr>
          <w:p w:rsidR="003F03E5" w:rsidRDefault="00350C10" w:rsidP="003F03E5">
            <w:pPr>
              <w:pStyle w:val="TableText"/>
            </w:pPr>
            <w:r>
              <w:fldChar w:fldCharType="begin"/>
            </w:r>
            <w:r w:rsidR="003F03E5">
              <w:instrText xml:space="preserve"> =SUM(LEFT) </w:instrText>
            </w:r>
            <w:r>
              <w:fldChar w:fldCharType="separate"/>
            </w:r>
            <w:r w:rsidR="00261FA5">
              <w:rPr>
                <w:noProof/>
              </w:rPr>
              <w:t>2,393</w:t>
            </w:r>
            <w:r>
              <w:fldChar w:fldCharType="end"/>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SA</w:t>
            </w:r>
          </w:p>
        </w:tc>
        <w:tc>
          <w:tcPr>
            <w:tcW w:w="1474" w:type="dxa"/>
            <w:shd w:val="clear" w:color="000000" w:fill="DDDDDD"/>
          </w:tcPr>
          <w:p w:rsidR="003F03E5" w:rsidRDefault="003F03E5" w:rsidP="003F03E5">
            <w:pPr>
              <w:pStyle w:val="TableText"/>
            </w:pPr>
            <w:r>
              <w:t>4,027</w:t>
            </w:r>
          </w:p>
        </w:tc>
        <w:tc>
          <w:tcPr>
            <w:tcW w:w="1131" w:type="dxa"/>
            <w:shd w:val="clear" w:color="000000" w:fill="DDDDDD"/>
          </w:tcPr>
          <w:p w:rsidR="003F03E5" w:rsidRDefault="003F03E5" w:rsidP="003F03E5">
            <w:pPr>
              <w:pStyle w:val="TableText"/>
            </w:pPr>
            <w:r>
              <w:t>1,079</w:t>
            </w:r>
          </w:p>
        </w:tc>
        <w:tc>
          <w:tcPr>
            <w:tcW w:w="1131" w:type="dxa"/>
            <w:shd w:val="clear" w:color="000000" w:fill="DDDDDD"/>
          </w:tcPr>
          <w:p w:rsidR="003F03E5" w:rsidRDefault="003F03E5" w:rsidP="003F03E5">
            <w:pPr>
              <w:pStyle w:val="TableText"/>
            </w:pPr>
            <w:r>
              <w:t>156</w:t>
            </w:r>
          </w:p>
        </w:tc>
        <w:tc>
          <w:tcPr>
            <w:tcW w:w="1048" w:type="dxa"/>
            <w:shd w:val="clear" w:color="000000" w:fill="DDDDDD"/>
          </w:tcPr>
          <w:p w:rsidR="003F03E5" w:rsidRDefault="003F03E5" w:rsidP="003F03E5">
            <w:pPr>
              <w:pStyle w:val="TableText"/>
            </w:pPr>
            <w:r>
              <w:t>0</w:t>
            </w:r>
          </w:p>
        </w:tc>
        <w:tc>
          <w:tcPr>
            <w:tcW w:w="1131" w:type="dxa"/>
            <w:shd w:val="clear" w:color="auto" w:fill="000000" w:themeFill="text1"/>
          </w:tcPr>
          <w:p w:rsidR="003F03E5" w:rsidRDefault="003F03E5" w:rsidP="003F03E5">
            <w:pPr>
              <w:pStyle w:val="TableText"/>
            </w:pPr>
          </w:p>
        </w:tc>
        <w:tc>
          <w:tcPr>
            <w:tcW w:w="1068" w:type="dxa"/>
            <w:shd w:val="clear" w:color="000000" w:fill="DDDDDD"/>
          </w:tcPr>
          <w:p w:rsidR="003F03E5" w:rsidRDefault="003F03E5" w:rsidP="003F03E5">
            <w:pPr>
              <w:pStyle w:val="TableText"/>
            </w:pPr>
            <w:r>
              <w:t>10</w:t>
            </w:r>
          </w:p>
        </w:tc>
        <w:tc>
          <w:tcPr>
            <w:tcW w:w="1071" w:type="dxa"/>
            <w:shd w:val="clear" w:color="000000" w:fill="DDDDDD"/>
          </w:tcPr>
          <w:p w:rsidR="003F03E5" w:rsidRDefault="003F03E5" w:rsidP="003F03E5">
            <w:pPr>
              <w:pStyle w:val="TableText"/>
            </w:pPr>
            <w:r>
              <w:t>0</w:t>
            </w:r>
          </w:p>
        </w:tc>
        <w:tc>
          <w:tcPr>
            <w:tcW w:w="1026" w:type="dxa"/>
            <w:shd w:val="clear" w:color="000000" w:fill="DDDDDD"/>
          </w:tcPr>
          <w:p w:rsidR="003F03E5" w:rsidRDefault="003F03E5" w:rsidP="003F03E5">
            <w:pPr>
              <w:pStyle w:val="TableText"/>
            </w:pPr>
            <w:r>
              <w:t>0</w:t>
            </w:r>
          </w:p>
        </w:tc>
        <w:tc>
          <w:tcPr>
            <w:tcW w:w="1064" w:type="dxa"/>
            <w:shd w:val="clear" w:color="000000" w:fill="DDDDDD"/>
          </w:tcPr>
          <w:p w:rsidR="003F03E5" w:rsidRDefault="003F03E5" w:rsidP="003F03E5">
            <w:pPr>
              <w:pStyle w:val="TableText"/>
            </w:pPr>
            <w:r>
              <w:t>0</w:t>
            </w:r>
          </w:p>
        </w:tc>
        <w:tc>
          <w:tcPr>
            <w:tcW w:w="1075" w:type="dxa"/>
            <w:shd w:val="clear" w:color="000000" w:fill="DDDDDD"/>
          </w:tcPr>
          <w:p w:rsidR="003F03E5" w:rsidRDefault="00350C10" w:rsidP="003F03E5">
            <w:pPr>
              <w:pStyle w:val="TableText"/>
            </w:pPr>
            <w:r>
              <w:fldChar w:fldCharType="begin"/>
            </w:r>
            <w:r w:rsidR="003F03E5">
              <w:instrText xml:space="preserve"> =SUM(LEFT) </w:instrText>
            </w:r>
            <w:r>
              <w:fldChar w:fldCharType="separate"/>
            </w:r>
            <w:r w:rsidR="00261FA5">
              <w:rPr>
                <w:noProof/>
              </w:rPr>
              <w:t>10</w:t>
            </w:r>
            <w:r>
              <w:fldChar w:fldCharType="end"/>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TAS</w:t>
            </w:r>
          </w:p>
        </w:tc>
        <w:tc>
          <w:tcPr>
            <w:tcW w:w="1474" w:type="dxa"/>
            <w:shd w:val="clear" w:color="000000" w:fill="DDDDDD"/>
          </w:tcPr>
          <w:p w:rsidR="003F03E5" w:rsidRDefault="003F03E5" w:rsidP="003F03E5">
            <w:pPr>
              <w:pStyle w:val="TableText"/>
            </w:pPr>
            <w:r>
              <w:t>4,219</w:t>
            </w:r>
          </w:p>
        </w:tc>
        <w:tc>
          <w:tcPr>
            <w:tcW w:w="1131" w:type="dxa"/>
            <w:shd w:val="clear" w:color="000000" w:fill="DDDDDD"/>
          </w:tcPr>
          <w:p w:rsidR="003F03E5" w:rsidRDefault="003F03E5" w:rsidP="003F03E5">
            <w:pPr>
              <w:pStyle w:val="TableText"/>
            </w:pPr>
            <w:r>
              <w:t>678</w:t>
            </w:r>
          </w:p>
        </w:tc>
        <w:tc>
          <w:tcPr>
            <w:tcW w:w="1131" w:type="dxa"/>
            <w:shd w:val="clear" w:color="000000" w:fill="DDDDDD"/>
          </w:tcPr>
          <w:p w:rsidR="003F03E5" w:rsidRDefault="003F03E5" w:rsidP="003F03E5">
            <w:pPr>
              <w:pStyle w:val="TableText"/>
            </w:pPr>
            <w:r>
              <w:t>327</w:t>
            </w:r>
          </w:p>
        </w:tc>
        <w:tc>
          <w:tcPr>
            <w:tcW w:w="1048"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6,767</w:t>
            </w:r>
          </w:p>
        </w:tc>
        <w:tc>
          <w:tcPr>
            <w:tcW w:w="1068" w:type="dxa"/>
            <w:shd w:val="clear" w:color="auto" w:fill="000000" w:themeFill="text1"/>
          </w:tcPr>
          <w:p w:rsidR="003F03E5" w:rsidRDefault="003F03E5" w:rsidP="003F03E5">
            <w:pPr>
              <w:pStyle w:val="TableText"/>
            </w:pPr>
          </w:p>
        </w:tc>
        <w:tc>
          <w:tcPr>
            <w:tcW w:w="1071" w:type="dxa"/>
            <w:shd w:val="clear" w:color="000000" w:fill="DDDDDD"/>
          </w:tcPr>
          <w:p w:rsidR="003F03E5" w:rsidRDefault="003F03E5" w:rsidP="003F03E5">
            <w:pPr>
              <w:pStyle w:val="TableText"/>
            </w:pPr>
            <w:r>
              <w:t>0</w:t>
            </w:r>
          </w:p>
        </w:tc>
        <w:tc>
          <w:tcPr>
            <w:tcW w:w="1026" w:type="dxa"/>
            <w:shd w:val="clear" w:color="000000" w:fill="DDDDDD"/>
          </w:tcPr>
          <w:p w:rsidR="003F03E5" w:rsidRDefault="003F03E5" w:rsidP="003F03E5">
            <w:pPr>
              <w:pStyle w:val="TableText"/>
            </w:pPr>
            <w:r>
              <w:t>0</w:t>
            </w:r>
          </w:p>
        </w:tc>
        <w:tc>
          <w:tcPr>
            <w:tcW w:w="1064" w:type="dxa"/>
            <w:shd w:val="clear" w:color="000000" w:fill="DDDDDD"/>
          </w:tcPr>
          <w:p w:rsidR="003F03E5" w:rsidRDefault="003F03E5" w:rsidP="003F03E5">
            <w:pPr>
              <w:pStyle w:val="TableText"/>
            </w:pPr>
            <w:r>
              <w:t>0</w:t>
            </w:r>
          </w:p>
        </w:tc>
        <w:tc>
          <w:tcPr>
            <w:tcW w:w="1075" w:type="dxa"/>
            <w:shd w:val="clear" w:color="000000" w:fill="DDDDDD"/>
          </w:tcPr>
          <w:p w:rsidR="003F03E5" w:rsidRDefault="00350C10" w:rsidP="003F03E5">
            <w:pPr>
              <w:pStyle w:val="TableText"/>
              <w:rPr>
                <w:noProof/>
              </w:rPr>
            </w:pPr>
            <w:r>
              <w:fldChar w:fldCharType="begin"/>
            </w:r>
            <w:r w:rsidR="003F03E5">
              <w:instrText xml:space="preserve"> =SUM(LEFT) </w:instrText>
            </w:r>
            <w:r>
              <w:fldChar w:fldCharType="separate"/>
            </w:r>
            <w:r w:rsidR="00261FA5">
              <w:rPr>
                <w:noProof/>
              </w:rPr>
              <w:t>0</w:t>
            </w:r>
            <w:r>
              <w:fldChar w:fldCharType="end"/>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ACT</w:t>
            </w:r>
          </w:p>
        </w:tc>
        <w:tc>
          <w:tcPr>
            <w:tcW w:w="1474" w:type="dxa"/>
            <w:shd w:val="clear" w:color="000000" w:fill="DDDDDD"/>
          </w:tcPr>
          <w:p w:rsidR="003F03E5" w:rsidRDefault="003F03E5" w:rsidP="003F03E5">
            <w:pPr>
              <w:pStyle w:val="TableText"/>
            </w:pPr>
            <w:r>
              <w:t>12,576</w:t>
            </w:r>
          </w:p>
        </w:tc>
        <w:tc>
          <w:tcPr>
            <w:tcW w:w="1131"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0</w:t>
            </w:r>
          </w:p>
        </w:tc>
        <w:tc>
          <w:tcPr>
            <w:tcW w:w="1048"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31</w:t>
            </w:r>
          </w:p>
        </w:tc>
        <w:tc>
          <w:tcPr>
            <w:tcW w:w="1068" w:type="dxa"/>
            <w:shd w:val="clear" w:color="000000" w:fill="DDDDDD"/>
          </w:tcPr>
          <w:p w:rsidR="003F03E5" w:rsidRDefault="003F03E5" w:rsidP="003F03E5">
            <w:pPr>
              <w:pStyle w:val="TableText"/>
            </w:pPr>
            <w:r>
              <w:t>0</w:t>
            </w:r>
          </w:p>
        </w:tc>
        <w:tc>
          <w:tcPr>
            <w:tcW w:w="1071" w:type="dxa"/>
            <w:shd w:val="clear" w:color="auto" w:fill="000000" w:themeFill="text1"/>
          </w:tcPr>
          <w:p w:rsidR="003F03E5" w:rsidRDefault="003F03E5" w:rsidP="003F03E5">
            <w:pPr>
              <w:pStyle w:val="TableText"/>
            </w:pPr>
          </w:p>
        </w:tc>
        <w:tc>
          <w:tcPr>
            <w:tcW w:w="1026" w:type="dxa"/>
            <w:shd w:val="clear" w:color="000000" w:fill="DDDDDD"/>
          </w:tcPr>
          <w:p w:rsidR="003F03E5" w:rsidRDefault="003F03E5" w:rsidP="003F03E5">
            <w:pPr>
              <w:pStyle w:val="TableText"/>
            </w:pPr>
            <w:r>
              <w:t>0</w:t>
            </w:r>
          </w:p>
        </w:tc>
        <w:tc>
          <w:tcPr>
            <w:tcW w:w="1064" w:type="dxa"/>
            <w:shd w:val="clear" w:color="000000" w:fill="DDDDDD"/>
          </w:tcPr>
          <w:p w:rsidR="003F03E5" w:rsidRDefault="003F03E5" w:rsidP="003F03E5">
            <w:pPr>
              <w:pStyle w:val="TableText"/>
            </w:pPr>
            <w:r>
              <w:t>0</w:t>
            </w:r>
          </w:p>
        </w:tc>
        <w:tc>
          <w:tcPr>
            <w:tcW w:w="1075" w:type="dxa"/>
            <w:shd w:val="clear" w:color="000000" w:fill="DDDDDD"/>
          </w:tcPr>
          <w:p w:rsidR="003F03E5" w:rsidRDefault="00350C10" w:rsidP="003F03E5">
            <w:pPr>
              <w:pStyle w:val="TableText"/>
              <w:rPr>
                <w:noProof/>
              </w:rPr>
            </w:pPr>
            <w:r>
              <w:fldChar w:fldCharType="begin"/>
            </w:r>
            <w:r w:rsidR="003F03E5">
              <w:instrText xml:space="preserve"> =SUM(LEFT) </w:instrText>
            </w:r>
            <w:r>
              <w:fldChar w:fldCharType="separate"/>
            </w:r>
            <w:r w:rsidR="00261FA5">
              <w:rPr>
                <w:noProof/>
              </w:rPr>
              <w:t>0</w:t>
            </w:r>
            <w:r>
              <w:fldChar w:fldCharType="end"/>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NT</w:t>
            </w:r>
          </w:p>
        </w:tc>
        <w:tc>
          <w:tcPr>
            <w:tcW w:w="1474" w:type="dxa"/>
            <w:shd w:val="clear" w:color="000000" w:fill="DDDDDD"/>
          </w:tcPr>
          <w:p w:rsidR="003F03E5" w:rsidRDefault="003F03E5" w:rsidP="003F03E5">
            <w:pPr>
              <w:pStyle w:val="TableText"/>
            </w:pPr>
            <w:r>
              <w:t>170</w:t>
            </w:r>
          </w:p>
        </w:tc>
        <w:tc>
          <w:tcPr>
            <w:tcW w:w="1131" w:type="dxa"/>
            <w:shd w:val="clear" w:color="000000" w:fill="DDDDDD"/>
          </w:tcPr>
          <w:p w:rsidR="003F03E5" w:rsidRDefault="003F03E5" w:rsidP="003F03E5">
            <w:pPr>
              <w:pStyle w:val="TableText"/>
            </w:pPr>
            <w:r>
              <w:t>4</w:t>
            </w:r>
          </w:p>
        </w:tc>
        <w:tc>
          <w:tcPr>
            <w:tcW w:w="1131" w:type="dxa"/>
            <w:shd w:val="clear" w:color="000000" w:fill="DDDDDD"/>
          </w:tcPr>
          <w:p w:rsidR="003F03E5" w:rsidRDefault="003F03E5" w:rsidP="003F03E5">
            <w:pPr>
              <w:pStyle w:val="TableText"/>
            </w:pPr>
            <w:r>
              <w:t>18</w:t>
            </w:r>
          </w:p>
        </w:tc>
        <w:tc>
          <w:tcPr>
            <w:tcW w:w="1048"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2,753</w:t>
            </w:r>
          </w:p>
        </w:tc>
        <w:tc>
          <w:tcPr>
            <w:tcW w:w="1068" w:type="dxa"/>
            <w:shd w:val="clear" w:color="000000" w:fill="DDDDDD"/>
          </w:tcPr>
          <w:p w:rsidR="003F03E5" w:rsidRDefault="003F03E5" w:rsidP="003F03E5">
            <w:pPr>
              <w:pStyle w:val="TableText"/>
            </w:pPr>
            <w:r>
              <w:t>0</w:t>
            </w:r>
          </w:p>
        </w:tc>
        <w:tc>
          <w:tcPr>
            <w:tcW w:w="1071" w:type="dxa"/>
            <w:shd w:val="clear" w:color="000000" w:fill="DDDDDD"/>
          </w:tcPr>
          <w:p w:rsidR="003F03E5" w:rsidRDefault="003F03E5" w:rsidP="003F03E5">
            <w:pPr>
              <w:pStyle w:val="TableText"/>
            </w:pPr>
            <w:r>
              <w:t>0</w:t>
            </w:r>
          </w:p>
        </w:tc>
        <w:tc>
          <w:tcPr>
            <w:tcW w:w="1026" w:type="dxa"/>
            <w:shd w:val="clear" w:color="auto" w:fill="000000" w:themeFill="text1"/>
          </w:tcPr>
          <w:p w:rsidR="003F03E5" w:rsidRDefault="003F03E5" w:rsidP="003F03E5">
            <w:pPr>
              <w:pStyle w:val="TableText"/>
            </w:pPr>
          </w:p>
        </w:tc>
        <w:tc>
          <w:tcPr>
            <w:tcW w:w="1064" w:type="dxa"/>
            <w:shd w:val="clear" w:color="000000" w:fill="DDDDDD"/>
          </w:tcPr>
          <w:p w:rsidR="003F03E5" w:rsidRDefault="003F03E5" w:rsidP="003F03E5">
            <w:pPr>
              <w:pStyle w:val="TableText"/>
            </w:pPr>
            <w:r>
              <w:t>0</w:t>
            </w:r>
          </w:p>
        </w:tc>
        <w:tc>
          <w:tcPr>
            <w:tcW w:w="1075" w:type="dxa"/>
            <w:shd w:val="clear" w:color="000000" w:fill="DDDDDD"/>
          </w:tcPr>
          <w:p w:rsidR="003F03E5" w:rsidRDefault="00350C10" w:rsidP="003F03E5">
            <w:pPr>
              <w:pStyle w:val="TableText"/>
              <w:rPr>
                <w:noProof/>
              </w:rPr>
            </w:pPr>
            <w:r>
              <w:fldChar w:fldCharType="begin"/>
            </w:r>
            <w:r w:rsidR="003F03E5">
              <w:instrText xml:space="preserve"> =SUM(LEFT) </w:instrText>
            </w:r>
            <w:r>
              <w:fldChar w:fldCharType="separate"/>
            </w:r>
            <w:r w:rsidR="00261FA5">
              <w:rPr>
                <w:noProof/>
              </w:rPr>
              <w:t>0</w:t>
            </w:r>
            <w:r>
              <w:fldChar w:fldCharType="end"/>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 xml:space="preserve">Ex. </w:t>
            </w:r>
            <w:proofErr w:type="spellStart"/>
            <w:r>
              <w:t>Terr</w:t>
            </w:r>
            <w:proofErr w:type="spellEnd"/>
          </w:p>
        </w:tc>
        <w:tc>
          <w:tcPr>
            <w:tcW w:w="1474"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5</w:t>
            </w:r>
          </w:p>
        </w:tc>
        <w:tc>
          <w:tcPr>
            <w:tcW w:w="1048" w:type="dxa"/>
            <w:shd w:val="clear" w:color="000000" w:fill="DDDDDD"/>
          </w:tcPr>
          <w:p w:rsidR="003F03E5" w:rsidRDefault="003F03E5" w:rsidP="003F03E5">
            <w:pPr>
              <w:pStyle w:val="TableText"/>
            </w:pPr>
            <w:r>
              <w:t>0</w:t>
            </w:r>
          </w:p>
        </w:tc>
        <w:tc>
          <w:tcPr>
            <w:tcW w:w="1131" w:type="dxa"/>
            <w:shd w:val="clear" w:color="000000" w:fill="DDDDDD"/>
          </w:tcPr>
          <w:p w:rsidR="003F03E5" w:rsidRDefault="003F03E5" w:rsidP="003F03E5">
            <w:pPr>
              <w:pStyle w:val="TableText"/>
            </w:pPr>
            <w:r>
              <w:t>0</w:t>
            </w:r>
          </w:p>
        </w:tc>
        <w:tc>
          <w:tcPr>
            <w:tcW w:w="1068" w:type="dxa"/>
            <w:shd w:val="clear" w:color="000000" w:fill="DDDDDD"/>
          </w:tcPr>
          <w:p w:rsidR="003F03E5" w:rsidRDefault="003F03E5" w:rsidP="003F03E5">
            <w:pPr>
              <w:pStyle w:val="TableText"/>
            </w:pPr>
            <w:r>
              <w:t>243</w:t>
            </w:r>
          </w:p>
        </w:tc>
        <w:tc>
          <w:tcPr>
            <w:tcW w:w="1071" w:type="dxa"/>
            <w:shd w:val="clear" w:color="000000" w:fill="DDDDDD"/>
          </w:tcPr>
          <w:p w:rsidR="003F03E5" w:rsidRDefault="003F03E5" w:rsidP="003F03E5">
            <w:pPr>
              <w:pStyle w:val="TableText"/>
            </w:pPr>
            <w:r>
              <w:t>0</w:t>
            </w:r>
          </w:p>
        </w:tc>
        <w:tc>
          <w:tcPr>
            <w:tcW w:w="1026" w:type="dxa"/>
            <w:shd w:val="clear" w:color="000000" w:fill="DDDDDD"/>
          </w:tcPr>
          <w:p w:rsidR="003F03E5" w:rsidRDefault="003F03E5" w:rsidP="003F03E5">
            <w:pPr>
              <w:pStyle w:val="TableText"/>
            </w:pPr>
            <w:r>
              <w:t>0</w:t>
            </w:r>
          </w:p>
        </w:tc>
        <w:tc>
          <w:tcPr>
            <w:tcW w:w="1064" w:type="dxa"/>
            <w:shd w:val="clear" w:color="auto" w:fill="000000" w:themeFill="text1"/>
          </w:tcPr>
          <w:p w:rsidR="003F03E5" w:rsidRDefault="003F03E5" w:rsidP="003F03E5">
            <w:pPr>
              <w:pStyle w:val="TableText"/>
            </w:pPr>
          </w:p>
        </w:tc>
        <w:tc>
          <w:tcPr>
            <w:tcW w:w="1075" w:type="dxa"/>
            <w:shd w:val="clear" w:color="auto" w:fill="D9D9D9" w:themeFill="background1" w:themeFillShade="D9"/>
          </w:tcPr>
          <w:p w:rsidR="003F03E5" w:rsidRDefault="00350C10" w:rsidP="003F03E5">
            <w:pPr>
              <w:pStyle w:val="TableText"/>
              <w:rPr>
                <w:noProof/>
              </w:rPr>
            </w:pPr>
            <w:r>
              <w:fldChar w:fldCharType="begin"/>
            </w:r>
            <w:r w:rsidR="003F03E5">
              <w:instrText xml:space="preserve"> =SUM(LEFT) </w:instrText>
            </w:r>
            <w:r>
              <w:fldChar w:fldCharType="separate"/>
            </w:r>
            <w:r w:rsidR="00261FA5">
              <w:rPr>
                <w:noProof/>
              </w:rPr>
              <w:t>248</w:t>
            </w:r>
            <w:r>
              <w:fldChar w:fldCharType="end"/>
            </w:r>
          </w:p>
        </w:tc>
      </w:tr>
      <w:tr w:rsidR="003F03E5" w:rsidTr="00C04B22">
        <w:trPr>
          <w:trHeight w:val="380"/>
        </w:trPr>
        <w:tc>
          <w:tcPr>
            <w:tcW w:w="556" w:type="dxa"/>
            <w:vMerge/>
            <w:shd w:val="clear" w:color="auto" w:fill="495F70"/>
          </w:tcPr>
          <w:p w:rsidR="003F03E5" w:rsidRDefault="003F03E5" w:rsidP="003F03E5">
            <w:pPr>
              <w:pStyle w:val="TableHeadingWhite"/>
            </w:pPr>
          </w:p>
        </w:tc>
        <w:tc>
          <w:tcPr>
            <w:tcW w:w="1264" w:type="dxa"/>
            <w:shd w:val="clear" w:color="auto" w:fill="495F70"/>
          </w:tcPr>
          <w:p w:rsidR="003F03E5" w:rsidRDefault="003F03E5" w:rsidP="003F03E5">
            <w:pPr>
              <w:pStyle w:val="TableHeadingWhite"/>
            </w:pPr>
            <w:r>
              <w:t>SUM</w:t>
            </w:r>
          </w:p>
        </w:tc>
        <w:tc>
          <w:tcPr>
            <w:tcW w:w="1474" w:type="dxa"/>
            <w:shd w:val="clear" w:color="000000" w:fill="DDDDDD"/>
          </w:tcPr>
          <w:p w:rsidR="003F03E5" w:rsidRDefault="00350C10" w:rsidP="003F03E5">
            <w:pPr>
              <w:pStyle w:val="TableText"/>
            </w:pPr>
            <w:r>
              <w:fldChar w:fldCharType="begin"/>
            </w:r>
            <w:r w:rsidR="003F03E5">
              <w:instrText xml:space="preserve"> =SUM(ABOVE) </w:instrText>
            </w:r>
            <w:r>
              <w:fldChar w:fldCharType="separate"/>
            </w:r>
            <w:r w:rsidR="00261FA5">
              <w:rPr>
                <w:noProof/>
              </w:rPr>
              <w:t>73,326</w:t>
            </w:r>
            <w:r>
              <w:fldChar w:fldCharType="end"/>
            </w:r>
          </w:p>
        </w:tc>
        <w:tc>
          <w:tcPr>
            <w:tcW w:w="1131" w:type="dxa"/>
            <w:shd w:val="clear" w:color="000000" w:fill="DDDDDD"/>
          </w:tcPr>
          <w:p w:rsidR="003F03E5" w:rsidRDefault="00350C10" w:rsidP="003F03E5">
            <w:pPr>
              <w:pStyle w:val="TableText"/>
            </w:pPr>
            <w:r>
              <w:fldChar w:fldCharType="begin"/>
            </w:r>
            <w:r w:rsidR="003F03E5">
              <w:instrText xml:space="preserve"> =SUM(ABOVE) </w:instrText>
            </w:r>
            <w:r>
              <w:fldChar w:fldCharType="separate"/>
            </w:r>
            <w:r w:rsidR="00261FA5">
              <w:rPr>
                <w:noProof/>
              </w:rPr>
              <w:t>5,518</w:t>
            </w:r>
            <w:r>
              <w:fldChar w:fldCharType="end"/>
            </w:r>
          </w:p>
        </w:tc>
        <w:tc>
          <w:tcPr>
            <w:tcW w:w="1131" w:type="dxa"/>
            <w:shd w:val="clear" w:color="000000" w:fill="DDDDDD"/>
          </w:tcPr>
          <w:p w:rsidR="003F03E5" w:rsidRDefault="00350C10" w:rsidP="003F03E5">
            <w:pPr>
              <w:pStyle w:val="TableText"/>
            </w:pPr>
            <w:r>
              <w:fldChar w:fldCharType="begin"/>
            </w:r>
            <w:r w:rsidR="003F03E5">
              <w:instrText xml:space="preserve"> =SUM(ABOVE) </w:instrText>
            </w:r>
            <w:r>
              <w:fldChar w:fldCharType="separate"/>
            </w:r>
            <w:r w:rsidR="00261FA5">
              <w:rPr>
                <w:noProof/>
              </w:rPr>
              <w:t>527</w:t>
            </w:r>
            <w:r>
              <w:fldChar w:fldCharType="end"/>
            </w:r>
          </w:p>
        </w:tc>
        <w:tc>
          <w:tcPr>
            <w:tcW w:w="1048" w:type="dxa"/>
            <w:shd w:val="clear" w:color="000000" w:fill="DDDDDD"/>
          </w:tcPr>
          <w:p w:rsidR="003F03E5" w:rsidRDefault="00350C10" w:rsidP="003F03E5">
            <w:pPr>
              <w:pStyle w:val="TableText"/>
            </w:pPr>
            <w:r>
              <w:fldChar w:fldCharType="begin"/>
            </w:r>
            <w:r w:rsidR="003F03E5">
              <w:instrText xml:space="preserve"> =SUM(ABOVE) </w:instrText>
            </w:r>
            <w:r>
              <w:fldChar w:fldCharType="separate"/>
            </w:r>
            <w:r w:rsidR="00261FA5">
              <w:rPr>
                <w:noProof/>
              </w:rPr>
              <w:t>0</w:t>
            </w:r>
            <w:r>
              <w:fldChar w:fldCharType="end"/>
            </w:r>
          </w:p>
        </w:tc>
        <w:tc>
          <w:tcPr>
            <w:tcW w:w="1131" w:type="dxa"/>
            <w:shd w:val="clear" w:color="000000" w:fill="DDDDDD"/>
          </w:tcPr>
          <w:p w:rsidR="003F03E5" w:rsidRDefault="00350C10" w:rsidP="003F03E5">
            <w:pPr>
              <w:pStyle w:val="TableText"/>
            </w:pPr>
            <w:r>
              <w:fldChar w:fldCharType="begin"/>
            </w:r>
            <w:r w:rsidR="003F03E5">
              <w:instrText xml:space="preserve"> =SUM(ABOVE) </w:instrText>
            </w:r>
            <w:r>
              <w:fldChar w:fldCharType="separate"/>
            </w:r>
            <w:r w:rsidR="00261FA5">
              <w:rPr>
                <w:noProof/>
              </w:rPr>
              <w:t>9,551</w:t>
            </w:r>
            <w:r>
              <w:fldChar w:fldCharType="end"/>
            </w:r>
          </w:p>
        </w:tc>
        <w:tc>
          <w:tcPr>
            <w:tcW w:w="1068" w:type="dxa"/>
            <w:shd w:val="clear" w:color="000000" w:fill="DDDDDD"/>
          </w:tcPr>
          <w:p w:rsidR="003F03E5" w:rsidRDefault="00350C10" w:rsidP="003F03E5">
            <w:pPr>
              <w:pStyle w:val="TableText"/>
            </w:pPr>
            <w:r>
              <w:fldChar w:fldCharType="begin"/>
            </w:r>
            <w:r w:rsidR="003F03E5">
              <w:instrText xml:space="preserve"> =SUM(ABOVE) </w:instrText>
            </w:r>
            <w:r>
              <w:fldChar w:fldCharType="separate"/>
            </w:r>
            <w:r w:rsidR="00261FA5">
              <w:rPr>
                <w:noProof/>
              </w:rPr>
              <w:t>243</w:t>
            </w:r>
            <w:r>
              <w:fldChar w:fldCharType="end"/>
            </w:r>
          </w:p>
        </w:tc>
        <w:tc>
          <w:tcPr>
            <w:tcW w:w="1071" w:type="dxa"/>
            <w:shd w:val="clear" w:color="000000" w:fill="DDDDDD"/>
          </w:tcPr>
          <w:p w:rsidR="003F03E5" w:rsidRDefault="00350C10" w:rsidP="003F03E5">
            <w:pPr>
              <w:pStyle w:val="TableText"/>
            </w:pPr>
            <w:r>
              <w:fldChar w:fldCharType="begin"/>
            </w:r>
            <w:r w:rsidR="003F03E5">
              <w:instrText xml:space="preserve"> =SUM(ABOVE) </w:instrText>
            </w:r>
            <w:r>
              <w:fldChar w:fldCharType="separate"/>
            </w:r>
            <w:r w:rsidR="00261FA5">
              <w:rPr>
                <w:noProof/>
              </w:rPr>
              <w:t>0</w:t>
            </w:r>
            <w:r>
              <w:fldChar w:fldCharType="end"/>
            </w:r>
          </w:p>
        </w:tc>
        <w:tc>
          <w:tcPr>
            <w:tcW w:w="1026" w:type="dxa"/>
            <w:shd w:val="clear" w:color="000000" w:fill="DDDDDD"/>
          </w:tcPr>
          <w:p w:rsidR="003F03E5" w:rsidRDefault="00350C10" w:rsidP="003F03E5">
            <w:pPr>
              <w:pStyle w:val="TableText"/>
            </w:pPr>
            <w:r>
              <w:fldChar w:fldCharType="begin"/>
            </w:r>
            <w:r w:rsidR="003F03E5">
              <w:instrText xml:space="preserve"> =SUM(ABOVE) </w:instrText>
            </w:r>
            <w:r>
              <w:fldChar w:fldCharType="separate"/>
            </w:r>
            <w:r w:rsidR="00261FA5">
              <w:rPr>
                <w:noProof/>
              </w:rPr>
              <w:t>0</w:t>
            </w:r>
            <w:r>
              <w:fldChar w:fldCharType="end"/>
            </w:r>
          </w:p>
        </w:tc>
        <w:tc>
          <w:tcPr>
            <w:tcW w:w="1064" w:type="dxa"/>
            <w:shd w:val="clear" w:color="auto" w:fill="D9D9D9" w:themeFill="background1" w:themeFillShade="D9"/>
          </w:tcPr>
          <w:p w:rsidR="003F03E5" w:rsidRDefault="00350C10" w:rsidP="003F03E5">
            <w:pPr>
              <w:pStyle w:val="TableText"/>
            </w:pPr>
            <w:r>
              <w:fldChar w:fldCharType="begin"/>
            </w:r>
            <w:r w:rsidR="003F03E5">
              <w:instrText xml:space="preserve"> =SUM(ABOVE) </w:instrText>
            </w:r>
            <w:r>
              <w:fldChar w:fldCharType="separate"/>
            </w:r>
            <w:r w:rsidR="00261FA5">
              <w:rPr>
                <w:noProof/>
              </w:rPr>
              <w:t>0</w:t>
            </w:r>
            <w:r>
              <w:fldChar w:fldCharType="end"/>
            </w:r>
          </w:p>
        </w:tc>
        <w:tc>
          <w:tcPr>
            <w:tcW w:w="1075" w:type="dxa"/>
            <w:shd w:val="clear" w:color="auto" w:fill="000000" w:themeFill="text1"/>
          </w:tcPr>
          <w:p w:rsidR="003F03E5" w:rsidRDefault="003F03E5" w:rsidP="003F03E5">
            <w:pPr>
              <w:pStyle w:val="TableText"/>
            </w:pPr>
          </w:p>
        </w:tc>
      </w:tr>
    </w:tbl>
    <w:p w:rsidR="0026253B" w:rsidRDefault="0026253B">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0" w:line="240" w:lineRule="auto"/>
        <w:rPr>
          <w:color w:val="009EE0"/>
          <w:sz w:val="32"/>
          <w:lang w:val="en-GB"/>
        </w:rPr>
      </w:pPr>
      <w:r>
        <w:br w:type="page"/>
      </w:r>
    </w:p>
    <w:p w:rsidR="00AA19DC" w:rsidRDefault="00AA19DC" w:rsidP="00AA19DC">
      <w:pPr>
        <w:pStyle w:val="HeadingOther"/>
        <w:ind w:left="1134"/>
      </w:pPr>
      <w:r>
        <w:lastRenderedPageBreak/>
        <w:t xml:space="preserve">NEPM Waste Movements </w:t>
      </w:r>
      <w:r w:rsidR="00596D62">
        <w:t>2012-</w:t>
      </w:r>
      <w:r w:rsidR="004F748C">
        <w:t xml:space="preserve">13 </w:t>
      </w:r>
      <w:r>
        <w:t>- Consignments</w:t>
      </w:r>
    </w:p>
    <w:tbl>
      <w:tblPr>
        <w:tblStyle w:val="HyderTableStyle"/>
        <w:tblW w:w="0" w:type="auto"/>
        <w:tblInd w:w="1134" w:type="dxa"/>
        <w:tblLook w:val="04A0"/>
      </w:tblPr>
      <w:tblGrid>
        <w:gridCol w:w="652"/>
        <w:gridCol w:w="1870"/>
        <w:gridCol w:w="1136"/>
        <w:gridCol w:w="1135"/>
        <w:gridCol w:w="1135"/>
        <w:gridCol w:w="1089"/>
        <w:gridCol w:w="1110"/>
        <w:gridCol w:w="1107"/>
        <w:gridCol w:w="1109"/>
        <w:gridCol w:w="1075"/>
        <w:gridCol w:w="1101"/>
        <w:gridCol w:w="1089"/>
      </w:tblGrid>
      <w:tr w:rsidR="0052384D" w:rsidTr="007F1C64">
        <w:trPr>
          <w:cnfStyle w:val="100000000000"/>
          <w:trHeight w:val="330"/>
        </w:trPr>
        <w:tc>
          <w:tcPr>
            <w:tcW w:w="652" w:type="dxa"/>
            <w:shd w:val="clear" w:color="000000" w:fill="495F70"/>
          </w:tcPr>
          <w:p w:rsidR="0052384D" w:rsidRDefault="0052384D" w:rsidP="00AA19DC">
            <w:pPr>
              <w:pStyle w:val="TableHeadingWhite"/>
            </w:pPr>
          </w:p>
        </w:tc>
        <w:tc>
          <w:tcPr>
            <w:tcW w:w="12956" w:type="dxa"/>
            <w:gridSpan w:val="11"/>
            <w:shd w:val="clear" w:color="000000" w:fill="495F70"/>
          </w:tcPr>
          <w:p w:rsidR="0052384D" w:rsidRPr="0052384D" w:rsidRDefault="0052384D" w:rsidP="007F1C64">
            <w:pPr>
              <w:pStyle w:val="ParaIndent"/>
              <w:spacing w:after="0"/>
              <w:ind w:left="0"/>
              <w:rPr>
                <w:b/>
              </w:rPr>
            </w:pPr>
            <w:r>
              <w:rPr>
                <w:b/>
              </w:rPr>
              <w:t xml:space="preserve">                                                                                                                     </w:t>
            </w:r>
            <w:r w:rsidRPr="0052384D">
              <w:rPr>
                <w:b/>
              </w:rPr>
              <w:t>IMPORT</w:t>
            </w:r>
          </w:p>
        </w:tc>
      </w:tr>
      <w:tr w:rsidR="0052384D" w:rsidTr="0052384D">
        <w:tc>
          <w:tcPr>
            <w:tcW w:w="652" w:type="dxa"/>
            <w:vMerge w:val="restart"/>
            <w:shd w:val="clear" w:color="000000" w:fill="495F70"/>
            <w:textDirection w:val="btLr"/>
          </w:tcPr>
          <w:p w:rsidR="0052384D" w:rsidRDefault="0052384D" w:rsidP="007F1C64">
            <w:pPr>
              <w:pStyle w:val="TableHeadingWhite"/>
              <w:spacing w:after="0"/>
              <w:ind w:left="113" w:right="113"/>
            </w:pPr>
            <w:r>
              <w:t xml:space="preserve">                                    EXPORT</w:t>
            </w:r>
          </w:p>
        </w:tc>
        <w:tc>
          <w:tcPr>
            <w:tcW w:w="1870" w:type="dxa"/>
            <w:shd w:val="clear" w:color="000000" w:fill="495F70"/>
          </w:tcPr>
          <w:p w:rsidR="0052384D" w:rsidRPr="0052384D" w:rsidRDefault="0052384D" w:rsidP="00AA19DC">
            <w:pPr>
              <w:pStyle w:val="TableHeadingWhite"/>
            </w:pPr>
          </w:p>
        </w:tc>
        <w:tc>
          <w:tcPr>
            <w:tcW w:w="1136"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NSW</w:t>
            </w:r>
          </w:p>
        </w:tc>
        <w:tc>
          <w:tcPr>
            <w:tcW w:w="1135"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VIC</w:t>
            </w:r>
          </w:p>
        </w:tc>
        <w:tc>
          <w:tcPr>
            <w:tcW w:w="1135"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QLD</w:t>
            </w:r>
          </w:p>
        </w:tc>
        <w:tc>
          <w:tcPr>
            <w:tcW w:w="1089"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WA</w:t>
            </w:r>
          </w:p>
        </w:tc>
        <w:tc>
          <w:tcPr>
            <w:tcW w:w="1110"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SA</w:t>
            </w:r>
          </w:p>
        </w:tc>
        <w:tc>
          <w:tcPr>
            <w:tcW w:w="1107"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TAS</w:t>
            </w:r>
          </w:p>
        </w:tc>
        <w:tc>
          <w:tcPr>
            <w:tcW w:w="1109"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ACT</w:t>
            </w:r>
          </w:p>
        </w:tc>
        <w:tc>
          <w:tcPr>
            <w:tcW w:w="1075"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NT</w:t>
            </w:r>
          </w:p>
        </w:tc>
        <w:tc>
          <w:tcPr>
            <w:tcW w:w="1101"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 xml:space="preserve">Ex. </w:t>
            </w:r>
            <w:proofErr w:type="spellStart"/>
            <w:r w:rsidRPr="0052384D">
              <w:rPr>
                <w:b/>
              </w:rPr>
              <w:t>Terr</w:t>
            </w:r>
            <w:proofErr w:type="spellEnd"/>
          </w:p>
        </w:tc>
        <w:tc>
          <w:tcPr>
            <w:tcW w:w="1089" w:type="dxa"/>
            <w:tcBorders>
              <w:bottom w:val="single" w:sz="12" w:space="0" w:color="FFFFFF" w:themeColor="background1"/>
            </w:tcBorders>
          </w:tcPr>
          <w:p w:rsidR="0052384D" w:rsidRPr="0052384D" w:rsidRDefault="0052384D" w:rsidP="00047D9E">
            <w:pPr>
              <w:pStyle w:val="ParaIndent"/>
              <w:ind w:left="0"/>
              <w:jc w:val="center"/>
              <w:rPr>
                <w:b/>
              </w:rPr>
            </w:pPr>
            <w:r w:rsidRPr="0052384D">
              <w:rPr>
                <w:b/>
              </w:rPr>
              <w:t>SUM</w:t>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NSW</w:t>
            </w:r>
          </w:p>
        </w:tc>
        <w:tc>
          <w:tcPr>
            <w:tcW w:w="1136" w:type="dxa"/>
            <w:shd w:val="clear" w:color="auto" w:fill="000000" w:themeFill="text1"/>
          </w:tcPr>
          <w:p w:rsidR="0052384D" w:rsidRDefault="0052384D" w:rsidP="005D707F">
            <w:pPr>
              <w:pStyle w:val="TableText"/>
            </w:pPr>
          </w:p>
        </w:tc>
        <w:tc>
          <w:tcPr>
            <w:tcW w:w="1135" w:type="dxa"/>
          </w:tcPr>
          <w:p w:rsidR="0052384D" w:rsidRDefault="0052384D" w:rsidP="005D707F">
            <w:pPr>
              <w:pStyle w:val="TableText"/>
            </w:pPr>
            <w:r>
              <w:t>1,756</w:t>
            </w:r>
          </w:p>
        </w:tc>
        <w:tc>
          <w:tcPr>
            <w:tcW w:w="1135" w:type="dxa"/>
          </w:tcPr>
          <w:p w:rsidR="0052384D" w:rsidRDefault="0052384D" w:rsidP="005D707F">
            <w:pPr>
              <w:pStyle w:val="TableText"/>
            </w:pPr>
            <w:r>
              <w:t>3,332</w:t>
            </w:r>
          </w:p>
        </w:tc>
        <w:tc>
          <w:tcPr>
            <w:tcW w:w="1089" w:type="dxa"/>
          </w:tcPr>
          <w:p w:rsidR="0052384D" w:rsidRDefault="0052384D" w:rsidP="005D707F">
            <w:pPr>
              <w:pStyle w:val="TableText"/>
            </w:pPr>
            <w:r>
              <w:t>0</w:t>
            </w:r>
          </w:p>
        </w:tc>
        <w:tc>
          <w:tcPr>
            <w:tcW w:w="1110" w:type="dxa"/>
          </w:tcPr>
          <w:p w:rsidR="0052384D" w:rsidRDefault="0052384D" w:rsidP="005D707F">
            <w:pPr>
              <w:pStyle w:val="TableText"/>
            </w:pPr>
            <w:r>
              <w:t>428</w:t>
            </w:r>
          </w:p>
        </w:tc>
        <w:tc>
          <w:tcPr>
            <w:tcW w:w="1107" w:type="dxa"/>
          </w:tcPr>
          <w:p w:rsidR="0052384D" w:rsidRDefault="0052384D" w:rsidP="005D707F">
            <w:pPr>
              <w:pStyle w:val="TableText"/>
            </w:pPr>
            <w:r>
              <w:t>0</w:t>
            </w:r>
          </w:p>
        </w:tc>
        <w:tc>
          <w:tcPr>
            <w:tcW w:w="1109" w:type="dxa"/>
          </w:tcPr>
          <w:p w:rsidR="0052384D" w:rsidRDefault="0052384D" w:rsidP="005D707F">
            <w:pPr>
              <w:pStyle w:val="TableText"/>
            </w:pPr>
            <w:r>
              <w:t>667</w:t>
            </w:r>
          </w:p>
        </w:tc>
        <w:tc>
          <w:tcPr>
            <w:tcW w:w="1075" w:type="dxa"/>
          </w:tcPr>
          <w:p w:rsidR="0052384D" w:rsidRDefault="0052384D" w:rsidP="005D707F">
            <w:pPr>
              <w:pStyle w:val="TableText"/>
            </w:pPr>
            <w:r>
              <w:t>0</w:t>
            </w:r>
          </w:p>
        </w:tc>
        <w:tc>
          <w:tcPr>
            <w:tcW w:w="1101" w:type="dxa"/>
          </w:tcPr>
          <w:p w:rsidR="0052384D" w:rsidRDefault="0052384D" w:rsidP="005D707F">
            <w:pPr>
              <w:pStyle w:val="TableText"/>
            </w:pPr>
            <w:r>
              <w:t>0</w:t>
            </w:r>
          </w:p>
        </w:tc>
        <w:tc>
          <w:tcPr>
            <w:tcW w:w="1089" w:type="dxa"/>
          </w:tcPr>
          <w:p w:rsidR="0052384D" w:rsidRDefault="00350C10" w:rsidP="005D707F">
            <w:pPr>
              <w:pStyle w:val="TableText"/>
            </w:pPr>
            <w:r>
              <w:fldChar w:fldCharType="begin"/>
            </w:r>
            <w:r w:rsidR="0052384D">
              <w:instrText xml:space="preserve"> =SUM(LEFT) </w:instrText>
            </w:r>
            <w:r>
              <w:fldChar w:fldCharType="separate"/>
            </w:r>
            <w:r w:rsidR="00261FA5">
              <w:rPr>
                <w:noProof/>
              </w:rPr>
              <w:t>6,183</w:t>
            </w:r>
            <w:r>
              <w:fldChar w:fldCharType="end"/>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VIC</w:t>
            </w:r>
          </w:p>
        </w:tc>
        <w:tc>
          <w:tcPr>
            <w:tcW w:w="1136" w:type="dxa"/>
          </w:tcPr>
          <w:p w:rsidR="0052384D" w:rsidRDefault="0052384D" w:rsidP="005D707F">
            <w:pPr>
              <w:pStyle w:val="TableText"/>
            </w:pPr>
            <w:r>
              <w:t>2,064</w:t>
            </w:r>
          </w:p>
        </w:tc>
        <w:tc>
          <w:tcPr>
            <w:tcW w:w="1135" w:type="dxa"/>
            <w:shd w:val="clear" w:color="auto" w:fill="000000" w:themeFill="text1"/>
          </w:tcPr>
          <w:p w:rsidR="0052384D" w:rsidRDefault="0052384D" w:rsidP="005D707F">
            <w:pPr>
              <w:pStyle w:val="TableText"/>
            </w:pPr>
          </w:p>
        </w:tc>
        <w:tc>
          <w:tcPr>
            <w:tcW w:w="1135" w:type="dxa"/>
          </w:tcPr>
          <w:p w:rsidR="0052384D" w:rsidRDefault="0052384D" w:rsidP="005D707F">
            <w:pPr>
              <w:pStyle w:val="TableText"/>
            </w:pPr>
            <w:r>
              <w:t>96</w:t>
            </w:r>
          </w:p>
        </w:tc>
        <w:tc>
          <w:tcPr>
            <w:tcW w:w="1089" w:type="dxa"/>
          </w:tcPr>
          <w:p w:rsidR="0052384D" w:rsidRDefault="0052384D" w:rsidP="005D707F">
            <w:pPr>
              <w:pStyle w:val="TableText"/>
            </w:pPr>
            <w:r>
              <w:t>0</w:t>
            </w:r>
          </w:p>
        </w:tc>
        <w:tc>
          <w:tcPr>
            <w:tcW w:w="1110" w:type="dxa"/>
          </w:tcPr>
          <w:p w:rsidR="0052384D" w:rsidRDefault="0052384D" w:rsidP="005D707F">
            <w:pPr>
              <w:pStyle w:val="TableText"/>
            </w:pPr>
            <w:r>
              <w:t>603</w:t>
            </w:r>
          </w:p>
        </w:tc>
        <w:tc>
          <w:tcPr>
            <w:tcW w:w="1107" w:type="dxa"/>
          </w:tcPr>
          <w:p w:rsidR="0052384D" w:rsidRDefault="0052384D" w:rsidP="005D707F">
            <w:pPr>
              <w:pStyle w:val="TableText"/>
            </w:pPr>
            <w:r>
              <w:t>0</w:t>
            </w:r>
          </w:p>
        </w:tc>
        <w:tc>
          <w:tcPr>
            <w:tcW w:w="1109" w:type="dxa"/>
          </w:tcPr>
          <w:p w:rsidR="0052384D" w:rsidRDefault="0052384D" w:rsidP="005D707F">
            <w:pPr>
              <w:pStyle w:val="TableText"/>
            </w:pPr>
            <w:r>
              <w:t>3</w:t>
            </w:r>
          </w:p>
        </w:tc>
        <w:tc>
          <w:tcPr>
            <w:tcW w:w="1075" w:type="dxa"/>
          </w:tcPr>
          <w:p w:rsidR="0052384D" w:rsidRDefault="0052384D" w:rsidP="005D707F">
            <w:pPr>
              <w:pStyle w:val="TableText"/>
            </w:pPr>
            <w:r>
              <w:t>0</w:t>
            </w:r>
          </w:p>
        </w:tc>
        <w:tc>
          <w:tcPr>
            <w:tcW w:w="1101" w:type="dxa"/>
          </w:tcPr>
          <w:p w:rsidR="0052384D" w:rsidRDefault="0052384D" w:rsidP="005D707F">
            <w:pPr>
              <w:pStyle w:val="TableText"/>
            </w:pPr>
            <w:r>
              <w:t>0</w:t>
            </w:r>
          </w:p>
        </w:tc>
        <w:tc>
          <w:tcPr>
            <w:tcW w:w="1089" w:type="dxa"/>
          </w:tcPr>
          <w:p w:rsidR="0052384D" w:rsidRDefault="00350C10" w:rsidP="005D707F">
            <w:pPr>
              <w:pStyle w:val="TableText"/>
            </w:pPr>
            <w:r>
              <w:fldChar w:fldCharType="begin"/>
            </w:r>
            <w:r w:rsidR="0052384D">
              <w:instrText xml:space="preserve"> =SUM(LEFT) </w:instrText>
            </w:r>
            <w:r>
              <w:fldChar w:fldCharType="separate"/>
            </w:r>
            <w:r w:rsidR="00261FA5">
              <w:rPr>
                <w:noProof/>
              </w:rPr>
              <w:t>702</w:t>
            </w:r>
            <w:r>
              <w:fldChar w:fldCharType="end"/>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QLD</w:t>
            </w:r>
          </w:p>
        </w:tc>
        <w:tc>
          <w:tcPr>
            <w:tcW w:w="1136" w:type="dxa"/>
          </w:tcPr>
          <w:p w:rsidR="0052384D" w:rsidRDefault="0052384D" w:rsidP="005D707F">
            <w:pPr>
              <w:pStyle w:val="TableText"/>
            </w:pPr>
            <w:r>
              <w:t>1,102</w:t>
            </w:r>
          </w:p>
        </w:tc>
        <w:tc>
          <w:tcPr>
            <w:tcW w:w="1135" w:type="dxa"/>
          </w:tcPr>
          <w:p w:rsidR="0052384D" w:rsidRDefault="0052384D" w:rsidP="005D707F">
            <w:pPr>
              <w:pStyle w:val="TableText"/>
            </w:pPr>
            <w:r>
              <w:t>209</w:t>
            </w:r>
          </w:p>
        </w:tc>
        <w:tc>
          <w:tcPr>
            <w:tcW w:w="1135" w:type="dxa"/>
            <w:shd w:val="clear" w:color="auto" w:fill="000000" w:themeFill="text1"/>
          </w:tcPr>
          <w:p w:rsidR="0052384D" w:rsidRDefault="0052384D" w:rsidP="005D707F">
            <w:pPr>
              <w:pStyle w:val="TableText"/>
            </w:pPr>
          </w:p>
        </w:tc>
        <w:tc>
          <w:tcPr>
            <w:tcW w:w="1089" w:type="dxa"/>
          </w:tcPr>
          <w:p w:rsidR="0052384D" w:rsidRDefault="0052384D" w:rsidP="005D707F">
            <w:pPr>
              <w:pStyle w:val="TableText"/>
            </w:pPr>
            <w:r>
              <w:t>0</w:t>
            </w:r>
          </w:p>
        </w:tc>
        <w:tc>
          <w:tcPr>
            <w:tcW w:w="1110" w:type="dxa"/>
          </w:tcPr>
          <w:p w:rsidR="0052384D" w:rsidRDefault="0052384D" w:rsidP="005D707F">
            <w:pPr>
              <w:pStyle w:val="TableText"/>
            </w:pPr>
            <w:r>
              <w:t>99</w:t>
            </w:r>
          </w:p>
        </w:tc>
        <w:tc>
          <w:tcPr>
            <w:tcW w:w="1107" w:type="dxa"/>
          </w:tcPr>
          <w:p w:rsidR="0052384D" w:rsidRDefault="0052384D" w:rsidP="005D707F">
            <w:pPr>
              <w:pStyle w:val="TableText"/>
            </w:pPr>
            <w:r>
              <w:t>0</w:t>
            </w:r>
          </w:p>
        </w:tc>
        <w:tc>
          <w:tcPr>
            <w:tcW w:w="1109" w:type="dxa"/>
          </w:tcPr>
          <w:p w:rsidR="0052384D" w:rsidRDefault="0052384D" w:rsidP="005D707F">
            <w:pPr>
              <w:pStyle w:val="TableText"/>
            </w:pPr>
            <w:r>
              <w:t>9</w:t>
            </w:r>
          </w:p>
        </w:tc>
        <w:tc>
          <w:tcPr>
            <w:tcW w:w="1075" w:type="dxa"/>
          </w:tcPr>
          <w:p w:rsidR="0052384D" w:rsidRDefault="0052384D" w:rsidP="005D707F">
            <w:pPr>
              <w:pStyle w:val="TableText"/>
            </w:pPr>
            <w:r>
              <w:t>0</w:t>
            </w:r>
          </w:p>
        </w:tc>
        <w:tc>
          <w:tcPr>
            <w:tcW w:w="1101" w:type="dxa"/>
          </w:tcPr>
          <w:p w:rsidR="0052384D" w:rsidRDefault="0052384D" w:rsidP="005D707F">
            <w:pPr>
              <w:pStyle w:val="TableText"/>
            </w:pPr>
            <w:r>
              <w:t>0</w:t>
            </w:r>
          </w:p>
        </w:tc>
        <w:tc>
          <w:tcPr>
            <w:tcW w:w="1089" w:type="dxa"/>
          </w:tcPr>
          <w:p w:rsidR="0052384D" w:rsidRDefault="00350C10" w:rsidP="005D707F">
            <w:pPr>
              <w:pStyle w:val="TableText"/>
            </w:pPr>
            <w:r>
              <w:fldChar w:fldCharType="begin"/>
            </w:r>
            <w:r w:rsidR="0052384D">
              <w:instrText xml:space="preserve"> =SUM(LEFT) </w:instrText>
            </w:r>
            <w:r>
              <w:fldChar w:fldCharType="separate"/>
            </w:r>
            <w:r w:rsidR="00261FA5">
              <w:rPr>
                <w:noProof/>
              </w:rPr>
              <w:t>108</w:t>
            </w:r>
            <w:r>
              <w:fldChar w:fldCharType="end"/>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WA</w:t>
            </w:r>
          </w:p>
        </w:tc>
        <w:tc>
          <w:tcPr>
            <w:tcW w:w="1136" w:type="dxa"/>
          </w:tcPr>
          <w:p w:rsidR="0052384D" w:rsidRDefault="0052384D" w:rsidP="005D707F">
            <w:pPr>
              <w:pStyle w:val="TableText"/>
            </w:pPr>
            <w:r>
              <w:t>320</w:t>
            </w:r>
          </w:p>
        </w:tc>
        <w:tc>
          <w:tcPr>
            <w:tcW w:w="1135" w:type="dxa"/>
          </w:tcPr>
          <w:p w:rsidR="0052384D" w:rsidRDefault="0052384D" w:rsidP="005D707F">
            <w:pPr>
              <w:pStyle w:val="TableText"/>
            </w:pPr>
            <w:r>
              <w:t>79</w:t>
            </w:r>
          </w:p>
        </w:tc>
        <w:tc>
          <w:tcPr>
            <w:tcW w:w="1135" w:type="dxa"/>
          </w:tcPr>
          <w:p w:rsidR="0052384D" w:rsidRDefault="0052384D" w:rsidP="005D707F">
            <w:pPr>
              <w:pStyle w:val="TableText"/>
            </w:pPr>
            <w:r>
              <w:t>4</w:t>
            </w:r>
          </w:p>
        </w:tc>
        <w:tc>
          <w:tcPr>
            <w:tcW w:w="1089" w:type="dxa"/>
            <w:shd w:val="clear" w:color="auto" w:fill="000000" w:themeFill="text1"/>
          </w:tcPr>
          <w:p w:rsidR="0052384D" w:rsidRDefault="0052384D" w:rsidP="005D707F">
            <w:pPr>
              <w:pStyle w:val="TableText"/>
            </w:pPr>
          </w:p>
        </w:tc>
        <w:tc>
          <w:tcPr>
            <w:tcW w:w="1110" w:type="dxa"/>
          </w:tcPr>
          <w:p w:rsidR="0052384D" w:rsidRDefault="0052384D" w:rsidP="005D707F">
            <w:pPr>
              <w:pStyle w:val="TableText"/>
            </w:pPr>
            <w:r>
              <w:t>282</w:t>
            </w:r>
          </w:p>
        </w:tc>
        <w:tc>
          <w:tcPr>
            <w:tcW w:w="1107" w:type="dxa"/>
          </w:tcPr>
          <w:p w:rsidR="0052384D" w:rsidRDefault="0052384D" w:rsidP="005D707F">
            <w:pPr>
              <w:pStyle w:val="TableText"/>
            </w:pPr>
            <w:r>
              <w:t>0</w:t>
            </w:r>
          </w:p>
        </w:tc>
        <w:tc>
          <w:tcPr>
            <w:tcW w:w="1109" w:type="dxa"/>
          </w:tcPr>
          <w:p w:rsidR="0052384D" w:rsidRDefault="0052384D" w:rsidP="005D707F">
            <w:pPr>
              <w:pStyle w:val="TableText"/>
            </w:pPr>
            <w:r>
              <w:t>0</w:t>
            </w:r>
          </w:p>
        </w:tc>
        <w:tc>
          <w:tcPr>
            <w:tcW w:w="1075" w:type="dxa"/>
          </w:tcPr>
          <w:p w:rsidR="0052384D" w:rsidRDefault="0052384D" w:rsidP="005D707F">
            <w:pPr>
              <w:pStyle w:val="TableText"/>
            </w:pPr>
            <w:r>
              <w:t>0</w:t>
            </w:r>
          </w:p>
        </w:tc>
        <w:tc>
          <w:tcPr>
            <w:tcW w:w="1101" w:type="dxa"/>
          </w:tcPr>
          <w:p w:rsidR="0052384D" w:rsidRDefault="0052384D" w:rsidP="005D707F">
            <w:pPr>
              <w:pStyle w:val="TableText"/>
            </w:pPr>
            <w:r>
              <w:t>0</w:t>
            </w:r>
          </w:p>
        </w:tc>
        <w:tc>
          <w:tcPr>
            <w:tcW w:w="1089" w:type="dxa"/>
          </w:tcPr>
          <w:p w:rsidR="0052384D" w:rsidRDefault="00350C10" w:rsidP="005D707F">
            <w:pPr>
              <w:pStyle w:val="TableText"/>
            </w:pPr>
            <w:r>
              <w:fldChar w:fldCharType="begin"/>
            </w:r>
            <w:r w:rsidR="0052384D">
              <w:instrText xml:space="preserve"> =SUM(LEFT) </w:instrText>
            </w:r>
            <w:r>
              <w:fldChar w:fldCharType="separate"/>
            </w:r>
            <w:r w:rsidR="00261FA5">
              <w:rPr>
                <w:noProof/>
              </w:rPr>
              <w:t>282</w:t>
            </w:r>
            <w:r>
              <w:fldChar w:fldCharType="end"/>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SA</w:t>
            </w:r>
          </w:p>
        </w:tc>
        <w:tc>
          <w:tcPr>
            <w:tcW w:w="1136" w:type="dxa"/>
          </w:tcPr>
          <w:p w:rsidR="0052384D" w:rsidRDefault="0052384D" w:rsidP="005D707F">
            <w:pPr>
              <w:pStyle w:val="TableText"/>
            </w:pPr>
            <w:r>
              <w:t>199</w:t>
            </w:r>
          </w:p>
        </w:tc>
        <w:tc>
          <w:tcPr>
            <w:tcW w:w="1135" w:type="dxa"/>
          </w:tcPr>
          <w:p w:rsidR="0052384D" w:rsidRDefault="0052384D" w:rsidP="005D707F">
            <w:pPr>
              <w:pStyle w:val="TableText"/>
            </w:pPr>
            <w:r>
              <w:t>308</w:t>
            </w:r>
          </w:p>
        </w:tc>
        <w:tc>
          <w:tcPr>
            <w:tcW w:w="1135" w:type="dxa"/>
          </w:tcPr>
          <w:p w:rsidR="0052384D" w:rsidRDefault="0052384D" w:rsidP="005D707F">
            <w:pPr>
              <w:pStyle w:val="TableText"/>
            </w:pPr>
            <w:r>
              <w:t>26</w:t>
            </w:r>
          </w:p>
        </w:tc>
        <w:tc>
          <w:tcPr>
            <w:tcW w:w="1089" w:type="dxa"/>
          </w:tcPr>
          <w:p w:rsidR="0052384D" w:rsidRDefault="0052384D" w:rsidP="005D707F">
            <w:pPr>
              <w:pStyle w:val="TableText"/>
            </w:pPr>
            <w:r>
              <w:t>0</w:t>
            </w:r>
          </w:p>
        </w:tc>
        <w:tc>
          <w:tcPr>
            <w:tcW w:w="1110" w:type="dxa"/>
            <w:shd w:val="clear" w:color="auto" w:fill="000000" w:themeFill="text1"/>
          </w:tcPr>
          <w:p w:rsidR="0052384D" w:rsidRDefault="0052384D" w:rsidP="005D707F">
            <w:pPr>
              <w:pStyle w:val="TableText"/>
            </w:pPr>
          </w:p>
        </w:tc>
        <w:tc>
          <w:tcPr>
            <w:tcW w:w="1107" w:type="dxa"/>
          </w:tcPr>
          <w:p w:rsidR="0052384D" w:rsidRDefault="0052384D" w:rsidP="005D707F">
            <w:pPr>
              <w:pStyle w:val="TableText"/>
            </w:pPr>
            <w:r>
              <w:t>1</w:t>
            </w:r>
          </w:p>
        </w:tc>
        <w:tc>
          <w:tcPr>
            <w:tcW w:w="1109" w:type="dxa"/>
          </w:tcPr>
          <w:p w:rsidR="0052384D" w:rsidRDefault="0052384D" w:rsidP="005D707F">
            <w:pPr>
              <w:pStyle w:val="TableText"/>
            </w:pPr>
            <w:r>
              <w:t>0</w:t>
            </w:r>
          </w:p>
        </w:tc>
        <w:tc>
          <w:tcPr>
            <w:tcW w:w="1075" w:type="dxa"/>
          </w:tcPr>
          <w:p w:rsidR="0052384D" w:rsidRDefault="0052384D" w:rsidP="005D707F">
            <w:pPr>
              <w:pStyle w:val="TableText"/>
            </w:pPr>
            <w:r>
              <w:t>0</w:t>
            </w:r>
          </w:p>
        </w:tc>
        <w:tc>
          <w:tcPr>
            <w:tcW w:w="1101" w:type="dxa"/>
          </w:tcPr>
          <w:p w:rsidR="0052384D" w:rsidRDefault="0052384D" w:rsidP="005D707F">
            <w:pPr>
              <w:pStyle w:val="TableText"/>
            </w:pPr>
            <w:r>
              <w:t>0</w:t>
            </w:r>
          </w:p>
        </w:tc>
        <w:tc>
          <w:tcPr>
            <w:tcW w:w="1089" w:type="dxa"/>
          </w:tcPr>
          <w:p w:rsidR="0052384D" w:rsidRDefault="00350C10" w:rsidP="005D707F">
            <w:pPr>
              <w:pStyle w:val="TableText"/>
            </w:pPr>
            <w:r>
              <w:fldChar w:fldCharType="begin"/>
            </w:r>
            <w:r w:rsidR="0052384D">
              <w:instrText xml:space="preserve"> =SUM(LEFT) </w:instrText>
            </w:r>
            <w:r>
              <w:fldChar w:fldCharType="separate"/>
            </w:r>
            <w:r w:rsidR="00261FA5">
              <w:rPr>
                <w:noProof/>
              </w:rPr>
              <w:t>1</w:t>
            </w:r>
            <w:r>
              <w:fldChar w:fldCharType="end"/>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TAS</w:t>
            </w:r>
          </w:p>
        </w:tc>
        <w:tc>
          <w:tcPr>
            <w:tcW w:w="1136" w:type="dxa"/>
          </w:tcPr>
          <w:p w:rsidR="0052384D" w:rsidRDefault="0052384D" w:rsidP="005D707F">
            <w:pPr>
              <w:pStyle w:val="TableText"/>
            </w:pPr>
            <w:r>
              <w:t>233</w:t>
            </w:r>
          </w:p>
        </w:tc>
        <w:tc>
          <w:tcPr>
            <w:tcW w:w="1135" w:type="dxa"/>
          </w:tcPr>
          <w:p w:rsidR="0052384D" w:rsidRDefault="0052384D" w:rsidP="005D707F">
            <w:pPr>
              <w:pStyle w:val="TableText"/>
            </w:pPr>
            <w:r>
              <w:t>95</w:t>
            </w:r>
          </w:p>
        </w:tc>
        <w:tc>
          <w:tcPr>
            <w:tcW w:w="1135" w:type="dxa"/>
          </w:tcPr>
          <w:p w:rsidR="0052384D" w:rsidRDefault="0052384D" w:rsidP="005D707F">
            <w:pPr>
              <w:pStyle w:val="TableText"/>
            </w:pPr>
            <w:r>
              <w:t>21</w:t>
            </w:r>
          </w:p>
        </w:tc>
        <w:tc>
          <w:tcPr>
            <w:tcW w:w="1089" w:type="dxa"/>
          </w:tcPr>
          <w:p w:rsidR="0052384D" w:rsidRDefault="0052384D" w:rsidP="005D707F">
            <w:pPr>
              <w:pStyle w:val="TableText"/>
            </w:pPr>
            <w:r>
              <w:t>0</w:t>
            </w:r>
          </w:p>
        </w:tc>
        <w:tc>
          <w:tcPr>
            <w:tcW w:w="1110" w:type="dxa"/>
          </w:tcPr>
          <w:p w:rsidR="0052384D" w:rsidRDefault="0052384D" w:rsidP="005D707F">
            <w:pPr>
              <w:pStyle w:val="TableText"/>
            </w:pPr>
            <w:r>
              <w:t>33</w:t>
            </w:r>
          </w:p>
        </w:tc>
        <w:tc>
          <w:tcPr>
            <w:tcW w:w="1107" w:type="dxa"/>
            <w:shd w:val="clear" w:color="auto" w:fill="000000" w:themeFill="text1"/>
          </w:tcPr>
          <w:p w:rsidR="0052384D" w:rsidRDefault="0052384D" w:rsidP="005D707F">
            <w:pPr>
              <w:pStyle w:val="TableText"/>
            </w:pPr>
          </w:p>
        </w:tc>
        <w:tc>
          <w:tcPr>
            <w:tcW w:w="1109" w:type="dxa"/>
          </w:tcPr>
          <w:p w:rsidR="0052384D" w:rsidRDefault="0052384D" w:rsidP="005D707F">
            <w:pPr>
              <w:pStyle w:val="TableText"/>
            </w:pPr>
            <w:r>
              <w:t>0</w:t>
            </w:r>
          </w:p>
        </w:tc>
        <w:tc>
          <w:tcPr>
            <w:tcW w:w="1075" w:type="dxa"/>
          </w:tcPr>
          <w:p w:rsidR="0052384D" w:rsidRDefault="0052384D" w:rsidP="005D707F">
            <w:pPr>
              <w:pStyle w:val="TableText"/>
            </w:pPr>
            <w:r>
              <w:t>0</w:t>
            </w:r>
          </w:p>
        </w:tc>
        <w:tc>
          <w:tcPr>
            <w:tcW w:w="1101" w:type="dxa"/>
          </w:tcPr>
          <w:p w:rsidR="0052384D" w:rsidRDefault="0052384D" w:rsidP="005D707F">
            <w:pPr>
              <w:pStyle w:val="TableText"/>
            </w:pPr>
            <w:r>
              <w:t>0</w:t>
            </w:r>
          </w:p>
        </w:tc>
        <w:tc>
          <w:tcPr>
            <w:tcW w:w="1089" w:type="dxa"/>
          </w:tcPr>
          <w:p w:rsidR="0052384D" w:rsidRDefault="00350C10" w:rsidP="005D707F">
            <w:pPr>
              <w:pStyle w:val="TableText"/>
            </w:pPr>
            <w:r>
              <w:fldChar w:fldCharType="begin"/>
            </w:r>
            <w:r w:rsidR="0052384D">
              <w:instrText xml:space="preserve"> =SUM(LEFT) </w:instrText>
            </w:r>
            <w:r>
              <w:fldChar w:fldCharType="separate"/>
            </w:r>
            <w:r w:rsidR="00261FA5">
              <w:rPr>
                <w:noProof/>
              </w:rPr>
              <w:t>0</w:t>
            </w:r>
            <w:r>
              <w:fldChar w:fldCharType="end"/>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ACT</w:t>
            </w:r>
          </w:p>
        </w:tc>
        <w:tc>
          <w:tcPr>
            <w:tcW w:w="1136" w:type="dxa"/>
          </w:tcPr>
          <w:p w:rsidR="0052384D" w:rsidRDefault="0052384D" w:rsidP="005D707F">
            <w:pPr>
              <w:pStyle w:val="TableText"/>
            </w:pPr>
            <w:r>
              <w:t>1,980</w:t>
            </w:r>
          </w:p>
        </w:tc>
        <w:tc>
          <w:tcPr>
            <w:tcW w:w="1135" w:type="dxa"/>
          </w:tcPr>
          <w:p w:rsidR="0052384D" w:rsidRDefault="0052384D" w:rsidP="005D707F">
            <w:pPr>
              <w:pStyle w:val="TableText"/>
            </w:pPr>
            <w:r>
              <w:t>0</w:t>
            </w:r>
          </w:p>
        </w:tc>
        <w:tc>
          <w:tcPr>
            <w:tcW w:w="1135" w:type="dxa"/>
          </w:tcPr>
          <w:p w:rsidR="0052384D" w:rsidRDefault="0052384D" w:rsidP="005D707F">
            <w:pPr>
              <w:pStyle w:val="TableText"/>
            </w:pPr>
            <w:r>
              <w:t>0</w:t>
            </w:r>
          </w:p>
        </w:tc>
        <w:tc>
          <w:tcPr>
            <w:tcW w:w="1089" w:type="dxa"/>
          </w:tcPr>
          <w:p w:rsidR="0052384D" w:rsidRDefault="0052384D" w:rsidP="005D707F">
            <w:pPr>
              <w:pStyle w:val="TableText"/>
            </w:pPr>
            <w:r>
              <w:t>0</w:t>
            </w:r>
          </w:p>
        </w:tc>
        <w:tc>
          <w:tcPr>
            <w:tcW w:w="1110" w:type="dxa"/>
          </w:tcPr>
          <w:p w:rsidR="0052384D" w:rsidRDefault="0052384D" w:rsidP="005D707F">
            <w:pPr>
              <w:pStyle w:val="TableText"/>
            </w:pPr>
            <w:r>
              <w:t>1</w:t>
            </w:r>
          </w:p>
        </w:tc>
        <w:tc>
          <w:tcPr>
            <w:tcW w:w="1107" w:type="dxa"/>
          </w:tcPr>
          <w:p w:rsidR="0052384D" w:rsidRDefault="0052384D" w:rsidP="005D707F">
            <w:pPr>
              <w:pStyle w:val="TableText"/>
            </w:pPr>
            <w:r>
              <w:t>0</w:t>
            </w:r>
          </w:p>
        </w:tc>
        <w:tc>
          <w:tcPr>
            <w:tcW w:w="1109" w:type="dxa"/>
            <w:shd w:val="clear" w:color="auto" w:fill="000000" w:themeFill="text1"/>
          </w:tcPr>
          <w:p w:rsidR="0052384D" w:rsidRDefault="0052384D" w:rsidP="005D707F">
            <w:pPr>
              <w:pStyle w:val="TableText"/>
            </w:pPr>
          </w:p>
        </w:tc>
        <w:tc>
          <w:tcPr>
            <w:tcW w:w="1075" w:type="dxa"/>
          </w:tcPr>
          <w:p w:rsidR="0052384D" w:rsidRDefault="0052384D" w:rsidP="005D707F">
            <w:pPr>
              <w:pStyle w:val="TableText"/>
            </w:pPr>
            <w:r>
              <w:t>0</w:t>
            </w:r>
          </w:p>
        </w:tc>
        <w:tc>
          <w:tcPr>
            <w:tcW w:w="1101" w:type="dxa"/>
          </w:tcPr>
          <w:p w:rsidR="0052384D" w:rsidRDefault="0052384D" w:rsidP="005D707F">
            <w:pPr>
              <w:pStyle w:val="TableText"/>
            </w:pPr>
            <w:r>
              <w:t>0</w:t>
            </w:r>
          </w:p>
        </w:tc>
        <w:tc>
          <w:tcPr>
            <w:tcW w:w="1089" w:type="dxa"/>
          </w:tcPr>
          <w:p w:rsidR="0052384D" w:rsidRDefault="00350C10" w:rsidP="005D707F">
            <w:pPr>
              <w:pStyle w:val="TableText"/>
            </w:pPr>
            <w:r>
              <w:fldChar w:fldCharType="begin"/>
            </w:r>
            <w:r w:rsidR="0052384D">
              <w:instrText xml:space="preserve"> =SUM(LEFT) </w:instrText>
            </w:r>
            <w:r>
              <w:fldChar w:fldCharType="separate"/>
            </w:r>
            <w:r w:rsidR="00261FA5">
              <w:rPr>
                <w:noProof/>
              </w:rPr>
              <w:t>0</w:t>
            </w:r>
            <w:r>
              <w:fldChar w:fldCharType="end"/>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NT</w:t>
            </w:r>
          </w:p>
        </w:tc>
        <w:tc>
          <w:tcPr>
            <w:tcW w:w="1136" w:type="dxa"/>
          </w:tcPr>
          <w:p w:rsidR="0052384D" w:rsidRDefault="0052384D" w:rsidP="005D707F">
            <w:pPr>
              <w:pStyle w:val="TableText"/>
            </w:pPr>
            <w:r>
              <w:t>9</w:t>
            </w:r>
          </w:p>
        </w:tc>
        <w:tc>
          <w:tcPr>
            <w:tcW w:w="1135" w:type="dxa"/>
          </w:tcPr>
          <w:p w:rsidR="0052384D" w:rsidRDefault="0052384D" w:rsidP="005D707F">
            <w:pPr>
              <w:pStyle w:val="TableText"/>
            </w:pPr>
            <w:r>
              <w:t>1</w:t>
            </w:r>
          </w:p>
        </w:tc>
        <w:tc>
          <w:tcPr>
            <w:tcW w:w="1135" w:type="dxa"/>
          </w:tcPr>
          <w:p w:rsidR="0052384D" w:rsidRDefault="0052384D" w:rsidP="005D707F">
            <w:pPr>
              <w:pStyle w:val="TableText"/>
            </w:pPr>
            <w:r>
              <w:t>5</w:t>
            </w:r>
          </w:p>
        </w:tc>
        <w:tc>
          <w:tcPr>
            <w:tcW w:w="1089" w:type="dxa"/>
          </w:tcPr>
          <w:p w:rsidR="0052384D" w:rsidRDefault="0052384D" w:rsidP="005D707F">
            <w:pPr>
              <w:pStyle w:val="TableText"/>
            </w:pPr>
            <w:r>
              <w:t>0</w:t>
            </w:r>
          </w:p>
        </w:tc>
        <w:tc>
          <w:tcPr>
            <w:tcW w:w="1110" w:type="dxa"/>
          </w:tcPr>
          <w:p w:rsidR="0052384D" w:rsidRDefault="0052384D" w:rsidP="005D707F">
            <w:pPr>
              <w:pStyle w:val="TableText"/>
            </w:pPr>
            <w:r>
              <w:t>296</w:t>
            </w:r>
          </w:p>
        </w:tc>
        <w:tc>
          <w:tcPr>
            <w:tcW w:w="1107" w:type="dxa"/>
          </w:tcPr>
          <w:p w:rsidR="0052384D" w:rsidRDefault="0052384D" w:rsidP="005D707F">
            <w:pPr>
              <w:pStyle w:val="TableText"/>
            </w:pPr>
            <w:r>
              <w:t>0</w:t>
            </w:r>
          </w:p>
        </w:tc>
        <w:tc>
          <w:tcPr>
            <w:tcW w:w="1109" w:type="dxa"/>
          </w:tcPr>
          <w:p w:rsidR="0052384D" w:rsidRDefault="0052384D" w:rsidP="005D707F">
            <w:pPr>
              <w:pStyle w:val="TableText"/>
            </w:pPr>
            <w:r>
              <w:t>0</w:t>
            </w:r>
          </w:p>
        </w:tc>
        <w:tc>
          <w:tcPr>
            <w:tcW w:w="1075" w:type="dxa"/>
            <w:shd w:val="clear" w:color="auto" w:fill="000000" w:themeFill="text1"/>
          </w:tcPr>
          <w:p w:rsidR="0052384D" w:rsidRDefault="0052384D" w:rsidP="005D707F">
            <w:pPr>
              <w:pStyle w:val="TableText"/>
            </w:pPr>
          </w:p>
        </w:tc>
        <w:tc>
          <w:tcPr>
            <w:tcW w:w="1101" w:type="dxa"/>
          </w:tcPr>
          <w:p w:rsidR="0052384D" w:rsidRDefault="0052384D" w:rsidP="005D707F">
            <w:pPr>
              <w:pStyle w:val="TableText"/>
            </w:pPr>
            <w:r>
              <w:t>0</w:t>
            </w:r>
          </w:p>
        </w:tc>
        <w:tc>
          <w:tcPr>
            <w:tcW w:w="1089" w:type="dxa"/>
          </w:tcPr>
          <w:p w:rsidR="0052384D" w:rsidRDefault="00350C10" w:rsidP="005D707F">
            <w:pPr>
              <w:pStyle w:val="TableText"/>
            </w:pPr>
            <w:r>
              <w:fldChar w:fldCharType="begin"/>
            </w:r>
            <w:r w:rsidR="0052384D">
              <w:instrText xml:space="preserve"> =SUM(LEFT) </w:instrText>
            </w:r>
            <w:r>
              <w:fldChar w:fldCharType="separate"/>
            </w:r>
            <w:r w:rsidR="00261FA5">
              <w:rPr>
                <w:noProof/>
              </w:rPr>
              <w:t>0</w:t>
            </w:r>
            <w:r>
              <w:fldChar w:fldCharType="end"/>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 xml:space="preserve">Ex. </w:t>
            </w:r>
            <w:proofErr w:type="spellStart"/>
            <w:r>
              <w:t>Terr</w:t>
            </w:r>
            <w:proofErr w:type="spellEnd"/>
          </w:p>
        </w:tc>
        <w:tc>
          <w:tcPr>
            <w:tcW w:w="1136" w:type="dxa"/>
          </w:tcPr>
          <w:p w:rsidR="0052384D" w:rsidRDefault="0052384D" w:rsidP="005D707F">
            <w:pPr>
              <w:pStyle w:val="TableText"/>
            </w:pPr>
            <w:r>
              <w:t>0</w:t>
            </w:r>
          </w:p>
        </w:tc>
        <w:tc>
          <w:tcPr>
            <w:tcW w:w="1135" w:type="dxa"/>
          </w:tcPr>
          <w:p w:rsidR="0052384D" w:rsidRDefault="0052384D" w:rsidP="005D707F">
            <w:pPr>
              <w:pStyle w:val="TableText"/>
            </w:pPr>
            <w:r>
              <w:t>0</w:t>
            </w:r>
          </w:p>
        </w:tc>
        <w:tc>
          <w:tcPr>
            <w:tcW w:w="1135" w:type="dxa"/>
          </w:tcPr>
          <w:p w:rsidR="0052384D" w:rsidRDefault="0052384D" w:rsidP="005D707F">
            <w:pPr>
              <w:pStyle w:val="TableText"/>
            </w:pPr>
            <w:r>
              <w:t>1</w:t>
            </w:r>
          </w:p>
        </w:tc>
        <w:tc>
          <w:tcPr>
            <w:tcW w:w="1089" w:type="dxa"/>
          </w:tcPr>
          <w:p w:rsidR="0052384D" w:rsidRDefault="0052384D" w:rsidP="005D707F">
            <w:pPr>
              <w:pStyle w:val="TableText"/>
            </w:pPr>
            <w:r>
              <w:t>0</w:t>
            </w:r>
          </w:p>
        </w:tc>
        <w:tc>
          <w:tcPr>
            <w:tcW w:w="1110" w:type="dxa"/>
          </w:tcPr>
          <w:p w:rsidR="0052384D" w:rsidRDefault="0052384D" w:rsidP="005D707F">
            <w:pPr>
              <w:pStyle w:val="TableText"/>
            </w:pPr>
            <w:r>
              <w:t>0</w:t>
            </w:r>
          </w:p>
        </w:tc>
        <w:tc>
          <w:tcPr>
            <w:tcW w:w="1107" w:type="dxa"/>
          </w:tcPr>
          <w:p w:rsidR="0052384D" w:rsidRDefault="0052384D" w:rsidP="005D707F">
            <w:pPr>
              <w:pStyle w:val="TableText"/>
            </w:pPr>
            <w:r>
              <w:t>23</w:t>
            </w:r>
          </w:p>
        </w:tc>
        <w:tc>
          <w:tcPr>
            <w:tcW w:w="1109" w:type="dxa"/>
          </w:tcPr>
          <w:p w:rsidR="0052384D" w:rsidRDefault="0052384D" w:rsidP="005D707F">
            <w:pPr>
              <w:pStyle w:val="TableText"/>
            </w:pPr>
            <w:r>
              <w:t>0</w:t>
            </w:r>
          </w:p>
        </w:tc>
        <w:tc>
          <w:tcPr>
            <w:tcW w:w="1075" w:type="dxa"/>
          </w:tcPr>
          <w:p w:rsidR="0052384D" w:rsidRDefault="0052384D" w:rsidP="005D707F">
            <w:pPr>
              <w:pStyle w:val="TableText"/>
            </w:pPr>
            <w:r>
              <w:t>0</w:t>
            </w:r>
          </w:p>
        </w:tc>
        <w:tc>
          <w:tcPr>
            <w:tcW w:w="1101" w:type="dxa"/>
            <w:shd w:val="clear" w:color="auto" w:fill="000000" w:themeFill="text1"/>
          </w:tcPr>
          <w:p w:rsidR="0052384D" w:rsidRDefault="0052384D" w:rsidP="005D707F">
            <w:pPr>
              <w:pStyle w:val="TableText"/>
            </w:pPr>
          </w:p>
        </w:tc>
        <w:tc>
          <w:tcPr>
            <w:tcW w:w="1089" w:type="dxa"/>
            <w:shd w:val="clear" w:color="auto" w:fill="D9D9D9" w:themeFill="background1" w:themeFillShade="D9"/>
          </w:tcPr>
          <w:p w:rsidR="0052384D" w:rsidRDefault="00350C10" w:rsidP="005D707F">
            <w:pPr>
              <w:pStyle w:val="TableText"/>
            </w:pPr>
            <w:r>
              <w:fldChar w:fldCharType="begin"/>
            </w:r>
            <w:r w:rsidR="0052384D">
              <w:instrText xml:space="preserve"> =SUM(LEFT) </w:instrText>
            </w:r>
            <w:r>
              <w:fldChar w:fldCharType="separate"/>
            </w:r>
            <w:r w:rsidR="00261FA5">
              <w:rPr>
                <w:noProof/>
              </w:rPr>
              <w:t>24</w:t>
            </w:r>
            <w:r>
              <w:fldChar w:fldCharType="end"/>
            </w:r>
          </w:p>
        </w:tc>
      </w:tr>
      <w:tr w:rsidR="0052384D" w:rsidTr="0052384D">
        <w:tc>
          <w:tcPr>
            <w:tcW w:w="652" w:type="dxa"/>
            <w:vMerge/>
            <w:shd w:val="clear" w:color="000000" w:fill="495F70"/>
          </w:tcPr>
          <w:p w:rsidR="0052384D" w:rsidRDefault="0052384D" w:rsidP="005D707F">
            <w:pPr>
              <w:pStyle w:val="TableHeadingWhite"/>
            </w:pPr>
          </w:p>
        </w:tc>
        <w:tc>
          <w:tcPr>
            <w:tcW w:w="1870" w:type="dxa"/>
            <w:shd w:val="clear" w:color="000000" w:fill="495F70"/>
          </w:tcPr>
          <w:p w:rsidR="0052384D" w:rsidRDefault="0052384D" w:rsidP="005D707F">
            <w:pPr>
              <w:pStyle w:val="TableHeadingWhite"/>
            </w:pPr>
            <w:r>
              <w:t>SUM</w:t>
            </w:r>
          </w:p>
        </w:tc>
        <w:tc>
          <w:tcPr>
            <w:tcW w:w="1136" w:type="dxa"/>
          </w:tcPr>
          <w:p w:rsidR="0052384D" w:rsidRDefault="00350C10" w:rsidP="005D707F">
            <w:pPr>
              <w:pStyle w:val="TableText"/>
            </w:pPr>
            <w:r>
              <w:fldChar w:fldCharType="begin"/>
            </w:r>
            <w:r w:rsidR="0052384D">
              <w:instrText xml:space="preserve"> =SUM(ABOVE) </w:instrText>
            </w:r>
            <w:r>
              <w:fldChar w:fldCharType="separate"/>
            </w:r>
            <w:r w:rsidR="00261FA5">
              <w:rPr>
                <w:noProof/>
              </w:rPr>
              <w:t>5,907</w:t>
            </w:r>
            <w:r>
              <w:fldChar w:fldCharType="end"/>
            </w:r>
          </w:p>
        </w:tc>
        <w:tc>
          <w:tcPr>
            <w:tcW w:w="1135" w:type="dxa"/>
          </w:tcPr>
          <w:p w:rsidR="0052384D" w:rsidRDefault="00350C10" w:rsidP="005D707F">
            <w:pPr>
              <w:pStyle w:val="TableText"/>
            </w:pPr>
            <w:r>
              <w:fldChar w:fldCharType="begin"/>
            </w:r>
            <w:r w:rsidR="0052384D">
              <w:instrText xml:space="preserve"> =SUM(ABOVE) </w:instrText>
            </w:r>
            <w:r>
              <w:fldChar w:fldCharType="separate"/>
            </w:r>
            <w:r w:rsidR="00261FA5">
              <w:rPr>
                <w:noProof/>
              </w:rPr>
              <w:t>692</w:t>
            </w:r>
            <w:r>
              <w:fldChar w:fldCharType="end"/>
            </w:r>
          </w:p>
        </w:tc>
        <w:tc>
          <w:tcPr>
            <w:tcW w:w="1135" w:type="dxa"/>
          </w:tcPr>
          <w:p w:rsidR="0052384D" w:rsidRDefault="00350C10" w:rsidP="005D707F">
            <w:pPr>
              <w:pStyle w:val="TableText"/>
            </w:pPr>
            <w:r>
              <w:fldChar w:fldCharType="begin"/>
            </w:r>
            <w:r w:rsidR="0052384D">
              <w:instrText xml:space="preserve"> =SUM(ABOVE) </w:instrText>
            </w:r>
            <w:r>
              <w:fldChar w:fldCharType="separate"/>
            </w:r>
            <w:r w:rsidR="00261FA5">
              <w:rPr>
                <w:noProof/>
              </w:rPr>
              <w:t>57</w:t>
            </w:r>
            <w:r>
              <w:fldChar w:fldCharType="end"/>
            </w:r>
          </w:p>
        </w:tc>
        <w:tc>
          <w:tcPr>
            <w:tcW w:w="1089" w:type="dxa"/>
          </w:tcPr>
          <w:p w:rsidR="0052384D" w:rsidRDefault="00350C10" w:rsidP="005D707F">
            <w:pPr>
              <w:pStyle w:val="TableText"/>
            </w:pPr>
            <w:r>
              <w:fldChar w:fldCharType="begin"/>
            </w:r>
            <w:r w:rsidR="0052384D">
              <w:instrText xml:space="preserve"> =SUM(ABOVE) </w:instrText>
            </w:r>
            <w:r>
              <w:fldChar w:fldCharType="separate"/>
            </w:r>
            <w:r w:rsidR="00261FA5">
              <w:rPr>
                <w:noProof/>
              </w:rPr>
              <w:t>0</w:t>
            </w:r>
            <w:r>
              <w:fldChar w:fldCharType="end"/>
            </w:r>
          </w:p>
        </w:tc>
        <w:tc>
          <w:tcPr>
            <w:tcW w:w="1110" w:type="dxa"/>
          </w:tcPr>
          <w:p w:rsidR="0052384D" w:rsidRDefault="00350C10" w:rsidP="005D707F">
            <w:pPr>
              <w:pStyle w:val="TableText"/>
            </w:pPr>
            <w:r>
              <w:fldChar w:fldCharType="begin"/>
            </w:r>
            <w:r w:rsidR="0052384D">
              <w:instrText xml:space="preserve"> =SUM(ABOVE) </w:instrText>
            </w:r>
            <w:r>
              <w:fldChar w:fldCharType="separate"/>
            </w:r>
            <w:r w:rsidR="00261FA5">
              <w:rPr>
                <w:noProof/>
              </w:rPr>
              <w:t>330</w:t>
            </w:r>
            <w:r>
              <w:fldChar w:fldCharType="end"/>
            </w:r>
          </w:p>
        </w:tc>
        <w:tc>
          <w:tcPr>
            <w:tcW w:w="1107" w:type="dxa"/>
          </w:tcPr>
          <w:p w:rsidR="0052384D" w:rsidRDefault="00350C10" w:rsidP="005D707F">
            <w:pPr>
              <w:pStyle w:val="TableText"/>
            </w:pPr>
            <w:r>
              <w:fldChar w:fldCharType="begin"/>
            </w:r>
            <w:r w:rsidR="0052384D">
              <w:instrText xml:space="preserve"> =SUM(ABOVE) </w:instrText>
            </w:r>
            <w:r>
              <w:fldChar w:fldCharType="separate"/>
            </w:r>
            <w:r w:rsidR="00261FA5">
              <w:rPr>
                <w:noProof/>
              </w:rPr>
              <w:t>23</w:t>
            </w:r>
            <w:r>
              <w:fldChar w:fldCharType="end"/>
            </w:r>
          </w:p>
        </w:tc>
        <w:tc>
          <w:tcPr>
            <w:tcW w:w="1109" w:type="dxa"/>
          </w:tcPr>
          <w:p w:rsidR="0052384D" w:rsidRDefault="00350C10" w:rsidP="005D707F">
            <w:pPr>
              <w:pStyle w:val="TableText"/>
            </w:pPr>
            <w:r>
              <w:fldChar w:fldCharType="begin"/>
            </w:r>
            <w:r w:rsidR="0052384D">
              <w:instrText xml:space="preserve"> =SUM(ABOVE) </w:instrText>
            </w:r>
            <w:r>
              <w:fldChar w:fldCharType="separate"/>
            </w:r>
            <w:r w:rsidR="00261FA5">
              <w:rPr>
                <w:noProof/>
              </w:rPr>
              <w:t>0</w:t>
            </w:r>
            <w:r>
              <w:fldChar w:fldCharType="end"/>
            </w:r>
          </w:p>
        </w:tc>
        <w:tc>
          <w:tcPr>
            <w:tcW w:w="1075" w:type="dxa"/>
          </w:tcPr>
          <w:p w:rsidR="0052384D" w:rsidRDefault="00350C10" w:rsidP="005D707F">
            <w:pPr>
              <w:pStyle w:val="TableText"/>
            </w:pPr>
            <w:r>
              <w:fldChar w:fldCharType="begin"/>
            </w:r>
            <w:r w:rsidR="0052384D">
              <w:instrText xml:space="preserve"> =SUM(ABOVE) </w:instrText>
            </w:r>
            <w:r>
              <w:fldChar w:fldCharType="separate"/>
            </w:r>
            <w:r w:rsidR="00261FA5">
              <w:rPr>
                <w:noProof/>
              </w:rPr>
              <w:t>0</w:t>
            </w:r>
            <w:r>
              <w:fldChar w:fldCharType="end"/>
            </w:r>
          </w:p>
        </w:tc>
        <w:tc>
          <w:tcPr>
            <w:tcW w:w="1101" w:type="dxa"/>
            <w:shd w:val="clear" w:color="auto" w:fill="D9D9D9" w:themeFill="background1" w:themeFillShade="D9"/>
          </w:tcPr>
          <w:p w:rsidR="0052384D" w:rsidRDefault="00350C10" w:rsidP="005D707F">
            <w:pPr>
              <w:pStyle w:val="TableText"/>
            </w:pPr>
            <w:r>
              <w:fldChar w:fldCharType="begin"/>
            </w:r>
            <w:r w:rsidR="0052384D">
              <w:instrText xml:space="preserve"> =SUM(ABOVE) </w:instrText>
            </w:r>
            <w:r>
              <w:fldChar w:fldCharType="separate"/>
            </w:r>
            <w:r w:rsidR="00261FA5">
              <w:rPr>
                <w:noProof/>
              </w:rPr>
              <w:t>0</w:t>
            </w:r>
            <w:r>
              <w:fldChar w:fldCharType="end"/>
            </w:r>
          </w:p>
        </w:tc>
        <w:tc>
          <w:tcPr>
            <w:tcW w:w="1089" w:type="dxa"/>
            <w:shd w:val="clear" w:color="auto" w:fill="000000" w:themeFill="text1"/>
          </w:tcPr>
          <w:p w:rsidR="0052384D" w:rsidRDefault="0052384D" w:rsidP="005D707F">
            <w:pPr>
              <w:pStyle w:val="TableText"/>
            </w:pPr>
          </w:p>
        </w:tc>
      </w:tr>
    </w:tbl>
    <w:p w:rsidR="00FB119C" w:rsidRDefault="00FB119C" w:rsidP="006A3F4E">
      <w:pPr>
        <w:pStyle w:val="ParaIndent"/>
        <w:ind w:left="0"/>
      </w:pPr>
    </w:p>
    <w:p w:rsidR="005C265D" w:rsidRDefault="005C265D" w:rsidP="006A3F4E">
      <w:pPr>
        <w:pStyle w:val="ParaIndent"/>
        <w:ind w:left="0"/>
      </w:pPr>
    </w:p>
    <w:p w:rsidR="005C265D" w:rsidRDefault="005C265D" w:rsidP="006A3F4E">
      <w:pPr>
        <w:pStyle w:val="ParaIndent"/>
        <w:ind w:left="0"/>
      </w:pPr>
    </w:p>
    <w:p w:rsidR="005C265D" w:rsidRDefault="005C265D" w:rsidP="006A3F4E">
      <w:pPr>
        <w:pStyle w:val="ParaIndent"/>
        <w:ind w:left="0"/>
      </w:pPr>
    </w:p>
    <w:p w:rsidR="005C265D" w:rsidRDefault="005C265D" w:rsidP="006A3F4E">
      <w:pPr>
        <w:pStyle w:val="ParaIndent"/>
        <w:ind w:left="0"/>
      </w:pPr>
    </w:p>
    <w:p w:rsidR="005C265D" w:rsidRDefault="005C265D" w:rsidP="006A3F4E">
      <w:pPr>
        <w:pStyle w:val="ParaIndent"/>
        <w:ind w:left="0"/>
      </w:pPr>
    </w:p>
    <w:p w:rsidR="005C265D" w:rsidRDefault="005C265D" w:rsidP="006A3F4E">
      <w:pPr>
        <w:pStyle w:val="ParaIndent"/>
        <w:ind w:left="0"/>
      </w:pPr>
    </w:p>
    <w:p w:rsidR="005C265D" w:rsidRDefault="005C265D" w:rsidP="006A3F4E">
      <w:pPr>
        <w:pStyle w:val="ParaIndent"/>
        <w:ind w:left="0"/>
      </w:pPr>
    </w:p>
    <w:p w:rsidR="00596D62" w:rsidRPr="00596D62" w:rsidRDefault="00596D62" w:rsidP="00596D62">
      <w:pPr>
        <w:keepNext/>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ind w:left="567" w:firstLine="567"/>
        <w:rPr>
          <w:color w:val="009EE0"/>
          <w:sz w:val="32"/>
          <w:lang w:val="en-GB"/>
        </w:rPr>
      </w:pPr>
      <w:r w:rsidRPr="00596D62">
        <w:rPr>
          <w:color w:val="009EE0"/>
          <w:sz w:val="32"/>
          <w:lang w:val="en-GB"/>
        </w:rPr>
        <w:lastRenderedPageBreak/>
        <w:t>Discrepancies in consignments of imported controlled waste into NSW 2012-13</w:t>
      </w:r>
    </w:p>
    <w:tbl>
      <w:tblPr>
        <w:tblStyle w:val="HyderTableStyle4"/>
        <w:tblW w:w="13228" w:type="dxa"/>
        <w:tblInd w:w="1167" w:type="dxa"/>
        <w:tblLook w:val="04A0"/>
      </w:tblPr>
      <w:tblGrid>
        <w:gridCol w:w="1469"/>
        <w:gridCol w:w="1469"/>
        <w:gridCol w:w="1470"/>
        <w:gridCol w:w="1470"/>
        <w:gridCol w:w="1470"/>
        <w:gridCol w:w="1470"/>
        <w:gridCol w:w="1470"/>
        <w:gridCol w:w="1470"/>
        <w:gridCol w:w="1470"/>
      </w:tblGrid>
      <w:tr w:rsidR="00596D62" w:rsidRPr="00596D62" w:rsidTr="00596D62">
        <w:trPr>
          <w:cnfStyle w:val="100000000000"/>
          <w:trHeight w:val="491"/>
        </w:trPr>
        <w:tc>
          <w:tcPr>
            <w:tcW w:w="1469"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96D62">
              <w:rPr>
                <w:b/>
              </w:rPr>
              <w:t xml:space="preserve">Discrepancy </w:t>
            </w:r>
          </w:p>
        </w:tc>
        <w:tc>
          <w:tcPr>
            <w:tcW w:w="1469"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NSW</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VIC</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QLD</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WA</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SA</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TAS</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ACT</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NT</w:t>
            </w:r>
          </w:p>
        </w:tc>
      </w:tr>
      <w:tr w:rsidR="00596D62" w:rsidRPr="00596D62" w:rsidTr="00596D62">
        <w:trPr>
          <w:trHeight w:val="503"/>
        </w:trPr>
        <w:tc>
          <w:tcPr>
            <w:tcW w:w="1469"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autoSpaceDE w:val="0"/>
              <w:autoSpaceDN w:val="0"/>
              <w:adjustRightInd w:val="0"/>
              <w:spacing w:after="0" w:line="240" w:lineRule="auto"/>
              <w:rPr>
                <w:rFonts w:cs="Arial"/>
                <w:b/>
                <w:color w:val="F2F2F2" w:themeColor="background1" w:themeShade="F2"/>
                <w:szCs w:val="18"/>
              </w:rPr>
            </w:pPr>
            <w:r w:rsidRPr="00596D62">
              <w:rPr>
                <w:rFonts w:cs="Arial"/>
                <w:b/>
                <w:color w:val="F2F2F2" w:themeColor="background1" w:themeShade="F2"/>
                <w:szCs w:val="18"/>
              </w:rPr>
              <w:t>Consignment non-arrival</w:t>
            </w:r>
          </w:p>
        </w:tc>
        <w:tc>
          <w:tcPr>
            <w:tcW w:w="1469"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662"/>
        </w:trPr>
        <w:tc>
          <w:tcPr>
            <w:tcW w:w="1469"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autoSpaceDE w:val="0"/>
              <w:autoSpaceDN w:val="0"/>
              <w:adjustRightInd w:val="0"/>
              <w:spacing w:after="0" w:line="240" w:lineRule="auto"/>
              <w:rPr>
                <w:rFonts w:cs="Arial"/>
                <w:b/>
                <w:color w:val="F2F2F2" w:themeColor="background1" w:themeShade="F2"/>
                <w:szCs w:val="18"/>
              </w:rPr>
            </w:pPr>
            <w:r w:rsidRPr="00596D62">
              <w:rPr>
                <w:rFonts w:cs="Arial"/>
                <w:b/>
                <w:color w:val="F2F2F2" w:themeColor="background1" w:themeShade="F2"/>
                <w:szCs w:val="18"/>
              </w:rPr>
              <w:t>Transport without authorisation</w:t>
            </w:r>
          </w:p>
        </w:tc>
        <w:tc>
          <w:tcPr>
            <w:tcW w:w="1469"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03"/>
        </w:trPr>
        <w:tc>
          <w:tcPr>
            <w:tcW w:w="1469"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autoSpaceDE w:val="0"/>
              <w:autoSpaceDN w:val="0"/>
              <w:adjustRightInd w:val="0"/>
              <w:spacing w:after="0" w:line="240" w:lineRule="auto"/>
              <w:rPr>
                <w:rFonts w:cs="Arial"/>
                <w:b/>
                <w:color w:val="F2F2F2" w:themeColor="background1" w:themeShade="F2"/>
                <w:szCs w:val="18"/>
              </w:rPr>
            </w:pPr>
            <w:r w:rsidRPr="00596D62">
              <w:rPr>
                <w:rFonts w:cs="Arial"/>
                <w:b/>
                <w:color w:val="F2F2F2" w:themeColor="background1" w:themeShade="F2"/>
                <w:szCs w:val="18"/>
              </w:rPr>
              <w:t>Non-matching documentation</w:t>
            </w:r>
          </w:p>
        </w:tc>
        <w:tc>
          <w:tcPr>
            <w:tcW w:w="1469"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4 (0.36%)</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5 (0.25%)</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491"/>
        </w:trPr>
        <w:tc>
          <w:tcPr>
            <w:tcW w:w="1469"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rFonts w:cs="Arial"/>
                <w:b/>
                <w:color w:val="F2F2F2" w:themeColor="background1" w:themeShade="F2"/>
                <w:szCs w:val="18"/>
              </w:rPr>
            </w:pPr>
            <w:r w:rsidRPr="00596D62">
              <w:rPr>
                <w:rFonts w:cs="Arial"/>
                <w:b/>
                <w:color w:val="F2F2F2" w:themeColor="background1" w:themeShade="F2"/>
                <w:szCs w:val="18"/>
              </w:rPr>
              <w:t>Waste data</w:t>
            </w:r>
          </w:p>
        </w:tc>
        <w:tc>
          <w:tcPr>
            <w:tcW w:w="1469"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0"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bl>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p w:rsidR="00596D62" w:rsidRPr="00596D62" w:rsidRDefault="00596D62" w:rsidP="00596D62">
      <w:pPr>
        <w:keepNext/>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ind w:left="567" w:firstLine="567"/>
        <w:rPr>
          <w:color w:val="009EE0"/>
          <w:sz w:val="32"/>
          <w:lang w:val="en-GB"/>
        </w:rPr>
      </w:pPr>
      <w:r w:rsidRPr="00596D62">
        <w:rPr>
          <w:color w:val="009EE0"/>
          <w:sz w:val="32"/>
          <w:lang w:val="en-GB"/>
        </w:rPr>
        <w:t>Discrepancies in consignments of imported controlled waste into Victoria 2012-13</w:t>
      </w:r>
    </w:p>
    <w:tbl>
      <w:tblPr>
        <w:tblStyle w:val="HyderTableStyle4"/>
        <w:tblW w:w="0" w:type="auto"/>
        <w:tblInd w:w="1119" w:type="dxa"/>
        <w:tblLook w:val="04A0"/>
      </w:tblPr>
      <w:tblGrid>
        <w:gridCol w:w="1475"/>
        <w:gridCol w:w="1476"/>
        <w:gridCol w:w="1476"/>
        <w:gridCol w:w="1475"/>
        <w:gridCol w:w="1476"/>
        <w:gridCol w:w="1476"/>
        <w:gridCol w:w="1475"/>
        <w:gridCol w:w="1476"/>
        <w:gridCol w:w="1476"/>
      </w:tblGrid>
      <w:tr w:rsidR="00596D62" w:rsidRPr="00596D62" w:rsidTr="00596D62">
        <w:trPr>
          <w:cnfStyle w:val="100000000000"/>
          <w:trHeight w:val="510"/>
        </w:trPr>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96D62">
              <w:rPr>
                <w:b/>
              </w:rPr>
              <w:t xml:space="preserve">Discrepancy </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NSW</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VIC</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QLD</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WA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SA</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TAS</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ACT</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NT</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Consignment non-arrival</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Transport without authorisation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Non-matching documentation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Waste data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bl>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p w:rsidR="00596D62" w:rsidRPr="00596D62" w:rsidRDefault="00596D62" w:rsidP="00596D62">
      <w:pPr>
        <w:keepNext/>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ind w:left="567" w:firstLine="567"/>
        <w:rPr>
          <w:color w:val="009EE0"/>
          <w:sz w:val="32"/>
          <w:lang w:val="en-GB"/>
        </w:rPr>
      </w:pPr>
      <w:r w:rsidRPr="00596D62">
        <w:rPr>
          <w:color w:val="009EE0"/>
          <w:sz w:val="32"/>
          <w:lang w:val="en-GB"/>
        </w:rPr>
        <w:lastRenderedPageBreak/>
        <w:t>Discrepancies in consignments of imported controlled waste into Queensland 2012-13</w:t>
      </w:r>
    </w:p>
    <w:tbl>
      <w:tblPr>
        <w:tblStyle w:val="HyderTableStyle4"/>
        <w:tblW w:w="0" w:type="auto"/>
        <w:tblInd w:w="1119" w:type="dxa"/>
        <w:tblLook w:val="04A0"/>
      </w:tblPr>
      <w:tblGrid>
        <w:gridCol w:w="1475"/>
        <w:gridCol w:w="1476"/>
        <w:gridCol w:w="1476"/>
        <w:gridCol w:w="1475"/>
        <w:gridCol w:w="1476"/>
        <w:gridCol w:w="1476"/>
        <w:gridCol w:w="1475"/>
        <w:gridCol w:w="1476"/>
        <w:gridCol w:w="1476"/>
      </w:tblGrid>
      <w:tr w:rsidR="00596D62" w:rsidRPr="00596D62" w:rsidTr="00596D62">
        <w:trPr>
          <w:cnfStyle w:val="100000000000"/>
          <w:trHeight w:val="510"/>
        </w:trPr>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96D62">
              <w:rPr>
                <w:b/>
              </w:rPr>
              <w:t xml:space="preserve">Discrepancy </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NSW</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VIC</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QLD</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WA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SA</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TAS</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ACT</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NT</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Consignment non-arrival</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1400 (42%)</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(35 (37%)</w:t>
            </w:r>
          </w:p>
        </w:tc>
        <w:tc>
          <w:tcPr>
            <w:tcW w:w="1475"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2 (50%)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 (4%)</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7 (33%)</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 (15%)</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Transport without authorisation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1600 (48%)</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57 (60%)</w:t>
            </w:r>
          </w:p>
        </w:tc>
        <w:tc>
          <w:tcPr>
            <w:tcW w:w="1475"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3 (11%)</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 (20%)</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Non-matching documentation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166 (5%)</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4 (4%)</w:t>
            </w:r>
          </w:p>
        </w:tc>
        <w:tc>
          <w:tcPr>
            <w:tcW w:w="1475"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 (25%)</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4 (15%)</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8 (38%)</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Waste data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bl>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p w:rsidR="00596D62" w:rsidRPr="00596D62" w:rsidRDefault="00596D62" w:rsidP="00596D62">
      <w:pPr>
        <w:keepNext/>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ind w:left="567" w:firstLine="567"/>
        <w:rPr>
          <w:color w:val="009EE0"/>
          <w:sz w:val="32"/>
          <w:lang w:val="en-GB"/>
        </w:rPr>
      </w:pPr>
      <w:r w:rsidRPr="00596D62">
        <w:rPr>
          <w:color w:val="009EE0"/>
          <w:sz w:val="32"/>
          <w:lang w:val="en-GB"/>
        </w:rPr>
        <w:t>Discrepancies in consignments of imported controlled waste into Western Australia 2012-13</w:t>
      </w:r>
    </w:p>
    <w:tbl>
      <w:tblPr>
        <w:tblStyle w:val="HyderTableStyle4"/>
        <w:tblW w:w="0" w:type="auto"/>
        <w:tblInd w:w="1119" w:type="dxa"/>
        <w:tblLook w:val="04A0"/>
      </w:tblPr>
      <w:tblGrid>
        <w:gridCol w:w="1475"/>
        <w:gridCol w:w="1476"/>
        <w:gridCol w:w="1476"/>
        <w:gridCol w:w="1475"/>
        <w:gridCol w:w="1476"/>
        <w:gridCol w:w="1476"/>
        <w:gridCol w:w="1475"/>
        <w:gridCol w:w="1476"/>
        <w:gridCol w:w="1476"/>
      </w:tblGrid>
      <w:tr w:rsidR="00596D62" w:rsidRPr="00596D62" w:rsidTr="00596D62">
        <w:trPr>
          <w:cnfStyle w:val="100000000000"/>
          <w:trHeight w:val="510"/>
        </w:trPr>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96D62">
              <w:rPr>
                <w:b/>
              </w:rPr>
              <w:t xml:space="preserve">Discrepancy </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NSW</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VIC</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QLD</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WA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SA</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TAS</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ACT</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NT</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Consignment non-arrival</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Transport without authorisation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Non-matching documentation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rFonts w:cs="Arial"/>
                <w:b/>
                <w:color w:val="F2F2F2" w:themeColor="background1" w:themeShade="F2"/>
                <w:szCs w:val="18"/>
              </w:rPr>
              <w:t>Waste data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bl>
    <w:p w:rsidR="00596D62" w:rsidRPr="00596D62" w:rsidRDefault="00596D62" w:rsidP="00596D62">
      <w:pPr>
        <w:keepNext/>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ind w:left="567" w:firstLine="567"/>
        <w:rPr>
          <w:color w:val="009EE0"/>
          <w:sz w:val="32"/>
          <w:lang w:val="en-GB"/>
        </w:rPr>
      </w:pPr>
      <w:r w:rsidRPr="00596D62">
        <w:rPr>
          <w:color w:val="009EE0"/>
          <w:sz w:val="32"/>
          <w:lang w:val="en-GB"/>
        </w:rPr>
        <w:lastRenderedPageBreak/>
        <w:t>Discrepancies in consignments of imported controlled waste into South Australia 2012-13</w:t>
      </w:r>
    </w:p>
    <w:tbl>
      <w:tblPr>
        <w:tblStyle w:val="HyderTableStyle4"/>
        <w:tblW w:w="0" w:type="auto"/>
        <w:tblInd w:w="1119" w:type="dxa"/>
        <w:tblLook w:val="04A0"/>
      </w:tblPr>
      <w:tblGrid>
        <w:gridCol w:w="1475"/>
        <w:gridCol w:w="1476"/>
        <w:gridCol w:w="1476"/>
        <w:gridCol w:w="1475"/>
        <w:gridCol w:w="1476"/>
        <w:gridCol w:w="1476"/>
        <w:gridCol w:w="1475"/>
        <w:gridCol w:w="1476"/>
        <w:gridCol w:w="1476"/>
      </w:tblGrid>
      <w:tr w:rsidR="00596D62" w:rsidRPr="00596D62" w:rsidTr="00596D62">
        <w:trPr>
          <w:cnfStyle w:val="100000000000"/>
          <w:trHeight w:val="510"/>
        </w:trPr>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96D62">
              <w:rPr>
                <w:b/>
              </w:rPr>
              <w:t xml:space="preserve">Discrepancy </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NSW</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VIC</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QLD</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WA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SA</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TAS</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ACT</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NT</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Consignment non-arrival</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184 (43%)</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230 (38%)</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35 (35%)</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76 (27%)</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15 (46%)</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65 (22%)</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Transport without authorisation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Non-matching documentation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235 (55%)</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90 (15%)</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63 (64%)</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248 (88%)</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21 (64%)</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 xml:space="preserve">1 (100%) </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233 (79%)</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rFonts w:cs="Arial"/>
                <w:b/>
                <w:color w:val="F2F2F2" w:themeColor="background1" w:themeShade="F2"/>
                <w:szCs w:val="18"/>
              </w:rPr>
              <w:t>Waste data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55 (13%)</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18 (3%)</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17 (18%)</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59 (21%)</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3 (9%)</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32 (11%)</w:t>
            </w:r>
          </w:p>
        </w:tc>
      </w:tr>
    </w:tbl>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p w:rsidR="00596D62" w:rsidRPr="00596D62" w:rsidRDefault="00596D62" w:rsidP="00596D62">
      <w:pPr>
        <w:keepNext/>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ind w:left="567" w:firstLine="567"/>
        <w:rPr>
          <w:color w:val="009EE0"/>
          <w:sz w:val="32"/>
          <w:lang w:val="en-GB"/>
        </w:rPr>
      </w:pPr>
      <w:r w:rsidRPr="00596D62">
        <w:rPr>
          <w:color w:val="009EE0"/>
          <w:sz w:val="32"/>
          <w:lang w:val="en-GB"/>
        </w:rPr>
        <w:t>Discrepancies in consignments of imported controlled waste into ACT 2012-13</w:t>
      </w:r>
      <w:r w:rsidRPr="00596D62">
        <w:rPr>
          <w:color w:val="009EE0"/>
          <w:sz w:val="32"/>
          <w:vertAlign w:val="superscript"/>
          <w:lang w:val="en-GB"/>
        </w:rPr>
        <w:footnoteReference w:id="5"/>
      </w:r>
    </w:p>
    <w:tbl>
      <w:tblPr>
        <w:tblStyle w:val="HyderTableStyle4"/>
        <w:tblW w:w="0" w:type="auto"/>
        <w:tblInd w:w="1119" w:type="dxa"/>
        <w:tblLook w:val="04A0"/>
      </w:tblPr>
      <w:tblGrid>
        <w:gridCol w:w="1475"/>
        <w:gridCol w:w="1476"/>
        <w:gridCol w:w="1476"/>
        <w:gridCol w:w="1475"/>
        <w:gridCol w:w="1476"/>
        <w:gridCol w:w="1476"/>
        <w:gridCol w:w="1475"/>
        <w:gridCol w:w="1476"/>
        <w:gridCol w:w="1476"/>
      </w:tblGrid>
      <w:tr w:rsidR="00596D62" w:rsidRPr="00596D62" w:rsidTr="00596D62">
        <w:trPr>
          <w:cnfStyle w:val="100000000000"/>
          <w:trHeight w:val="510"/>
        </w:trPr>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596D62">
              <w:rPr>
                <w:b/>
              </w:rPr>
              <w:t xml:space="preserve">Discrepancy </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NSW</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VIC</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QLD</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WA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SA</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TAS</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ACT</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b/>
              </w:rPr>
              <w:t>NT</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Consignment non-arrival</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D9D9D9" w:themeFill="background1" w:themeFillShade="D9"/>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Transport with</w:t>
            </w:r>
            <w:r>
              <w:rPr>
                <w:rFonts w:cs="Arial"/>
                <w:b/>
                <w:color w:val="F2F2F2" w:themeColor="background1" w:themeShade="F2"/>
                <w:szCs w:val="18"/>
              </w:rPr>
              <w:t>out</w:t>
            </w:r>
            <w:r w:rsidRPr="00596D62">
              <w:rPr>
                <w:rFonts w:cs="Arial"/>
                <w:b/>
                <w:color w:val="F2F2F2" w:themeColor="background1" w:themeShade="F2"/>
                <w:szCs w:val="18"/>
              </w:rPr>
              <w:t xml:space="preserve"> authorisation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D9D9D9" w:themeFill="background1" w:themeFillShade="D9"/>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10"/>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line="240" w:lineRule="auto"/>
            </w:pPr>
            <w:r w:rsidRPr="00596D62">
              <w:rPr>
                <w:rFonts w:cs="Arial"/>
                <w:b/>
                <w:color w:val="F2F2F2" w:themeColor="background1" w:themeShade="F2"/>
                <w:szCs w:val="18"/>
              </w:rPr>
              <w:t>Non-matching documentation</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D9D9D9" w:themeFill="background1" w:themeFillShade="D9"/>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r w:rsidR="00596D62" w:rsidRPr="00596D62" w:rsidTr="00596D62">
        <w:trPr>
          <w:trHeight w:val="522"/>
        </w:trPr>
        <w:tc>
          <w:tcPr>
            <w:tcW w:w="1475" w:type="dxa"/>
            <w:shd w:val="clear" w:color="auto" w:fill="495F70"/>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rPr>
                <w:rFonts w:cs="Arial"/>
                <w:b/>
                <w:color w:val="F2F2F2" w:themeColor="background1" w:themeShade="F2"/>
                <w:szCs w:val="18"/>
              </w:rPr>
              <w:t>Waste data</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D9D9D9" w:themeFill="background1" w:themeFillShade="D9"/>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5"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c>
          <w:tcPr>
            <w:tcW w:w="1476" w:type="dxa"/>
            <w:shd w:val="clear" w:color="auto" w:fill="000000" w:themeFill="text1"/>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p>
        </w:tc>
        <w:tc>
          <w:tcPr>
            <w:tcW w:w="1476" w:type="dxa"/>
          </w:tcPr>
          <w:p w:rsidR="00596D62" w:rsidRPr="00596D62" w:rsidRDefault="00596D62" w:rsidP="00596D62">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596D62">
              <w:t>0</w:t>
            </w:r>
          </w:p>
        </w:tc>
      </w:tr>
    </w:tbl>
    <w:p w:rsidR="005C265D" w:rsidRDefault="005C265D" w:rsidP="006A3F4E">
      <w:pPr>
        <w:pStyle w:val="ParaIndent"/>
        <w:ind w:left="0"/>
        <w:sectPr w:rsidR="005C265D" w:rsidSect="0026253B">
          <w:pgSz w:w="16840" w:h="11907" w:orient="landscape" w:code="9"/>
          <w:pgMar w:top="1134" w:right="1134" w:bottom="1134" w:left="1134" w:header="567" w:footer="567" w:gutter="0"/>
          <w:pgNumType w:start="1"/>
          <w:cols w:space="708"/>
          <w:docGrid w:linePitch="360"/>
        </w:sectPr>
      </w:pPr>
    </w:p>
    <w:tbl>
      <w:tblPr>
        <w:tblW w:w="9639" w:type="dxa"/>
        <w:tblLayout w:type="fixed"/>
        <w:tblCellMar>
          <w:left w:w="0" w:type="dxa"/>
          <w:right w:w="0" w:type="dxa"/>
        </w:tblCellMar>
        <w:tblLook w:val="01E0"/>
      </w:tblPr>
      <w:tblGrid>
        <w:gridCol w:w="9639"/>
      </w:tblGrid>
      <w:tr w:rsidR="006A3F36" w:rsidRPr="006A3F36">
        <w:tc>
          <w:tcPr>
            <w:tcW w:w="9639" w:type="dxa"/>
          </w:tcPr>
          <w:p w:rsidR="006A3F36" w:rsidRPr="006A3F36" w:rsidRDefault="006A3F36" w:rsidP="006A3F36">
            <w:pPr>
              <w:pStyle w:val="AppxNo"/>
            </w:pPr>
            <w:bookmarkStart w:id="98" w:name="_Toc421181754"/>
            <w:r w:rsidRPr="006A3F36">
              <w:lastRenderedPageBreak/>
              <w:t xml:space="preserve">Appendix </w:t>
            </w:r>
            <w:bookmarkStart w:id="99" w:name="AppxNo"/>
            <w:bookmarkEnd w:id="99"/>
            <w:r>
              <w:t>B</w:t>
            </w:r>
            <w:bookmarkEnd w:id="98"/>
          </w:p>
        </w:tc>
      </w:tr>
      <w:tr w:rsidR="006A3F36" w:rsidRPr="006A3F36">
        <w:tc>
          <w:tcPr>
            <w:tcW w:w="9639" w:type="dxa"/>
          </w:tcPr>
          <w:p w:rsidR="006A3F36" w:rsidRPr="006A3F36" w:rsidRDefault="00350C10" w:rsidP="006A3F36">
            <w:pPr>
              <w:pStyle w:val="ParaMargin"/>
            </w:pPr>
            <w:r>
              <w:rPr>
                <w:noProof/>
                <w:lang w:val="en-AU"/>
              </w:rPr>
            </w:r>
            <w:r w:rsidRPr="00350C10">
              <w:rPr>
                <w:noProof/>
                <w:lang w:val="en-AU"/>
              </w:rPr>
              <w:pict>
                <v:polyline id="Freeform 1" o:spid="_x0000_s1050"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filled="f" strokecolor="#00519e" strokeweight="1pt">
                  <v:path arrowok="t" o:connecttype="custom" o:connectlocs="0,0;4191000,0;4368800,184150;6083300,184150" o:connectangles="0,0,0,0"/>
                  <w10:wrap type="none"/>
                  <w10:anchorlock/>
                </v:polyline>
              </w:pict>
            </w:r>
          </w:p>
        </w:tc>
      </w:tr>
      <w:tr w:rsidR="006A3F36" w:rsidRPr="006A3F36">
        <w:tc>
          <w:tcPr>
            <w:tcW w:w="9639" w:type="dxa"/>
          </w:tcPr>
          <w:p w:rsidR="006A3F36" w:rsidRPr="006A3F36" w:rsidRDefault="006A3F36" w:rsidP="006A3F36">
            <w:pPr>
              <w:pStyle w:val="AppxName"/>
            </w:pPr>
            <w:bookmarkStart w:id="100" w:name="AppxName"/>
            <w:bookmarkStart w:id="101" w:name="_Toc421181756"/>
            <w:bookmarkEnd w:id="100"/>
            <w:r>
              <w:t>NEPM 75</w:t>
            </w:r>
            <w:bookmarkEnd w:id="101"/>
          </w:p>
        </w:tc>
      </w:tr>
    </w:tbl>
    <w:p w:rsidR="006A3F36" w:rsidRPr="006A3F36" w:rsidRDefault="006A3F36" w:rsidP="006A3F36">
      <w:pPr>
        <w:pStyle w:val="ParaIndent"/>
      </w:pPr>
    </w:p>
    <w:p w:rsidR="006A3F36" w:rsidRPr="006A3F36" w:rsidRDefault="006A3F36" w:rsidP="006A3F36">
      <w:pPr>
        <w:pStyle w:val="ParaIndent"/>
      </w:pPr>
    </w:p>
    <w:p w:rsidR="006A3F36" w:rsidRDefault="006A3F3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0" w:line="240" w:lineRule="auto"/>
      </w:pPr>
      <w:r>
        <w:br w:type="page"/>
      </w:r>
    </w:p>
    <w:tbl>
      <w:tblPr>
        <w:tblStyle w:val="HyderTableStyle12"/>
        <w:tblW w:w="0" w:type="auto"/>
        <w:tblInd w:w="1134" w:type="dxa"/>
        <w:tblLook w:val="04A0"/>
      </w:tblPr>
      <w:tblGrid>
        <w:gridCol w:w="694"/>
        <w:gridCol w:w="2693"/>
        <w:gridCol w:w="709"/>
        <w:gridCol w:w="4379"/>
      </w:tblGrid>
      <w:tr w:rsidR="006A3F36" w:rsidRPr="006A3F36" w:rsidTr="00D54C8D">
        <w:trPr>
          <w:cnfStyle w:val="100000000000"/>
        </w:trPr>
        <w:tc>
          <w:tcPr>
            <w:tcW w:w="694" w:type="dxa"/>
            <w:tcBorders>
              <w:bottom w:val="single" w:sz="12" w:space="0" w:color="FFFFFF" w:themeColor="background1"/>
            </w:tcBorders>
          </w:tcPr>
          <w:p w:rsidR="006A3F36" w:rsidRPr="006A3F36" w:rsidRDefault="006A3F36" w:rsidP="006A3F3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lang w:val="en-GB"/>
              </w:rPr>
            </w:pPr>
            <w:r w:rsidRPr="006A3F36">
              <w:rPr>
                <w:b/>
                <w:lang w:val="en-GB"/>
              </w:rPr>
              <w:lastRenderedPageBreak/>
              <w:t>NEPM ‘15’ Code</w:t>
            </w:r>
          </w:p>
        </w:tc>
        <w:tc>
          <w:tcPr>
            <w:tcW w:w="2693" w:type="dxa"/>
            <w:tcBorders>
              <w:bottom w:val="single" w:sz="12" w:space="0" w:color="FFFFFF" w:themeColor="background1"/>
            </w:tcBorders>
          </w:tcPr>
          <w:p w:rsidR="006A3F36" w:rsidRPr="006A3F36" w:rsidRDefault="006A3F36" w:rsidP="006A3F3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lang w:val="en-GB"/>
              </w:rPr>
            </w:pPr>
            <w:r w:rsidRPr="006A3F36">
              <w:rPr>
                <w:b/>
                <w:lang w:val="en-GB"/>
              </w:rPr>
              <w:t>NEPM 15 Waste Description</w:t>
            </w:r>
          </w:p>
        </w:tc>
        <w:tc>
          <w:tcPr>
            <w:tcW w:w="709" w:type="dxa"/>
            <w:tcBorders>
              <w:bottom w:val="single" w:sz="12" w:space="0" w:color="FFFFFF" w:themeColor="background1"/>
            </w:tcBorders>
          </w:tcPr>
          <w:p w:rsidR="006A3F36" w:rsidRPr="006A3F36" w:rsidRDefault="006A3F36" w:rsidP="006A3F3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lang w:val="en-GB"/>
              </w:rPr>
            </w:pPr>
            <w:r w:rsidRPr="006A3F36">
              <w:rPr>
                <w:b/>
                <w:lang w:val="en-GB"/>
              </w:rPr>
              <w:t>NEPM ‘75’ Code</w:t>
            </w:r>
          </w:p>
        </w:tc>
        <w:tc>
          <w:tcPr>
            <w:tcW w:w="4379" w:type="dxa"/>
            <w:tcBorders>
              <w:bottom w:val="single" w:sz="12" w:space="0" w:color="FFFFFF" w:themeColor="background1"/>
            </w:tcBorders>
          </w:tcPr>
          <w:p w:rsidR="006A3F36" w:rsidRPr="006A3F36" w:rsidRDefault="006A3F36" w:rsidP="006A3F3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284"/>
              </w:tabs>
              <w:spacing w:after="60"/>
              <w:rPr>
                <w:b/>
                <w:lang w:val="en-GB"/>
              </w:rPr>
            </w:pPr>
            <w:r w:rsidRPr="006A3F36">
              <w:rPr>
                <w:b/>
                <w:lang w:val="en-GB"/>
              </w:rPr>
              <w:t>NEPM 75 Waste Description</w:t>
            </w:r>
          </w:p>
        </w:tc>
      </w:tr>
      <w:tr w:rsidR="006A3F36" w:rsidRPr="006A3F36" w:rsidTr="00D54C8D">
        <w:tc>
          <w:tcPr>
            <w:tcW w:w="694" w:type="dxa"/>
            <w:vMerge w:val="restart"/>
          </w:tcPr>
          <w:p w:rsidR="006A3F36" w:rsidRPr="006A3F36" w:rsidRDefault="006A3F36" w:rsidP="006A3F36">
            <w:pPr>
              <w:spacing w:after="60"/>
            </w:pPr>
            <w:r w:rsidRPr="006A3F36">
              <w:t>A</w:t>
            </w:r>
          </w:p>
        </w:tc>
        <w:tc>
          <w:tcPr>
            <w:tcW w:w="2693" w:type="dxa"/>
            <w:vMerge w:val="restart"/>
          </w:tcPr>
          <w:p w:rsidR="006A3F36" w:rsidRPr="006A3F36" w:rsidRDefault="006A3F36" w:rsidP="006A3F36">
            <w:pPr>
              <w:spacing w:after="60"/>
            </w:pPr>
            <w:r w:rsidRPr="006A3F36">
              <w:t>Plating and heat treatment</w:t>
            </w:r>
          </w:p>
        </w:tc>
        <w:tc>
          <w:tcPr>
            <w:tcW w:w="709" w:type="dxa"/>
          </w:tcPr>
          <w:p w:rsidR="006A3F36" w:rsidRPr="006A3F36" w:rsidRDefault="006A3F36" w:rsidP="006A3F36">
            <w:pPr>
              <w:spacing w:after="60"/>
            </w:pPr>
            <w:r w:rsidRPr="006A3F36">
              <w:t>A100</w:t>
            </w:r>
          </w:p>
        </w:tc>
        <w:tc>
          <w:tcPr>
            <w:tcW w:w="4379" w:type="dxa"/>
          </w:tcPr>
          <w:p w:rsidR="006A3F36" w:rsidRPr="006A3F36" w:rsidRDefault="006A3F36" w:rsidP="006A3F36">
            <w:pPr>
              <w:spacing w:after="60"/>
            </w:pPr>
            <w:r w:rsidRPr="006A3F36">
              <w:t>Waste resulting from surface treatment of metals and plastics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A110</w:t>
            </w:r>
          </w:p>
        </w:tc>
        <w:tc>
          <w:tcPr>
            <w:tcW w:w="4379" w:type="dxa"/>
          </w:tcPr>
          <w:p w:rsidR="006A3F36" w:rsidRPr="006A3F36" w:rsidRDefault="006A3F36" w:rsidP="006A3F36">
            <w:pPr>
              <w:spacing w:after="60"/>
            </w:pPr>
            <w:r w:rsidRPr="006A3F36">
              <w:t>Waste from heat treatment and tempering operations containing cyanides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A130</w:t>
            </w:r>
          </w:p>
        </w:tc>
        <w:tc>
          <w:tcPr>
            <w:tcW w:w="4379" w:type="dxa"/>
          </w:tcPr>
          <w:p w:rsidR="006A3F36" w:rsidRPr="006A3F36" w:rsidRDefault="006A3F36" w:rsidP="006A3F36">
            <w:pPr>
              <w:spacing w:after="60"/>
            </w:pPr>
            <w:r w:rsidRPr="006A3F36">
              <w:t>Cyanides (inorganic)</w:t>
            </w:r>
          </w:p>
        </w:tc>
      </w:tr>
      <w:tr w:rsidR="006A3F36" w:rsidRPr="006A3F36" w:rsidTr="00D54C8D">
        <w:tc>
          <w:tcPr>
            <w:tcW w:w="694" w:type="dxa"/>
          </w:tcPr>
          <w:p w:rsidR="006A3F36" w:rsidRPr="006A3F36" w:rsidRDefault="006A3F36" w:rsidP="006A3F36">
            <w:pPr>
              <w:spacing w:after="60"/>
            </w:pPr>
            <w:r w:rsidRPr="006A3F36">
              <w:t>B</w:t>
            </w:r>
          </w:p>
        </w:tc>
        <w:tc>
          <w:tcPr>
            <w:tcW w:w="2693" w:type="dxa"/>
          </w:tcPr>
          <w:p w:rsidR="006A3F36" w:rsidRPr="006A3F36" w:rsidRDefault="006A3F36" w:rsidP="006A3F36">
            <w:pPr>
              <w:spacing w:after="60"/>
            </w:pPr>
            <w:r w:rsidRPr="006A3F36">
              <w:t>Acids</w:t>
            </w:r>
          </w:p>
        </w:tc>
        <w:tc>
          <w:tcPr>
            <w:tcW w:w="709" w:type="dxa"/>
          </w:tcPr>
          <w:p w:rsidR="006A3F36" w:rsidRPr="006A3F36" w:rsidRDefault="006A3F36" w:rsidP="006A3F36">
            <w:pPr>
              <w:spacing w:after="60"/>
            </w:pPr>
            <w:r w:rsidRPr="006A3F36">
              <w:t>B100</w:t>
            </w:r>
          </w:p>
        </w:tc>
        <w:tc>
          <w:tcPr>
            <w:tcW w:w="4379" w:type="dxa"/>
          </w:tcPr>
          <w:p w:rsidR="006A3F36" w:rsidRPr="006A3F36" w:rsidRDefault="006A3F36" w:rsidP="006A3F36">
            <w:pPr>
              <w:spacing w:after="60"/>
            </w:pPr>
            <w:r w:rsidRPr="006A3F36">
              <w:t>Acidic solutions or acids in solid form</w:t>
            </w:r>
          </w:p>
        </w:tc>
      </w:tr>
      <w:tr w:rsidR="006A3F36" w:rsidRPr="006A3F36" w:rsidTr="00D54C8D">
        <w:tc>
          <w:tcPr>
            <w:tcW w:w="694" w:type="dxa"/>
          </w:tcPr>
          <w:p w:rsidR="006A3F36" w:rsidRPr="006A3F36" w:rsidRDefault="006A3F36" w:rsidP="006A3F36">
            <w:pPr>
              <w:spacing w:after="60"/>
            </w:pPr>
            <w:r w:rsidRPr="006A3F36">
              <w:t>C</w:t>
            </w:r>
          </w:p>
        </w:tc>
        <w:tc>
          <w:tcPr>
            <w:tcW w:w="2693" w:type="dxa"/>
          </w:tcPr>
          <w:p w:rsidR="006A3F36" w:rsidRPr="006A3F36" w:rsidRDefault="006A3F36" w:rsidP="006A3F36">
            <w:pPr>
              <w:spacing w:after="60"/>
            </w:pPr>
            <w:r w:rsidRPr="006A3F36">
              <w:t>Alkalis</w:t>
            </w:r>
          </w:p>
        </w:tc>
        <w:tc>
          <w:tcPr>
            <w:tcW w:w="709" w:type="dxa"/>
          </w:tcPr>
          <w:p w:rsidR="006A3F36" w:rsidRPr="006A3F36" w:rsidRDefault="006A3F36" w:rsidP="006A3F36">
            <w:pPr>
              <w:spacing w:after="60"/>
            </w:pPr>
            <w:r w:rsidRPr="006A3F36">
              <w:t>C100</w:t>
            </w:r>
          </w:p>
        </w:tc>
        <w:tc>
          <w:tcPr>
            <w:tcW w:w="4379" w:type="dxa"/>
          </w:tcPr>
          <w:p w:rsidR="006A3F36" w:rsidRPr="006A3F36" w:rsidRDefault="006A3F36" w:rsidP="006A3F36">
            <w:pPr>
              <w:spacing w:after="60"/>
            </w:pPr>
            <w:r w:rsidRPr="006A3F36">
              <w:t>Basic solutions or bases in solid form</w:t>
            </w:r>
          </w:p>
        </w:tc>
      </w:tr>
      <w:tr w:rsidR="006A3F36" w:rsidRPr="006A3F36" w:rsidTr="00D54C8D">
        <w:tc>
          <w:tcPr>
            <w:tcW w:w="694" w:type="dxa"/>
            <w:vMerge w:val="restart"/>
          </w:tcPr>
          <w:p w:rsidR="006A3F36" w:rsidRPr="006A3F36" w:rsidRDefault="006A3F36" w:rsidP="006A3F36">
            <w:pPr>
              <w:spacing w:after="60"/>
            </w:pPr>
            <w:r w:rsidRPr="006A3F36">
              <w:t>D</w:t>
            </w:r>
          </w:p>
        </w:tc>
        <w:tc>
          <w:tcPr>
            <w:tcW w:w="2693" w:type="dxa"/>
            <w:vMerge w:val="restart"/>
          </w:tcPr>
          <w:p w:rsidR="006A3F36" w:rsidRPr="006A3F36" w:rsidRDefault="006A3F36" w:rsidP="006A3F36">
            <w:pPr>
              <w:spacing w:after="60"/>
            </w:pPr>
            <w:r w:rsidRPr="006A3F36">
              <w:t>Inorganic chemicals</w:t>
            </w:r>
          </w:p>
        </w:tc>
        <w:tc>
          <w:tcPr>
            <w:tcW w:w="709" w:type="dxa"/>
          </w:tcPr>
          <w:p w:rsidR="006A3F36" w:rsidRPr="006A3F36" w:rsidRDefault="006A3F36" w:rsidP="006A3F36">
            <w:pPr>
              <w:spacing w:after="60"/>
            </w:pPr>
            <w:r w:rsidRPr="006A3F36">
              <w:t>D100</w:t>
            </w:r>
          </w:p>
        </w:tc>
        <w:tc>
          <w:tcPr>
            <w:tcW w:w="4379" w:type="dxa"/>
          </w:tcPr>
          <w:p w:rsidR="006A3F36" w:rsidRPr="006A3F36" w:rsidRDefault="006A3F36" w:rsidP="006A3F36">
            <w:pPr>
              <w:spacing w:after="60"/>
            </w:pPr>
            <w:r w:rsidRPr="006A3F36">
              <w:t>Metal carbonyls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D110</w:t>
            </w:r>
          </w:p>
        </w:tc>
        <w:tc>
          <w:tcPr>
            <w:tcW w:w="4379" w:type="dxa"/>
          </w:tcPr>
          <w:p w:rsidR="006A3F36" w:rsidRPr="006A3F36" w:rsidRDefault="006A3F36" w:rsidP="006A3F36">
            <w:pPr>
              <w:spacing w:after="60"/>
            </w:pPr>
            <w:r w:rsidRPr="006A3F36">
              <w:t>Inorganic fluorine compounds excluding calcium fluoride</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D120</w:t>
            </w:r>
          </w:p>
        </w:tc>
        <w:tc>
          <w:tcPr>
            <w:tcW w:w="4379" w:type="dxa"/>
          </w:tcPr>
          <w:p w:rsidR="006A3F36" w:rsidRPr="006A3F36" w:rsidRDefault="006A3F36" w:rsidP="006A3F36">
            <w:pPr>
              <w:spacing w:after="60"/>
            </w:pPr>
            <w:r w:rsidRPr="006A3F36">
              <w:t>Mercury; mercury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D130</w:t>
            </w:r>
          </w:p>
        </w:tc>
        <w:tc>
          <w:tcPr>
            <w:tcW w:w="4379" w:type="dxa"/>
          </w:tcPr>
          <w:p w:rsidR="006A3F36" w:rsidRPr="006A3F36" w:rsidRDefault="006A3F36" w:rsidP="006A3F36">
            <w:pPr>
              <w:spacing w:after="60"/>
            </w:pPr>
            <w:r w:rsidRPr="006A3F36">
              <w:t>Arsenic; arsenic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D140</w:t>
            </w:r>
          </w:p>
        </w:tc>
        <w:tc>
          <w:tcPr>
            <w:tcW w:w="4379" w:type="dxa"/>
          </w:tcPr>
          <w:p w:rsidR="006A3F36" w:rsidRPr="006A3F36" w:rsidRDefault="006A3F36" w:rsidP="006A3F36">
            <w:pPr>
              <w:spacing w:after="60"/>
            </w:pPr>
            <w:r w:rsidRPr="006A3F36">
              <w:t>Chromium compounds (</w:t>
            </w:r>
            <w:proofErr w:type="spellStart"/>
            <w:r w:rsidRPr="006A3F36">
              <w:t>hexavalent</w:t>
            </w:r>
            <w:proofErr w:type="spellEnd"/>
            <w:r w:rsidRPr="006A3F36">
              <w:t xml:space="preserve"> and trivalent)</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D150</w:t>
            </w:r>
          </w:p>
        </w:tc>
        <w:tc>
          <w:tcPr>
            <w:tcW w:w="4379" w:type="dxa"/>
          </w:tcPr>
          <w:p w:rsidR="006A3F36" w:rsidRPr="006A3F36" w:rsidRDefault="006A3F36" w:rsidP="006A3F36">
            <w:pPr>
              <w:spacing w:after="60"/>
            </w:pPr>
            <w:r w:rsidRPr="006A3F36">
              <w:t>Cadmium; cadmium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D160</w:t>
            </w:r>
          </w:p>
        </w:tc>
        <w:tc>
          <w:tcPr>
            <w:tcW w:w="4379" w:type="dxa"/>
          </w:tcPr>
          <w:p w:rsidR="006A3F36" w:rsidRPr="006A3F36" w:rsidRDefault="006A3F36" w:rsidP="006A3F36">
            <w:pPr>
              <w:spacing w:after="60"/>
            </w:pPr>
            <w:r w:rsidRPr="006A3F36">
              <w:t>Beryllium; beryllium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D170</w:t>
            </w:r>
          </w:p>
        </w:tc>
        <w:tc>
          <w:tcPr>
            <w:tcW w:w="4379" w:type="dxa"/>
          </w:tcPr>
          <w:p w:rsidR="006A3F36" w:rsidRPr="006A3F36" w:rsidRDefault="006A3F36" w:rsidP="006A3F36">
            <w:pPr>
              <w:spacing w:after="60"/>
            </w:pPr>
            <w:r w:rsidRPr="006A3F36">
              <w:t>Antimony; antimony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D180</w:t>
            </w:r>
          </w:p>
        </w:tc>
        <w:tc>
          <w:tcPr>
            <w:tcW w:w="4379" w:type="dxa"/>
          </w:tcPr>
          <w:p w:rsidR="006A3F36" w:rsidRPr="006A3F36" w:rsidRDefault="006A3F36" w:rsidP="006A3F36">
            <w:pPr>
              <w:spacing w:after="60"/>
            </w:pPr>
            <w:r w:rsidRPr="006A3F36">
              <w:t>Thallium; thallium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D190</w:t>
            </w:r>
          </w:p>
        </w:tc>
        <w:tc>
          <w:tcPr>
            <w:tcW w:w="4379" w:type="dxa"/>
          </w:tcPr>
          <w:p w:rsidR="006A3F36" w:rsidRPr="006A3F36" w:rsidRDefault="006A3F36" w:rsidP="006A3F36">
            <w:pPr>
              <w:spacing w:after="60"/>
            </w:pPr>
            <w:r w:rsidRPr="006A3F36">
              <w:t>Copper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D200</w:t>
            </w:r>
          </w:p>
        </w:tc>
        <w:tc>
          <w:tcPr>
            <w:tcW w:w="4379" w:type="dxa"/>
          </w:tcPr>
          <w:p w:rsidR="006A3F36" w:rsidRPr="006A3F36" w:rsidRDefault="006A3F36" w:rsidP="006A3F36">
            <w:pPr>
              <w:spacing w:after="60"/>
            </w:pPr>
            <w:r w:rsidRPr="006A3F36">
              <w:t>Cobalt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D210</w:t>
            </w:r>
          </w:p>
        </w:tc>
        <w:tc>
          <w:tcPr>
            <w:tcW w:w="4379" w:type="dxa"/>
          </w:tcPr>
          <w:p w:rsidR="006A3F36" w:rsidRPr="006A3F36" w:rsidRDefault="006A3F36" w:rsidP="006A3F36">
            <w:pPr>
              <w:spacing w:after="60"/>
            </w:pPr>
            <w:r w:rsidRPr="006A3F36">
              <w:t>Nickel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D220</w:t>
            </w:r>
          </w:p>
        </w:tc>
        <w:tc>
          <w:tcPr>
            <w:tcW w:w="4379" w:type="dxa"/>
          </w:tcPr>
          <w:p w:rsidR="006A3F36" w:rsidRPr="006A3F36" w:rsidRDefault="006A3F36" w:rsidP="006A3F36">
            <w:pPr>
              <w:spacing w:after="60"/>
            </w:pPr>
            <w:r w:rsidRPr="006A3F36">
              <w:t>Lead; lead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D230</w:t>
            </w:r>
          </w:p>
        </w:tc>
        <w:tc>
          <w:tcPr>
            <w:tcW w:w="4379" w:type="dxa"/>
          </w:tcPr>
          <w:p w:rsidR="006A3F36" w:rsidRPr="006A3F36" w:rsidRDefault="006A3F36" w:rsidP="006A3F36">
            <w:pPr>
              <w:spacing w:after="60"/>
            </w:pPr>
            <w:r w:rsidRPr="006A3F36">
              <w:t>Zinc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D240</w:t>
            </w:r>
          </w:p>
        </w:tc>
        <w:tc>
          <w:tcPr>
            <w:tcW w:w="4379" w:type="dxa"/>
          </w:tcPr>
          <w:p w:rsidR="006A3F36" w:rsidRPr="006A3F36" w:rsidRDefault="006A3F36" w:rsidP="006A3F36">
            <w:pPr>
              <w:spacing w:after="60"/>
            </w:pPr>
            <w:r w:rsidRPr="006A3F36">
              <w:t>Selenium; selenium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D250</w:t>
            </w:r>
          </w:p>
        </w:tc>
        <w:tc>
          <w:tcPr>
            <w:tcW w:w="4379" w:type="dxa"/>
          </w:tcPr>
          <w:p w:rsidR="006A3F36" w:rsidRPr="006A3F36" w:rsidRDefault="006A3F36" w:rsidP="006A3F36">
            <w:pPr>
              <w:spacing w:after="60"/>
            </w:pPr>
            <w:r w:rsidRPr="006A3F36">
              <w:t>Tellurium; tellurium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D270</w:t>
            </w:r>
          </w:p>
        </w:tc>
        <w:tc>
          <w:tcPr>
            <w:tcW w:w="4379" w:type="dxa"/>
          </w:tcPr>
          <w:p w:rsidR="006A3F36" w:rsidRPr="006A3F36" w:rsidRDefault="006A3F36" w:rsidP="006A3F36">
            <w:pPr>
              <w:spacing w:after="60"/>
            </w:pPr>
            <w:r w:rsidRPr="006A3F36">
              <w:t>Vanadium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D290</w:t>
            </w:r>
          </w:p>
        </w:tc>
        <w:tc>
          <w:tcPr>
            <w:tcW w:w="4379" w:type="dxa"/>
          </w:tcPr>
          <w:p w:rsidR="006A3F36" w:rsidRPr="006A3F36" w:rsidRDefault="006A3F36" w:rsidP="006A3F36">
            <w:pPr>
              <w:spacing w:after="60"/>
            </w:pPr>
            <w:r w:rsidRPr="006A3F36">
              <w:t>Barium compounds (excluding barium sulphate)</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D300</w:t>
            </w:r>
          </w:p>
        </w:tc>
        <w:tc>
          <w:tcPr>
            <w:tcW w:w="4379" w:type="dxa"/>
          </w:tcPr>
          <w:p w:rsidR="006A3F36" w:rsidRPr="006A3F36" w:rsidRDefault="006A3F36" w:rsidP="006A3F36">
            <w:pPr>
              <w:spacing w:after="60"/>
            </w:pPr>
            <w:r w:rsidRPr="006A3F36">
              <w:t>Non-toxic salts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D310</w:t>
            </w:r>
          </w:p>
        </w:tc>
        <w:tc>
          <w:tcPr>
            <w:tcW w:w="4379" w:type="dxa"/>
          </w:tcPr>
          <w:p w:rsidR="006A3F36" w:rsidRPr="006A3F36" w:rsidRDefault="006A3F36" w:rsidP="006A3F36">
            <w:pPr>
              <w:spacing w:after="60"/>
            </w:pPr>
            <w:r w:rsidRPr="006A3F36">
              <w:t>Boron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D330</w:t>
            </w:r>
          </w:p>
        </w:tc>
        <w:tc>
          <w:tcPr>
            <w:tcW w:w="4379" w:type="dxa"/>
          </w:tcPr>
          <w:p w:rsidR="006A3F36" w:rsidRPr="006A3F36" w:rsidRDefault="006A3F36" w:rsidP="006A3F36">
            <w:pPr>
              <w:spacing w:after="60"/>
            </w:pPr>
            <w:r w:rsidRPr="006A3F36">
              <w:t xml:space="preserve">Inorganic </w:t>
            </w:r>
            <w:proofErr w:type="spellStart"/>
            <w:r w:rsidRPr="006A3F36">
              <w:t>sulfides</w:t>
            </w:r>
            <w:proofErr w:type="spellEnd"/>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D340</w:t>
            </w:r>
          </w:p>
        </w:tc>
        <w:tc>
          <w:tcPr>
            <w:tcW w:w="4379" w:type="dxa"/>
          </w:tcPr>
          <w:p w:rsidR="006A3F36" w:rsidRPr="006A3F36" w:rsidRDefault="006A3F36" w:rsidP="006A3F36">
            <w:pPr>
              <w:spacing w:after="60"/>
            </w:pPr>
            <w:proofErr w:type="spellStart"/>
            <w:r w:rsidRPr="006A3F36">
              <w:t>Perchlorates</w:t>
            </w:r>
            <w:proofErr w:type="spellEnd"/>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D350</w:t>
            </w:r>
          </w:p>
        </w:tc>
        <w:tc>
          <w:tcPr>
            <w:tcW w:w="4379" w:type="dxa"/>
          </w:tcPr>
          <w:p w:rsidR="006A3F36" w:rsidRPr="006A3F36" w:rsidRDefault="006A3F36" w:rsidP="006A3F36">
            <w:pPr>
              <w:spacing w:after="60"/>
            </w:pPr>
            <w:r w:rsidRPr="006A3F36">
              <w:t>Chlorates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D360</w:t>
            </w:r>
          </w:p>
        </w:tc>
        <w:tc>
          <w:tcPr>
            <w:tcW w:w="4379" w:type="dxa"/>
          </w:tcPr>
          <w:p w:rsidR="006A3F36" w:rsidRPr="006A3F36" w:rsidRDefault="006A3F36" w:rsidP="006A3F36">
            <w:pPr>
              <w:spacing w:after="60"/>
            </w:pPr>
            <w:r w:rsidRPr="006A3F36">
              <w:t>Phosphorus compounds excluding mineral phosphates</w:t>
            </w:r>
          </w:p>
        </w:tc>
      </w:tr>
      <w:tr w:rsidR="006A3F36" w:rsidRPr="006A3F36" w:rsidTr="00D54C8D">
        <w:tc>
          <w:tcPr>
            <w:tcW w:w="694" w:type="dxa"/>
          </w:tcPr>
          <w:p w:rsidR="006A3F36" w:rsidRPr="006A3F36" w:rsidRDefault="006A3F36" w:rsidP="006A3F36">
            <w:pPr>
              <w:spacing w:after="60"/>
            </w:pPr>
            <w:r w:rsidRPr="006A3F36">
              <w:lastRenderedPageBreak/>
              <w:t>E</w:t>
            </w:r>
          </w:p>
        </w:tc>
        <w:tc>
          <w:tcPr>
            <w:tcW w:w="2693" w:type="dxa"/>
          </w:tcPr>
          <w:p w:rsidR="006A3F36" w:rsidRPr="006A3F36" w:rsidRDefault="006A3F36" w:rsidP="006A3F36">
            <w:pPr>
              <w:spacing w:after="60"/>
            </w:pPr>
            <w:r w:rsidRPr="006A3F36">
              <w:t>Reactive chemicals</w:t>
            </w:r>
          </w:p>
        </w:tc>
        <w:tc>
          <w:tcPr>
            <w:tcW w:w="709" w:type="dxa"/>
          </w:tcPr>
          <w:p w:rsidR="006A3F36" w:rsidRPr="006A3F36" w:rsidRDefault="006A3F36" w:rsidP="006A3F36">
            <w:pPr>
              <w:spacing w:after="60"/>
            </w:pPr>
            <w:r w:rsidRPr="006A3F36">
              <w:t>E100</w:t>
            </w:r>
          </w:p>
        </w:tc>
        <w:tc>
          <w:tcPr>
            <w:tcW w:w="4379" w:type="dxa"/>
          </w:tcPr>
          <w:p w:rsidR="006A3F36" w:rsidRPr="006A3F36" w:rsidRDefault="006A3F36" w:rsidP="006A3F36">
            <w:pPr>
              <w:spacing w:after="60"/>
            </w:pPr>
            <w:r w:rsidRPr="006A3F36">
              <w:t>Waste containing peroxides other than hydrogen peroxide</w:t>
            </w:r>
          </w:p>
        </w:tc>
      </w:tr>
      <w:tr w:rsidR="006A3F36" w:rsidRPr="006A3F36" w:rsidTr="00D54C8D">
        <w:tc>
          <w:tcPr>
            <w:tcW w:w="694" w:type="dxa"/>
            <w:vMerge w:val="restart"/>
          </w:tcPr>
          <w:p w:rsidR="006A3F36" w:rsidRPr="006A3F36" w:rsidRDefault="006A3F36" w:rsidP="006A3F36">
            <w:pPr>
              <w:spacing w:after="60"/>
            </w:pPr>
            <w:r w:rsidRPr="006A3F36">
              <w:t>F</w:t>
            </w:r>
          </w:p>
        </w:tc>
        <w:tc>
          <w:tcPr>
            <w:tcW w:w="2693" w:type="dxa"/>
            <w:vMerge w:val="restart"/>
          </w:tcPr>
          <w:p w:rsidR="006A3F36" w:rsidRPr="006A3F36" w:rsidRDefault="006A3F36" w:rsidP="006A3F36">
            <w:pPr>
              <w:spacing w:after="60"/>
            </w:pPr>
            <w:r w:rsidRPr="006A3F36">
              <w:t xml:space="preserve">Paints, resins, inks, organic </w:t>
            </w:r>
            <w:proofErr w:type="spellStart"/>
            <w:r w:rsidRPr="006A3F36">
              <w:t>sludges</w:t>
            </w:r>
            <w:proofErr w:type="spellEnd"/>
          </w:p>
        </w:tc>
        <w:tc>
          <w:tcPr>
            <w:tcW w:w="709" w:type="dxa"/>
          </w:tcPr>
          <w:p w:rsidR="006A3F36" w:rsidRPr="006A3F36" w:rsidRDefault="006A3F36" w:rsidP="006A3F36">
            <w:pPr>
              <w:spacing w:after="60"/>
            </w:pPr>
            <w:r w:rsidRPr="006A3F36">
              <w:t>F100</w:t>
            </w:r>
          </w:p>
        </w:tc>
        <w:tc>
          <w:tcPr>
            <w:tcW w:w="4379" w:type="dxa"/>
          </w:tcPr>
          <w:p w:rsidR="006A3F36" w:rsidRPr="006A3F36" w:rsidRDefault="006A3F36" w:rsidP="006A3F36">
            <w:pPr>
              <w:spacing w:after="60"/>
            </w:pPr>
            <w:r w:rsidRPr="006A3F36">
              <w:t>Waste from the production, formulation and use of inks, dyes, pigments, paints, lacquers and varnish</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F110</w:t>
            </w:r>
          </w:p>
        </w:tc>
        <w:tc>
          <w:tcPr>
            <w:tcW w:w="4379" w:type="dxa"/>
          </w:tcPr>
          <w:p w:rsidR="006A3F36" w:rsidRPr="006A3F36" w:rsidRDefault="006A3F36" w:rsidP="006A3F36">
            <w:pPr>
              <w:spacing w:after="60"/>
            </w:pPr>
            <w:r w:rsidRPr="006A3F36">
              <w:t>Waste from the production, formulation and use of resins, latex, plasticisers, glues and adhesives</w:t>
            </w:r>
          </w:p>
        </w:tc>
      </w:tr>
      <w:tr w:rsidR="006A3F36" w:rsidRPr="006A3F36" w:rsidTr="00D54C8D">
        <w:tc>
          <w:tcPr>
            <w:tcW w:w="694" w:type="dxa"/>
            <w:vMerge w:val="restart"/>
          </w:tcPr>
          <w:p w:rsidR="006A3F36" w:rsidRPr="006A3F36" w:rsidRDefault="006A3F36" w:rsidP="006A3F36">
            <w:pPr>
              <w:spacing w:after="60"/>
            </w:pPr>
            <w:r w:rsidRPr="006A3F36">
              <w:t>G</w:t>
            </w:r>
          </w:p>
        </w:tc>
        <w:tc>
          <w:tcPr>
            <w:tcW w:w="2693" w:type="dxa"/>
            <w:vMerge w:val="restart"/>
          </w:tcPr>
          <w:p w:rsidR="006A3F36" w:rsidRPr="006A3F36" w:rsidRDefault="006A3F36" w:rsidP="006A3F36">
            <w:pPr>
              <w:spacing w:after="60"/>
            </w:pPr>
            <w:r w:rsidRPr="006A3F36">
              <w:t>Organic solvents</w:t>
            </w:r>
          </w:p>
        </w:tc>
        <w:tc>
          <w:tcPr>
            <w:tcW w:w="709" w:type="dxa"/>
          </w:tcPr>
          <w:p w:rsidR="006A3F36" w:rsidRPr="006A3F36" w:rsidRDefault="006A3F36" w:rsidP="006A3F36">
            <w:pPr>
              <w:spacing w:after="60"/>
            </w:pPr>
            <w:r w:rsidRPr="006A3F36">
              <w:t>G100</w:t>
            </w:r>
          </w:p>
        </w:tc>
        <w:tc>
          <w:tcPr>
            <w:tcW w:w="4379" w:type="dxa"/>
          </w:tcPr>
          <w:p w:rsidR="006A3F36" w:rsidRPr="006A3F36" w:rsidRDefault="006A3F36" w:rsidP="006A3F36">
            <w:pPr>
              <w:spacing w:after="60"/>
            </w:pPr>
            <w:r w:rsidRPr="006A3F36">
              <w:t>Ethers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G110</w:t>
            </w:r>
          </w:p>
        </w:tc>
        <w:tc>
          <w:tcPr>
            <w:tcW w:w="4379" w:type="dxa"/>
          </w:tcPr>
          <w:p w:rsidR="006A3F36" w:rsidRPr="006A3F36" w:rsidRDefault="006A3F36" w:rsidP="006A3F36">
            <w:pPr>
              <w:spacing w:after="60"/>
            </w:pPr>
            <w:r w:rsidRPr="006A3F36">
              <w:t>Organic solvents excluding halogenated solvents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G150</w:t>
            </w:r>
          </w:p>
        </w:tc>
        <w:tc>
          <w:tcPr>
            <w:tcW w:w="4379" w:type="dxa"/>
          </w:tcPr>
          <w:p w:rsidR="006A3F36" w:rsidRPr="006A3F36" w:rsidRDefault="006A3F36" w:rsidP="006A3F36">
            <w:pPr>
              <w:spacing w:after="60"/>
            </w:pPr>
            <w:r w:rsidRPr="006A3F36">
              <w:t>Halogenated organic solvents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G160</w:t>
            </w:r>
          </w:p>
        </w:tc>
        <w:tc>
          <w:tcPr>
            <w:tcW w:w="4379" w:type="dxa"/>
          </w:tcPr>
          <w:p w:rsidR="006A3F36" w:rsidRPr="006A3F36" w:rsidRDefault="006A3F36" w:rsidP="006A3F36">
            <w:pPr>
              <w:spacing w:after="60"/>
            </w:pPr>
            <w:r w:rsidRPr="006A3F36">
              <w:t>Waste from the production, formulation and use of organic solvents</w:t>
            </w:r>
          </w:p>
        </w:tc>
      </w:tr>
      <w:tr w:rsidR="006A3F36" w:rsidRPr="006A3F36" w:rsidTr="00D54C8D">
        <w:tc>
          <w:tcPr>
            <w:tcW w:w="694" w:type="dxa"/>
            <w:vMerge w:val="restart"/>
          </w:tcPr>
          <w:p w:rsidR="006A3F36" w:rsidRPr="006A3F36" w:rsidRDefault="006A3F36" w:rsidP="006A3F36">
            <w:pPr>
              <w:spacing w:after="60"/>
            </w:pPr>
            <w:r w:rsidRPr="006A3F36">
              <w:t>H</w:t>
            </w:r>
          </w:p>
        </w:tc>
        <w:tc>
          <w:tcPr>
            <w:tcW w:w="2693" w:type="dxa"/>
            <w:vMerge w:val="restart"/>
          </w:tcPr>
          <w:p w:rsidR="006A3F36" w:rsidRPr="006A3F36" w:rsidRDefault="006A3F36" w:rsidP="006A3F36">
            <w:pPr>
              <w:spacing w:after="60"/>
            </w:pPr>
            <w:r w:rsidRPr="006A3F36">
              <w:t>Pesticides</w:t>
            </w:r>
          </w:p>
        </w:tc>
        <w:tc>
          <w:tcPr>
            <w:tcW w:w="709" w:type="dxa"/>
          </w:tcPr>
          <w:p w:rsidR="006A3F36" w:rsidRPr="006A3F36" w:rsidRDefault="006A3F36" w:rsidP="006A3F36">
            <w:pPr>
              <w:spacing w:after="60"/>
            </w:pPr>
            <w:r w:rsidRPr="006A3F36">
              <w:t>H100</w:t>
            </w:r>
          </w:p>
        </w:tc>
        <w:tc>
          <w:tcPr>
            <w:tcW w:w="4379" w:type="dxa"/>
          </w:tcPr>
          <w:p w:rsidR="006A3F36" w:rsidRPr="006A3F36" w:rsidRDefault="006A3F36" w:rsidP="006A3F36">
            <w:pPr>
              <w:spacing w:after="60"/>
            </w:pPr>
            <w:r w:rsidRPr="006A3F36">
              <w:t xml:space="preserve">Waste from the production, formulation and use of biocides and </w:t>
            </w:r>
            <w:proofErr w:type="spellStart"/>
            <w:r w:rsidRPr="006A3F36">
              <w:t>phytopharmaceuticals</w:t>
            </w:r>
            <w:proofErr w:type="spellEnd"/>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H110</w:t>
            </w:r>
          </w:p>
        </w:tc>
        <w:tc>
          <w:tcPr>
            <w:tcW w:w="4379" w:type="dxa"/>
          </w:tcPr>
          <w:p w:rsidR="006A3F36" w:rsidRPr="006A3F36" w:rsidRDefault="006A3F36" w:rsidP="006A3F36">
            <w:pPr>
              <w:spacing w:after="60"/>
            </w:pPr>
            <w:r w:rsidRPr="006A3F36">
              <w:t>Organic phosphorous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H170</w:t>
            </w:r>
          </w:p>
        </w:tc>
        <w:tc>
          <w:tcPr>
            <w:tcW w:w="4379" w:type="dxa"/>
          </w:tcPr>
          <w:p w:rsidR="006A3F36" w:rsidRPr="006A3F36" w:rsidRDefault="006A3F36" w:rsidP="006A3F36">
            <w:pPr>
              <w:spacing w:after="60"/>
            </w:pPr>
            <w:r w:rsidRPr="006A3F36">
              <w:t>Waste from manufacture, formulation and use of wood-preserving chemicals</w:t>
            </w:r>
          </w:p>
        </w:tc>
      </w:tr>
      <w:tr w:rsidR="006A3F36" w:rsidRPr="006A3F36" w:rsidTr="00D54C8D">
        <w:tc>
          <w:tcPr>
            <w:tcW w:w="694" w:type="dxa"/>
            <w:vMerge w:val="restart"/>
          </w:tcPr>
          <w:p w:rsidR="006A3F36" w:rsidRPr="006A3F36" w:rsidRDefault="006A3F36" w:rsidP="006A3F36">
            <w:pPr>
              <w:spacing w:after="60"/>
            </w:pPr>
            <w:r w:rsidRPr="006A3F36">
              <w:t>J</w:t>
            </w:r>
          </w:p>
        </w:tc>
        <w:tc>
          <w:tcPr>
            <w:tcW w:w="2693" w:type="dxa"/>
            <w:vMerge w:val="restart"/>
          </w:tcPr>
          <w:p w:rsidR="006A3F36" w:rsidRPr="006A3F36" w:rsidRDefault="006A3F36" w:rsidP="006A3F36">
            <w:pPr>
              <w:spacing w:after="60"/>
            </w:pPr>
            <w:r w:rsidRPr="006A3F36">
              <w:t>Oils</w:t>
            </w:r>
          </w:p>
        </w:tc>
        <w:tc>
          <w:tcPr>
            <w:tcW w:w="709" w:type="dxa"/>
          </w:tcPr>
          <w:p w:rsidR="006A3F36" w:rsidRPr="006A3F36" w:rsidRDefault="006A3F36" w:rsidP="006A3F36">
            <w:pPr>
              <w:spacing w:after="60"/>
            </w:pPr>
            <w:r w:rsidRPr="006A3F36">
              <w:t>J100</w:t>
            </w:r>
          </w:p>
        </w:tc>
        <w:tc>
          <w:tcPr>
            <w:tcW w:w="4379" w:type="dxa"/>
          </w:tcPr>
          <w:p w:rsidR="006A3F36" w:rsidRPr="006A3F36" w:rsidRDefault="006A3F36" w:rsidP="006A3F36">
            <w:pPr>
              <w:spacing w:after="60"/>
            </w:pPr>
            <w:r w:rsidRPr="006A3F36">
              <w:t>Waste mineral oils unfit for their original intended use</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J120</w:t>
            </w:r>
          </w:p>
        </w:tc>
        <w:tc>
          <w:tcPr>
            <w:tcW w:w="4379" w:type="dxa"/>
          </w:tcPr>
          <w:p w:rsidR="006A3F36" w:rsidRPr="006A3F36" w:rsidRDefault="006A3F36" w:rsidP="006A3F36">
            <w:pPr>
              <w:spacing w:after="60"/>
            </w:pPr>
            <w:r w:rsidRPr="006A3F36">
              <w:t>Waste oil/water, hydrocarbons/water mixtures or emulsions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J160</w:t>
            </w:r>
          </w:p>
        </w:tc>
        <w:tc>
          <w:tcPr>
            <w:tcW w:w="4379" w:type="dxa"/>
          </w:tcPr>
          <w:p w:rsidR="006A3F36" w:rsidRPr="006A3F36" w:rsidRDefault="006A3F36" w:rsidP="006A3F36">
            <w:pPr>
              <w:spacing w:after="60"/>
            </w:pPr>
            <w:r w:rsidRPr="006A3F36">
              <w:t xml:space="preserve">Waste tarry residues arising from refining, distillation, and any </w:t>
            </w:r>
            <w:proofErr w:type="spellStart"/>
            <w:r w:rsidRPr="006A3F36">
              <w:t>pyrolytic</w:t>
            </w:r>
            <w:proofErr w:type="spellEnd"/>
            <w:r w:rsidRPr="006A3F36">
              <w:t xml:space="preserve"> treatment</w:t>
            </w:r>
          </w:p>
        </w:tc>
      </w:tr>
      <w:tr w:rsidR="006A3F36" w:rsidRPr="006A3F36" w:rsidTr="00D54C8D">
        <w:tc>
          <w:tcPr>
            <w:tcW w:w="694" w:type="dxa"/>
            <w:vMerge w:val="restart"/>
          </w:tcPr>
          <w:p w:rsidR="006A3F36" w:rsidRPr="006A3F36" w:rsidRDefault="006A3F36" w:rsidP="006A3F36">
            <w:pPr>
              <w:spacing w:after="60"/>
            </w:pPr>
            <w:r w:rsidRPr="006A3F36">
              <w:t>K</w:t>
            </w:r>
          </w:p>
        </w:tc>
        <w:tc>
          <w:tcPr>
            <w:tcW w:w="2693" w:type="dxa"/>
            <w:vMerge w:val="restart"/>
          </w:tcPr>
          <w:p w:rsidR="006A3F36" w:rsidRPr="006A3F36" w:rsidRDefault="006A3F36" w:rsidP="006A3F36">
            <w:pPr>
              <w:spacing w:after="60"/>
            </w:pPr>
            <w:proofErr w:type="spellStart"/>
            <w:r w:rsidRPr="006A3F36">
              <w:t>Putrescible</w:t>
            </w:r>
            <w:proofErr w:type="spellEnd"/>
            <w:r w:rsidRPr="006A3F36">
              <w:t xml:space="preserve"> / organic waste</w:t>
            </w:r>
          </w:p>
        </w:tc>
        <w:tc>
          <w:tcPr>
            <w:tcW w:w="709" w:type="dxa"/>
          </w:tcPr>
          <w:p w:rsidR="006A3F36" w:rsidRPr="006A3F36" w:rsidRDefault="006A3F36" w:rsidP="006A3F36">
            <w:pPr>
              <w:spacing w:after="60"/>
            </w:pPr>
            <w:r w:rsidRPr="006A3F36">
              <w:t>K100</w:t>
            </w:r>
          </w:p>
        </w:tc>
        <w:tc>
          <w:tcPr>
            <w:tcW w:w="4379" w:type="dxa"/>
          </w:tcPr>
          <w:p w:rsidR="006A3F36" w:rsidRPr="006A3F36" w:rsidRDefault="006A3F36" w:rsidP="006A3F36">
            <w:pPr>
              <w:spacing w:after="60"/>
            </w:pPr>
            <w:r w:rsidRPr="006A3F36">
              <w:t>Animal effluent and residues (abattoir effluent, poultry and fish processing wastes)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K110</w:t>
            </w:r>
          </w:p>
        </w:tc>
        <w:tc>
          <w:tcPr>
            <w:tcW w:w="4379" w:type="dxa"/>
          </w:tcPr>
          <w:p w:rsidR="006A3F36" w:rsidRPr="006A3F36" w:rsidRDefault="006A3F36" w:rsidP="006A3F36">
            <w:pPr>
              <w:spacing w:after="60"/>
            </w:pPr>
            <w:r w:rsidRPr="006A3F36">
              <w:t>Grease trap waste</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K140</w:t>
            </w:r>
          </w:p>
        </w:tc>
        <w:tc>
          <w:tcPr>
            <w:tcW w:w="4379" w:type="dxa"/>
          </w:tcPr>
          <w:p w:rsidR="006A3F36" w:rsidRPr="006A3F36" w:rsidRDefault="006A3F36" w:rsidP="006A3F36">
            <w:pPr>
              <w:spacing w:after="60"/>
            </w:pPr>
            <w:r w:rsidRPr="006A3F36">
              <w:t xml:space="preserve">Tannery wastes (including leather dust, ash, </w:t>
            </w:r>
            <w:proofErr w:type="spellStart"/>
            <w:r w:rsidRPr="006A3F36">
              <w:t>sludges</w:t>
            </w:r>
            <w:proofErr w:type="spellEnd"/>
            <w:r w:rsidRPr="006A3F36">
              <w:t xml:space="preserve"> and flours)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K190</w:t>
            </w:r>
          </w:p>
        </w:tc>
        <w:tc>
          <w:tcPr>
            <w:tcW w:w="4379" w:type="dxa"/>
          </w:tcPr>
          <w:p w:rsidR="006A3F36" w:rsidRPr="006A3F36" w:rsidRDefault="006A3F36" w:rsidP="006A3F36">
            <w:pPr>
              <w:spacing w:after="60"/>
            </w:pPr>
            <w:r w:rsidRPr="006A3F36">
              <w:t>Wool scouring wastes</w:t>
            </w:r>
          </w:p>
        </w:tc>
      </w:tr>
      <w:tr w:rsidR="006A3F36" w:rsidRPr="006A3F36" w:rsidTr="00D54C8D">
        <w:tc>
          <w:tcPr>
            <w:tcW w:w="694" w:type="dxa"/>
          </w:tcPr>
          <w:p w:rsidR="006A3F36" w:rsidRPr="006A3F36" w:rsidRDefault="006A3F36" w:rsidP="006A3F36">
            <w:pPr>
              <w:spacing w:after="60"/>
            </w:pPr>
            <w:r w:rsidRPr="006A3F36">
              <w:t>L</w:t>
            </w:r>
          </w:p>
        </w:tc>
        <w:tc>
          <w:tcPr>
            <w:tcW w:w="2693" w:type="dxa"/>
          </w:tcPr>
          <w:p w:rsidR="006A3F36" w:rsidRPr="006A3F36" w:rsidRDefault="006A3F36" w:rsidP="006A3F36">
            <w:pPr>
              <w:spacing w:after="60"/>
            </w:pPr>
            <w:r w:rsidRPr="006A3F36">
              <w:t xml:space="preserve">Industrial </w:t>
            </w:r>
            <w:proofErr w:type="spellStart"/>
            <w:r w:rsidRPr="006A3F36">
              <w:t>washwater</w:t>
            </w:r>
            <w:proofErr w:type="spellEnd"/>
          </w:p>
        </w:tc>
        <w:tc>
          <w:tcPr>
            <w:tcW w:w="709" w:type="dxa"/>
          </w:tcPr>
          <w:p w:rsidR="006A3F36" w:rsidRPr="006A3F36" w:rsidRDefault="006A3F36" w:rsidP="006A3F36">
            <w:pPr>
              <w:spacing w:after="60"/>
            </w:pPr>
            <w:r w:rsidRPr="006A3F36">
              <w:t>-</w:t>
            </w:r>
          </w:p>
        </w:tc>
        <w:tc>
          <w:tcPr>
            <w:tcW w:w="4379" w:type="dxa"/>
          </w:tcPr>
          <w:p w:rsidR="006A3F36" w:rsidRPr="006A3F36" w:rsidRDefault="006A3F36" w:rsidP="006A3F36">
            <w:pPr>
              <w:spacing w:after="60"/>
            </w:pPr>
            <w:r w:rsidRPr="006A3F36">
              <w:t>Not listed in Schedule A List 1 of NEPM. Heading reported as part of "15" in NEPM annual reporting</w:t>
            </w:r>
          </w:p>
        </w:tc>
      </w:tr>
      <w:tr w:rsidR="006A3F36" w:rsidRPr="006A3F36" w:rsidTr="00D54C8D">
        <w:tc>
          <w:tcPr>
            <w:tcW w:w="694" w:type="dxa"/>
            <w:vMerge w:val="restart"/>
          </w:tcPr>
          <w:p w:rsidR="006A3F36" w:rsidRPr="006A3F36" w:rsidRDefault="006A3F36" w:rsidP="006A3F36">
            <w:pPr>
              <w:spacing w:after="60"/>
            </w:pPr>
            <w:r w:rsidRPr="006A3F36">
              <w:t>M</w:t>
            </w:r>
          </w:p>
        </w:tc>
        <w:tc>
          <w:tcPr>
            <w:tcW w:w="2693" w:type="dxa"/>
            <w:vMerge w:val="restart"/>
          </w:tcPr>
          <w:p w:rsidR="006A3F36" w:rsidRPr="006A3F36" w:rsidRDefault="006A3F36" w:rsidP="006A3F36">
            <w:pPr>
              <w:spacing w:after="60"/>
            </w:pPr>
            <w:r w:rsidRPr="006A3F36">
              <w:t>Organic chemicals</w:t>
            </w:r>
          </w:p>
        </w:tc>
        <w:tc>
          <w:tcPr>
            <w:tcW w:w="709" w:type="dxa"/>
          </w:tcPr>
          <w:p w:rsidR="006A3F36" w:rsidRPr="006A3F36" w:rsidRDefault="006A3F36" w:rsidP="006A3F36">
            <w:pPr>
              <w:spacing w:after="60"/>
            </w:pPr>
            <w:r w:rsidRPr="006A3F36">
              <w:t>M100</w:t>
            </w:r>
          </w:p>
        </w:tc>
        <w:tc>
          <w:tcPr>
            <w:tcW w:w="4379" w:type="dxa"/>
          </w:tcPr>
          <w:p w:rsidR="006A3F36" w:rsidRPr="006A3F36" w:rsidRDefault="006A3F36" w:rsidP="006A3F36">
            <w:pPr>
              <w:spacing w:after="60"/>
            </w:pPr>
            <w:r w:rsidRPr="006A3F36">
              <w:t xml:space="preserve">Waste substances and articles containing or contaminated with polychlorinated biphenyls, polychlorinated </w:t>
            </w:r>
            <w:proofErr w:type="spellStart"/>
            <w:r w:rsidRPr="006A3F36">
              <w:t>napthalenes</w:t>
            </w:r>
            <w:proofErr w:type="spellEnd"/>
            <w:r w:rsidRPr="006A3F36">
              <w:t xml:space="preserve">, polychlorinated </w:t>
            </w:r>
            <w:proofErr w:type="spellStart"/>
            <w:r w:rsidRPr="006A3F36">
              <w:t>terphenyls</w:t>
            </w:r>
            <w:proofErr w:type="spellEnd"/>
            <w:r w:rsidRPr="006A3F36">
              <w:t xml:space="preserve"> and/or </w:t>
            </w:r>
            <w:proofErr w:type="spellStart"/>
            <w:r w:rsidRPr="006A3F36">
              <w:t>polybrominated</w:t>
            </w:r>
            <w:proofErr w:type="spellEnd"/>
            <w:r w:rsidRPr="006A3F36">
              <w:t xml:space="preserve"> biphenyls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M150</w:t>
            </w:r>
          </w:p>
        </w:tc>
        <w:tc>
          <w:tcPr>
            <w:tcW w:w="4379" w:type="dxa"/>
          </w:tcPr>
          <w:p w:rsidR="006A3F36" w:rsidRPr="006A3F36" w:rsidRDefault="006A3F36" w:rsidP="006A3F36">
            <w:pPr>
              <w:spacing w:after="60"/>
            </w:pPr>
            <w:r w:rsidRPr="006A3F36">
              <w:t xml:space="preserve">Phenols, phenol compounds including </w:t>
            </w:r>
            <w:proofErr w:type="spellStart"/>
            <w:r w:rsidRPr="006A3F36">
              <w:t>chlorophenols</w:t>
            </w:r>
            <w:proofErr w:type="spellEnd"/>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M160</w:t>
            </w:r>
          </w:p>
        </w:tc>
        <w:tc>
          <w:tcPr>
            <w:tcW w:w="4379" w:type="dxa"/>
          </w:tcPr>
          <w:p w:rsidR="006A3F36" w:rsidRPr="006A3F36" w:rsidRDefault="006A3F36" w:rsidP="006A3F36">
            <w:pPr>
              <w:spacing w:after="60"/>
            </w:pPr>
            <w:proofErr w:type="spellStart"/>
            <w:r w:rsidRPr="006A3F36">
              <w:t>Organo</w:t>
            </w:r>
            <w:proofErr w:type="spellEnd"/>
            <w:r w:rsidRPr="006A3F36">
              <w:t xml:space="preserve"> halogen compounds—other than substances referred to in this Table or Table 2</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M170</w:t>
            </w:r>
          </w:p>
        </w:tc>
        <w:tc>
          <w:tcPr>
            <w:tcW w:w="4379" w:type="dxa"/>
          </w:tcPr>
          <w:p w:rsidR="006A3F36" w:rsidRPr="006A3F36" w:rsidRDefault="006A3F36" w:rsidP="006A3F36">
            <w:pPr>
              <w:spacing w:after="60"/>
            </w:pPr>
            <w:r w:rsidRPr="006A3F36">
              <w:t xml:space="preserve">Polychlorinated </w:t>
            </w:r>
            <w:proofErr w:type="spellStart"/>
            <w:r w:rsidRPr="006A3F36">
              <w:t>dibenzo</w:t>
            </w:r>
            <w:proofErr w:type="spellEnd"/>
            <w:r w:rsidRPr="006A3F36">
              <w:t>-furan (any congener)</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M180</w:t>
            </w:r>
          </w:p>
        </w:tc>
        <w:tc>
          <w:tcPr>
            <w:tcW w:w="4379" w:type="dxa"/>
          </w:tcPr>
          <w:p w:rsidR="006A3F36" w:rsidRPr="006A3F36" w:rsidRDefault="006A3F36" w:rsidP="006A3F36">
            <w:pPr>
              <w:spacing w:after="60"/>
            </w:pPr>
            <w:r w:rsidRPr="006A3F36">
              <w:t xml:space="preserve">Polychlorinated </w:t>
            </w:r>
            <w:proofErr w:type="spellStart"/>
            <w:r w:rsidRPr="006A3F36">
              <w:t>dibenzo</w:t>
            </w:r>
            <w:proofErr w:type="spellEnd"/>
            <w:r w:rsidRPr="006A3F36">
              <w:t>-p-dioxin (any congener)</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M210</w:t>
            </w:r>
          </w:p>
        </w:tc>
        <w:tc>
          <w:tcPr>
            <w:tcW w:w="4379" w:type="dxa"/>
          </w:tcPr>
          <w:p w:rsidR="006A3F36" w:rsidRPr="006A3F36" w:rsidRDefault="006A3F36" w:rsidP="006A3F36">
            <w:pPr>
              <w:spacing w:after="60"/>
            </w:pPr>
            <w:r w:rsidRPr="006A3F36">
              <w:t>Cyanides (organic)</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M220</w:t>
            </w:r>
          </w:p>
        </w:tc>
        <w:tc>
          <w:tcPr>
            <w:tcW w:w="4379" w:type="dxa"/>
          </w:tcPr>
          <w:p w:rsidR="006A3F36" w:rsidRPr="006A3F36" w:rsidRDefault="006A3F36" w:rsidP="006A3F36">
            <w:pPr>
              <w:spacing w:after="60"/>
            </w:pPr>
            <w:proofErr w:type="spellStart"/>
            <w:r w:rsidRPr="006A3F36">
              <w:t>Isocyanate</w:t>
            </w:r>
            <w:proofErr w:type="spellEnd"/>
            <w:r w:rsidRPr="006A3F36">
              <w:t xml:space="preserve"> compounds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M230</w:t>
            </w:r>
          </w:p>
        </w:tc>
        <w:tc>
          <w:tcPr>
            <w:tcW w:w="4379" w:type="dxa"/>
          </w:tcPr>
          <w:p w:rsidR="006A3F36" w:rsidRPr="006A3F36" w:rsidRDefault="006A3F36" w:rsidP="006A3F36">
            <w:pPr>
              <w:spacing w:after="60"/>
            </w:pPr>
            <w:r w:rsidRPr="006A3F36">
              <w:t>Triethylamine catalysts for setting foundry sands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M250</w:t>
            </w:r>
          </w:p>
        </w:tc>
        <w:tc>
          <w:tcPr>
            <w:tcW w:w="4379" w:type="dxa"/>
          </w:tcPr>
          <w:p w:rsidR="006A3F36" w:rsidRPr="006A3F36" w:rsidRDefault="006A3F36" w:rsidP="006A3F36">
            <w:pPr>
              <w:spacing w:after="60"/>
            </w:pPr>
            <w:r w:rsidRPr="006A3F36">
              <w:t>Surface active agents (surfactants), containing principally organic constituents and which may contain metals and inorganic materials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M260</w:t>
            </w:r>
          </w:p>
        </w:tc>
        <w:tc>
          <w:tcPr>
            <w:tcW w:w="4379" w:type="dxa"/>
          </w:tcPr>
          <w:p w:rsidR="006A3F36" w:rsidRPr="006A3F36" w:rsidRDefault="006A3F36" w:rsidP="006A3F36">
            <w:pPr>
              <w:spacing w:after="60"/>
            </w:pPr>
            <w:r w:rsidRPr="006A3F36">
              <w:t xml:space="preserve">Highly odorous organic chemicals (including </w:t>
            </w:r>
            <w:proofErr w:type="spellStart"/>
            <w:r w:rsidRPr="006A3F36">
              <w:t>mercaptans</w:t>
            </w:r>
            <w:proofErr w:type="spellEnd"/>
            <w:r w:rsidRPr="006A3F36">
              <w:t xml:space="preserve"> and </w:t>
            </w:r>
            <w:proofErr w:type="spellStart"/>
            <w:r w:rsidRPr="006A3F36">
              <w:t>acrylates</w:t>
            </w:r>
            <w:proofErr w:type="spellEnd"/>
            <w:r w:rsidRPr="006A3F36">
              <w:t>)</w:t>
            </w:r>
          </w:p>
        </w:tc>
      </w:tr>
      <w:tr w:rsidR="006A3F36" w:rsidRPr="006A3F36" w:rsidTr="00D54C8D">
        <w:tc>
          <w:tcPr>
            <w:tcW w:w="694" w:type="dxa"/>
            <w:vMerge w:val="restart"/>
          </w:tcPr>
          <w:p w:rsidR="006A3F36" w:rsidRPr="006A3F36" w:rsidRDefault="006A3F36" w:rsidP="006A3F36">
            <w:pPr>
              <w:spacing w:after="60"/>
            </w:pPr>
            <w:r w:rsidRPr="006A3F36">
              <w:t>N</w:t>
            </w:r>
          </w:p>
        </w:tc>
        <w:tc>
          <w:tcPr>
            <w:tcW w:w="2693" w:type="dxa"/>
            <w:vMerge w:val="restart"/>
          </w:tcPr>
          <w:p w:rsidR="006A3F36" w:rsidRPr="006A3F36" w:rsidRDefault="006A3F36" w:rsidP="006A3F36">
            <w:pPr>
              <w:spacing w:after="60"/>
            </w:pPr>
            <w:r w:rsidRPr="006A3F36">
              <w:t>Soil / sludge</w:t>
            </w:r>
          </w:p>
        </w:tc>
        <w:tc>
          <w:tcPr>
            <w:tcW w:w="709" w:type="dxa"/>
          </w:tcPr>
          <w:p w:rsidR="006A3F36" w:rsidRPr="006A3F36" w:rsidRDefault="006A3F36" w:rsidP="006A3F36">
            <w:pPr>
              <w:spacing w:after="60"/>
            </w:pPr>
            <w:r w:rsidRPr="006A3F36">
              <w:t>N100</w:t>
            </w:r>
          </w:p>
        </w:tc>
        <w:tc>
          <w:tcPr>
            <w:tcW w:w="4379" w:type="dxa"/>
          </w:tcPr>
          <w:p w:rsidR="006A3F36" w:rsidRPr="006A3F36" w:rsidRDefault="006A3F36" w:rsidP="006A3F36">
            <w:pPr>
              <w:spacing w:after="60"/>
            </w:pPr>
            <w:r w:rsidRPr="006A3F36">
              <w:t>Containers and drums that are contaminated with residues of substances referred to in this list</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N120</w:t>
            </w:r>
          </w:p>
        </w:tc>
        <w:tc>
          <w:tcPr>
            <w:tcW w:w="4379" w:type="dxa"/>
          </w:tcPr>
          <w:p w:rsidR="006A3F36" w:rsidRPr="006A3F36" w:rsidRDefault="006A3F36" w:rsidP="006A3F36">
            <w:pPr>
              <w:spacing w:after="60"/>
            </w:pPr>
            <w:r w:rsidRPr="006A3F36">
              <w:t>Soils contaminated with a controlled waste</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N140</w:t>
            </w:r>
          </w:p>
        </w:tc>
        <w:tc>
          <w:tcPr>
            <w:tcW w:w="4379" w:type="dxa"/>
          </w:tcPr>
          <w:p w:rsidR="006A3F36" w:rsidRPr="006A3F36" w:rsidRDefault="006A3F36" w:rsidP="006A3F36">
            <w:pPr>
              <w:spacing w:after="60"/>
            </w:pPr>
            <w:r w:rsidRPr="006A3F36">
              <w:t>Fire debris and fire wash waters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N150</w:t>
            </w:r>
          </w:p>
        </w:tc>
        <w:tc>
          <w:tcPr>
            <w:tcW w:w="4379" w:type="dxa"/>
          </w:tcPr>
          <w:p w:rsidR="006A3F36" w:rsidRPr="006A3F36" w:rsidRDefault="006A3F36" w:rsidP="006A3F36">
            <w:pPr>
              <w:spacing w:after="60"/>
            </w:pPr>
            <w:r w:rsidRPr="006A3F36">
              <w:t>Fly ash, excluding fly ash generated from Australian coal fired power stations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N160</w:t>
            </w:r>
          </w:p>
        </w:tc>
        <w:tc>
          <w:tcPr>
            <w:tcW w:w="4379" w:type="dxa"/>
          </w:tcPr>
          <w:p w:rsidR="006A3F36" w:rsidRPr="006A3F36" w:rsidRDefault="006A3F36" w:rsidP="006A3F36">
            <w:pPr>
              <w:spacing w:after="60"/>
            </w:pPr>
            <w:r w:rsidRPr="006A3F36">
              <w:t>Encapsulated, chemically-fixed, solidified or polymerised wastes referred to in this list</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N190</w:t>
            </w:r>
          </w:p>
        </w:tc>
        <w:tc>
          <w:tcPr>
            <w:tcW w:w="4379" w:type="dxa"/>
          </w:tcPr>
          <w:p w:rsidR="006A3F36" w:rsidRPr="006A3F36" w:rsidRDefault="006A3F36" w:rsidP="006A3F36">
            <w:pPr>
              <w:spacing w:after="60"/>
            </w:pPr>
            <w:r w:rsidRPr="006A3F36">
              <w:t>Filter cake contaminated with residues of substances referred to in this list</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N205</w:t>
            </w:r>
          </w:p>
        </w:tc>
        <w:tc>
          <w:tcPr>
            <w:tcW w:w="4379" w:type="dxa"/>
          </w:tcPr>
          <w:p w:rsidR="006A3F36" w:rsidRPr="006A3F36" w:rsidRDefault="006A3F36" w:rsidP="006A3F36">
            <w:pPr>
              <w:spacing w:after="60"/>
            </w:pPr>
            <w:r w:rsidRPr="006A3F36">
              <w:t>Residues from industrial waste treatment/disposal operations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N220</w:t>
            </w:r>
          </w:p>
        </w:tc>
        <w:tc>
          <w:tcPr>
            <w:tcW w:w="4379" w:type="dxa"/>
          </w:tcPr>
          <w:p w:rsidR="006A3F36" w:rsidRPr="006A3F36" w:rsidRDefault="006A3F36" w:rsidP="006A3F36">
            <w:pPr>
              <w:spacing w:after="60"/>
            </w:pPr>
            <w:r w:rsidRPr="006A3F36">
              <w:t>Asbestos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N230</w:t>
            </w:r>
          </w:p>
        </w:tc>
        <w:tc>
          <w:tcPr>
            <w:tcW w:w="4379" w:type="dxa"/>
          </w:tcPr>
          <w:p w:rsidR="006A3F36" w:rsidRPr="006A3F36" w:rsidRDefault="006A3F36" w:rsidP="006A3F36">
            <w:pPr>
              <w:spacing w:after="60"/>
            </w:pPr>
            <w:r w:rsidRPr="006A3F36">
              <w:t xml:space="preserve">Ceramic-based fibres with </w:t>
            </w:r>
            <w:proofErr w:type="spellStart"/>
            <w:r w:rsidRPr="006A3F36">
              <w:t>physico</w:t>
            </w:r>
            <w:proofErr w:type="spellEnd"/>
            <w:r w:rsidRPr="006A3F36">
              <w:t>-chemical characteristics similar to those of asbestos</w:t>
            </w:r>
          </w:p>
        </w:tc>
      </w:tr>
      <w:tr w:rsidR="006A3F36" w:rsidRPr="006A3F36" w:rsidTr="00D54C8D">
        <w:tc>
          <w:tcPr>
            <w:tcW w:w="694" w:type="dxa"/>
            <w:vMerge w:val="restart"/>
          </w:tcPr>
          <w:p w:rsidR="006A3F36" w:rsidRPr="006A3F36" w:rsidRDefault="006A3F36" w:rsidP="006A3F36">
            <w:pPr>
              <w:spacing w:after="60"/>
            </w:pPr>
            <w:r w:rsidRPr="006A3F36">
              <w:t>R</w:t>
            </w:r>
          </w:p>
        </w:tc>
        <w:tc>
          <w:tcPr>
            <w:tcW w:w="2693" w:type="dxa"/>
            <w:vMerge w:val="restart"/>
          </w:tcPr>
          <w:p w:rsidR="006A3F36" w:rsidRPr="006A3F36" w:rsidRDefault="006A3F36" w:rsidP="006A3F36">
            <w:pPr>
              <w:spacing w:after="60"/>
            </w:pPr>
            <w:r w:rsidRPr="006A3F36">
              <w:t>Clinical and pharmaceutical</w:t>
            </w:r>
          </w:p>
        </w:tc>
        <w:tc>
          <w:tcPr>
            <w:tcW w:w="709" w:type="dxa"/>
          </w:tcPr>
          <w:p w:rsidR="006A3F36" w:rsidRPr="006A3F36" w:rsidRDefault="006A3F36" w:rsidP="006A3F36">
            <w:pPr>
              <w:spacing w:after="60"/>
            </w:pPr>
            <w:r w:rsidRPr="006A3F36">
              <w:t>R100</w:t>
            </w:r>
          </w:p>
        </w:tc>
        <w:tc>
          <w:tcPr>
            <w:tcW w:w="4379" w:type="dxa"/>
          </w:tcPr>
          <w:p w:rsidR="006A3F36" w:rsidRPr="006A3F36" w:rsidRDefault="006A3F36" w:rsidP="006A3F36">
            <w:pPr>
              <w:spacing w:after="60"/>
            </w:pPr>
            <w:r w:rsidRPr="006A3F36">
              <w:t>Clinical and related wastes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R120</w:t>
            </w:r>
          </w:p>
        </w:tc>
        <w:tc>
          <w:tcPr>
            <w:tcW w:w="4379" w:type="dxa"/>
          </w:tcPr>
          <w:p w:rsidR="006A3F36" w:rsidRPr="006A3F36" w:rsidRDefault="006A3F36" w:rsidP="006A3F36">
            <w:pPr>
              <w:spacing w:after="60"/>
            </w:pPr>
            <w:r w:rsidRPr="006A3F36">
              <w:t>Waste pharmaceuticals, drugs and medicines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R140</w:t>
            </w:r>
          </w:p>
        </w:tc>
        <w:tc>
          <w:tcPr>
            <w:tcW w:w="4379" w:type="dxa"/>
          </w:tcPr>
          <w:p w:rsidR="006A3F36" w:rsidRPr="006A3F36" w:rsidRDefault="006A3F36" w:rsidP="006A3F36">
            <w:pPr>
              <w:spacing w:after="60"/>
            </w:pPr>
            <w:r w:rsidRPr="006A3F36">
              <w:t>Waste from the production and preparation of pharmaceutical products</w:t>
            </w:r>
          </w:p>
        </w:tc>
      </w:tr>
      <w:tr w:rsidR="006A3F36" w:rsidRPr="006A3F36" w:rsidTr="00D54C8D">
        <w:tc>
          <w:tcPr>
            <w:tcW w:w="694" w:type="dxa"/>
            <w:vMerge w:val="restart"/>
          </w:tcPr>
          <w:p w:rsidR="006A3F36" w:rsidRPr="006A3F36" w:rsidRDefault="006A3F36" w:rsidP="006A3F36">
            <w:pPr>
              <w:spacing w:after="60"/>
            </w:pPr>
            <w:r w:rsidRPr="006A3F36">
              <w:t>T</w:t>
            </w:r>
          </w:p>
        </w:tc>
        <w:tc>
          <w:tcPr>
            <w:tcW w:w="2693" w:type="dxa"/>
            <w:vMerge w:val="restart"/>
          </w:tcPr>
          <w:p w:rsidR="006A3F36" w:rsidRPr="006A3F36" w:rsidRDefault="006A3F36" w:rsidP="006A3F36">
            <w:pPr>
              <w:spacing w:after="60"/>
            </w:pPr>
            <w:r w:rsidRPr="006A3F36">
              <w:t>Miscellaneous</w:t>
            </w:r>
          </w:p>
        </w:tc>
        <w:tc>
          <w:tcPr>
            <w:tcW w:w="709" w:type="dxa"/>
          </w:tcPr>
          <w:p w:rsidR="006A3F36" w:rsidRPr="006A3F36" w:rsidRDefault="006A3F36" w:rsidP="006A3F36">
            <w:pPr>
              <w:spacing w:after="60"/>
            </w:pPr>
            <w:r w:rsidRPr="006A3F36">
              <w:t>T100</w:t>
            </w:r>
          </w:p>
        </w:tc>
        <w:tc>
          <w:tcPr>
            <w:tcW w:w="4379" w:type="dxa"/>
          </w:tcPr>
          <w:p w:rsidR="006A3F36" w:rsidRPr="006A3F36" w:rsidRDefault="006A3F36" w:rsidP="006A3F36">
            <w:pPr>
              <w:spacing w:after="60"/>
            </w:pPr>
            <w:r w:rsidRPr="006A3F36">
              <w:t>Waste chemical substances arising from research and development or teaching activities, including those which are not identified and/or are new and whose effects on human health and/or the environment are not known</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T120</w:t>
            </w:r>
          </w:p>
        </w:tc>
        <w:tc>
          <w:tcPr>
            <w:tcW w:w="4379" w:type="dxa"/>
          </w:tcPr>
          <w:p w:rsidR="006A3F36" w:rsidRPr="006A3F36" w:rsidRDefault="006A3F36" w:rsidP="006A3F36">
            <w:pPr>
              <w:spacing w:after="60"/>
            </w:pPr>
            <w:r w:rsidRPr="006A3F36">
              <w:t>Waste from the production, formulation and use of photographic chemicals and processing materials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T140</w:t>
            </w:r>
          </w:p>
        </w:tc>
        <w:tc>
          <w:tcPr>
            <w:tcW w:w="4379" w:type="dxa"/>
          </w:tcPr>
          <w:p w:rsidR="006A3F36" w:rsidRPr="006A3F36" w:rsidRDefault="006A3F36" w:rsidP="006A3F36">
            <w:pPr>
              <w:spacing w:after="60"/>
            </w:pPr>
            <w:r w:rsidRPr="006A3F36">
              <w:t>Tyres</w:t>
            </w:r>
          </w:p>
        </w:tc>
      </w:tr>
      <w:tr w:rsidR="006A3F36" w:rsidRPr="006A3F36" w:rsidTr="00D54C8D">
        <w:tc>
          <w:tcPr>
            <w:tcW w:w="694" w:type="dxa"/>
            <w:vMerge/>
          </w:tcPr>
          <w:p w:rsidR="006A3F36" w:rsidRPr="006A3F36" w:rsidRDefault="006A3F36" w:rsidP="006A3F36">
            <w:pPr>
              <w:spacing w:after="60"/>
            </w:pPr>
          </w:p>
        </w:tc>
        <w:tc>
          <w:tcPr>
            <w:tcW w:w="2693" w:type="dxa"/>
            <w:vMerge/>
          </w:tcPr>
          <w:p w:rsidR="006A3F36" w:rsidRPr="006A3F36" w:rsidRDefault="006A3F36" w:rsidP="006A3F36">
            <w:pPr>
              <w:spacing w:after="60"/>
            </w:pPr>
          </w:p>
        </w:tc>
        <w:tc>
          <w:tcPr>
            <w:tcW w:w="709" w:type="dxa"/>
          </w:tcPr>
          <w:p w:rsidR="006A3F36" w:rsidRPr="006A3F36" w:rsidRDefault="006A3F36" w:rsidP="006A3F36">
            <w:pPr>
              <w:spacing w:after="60"/>
            </w:pPr>
            <w:r w:rsidRPr="006A3F36">
              <w:t>T200</w:t>
            </w:r>
          </w:p>
        </w:tc>
        <w:tc>
          <w:tcPr>
            <w:tcW w:w="4379" w:type="dxa"/>
          </w:tcPr>
          <w:p w:rsidR="006A3F36" w:rsidRPr="006A3F36" w:rsidRDefault="006A3F36" w:rsidP="006A3F36">
            <w:pPr>
              <w:spacing w:after="60"/>
            </w:pPr>
            <w:r w:rsidRPr="006A3F36">
              <w:t>Waste of an explosive nature not subject to other legislation</w:t>
            </w:r>
          </w:p>
        </w:tc>
      </w:tr>
    </w:tbl>
    <w:p w:rsidR="001E645D" w:rsidRPr="00504BD8" w:rsidRDefault="001E645D" w:rsidP="006A3F4E">
      <w:pPr>
        <w:pStyle w:val="ParaIndent"/>
        <w:ind w:left="0"/>
      </w:pPr>
    </w:p>
    <w:sectPr w:rsidR="001E645D" w:rsidRPr="00504BD8" w:rsidSect="007D0A4E">
      <w:pgSz w:w="11907" w:h="16840" w:code="9"/>
      <w:pgMar w:top="1134" w:right="1134" w:bottom="1134" w:left="1134"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CAE" w:rsidRDefault="00CD4CAE" w:rsidP="00737A4B">
      <w:pPr>
        <w:pStyle w:val="ParaMargin"/>
      </w:pPr>
      <w:r>
        <w:separator/>
      </w:r>
    </w:p>
  </w:endnote>
  <w:endnote w:type="continuationSeparator" w:id="0">
    <w:p w:rsidR="00CD4CAE" w:rsidRDefault="00CD4CAE" w:rsidP="00737A4B">
      <w:pPr>
        <w:pStyle w:val="ParaMargin"/>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EC" w:rsidRPr="00FD2172" w:rsidRDefault="00426DEC" w:rsidP="005C1F78">
    <w:pPr>
      <w:pStyle w:val="Footer0"/>
    </w:pPr>
    <w:r>
      <w:rPr>
        <w:noProof/>
        <w:lang w:val="en-AU"/>
      </w:rPr>
      <w:drawing>
        <wp:inline distT="0" distB="0" distL="0" distR="0">
          <wp:extent cx="6115050" cy="38100"/>
          <wp:effectExtent l="0" t="0" r="0" b="0"/>
          <wp:docPr id="4" name="Picture 8" descr="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ul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5050" cy="38100"/>
                  </a:xfrm>
                  <a:prstGeom prst="rect">
                    <a:avLst/>
                  </a:prstGeom>
                  <a:noFill/>
                  <a:ln>
                    <a:noFill/>
                  </a:ln>
                </pic:spPr>
              </pic:pic>
            </a:graphicData>
          </a:graphic>
        </wp:inline>
      </w:drawing>
    </w:r>
  </w:p>
  <w:tbl>
    <w:tblPr>
      <w:tblW w:w="9639" w:type="dxa"/>
      <w:tblLayout w:type="fixed"/>
      <w:tblCellMar>
        <w:left w:w="0" w:type="dxa"/>
        <w:right w:w="0" w:type="dxa"/>
      </w:tblCellMar>
      <w:tblLook w:val="01E0"/>
    </w:tblPr>
    <w:tblGrid>
      <w:gridCol w:w="1134"/>
      <w:gridCol w:w="8505"/>
    </w:tblGrid>
    <w:tr w:rsidR="00426DEC" w:rsidRPr="00FD2172">
      <w:tc>
        <w:tcPr>
          <w:tcW w:w="1134" w:type="dxa"/>
        </w:tcPr>
        <w:p w:rsidR="00426DEC" w:rsidRPr="00FD2172" w:rsidRDefault="00426DEC" w:rsidP="00350310">
          <w:pPr>
            <w:pStyle w:val="Footer0"/>
          </w:pPr>
        </w:p>
      </w:tc>
      <w:tc>
        <w:tcPr>
          <w:tcW w:w="8505" w:type="dxa"/>
        </w:tcPr>
        <w:p w:rsidR="00426DEC" w:rsidRPr="00FD2172" w:rsidRDefault="00350C10" w:rsidP="0088590F">
          <w:pPr>
            <w:pStyle w:val="Footer0"/>
            <w:jc w:val="right"/>
          </w:pPr>
          <w:fldSimple w:instr=" DOCPROPERTY &quot;Title&quot;  \* MERGEFORMAT ">
            <w:r w:rsidR="00261FA5">
              <w:t>Feasibility Analysis</w:t>
            </w:r>
          </w:fldSimple>
          <w:r w:rsidR="00426DEC" w:rsidRPr="00FD2172">
            <w:t xml:space="preserve">  </w:t>
          </w:r>
          <w:fldSimple w:instr=" DOCPROPERTY &quot;RevisionText&quot;  \* MERGEFORMAT ">
            <w:r w:rsidR="00261FA5">
              <w:t xml:space="preserve"> </w:t>
            </w:r>
          </w:fldSimple>
          <w:r w:rsidR="00426DEC" w:rsidRPr="00FD2172">
            <w:t xml:space="preserve">  </w:t>
          </w:r>
          <w:fldSimple w:instr=" DOCPROPERTY &quot;RevisionInfo&quot;  \* MERGEFORMAT  ">
            <w:r w:rsidR="00261FA5">
              <w:t xml:space="preserve"> </w:t>
            </w:r>
          </w:fldSimple>
        </w:p>
      </w:tc>
    </w:tr>
    <w:tr w:rsidR="00426DEC" w:rsidRPr="00FD2172">
      <w:tc>
        <w:tcPr>
          <w:tcW w:w="1134" w:type="dxa"/>
        </w:tcPr>
        <w:p w:rsidR="00426DEC" w:rsidRPr="00FD2172" w:rsidRDefault="00426DEC" w:rsidP="00350310">
          <w:pPr>
            <w:pStyle w:val="Footer0"/>
          </w:pPr>
          <w:r w:rsidRPr="00FD2172">
            <w:t xml:space="preserve">Page </w:t>
          </w:r>
          <w:r w:rsidR="00350C10" w:rsidRPr="00FD2172">
            <w:rPr>
              <w:rStyle w:val="PageNumber"/>
            </w:rPr>
            <w:fldChar w:fldCharType="begin"/>
          </w:r>
          <w:r w:rsidRPr="00FD2172">
            <w:rPr>
              <w:rStyle w:val="PageNumber"/>
            </w:rPr>
            <w:instrText xml:space="preserve"> PAGE </w:instrText>
          </w:r>
          <w:r w:rsidR="00350C10" w:rsidRPr="00FD2172">
            <w:rPr>
              <w:rStyle w:val="PageNumber"/>
            </w:rPr>
            <w:fldChar w:fldCharType="separate"/>
          </w:r>
          <w:r w:rsidR="00261FA5">
            <w:rPr>
              <w:rStyle w:val="PageNumber"/>
              <w:noProof/>
            </w:rPr>
            <w:t>66</w:t>
          </w:r>
          <w:r w:rsidR="00350C10" w:rsidRPr="00FD2172">
            <w:rPr>
              <w:rStyle w:val="PageNumber"/>
            </w:rPr>
            <w:fldChar w:fldCharType="end"/>
          </w:r>
        </w:p>
      </w:tc>
      <w:tc>
        <w:tcPr>
          <w:tcW w:w="8505" w:type="dxa"/>
        </w:tcPr>
        <w:p w:rsidR="00426DEC" w:rsidRPr="00FD2172" w:rsidRDefault="00350C10" w:rsidP="0088590F">
          <w:pPr>
            <w:pStyle w:val="Footer0"/>
            <w:jc w:val="right"/>
          </w:pPr>
          <w:r>
            <w:fldChar w:fldCharType="begin"/>
          </w:r>
          <w:r>
            <w:instrText xml:space="preserve"> INCLUDETEXT "C:\\Program Files\\Microsoft Office\\Templates\\Info.doc" CoName \* MERGEFORMAT </w:instrText>
          </w:r>
          <w:r>
            <w:fldChar w:fldCharType="separate"/>
          </w:r>
          <w:proofErr w:type="spellStart"/>
          <w:r w:rsidR="00426DEC" w:rsidRPr="00FD2172">
            <w:t>Hyder</w:t>
          </w:r>
          <w:proofErr w:type="spellEnd"/>
          <w:r w:rsidR="00426DEC" w:rsidRPr="00FD2172">
            <w:t xml:space="preserve"> Consulting Pty Ltd</w:t>
          </w:r>
          <w:r>
            <w:fldChar w:fldCharType="end"/>
          </w:r>
          <w:r w:rsidR="00426DEC" w:rsidRPr="00FD2172">
            <w:noBreakHyphen/>
          </w:r>
          <w:fldSimple w:instr=" INCLUDETEXT &quot;C:\\Program Files\\Microsoft Office\\Templates\\Info.doc&quot; CoNo \* MERGEFORMAT ">
            <w:r w:rsidR="00426DEC" w:rsidRPr="00FD2172">
              <w:t>ABN 76 104 485 289</w:t>
            </w:r>
          </w:fldSimple>
        </w:p>
      </w:tc>
    </w:tr>
    <w:tr w:rsidR="00426DEC" w:rsidRPr="00350310">
      <w:tc>
        <w:tcPr>
          <w:tcW w:w="1134" w:type="dxa"/>
        </w:tcPr>
        <w:p w:rsidR="00426DEC" w:rsidRPr="00FD2172" w:rsidRDefault="00426DEC" w:rsidP="00350310">
          <w:pPr>
            <w:pStyle w:val="Footer0"/>
          </w:pPr>
        </w:p>
      </w:tc>
      <w:tc>
        <w:tcPr>
          <w:tcW w:w="8505" w:type="dxa"/>
        </w:tcPr>
        <w:p w:rsidR="00426DEC" w:rsidRPr="00350310" w:rsidRDefault="00350C10" w:rsidP="0088590F">
          <w:pPr>
            <w:pStyle w:val="PathFileName"/>
            <w:jc w:val="right"/>
          </w:pPr>
          <w:fldSimple w:instr=" FILENAME  \p \* Lower \* MERGEFORMAT ">
            <w:r w:rsidR="00261FA5">
              <w:rPr>
                <w:noProof/>
              </w:rPr>
              <w:t>http://aus.hybis.info/projects0/vc/awarded/aa007864/f_reports/aa007864-r01-02 final report hazardous waste tracking.docx</w:t>
            </w:r>
          </w:fldSimple>
        </w:p>
      </w:tc>
    </w:tr>
  </w:tbl>
  <w:p w:rsidR="00426DEC" w:rsidRPr="00350310" w:rsidRDefault="00426DEC" w:rsidP="00350310">
    <w:pPr>
      <w:pStyle w:val="Foo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1E0"/>
    </w:tblPr>
    <w:tblGrid>
      <w:gridCol w:w="8505"/>
      <w:gridCol w:w="1134"/>
    </w:tblGrid>
    <w:tr w:rsidR="00426DEC" w:rsidRPr="00FD2172">
      <w:tc>
        <w:tcPr>
          <w:tcW w:w="8505" w:type="dxa"/>
          <w:tcBorders>
            <w:top w:val="single" w:sz="8" w:space="0" w:color="00519E"/>
          </w:tcBorders>
        </w:tcPr>
        <w:p w:rsidR="00426DEC" w:rsidRPr="00FD2172" w:rsidRDefault="00350C10" w:rsidP="00D27709">
          <w:pPr>
            <w:pStyle w:val="Footer0"/>
          </w:pPr>
          <w:fldSimple w:instr=" DOCPROPERTY &quot;Project&quot;  \* MERGEFORMAT ">
            <w:r w:rsidR="00261FA5">
              <w:t>Feasibility of a Nationally Consistent System for Tracking the Movements of Controlled Wastes</w:t>
            </w:r>
          </w:fldSimple>
          <w:r w:rsidR="00426DEC" w:rsidRPr="00FD2172">
            <w:t xml:space="preserve"> </w:t>
          </w:r>
        </w:p>
      </w:tc>
      <w:tc>
        <w:tcPr>
          <w:tcW w:w="1134" w:type="dxa"/>
          <w:tcBorders>
            <w:top w:val="single" w:sz="8" w:space="0" w:color="00519E"/>
          </w:tcBorders>
        </w:tcPr>
        <w:p w:rsidR="00426DEC" w:rsidRPr="00FD2172" w:rsidRDefault="00426DEC" w:rsidP="0088590F">
          <w:pPr>
            <w:pStyle w:val="Footer0"/>
            <w:jc w:val="right"/>
          </w:pPr>
        </w:p>
      </w:tc>
    </w:tr>
    <w:tr w:rsidR="00426DEC" w:rsidRPr="009737E5">
      <w:tc>
        <w:tcPr>
          <w:tcW w:w="8505" w:type="dxa"/>
        </w:tcPr>
        <w:p w:rsidR="00426DEC" w:rsidRPr="009737E5" w:rsidRDefault="00350C10" w:rsidP="008503D1">
          <w:pPr>
            <w:pStyle w:val="Footer0"/>
          </w:pPr>
          <w:r>
            <w:fldChar w:fldCharType="begin"/>
          </w:r>
          <w:r>
            <w:instrText xml:space="preserve"> INCLUDETEXT "C:\\Program Files\\Microsoft Office\\Templates\\Info.doc" CoName \* MERGEFORMAT </w:instrText>
          </w:r>
          <w:r>
            <w:fldChar w:fldCharType="separate"/>
          </w:r>
          <w:proofErr w:type="spellStart"/>
          <w:r w:rsidR="00426DEC" w:rsidRPr="00BA788A">
            <w:rPr>
              <w:bCs/>
              <w:lang w:val="en-US"/>
            </w:rPr>
            <w:t>Hyder</w:t>
          </w:r>
          <w:proofErr w:type="spellEnd"/>
          <w:r w:rsidR="00426DEC" w:rsidRPr="00BA788A">
            <w:rPr>
              <w:bCs/>
              <w:lang w:val="en-US"/>
            </w:rPr>
            <w:t xml:space="preserve"> Consulting Pty Ltd</w:t>
          </w:r>
          <w:r>
            <w:fldChar w:fldCharType="end"/>
          </w:r>
          <w:r w:rsidR="00426DEC" w:rsidRPr="009737E5">
            <w:noBreakHyphen/>
          </w:r>
          <w:fldSimple w:instr=" INCLUDETEXT &quot;C:\\Program Files\\Microsoft Office\\Templates\\Info.doc&quot; CoNo \* MERGEFORMAT ">
            <w:r w:rsidR="00426DEC" w:rsidRPr="002965D0">
              <w:rPr>
                <w:bCs/>
                <w:lang w:val="en-US"/>
              </w:rPr>
              <w:t>ABN</w:t>
            </w:r>
            <w:r w:rsidR="00426DEC">
              <w:t xml:space="preserve"> 76 104 485 289</w:t>
            </w:r>
          </w:fldSimple>
        </w:p>
      </w:tc>
      <w:tc>
        <w:tcPr>
          <w:tcW w:w="1134" w:type="dxa"/>
        </w:tcPr>
        <w:p w:rsidR="00426DEC" w:rsidRPr="009737E5" w:rsidRDefault="00426DEC" w:rsidP="0088590F">
          <w:pPr>
            <w:pStyle w:val="Footer0"/>
            <w:jc w:val="right"/>
          </w:pPr>
        </w:p>
      </w:tc>
    </w:tr>
    <w:tr w:rsidR="00426DEC">
      <w:tc>
        <w:tcPr>
          <w:tcW w:w="8505" w:type="dxa"/>
        </w:tcPr>
        <w:p w:rsidR="00426DEC" w:rsidRDefault="00350C10" w:rsidP="00A95103">
          <w:pPr>
            <w:pStyle w:val="PathFileName"/>
          </w:pPr>
          <w:fldSimple w:instr=" FILENAME  \p \* Lower \* MERGEFORMAT ">
            <w:r w:rsidR="00261FA5">
              <w:rPr>
                <w:noProof/>
              </w:rPr>
              <w:t>http://aus.hybis.info/projects0/vc/awarded/aa007864/f_reports/aa007864-r01-02 final report hazardous waste tracking.docx</w:t>
            </w:r>
          </w:fldSimple>
        </w:p>
      </w:tc>
      <w:tc>
        <w:tcPr>
          <w:tcW w:w="1134" w:type="dxa"/>
        </w:tcPr>
        <w:p w:rsidR="00426DEC" w:rsidRDefault="00426DEC" w:rsidP="0088590F">
          <w:pPr>
            <w:pStyle w:val="Footer0"/>
            <w:jc w:val="right"/>
          </w:pPr>
        </w:p>
      </w:tc>
    </w:tr>
  </w:tbl>
  <w:p w:rsidR="00426DEC" w:rsidRDefault="00426DEC" w:rsidP="007C0C1E">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1E0"/>
    </w:tblPr>
    <w:tblGrid>
      <w:gridCol w:w="8505"/>
      <w:gridCol w:w="1134"/>
    </w:tblGrid>
    <w:tr w:rsidR="00426DEC" w:rsidRPr="00FD2172">
      <w:tc>
        <w:tcPr>
          <w:tcW w:w="8505" w:type="dxa"/>
          <w:tcBorders>
            <w:top w:val="single" w:sz="8" w:space="0" w:color="00519E"/>
          </w:tcBorders>
        </w:tcPr>
        <w:p w:rsidR="00426DEC" w:rsidRPr="00FD2172" w:rsidRDefault="00350C10" w:rsidP="00E81CED">
          <w:pPr>
            <w:pStyle w:val="Footer0"/>
          </w:pPr>
          <w:fldSimple w:instr=" DOCPROPERTY &quot;Project&quot;  \* MERGEFORMAT ">
            <w:r w:rsidR="00261FA5">
              <w:t>Feasibility of a Nationally Consistent System for Tracking the Movements of Controlled Wastes</w:t>
            </w:r>
          </w:fldSimple>
          <w:fldSimple w:instr=" DOCPROPERTY &quot;RevisionText&quot;  \* MERGEFORMAT ">
            <w:r w:rsidR="00261FA5">
              <w:t xml:space="preserve"> </w:t>
            </w:r>
          </w:fldSimple>
          <w:r w:rsidR="00426DEC" w:rsidRPr="00FD2172">
            <w:t xml:space="preserve">  </w:t>
          </w:r>
          <w:fldSimple w:instr=" DOCPROPERTY &quot;RevisionInfo&quot;  \* MERGEFORMAT  ">
            <w:r w:rsidR="00261FA5">
              <w:t xml:space="preserve"> </w:t>
            </w:r>
          </w:fldSimple>
        </w:p>
      </w:tc>
      <w:tc>
        <w:tcPr>
          <w:tcW w:w="1134" w:type="dxa"/>
          <w:tcBorders>
            <w:top w:val="single" w:sz="8" w:space="0" w:color="00519E"/>
          </w:tcBorders>
        </w:tcPr>
        <w:p w:rsidR="00426DEC" w:rsidRPr="00FD2172" w:rsidRDefault="00426DEC" w:rsidP="0088590F">
          <w:pPr>
            <w:pStyle w:val="Footer0"/>
            <w:jc w:val="right"/>
          </w:pPr>
        </w:p>
      </w:tc>
    </w:tr>
    <w:tr w:rsidR="00426DEC" w:rsidRPr="00FD2172">
      <w:tc>
        <w:tcPr>
          <w:tcW w:w="8505" w:type="dxa"/>
        </w:tcPr>
        <w:p w:rsidR="00426DEC" w:rsidRPr="00FD2172" w:rsidRDefault="00350C10" w:rsidP="008503D1">
          <w:pPr>
            <w:pStyle w:val="Footer0"/>
          </w:pPr>
          <w:r>
            <w:fldChar w:fldCharType="begin"/>
          </w:r>
          <w:r>
            <w:instrText xml:space="preserve"> INCLUDETEXT "C:\\Program Files\\Microsoft Office\\Templates\\Info.doc" CoName \* MERGEFORMAT </w:instrText>
          </w:r>
          <w:r>
            <w:fldChar w:fldCharType="separate"/>
          </w:r>
          <w:proofErr w:type="spellStart"/>
          <w:r w:rsidR="00426DEC" w:rsidRPr="002965D0">
            <w:rPr>
              <w:bCs/>
              <w:lang w:val="en-US"/>
            </w:rPr>
            <w:t>Hyder</w:t>
          </w:r>
          <w:proofErr w:type="spellEnd"/>
          <w:r w:rsidR="00426DEC">
            <w:t xml:space="preserve"> Consulting Pty Ltd</w:t>
          </w:r>
          <w:r>
            <w:fldChar w:fldCharType="end"/>
          </w:r>
          <w:r w:rsidR="00426DEC" w:rsidRPr="00FD2172">
            <w:noBreakHyphen/>
          </w:r>
          <w:fldSimple w:instr=" INCLUDETEXT &quot;C:\\Program Files\\Microsoft Office\\Templates\\Info.doc&quot; CoNo \* MERGEFORMAT ">
            <w:r w:rsidR="00426DEC" w:rsidRPr="002965D0">
              <w:rPr>
                <w:bCs/>
                <w:lang w:val="en-US"/>
              </w:rPr>
              <w:t>ABN</w:t>
            </w:r>
            <w:r w:rsidR="00426DEC">
              <w:t xml:space="preserve"> 76 104 485 289</w:t>
            </w:r>
          </w:fldSimple>
        </w:p>
      </w:tc>
      <w:tc>
        <w:tcPr>
          <w:tcW w:w="1134" w:type="dxa"/>
        </w:tcPr>
        <w:p w:rsidR="00426DEC" w:rsidRPr="00FD2172" w:rsidRDefault="00426DEC" w:rsidP="0088590F">
          <w:pPr>
            <w:pStyle w:val="Footer0"/>
            <w:jc w:val="right"/>
          </w:pPr>
          <w:r w:rsidRPr="00FD2172">
            <w:t xml:space="preserve">Page </w:t>
          </w:r>
          <w:r w:rsidR="00350C10" w:rsidRPr="00FD2172">
            <w:rPr>
              <w:rStyle w:val="PageNumber"/>
            </w:rPr>
            <w:fldChar w:fldCharType="begin"/>
          </w:r>
          <w:r w:rsidRPr="00FD2172">
            <w:rPr>
              <w:rStyle w:val="PageNumber"/>
            </w:rPr>
            <w:instrText xml:space="preserve"> PAGE </w:instrText>
          </w:r>
          <w:r w:rsidR="00350C10" w:rsidRPr="00FD2172">
            <w:rPr>
              <w:rStyle w:val="PageNumber"/>
            </w:rPr>
            <w:fldChar w:fldCharType="separate"/>
          </w:r>
          <w:r w:rsidR="00851570">
            <w:rPr>
              <w:rStyle w:val="PageNumber"/>
              <w:noProof/>
            </w:rPr>
            <w:t>5</w:t>
          </w:r>
          <w:r w:rsidR="00350C10" w:rsidRPr="00FD2172">
            <w:rPr>
              <w:rStyle w:val="PageNumber"/>
            </w:rPr>
            <w:fldChar w:fldCharType="end"/>
          </w:r>
        </w:p>
      </w:tc>
    </w:tr>
    <w:tr w:rsidR="00426DEC">
      <w:tc>
        <w:tcPr>
          <w:tcW w:w="8505" w:type="dxa"/>
        </w:tcPr>
        <w:p w:rsidR="00426DEC" w:rsidRDefault="00350C10" w:rsidP="00A95103">
          <w:pPr>
            <w:pStyle w:val="PathFileName"/>
          </w:pPr>
          <w:fldSimple w:instr=" FILENAME  \p \* Lower \* MERGEFORMAT ">
            <w:r w:rsidR="00261FA5">
              <w:rPr>
                <w:noProof/>
              </w:rPr>
              <w:t>http://aus.hybis.info/projects0/vc/awarded/aa007864/f_reports/aa007864-r01-02 final report hazardous waste tracking.docx</w:t>
            </w:r>
          </w:fldSimple>
        </w:p>
      </w:tc>
      <w:tc>
        <w:tcPr>
          <w:tcW w:w="1134" w:type="dxa"/>
        </w:tcPr>
        <w:p w:rsidR="00426DEC" w:rsidRDefault="00426DEC" w:rsidP="0088590F">
          <w:pPr>
            <w:pStyle w:val="Footer0"/>
            <w:jc w:val="right"/>
          </w:pPr>
        </w:p>
      </w:tc>
    </w:tr>
  </w:tbl>
  <w:p w:rsidR="00426DEC" w:rsidRDefault="00426DEC" w:rsidP="007C0C1E">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CAE" w:rsidRDefault="00CD4CAE" w:rsidP="00737A4B">
      <w:pPr>
        <w:pStyle w:val="ParaMargin"/>
      </w:pPr>
      <w:r>
        <w:separator/>
      </w:r>
    </w:p>
  </w:footnote>
  <w:footnote w:type="continuationSeparator" w:id="0">
    <w:p w:rsidR="00CD4CAE" w:rsidRDefault="00CD4CAE" w:rsidP="00737A4B">
      <w:pPr>
        <w:pStyle w:val="ParaMargin"/>
      </w:pPr>
      <w:r>
        <w:continuationSeparator/>
      </w:r>
    </w:p>
  </w:footnote>
  <w:footnote w:id="1">
    <w:p w:rsidR="00426DEC" w:rsidRPr="00F814DC" w:rsidRDefault="00426DEC">
      <w:pPr>
        <w:pStyle w:val="FootnoteText"/>
        <w:rPr>
          <w:lang w:val="en-US"/>
        </w:rPr>
      </w:pPr>
      <w:r>
        <w:rPr>
          <w:rStyle w:val="FootnoteReference"/>
        </w:rPr>
        <w:footnoteRef/>
      </w:r>
      <w:r>
        <w:t xml:space="preserve"> </w:t>
      </w:r>
      <w:r>
        <w:rPr>
          <w:lang w:val="en-US"/>
        </w:rPr>
        <w:t>State of Waste and Recycling in Queensland 2013</w:t>
      </w:r>
    </w:p>
  </w:footnote>
  <w:footnote w:id="2">
    <w:p w:rsidR="00426DEC" w:rsidRDefault="00426DEC" w:rsidP="00AB4901">
      <w:pPr>
        <w:pStyle w:val="FootnoteText"/>
      </w:pPr>
      <w:r>
        <w:rPr>
          <w:rStyle w:val="FootnoteReference"/>
        </w:rPr>
        <w:footnoteRef/>
      </w:r>
      <w:r>
        <w:t xml:space="preserve"> </w:t>
      </w:r>
      <w:r w:rsidRPr="00395D8C">
        <w:t>National Environment Protection Council 2012–13 Annual Report</w:t>
      </w:r>
    </w:p>
  </w:footnote>
  <w:footnote w:id="3">
    <w:p w:rsidR="00426DEC" w:rsidRDefault="00426DEC">
      <w:pPr>
        <w:pStyle w:val="FootnoteText"/>
      </w:pPr>
      <w:r>
        <w:rPr>
          <w:rStyle w:val="FootnoteReference"/>
        </w:rPr>
        <w:footnoteRef/>
      </w:r>
      <w:r>
        <w:t xml:space="preserve"> </w:t>
      </w:r>
      <w:r w:rsidRPr="00395D8C">
        <w:t>National Environment Protection Council 2012–13 Annual Report</w:t>
      </w:r>
    </w:p>
  </w:footnote>
  <w:footnote w:id="4">
    <w:p w:rsidR="00426DEC" w:rsidRDefault="00426DEC" w:rsidP="002939A9">
      <w:pPr>
        <w:pStyle w:val="FootnoteText"/>
      </w:pPr>
      <w:r>
        <w:rPr>
          <w:rStyle w:val="FootnoteReference"/>
        </w:rPr>
        <w:footnoteRef/>
      </w:r>
      <w:r>
        <w:t xml:space="preserve"> </w:t>
      </w:r>
      <w:r w:rsidRPr="00656BA3">
        <w:t>Hazardous Waste Data Summary</w:t>
      </w:r>
      <w:r>
        <w:t>, April 2013</w:t>
      </w:r>
    </w:p>
  </w:footnote>
  <w:footnote w:id="5">
    <w:p w:rsidR="00426DEC" w:rsidRDefault="00426DEC" w:rsidP="00596D62">
      <w:pPr>
        <w:pStyle w:val="FootnoteText"/>
      </w:pPr>
      <w:r>
        <w:rPr>
          <w:rStyle w:val="FootnoteReference"/>
        </w:rPr>
        <w:footnoteRef/>
      </w:r>
      <w:r>
        <w:t xml:space="preserve"> There were no movements into Tasmania or the Northern Territory in 2012-13.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2E2B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99A69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9803B3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E6A6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5E469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3AAB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812D5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3C17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7A8F556"/>
    <w:lvl w:ilvl="0">
      <w:start w:val="1"/>
      <w:numFmt w:val="decimal"/>
      <w:pStyle w:val="ListNumber"/>
      <w:lvlText w:val="%1."/>
      <w:lvlJc w:val="left"/>
      <w:pPr>
        <w:tabs>
          <w:tab w:val="num" w:pos="360"/>
        </w:tabs>
        <w:ind w:left="360" w:hanging="360"/>
      </w:pPr>
    </w:lvl>
  </w:abstractNum>
  <w:abstractNum w:abstractNumId="9">
    <w:nsid w:val="FFFFFF89"/>
    <w:multiLevelType w:val="singleLevel"/>
    <w:tmpl w:val="089ED5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756D1"/>
    <w:multiLevelType w:val="hybridMultilevel"/>
    <w:tmpl w:val="A2F89064"/>
    <w:lvl w:ilvl="0" w:tplc="0C090005">
      <w:start w:val="1"/>
      <w:numFmt w:val="bullet"/>
      <w:lvlText w:val=""/>
      <w:lvlJc w:val="left"/>
      <w:pPr>
        <w:ind w:left="2628"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00AD16F0"/>
    <w:multiLevelType w:val="hybridMultilevel"/>
    <w:tmpl w:val="75A249EA"/>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2">
    <w:nsid w:val="02A101CA"/>
    <w:multiLevelType w:val="hybridMultilevel"/>
    <w:tmpl w:val="ADE22646"/>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3">
    <w:nsid w:val="02E2489A"/>
    <w:multiLevelType w:val="hybridMultilevel"/>
    <w:tmpl w:val="E6EA3650"/>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4">
    <w:nsid w:val="0CA84880"/>
    <w:multiLevelType w:val="hybridMultilevel"/>
    <w:tmpl w:val="481E3DBE"/>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5">
    <w:nsid w:val="0CAC53E2"/>
    <w:multiLevelType w:val="hybridMultilevel"/>
    <w:tmpl w:val="BC92E194"/>
    <w:lvl w:ilvl="0" w:tplc="0C090005">
      <w:start w:val="1"/>
      <w:numFmt w:val="bullet"/>
      <w:lvlText w:val=""/>
      <w:lvlJc w:val="left"/>
      <w:pPr>
        <w:ind w:left="2211" w:hanging="360"/>
      </w:pPr>
      <w:rPr>
        <w:rFonts w:ascii="Wingdings" w:hAnsi="Wingdings" w:hint="default"/>
      </w:rPr>
    </w:lvl>
    <w:lvl w:ilvl="1" w:tplc="0C090003" w:tentative="1">
      <w:start w:val="1"/>
      <w:numFmt w:val="bullet"/>
      <w:lvlText w:val="o"/>
      <w:lvlJc w:val="left"/>
      <w:pPr>
        <w:ind w:left="2931" w:hanging="360"/>
      </w:pPr>
      <w:rPr>
        <w:rFonts w:ascii="Courier New" w:hAnsi="Courier New" w:cs="Courier New" w:hint="default"/>
      </w:rPr>
    </w:lvl>
    <w:lvl w:ilvl="2" w:tplc="0C090005" w:tentative="1">
      <w:start w:val="1"/>
      <w:numFmt w:val="bullet"/>
      <w:lvlText w:val=""/>
      <w:lvlJc w:val="left"/>
      <w:pPr>
        <w:ind w:left="3651" w:hanging="360"/>
      </w:pPr>
      <w:rPr>
        <w:rFonts w:ascii="Wingdings" w:hAnsi="Wingdings" w:hint="default"/>
      </w:rPr>
    </w:lvl>
    <w:lvl w:ilvl="3" w:tplc="0C090001" w:tentative="1">
      <w:start w:val="1"/>
      <w:numFmt w:val="bullet"/>
      <w:lvlText w:val=""/>
      <w:lvlJc w:val="left"/>
      <w:pPr>
        <w:ind w:left="4371" w:hanging="360"/>
      </w:pPr>
      <w:rPr>
        <w:rFonts w:ascii="Symbol" w:hAnsi="Symbol" w:hint="default"/>
      </w:rPr>
    </w:lvl>
    <w:lvl w:ilvl="4" w:tplc="0C090003" w:tentative="1">
      <w:start w:val="1"/>
      <w:numFmt w:val="bullet"/>
      <w:lvlText w:val="o"/>
      <w:lvlJc w:val="left"/>
      <w:pPr>
        <w:ind w:left="5091" w:hanging="360"/>
      </w:pPr>
      <w:rPr>
        <w:rFonts w:ascii="Courier New" w:hAnsi="Courier New" w:cs="Courier New" w:hint="default"/>
      </w:rPr>
    </w:lvl>
    <w:lvl w:ilvl="5" w:tplc="0C090005" w:tentative="1">
      <w:start w:val="1"/>
      <w:numFmt w:val="bullet"/>
      <w:lvlText w:val=""/>
      <w:lvlJc w:val="left"/>
      <w:pPr>
        <w:ind w:left="5811" w:hanging="360"/>
      </w:pPr>
      <w:rPr>
        <w:rFonts w:ascii="Wingdings" w:hAnsi="Wingdings" w:hint="default"/>
      </w:rPr>
    </w:lvl>
    <w:lvl w:ilvl="6" w:tplc="0C090001" w:tentative="1">
      <w:start w:val="1"/>
      <w:numFmt w:val="bullet"/>
      <w:lvlText w:val=""/>
      <w:lvlJc w:val="left"/>
      <w:pPr>
        <w:ind w:left="6531" w:hanging="360"/>
      </w:pPr>
      <w:rPr>
        <w:rFonts w:ascii="Symbol" w:hAnsi="Symbol" w:hint="default"/>
      </w:rPr>
    </w:lvl>
    <w:lvl w:ilvl="7" w:tplc="0C090003" w:tentative="1">
      <w:start w:val="1"/>
      <w:numFmt w:val="bullet"/>
      <w:lvlText w:val="o"/>
      <w:lvlJc w:val="left"/>
      <w:pPr>
        <w:ind w:left="7251" w:hanging="360"/>
      </w:pPr>
      <w:rPr>
        <w:rFonts w:ascii="Courier New" w:hAnsi="Courier New" w:cs="Courier New" w:hint="default"/>
      </w:rPr>
    </w:lvl>
    <w:lvl w:ilvl="8" w:tplc="0C090005" w:tentative="1">
      <w:start w:val="1"/>
      <w:numFmt w:val="bullet"/>
      <w:lvlText w:val=""/>
      <w:lvlJc w:val="left"/>
      <w:pPr>
        <w:ind w:left="7971" w:hanging="360"/>
      </w:pPr>
      <w:rPr>
        <w:rFonts w:ascii="Wingdings" w:hAnsi="Wingdings" w:hint="default"/>
      </w:rPr>
    </w:lvl>
  </w:abstractNum>
  <w:abstractNum w:abstractNumId="16">
    <w:nsid w:val="0D5B7C2D"/>
    <w:multiLevelType w:val="hybridMultilevel"/>
    <w:tmpl w:val="12360CF8"/>
    <w:lvl w:ilvl="0" w:tplc="426C8216">
      <w:start w:val="1"/>
      <w:numFmt w:val="bullet"/>
      <w:pStyle w:val="TablePointsBullets"/>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EA87ED8"/>
    <w:multiLevelType w:val="hybridMultilevel"/>
    <w:tmpl w:val="11CE5FBE"/>
    <w:lvl w:ilvl="0" w:tplc="0C090005">
      <w:start w:val="1"/>
      <w:numFmt w:val="bullet"/>
      <w:lvlText w:val=""/>
      <w:lvlJc w:val="left"/>
      <w:pPr>
        <w:ind w:left="2211" w:hanging="360"/>
      </w:pPr>
      <w:rPr>
        <w:rFonts w:ascii="Wingdings" w:hAnsi="Wingdings" w:hint="default"/>
      </w:rPr>
    </w:lvl>
    <w:lvl w:ilvl="1" w:tplc="0C090003" w:tentative="1">
      <w:start w:val="1"/>
      <w:numFmt w:val="bullet"/>
      <w:lvlText w:val="o"/>
      <w:lvlJc w:val="left"/>
      <w:pPr>
        <w:ind w:left="2931" w:hanging="360"/>
      </w:pPr>
      <w:rPr>
        <w:rFonts w:ascii="Courier New" w:hAnsi="Courier New" w:cs="Courier New" w:hint="default"/>
      </w:rPr>
    </w:lvl>
    <w:lvl w:ilvl="2" w:tplc="0C090005" w:tentative="1">
      <w:start w:val="1"/>
      <w:numFmt w:val="bullet"/>
      <w:lvlText w:val=""/>
      <w:lvlJc w:val="left"/>
      <w:pPr>
        <w:ind w:left="3651" w:hanging="360"/>
      </w:pPr>
      <w:rPr>
        <w:rFonts w:ascii="Wingdings" w:hAnsi="Wingdings" w:hint="default"/>
      </w:rPr>
    </w:lvl>
    <w:lvl w:ilvl="3" w:tplc="0C090001" w:tentative="1">
      <w:start w:val="1"/>
      <w:numFmt w:val="bullet"/>
      <w:lvlText w:val=""/>
      <w:lvlJc w:val="left"/>
      <w:pPr>
        <w:ind w:left="4371" w:hanging="360"/>
      </w:pPr>
      <w:rPr>
        <w:rFonts w:ascii="Symbol" w:hAnsi="Symbol" w:hint="default"/>
      </w:rPr>
    </w:lvl>
    <w:lvl w:ilvl="4" w:tplc="0C090003" w:tentative="1">
      <w:start w:val="1"/>
      <w:numFmt w:val="bullet"/>
      <w:lvlText w:val="o"/>
      <w:lvlJc w:val="left"/>
      <w:pPr>
        <w:ind w:left="5091" w:hanging="360"/>
      </w:pPr>
      <w:rPr>
        <w:rFonts w:ascii="Courier New" w:hAnsi="Courier New" w:cs="Courier New" w:hint="default"/>
      </w:rPr>
    </w:lvl>
    <w:lvl w:ilvl="5" w:tplc="0C090005" w:tentative="1">
      <w:start w:val="1"/>
      <w:numFmt w:val="bullet"/>
      <w:lvlText w:val=""/>
      <w:lvlJc w:val="left"/>
      <w:pPr>
        <w:ind w:left="5811" w:hanging="360"/>
      </w:pPr>
      <w:rPr>
        <w:rFonts w:ascii="Wingdings" w:hAnsi="Wingdings" w:hint="default"/>
      </w:rPr>
    </w:lvl>
    <w:lvl w:ilvl="6" w:tplc="0C090001" w:tentative="1">
      <w:start w:val="1"/>
      <w:numFmt w:val="bullet"/>
      <w:lvlText w:val=""/>
      <w:lvlJc w:val="left"/>
      <w:pPr>
        <w:ind w:left="6531" w:hanging="360"/>
      </w:pPr>
      <w:rPr>
        <w:rFonts w:ascii="Symbol" w:hAnsi="Symbol" w:hint="default"/>
      </w:rPr>
    </w:lvl>
    <w:lvl w:ilvl="7" w:tplc="0C090003" w:tentative="1">
      <w:start w:val="1"/>
      <w:numFmt w:val="bullet"/>
      <w:lvlText w:val="o"/>
      <w:lvlJc w:val="left"/>
      <w:pPr>
        <w:ind w:left="7251" w:hanging="360"/>
      </w:pPr>
      <w:rPr>
        <w:rFonts w:ascii="Courier New" w:hAnsi="Courier New" w:cs="Courier New" w:hint="default"/>
      </w:rPr>
    </w:lvl>
    <w:lvl w:ilvl="8" w:tplc="0C090005" w:tentative="1">
      <w:start w:val="1"/>
      <w:numFmt w:val="bullet"/>
      <w:lvlText w:val=""/>
      <w:lvlJc w:val="left"/>
      <w:pPr>
        <w:ind w:left="7971" w:hanging="360"/>
      </w:pPr>
      <w:rPr>
        <w:rFonts w:ascii="Wingdings" w:hAnsi="Wingdings" w:hint="default"/>
      </w:rPr>
    </w:lvl>
  </w:abstractNum>
  <w:abstractNum w:abstractNumId="18">
    <w:nsid w:val="116F7294"/>
    <w:multiLevelType w:val="hybridMultilevel"/>
    <w:tmpl w:val="1B1C7AFA"/>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21731BF"/>
    <w:multiLevelType w:val="singleLevel"/>
    <w:tmpl w:val="9C5C17E8"/>
    <w:lvl w:ilvl="0">
      <w:start w:val="1"/>
      <w:numFmt w:val="bullet"/>
      <w:pStyle w:val="BulletPoints"/>
      <w:lvlText w:val=""/>
      <w:lvlJc w:val="left"/>
      <w:pPr>
        <w:tabs>
          <w:tab w:val="num" w:pos="567"/>
        </w:tabs>
        <w:ind w:left="567" w:hanging="567"/>
      </w:pPr>
      <w:rPr>
        <w:rFonts w:ascii="Wingdings" w:hAnsi="Wingdings" w:hint="default"/>
      </w:rPr>
    </w:lvl>
  </w:abstractNum>
  <w:abstractNum w:abstractNumId="20">
    <w:nsid w:val="1CFF0F78"/>
    <w:multiLevelType w:val="hybridMultilevel"/>
    <w:tmpl w:val="50DC6428"/>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1">
    <w:nsid w:val="1D155310"/>
    <w:multiLevelType w:val="hybridMultilevel"/>
    <w:tmpl w:val="738EA6A0"/>
    <w:lvl w:ilvl="0" w:tplc="29F0430A">
      <w:start w:val="1"/>
      <w:numFmt w:val="lowerLetter"/>
      <w:pStyle w:val="TablePointsAlpha"/>
      <w:lvlText w:val="%1"/>
      <w:lvlJc w:val="left"/>
      <w:pPr>
        <w:tabs>
          <w:tab w:val="num" w:pos="284"/>
        </w:tabs>
        <w:ind w:left="284" w:hanging="284"/>
      </w:pPr>
      <w:rPr>
        <w:rFonts w:ascii="Arial" w:hAnsi="Arial"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DA570E4"/>
    <w:multiLevelType w:val="hybridMultilevel"/>
    <w:tmpl w:val="E1A6284E"/>
    <w:lvl w:ilvl="0" w:tplc="4AC4AA00">
      <w:start w:val="1"/>
      <w:numFmt w:val="decimal"/>
      <w:pStyle w:val="TablePointsNumbers"/>
      <w:lvlText w:val="%1"/>
      <w:lvlJc w:val="left"/>
      <w:pPr>
        <w:tabs>
          <w:tab w:val="num" w:pos="284"/>
        </w:tabs>
        <w:ind w:left="284" w:hanging="284"/>
      </w:pPr>
      <w:rPr>
        <w:rFonts w:ascii="Arial" w:hAnsi="Arial"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DB01631"/>
    <w:multiLevelType w:val="hybridMultilevel"/>
    <w:tmpl w:val="3998F540"/>
    <w:lvl w:ilvl="0" w:tplc="139A5802">
      <w:numFmt w:val="bullet"/>
      <w:lvlText w:val=""/>
      <w:lvlJc w:val="left"/>
      <w:pPr>
        <w:ind w:left="2684" w:hanging="360"/>
      </w:pPr>
      <w:rPr>
        <w:rFonts w:ascii="Symbol" w:eastAsia="Times New Roman" w:hAnsi="Symbol" w:cs="Times New Roman" w:hint="default"/>
      </w:rPr>
    </w:lvl>
    <w:lvl w:ilvl="1" w:tplc="0C090003" w:tentative="1">
      <w:start w:val="1"/>
      <w:numFmt w:val="bullet"/>
      <w:lvlText w:val="o"/>
      <w:lvlJc w:val="left"/>
      <w:pPr>
        <w:ind w:left="2630" w:hanging="360"/>
      </w:pPr>
      <w:rPr>
        <w:rFonts w:ascii="Courier New" w:hAnsi="Courier New" w:cs="Courier New" w:hint="default"/>
      </w:rPr>
    </w:lvl>
    <w:lvl w:ilvl="2" w:tplc="0C090005">
      <w:start w:val="1"/>
      <w:numFmt w:val="bullet"/>
      <w:lvlText w:val=""/>
      <w:lvlJc w:val="left"/>
      <w:pPr>
        <w:ind w:left="3350" w:hanging="360"/>
      </w:pPr>
      <w:rPr>
        <w:rFonts w:ascii="Wingdings" w:hAnsi="Wingdings" w:hint="default"/>
      </w:rPr>
    </w:lvl>
    <w:lvl w:ilvl="3" w:tplc="0C090001" w:tentative="1">
      <w:start w:val="1"/>
      <w:numFmt w:val="bullet"/>
      <w:lvlText w:val=""/>
      <w:lvlJc w:val="left"/>
      <w:pPr>
        <w:ind w:left="4070" w:hanging="360"/>
      </w:pPr>
      <w:rPr>
        <w:rFonts w:ascii="Symbol" w:hAnsi="Symbol" w:hint="default"/>
      </w:rPr>
    </w:lvl>
    <w:lvl w:ilvl="4" w:tplc="0C090003" w:tentative="1">
      <w:start w:val="1"/>
      <w:numFmt w:val="bullet"/>
      <w:lvlText w:val="o"/>
      <w:lvlJc w:val="left"/>
      <w:pPr>
        <w:ind w:left="4790" w:hanging="360"/>
      </w:pPr>
      <w:rPr>
        <w:rFonts w:ascii="Courier New" w:hAnsi="Courier New" w:cs="Courier New" w:hint="default"/>
      </w:rPr>
    </w:lvl>
    <w:lvl w:ilvl="5" w:tplc="0C090005" w:tentative="1">
      <w:start w:val="1"/>
      <w:numFmt w:val="bullet"/>
      <w:lvlText w:val=""/>
      <w:lvlJc w:val="left"/>
      <w:pPr>
        <w:ind w:left="5510" w:hanging="360"/>
      </w:pPr>
      <w:rPr>
        <w:rFonts w:ascii="Wingdings" w:hAnsi="Wingdings" w:hint="default"/>
      </w:rPr>
    </w:lvl>
    <w:lvl w:ilvl="6" w:tplc="0C090001" w:tentative="1">
      <w:start w:val="1"/>
      <w:numFmt w:val="bullet"/>
      <w:lvlText w:val=""/>
      <w:lvlJc w:val="left"/>
      <w:pPr>
        <w:ind w:left="6230" w:hanging="360"/>
      </w:pPr>
      <w:rPr>
        <w:rFonts w:ascii="Symbol" w:hAnsi="Symbol" w:hint="default"/>
      </w:rPr>
    </w:lvl>
    <w:lvl w:ilvl="7" w:tplc="0C090003" w:tentative="1">
      <w:start w:val="1"/>
      <w:numFmt w:val="bullet"/>
      <w:lvlText w:val="o"/>
      <w:lvlJc w:val="left"/>
      <w:pPr>
        <w:ind w:left="6950" w:hanging="360"/>
      </w:pPr>
      <w:rPr>
        <w:rFonts w:ascii="Courier New" w:hAnsi="Courier New" w:cs="Courier New" w:hint="default"/>
      </w:rPr>
    </w:lvl>
    <w:lvl w:ilvl="8" w:tplc="0C090005" w:tentative="1">
      <w:start w:val="1"/>
      <w:numFmt w:val="bullet"/>
      <w:lvlText w:val=""/>
      <w:lvlJc w:val="left"/>
      <w:pPr>
        <w:ind w:left="7670" w:hanging="360"/>
      </w:pPr>
      <w:rPr>
        <w:rFonts w:ascii="Wingdings" w:hAnsi="Wingdings" w:hint="default"/>
      </w:rPr>
    </w:lvl>
  </w:abstractNum>
  <w:abstractNum w:abstractNumId="24">
    <w:nsid w:val="1F221C55"/>
    <w:multiLevelType w:val="hybridMultilevel"/>
    <w:tmpl w:val="3020AE84"/>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nsid w:val="23693D69"/>
    <w:multiLevelType w:val="hybridMultilevel"/>
    <w:tmpl w:val="2DE4DF0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28767895"/>
    <w:multiLevelType w:val="hybridMultilevel"/>
    <w:tmpl w:val="905215E8"/>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7">
    <w:nsid w:val="29833909"/>
    <w:multiLevelType w:val="hybridMultilevel"/>
    <w:tmpl w:val="A1ACBE3E"/>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9ED3099"/>
    <w:multiLevelType w:val="singleLevel"/>
    <w:tmpl w:val="C456D138"/>
    <w:lvl w:ilvl="0">
      <w:start w:val="1"/>
      <w:numFmt w:val="decimal"/>
      <w:pStyle w:val="NumberPoints"/>
      <w:lvlText w:val="%1"/>
      <w:lvlJc w:val="left"/>
      <w:pPr>
        <w:tabs>
          <w:tab w:val="num" w:pos="567"/>
        </w:tabs>
        <w:ind w:left="567" w:hanging="567"/>
      </w:pPr>
      <w:rPr>
        <w:rFonts w:ascii="Arial" w:hAnsi="Arial" w:hint="default"/>
        <w:b/>
        <w:i w:val="0"/>
        <w:sz w:val="22"/>
      </w:rPr>
    </w:lvl>
  </w:abstractNum>
  <w:abstractNum w:abstractNumId="29">
    <w:nsid w:val="2C697667"/>
    <w:multiLevelType w:val="hybridMultilevel"/>
    <w:tmpl w:val="27DC76B0"/>
    <w:lvl w:ilvl="0" w:tplc="0C090005">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nsid w:val="2CE91185"/>
    <w:multiLevelType w:val="hybridMultilevel"/>
    <w:tmpl w:val="8E12AD1E"/>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31">
    <w:nsid w:val="2D5D7416"/>
    <w:multiLevelType w:val="hybridMultilevel"/>
    <w:tmpl w:val="A5A666BE"/>
    <w:lvl w:ilvl="0" w:tplc="0C090005">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2">
    <w:nsid w:val="303C20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0FE44A9"/>
    <w:multiLevelType w:val="hybridMultilevel"/>
    <w:tmpl w:val="98765FF6"/>
    <w:lvl w:ilvl="0" w:tplc="E50ED4C8">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5C50818"/>
    <w:multiLevelType w:val="hybridMultilevel"/>
    <w:tmpl w:val="58CCFE68"/>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35">
    <w:nsid w:val="36F21CDB"/>
    <w:multiLevelType w:val="hybridMultilevel"/>
    <w:tmpl w:val="4428254C"/>
    <w:lvl w:ilvl="0" w:tplc="03D42318">
      <w:start w:val="1"/>
      <w:numFmt w:val="decimal"/>
      <w:pStyle w:val="PointsNumbers"/>
      <w:lvlText w:val="%1"/>
      <w:lvlJc w:val="left"/>
      <w:pPr>
        <w:tabs>
          <w:tab w:val="num" w:pos="1701"/>
        </w:tabs>
        <w:ind w:left="1701" w:hanging="567"/>
      </w:pPr>
      <w:rPr>
        <w:rFonts w:ascii="Arial" w:hAnsi="Arial"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73368DC"/>
    <w:multiLevelType w:val="hybridMultilevel"/>
    <w:tmpl w:val="00728C4A"/>
    <w:lvl w:ilvl="0" w:tplc="C08EA878">
      <w:numFmt w:val="bullet"/>
      <w:lvlText w:val=""/>
      <w:lvlJc w:val="left"/>
      <w:pPr>
        <w:ind w:left="2628" w:hanging="360"/>
      </w:pPr>
      <w:rPr>
        <w:rFonts w:ascii="Symbol" w:eastAsia="Times New Roman" w:hAnsi="Symbol" w:cs="Times New Roman"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nsid w:val="39954D2C"/>
    <w:multiLevelType w:val="hybridMultilevel"/>
    <w:tmpl w:val="972E4A10"/>
    <w:lvl w:ilvl="0" w:tplc="0C090001">
      <w:start w:val="1"/>
      <w:numFmt w:val="bullet"/>
      <w:lvlText w:val=""/>
      <w:lvlJc w:val="left"/>
      <w:pPr>
        <w:ind w:left="2931" w:hanging="360"/>
      </w:pPr>
      <w:rPr>
        <w:rFonts w:ascii="Symbol" w:hAnsi="Symbol" w:hint="default"/>
      </w:rPr>
    </w:lvl>
    <w:lvl w:ilvl="1" w:tplc="0C090003" w:tentative="1">
      <w:start w:val="1"/>
      <w:numFmt w:val="bullet"/>
      <w:lvlText w:val="o"/>
      <w:lvlJc w:val="left"/>
      <w:pPr>
        <w:ind w:left="3651" w:hanging="360"/>
      </w:pPr>
      <w:rPr>
        <w:rFonts w:ascii="Courier New" w:hAnsi="Courier New" w:cs="Courier New" w:hint="default"/>
      </w:rPr>
    </w:lvl>
    <w:lvl w:ilvl="2" w:tplc="0C090005" w:tentative="1">
      <w:start w:val="1"/>
      <w:numFmt w:val="bullet"/>
      <w:lvlText w:val=""/>
      <w:lvlJc w:val="left"/>
      <w:pPr>
        <w:ind w:left="4371" w:hanging="360"/>
      </w:pPr>
      <w:rPr>
        <w:rFonts w:ascii="Wingdings" w:hAnsi="Wingdings" w:hint="default"/>
      </w:rPr>
    </w:lvl>
    <w:lvl w:ilvl="3" w:tplc="0C090001" w:tentative="1">
      <w:start w:val="1"/>
      <w:numFmt w:val="bullet"/>
      <w:lvlText w:val=""/>
      <w:lvlJc w:val="left"/>
      <w:pPr>
        <w:ind w:left="5091" w:hanging="360"/>
      </w:pPr>
      <w:rPr>
        <w:rFonts w:ascii="Symbol" w:hAnsi="Symbol" w:hint="default"/>
      </w:rPr>
    </w:lvl>
    <w:lvl w:ilvl="4" w:tplc="0C090003" w:tentative="1">
      <w:start w:val="1"/>
      <w:numFmt w:val="bullet"/>
      <w:lvlText w:val="o"/>
      <w:lvlJc w:val="left"/>
      <w:pPr>
        <w:ind w:left="5811" w:hanging="360"/>
      </w:pPr>
      <w:rPr>
        <w:rFonts w:ascii="Courier New" w:hAnsi="Courier New" w:cs="Courier New" w:hint="default"/>
      </w:rPr>
    </w:lvl>
    <w:lvl w:ilvl="5" w:tplc="0C090005" w:tentative="1">
      <w:start w:val="1"/>
      <w:numFmt w:val="bullet"/>
      <w:lvlText w:val=""/>
      <w:lvlJc w:val="left"/>
      <w:pPr>
        <w:ind w:left="6531" w:hanging="360"/>
      </w:pPr>
      <w:rPr>
        <w:rFonts w:ascii="Wingdings" w:hAnsi="Wingdings" w:hint="default"/>
      </w:rPr>
    </w:lvl>
    <w:lvl w:ilvl="6" w:tplc="0C090001" w:tentative="1">
      <w:start w:val="1"/>
      <w:numFmt w:val="bullet"/>
      <w:lvlText w:val=""/>
      <w:lvlJc w:val="left"/>
      <w:pPr>
        <w:ind w:left="7251" w:hanging="360"/>
      </w:pPr>
      <w:rPr>
        <w:rFonts w:ascii="Symbol" w:hAnsi="Symbol" w:hint="default"/>
      </w:rPr>
    </w:lvl>
    <w:lvl w:ilvl="7" w:tplc="0C090003" w:tentative="1">
      <w:start w:val="1"/>
      <w:numFmt w:val="bullet"/>
      <w:lvlText w:val="o"/>
      <w:lvlJc w:val="left"/>
      <w:pPr>
        <w:ind w:left="7971" w:hanging="360"/>
      </w:pPr>
      <w:rPr>
        <w:rFonts w:ascii="Courier New" w:hAnsi="Courier New" w:cs="Courier New" w:hint="default"/>
      </w:rPr>
    </w:lvl>
    <w:lvl w:ilvl="8" w:tplc="0C090005" w:tentative="1">
      <w:start w:val="1"/>
      <w:numFmt w:val="bullet"/>
      <w:lvlText w:val=""/>
      <w:lvlJc w:val="left"/>
      <w:pPr>
        <w:ind w:left="8691" w:hanging="360"/>
      </w:pPr>
      <w:rPr>
        <w:rFonts w:ascii="Wingdings" w:hAnsi="Wingdings" w:hint="default"/>
      </w:rPr>
    </w:lvl>
  </w:abstractNum>
  <w:abstractNum w:abstractNumId="38">
    <w:nsid w:val="3A2E2B15"/>
    <w:multiLevelType w:val="hybridMultilevel"/>
    <w:tmpl w:val="FE301AB0"/>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39">
    <w:nsid w:val="3ABE4CC0"/>
    <w:multiLevelType w:val="multilevel"/>
    <w:tmpl w:val="A37A22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3F7D50B4"/>
    <w:multiLevelType w:val="hybridMultilevel"/>
    <w:tmpl w:val="677C6A80"/>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FF90439"/>
    <w:multiLevelType w:val="hybridMultilevel"/>
    <w:tmpl w:val="B214527E"/>
    <w:lvl w:ilvl="0" w:tplc="C08EA878">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2">
    <w:nsid w:val="404302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AD47156"/>
    <w:multiLevelType w:val="hybridMultilevel"/>
    <w:tmpl w:val="9392CD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51F72FB3"/>
    <w:multiLevelType w:val="hybridMultilevel"/>
    <w:tmpl w:val="27AA13CA"/>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45">
    <w:nsid w:val="5934793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98049BA"/>
    <w:multiLevelType w:val="hybridMultilevel"/>
    <w:tmpl w:val="697A06E8"/>
    <w:lvl w:ilvl="0" w:tplc="D95E7032">
      <w:numFmt w:val="bullet"/>
      <w:lvlText w:val=""/>
      <w:lvlJc w:val="left"/>
      <w:pPr>
        <w:ind w:left="2628" w:hanging="360"/>
      </w:pPr>
      <w:rPr>
        <w:rFonts w:ascii="Symbol" w:eastAsia="Times New Roman" w:hAnsi="Symbol" w:cs="Times New Roman"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7">
    <w:nsid w:val="59945647"/>
    <w:multiLevelType w:val="multilevel"/>
    <w:tmpl w:val="DEA4E10E"/>
    <w:lvl w:ilvl="0">
      <w:start w:val="1"/>
      <w:numFmt w:val="decimal"/>
      <w:pStyle w:val="PSALevel1"/>
      <w:lvlText w:val="%1."/>
      <w:lvlJc w:val="left"/>
      <w:pPr>
        <w:tabs>
          <w:tab w:val="num" w:pos="397"/>
        </w:tabs>
        <w:ind w:left="397" w:hanging="397"/>
      </w:pPr>
      <w:rPr>
        <w:rFonts w:hint="default"/>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701"/>
        </w:tabs>
        <w:ind w:left="1701" w:hanging="1134"/>
      </w:pPr>
      <w:rPr>
        <w:rFonts w:hint="default"/>
      </w:rPr>
    </w:lvl>
    <w:lvl w:ilvl="5">
      <w:start w:val="1"/>
      <w:numFmt w:val="decimal"/>
      <w:lvlText w:val="%1.%2.%3.%4.%5.%6"/>
      <w:lvlJc w:val="left"/>
      <w:pPr>
        <w:tabs>
          <w:tab w:val="num" w:pos="1701"/>
        </w:tabs>
        <w:ind w:left="1701" w:hanging="1134"/>
      </w:pPr>
      <w:rPr>
        <w:rFonts w:hint="default"/>
      </w:rPr>
    </w:lvl>
    <w:lvl w:ilvl="6">
      <w:start w:val="1"/>
      <w:numFmt w:val="decimal"/>
      <w:lvlText w:val="%1.%2.%3.%4.%5.%6.%7"/>
      <w:lvlJc w:val="left"/>
      <w:pPr>
        <w:tabs>
          <w:tab w:val="num" w:pos="1701"/>
        </w:tabs>
        <w:ind w:left="1701" w:hanging="1134"/>
      </w:pPr>
      <w:rPr>
        <w:rFonts w:hint="default"/>
      </w:rPr>
    </w:lvl>
    <w:lvl w:ilvl="7">
      <w:start w:val="1"/>
      <w:numFmt w:val="decimal"/>
      <w:lvlText w:val="%1.%2.%3.%4.%5.%6.%7.%8"/>
      <w:lvlJc w:val="left"/>
      <w:pPr>
        <w:tabs>
          <w:tab w:val="num" w:pos="1701"/>
        </w:tabs>
        <w:ind w:left="1701" w:hanging="1134"/>
      </w:pPr>
      <w:rPr>
        <w:rFonts w:hint="default"/>
      </w:rPr>
    </w:lvl>
    <w:lvl w:ilvl="8">
      <w:start w:val="1"/>
      <w:numFmt w:val="decimal"/>
      <w:lvlText w:val="%1.%2.%3.%4.%5.%6.%7.%8.%9"/>
      <w:lvlJc w:val="left"/>
      <w:pPr>
        <w:tabs>
          <w:tab w:val="num" w:pos="1701"/>
        </w:tabs>
        <w:ind w:left="1701" w:hanging="1134"/>
      </w:pPr>
      <w:rPr>
        <w:rFonts w:hint="default"/>
      </w:rPr>
    </w:lvl>
  </w:abstractNum>
  <w:abstractNum w:abstractNumId="48">
    <w:nsid w:val="5A274220"/>
    <w:multiLevelType w:val="hybridMultilevel"/>
    <w:tmpl w:val="1180AA1C"/>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
    <w:nsid w:val="5D292D43"/>
    <w:multiLevelType w:val="hybridMultilevel"/>
    <w:tmpl w:val="271809BE"/>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50">
    <w:nsid w:val="63DB0F89"/>
    <w:multiLevelType w:val="hybridMultilevel"/>
    <w:tmpl w:val="44DE8CF4"/>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51">
    <w:nsid w:val="67A569C5"/>
    <w:multiLevelType w:val="singleLevel"/>
    <w:tmpl w:val="7F0C5AFA"/>
    <w:lvl w:ilvl="0">
      <w:start w:val="1"/>
      <w:numFmt w:val="lowerLetter"/>
      <w:pStyle w:val="AlphaPoints"/>
      <w:lvlText w:val="%1"/>
      <w:lvlJc w:val="left"/>
      <w:pPr>
        <w:tabs>
          <w:tab w:val="num" w:pos="567"/>
        </w:tabs>
        <w:ind w:left="567" w:hanging="567"/>
      </w:pPr>
      <w:rPr>
        <w:rFonts w:ascii="Arial" w:hAnsi="Arial" w:hint="default"/>
        <w:b/>
        <w:i w:val="0"/>
        <w:sz w:val="22"/>
      </w:rPr>
    </w:lvl>
  </w:abstractNum>
  <w:abstractNum w:abstractNumId="52">
    <w:nsid w:val="686E0004"/>
    <w:multiLevelType w:val="hybridMultilevel"/>
    <w:tmpl w:val="7E7A8CF2"/>
    <w:lvl w:ilvl="0" w:tplc="0C090005">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3">
    <w:nsid w:val="6DBC1505"/>
    <w:multiLevelType w:val="multilevel"/>
    <w:tmpl w:val="78DA9FA2"/>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4">
    <w:nsid w:val="6E783F17"/>
    <w:multiLevelType w:val="multilevel"/>
    <w:tmpl w:val="57FCE31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080"/>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55">
    <w:nsid w:val="71397967"/>
    <w:multiLevelType w:val="hybridMultilevel"/>
    <w:tmpl w:val="4DAC49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3EB482F"/>
    <w:multiLevelType w:val="hybridMultilevel"/>
    <w:tmpl w:val="F538E968"/>
    <w:lvl w:ilvl="0" w:tplc="BB2610AC">
      <w:start w:val="1"/>
      <w:numFmt w:val="lowerLetter"/>
      <w:pStyle w:val="PointsAlpha"/>
      <w:lvlText w:val="%1"/>
      <w:lvlJc w:val="left"/>
      <w:pPr>
        <w:tabs>
          <w:tab w:val="num" w:pos="1701"/>
        </w:tabs>
        <w:ind w:left="1701" w:hanging="567"/>
      </w:pPr>
      <w:rPr>
        <w:rFonts w:ascii="Arial" w:hAnsi="Arial" w:hint="default"/>
        <w:b/>
        <w:i w:val="0"/>
        <w:sz w:val="20"/>
      </w:rPr>
    </w:lvl>
    <w:lvl w:ilvl="1" w:tplc="1778B66C" w:tentative="1">
      <w:start w:val="1"/>
      <w:numFmt w:val="lowerLetter"/>
      <w:lvlText w:val="%2."/>
      <w:lvlJc w:val="left"/>
      <w:pPr>
        <w:tabs>
          <w:tab w:val="num" w:pos="1440"/>
        </w:tabs>
        <w:ind w:left="1440" w:hanging="360"/>
      </w:pPr>
    </w:lvl>
    <w:lvl w:ilvl="2" w:tplc="BD90CAA2" w:tentative="1">
      <w:start w:val="1"/>
      <w:numFmt w:val="lowerRoman"/>
      <w:lvlText w:val="%3."/>
      <w:lvlJc w:val="right"/>
      <w:pPr>
        <w:tabs>
          <w:tab w:val="num" w:pos="2160"/>
        </w:tabs>
        <w:ind w:left="2160" w:hanging="180"/>
      </w:pPr>
    </w:lvl>
    <w:lvl w:ilvl="3" w:tplc="43462E8A" w:tentative="1">
      <w:start w:val="1"/>
      <w:numFmt w:val="decimal"/>
      <w:lvlText w:val="%4."/>
      <w:lvlJc w:val="left"/>
      <w:pPr>
        <w:tabs>
          <w:tab w:val="num" w:pos="2880"/>
        </w:tabs>
        <w:ind w:left="2880" w:hanging="360"/>
      </w:pPr>
    </w:lvl>
    <w:lvl w:ilvl="4" w:tplc="C430095E" w:tentative="1">
      <w:start w:val="1"/>
      <w:numFmt w:val="lowerLetter"/>
      <w:lvlText w:val="%5."/>
      <w:lvlJc w:val="left"/>
      <w:pPr>
        <w:tabs>
          <w:tab w:val="num" w:pos="3600"/>
        </w:tabs>
        <w:ind w:left="3600" w:hanging="360"/>
      </w:pPr>
    </w:lvl>
    <w:lvl w:ilvl="5" w:tplc="BB3C82E2" w:tentative="1">
      <w:start w:val="1"/>
      <w:numFmt w:val="lowerRoman"/>
      <w:lvlText w:val="%6."/>
      <w:lvlJc w:val="right"/>
      <w:pPr>
        <w:tabs>
          <w:tab w:val="num" w:pos="4320"/>
        </w:tabs>
        <w:ind w:left="4320" w:hanging="180"/>
      </w:pPr>
    </w:lvl>
    <w:lvl w:ilvl="6" w:tplc="8444B656" w:tentative="1">
      <w:start w:val="1"/>
      <w:numFmt w:val="decimal"/>
      <w:lvlText w:val="%7."/>
      <w:lvlJc w:val="left"/>
      <w:pPr>
        <w:tabs>
          <w:tab w:val="num" w:pos="5040"/>
        </w:tabs>
        <w:ind w:left="5040" w:hanging="360"/>
      </w:pPr>
    </w:lvl>
    <w:lvl w:ilvl="7" w:tplc="90CEAEE8" w:tentative="1">
      <w:start w:val="1"/>
      <w:numFmt w:val="lowerLetter"/>
      <w:lvlText w:val="%8."/>
      <w:lvlJc w:val="left"/>
      <w:pPr>
        <w:tabs>
          <w:tab w:val="num" w:pos="5760"/>
        </w:tabs>
        <w:ind w:left="5760" w:hanging="360"/>
      </w:pPr>
    </w:lvl>
    <w:lvl w:ilvl="8" w:tplc="6FC8E864" w:tentative="1">
      <w:start w:val="1"/>
      <w:numFmt w:val="lowerRoman"/>
      <w:lvlText w:val="%9."/>
      <w:lvlJc w:val="right"/>
      <w:pPr>
        <w:tabs>
          <w:tab w:val="num" w:pos="6480"/>
        </w:tabs>
        <w:ind w:left="6480" w:hanging="180"/>
      </w:pPr>
    </w:lvl>
  </w:abstractNum>
  <w:abstractNum w:abstractNumId="57">
    <w:nsid w:val="7561696A"/>
    <w:multiLevelType w:val="hybridMultilevel"/>
    <w:tmpl w:val="A120D22A"/>
    <w:lvl w:ilvl="0" w:tplc="139A5802">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8">
    <w:nsid w:val="79755C3C"/>
    <w:multiLevelType w:val="hybridMultilevel"/>
    <w:tmpl w:val="457E6FB0"/>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59">
    <w:nsid w:val="7B855F9C"/>
    <w:multiLevelType w:val="hybridMultilevel"/>
    <w:tmpl w:val="7A00B52C"/>
    <w:lvl w:ilvl="0" w:tplc="0C090005">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60">
    <w:nsid w:val="7D963ED5"/>
    <w:multiLevelType w:val="hybridMultilevel"/>
    <w:tmpl w:val="52C00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53"/>
  </w:num>
  <w:num w:numId="3">
    <w:abstractNumId w:val="56"/>
  </w:num>
  <w:num w:numId="4">
    <w:abstractNumId w:val="40"/>
  </w:num>
  <w:num w:numId="5">
    <w:abstractNumId w:val="35"/>
  </w:num>
  <w:num w:numId="6">
    <w:abstractNumId w:val="47"/>
  </w:num>
  <w:num w:numId="7">
    <w:abstractNumId w:val="21"/>
  </w:num>
  <w:num w:numId="8">
    <w:abstractNumId w:val="16"/>
  </w:num>
  <w:num w:numId="9">
    <w:abstractNumId w:val="22"/>
  </w:num>
  <w:num w:numId="10">
    <w:abstractNumId w:val="42"/>
  </w:num>
  <w:num w:numId="11">
    <w:abstractNumId w:val="45"/>
  </w:num>
  <w:num w:numId="12">
    <w:abstractNumId w:val="51"/>
  </w:num>
  <w:num w:numId="13">
    <w:abstractNumId w:val="32"/>
  </w:num>
  <w:num w:numId="14">
    <w:abstractNumId w:val="19"/>
  </w:num>
  <w:num w:numId="15">
    <w:abstractNumId w:val="5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41"/>
  </w:num>
  <w:num w:numId="28">
    <w:abstractNumId w:val="25"/>
  </w:num>
  <w:num w:numId="29">
    <w:abstractNumId w:val="33"/>
  </w:num>
  <w:num w:numId="30">
    <w:abstractNumId w:val="55"/>
  </w:num>
  <w:num w:numId="31">
    <w:abstractNumId w:val="34"/>
  </w:num>
  <w:num w:numId="32">
    <w:abstractNumId w:val="49"/>
  </w:num>
  <w:num w:numId="33">
    <w:abstractNumId w:val="38"/>
  </w:num>
  <w:num w:numId="34">
    <w:abstractNumId w:val="17"/>
  </w:num>
  <w:num w:numId="35">
    <w:abstractNumId w:val="11"/>
  </w:num>
  <w:num w:numId="36">
    <w:abstractNumId w:val="44"/>
  </w:num>
  <w:num w:numId="37">
    <w:abstractNumId w:val="14"/>
  </w:num>
  <w:num w:numId="38">
    <w:abstractNumId w:val="20"/>
  </w:num>
  <w:num w:numId="39">
    <w:abstractNumId w:val="15"/>
  </w:num>
  <w:num w:numId="40">
    <w:abstractNumId w:val="58"/>
  </w:num>
  <w:num w:numId="41">
    <w:abstractNumId w:val="12"/>
  </w:num>
  <w:num w:numId="42">
    <w:abstractNumId w:val="26"/>
  </w:num>
  <w:num w:numId="43">
    <w:abstractNumId w:val="59"/>
  </w:num>
  <w:num w:numId="44">
    <w:abstractNumId w:val="13"/>
  </w:num>
  <w:num w:numId="45">
    <w:abstractNumId w:val="60"/>
  </w:num>
  <w:num w:numId="46">
    <w:abstractNumId w:val="43"/>
  </w:num>
  <w:num w:numId="47">
    <w:abstractNumId w:val="50"/>
  </w:num>
  <w:num w:numId="48">
    <w:abstractNumId w:val="30"/>
  </w:num>
  <w:num w:numId="49">
    <w:abstractNumId w:val="37"/>
  </w:num>
  <w:num w:numId="50">
    <w:abstractNumId w:val="29"/>
  </w:num>
  <w:num w:numId="51">
    <w:abstractNumId w:val="10"/>
  </w:num>
  <w:num w:numId="52">
    <w:abstractNumId w:val="36"/>
  </w:num>
  <w:num w:numId="53">
    <w:abstractNumId w:val="48"/>
  </w:num>
  <w:num w:numId="54">
    <w:abstractNumId w:val="52"/>
  </w:num>
  <w:num w:numId="55">
    <w:abstractNumId w:val="31"/>
  </w:num>
  <w:num w:numId="56">
    <w:abstractNumId w:val="24"/>
  </w:num>
  <w:num w:numId="57">
    <w:abstractNumId w:val="46"/>
  </w:num>
  <w:num w:numId="58">
    <w:abstractNumId w:val="27"/>
  </w:num>
  <w:num w:numId="59">
    <w:abstractNumId w:val="18"/>
  </w:num>
  <w:num w:numId="60">
    <w:abstractNumId w:val="57"/>
  </w:num>
  <w:num w:numId="61">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4004"/>
  <w:stylePaneSortMethod w:val="0000"/>
  <w:defaultTabStop w:val="567"/>
  <w:characterSpacingControl w:val="doNotCompress"/>
  <w:hdrShapeDefaults>
    <o:shapedefaults v:ext="edit" spidmax="10241">
      <o:colormru v:ext="edit" colors="#00519e,#b8b8ac,#009ee0"/>
    </o:shapedefaults>
  </w:hdrShapeDefaults>
  <w:footnotePr>
    <w:footnote w:id="-1"/>
    <w:footnote w:id="0"/>
  </w:footnotePr>
  <w:endnotePr>
    <w:endnote w:id="-1"/>
    <w:endnote w:id="0"/>
  </w:endnotePr>
  <w:compat/>
  <w:rsids>
    <w:rsidRoot w:val="002965D0"/>
    <w:rsid w:val="0000132D"/>
    <w:rsid w:val="0000740A"/>
    <w:rsid w:val="00012023"/>
    <w:rsid w:val="00015ADE"/>
    <w:rsid w:val="000165F9"/>
    <w:rsid w:val="00017F07"/>
    <w:rsid w:val="0002089C"/>
    <w:rsid w:val="000225C3"/>
    <w:rsid w:val="00025102"/>
    <w:rsid w:val="000261AB"/>
    <w:rsid w:val="00026C60"/>
    <w:rsid w:val="00031A6D"/>
    <w:rsid w:val="00033A9E"/>
    <w:rsid w:val="000365A9"/>
    <w:rsid w:val="00037B5A"/>
    <w:rsid w:val="00040166"/>
    <w:rsid w:val="00042E6F"/>
    <w:rsid w:val="00043E17"/>
    <w:rsid w:val="00047D9E"/>
    <w:rsid w:val="00052A5B"/>
    <w:rsid w:val="00053BE9"/>
    <w:rsid w:val="0005522B"/>
    <w:rsid w:val="00056393"/>
    <w:rsid w:val="00056D5F"/>
    <w:rsid w:val="00061D9B"/>
    <w:rsid w:val="0006529A"/>
    <w:rsid w:val="00065C50"/>
    <w:rsid w:val="00066307"/>
    <w:rsid w:val="0006687F"/>
    <w:rsid w:val="0006706C"/>
    <w:rsid w:val="00067A22"/>
    <w:rsid w:val="0007149F"/>
    <w:rsid w:val="000732B1"/>
    <w:rsid w:val="000751D7"/>
    <w:rsid w:val="00076904"/>
    <w:rsid w:val="00077370"/>
    <w:rsid w:val="000805BE"/>
    <w:rsid w:val="00080CFD"/>
    <w:rsid w:val="00080D10"/>
    <w:rsid w:val="00082122"/>
    <w:rsid w:val="00083617"/>
    <w:rsid w:val="000843ED"/>
    <w:rsid w:val="00084DBE"/>
    <w:rsid w:val="00085083"/>
    <w:rsid w:val="00090338"/>
    <w:rsid w:val="000930D7"/>
    <w:rsid w:val="00093774"/>
    <w:rsid w:val="00095924"/>
    <w:rsid w:val="0009742A"/>
    <w:rsid w:val="000A5969"/>
    <w:rsid w:val="000A5CA4"/>
    <w:rsid w:val="000A5FA6"/>
    <w:rsid w:val="000A6667"/>
    <w:rsid w:val="000B013A"/>
    <w:rsid w:val="000B0946"/>
    <w:rsid w:val="000B1553"/>
    <w:rsid w:val="000B66F1"/>
    <w:rsid w:val="000C30C3"/>
    <w:rsid w:val="000C4F18"/>
    <w:rsid w:val="000C5630"/>
    <w:rsid w:val="000C7022"/>
    <w:rsid w:val="000D43B4"/>
    <w:rsid w:val="000D5AF7"/>
    <w:rsid w:val="000D76D5"/>
    <w:rsid w:val="000E201E"/>
    <w:rsid w:val="000E4716"/>
    <w:rsid w:val="000E6849"/>
    <w:rsid w:val="000F0B7A"/>
    <w:rsid w:val="000F0CA6"/>
    <w:rsid w:val="000F3D99"/>
    <w:rsid w:val="000F3F15"/>
    <w:rsid w:val="000F6BD0"/>
    <w:rsid w:val="000F71D7"/>
    <w:rsid w:val="00100545"/>
    <w:rsid w:val="00101A6F"/>
    <w:rsid w:val="00105569"/>
    <w:rsid w:val="001066B2"/>
    <w:rsid w:val="00106A7A"/>
    <w:rsid w:val="00106B3F"/>
    <w:rsid w:val="00112897"/>
    <w:rsid w:val="00112CB4"/>
    <w:rsid w:val="0011454D"/>
    <w:rsid w:val="00115DB2"/>
    <w:rsid w:val="001176F3"/>
    <w:rsid w:val="0012134D"/>
    <w:rsid w:val="00124B57"/>
    <w:rsid w:val="0013005E"/>
    <w:rsid w:val="001366E0"/>
    <w:rsid w:val="001375B0"/>
    <w:rsid w:val="00140AF4"/>
    <w:rsid w:val="001451E0"/>
    <w:rsid w:val="00145CE6"/>
    <w:rsid w:val="001463DD"/>
    <w:rsid w:val="001473F4"/>
    <w:rsid w:val="00147713"/>
    <w:rsid w:val="001502E9"/>
    <w:rsid w:val="001579C1"/>
    <w:rsid w:val="00162716"/>
    <w:rsid w:val="00163A76"/>
    <w:rsid w:val="001648FC"/>
    <w:rsid w:val="00167DBC"/>
    <w:rsid w:val="00172284"/>
    <w:rsid w:val="00172789"/>
    <w:rsid w:val="001745C7"/>
    <w:rsid w:val="00176DBA"/>
    <w:rsid w:val="001825BB"/>
    <w:rsid w:val="00182AB4"/>
    <w:rsid w:val="0018343B"/>
    <w:rsid w:val="00184900"/>
    <w:rsid w:val="001851DC"/>
    <w:rsid w:val="001916E4"/>
    <w:rsid w:val="0019345C"/>
    <w:rsid w:val="0019530A"/>
    <w:rsid w:val="001A0A0F"/>
    <w:rsid w:val="001A1E68"/>
    <w:rsid w:val="001A2AE8"/>
    <w:rsid w:val="001A2E92"/>
    <w:rsid w:val="001A3053"/>
    <w:rsid w:val="001A3869"/>
    <w:rsid w:val="001A4776"/>
    <w:rsid w:val="001B0760"/>
    <w:rsid w:val="001B113D"/>
    <w:rsid w:val="001B20E1"/>
    <w:rsid w:val="001B7648"/>
    <w:rsid w:val="001C25CB"/>
    <w:rsid w:val="001C3803"/>
    <w:rsid w:val="001C4019"/>
    <w:rsid w:val="001C42F6"/>
    <w:rsid w:val="001C506D"/>
    <w:rsid w:val="001C5565"/>
    <w:rsid w:val="001C5BE4"/>
    <w:rsid w:val="001C65E7"/>
    <w:rsid w:val="001C6A35"/>
    <w:rsid w:val="001D0D0E"/>
    <w:rsid w:val="001D18BE"/>
    <w:rsid w:val="001D1AC4"/>
    <w:rsid w:val="001D3679"/>
    <w:rsid w:val="001D3682"/>
    <w:rsid w:val="001D528F"/>
    <w:rsid w:val="001D6052"/>
    <w:rsid w:val="001E0913"/>
    <w:rsid w:val="001E20D7"/>
    <w:rsid w:val="001E4A1A"/>
    <w:rsid w:val="001E50CE"/>
    <w:rsid w:val="001E5E88"/>
    <w:rsid w:val="001E600C"/>
    <w:rsid w:val="001E645D"/>
    <w:rsid w:val="001E6B89"/>
    <w:rsid w:val="001F0071"/>
    <w:rsid w:val="001F1165"/>
    <w:rsid w:val="001F1C43"/>
    <w:rsid w:val="001F217D"/>
    <w:rsid w:val="001F3BFB"/>
    <w:rsid w:val="001F7565"/>
    <w:rsid w:val="002022C3"/>
    <w:rsid w:val="0020316B"/>
    <w:rsid w:val="00204947"/>
    <w:rsid w:val="00210185"/>
    <w:rsid w:val="002109FD"/>
    <w:rsid w:val="002117F7"/>
    <w:rsid w:val="00223CF1"/>
    <w:rsid w:val="002246A3"/>
    <w:rsid w:val="00225B15"/>
    <w:rsid w:val="002262CA"/>
    <w:rsid w:val="00236153"/>
    <w:rsid w:val="002362F9"/>
    <w:rsid w:val="00240DB2"/>
    <w:rsid w:val="002432FC"/>
    <w:rsid w:val="00244311"/>
    <w:rsid w:val="00244E41"/>
    <w:rsid w:val="002465B5"/>
    <w:rsid w:val="00246DD4"/>
    <w:rsid w:val="00246EC3"/>
    <w:rsid w:val="0024732A"/>
    <w:rsid w:val="00252E2F"/>
    <w:rsid w:val="00256206"/>
    <w:rsid w:val="002566ED"/>
    <w:rsid w:val="0025769C"/>
    <w:rsid w:val="00261FA5"/>
    <w:rsid w:val="002620EF"/>
    <w:rsid w:val="0026253B"/>
    <w:rsid w:val="002654C2"/>
    <w:rsid w:val="0026552E"/>
    <w:rsid w:val="00265F4A"/>
    <w:rsid w:val="00281886"/>
    <w:rsid w:val="0028224E"/>
    <w:rsid w:val="0028437E"/>
    <w:rsid w:val="00287016"/>
    <w:rsid w:val="0029255C"/>
    <w:rsid w:val="002939A9"/>
    <w:rsid w:val="002965D0"/>
    <w:rsid w:val="002A0CC3"/>
    <w:rsid w:val="002A12D1"/>
    <w:rsid w:val="002A1D14"/>
    <w:rsid w:val="002A2643"/>
    <w:rsid w:val="002A3096"/>
    <w:rsid w:val="002A387C"/>
    <w:rsid w:val="002A7483"/>
    <w:rsid w:val="002A7591"/>
    <w:rsid w:val="002A76AB"/>
    <w:rsid w:val="002B0F59"/>
    <w:rsid w:val="002B1738"/>
    <w:rsid w:val="002B47F3"/>
    <w:rsid w:val="002B557F"/>
    <w:rsid w:val="002B5927"/>
    <w:rsid w:val="002B6A04"/>
    <w:rsid w:val="002C048E"/>
    <w:rsid w:val="002C107A"/>
    <w:rsid w:val="002C37D4"/>
    <w:rsid w:val="002C60BF"/>
    <w:rsid w:val="002C622F"/>
    <w:rsid w:val="002D4ECF"/>
    <w:rsid w:val="002D51A9"/>
    <w:rsid w:val="002D58FB"/>
    <w:rsid w:val="002E08A1"/>
    <w:rsid w:val="002E2594"/>
    <w:rsid w:val="002E3F23"/>
    <w:rsid w:val="002E4122"/>
    <w:rsid w:val="002F11B6"/>
    <w:rsid w:val="002F190F"/>
    <w:rsid w:val="002F48A5"/>
    <w:rsid w:val="002F4C23"/>
    <w:rsid w:val="002F59F8"/>
    <w:rsid w:val="002F65B7"/>
    <w:rsid w:val="002F7B77"/>
    <w:rsid w:val="00300DDD"/>
    <w:rsid w:val="0030118C"/>
    <w:rsid w:val="00305535"/>
    <w:rsid w:val="00306895"/>
    <w:rsid w:val="00307CD0"/>
    <w:rsid w:val="00313A2A"/>
    <w:rsid w:val="003140AE"/>
    <w:rsid w:val="00314573"/>
    <w:rsid w:val="00316E87"/>
    <w:rsid w:val="00321CA0"/>
    <w:rsid w:val="00321F93"/>
    <w:rsid w:val="003229C7"/>
    <w:rsid w:val="003266EA"/>
    <w:rsid w:val="00327995"/>
    <w:rsid w:val="00332FCC"/>
    <w:rsid w:val="00333881"/>
    <w:rsid w:val="00334026"/>
    <w:rsid w:val="00334A15"/>
    <w:rsid w:val="00340E69"/>
    <w:rsid w:val="003410E0"/>
    <w:rsid w:val="00350310"/>
    <w:rsid w:val="003509AD"/>
    <w:rsid w:val="00350C10"/>
    <w:rsid w:val="00352858"/>
    <w:rsid w:val="0035735F"/>
    <w:rsid w:val="00360897"/>
    <w:rsid w:val="00360972"/>
    <w:rsid w:val="00361666"/>
    <w:rsid w:val="00363843"/>
    <w:rsid w:val="0036689C"/>
    <w:rsid w:val="0036749E"/>
    <w:rsid w:val="003676CF"/>
    <w:rsid w:val="003722BE"/>
    <w:rsid w:val="0037234F"/>
    <w:rsid w:val="00373DBF"/>
    <w:rsid w:val="003756B2"/>
    <w:rsid w:val="00376990"/>
    <w:rsid w:val="0038073F"/>
    <w:rsid w:val="0038368A"/>
    <w:rsid w:val="00387891"/>
    <w:rsid w:val="00390501"/>
    <w:rsid w:val="0039341B"/>
    <w:rsid w:val="00394C82"/>
    <w:rsid w:val="00395D8C"/>
    <w:rsid w:val="0039709D"/>
    <w:rsid w:val="003972D8"/>
    <w:rsid w:val="0039791A"/>
    <w:rsid w:val="003A0E90"/>
    <w:rsid w:val="003A0F34"/>
    <w:rsid w:val="003A3034"/>
    <w:rsid w:val="003A4E94"/>
    <w:rsid w:val="003A6375"/>
    <w:rsid w:val="003B09CB"/>
    <w:rsid w:val="003B118D"/>
    <w:rsid w:val="003B12E9"/>
    <w:rsid w:val="003B2C49"/>
    <w:rsid w:val="003B4A11"/>
    <w:rsid w:val="003B60A1"/>
    <w:rsid w:val="003B766B"/>
    <w:rsid w:val="003C2043"/>
    <w:rsid w:val="003C2F4C"/>
    <w:rsid w:val="003C3EF3"/>
    <w:rsid w:val="003C6035"/>
    <w:rsid w:val="003C7154"/>
    <w:rsid w:val="003D06F8"/>
    <w:rsid w:val="003D0982"/>
    <w:rsid w:val="003D1832"/>
    <w:rsid w:val="003D2BBD"/>
    <w:rsid w:val="003D4F99"/>
    <w:rsid w:val="003D5209"/>
    <w:rsid w:val="003D5873"/>
    <w:rsid w:val="003D6713"/>
    <w:rsid w:val="003E2431"/>
    <w:rsid w:val="003E39AA"/>
    <w:rsid w:val="003E6BB1"/>
    <w:rsid w:val="003E753F"/>
    <w:rsid w:val="003F03E5"/>
    <w:rsid w:val="003F04C7"/>
    <w:rsid w:val="003F41EB"/>
    <w:rsid w:val="003F641F"/>
    <w:rsid w:val="003F7ADC"/>
    <w:rsid w:val="003F7B3A"/>
    <w:rsid w:val="004037AA"/>
    <w:rsid w:val="004038E0"/>
    <w:rsid w:val="00405E98"/>
    <w:rsid w:val="004101C7"/>
    <w:rsid w:val="0041222C"/>
    <w:rsid w:val="00413E96"/>
    <w:rsid w:val="00414B64"/>
    <w:rsid w:val="00416542"/>
    <w:rsid w:val="00420437"/>
    <w:rsid w:val="00421C2C"/>
    <w:rsid w:val="00423B36"/>
    <w:rsid w:val="004265A9"/>
    <w:rsid w:val="00426DEC"/>
    <w:rsid w:val="0043045C"/>
    <w:rsid w:val="004313D9"/>
    <w:rsid w:val="0043206A"/>
    <w:rsid w:val="004343ED"/>
    <w:rsid w:val="00436917"/>
    <w:rsid w:val="0044035A"/>
    <w:rsid w:val="00445B87"/>
    <w:rsid w:val="00445BD6"/>
    <w:rsid w:val="00445C64"/>
    <w:rsid w:val="00446603"/>
    <w:rsid w:val="00446E9E"/>
    <w:rsid w:val="0045253B"/>
    <w:rsid w:val="00453383"/>
    <w:rsid w:val="00456BD6"/>
    <w:rsid w:val="0046354E"/>
    <w:rsid w:val="00464FD5"/>
    <w:rsid w:val="004702DC"/>
    <w:rsid w:val="004718F8"/>
    <w:rsid w:val="00472E62"/>
    <w:rsid w:val="00473907"/>
    <w:rsid w:val="00481F52"/>
    <w:rsid w:val="0048462A"/>
    <w:rsid w:val="004867BC"/>
    <w:rsid w:val="00493B67"/>
    <w:rsid w:val="0049492C"/>
    <w:rsid w:val="004961A9"/>
    <w:rsid w:val="0049739A"/>
    <w:rsid w:val="004A35C9"/>
    <w:rsid w:val="004B00D3"/>
    <w:rsid w:val="004B431D"/>
    <w:rsid w:val="004B5327"/>
    <w:rsid w:val="004B67E0"/>
    <w:rsid w:val="004C06FA"/>
    <w:rsid w:val="004C178A"/>
    <w:rsid w:val="004C1B53"/>
    <w:rsid w:val="004C3C58"/>
    <w:rsid w:val="004D217E"/>
    <w:rsid w:val="004D2430"/>
    <w:rsid w:val="004D35B0"/>
    <w:rsid w:val="004E0FA4"/>
    <w:rsid w:val="004E1E2B"/>
    <w:rsid w:val="004E28A8"/>
    <w:rsid w:val="004F1767"/>
    <w:rsid w:val="004F293B"/>
    <w:rsid w:val="004F2B46"/>
    <w:rsid w:val="004F3CDB"/>
    <w:rsid w:val="004F5C6C"/>
    <w:rsid w:val="004F748C"/>
    <w:rsid w:val="005029B3"/>
    <w:rsid w:val="00503D7A"/>
    <w:rsid w:val="005049C2"/>
    <w:rsid w:val="00504BD8"/>
    <w:rsid w:val="005064FC"/>
    <w:rsid w:val="005066F0"/>
    <w:rsid w:val="00510039"/>
    <w:rsid w:val="00511A57"/>
    <w:rsid w:val="005121A6"/>
    <w:rsid w:val="00513576"/>
    <w:rsid w:val="00513EBE"/>
    <w:rsid w:val="00521C2B"/>
    <w:rsid w:val="0052384D"/>
    <w:rsid w:val="00524E69"/>
    <w:rsid w:val="005276CA"/>
    <w:rsid w:val="005309A0"/>
    <w:rsid w:val="00532509"/>
    <w:rsid w:val="0053374F"/>
    <w:rsid w:val="0053445D"/>
    <w:rsid w:val="00534A37"/>
    <w:rsid w:val="005369ED"/>
    <w:rsid w:val="005372DF"/>
    <w:rsid w:val="00541222"/>
    <w:rsid w:val="00544E07"/>
    <w:rsid w:val="005454E8"/>
    <w:rsid w:val="00554D00"/>
    <w:rsid w:val="005616A4"/>
    <w:rsid w:val="0056371C"/>
    <w:rsid w:val="0057062E"/>
    <w:rsid w:val="00570809"/>
    <w:rsid w:val="005803D4"/>
    <w:rsid w:val="00580944"/>
    <w:rsid w:val="00580BFE"/>
    <w:rsid w:val="00582903"/>
    <w:rsid w:val="00582ED5"/>
    <w:rsid w:val="005834B4"/>
    <w:rsid w:val="00583E09"/>
    <w:rsid w:val="005850D4"/>
    <w:rsid w:val="00585F48"/>
    <w:rsid w:val="00586DE7"/>
    <w:rsid w:val="00586EB9"/>
    <w:rsid w:val="00587B05"/>
    <w:rsid w:val="00593D01"/>
    <w:rsid w:val="00596D62"/>
    <w:rsid w:val="005A1150"/>
    <w:rsid w:val="005A1232"/>
    <w:rsid w:val="005A1A5A"/>
    <w:rsid w:val="005A29BC"/>
    <w:rsid w:val="005A34AC"/>
    <w:rsid w:val="005A58B4"/>
    <w:rsid w:val="005A590A"/>
    <w:rsid w:val="005B1B45"/>
    <w:rsid w:val="005B22C5"/>
    <w:rsid w:val="005B2BC2"/>
    <w:rsid w:val="005B311F"/>
    <w:rsid w:val="005B3DD4"/>
    <w:rsid w:val="005B4BF4"/>
    <w:rsid w:val="005B5D4D"/>
    <w:rsid w:val="005C0B4D"/>
    <w:rsid w:val="005C1F28"/>
    <w:rsid w:val="005C1F78"/>
    <w:rsid w:val="005C217C"/>
    <w:rsid w:val="005C265D"/>
    <w:rsid w:val="005C4C37"/>
    <w:rsid w:val="005C7592"/>
    <w:rsid w:val="005C7A79"/>
    <w:rsid w:val="005D0738"/>
    <w:rsid w:val="005D1CEC"/>
    <w:rsid w:val="005D1E94"/>
    <w:rsid w:val="005D3403"/>
    <w:rsid w:val="005D707F"/>
    <w:rsid w:val="005E01CE"/>
    <w:rsid w:val="005E154B"/>
    <w:rsid w:val="005E3975"/>
    <w:rsid w:val="005E4510"/>
    <w:rsid w:val="005E5943"/>
    <w:rsid w:val="005F3B12"/>
    <w:rsid w:val="005F3CE0"/>
    <w:rsid w:val="005F6B37"/>
    <w:rsid w:val="005F73E4"/>
    <w:rsid w:val="005F7EE0"/>
    <w:rsid w:val="00601359"/>
    <w:rsid w:val="006014D0"/>
    <w:rsid w:val="00603BB6"/>
    <w:rsid w:val="006109C6"/>
    <w:rsid w:val="00613733"/>
    <w:rsid w:val="00614A0C"/>
    <w:rsid w:val="006153BF"/>
    <w:rsid w:val="00615E49"/>
    <w:rsid w:val="0061627B"/>
    <w:rsid w:val="00616D64"/>
    <w:rsid w:val="00623404"/>
    <w:rsid w:val="006238FA"/>
    <w:rsid w:val="00625F89"/>
    <w:rsid w:val="0063276D"/>
    <w:rsid w:val="00632A2A"/>
    <w:rsid w:val="00632F81"/>
    <w:rsid w:val="006334FE"/>
    <w:rsid w:val="00633A3B"/>
    <w:rsid w:val="00634705"/>
    <w:rsid w:val="00635110"/>
    <w:rsid w:val="00640B4C"/>
    <w:rsid w:val="00642272"/>
    <w:rsid w:val="0064277D"/>
    <w:rsid w:val="006454C7"/>
    <w:rsid w:val="006466A6"/>
    <w:rsid w:val="006468C8"/>
    <w:rsid w:val="006520D7"/>
    <w:rsid w:val="006544CD"/>
    <w:rsid w:val="00657ACF"/>
    <w:rsid w:val="006629F8"/>
    <w:rsid w:val="0066386C"/>
    <w:rsid w:val="00663BEB"/>
    <w:rsid w:val="00663E3D"/>
    <w:rsid w:val="006659DF"/>
    <w:rsid w:val="00667D9F"/>
    <w:rsid w:val="00674860"/>
    <w:rsid w:val="00675296"/>
    <w:rsid w:val="00675A93"/>
    <w:rsid w:val="00675B93"/>
    <w:rsid w:val="00675E47"/>
    <w:rsid w:val="0068105C"/>
    <w:rsid w:val="00682A78"/>
    <w:rsid w:val="00684D07"/>
    <w:rsid w:val="00685CDF"/>
    <w:rsid w:val="00686167"/>
    <w:rsid w:val="00686A53"/>
    <w:rsid w:val="006874A5"/>
    <w:rsid w:val="006879E4"/>
    <w:rsid w:val="00687FF1"/>
    <w:rsid w:val="00691625"/>
    <w:rsid w:val="00691E24"/>
    <w:rsid w:val="0069318B"/>
    <w:rsid w:val="00693B16"/>
    <w:rsid w:val="006947A2"/>
    <w:rsid w:val="0069587E"/>
    <w:rsid w:val="006A0755"/>
    <w:rsid w:val="006A0B08"/>
    <w:rsid w:val="006A0D71"/>
    <w:rsid w:val="006A33FC"/>
    <w:rsid w:val="006A3F36"/>
    <w:rsid w:val="006A3F4E"/>
    <w:rsid w:val="006A784B"/>
    <w:rsid w:val="006B0491"/>
    <w:rsid w:val="006B1B39"/>
    <w:rsid w:val="006B1EC4"/>
    <w:rsid w:val="006B7075"/>
    <w:rsid w:val="006B76BB"/>
    <w:rsid w:val="006B7B46"/>
    <w:rsid w:val="006C2AD0"/>
    <w:rsid w:val="006C4AF4"/>
    <w:rsid w:val="006C6AB2"/>
    <w:rsid w:val="006C7306"/>
    <w:rsid w:val="006D0A83"/>
    <w:rsid w:val="006D3A70"/>
    <w:rsid w:val="006D4117"/>
    <w:rsid w:val="006D4DB0"/>
    <w:rsid w:val="006D5083"/>
    <w:rsid w:val="006D5B85"/>
    <w:rsid w:val="006D6AC7"/>
    <w:rsid w:val="006E02F2"/>
    <w:rsid w:val="006E12BE"/>
    <w:rsid w:val="006E16DB"/>
    <w:rsid w:val="006E418B"/>
    <w:rsid w:val="006E633F"/>
    <w:rsid w:val="006E648A"/>
    <w:rsid w:val="006E6844"/>
    <w:rsid w:val="006F2251"/>
    <w:rsid w:val="006F3B57"/>
    <w:rsid w:val="006F4BF0"/>
    <w:rsid w:val="006F7CED"/>
    <w:rsid w:val="00700501"/>
    <w:rsid w:val="0070115C"/>
    <w:rsid w:val="00701709"/>
    <w:rsid w:val="00701B0C"/>
    <w:rsid w:val="00701D69"/>
    <w:rsid w:val="00701E75"/>
    <w:rsid w:val="007029A6"/>
    <w:rsid w:val="00704E49"/>
    <w:rsid w:val="007050DC"/>
    <w:rsid w:val="007072E4"/>
    <w:rsid w:val="00712008"/>
    <w:rsid w:val="007126D4"/>
    <w:rsid w:val="00717C40"/>
    <w:rsid w:val="0072063F"/>
    <w:rsid w:val="00723A6B"/>
    <w:rsid w:val="00723B2F"/>
    <w:rsid w:val="00723F79"/>
    <w:rsid w:val="007256A4"/>
    <w:rsid w:val="0073008B"/>
    <w:rsid w:val="00733E55"/>
    <w:rsid w:val="0073544D"/>
    <w:rsid w:val="00737A4B"/>
    <w:rsid w:val="00737FDF"/>
    <w:rsid w:val="0074268B"/>
    <w:rsid w:val="00746186"/>
    <w:rsid w:val="00746A3E"/>
    <w:rsid w:val="00747087"/>
    <w:rsid w:val="007616C2"/>
    <w:rsid w:val="00765BA0"/>
    <w:rsid w:val="00765DE4"/>
    <w:rsid w:val="00766A78"/>
    <w:rsid w:val="007738FB"/>
    <w:rsid w:val="007742C5"/>
    <w:rsid w:val="007800A4"/>
    <w:rsid w:val="00781C71"/>
    <w:rsid w:val="00783BD5"/>
    <w:rsid w:val="00785235"/>
    <w:rsid w:val="00787034"/>
    <w:rsid w:val="00791909"/>
    <w:rsid w:val="007921DF"/>
    <w:rsid w:val="00792E86"/>
    <w:rsid w:val="007957B4"/>
    <w:rsid w:val="00796C22"/>
    <w:rsid w:val="007A0090"/>
    <w:rsid w:val="007A0759"/>
    <w:rsid w:val="007A6CE3"/>
    <w:rsid w:val="007B02E3"/>
    <w:rsid w:val="007B5B00"/>
    <w:rsid w:val="007B6BB3"/>
    <w:rsid w:val="007B760E"/>
    <w:rsid w:val="007C0C1E"/>
    <w:rsid w:val="007C15AC"/>
    <w:rsid w:val="007C1ADF"/>
    <w:rsid w:val="007C1DE1"/>
    <w:rsid w:val="007C62C0"/>
    <w:rsid w:val="007C698A"/>
    <w:rsid w:val="007C6C4E"/>
    <w:rsid w:val="007D0A4E"/>
    <w:rsid w:val="007D16F2"/>
    <w:rsid w:val="007D5310"/>
    <w:rsid w:val="007D554B"/>
    <w:rsid w:val="007E31AD"/>
    <w:rsid w:val="007E40E3"/>
    <w:rsid w:val="007E4557"/>
    <w:rsid w:val="007F020A"/>
    <w:rsid w:val="007F1C64"/>
    <w:rsid w:val="007F21FF"/>
    <w:rsid w:val="007F4382"/>
    <w:rsid w:val="007F44D9"/>
    <w:rsid w:val="007F501C"/>
    <w:rsid w:val="007F557D"/>
    <w:rsid w:val="007F5B79"/>
    <w:rsid w:val="007F60CD"/>
    <w:rsid w:val="007F6E0E"/>
    <w:rsid w:val="0080311C"/>
    <w:rsid w:val="00803613"/>
    <w:rsid w:val="008040F9"/>
    <w:rsid w:val="008067C9"/>
    <w:rsid w:val="0081023B"/>
    <w:rsid w:val="008107E9"/>
    <w:rsid w:val="00814364"/>
    <w:rsid w:val="0081537B"/>
    <w:rsid w:val="00822B14"/>
    <w:rsid w:val="008235AE"/>
    <w:rsid w:val="00825789"/>
    <w:rsid w:val="0082587B"/>
    <w:rsid w:val="008260C3"/>
    <w:rsid w:val="008264D8"/>
    <w:rsid w:val="008271ED"/>
    <w:rsid w:val="00827FCF"/>
    <w:rsid w:val="008318F8"/>
    <w:rsid w:val="00832482"/>
    <w:rsid w:val="00834BFA"/>
    <w:rsid w:val="008360D4"/>
    <w:rsid w:val="008367AB"/>
    <w:rsid w:val="0083702D"/>
    <w:rsid w:val="00837A76"/>
    <w:rsid w:val="00841232"/>
    <w:rsid w:val="00843329"/>
    <w:rsid w:val="00845370"/>
    <w:rsid w:val="00845709"/>
    <w:rsid w:val="008503D1"/>
    <w:rsid w:val="0085055A"/>
    <w:rsid w:val="00850ACD"/>
    <w:rsid w:val="00850B9A"/>
    <w:rsid w:val="00851570"/>
    <w:rsid w:val="00852FEB"/>
    <w:rsid w:val="008530A9"/>
    <w:rsid w:val="008556D3"/>
    <w:rsid w:val="00855DFE"/>
    <w:rsid w:val="00856258"/>
    <w:rsid w:val="00856908"/>
    <w:rsid w:val="00861A24"/>
    <w:rsid w:val="008633B0"/>
    <w:rsid w:val="00863835"/>
    <w:rsid w:val="008655E1"/>
    <w:rsid w:val="00865F1A"/>
    <w:rsid w:val="008663EC"/>
    <w:rsid w:val="00866E7C"/>
    <w:rsid w:val="008729A1"/>
    <w:rsid w:val="00875E6C"/>
    <w:rsid w:val="00877F7F"/>
    <w:rsid w:val="00880393"/>
    <w:rsid w:val="00884736"/>
    <w:rsid w:val="00884A61"/>
    <w:rsid w:val="0088590F"/>
    <w:rsid w:val="00886FEC"/>
    <w:rsid w:val="0089077D"/>
    <w:rsid w:val="008909DB"/>
    <w:rsid w:val="00890F88"/>
    <w:rsid w:val="0089119A"/>
    <w:rsid w:val="00891AEE"/>
    <w:rsid w:val="00891D9A"/>
    <w:rsid w:val="0089242B"/>
    <w:rsid w:val="00892553"/>
    <w:rsid w:val="00892CEB"/>
    <w:rsid w:val="00893ECC"/>
    <w:rsid w:val="00895CF5"/>
    <w:rsid w:val="008A2DFF"/>
    <w:rsid w:val="008A395F"/>
    <w:rsid w:val="008A4FCB"/>
    <w:rsid w:val="008B5C21"/>
    <w:rsid w:val="008C3047"/>
    <w:rsid w:val="008D1EED"/>
    <w:rsid w:val="008D2A08"/>
    <w:rsid w:val="008D2FDE"/>
    <w:rsid w:val="008D5A14"/>
    <w:rsid w:val="008D6A68"/>
    <w:rsid w:val="008D6ADA"/>
    <w:rsid w:val="008E1B64"/>
    <w:rsid w:val="008E36A5"/>
    <w:rsid w:val="008E488E"/>
    <w:rsid w:val="008E63B1"/>
    <w:rsid w:val="008E7185"/>
    <w:rsid w:val="008F03B4"/>
    <w:rsid w:val="008F12D0"/>
    <w:rsid w:val="00900F8F"/>
    <w:rsid w:val="009017E7"/>
    <w:rsid w:val="00901D15"/>
    <w:rsid w:val="00904C2B"/>
    <w:rsid w:val="00905598"/>
    <w:rsid w:val="00905EC2"/>
    <w:rsid w:val="00911017"/>
    <w:rsid w:val="00913D23"/>
    <w:rsid w:val="00917589"/>
    <w:rsid w:val="00917C20"/>
    <w:rsid w:val="009202A9"/>
    <w:rsid w:val="0092072D"/>
    <w:rsid w:val="009215E2"/>
    <w:rsid w:val="00921C26"/>
    <w:rsid w:val="0092334B"/>
    <w:rsid w:val="00926B07"/>
    <w:rsid w:val="00927C5E"/>
    <w:rsid w:val="00930624"/>
    <w:rsid w:val="009407BE"/>
    <w:rsid w:val="009408AB"/>
    <w:rsid w:val="00942CCF"/>
    <w:rsid w:val="00943228"/>
    <w:rsid w:val="009475C2"/>
    <w:rsid w:val="00951647"/>
    <w:rsid w:val="00952043"/>
    <w:rsid w:val="00953A4C"/>
    <w:rsid w:val="0095403F"/>
    <w:rsid w:val="00957939"/>
    <w:rsid w:val="00957EAC"/>
    <w:rsid w:val="00963253"/>
    <w:rsid w:val="00963B84"/>
    <w:rsid w:val="009709A0"/>
    <w:rsid w:val="00970F27"/>
    <w:rsid w:val="009737E5"/>
    <w:rsid w:val="00973C21"/>
    <w:rsid w:val="00975601"/>
    <w:rsid w:val="00975CBB"/>
    <w:rsid w:val="00982850"/>
    <w:rsid w:val="00984685"/>
    <w:rsid w:val="00986578"/>
    <w:rsid w:val="009869D9"/>
    <w:rsid w:val="00986FEB"/>
    <w:rsid w:val="00990AD0"/>
    <w:rsid w:val="009917C7"/>
    <w:rsid w:val="00992141"/>
    <w:rsid w:val="00992294"/>
    <w:rsid w:val="00994D9B"/>
    <w:rsid w:val="00996182"/>
    <w:rsid w:val="009970B4"/>
    <w:rsid w:val="00997261"/>
    <w:rsid w:val="0099790A"/>
    <w:rsid w:val="00997EFF"/>
    <w:rsid w:val="009A0E01"/>
    <w:rsid w:val="009A1781"/>
    <w:rsid w:val="009A2611"/>
    <w:rsid w:val="009A2B87"/>
    <w:rsid w:val="009A3667"/>
    <w:rsid w:val="009A4AA5"/>
    <w:rsid w:val="009A4F15"/>
    <w:rsid w:val="009B0EAD"/>
    <w:rsid w:val="009B2084"/>
    <w:rsid w:val="009B7922"/>
    <w:rsid w:val="009B7FB4"/>
    <w:rsid w:val="009C35AD"/>
    <w:rsid w:val="009C53EB"/>
    <w:rsid w:val="009C5AC9"/>
    <w:rsid w:val="009C753C"/>
    <w:rsid w:val="009D0C17"/>
    <w:rsid w:val="009D1B26"/>
    <w:rsid w:val="009D21CD"/>
    <w:rsid w:val="009D3360"/>
    <w:rsid w:val="009D664D"/>
    <w:rsid w:val="009E0286"/>
    <w:rsid w:val="009E0A89"/>
    <w:rsid w:val="009E1C4D"/>
    <w:rsid w:val="009E3026"/>
    <w:rsid w:val="009E73BF"/>
    <w:rsid w:val="009E7B69"/>
    <w:rsid w:val="009F30B1"/>
    <w:rsid w:val="009F5340"/>
    <w:rsid w:val="009F6429"/>
    <w:rsid w:val="009F6970"/>
    <w:rsid w:val="009F6BB4"/>
    <w:rsid w:val="009F6DBE"/>
    <w:rsid w:val="00A03852"/>
    <w:rsid w:val="00A058C9"/>
    <w:rsid w:val="00A061F6"/>
    <w:rsid w:val="00A10077"/>
    <w:rsid w:val="00A11E84"/>
    <w:rsid w:val="00A140CF"/>
    <w:rsid w:val="00A14AB1"/>
    <w:rsid w:val="00A15A6F"/>
    <w:rsid w:val="00A15EA8"/>
    <w:rsid w:val="00A162AB"/>
    <w:rsid w:val="00A213B4"/>
    <w:rsid w:val="00A2712E"/>
    <w:rsid w:val="00A30655"/>
    <w:rsid w:val="00A3151A"/>
    <w:rsid w:val="00A344B9"/>
    <w:rsid w:val="00A34B1F"/>
    <w:rsid w:val="00A362F8"/>
    <w:rsid w:val="00A37ADB"/>
    <w:rsid w:val="00A4026F"/>
    <w:rsid w:val="00A406B3"/>
    <w:rsid w:val="00A44CE7"/>
    <w:rsid w:val="00A45BBE"/>
    <w:rsid w:val="00A46075"/>
    <w:rsid w:val="00A50469"/>
    <w:rsid w:val="00A506DE"/>
    <w:rsid w:val="00A518FD"/>
    <w:rsid w:val="00A52A83"/>
    <w:rsid w:val="00A536C1"/>
    <w:rsid w:val="00A55EA3"/>
    <w:rsid w:val="00A561AC"/>
    <w:rsid w:val="00A60D2F"/>
    <w:rsid w:val="00A61104"/>
    <w:rsid w:val="00A61876"/>
    <w:rsid w:val="00A63932"/>
    <w:rsid w:val="00A6459C"/>
    <w:rsid w:val="00A645D5"/>
    <w:rsid w:val="00A73F37"/>
    <w:rsid w:val="00A76F9A"/>
    <w:rsid w:val="00A815F5"/>
    <w:rsid w:val="00A863B5"/>
    <w:rsid w:val="00A87451"/>
    <w:rsid w:val="00A90130"/>
    <w:rsid w:val="00A91505"/>
    <w:rsid w:val="00A95103"/>
    <w:rsid w:val="00A953BA"/>
    <w:rsid w:val="00A96014"/>
    <w:rsid w:val="00A96411"/>
    <w:rsid w:val="00A97EA6"/>
    <w:rsid w:val="00AA0F36"/>
    <w:rsid w:val="00AA19DC"/>
    <w:rsid w:val="00AA2EFB"/>
    <w:rsid w:val="00AA60B8"/>
    <w:rsid w:val="00AA6A2B"/>
    <w:rsid w:val="00AB2B0F"/>
    <w:rsid w:val="00AB2F04"/>
    <w:rsid w:val="00AB48C3"/>
    <w:rsid w:val="00AB4901"/>
    <w:rsid w:val="00AC1F34"/>
    <w:rsid w:val="00AC4757"/>
    <w:rsid w:val="00AC4FBD"/>
    <w:rsid w:val="00AC5223"/>
    <w:rsid w:val="00AC76BD"/>
    <w:rsid w:val="00AC7EC8"/>
    <w:rsid w:val="00AD1337"/>
    <w:rsid w:val="00AE2EF0"/>
    <w:rsid w:val="00AF0A62"/>
    <w:rsid w:val="00AF385E"/>
    <w:rsid w:val="00AF4F61"/>
    <w:rsid w:val="00AF5BB8"/>
    <w:rsid w:val="00AF77F9"/>
    <w:rsid w:val="00B065B3"/>
    <w:rsid w:val="00B075B8"/>
    <w:rsid w:val="00B109DF"/>
    <w:rsid w:val="00B1303D"/>
    <w:rsid w:val="00B16C94"/>
    <w:rsid w:val="00B17574"/>
    <w:rsid w:val="00B1789F"/>
    <w:rsid w:val="00B2074C"/>
    <w:rsid w:val="00B24C21"/>
    <w:rsid w:val="00B253A9"/>
    <w:rsid w:val="00B267E0"/>
    <w:rsid w:val="00B33B1E"/>
    <w:rsid w:val="00B34F9A"/>
    <w:rsid w:val="00B3607B"/>
    <w:rsid w:val="00B3611F"/>
    <w:rsid w:val="00B361B5"/>
    <w:rsid w:val="00B36903"/>
    <w:rsid w:val="00B4070B"/>
    <w:rsid w:val="00B4149E"/>
    <w:rsid w:val="00B41D64"/>
    <w:rsid w:val="00B42B9C"/>
    <w:rsid w:val="00B433E6"/>
    <w:rsid w:val="00B44087"/>
    <w:rsid w:val="00B443E1"/>
    <w:rsid w:val="00B468A5"/>
    <w:rsid w:val="00B47134"/>
    <w:rsid w:val="00B505DE"/>
    <w:rsid w:val="00B516F9"/>
    <w:rsid w:val="00B538BA"/>
    <w:rsid w:val="00B55126"/>
    <w:rsid w:val="00B56655"/>
    <w:rsid w:val="00B57733"/>
    <w:rsid w:val="00B60720"/>
    <w:rsid w:val="00B60B9A"/>
    <w:rsid w:val="00B62432"/>
    <w:rsid w:val="00B63482"/>
    <w:rsid w:val="00B63C6F"/>
    <w:rsid w:val="00B64099"/>
    <w:rsid w:val="00B6418A"/>
    <w:rsid w:val="00B719AC"/>
    <w:rsid w:val="00B71FB3"/>
    <w:rsid w:val="00B7228D"/>
    <w:rsid w:val="00B72680"/>
    <w:rsid w:val="00B74E30"/>
    <w:rsid w:val="00B75084"/>
    <w:rsid w:val="00B772E1"/>
    <w:rsid w:val="00B80252"/>
    <w:rsid w:val="00B80EE5"/>
    <w:rsid w:val="00B8345A"/>
    <w:rsid w:val="00B83CE9"/>
    <w:rsid w:val="00B84182"/>
    <w:rsid w:val="00B841E3"/>
    <w:rsid w:val="00B84609"/>
    <w:rsid w:val="00B8475A"/>
    <w:rsid w:val="00B85604"/>
    <w:rsid w:val="00B85B93"/>
    <w:rsid w:val="00B85F9C"/>
    <w:rsid w:val="00B90364"/>
    <w:rsid w:val="00B91BAF"/>
    <w:rsid w:val="00B92300"/>
    <w:rsid w:val="00B95007"/>
    <w:rsid w:val="00B9514A"/>
    <w:rsid w:val="00B95D9E"/>
    <w:rsid w:val="00B97962"/>
    <w:rsid w:val="00BA4A15"/>
    <w:rsid w:val="00BA788A"/>
    <w:rsid w:val="00BA79A3"/>
    <w:rsid w:val="00BB1016"/>
    <w:rsid w:val="00BB19AF"/>
    <w:rsid w:val="00BB5C7B"/>
    <w:rsid w:val="00BB60C8"/>
    <w:rsid w:val="00BC4004"/>
    <w:rsid w:val="00BD169A"/>
    <w:rsid w:val="00BD1B92"/>
    <w:rsid w:val="00BD3354"/>
    <w:rsid w:val="00BD3E2B"/>
    <w:rsid w:val="00BD7E7F"/>
    <w:rsid w:val="00BE1092"/>
    <w:rsid w:val="00BE390E"/>
    <w:rsid w:val="00BE57F1"/>
    <w:rsid w:val="00BE6A38"/>
    <w:rsid w:val="00BF0E59"/>
    <w:rsid w:val="00BF1AC5"/>
    <w:rsid w:val="00BF1DC8"/>
    <w:rsid w:val="00BF26CF"/>
    <w:rsid w:val="00BF2845"/>
    <w:rsid w:val="00BF6304"/>
    <w:rsid w:val="00BF63F2"/>
    <w:rsid w:val="00BF7553"/>
    <w:rsid w:val="00BF7D0E"/>
    <w:rsid w:val="00C01237"/>
    <w:rsid w:val="00C04B22"/>
    <w:rsid w:val="00C07F65"/>
    <w:rsid w:val="00C10BB8"/>
    <w:rsid w:val="00C10C34"/>
    <w:rsid w:val="00C1296C"/>
    <w:rsid w:val="00C14E0E"/>
    <w:rsid w:val="00C14E61"/>
    <w:rsid w:val="00C1582F"/>
    <w:rsid w:val="00C16486"/>
    <w:rsid w:val="00C1683A"/>
    <w:rsid w:val="00C17773"/>
    <w:rsid w:val="00C20A2C"/>
    <w:rsid w:val="00C21D00"/>
    <w:rsid w:val="00C21DAE"/>
    <w:rsid w:val="00C221D0"/>
    <w:rsid w:val="00C22D83"/>
    <w:rsid w:val="00C249C4"/>
    <w:rsid w:val="00C24A72"/>
    <w:rsid w:val="00C24E7C"/>
    <w:rsid w:val="00C255BD"/>
    <w:rsid w:val="00C30D39"/>
    <w:rsid w:val="00C3689B"/>
    <w:rsid w:val="00C368C9"/>
    <w:rsid w:val="00C36EA5"/>
    <w:rsid w:val="00C3767C"/>
    <w:rsid w:val="00C422C4"/>
    <w:rsid w:val="00C4244A"/>
    <w:rsid w:val="00C42599"/>
    <w:rsid w:val="00C434FF"/>
    <w:rsid w:val="00C44061"/>
    <w:rsid w:val="00C44972"/>
    <w:rsid w:val="00C45593"/>
    <w:rsid w:val="00C45682"/>
    <w:rsid w:val="00C50AFF"/>
    <w:rsid w:val="00C52418"/>
    <w:rsid w:val="00C53AE8"/>
    <w:rsid w:val="00C542B6"/>
    <w:rsid w:val="00C55D76"/>
    <w:rsid w:val="00C6004F"/>
    <w:rsid w:val="00C614F4"/>
    <w:rsid w:val="00C67581"/>
    <w:rsid w:val="00C71087"/>
    <w:rsid w:val="00C71463"/>
    <w:rsid w:val="00C727AF"/>
    <w:rsid w:val="00C770DF"/>
    <w:rsid w:val="00C8016D"/>
    <w:rsid w:val="00C80A31"/>
    <w:rsid w:val="00C81FB5"/>
    <w:rsid w:val="00C82013"/>
    <w:rsid w:val="00C84CBF"/>
    <w:rsid w:val="00C904CF"/>
    <w:rsid w:val="00C92EE3"/>
    <w:rsid w:val="00C95896"/>
    <w:rsid w:val="00C972F6"/>
    <w:rsid w:val="00C97C80"/>
    <w:rsid w:val="00CA2B47"/>
    <w:rsid w:val="00CA66A4"/>
    <w:rsid w:val="00CA6D07"/>
    <w:rsid w:val="00CA74F8"/>
    <w:rsid w:val="00CB09AF"/>
    <w:rsid w:val="00CB43C5"/>
    <w:rsid w:val="00CB71CB"/>
    <w:rsid w:val="00CB7B4D"/>
    <w:rsid w:val="00CC1893"/>
    <w:rsid w:val="00CC1ABF"/>
    <w:rsid w:val="00CC3BBE"/>
    <w:rsid w:val="00CC4B7E"/>
    <w:rsid w:val="00CD0E25"/>
    <w:rsid w:val="00CD10DD"/>
    <w:rsid w:val="00CD2EF8"/>
    <w:rsid w:val="00CD3D4F"/>
    <w:rsid w:val="00CD3F54"/>
    <w:rsid w:val="00CD4CAE"/>
    <w:rsid w:val="00CD5ECB"/>
    <w:rsid w:val="00CD613E"/>
    <w:rsid w:val="00CD6D4F"/>
    <w:rsid w:val="00CD6D9D"/>
    <w:rsid w:val="00CE2DB0"/>
    <w:rsid w:val="00CE6017"/>
    <w:rsid w:val="00CF1439"/>
    <w:rsid w:val="00CF1B08"/>
    <w:rsid w:val="00CF34FE"/>
    <w:rsid w:val="00CF5080"/>
    <w:rsid w:val="00CF7B31"/>
    <w:rsid w:val="00D00211"/>
    <w:rsid w:val="00D0118D"/>
    <w:rsid w:val="00D02D31"/>
    <w:rsid w:val="00D039B5"/>
    <w:rsid w:val="00D11B4E"/>
    <w:rsid w:val="00D12992"/>
    <w:rsid w:val="00D15505"/>
    <w:rsid w:val="00D1725C"/>
    <w:rsid w:val="00D226B2"/>
    <w:rsid w:val="00D24576"/>
    <w:rsid w:val="00D26522"/>
    <w:rsid w:val="00D2659E"/>
    <w:rsid w:val="00D2660C"/>
    <w:rsid w:val="00D27709"/>
    <w:rsid w:val="00D27965"/>
    <w:rsid w:val="00D30BA6"/>
    <w:rsid w:val="00D31AD2"/>
    <w:rsid w:val="00D31F1F"/>
    <w:rsid w:val="00D31FCE"/>
    <w:rsid w:val="00D325FA"/>
    <w:rsid w:val="00D32A96"/>
    <w:rsid w:val="00D33D95"/>
    <w:rsid w:val="00D3424D"/>
    <w:rsid w:val="00D35B77"/>
    <w:rsid w:val="00D404E6"/>
    <w:rsid w:val="00D408E5"/>
    <w:rsid w:val="00D506B8"/>
    <w:rsid w:val="00D506DC"/>
    <w:rsid w:val="00D508D0"/>
    <w:rsid w:val="00D51E86"/>
    <w:rsid w:val="00D5403D"/>
    <w:rsid w:val="00D54593"/>
    <w:rsid w:val="00D54C8D"/>
    <w:rsid w:val="00D560D9"/>
    <w:rsid w:val="00D56794"/>
    <w:rsid w:val="00D57CD5"/>
    <w:rsid w:val="00D606F5"/>
    <w:rsid w:val="00D60931"/>
    <w:rsid w:val="00D6185F"/>
    <w:rsid w:val="00D619E6"/>
    <w:rsid w:val="00D629D4"/>
    <w:rsid w:val="00D6402E"/>
    <w:rsid w:val="00D66DB7"/>
    <w:rsid w:val="00D70AB4"/>
    <w:rsid w:val="00D71467"/>
    <w:rsid w:val="00D739AA"/>
    <w:rsid w:val="00D74420"/>
    <w:rsid w:val="00D768CE"/>
    <w:rsid w:val="00D81237"/>
    <w:rsid w:val="00D8238E"/>
    <w:rsid w:val="00D8426F"/>
    <w:rsid w:val="00D84287"/>
    <w:rsid w:val="00D863FB"/>
    <w:rsid w:val="00D86737"/>
    <w:rsid w:val="00D9079E"/>
    <w:rsid w:val="00D9092E"/>
    <w:rsid w:val="00D91A7E"/>
    <w:rsid w:val="00D92D63"/>
    <w:rsid w:val="00D97938"/>
    <w:rsid w:val="00DA11E1"/>
    <w:rsid w:val="00DA19D2"/>
    <w:rsid w:val="00DA2B85"/>
    <w:rsid w:val="00DA4068"/>
    <w:rsid w:val="00DA4E16"/>
    <w:rsid w:val="00DA5974"/>
    <w:rsid w:val="00DA69E9"/>
    <w:rsid w:val="00DA78BA"/>
    <w:rsid w:val="00DA7F92"/>
    <w:rsid w:val="00DB3127"/>
    <w:rsid w:val="00DB3342"/>
    <w:rsid w:val="00DB712A"/>
    <w:rsid w:val="00DB7D14"/>
    <w:rsid w:val="00DC003D"/>
    <w:rsid w:val="00DC10D6"/>
    <w:rsid w:val="00DC267F"/>
    <w:rsid w:val="00DD14F2"/>
    <w:rsid w:val="00DD168E"/>
    <w:rsid w:val="00DD44D7"/>
    <w:rsid w:val="00DD4839"/>
    <w:rsid w:val="00DD4BBF"/>
    <w:rsid w:val="00DD4FB2"/>
    <w:rsid w:val="00DD5064"/>
    <w:rsid w:val="00DE0CED"/>
    <w:rsid w:val="00DE1D31"/>
    <w:rsid w:val="00DE36B0"/>
    <w:rsid w:val="00DE429E"/>
    <w:rsid w:val="00DF242B"/>
    <w:rsid w:val="00DF7436"/>
    <w:rsid w:val="00E04298"/>
    <w:rsid w:val="00E05262"/>
    <w:rsid w:val="00E07C14"/>
    <w:rsid w:val="00E07CBE"/>
    <w:rsid w:val="00E12BE2"/>
    <w:rsid w:val="00E12CFC"/>
    <w:rsid w:val="00E12F66"/>
    <w:rsid w:val="00E135DE"/>
    <w:rsid w:val="00E13F00"/>
    <w:rsid w:val="00E145A1"/>
    <w:rsid w:val="00E236B5"/>
    <w:rsid w:val="00E24463"/>
    <w:rsid w:val="00E25CA8"/>
    <w:rsid w:val="00E3010D"/>
    <w:rsid w:val="00E30AC1"/>
    <w:rsid w:val="00E33827"/>
    <w:rsid w:val="00E350B2"/>
    <w:rsid w:val="00E35B54"/>
    <w:rsid w:val="00E37014"/>
    <w:rsid w:val="00E42481"/>
    <w:rsid w:val="00E4334A"/>
    <w:rsid w:val="00E43E97"/>
    <w:rsid w:val="00E44E48"/>
    <w:rsid w:val="00E47DB7"/>
    <w:rsid w:val="00E5158E"/>
    <w:rsid w:val="00E53162"/>
    <w:rsid w:val="00E537F9"/>
    <w:rsid w:val="00E53959"/>
    <w:rsid w:val="00E54642"/>
    <w:rsid w:val="00E54C6A"/>
    <w:rsid w:val="00E56D0B"/>
    <w:rsid w:val="00E61479"/>
    <w:rsid w:val="00E64A30"/>
    <w:rsid w:val="00E66CF6"/>
    <w:rsid w:val="00E71BC7"/>
    <w:rsid w:val="00E7419F"/>
    <w:rsid w:val="00E75B46"/>
    <w:rsid w:val="00E75FB8"/>
    <w:rsid w:val="00E76DA9"/>
    <w:rsid w:val="00E80A50"/>
    <w:rsid w:val="00E81CED"/>
    <w:rsid w:val="00E82DB8"/>
    <w:rsid w:val="00E82F14"/>
    <w:rsid w:val="00E86C24"/>
    <w:rsid w:val="00E87635"/>
    <w:rsid w:val="00E90D05"/>
    <w:rsid w:val="00E93542"/>
    <w:rsid w:val="00E94CC0"/>
    <w:rsid w:val="00EA139A"/>
    <w:rsid w:val="00EA265A"/>
    <w:rsid w:val="00EB3313"/>
    <w:rsid w:val="00EB38AB"/>
    <w:rsid w:val="00EB430F"/>
    <w:rsid w:val="00EB44ED"/>
    <w:rsid w:val="00EB477E"/>
    <w:rsid w:val="00EB4818"/>
    <w:rsid w:val="00EB6EB8"/>
    <w:rsid w:val="00EC102A"/>
    <w:rsid w:val="00EC3E58"/>
    <w:rsid w:val="00EC79D6"/>
    <w:rsid w:val="00EE0389"/>
    <w:rsid w:val="00EE0F51"/>
    <w:rsid w:val="00EE2970"/>
    <w:rsid w:val="00EE2ACF"/>
    <w:rsid w:val="00EE3CBC"/>
    <w:rsid w:val="00EE5718"/>
    <w:rsid w:val="00EE795D"/>
    <w:rsid w:val="00EF05FC"/>
    <w:rsid w:val="00EF398F"/>
    <w:rsid w:val="00EF52DC"/>
    <w:rsid w:val="00EF5756"/>
    <w:rsid w:val="00EF6368"/>
    <w:rsid w:val="00F03183"/>
    <w:rsid w:val="00F1167E"/>
    <w:rsid w:val="00F12197"/>
    <w:rsid w:val="00F1512D"/>
    <w:rsid w:val="00F15D0C"/>
    <w:rsid w:val="00F178AC"/>
    <w:rsid w:val="00F2056C"/>
    <w:rsid w:val="00F21166"/>
    <w:rsid w:val="00F23E77"/>
    <w:rsid w:val="00F24AE9"/>
    <w:rsid w:val="00F25474"/>
    <w:rsid w:val="00F26345"/>
    <w:rsid w:val="00F26C86"/>
    <w:rsid w:val="00F2764D"/>
    <w:rsid w:val="00F27C74"/>
    <w:rsid w:val="00F31704"/>
    <w:rsid w:val="00F33FAB"/>
    <w:rsid w:val="00F35114"/>
    <w:rsid w:val="00F35158"/>
    <w:rsid w:val="00F35361"/>
    <w:rsid w:val="00F42A99"/>
    <w:rsid w:val="00F46C95"/>
    <w:rsid w:val="00F50435"/>
    <w:rsid w:val="00F51017"/>
    <w:rsid w:val="00F5198C"/>
    <w:rsid w:val="00F52268"/>
    <w:rsid w:val="00F52A54"/>
    <w:rsid w:val="00F53911"/>
    <w:rsid w:val="00F542D5"/>
    <w:rsid w:val="00F54E1A"/>
    <w:rsid w:val="00F62C76"/>
    <w:rsid w:val="00F6307A"/>
    <w:rsid w:val="00F643D2"/>
    <w:rsid w:val="00F651C4"/>
    <w:rsid w:val="00F6732E"/>
    <w:rsid w:val="00F7000F"/>
    <w:rsid w:val="00F70568"/>
    <w:rsid w:val="00F70C28"/>
    <w:rsid w:val="00F71793"/>
    <w:rsid w:val="00F74A5B"/>
    <w:rsid w:val="00F814DC"/>
    <w:rsid w:val="00F81F60"/>
    <w:rsid w:val="00F827C3"/>
    <w:rsid w:val="00F82EE5"/>
    <w:rsid w:val="00F83835"/>
    <w:rsid w:val="00F844BA"/>
    <w:rsid w:val="00F84E9E"/>
    <w:rsid w:val="00F90EE3"/>
    <w:rsid w:val="00F90F97"/>
    <w:rsid w:val="00F9226D"/>
    <w:rsid w:val="00F93206"/>
    <w:rsid w:val="00FA0CF5"/>
    <w:rsid w:val="00FA1275"/>
    <w:rsid w:val="00FA1D0F"/>
    <w:rsid w:val="00FA3CCE"/>
    <w:rsid w:val="00FA3FC3"/>
    <w:rsid w:val="00FA5059"/>
    <w:rsid w:val="00FA6061"/>
    <w:rsid w:val="00FB0137"/>
    <w:rsid w:val="00FB0544"/>
    <w:rsid w:val="00FB119C"/>
    <w:rsid w:val="00FB2178"/>
    <w:rsid w:val="00FB575B"/>
    <w:rsid w:val="00FC64FB"/>
    <w:rsid w:val="00FC78C4"/>
    <w:rsid w:val="00FD18A0"/>
    <w:rsid w:val="00FD2172"/>
    <w:rsid w:val="00FD55B7"/>
    <w:rsid w:val="00FE02C8"/>
    <w:rsid w:val="00FE0DCC"/>
    <w:rsid w:val="00FE39EE"/>
    <w:rsid w:val="00FE49FC"/>
    <w:rsid w:val="00FE5723"/>
    <w:rsid w:val="00FE5BE5"/>
    <w:rsid w:val="00FE703F"/>
    <w:rsid w:val="00FE75B9"/>
    <w:rsid w:val="00FF041D"/>
    <w:rsid w:val="00FF22D5"/>
    <w:rsid w:val="00FF5364"/>
    <w:rsid w:val="00FF591B"/>
    <w:rsid w:val="00FF67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519e,#b8b8ac,#009ee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AU" w:eastAsia="en-AU"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Normal Indent" w:locked="0"/>
    <w:lsdException w:name="caption" w:qFormat="1"/>
    <w:lsdException w:name="table of figures" w:uiPriority="99"/>
    <w:lsdException w:name="table of authorities" w:uiPriority="2"/>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locked="0"/>
    <w:lsdException w:name="HTML Top of Form" w:locked="0"/>
    <w:lsdException w:name="HTML Bottom of Form" w:locked="0"/>
    <w:lsdException w:name="Normal (Web)" w:locked="0"/>
    <w:lsdException w:name="Normal Table" w:locked="0"/>
    <w:lsdException w:name="No List" w:locked="0" w:uiPriority="99"/>
    <w:lsdException w:name="Table Grid" w:semiHidden="0" w:uiPriority="39" w:unhideWhenUsed="0"/>
    <w:lsdException w:name="Placeholder Text" w:locked="0"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733"/>
    <w:pPr>
      <w:tabs>
        <w:tab w:val="left" w:pos="-567"/>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180" w:line="260" w:lineRule="atLeast"/>
    </w:pPr>
  </w:style>
  <w:style w:type="paragraph" w:styleId="Heading10">
    <w:name w:val="heading 1"/>
    <w:basedOn w:val="Normal"/>
    <w:next w:val="Normal"/>
    <w:link w:val="Heading1Char"/>
    <w:uiPriority w:val="9"/>
    <w:qFormat/>
    <w:locked/>
    <w:rsid w:val="00613733"/>
    <w:pPr>
      <w:keepNext/>
      <w:pBdr>
        <w:bottom w:val="single" w:sz="4" w:space="1" w:color="auto"/>
      </w:pBdr>
      <w:outlineLvl w:val="0"/>
    </w:pPr>
    <w:rPr>
      <w:rFonts w:ascii="Arial Narrow" w:hAnsi="Arial Narrow"/>
      <w:kern w:val="28"/>
      <w:sz w:val="40"/>
    </w:rPr>
  </w:style>
  <w:style w:type="paragraph" w:styleId="Heading20">
    <w:name w:val="heading 2"/>
    <w:basedOn w:val="Normal"/>
    <w:next w:val="Normal"/>
    <w:semiHidden/>
    <w:qFormat/>
    <w:locked/>
    <w:rsid w:val="00613733"/>
    <w:pPr>
      <w:keepNext/>
      <w:spacing w:before="240" w:after="120"/>
      <w:outlineLvl w:val="1"/>
    </w:pPr>
    <w:rPr>
      <w:rFonts w:ascii="Arial Narrow" w:hAnsi="Arial Narrow"/>
      <w:sz w:val="36"/>
    </w:rPr>
  </w:style>
  <w:style w:type="paragraph" w:styleId="Heading30">
    <w:name w:val="heading 3"/>
    <w:basedOn w:val="Normal"/>
    <w:next w:val="Normal"/>
    <w:semiHidden/>
    <w:qFormat/>
    <w:locked/>
    <w:rsid w:val="00613733"/>
    <w:pPr>
      <w:keepNext/>
      <w:spacing w:before="240" w:after="120"/>
      <w:outlineLvl w:val="2"/>
    </w:pPr>
    <w:rPr>
      <w:rFonts w:ascii="Arial Narrow" w:hAnsi="Arial Narrow"/>
      <w:sz w:val="32"/>
    </w:rPr>
  </w:style>
  <w:style w:type="paragraph" w:styleId="Heading4">
    <w:name w:val="heading 4"/>
    <w:basedOn w:val="Normal"/>
    <w:next w:val="ParaIndent"/>
    <w:link w:val="Heading4Char"/>
    <w:qFormat/>
    <w:locked/>
    <w:rsid w:val="00613733"/>
    <w:pPr>
      <w:keepNext/>
      <w:numPr>
        <w:ilvl w:val="3"/>
        <w:numId w:val="1"/>
      </w:numPr>
      <w:tabs>
        <w:tab w:val="clear" w:pos="-567"/>
        <w:tab w:val="clear" w:pos="0"/>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outlineLvl w:val="3"/>
    </w:pPr>
    <w:rPr>
      <w:sz w:val="28"/>
      <w:lang w:eastAsia="en-US"/>
    </w:rPr>
  </w:style>
  <w:style w:type="paragraph" w:styleId="Heading5">
    <w:name w:val="heading 5"/>
    <w:basedOn w:val="Normal"/>
    <w:next w:val="Normal"/>
    <w:semiHidden/>
    <w:qFormat/>
    <w:locked/>
    <w:rsid w:val="00613733"/>
    <w:pPr>
      <w:numPr>
        <w:ilvl w:val="4"/>
        <w:numId w:val="15"/>
      </w:numPr>
      <w:tabs>
        <w:tab w:val="clear" w:pos="1134"/>
      </w:tabs>
      <w:spacing w:before="240" w:after="60"/>
      <w:outlineLvl w:val="4"/>
    </w:pPr>
    <w:rPr>
      <w:b/>
      <w:bCs/>
      <w:i/>
      <w:iCs/>
      <w:sz w:val="26"/>
      <w:szCs w:val="26"/>
    </w:rPr>
  </w:style>
  <w:style w:type="paragraph" w:styleId="Heading6">
    <w:name w:val="heading 6"/>
    <w:basedOn w:val="Normal"/>
    <w:next w:val="Normal"/>
    <w:semiHidden/>
    <w:qFormat/>
    <w:locked/>
    <w:rsid w:val="00613733"/>
    <w:pPr>
      <w:numPr>
        <w:ilvl w:val="5"/>
        <w:numId w:val="15"/>
      </w:numPr>
      <w:spacing w:before="240" w:after="60"/>
      <w:outlineLvl w:val="5"/>
    </w:pPr>
    <w:rPr>
      <w:b/>
      <w:bCs/>
    </w:rPr>
  </w:style>
  <w:style w:type="paragraph" w:styleId="Heading7">
    <w:name w:val="heading 7"/>
    <w:basedOn w:val="Normal"/>
    <w:next w:val="Normal"/>
    <w:semiHidden/>
    <w:qFormat/>
    <w:locked/>
    <w:rsid w:val="00613733"/>
    <w:pPr>
      <w:numPr>
        <w:ilvl w:val="6"/>
        <w:numId w:val="15"/>
      </w:numPr>
      <w:tabs>
        <w:tab w:val="clear" w:pos="1134"/>
      </w:tabs>
      <w:spacing w:before="240" w:after="60"/>
      <w:outlineLvl w:val="6"/>
    </w:pPr>
  </w:style>
  <w:style w:type="paragraph" w:styleId="Heading8">
    <w:name w:val="heading 8"/>
    <w:basedOn w:val="Normal"/>
    <w:next w:val="Normal"/>
    <w:semiHidden/>
    <w:qFormat/>
    <w:locked/>
    <w:rsid w:val="00613733"/>
    <w:pPr>
      <w:numPr>
        <w:ilvl w:val="7"/>
        <w:numId w:val="15"/>
      </w:numPr>
      <w:tabs>
        <w:tab w:val="clear" w:pos="1134"/>
      </w:tabs>
      <w:spacing w:before="240" w:after="60"/>
      <w:outlineLvl w:val="7"/>
    </w:pPr>
    <w:rPr>
      <w:i/>
      <w:iCs/>
    </w:rPr>
  </w:style>
  <w:style w:type="paragraph" w:styleId="Heading9">
    <w:name w:val="heading 9"/>
    <w:basedOn w:val="Normal"/>
    <w:next w:val="Normal"/>
    <w:semiHidden/>
    <w:qFormat/>
    <w:locked/>
    <w:rsid w:val="00613733"/>
    <w:pPr>
      <w:numPr>
        <w:ilvl w:val="8"/>
        <w:numId w:val="15"/>
      </w:numPr>
      <w:tabs>
        <w:tab w:val="clear" w:pos="1134"/>
      </w:tabs>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locked/>
    <w:rsid w:val="00613733"/>
    <w:pPr>
      <w:numPr>
        <w:numId w:val="10"/>
      </w:numPr>
    </w:pPr>
  </w:style>
  <w:style w:type="numbering" w:styleId="1ai">
    <w:name w:val="Outline List 1"/>
    <w:basedOn w:val="NoList"/>
    <w:locked/>
    <w:rsid w:val="00613733"/>
    <w:pPr>
      <w:numPr>
        <w:numId w:val="11"/>
      </w:numPr>
    </w:pPr>
  </w:style>
  <w:style w:type="numbering" w:styleId="ArticleSection">
    <w:name w:val="Outline List 3"/>
    <w:basedOn w:val="NoList"/>
    <w:locked/>
    <w:rsid w:val="00613733"/>
    <w:pPr>
      <w:numPr>
        <w:numId w:val="13"/>
      </w:numPr>
    </w:pPr>
  </w:style>
  <w:style w:type="paragraph" w:styleId="BlockText">
    <w:name w:val="Block Text"/>
    <w:basedOn w:val="Normal"/>
    <w:semiHidden/>
    <w:locked/>
    <w:rsid w:val="00613733"/>
    <w:pPr>
      <w:spacing w:after="120"/>
      <w:ind w:left="1440" w:right="1440"/>
    </w:pPr>
  </w:style>
  <w:style w:type="paragraph" w:styleId="BodyText">
    <w:name w:val="Body Text"/>
    <w:basedOn w:val="Normal"/>
    <w:semiHidden/>
    <w:locked/>
    <w:rsid w:val="00613733"/>
    <w:pPr>
      <w:spacing w:after="120"/>
    </w:pPr>
  </w:style>
  <w:style w:type="paragraph" w:styleId="BodyText2">
    <w:name w:val="Body Text 2"/>
    <w:basedOn w:val="Normal"/>
    <w:semiHidden/>
    <w:locked/>
    <w:rsid w:val="00613733"/>
    <w:pPr>
      <w:spacing w:after="120" w:line="480" w:lineRule="auto"/>
    </w:pPr>
  </w:style>
  <w:style w:type="paragraph" w:styleId="BodyText3">
    <w:name w:val="Body Text 3"/>
    <w:basedOn w:val="Normal"/>
    <w:semiHidden/>
    <w:locked/>
    <w:rsid w:val="00613733"/>
    <w:pPr>
      <w:spacing w:after="120"/>
    </w:pPr>
    <w:rPr>
      <w:sz w:val="16"/>
      <w:szCs w:val="16"/>
    </w:rPr>
  </w:style>
  <w:style w:type="paragraph" w:styleId="BodyTextFirstIndent">
    <w:name w:val="Body Text First Indent"/>
    <w:basedOn w:val="BodyText"/>
    <w:semiHidden/>
    <w:locked/>
    <w:rsid w:val="00613733"/>
    <w:pPr>
      <w:ind w:firstLine="210"/>
    </w:pPr>
  </w:style>
  <w:style w:type="paragraph" w:styleId="BodyTextIndent">
    <w:name w:val="Body Text Indent"/>
    <w:basedOn w:val="Normal"/>
    <w:semiHidden/>
    <w:locked/>
    <w:rsid w:val="00613733"/>
    <w:pPr>
      <w:spacing w:after="120"/>
      <w:ind w:left="283"/>
    </w:pPr>
  </w:style>
  <w:style w:type="paragraph" w:styleId="BodyTextFirstIndent2">
    <w:name w:val="Body Text First Indent 2"/>
    <w:basedOn w:val="BodyTextIndent"/>
    <w:semiHidden/>
    <w:locked/>
    <w:rsid w:val="00613733"/>
    <w:pPr>
      <w:ind w:firstLine="210"/>
    </w:pPr>
  </w:style>
  <w:style w:type="paragraph" w:styleId="BodyTextIndent2">
    <w:name w:val="Body Text Indent 2"/>
    <w:basedOn w:val="Normal"/>
    <w:semiHidden/>
    <w:locked/>
    <w:rsid w:val="00613733"/>
    <w:pPr>
      <w:spacing w:after="120" w:line="480" w:lineRule="auto"/>
      <w:ind w:left="283"/>
    </w:pPr>
  </w:style>
  <w:style w:type="paragraph" w:styleId="BodyTextIndent3">
    <w:name w:val="Body Text Indent 3"/>
    <w:basedOn w:val="Normal"/>
    <w:semiHidden/>
    <w:locked/>
    <w:rsid w:val="00613733"/>
    <w:pPr>
      <w:spacing w:after="120"/>
      <w:ind w:left="283"/>
    </w:pPr>
    <w:rPr>
      <w:sz w:val="16"/>
      <w:szCs w:val="16"/>
    </w:rPr>
  </w:style>
  <w:style w:type="paragraph" w:styleId="Closing">
    <w:name w:val="Closing"/>
    <w:basedOn w:val="Normal"/>
    <w:semiHidden/>
    <w:locked/>
    <w:rsid w:val="00613733"/>
    <w:pPr>
      <w:ind w:left="4252"/>
    </w:pPr>
  </w:style>
  <w:style w:type="paragraph" w:styleId="Date">
    <w:name w:val="Date"/>
    <w:basedOn w:val="Normal"/>
    <w:next w:val="Normal"/>
    <w:semiHidden/>
    <w:locked/>
    <w:rsid w:val="00613733"/>
  </w:style>
  <w:style w:type="paragraph" w:styleId="E-mailSignature">
    <w:name w:val="E-mail Signature"/>
    <w:basedOn w:val="Normal"/>
    <w:semiHidden/>
    <w:locked/>
    <w:rsid w:val="00613733"/>
  </w:style>
  <w:style w:type="character" w:styleId="Emphasis">
    <w:name w:val="Emphasis"/>
    <w:basedOn w:val="DefaultParagraphFont"/>
    <w:semiHidden/>
    <w:qFormat/>
    <w:locked/>
    <w:rsid w:val="00613733"/>
    <w:rPr>
      <w:i/>
      <w:iCs/>
    </w:rPr>
  </w:style>
  <w:style w:type="paragraph" w:styleId="EnvelopeAddress">
    <w:name w:val="envelope address"/>
    <w:basedOn w:val="Normal"/>
    <w:semiHidden/>
    <w:locked/>
    <w:rsid w:val="00613733"/>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613733"/>
    <w:rPr>
      <w:rFonts w:cs="Arial"/>
    </w:rPr>
  </w:style>
  <w:style w:type="character" w:styleId="FollowedHyperlink">
    <w:name w:val="FollowedHyperlink"/>
    <w:basedOn w:val="DefaultParagraphFont"/>
    <w:semiHidden/>
    <w:locked/>
    <w:rsid w:val="00613733"/>
    <w:rPr>
      <w:color w:val="800080"/>
      <w:u w:val="single"/>
    </w:rPr>
  </w:style>
  <w:style w:type="paragraph" w:styleId="Footer">
    <w:name w:val="footer"/>
    <w:basedOn w:val="Normal"/>
    <w:semiHidden/>
    <w:locked/>
    <w:rsid w:val="00613733"/>
    <w:pPr>
      <w:tabs>
        <w:tab w:val="center" w:pos="4320"/>
        <w:tab w:val="right" w:pos="8640"/>
      </w:tabs>
    </w:pPr>
  </w:style>
  <w:style w:type="paragraph" w:styleId="Header">
    <w:name w:val="header"/>
    <w:basedOn w:val="Normal"/>
    <w:semiHidden/>
    <w:locked/>
    <w:rsid w:val="00613733"/>
    <w:pPr>
      <w:tabs>
        <w:tab w:val="center" w:pos="4320"/>
        <w:tab w:val="right" w:pos="8640"/>
      </w:tabs>
    </w:pPr>
  </w:style>
  <w:style w:type="character" w:styleId="HTMLAcronym">
    <w:name w:val="HTML Acronym"/>
    <w:basedOn w:val="DefaultParagraphFont"/>
    <w:semiHidden/>
    <w:locked/>
    <w:rsid w:val="00613733"/>
  </w:style>
  <w:style w:type="paragraph" w:styleId="HTMLAddress">
    <w:name w:val="HTML Address"/>
    <w:basedOn w:val="Normal"/>
    <w:semiHidden/>
    <w:locked/>
    <w:rsid w:val="00613733"/>
    <w:rPr>
      <w:i/>
      <w:iCs/>
    </w:rPr>
  </w:style>
  <w:style w:type="character" w:styleId="HTMLCite">
    <w:name w:val="HTML Cite"/>
    <w:basedOn w:val="DefaultParagraphFont"/>
    <w:semiHidden/>
    <w:locked/>
    <w:rsid w:val="00613733"/>
    <w:rPr>
      <w:i/>
      <w:iCs/>
    </w:rPr>
  </w:style>
  <w:style w:type="character" w:styleId="HTMLCode">
    <w:name w:val="HTML Code"/>
    <w:basedOn w:val="DefaultParagraphFont"/>
    <w:semiHidden/>
    <w:locked/>
    <w:rsid w:val="00613733"/>
    <w:rPr>
      <w:rFonts w:ascii="Courier New" w:hAnsi="Courier New" w:cs="Courier New"/>
      <w:sz w:val="20"/>
      <w:szCs w:val="20"/>
    </w:rPr>
  </w:style>
  <w:style w:type="character" w:styleId="HTMLDefinition">
    <w:name w:val="HTML Definition"/>
    <w:basedOn w:val="DefaultParagraphFont"/>
    <w:semiHidden/>
    <w:locked/>
    <w:rsid w:val="00613733"/>
    <w:rPr>
      <w:i/>
      <w:iCs/>
    </w:rPr>
  </w:style>
  <w:style w:type="character" w:styleId="HTMLKeyboard">
    <w:name w:val="HTML Keyboard"/>
    <w:basedOn w:val="DefaultParagraphFont"/>
    <w:semiHidden/>
    <w:locked/>
    <w:rsid w:val="00613733"/>
    <w:rPr>
      <w:rFonts w:ascii="Courier New" w:hAnsi="Courier New" w:cs="Courier New"/>
      <w:sz w:val="20"/>
      <w:szCs w:val="20"/>
    </w:rPr>
  </w:style>
  <w:style w:type="paragraph" w:styleId="HTMLPreformatted">
    <w:name w:val="HTML Preformatted"/>
    <w:basedOn w:val="Normal"/>
    <w:semiHidden/>
    <w:locked/>
    <w:rsid w:val="00613733"/>
    <w:rPr>
      <w:rFonts w:ascii="Courier New" w:hAnsi="Courier New" w:cs="Courier New"/>
    </w:rPr>
  </w:style>
  <w:style w:type="character" w:styleId="HTMLSample">
    <w:name w:val="HTML Sample"/>
    <w:basedOn w:val="DefaultParagraphFont"/>
    <w:semiHidden/>
    <w:locked/>
    <w:rsid w:val="00613733"/>
    <w:rPr>
      <w:rFonts w:ascii="Courier New" w:hAnsi="Courier New" w:cs="Courier New"/>
    </w:rPr>
  </w:style>
  <w:style w:type="character" w:styleId="HTMLTypewriter">
    <w:name w:val="HTML Typewriter"/>
    <w:basedOn w:val="DefaultParagraphFont"/>
    <w:semiHidden/>
    <w:locked/>
    <w:rsid w:val="00613733"/>
    <w:rPr>
      <w:rFonts w:ascii="Courier New" w:hAnsi="Courier New" w:cs="Courier New"/>
      <w:sz w:val="20"/>
      <w:szCs w:val="20"/>
    </w:rPr>
  </w:style>
  <w:style w:type="character" w:styleId="HTMLVariable">
    <w:name w:val="HTML Variable"/>
    <w:basedOn w:val="DefaultParagraphFont"/>
    <w:semiHidden/>
    <w:locked/>
    <w:rsid w:val="00613733"/>
    <w:rPr>
      <w:i/>
      <w:iCs/>
    </w:rPr>
  </w:style>
  <w:style w:type="character" w:styleId="Hyperlink">
    <w:name w:val="Hyperlink"/>
    <w:basedOn w:val="DefaultParagraphFont"/>
    <w:uiPriority w:val="99"/>
    <w:locked/>
    <w:rsid w:val="00613733"/>
    <w:rPr>
      <w:color w:val="0000FF"/>
      <w:u w:val="single"/>
    </w:rPr>
  </w:style>
  <w:style w:type="character" w:styleId="LineNumber">
    <w:name w:val="line number"/>
    <w:basedOn w:val="DefaultParagraphFont"/>
    <w:semiHidden/>
    <w:locked/>
    <w:rsid w:val="00613733"/>
  </w:style>
  <w:style w:type="paragraph" w:styleId="List">
    <w:name w:val="List"/>
    <w:basedOn w:val="Normal"/>
    <w:semiHidden/>
    <w:locked/>
    <w:rsid w:val="00613733"/>
    <w:pPr>
      <w:ind w:left="283" w:hanging="283"/>
    </w:pPr>
  </w:style>
  <w:style w:type="paragraph" w:styleId="List2">
    <w:name w:val="List 2"/>
    <w:basedOn w:val="Normal"/>
    <w:semiHidden/>
    <w:locked/>
    <w:rsid w:val="00613733"/>
    <w:pPr>
      <w:ind w:left="566" w:hanging="283"/>
    </w:pPr>
  </w:style>
  <w:style w:type="paragraph" w:styleId="List3">
    <w:name w:val="List 3"/>
    <w:basedOn w:val="Normal"/>
    <w:semiHidden/>
    <w:locked/>
    <w:rsid w:val="00613733"/>
    <w:pPr>
      <w:ind w:left="849" w:hanging="283"/>
    </w:pPr>
  </w:style>
  <w:style w:type="paragraph" w:styleId="List4">
    <w:name w:val="List 4"/>
    <w:basedOn w:val="Normal"/>
    <w:semiHidden/>
    <w:locked/>
    <w:rsid w:val="00613733"/>
    <w:pPr>
      <w:ind w:left="1132" w:hanging="283"/>
    </w:pPr>
  </w:style>
  <w:style w:type="paragraph" w:styleId="List5">
    <w:name w:val="List 5"/>
    <w:basedOn w:val="Normal"/>
    <w:semiHidden/>
    <w:locked/>
    <w:rsid w:val="00613733"/>
    <w:pPr>
      <w:ind w:left="1415" w:hanging="283"/>
    </w:pPr>
  </w:style>
  <w:style w:type="paragraph" w:styleId="ListBullet">
    <w:name w:val="List Bullet"/>
    <w:basedOn w:val="Normal"/>
    <w:semiHidden/>
    <w:locked/>
    <w:rsid w:val="00613733"/>
    <w:pPr>
      <w:numPr>
        <w:numId w:val="16"/>
      </w:numPr>
    </w:pPr>
  </w:style>
  <w:style w:type="paragraph" w:styleId="ListBullet2">
    <w:name w:val="List Bullet 2"/>
    <w:basedOn w:val="Normal"/>
    <w:semiHidden/>
    <w:locked/>
    <w:rsid w:val="00613733"/>
    <w:pPr>
      <w:numPr>
        <w:numId w:val="17"/>
      </w:numPr>
    </w:pPr>
  </w:style>
  <w:style w:type="paragraph" w:styleId="ListBullet3">
    <w:name w:val="List Bullet 3"/>
    <w:basedOn w:val="Normal"/>
    <w:semiHidden/>
    <w:locked/>
    <w:rsid w:val="00613733"/>
    <w:pPr>
      <w:numPr>
        <w:numId w:val="18"/>
      </w:numPr>
    </w:pPr>
  </w:style>
  <w:style w:type="paragraph" w:styleId="ListBullet4">
    <w:name w:val="List Bullet 4"/>
    <w:basedOn w:val="Normal"/>
    <w:semiHidden/>
    <w:locked/>
    <w:rsid w:val="00613733"/>
    <w:pPr>
      <w:numPr>
        <w:numId w:val="19"/>
      </w:numPr>
    </w:pPr>
  </w:style>
  <w:style w:type="paragraph" w:styleId="ListBullet5">
    <w:name w:val="List Bullet 5"/>
    <w:basedOn w:val="Normal"/>
    <w:semiHidden/>
    <w:locked/>
    <w:rsid w:val="00613733"/>
    <w:pPr>
      <w:numPr>
        <w:numId w:val="20"/>
      </w:numPr>
    </w:pPr>
  </w:style>
  <w:style w:type="paragraph" w:styleId="ListContinue">
    <w:name w:val="List Continue"/>
    <w:basedOn w:val="Normal"/>
    <w:semiHidden/>
    <w:locked/>
    <w:rsid w:val="00613733"/>
    <w:pPr>
      <w:spacing w:after="120"/>
      <w:ind w:left="283"/>
    </w:pPr>
  </w:style>
  <w:style w:type="paragraph" w:styleId="ListContinue2">
    <w:name w:val="List Continue 2"/>
    <w:basedOn w:val="Normal"/>
    <w:semiHidden/>
    <w:locked/>
    <w:rsid w:val="00613733"/>
    <w:pPr>
      <w:spacing w:after="120"/>
      <w:ind w:left="566"/>
    </w:pPr>
  </w:style>
  <w:style w:type="paragraph" w:styleId="ListContinue3">
    <w:name w:val="List Continue 3"/>
    <w:basedOn w:val="Normal"/>
    <w:semiHidden/>
    <w:locked/>
    <w:rsid w:val="00613733"/>
    <w:pPr>
      <w:spacing w:after="120"/>
      <w:ind w:left="849"/>
    </w:pPr>
  </w:style>
  <w:style w:type="paragraph" w:styleId="ListContinue4">
    <w:name w:val="List Continue 4"/>
    <w:basedOn w:val="Normal"/>
    <w:semiHidden/>
    <w:locked/>
    <w:rsid w:val="00613733"/>
    <w:pPr>
      <w:spacing w:after="120"/>
      <w:ind w:left="1132"/>
    </w:pPr>
  </w:style>
  <w:style w:type="paragraph" w:styleId="ListContinue5">
    <w:name w:val="List Continue 5"/>
    <w:basedOn w:val="Normal"/>
    <w:semiHidden/>
    <w:locked/>
    <w:rsid w:val="00613733"/>
    <w:pPr>
      <w:spacing w:after="120"/>
      <w:ind w:left="1415"/>
    </w:pPr>
  </w:style>
  <w:style w:type="paragraph" w:styleId="ListNumber">
    <w:name w:val="List Number"/>
    <w:basedOn w:val="Normal"/>
    <w:semiHidden/>
    <w:locked/>
    <w:rsid w:val="00613733"/>
    <w:pPr>
      <w:numPr>
        <w:numId w:val="21"/>
      </w:numPr>
    </w:pPr>
  </w:style>
  <w:style w:type="paragraph" w:styleId="ListNumber2">
    <w:name w:val="List Number 2"/>
    <w:basedOn w:val="Normal"/>
    <w:semiHidden/>
    <w:locked/>
    <w:rsid w:val="00613733"/>
    <w:pPr>
      <w:numPr>
        <w:numId w:val="22"/>
      </w:numPr>
    </w:pPr>
  </w:style>
  <w:style w:type="paragraph" w:styleId="ListNumber3">
    <w:name w:val="List Number 3"/>
    <w:basedOn w:val="Normal"/>
    <w:semiHidden/>
    <w:locked/>
    <w:rsid w:val="00613733"/>
    <w:pPr>
      <w:numPr>
        <w:numId w:val="23"/>
      </w:numPr>
    </w:pPr>
  </w:style>
  <w:style w:type="paragraph" w:styleId="ListNumber4">
    <w:name w:val="List Number 4"/>
    <w:basedOn w:val="Normal"/>
    <w:semiHidden/>
    <w:locked/>
    <w:rsid w:val="00613733"/>
    <w:pPr>
      <w:numPr>
        <w:numId w:val="24"/>
      </w:numPr>
    </w:pPr>
  </w:style>
  <w:style w:type="paragraph" w:styleId="ListNumber5">
    <w:name w:val="List Number 5"/>
    <w:basedOn w:val="Normal"/>
    <w:semiHidden/>
    <w:locked/>
    <w:rsid w:val="00613733"/>
    <w:pPr>
      <w:numPr>
        <w:numId w:val="25"/>
      </w:numPr>
    </w:pPr>
  </w:style>
  <w:style w:type="paragraph" w:styleId="MessageHeader">
    <w:name w:val="Message Header"/>
    <w:basedOn w:val="Normal"/>
    <w:semiHidden/>
    <w:locked/>
    <w:rsid w:val="0061373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13733"/>
  </w:style>
  <w:style w:type="paragraph" w:styleId="NormalIndent">
    <w:name w:val="Normal Indent"/>
    <w:basedOn w:val="Normal"/>
    <w:rsid w:val="00613733"/>
    <w:pPr>
      <w:ind w:left="720"/>
    </w:pPr>
  </w:style>
  <w:style w:type="paragraph" w:styleId="NoteHeading">
    <w:name w:val="Note Heading"/>
    <w:basedOn w:val="Normal"/>
    <w:next w:val="Normal"/>
    <w:semiHidden/>
    <w:locked/>
    <w:rsid w:val="00613733"/>
  </w:style>
  <w:style w:type="character" w:styleId="PageNumber">
    <w:name w:val="page number"/>
    <w:basedOn w:val="DefaultParagraphFont"/>
    <w:semiHidden/>
    <w:locked/>
    <w:rsid w:val="00613733"/>
  </w:style>
  <w:style w:type="paragraph" w:styleId="PlainText">
    <w:name w:val="Plain Text"/>
    <w:basedOn w:val="Normal"/>
    <w:rsid w:val="00613733"/>
    <w:rPr>
      <w:rFonts w:ascii="Courier New" w:hAnsi="Courier New" w:cs="Courier New"/>
    </w:rPr>
  </w:style>
  <w:style w:type="paragraph" w:styleId="Salutation">
    <w:name w:val="Salutation"/>
    <w:basedOn w:val="Normal"/>
    <w:next w:val="Normal"/>
    <w:semiHidden/>
    <w:locked/>
    <w:rsid w:val="00613733"/>
  </w:style>
  <w:style w:type="paragraph" w:styleId="Signature">
    <w:name w:val="Signature"/>
    <w:basedOn w:val="Normal"/>
    <w:semiHidden/>
    <w:locked/>
    <w:rsid w:val="00613733"/>
    <w:pPr>
      <w:ind w:left="4252"/>
    </w:pPr>
  </w:style>
  <w:style w:type="character" w:styleId="Strong">
    <w:name w:val="Strong"/>
    <w:basedOn w:val="DefaultParagraphFont"/>
    <w:semiHidden/>
    <w:qFormat/>
    <w:locked/>
    <w:rsid w:val="00613733"/>
    <w:rPr>
      <w:b/>
      <w:bCs/>
    </w:rPr>
  </w:style>
  <w:style w:type="paragraph" w:styleId="Subtitle">
    <w:name w:val="Subtitle"/>
    <w:basedOn w:val="Normal"/>
    <w:semiHidden/>
    <w:qFormat/>
    <w:locked/>
    <w:rsid w:val="00613733"/>
    <w:pPr>
      <w:spacing w:after="60"/>
      <w:jc w:val="center"/>
      <w:outlineLvl w:val="1"/>
    </w:pPr>
    <w:rPr>
      <w:rFonts w:cs="Arial"/>
    </w:rPr>
  </w:style>
  <w:style w:type="table" w:styleId="Table3Deffects1">
    <w:name w:val="Table 3D effects 1"/>
    <w:basedOn w:val="TableNormal"/>
    <w:locked/>
    <w:rsid w:val="00613733"/>
    <w:pPr>
      <w:spacing w:after="180"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13733"/>
    <w:pPr>
      <w:spacing w:after="180"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13733"/>
    <w:pPr>
      <w:spacing w:after="180"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13733"/>
    <w:pPr>
      <w:spacing w:after="18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13733"/>
    <w:pPr>
      <w:spacing w:after="18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13733"/>
    <w:pPr>
      <w:spacing w:after="180"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13733"/>
    <w:pPr>
      <w:spacing w:after="180"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13733"/>
    <w:pPr>
      <w:spacing w:after="180"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13733"/>
    <w:pPr>
      <w:spacing w:after="180"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13733"/>
    <w:pPr>
      <w:spacing w:after="180"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13733"/>
    <w:pPr>
      <w:spacing w:after="180"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13733"/>
    <w:pPr>
      <w:spacing w:after="180"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13733"/>
    <w:pPr>
      <w:spacing w:after="180"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13733"/>
    <w:pPr>
      <w:spacing w:after="180"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13733"/>
    <w:pPr>
      <w:spacing w:after="180"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13733"/>
    <w:pPr>
      <w:spacing w:after="180"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13733"/>
    <w:pPr>
      <w:spacing w:after="18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613733"/>
    <w:pPr>
      <w:spacing w:after="18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locked/>
    <w:rsid w:val="00613733"/>
    <w:pPr>
      <w:spacing w:after="180"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13733"/>
    <w:pPr>
      <w:spacing w:after="180"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13733"/>
    <w:pPr>
      <w:spacing w:after="180"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13733"/>
    <w:pPr>
      <w:spacing w:after="180"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13733"/>
    <w:pPr>
      <w:spacing w:after="180"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13733"/>
    <w:pPr>
      <w:spacing w:after="180"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13733"/>
    <w:pPr>
      <w:spacing w:after="180"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13733"/>
    <w:pPr>
      <w:spacing w:after="180"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13733"/>
    <w:pPr>
      <w:spacing w:after="180"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13733"/>
    <w:pPr>
      <w:spacing w:after="180"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13733"/>
    <w:pPr>
      <w:spacing w:after="180"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13733"/>
    <w:pPr>
      <w:spacing w:after="180"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13733"/>
    <w:pPr>
      <w:spacing w:after="180"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13733"/>
    <w:pPr>
      <w:spacing w:after="180"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13733"/>
    <w:pPr>
      <w:spacing w:after="180"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13733"/>
    <w:pPr>
      <w:spacing w:after="180"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13733"/>
    <w:pPr>
      <w:spacing w:after="180"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13733"/>
    <w:pPr>
      <w:spacing w:after="180"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13733"/>
    <w:pPr>
      <w:spacing w:after="180"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13733"/>
    <w:pPr>
      <w:spacing w:after="180"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13733"/>
    <w:pPr>
      <w:spacing w:after="180"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13733"/>
    <w:pPr>
      <w:spacing w:after="180"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13733"/>
    <w:pPr>
      <w:spacing w:after="18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locked/>
    <w:rsid w:val="00613733"/>
    <w:pPr>
      <w:spacing w:after="180"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13733"/>
    <w:pPr>
      <w:spacing w:after="180"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13733"/>
    <w:pPr>
      <w:spacing w:after="180"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locked/>
    <w:rsid w:val="00613733"/>
    <w:pPr>
      <w:spacing w:before="240" w:after="60"/>
      <w:jc w:val="center"/>
      <w:outlineLvl w:val="0"/>
    </w:pPr>
    <w:rPr>
      <w:rFonts w:cs="Arial"/>
      <w:b/>
      <w:bCs/>
      <w:kern w:val="28"/>
      <w:sz w:val="32"/>
      <w:szCs w:val="32"/>
    </w:rPr>
  </w:style>
  <w:style w:type="paragraph" w:customStyle="1" w:styleId="Header0">
    <w:name w:val="_Header"/>
    <w:basedOn w:val="ParaMargin"/>
    <w:rsid w:val="00613733"/>
    <w:pPr>
      <w:spacing w:after="20"/>
    </w:pPr>
    <w:rPr>
      <w:sz w:val="16"/>
    </w:rPr>
  </w:style>
  <w:style w:type="paragraph" w:customStyle="1" w:styleId="Footer0">
    <w:name w:val="_Footer"/>
    <w:basedOn w:val="ParaMargin"/>
    <w:rsid w:val="00613733"/>
    <w:pPr>
      <w:spacing w:before="20" w:after="20" w:line="240" w:lineRule="auto"/>
    </w:pPr>
    <w:rPr>
      <w:sz w:val="16"/>
    </w:rPr>
  </w:style>
  <w:style w:type="paragraph" w:customStyle="1" w:styleId="Info">
    <w:name w:val="_Info"/>
    <w:basedOn w:val="ParaMargin"/>
    <w:rsid w:val="00613733"/>
    <w:pPr>
      <w:spacing w:before="60" w:after="60" w:line="240" w:lineRule="auto"/>
    </w:pPr>
    <w:rPr>
      <w:sz w:val="16"/>
    </w:rPr>
  </w:style>
  <w:style w:type="paragraph" w:customStyle="1" w:styleId="ListAppxsFigsTables">
    <w:name w:val="_ListAppxsFigs&amp;Tables"/>
    <w:basedOn w:val="ParaMargin"/>
    <w:rsid w:val="00852FEB"/>
    <w:pPr>
      <w:tabs>
        <w:tab w:val="right" w:leader="dot" w:pos="6804"/>
      </w:tabs>
      <w:spacing w:after="120"/>
      <w:ind w:left="567" w:right="2835"/>
    </w:pPr>
    <w:rPr>
      <w:noProof/>
      <w:sz w:val="18"/>
    </w:rPr>
  </w:style>
  <w:style w:type="paragraph" w:customStyle="1" w:styleId="ParaMargin">
    <w:name w:val="_ParaMargin"/>
    <w:basedOn w:val="Normal"/>
    <w:link w:val="ParaMarginChar"/>
    <w:qFormat/>
    <w:rsid w:val="00B1303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Pr>
      <w:lang w:val="en-GB"/>
    </w:rPr>
  </w:style>
  <w:style w:type="paragraph" w:customStyle="1" w:styleId="ParaIndent">
    <w:name w:val="_ParaIndent"/>
    <w:basedOn w:val="Normal"/>
    <w:link w:val="ParaIndentChar"/>
    <w:qFormat/>
    <w:rsid w:val="00B1303D"/>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134"/>
    </w:pPr>
  </w:style>
  <w:style w:type="paragraph" w:customStyle="1" w:styleId="AppxName">
    <w:name w:val="_AppxName"/>
    <w:basedOn w:val="ParaMargin"/>
    <w:qFormat/>
    <w:rsid w:val="00613733"/>
    <w:pPr>
      <w:spacing w:before="120" w:after="120"/>
    </w:pPr>
    <w:rPr>
      <w:caps/>
      <w:color w:val="00519E"/>
      <w:sz w:val="40"/>
    </w:rPr>
  </w:style>
  <w:style w:type="paragraph" w:customStyle="1" w:styleId="AppxNo">
    <w:name w:val="_AppxNo"/>
    <w:basedOn w:val="ParaMargin"/>
    <w:qFormat/>
    <w:rsid w:val="00613733"/>
    <w:pPr>
      <w:spacing w:before="120" w:after="120"/>
    </w:pPr>
    <w:rPr>
      <w:caps/>
      <w:color w:val="495F70"/>
      <w:sz w:val="36"/>
    </w:rPr>
  </w:style>
  <w:style w:type="paragraph" w:customStyle="1" w:styleId="Heading1">
    <w:name w:val="_Heading1"/>
    <w:basedOn w:val="Heading10"/>
    <w:next w:val="ParaIndent"/>
    <w:qFormat/>
    <w:rsid w:val="00613733"/>
    <w:pPr>
      <w:numPr>
        <w:numId w:val="2"/>
      </w:numPr>
      <w:pBdr>
        <w:bottom w:val="none" w:sz="0" w:space="0" w:color="auto"/>
      </w:pBdr>
      <w:tabs>
        <w:tab w:val="clear" w:pos="567"/>
      </w:tabs>
      <w:spacing w:after="240"/>
    </w:pPr>
    <w:rPr>
      <w:rFonts w:ascii="Arial" w:hAnsi="Arial" w:cs="Arial"/>
      <w:caps/>
      <w:color w:val="495F70"/>
    </w:rPr>
  </w:style>
  <w:style w:type="paragraph" w:customStyle="1" w:styleId="Heading2">
    <w:name w:val="_Heading2"/>
    <w:basedOn w:val="Heading20"/>
    <w:next w:val="ParaIndent"/>
    <w:link w:val="Heading2Char"/>
    <w:qFormat/>
    <w:rsid w:val="00613733"/>
    <w:pPr>
      <w:numPr>
        <w:ilvl w:val="1"/>
        <w:numId w:val="2"/>
      </w:numPr>
      <w:tabs>
        <w:tab w:val="clear" w:pos="567"/>
      </w:tabs>
      <w:spacing w:after="240"/>
    </w:pPr>
    <w:rPr>
      <w:rFonts w:ascii="Arial" w:hAnsi="Arial" w:cs="Arial"/>
      <w:caps/>
      <w:color w:val="495F70"/>
    </w:rPr>
  </w:style>
  <w:style w:type="paragraph" w:customStyle="1" w:styleId="Heading3">
    <w:name w:val="_Heading3"/>
    <w:basedOn w:val="Heading30"/>
    <w:next w:val="ParaIndent"/>
    <w:qFormat/>
    <w:rsid w:val="00613733"/>
    <w:pPr>
      <w:numPr>
        <w:ilvl w:val="2"/>
        <w:numId w:val="2"/>
      </w:numPr>
      <w:tabs>
        <w:tab w:val="clear" w:pos="567"/>
      </w:tabs>
      <w:spacing w:after="240"/>
    </w:pPr>
    <w:rPr>
      <w:rFonts w:ascii="Arial" w:hAnsi="Arial" w:cs="Arial"/>
      <w:caps/>
      <w:color w:val="495F70"/>
    </w:rPr>
  </w:style>
  <w:style w:type="paragraph" w:customStyle="1" w:styleId="Heading40">
    <w:name w:val="_Heading4"/>
    <w:basedOn w:val="Heading4"/>
    <w:next w:val="ParaIndent"/>
    <w:link w:val="Heading4Char0"/>
    <w:qFormat/>
    <w:rsid w:val="0089119A"/>
    <w:pPr>
      <w:numPr>
        <w:ilvl w:val="0"/>
        <w:numId w:val="0"/>
      </w:numPr>
      <w:ind w:left="1134"/>
    </w:pPr>
    <w:rPr>
      <w:rFonts w:cs="Arial"/>
      <w:color w:val="495F70"/>
    </w:rPr>
  </w:style>
  <w:style w:type="paragraph" w:customStyle="1" w:styleId="HeadingOther">
    <w:name w:val="_HeadingOther"/>
    <w:basedOn w:val="ParaMargin"/>
    <w:next w:val="ParaMargin"/>
    <w:qFormat/>
    <w:rsid w:val="00613733"/>
    <w:pPr>
      <w:keepNext/>
      <w:spacing w:before="120" w:after="120"/>
    </w:pPr>
    <w:rPr>
      <w:color w:val="009EE0"/>
      <w:sz w:val="32"/>
    </w:rPr>
  </w:style>
  <w:style w:type="paragraph" w:customStyle="1" w:styleId="HeadingSub">
    <w:name w:val="_HeadingSub"/>
    <w:basedOn w:val="ParaMargin"/>
    <w:next w:val="ParaMargin"/>
    <w:qFormat/>
    <w:rsid w:val="00613733"/>
    <w:pPr>
      <w:keepNext/>
      <w:spacing w:before="120" w:after="120"/>
    </w:pPr>
    <w:rPr>
      <w:color w:val="495F70"/>
      <w:sz w:val="40"/>
    </w:rPr>
  </w:style>
  <w:style w:type="paragraph" w:customStyle="1" w:styleId="HeadingTitle">
    <w:name w:val="_HeadingTitle"/>
    <w:basedOn w:val="ParaMargin"/>
    <w:next w:val="ParaMargin"/>
    <w:qFormat/>
    <w:rsid w:val="00613733"/>
    <w:pPr>
      <w:spacing w:before="120" w:after="120"/>
    </w:pPr>
    <w:rPr>
      <w:caps/>
      <w:color w:val="00519E"/>
      <w:sz w:val="44"/>
    </w:rPr>
  </w:style>
  <w:style w:type="paragraph" w:customStyle="1" w:styleId="PointsAlpha">
    <w:name w:val="_PointsAlpha"/>
    <w:basedOn w:val="ParaMargin"/>
    <w:qFormat/>
    <w:rsid w:val="00613733"/>
    <w:pPr>
      <w:numPr>
        <w:numId w:val="3"/>
      </w:numPr>
      <w:spacing w:after="120"/>
    </w:pPr>
  </w:style>
  <w:style w:type="paragraph" w:customStyle="1" w:styleId="PointsBullets">
    <w:name w:val="_PointsBullets"/>
    <w:basedOn w:val="ParaMargin"/>
    <w:qFormat/>
    <w:rsid w:val="00613733"/>
    <w:pPr>
      <w:numPr>
        <w:numId w:val="4"/>
      </w:numPr>
      <w:spacing w:after="120"/>
    </w:pPr>
  </w:style>
  <w:style w:type="paragraph" w:customStyle="1" w:styleId="PointsNumbers">
    <w:name w:val="_PointsNumbers"/>
    <w:basedOn w:val="ParaMargin"/>
    <w:qFormat/>
    <w:rsid w:val="00613733"/>
    <w:pPr>
      <w:numPr>
        <w:numId w:val="5"/>
      </w:numPr>
      <w:spacing w:after="120"/>
    </w:pPr>
  </w:style>
  <w:style w:type="paragraph" w:customStyle="1" w:styleId="Caption">
    <w:name w:val="_Caption"/>
    <w:basedOn w:val="ParaMargin"/>
    <w:next w:val="CaptionFollowOn"/>
    <w:qFormat/>
    <w:rsid w:val="00613733"/>
    <w:pPr>
      <w:spacing w:before="20" w:after="0" w:line="240" w:lineRule="auto"/>
    </w:pPr>
    <w:rPr>
      <w:b/>
      <w:color w:val="495F70"/>
      <w:sz w:val="18"/>
    </w:rPr>
  </w:style>
  <w:style w:type="paragraph" w:customStyle="1" w:styleId="CaptionFollowOn">
    <w:name w:val="_CaptionFollowOn"/>
    <w:basedOn w:val="ParaMargin"/>
    <w:next w:val="ParaIndent"/>
    <w:qFormat/>
    <w:rsid w:val="00613733"/>
    <w:pPr>
      <w:spacing w:before="20" w:after="0" w:line="240" w:lineRule="auto"/>
      <w:ind w:left="1134"/>
    </w:pPr>
    <w:rPr>
      <w:color w:val="495F70"/>
      <w:sz w:val="18"/>
    </w:rPr>
  </w:style>
  <w:style w:type="paragraph" w:customStyle="1" w:styleId="TableHeading">
    <w:name w:val="_TableHeading"/>
    <w:basedOn w:val="ParaMargin"/>
    <w:qFormat/>
    <w:rsid w:val="00613733"/>
    <w:pPr>
      <w:keepNext/>
      <w:tabs>
        <w:tab w:val="left" w:pos="284"/>
      </w:tabs>
      <w:spacing w:before="60" w:after="60"/>
    </w:pPr>
    <w:rPr>
      <w:b/>
      <w:sz w:val="18"/>
    </w:rPr>
  </w:style>
  <w:style w:type="paragraph" w:customStyle="1" w:styleId="TableText">
    <w:name w:val="_TableText"/>
    <w:basedOn w:val="Normal"/>
    <w:qFormat/>
    <w:rsid w:val="00613733"/>
    <w:pPr>
      <w:spacing w:before="60" w:after="60"/>
    </w:pPr>
    <w:rPr>
      <w:sz w:val="18"/>
    </w:rPr>
  </w:style>
  <w:style w:type="paragraph" w:customStyle="1" w:styleId="ListHeading">
    <w:name w:val="_ListHeading"/>
    <w:basedOn w:val="ParaMargin"/>
    <w:next w:val="ParaMargin"/>
    <w:qFormat/>
    <w:rsid w:val="00613733"/>
    <w:pPr>
      <w:keepNext/>
      <w:spacing w:before="120" w:after="120"/>
    </w:pPr>
    <w:rPr>
      <w:caps/>
      <w:color w:val="495F70"/>
      <w:sz w:val="28"/>
    </w:rPr>
  </w:style>
  <w:style w:type="paragraph" w:customStyle="1" w:styleId="ListItem">
    <w:name w:val="_ListItem"/>
    <w:basedOn w:val="ParaMargin"/>
    <w:qFormat/>
    <w:rsid w:val="00613733"/>
    <w:pPr>
      <w:spacing w:after="120"/>
      <w:ind w:left="1134"/>
    </w:pPr>
  </w:style>
  <w:style w:type="paragraph" w:styleId="TOC1">
    <w:name w:val="toc 1"/>
    <w:basedOn w:val="Normal"/>
    <w:uiPriority w:val="39"/>
    <w:locked/>
    <w:rsid w:val="00613733"/>
    <w:pPr>
      <w:tabs>
        <w:tab w:val="clear" w:pos="-567"/>
        <w:tab w:val="clear" w:pos="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639"/>
        <w:tab w:val="clear" w:pos="10206"/>
        <w:tab w:val="right" w:leader="dot" w:pos="9072"/>
      </w:tabs>
      <w:spacing w:before="80" w:after="40"/>
      <w:ind w:left="567" w:hanging="567"/>
    </w:pPr>
    <w:rPr>
      <w:noProof/>
      <w:color w:val="495F70"/>
      <w:lang w:eastAsia="en-US"/>
    </w:rPr>
  </w:style>
  <w:style w:type="paragraph" w:styleId="TOC2">
    <w:name w:val="toc 2"/>
    <w:basedOn w:val="Normal"/>
    <w:uiPriority w:val="39"/>
    <w:locked/>
    <w:rsid w:val="00613733"/>
    <w:pPr>
      <w:tabs>
        <w:tab w:val="clear" w:pos="-567"/>
        <w:tab w:val="clear" w:pos="0"/>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639"/>
        <w:tab w:val="clear" w:pos="10206"/>
        <w:tab w:val="right" w:leader="dot" w:pos="9072"/>
      </w:tabs>
      <w:spacing w:before="40" w:after="40"/>
      <w:ind w:left="1134" w:hanging="567"/>
    </w:pPr>
    <w:rPr>
      <w:noProof/>
      <w:sz w:val="18"/>
      <w:lang w:eastAsia="en-US"/>
    </w:rPr>
  </w:style>
  <w:style w:type="paragraph" w:customStyle="1" w:styleId="ToC10">
    <w:name w:val="_ToC1"/>
    <w:basedOn w:val="ParaMargin"/>
    <w:rsid w:val="00613733"/>
    <w:pPr>
      <w:tabs>
        <w:tab w:val="right" w:leader="dot" w:pos="6804"/>
      </w:tabs>
      <w:spacing w:before="40" w:after="40"/>
      <w:ind w:left="567" w:hanging="567"/>
    </w:pPr>
    <w:rPr>
      <w:color w:val="495F70"/>
      <w:lang w:val="en-AU" w:eastAsia="en-US"/>
    </w:rPr>
  </w:style>
  <w:style w:type="paragraph" w:customStyle="1" w:styleId="ToC20">
    <w:name w:val="_ToC2"/>
    <w:basedOn w:val="ParaMargin"/>
    <w:rsid w:val="00613733"/>
    <w:pPr>
      <w:tabs>
        <w:tab w:val="right" w:leader="dot" w:pos="6804"/>
      </w:tabs>
      <w:spacing w:before="40" w:after="40"/>
      <w:ind w:left="1134" w:hanging="567"/>
    </w:pPr>
    <w:rPr>
      <w:sz w:val="18"/>
      <w:lang w:val="en-AU" w:eastAsia="en-US"/>
    </w:rPr>
  </w:style>
  <w:style w:type="paragraph" w:customStyle="1" w:styleId="ToC3">
    <w:name w:val="_ToC3"/>
    <w:basedOn w:val="ToC20"/>
    <w:rsid w:val="00613733"/>
    <w:pPr>
      <w:tabs>
        <w:tab w:val="left" w:pos="1985"/>
      </w:tabs>
      <w:spacing w:before="20" w:after="20"/>
      <w:ind w:left="1985" w:hanging="851"/>
    </w:pPr>
  </w:style>
  <w:style w:type="paragraph" w:customStyle="1" w:styleId="HeadingMinorCyan">
    <w:name w:val="_HeadingMinorCyan"/>
    <w:basedOn w:val="TableText"/>
    <w:qFormat/>
    <w:rsid w:val="00613733"/>
    <w:pPr>
      <w:keepNext/>
      <w:spacing w:before="0" w:after="120"/>
    </w:pPr>
    <w:rPr>
      <w:b/>
      <w:color w:val="009EE0"/>
      <w:sz w:val="20"/>
    </w:rPr>
  </w:style>
  <w:style w:type="paragraph" w:styleId="TOC30">
    <w:name w:val="toc 3"/>
    <w:basedOn w:val="Normal"/>
    <w:uiPriority w:val="39"/>
    <w:locked/>
    <w:rsid w:val="00613733"/>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639"/>
        <w:tab w:val="clear" w:pos="10206"/>
        <w:tab w:val="left" w:pos="1985"/>
        <w:tab w:val="right" w:leader="dot" w:pos="9072"/>
        <w:tab w:val="right" w:leader="dot" w:pos="9248"/>
      </w:tabs>
      <w:spacing w:before="20" w:after="20"/>
      <w:ind w:left="1985" w:hanging="851"/>
    </w:pPr>
    <w:rPr>
      <w:noProof/>
      <w:sz w:val="18"/>
      <w:lang w:eastAsia="en-US"/>
    </w:rPr>
  </w:style>
  <w:style w:type="paragraph" w:styleId="TOC4">
    <w:name w:val="toc 4"/>
    <w:basedOn w:val="Normal"/>
    <w:uiPriority w:val="39"/>
    <w:locked/>
    <w:rsid w:val="00613733"/>
    <w:pPr>
      <w:tabs>
        <w:tab w:val="clear" w:pos="-567"/>
        <w:tab w:val="clear" w:pos="0"/>
        <w:tab w:val="clear" w:pos="567"/>
        <w:tab w:val="clear" w:pos="1134"/>
        <w:tab w:val="clear" w:pos="1701"/>
        <w:tab w:val="clear" w:pos="2268"/>
        <w:tab w:val="clear" w:pos="3402"/>
        <w:tab w:val="clear" w:pos="3969"/>
        <w:tab w:val="clear" w:pos="4536"/>
        <w:tab w:val="clear" w:pos="5103"/>
        <w:tab w:val="clear" w:pos="5670"/>
        <w:tab w:val="clear" w:pos="6237"/>
        <w:tab w:val="clear" w:pos="6804"/>
        <w:tab w:val="clear" w:pos="7371"/>
        <w:tab w:val="clear" w:pos="7938"/>
        <w:tab w:val="clear" w:pos="8505"/>
        <w:tab w:val="clear" w:pos="9639"/>
        <w:tab w:val="clear" w:pos="10206"/>
        <w:tab w:val="right" w:leader="dot" w:pos="9072"/>
      </w:tabs>
      <w:spacing w:before="20" w:after="20"/>
      <w:ind w:left="2836" w:hanging="851"/>
    </w:pPr>
    <w:rPr>
      <w:noProof/>
      <w:sz w:val="18"/>
      <w:lang w:eastAsia="en-US"/>
    </w:rPr>
  </w:style>
  <w:style w:type="paragraph" w:styleId="Caption0">
    <w:name w:val="caption"/>
    <w:basedOn w:val="Normal"/>
    <w:next w:val="Normal"/>
    <w:semiHidden/>
    <w:qFormat/>
    <w:locked/>
    <w:rsid w:val="00613733"/>
    <w:pPr>
      <w:spacing w:before="120"/>
      <w:ind w:left="1134" w:hanging="1134"/>
    </w:pPr>
    <w:rPr>
      <w:rFonts w:ascii="Arial Narrow" w:hAnsi="Arial Narrow"/>
      <w:b/>
    </w:rPr>
  </w:style>
  <w:style w:type="paragraph" w:styleId="BalloonText">
    <w:name w:val="Balloon Text"/>
    <w:basedOn w:val="Normal"/>
    <w:semiHidden/>
    <w:locked/>
    <w:rsid w:val="00613733"/>
    <w:rPr>
      <w:rFonts w:ascii="Tahoma" w:hAnsi="Tahoma" w:cs="Tahoma"/>
      <w:sz w:val="16"/>
      <w:szCs w:val="16"/>
    </w:rPr>
  </w:style>
  <w:style w:type="paragraph" w:customStyle="1" w:styleId="InfoBold">
    <w:name w:val="_InfoBold"/>
    <w:basedOn w:val="Info"/>
    <w:next w:val="Info"/>
    <w:rsid w:val="00613733"/>
    <w:rPr>
      <w:b/>
    </w:rPr>
  </w:style>
  <w:style w:type="paragraph" w:customStyle="1" w:styleId="HeadingCategory">
    <w:name w:val="_HeadingCategory"/>
    <w:basedOn w:val="ParaMargin"/>
    <w:next w:val="ParaMargin"/>
    <w:qFormat/>
    <w:rsid w:val="00613733"/>
    <w:pPr>
      <w:spacing w:after="120"/>
    </w:pPr>
    <w:rPr>
      <w:color w:val="495F70"/>
      <w:sz w:val="36"/>
    </w:rPr>
  </w:style>
  <w:style w:type="paragraph" w:customStyle="1" w:styleId="InfoLetter">
    <w:name w:val="_InfoLetter"/>
    <w:basedOn w:val="ParaMargin"/>
    <w:next w:val="ParaMargin"/>
    <w:rsid w:val="00613733"/>
    <w:pPr>
      <w:spacing w:after="0"/>
    </w:pPr>
  </w:style>
  <w:style w:type="paragraph" w:customStyle="1" w:styleId="PathFileName">
    <w:name w:val="_PathFileName"/>
    <w:basedOn w:val="Footer0"/>
    <w:rsid w:val="00613733"/>
    <w:pPr>
      <w:spacing w:after="0"/>
    </w:pPr>
    <w:rPr>
      <w:sz w:val="14"/>
    </w:rPr>
  </w:style>
  <w:style w:type="paragraph" w:customStyle="1" w:styleId="Data">
    <w:name w:val="_Data"/>
    <w:basedOn w:val="ParaMargin"/>
    <w:rsid w:val="00613733"/>
    <w:pPr>
      <w:spacing w:after="60"/>
    </w:pPr>
    <w:rPr>
      <w:sz w:val="18"/>
    </w:rPr>
  </w:style>
  <w:style w:type="paragraph" w:customStyle="1" w:styleId="DataBold">
    <w:name w:val="_DataBold"/>
    <w:basedOn w:val="Data"/>
    <w:next w:val="Data"/>
    <w:rsid w:val="00613733"/>
    <w:rPr>
      <w:b/>
    </w:rPr>
  </w:style>
  <w:style w:type="character" w:customStyle="1" w:styleId="ParaIndentChar">
    <w:name w:val="_ParaIndent Char"/>
    <w:basedOn w:val="DefaultParagraphFont"/>
    <w:link w:val="ParaIndent"/>
    <w:rsid w:val="00B1303D"/>
  </w:style>
  <w:style w:type="paragraph" w:customStyle="1" w:styleId="TablePointsAlpha">
    <w:name w:val="_TablePointsAlpha"/>
    <w:basedOn w:val="PointsAlpha"/>
    <w:qFormat/>
    <w:rsid w:val="00613733"/>
    <w:pPr>
      <w:numPr>
        <w:numId w:val="7"/>
      </w:numPr>
      <w:tabs>
        <w:tab w:val="left" w:pos="1134"/>
      </w:tabs>
      <w:spacing w:before="60" w:after="60"/>
    </w:pPr>
    <w:rPr>
      <w:sz w:val="18"/>
    </w:rPr>
  </w:style>
  <w:style w:type="paragraph" w:customStyle="1" w:styleId="TablePointsBullets">
    <w:name w:val="_TablePointsBullets"/>
    <w:basedOn w:val="PointsBullets"/>
    <w:qFormat/>
    <w:rsid w:val="00613733"/>
    <w:pPr>
      <w:numPr>
        <w:numId w:val="8"/>
      </w:numPr>
      <w:tabs>
        <w:tab w:val="left" w:pos="567"/>
        <w:tab w:val="left" w:pos="1134"/>
      </w:tabs>
      <w:spacing w:before="60" w:after="60"/>
    </w:pPr>
    <w:rPr>
      <w:sz w:val="18"/>
    </w:rPr>
  </w:style>
  <w:style w:type="paragraph" w:customStyle="1" w:styleId="TablePointsNumbers">
    <w:name w:val="_TablePointsNumbers"/>
    <w:basedOn w:val="PointsNumbers"/>
    <w:qFormat/>
    <w:rsid w:val="00613733"/>
    <w:pPr>
      <w:numPr>
        <w:numId w:val="9"/>
      </w:numPr>
      <w:tabs>
        <w:tab w:val="left" w:pos="1134"/>
      </w:tabs>
      <w:spacing w:before="60" w:after="60"/>
    </w:pPr>
    <w:rPr>
      <w:sz w:val="18"/>
    </w:rPr>
  </w:style>
  <w:style w:type="paragraph" w:customStyle="1" w:styleId="FooterBlue">
    <w:name w:val="_FooterBlue"/>
    <w:basedOn w:val="Footer0"/>
    <w:rsid w:val="00613733"/>
    <w:rPr>
      <w:color w:val="0000FF"/>
    </w:rPr>
  </w:style>
  <w:style w:type="paragraph" w:customStyle="1" w:styleId="HeadingTitleWhite">
    <w:name w:val="_HeadingTitleWhite"/>
    <w:basedOn w:val="HeadingTitle"/>
    <w:next w:val="ParaMargin"/>
    <w:qFormat/>
    <w:rsid w:val="00613733"/>
    <w:rPr>
      <w:color w:val="FFFFFF"/>
    </w:rPr>
  </w:style>
  <w:style w:type="paragraph" w:customStyle="1" w:styleId="FooterWhite">
    <w:name w:val="_FooterWhite"/>
    <w:basedOn w:val="Footer0"/>
    <w:rsid w:val="00613733"/>
    <w:rPr>
      <w:color w:val="FFFFFF"/>
    </w:rPr>
  </w:style>
  <w:style w:type="paragraph" w:customStyle="1" w:styleId="HeadingInfo">
    <w:name w:val="_HeadingInfo"/>
    <w:basedOn w:val="ParaMargin"/>
    <w:qFormat/>
    <w:rsid w:val="00613733"/>
    <w:pPr>
      <w:spacing w:before="120" w:after="120"/>
    </w:pPr>
    <w:rPr>
      <w:sz w:val="24"/>
    </w:rPr>
  </w:style>
  <w:style w:type="paragraph" w:customStyle="1" w:styleId="HeadingMinor">
    <w:name w:val="_HeadingMinor"/>
    <w:basedOn w:val="ParaMargin"/>
    <w:next w:val="ParaMargin"/>
    <w:qFormat/>
    <w:rsid w:val="00613733"/>
    <w:pPr>
      <w:keepNext/>
      <w:spacing w:before="240" w:after="120"/>
    </w:pPr>
    <w:rPr>
      <w:b/>
    </w:rPr>
  </w:style>
  <w:style w:type="paragraph" w:customStyle="1" w:styleId="HeadingName">
    <w:name w:val="_HeadingName"/>
    <w:basedOn w:val="HeadingTitle"/>
    <w:qFormat/>
    <w:rsid w:val="00613733"/>
    <w:pPr>
      <w:keepNext/>
      <w:spacing w:before="0" w:after="0"/>
    </w:pPr>
  </w:style>
  <w:style w:type="paragraph" w:customStyle="1" w:styleId="ParaIntroduction">
    <w:name w:val="_ParaIntroduction"/>
    <w:basedOn w:val="ParaMargin"/>
    <w:qFormat/>
    <w:rsid w:val="00613733"/>
    <w:pPr>
      <w:spacing w:before="120"/>
    </w:pPr>
    <w:rPr>
      <w:sz w:val="24"/>
    </w:rPr>
  </w:style>
  <w:style w:type="paragraph" w:customStyle="1" w:styleId="InfoBoldCyan">
    <w:name w:val="_InfoBoldCyan"/>
    <w:basedOn w:val="InfoBold"/>
    <w:next w:val="Info"/>
    <w:rsid w:val="00613733"/>
    <w:rPr>
      <w:color w:val="009EE0"/>
    </w:rPr>
  </w:style>
  <w:style w:type="paragraph" w:customStyle="1" w:styleId="ParaIntroCyan">
    <w:name w:val="_ParaIntroCyan"/>
    <w:basedOn w:val="ParaIndent"/>
    <w:next w:val="ParaIndent"/>
    <w:rsid w:val="00613733"/>
    <w:rPr>
      <w:color w:val="009EE0"/>
    </w:rPr>
  </w:style>
  <w:style w:type="paragraph" w:customStyle="1" w:styleId="PullQuote">
    <w:name w:val="_PullQuote"/>
    <w:basedOn w:val="ParaMargin"/>
    <w:uiPriority w:val="2"/>
    <w:semiHidden/>
    <w:rsid w:val="00613733"/>
    <w:rPr>
      <w:color w:val="FFFFFF"/>
    </w:rPr>
  </w:style>
  <w:style w:type="paragraph" w:customStyle="1" w:styleId="AlphaPoints">
    <w:name w:val="Alpha Points"/>
    <w:basedOn w:val="BodyText"/>
    <w:semiHidden/>
    <w:rsid w:val="00613733"/>
    <w:pPr>
      <w:numPr>
        <w:numId w:val="12"/>
      </w:numPr>
      <w:spacing w:after="180"/>
    </w:pPr>
  </w:style>
  <w:style w:type="paragraph" w:customStyle="1" w:styleId="BulletPoints">
    <w:name w:val="Bullet Points"/>
    <w:basedOn w:val="BodyText"/>
    <w:semiHidden/>
    <w:locked/>
    <w:rsid w:val="00613733"/>
    <w:pPr>
      <w:numPr>
        <w:numId w:val="14"/>
      </w:numPr>
    </w:pPr>
  </w:style>
  <w:style w:type="character" w:styleId="CommentReference">
    <w:name w:val="annotation reference"/>
    <w:basedOn w:val="DefaultParagraphFont"/>
    <w:semiHidden/>
    <w:locked/>
    <w:rsid w:val="00613733"/>
    <w:rPr>
      <w:sz w:val="16"/>
      <w:szCs w:val="16"/>
    </w:rPr>
  </w:style>
  <w:style w:type="paragraph" w:styleId="CommentText">
    <w:name w:val="annotation text"/>
    <w:basedOn w:val="Normal"/>
    <w:link w:val="CommentTextChar"/>
    <w:semiHidden/>
    <w:locked/>
    <w:rsid w:val="00613733"/>
  </w:style>
  <w:style w:type="paragraph" w:styleId="CommentSubject">
    <w:name w:val="annotation subject"/>
    <w:basedOn w:val="CommentText"/>
    <w:next w:val="CommentText"/>
    <w:semiHidden/>
    <w:locked/>
    <w:rsid w:val="00613733"/>
    <w:rPr>
      <w:b/>
      <w:bCs/>
    </w:rPr>
  </w:style>
  <w:style w:type="paragraph" w:styleId="DocumentMap">
    <w:name w:val="Document Map"/>
    <w:basedOn w:val="Normal"/>
    <w:semiHidden/>
    <w:locked/>
    <w:rsid w:val="00613733"/>
    <w:pPr>
      <w:shd w:val="clear" w:color="auto" w:fill="000080"/>
    </w:pPr>
    <w:rPr>
      <w:rFonts w:ascii="Tahoma" w:hAnsi="Tahoma" w:cs="Tahoma"/>
    </w:rPr>
  </w:style>
  <w:style w:type="character" w:styleId="EndnoteReference">
    <w:name w:val="endnote reference"/>
    <w:basedOn w:val="DefaultParagraphFont"/>
    <w:semiHidden/>
    <w:locked/>
    <w:rsid w:val="00613733"/>
    <w:rPr>
      <w:vertAlign w:val="superscript"/>
    </w:rPr>
  </w:style>
  <w:style w:type="paragraph" w:styleId="EndnoteText">
    <w:name w:val="endnote text"/>
    <w:basedOn w:val="Normal"/>
    <w:semiHidden/>
    <w:locked/>
    <w:rsid w:val="00613733"/>
    <w:rPr>
      <w:sz w:val="18"/>
    </w:rPr>
  </w:style>
  <w:style w:type="character" w:styleId="FootnoteReference">
    <w:name w:val="footnote reference"/>
    <w:basedOn w:val="DefaultParagraphFont"/>
    <w:semiHidden/>
    <w:locked/>
    <w:rsid w:val="00613733"/>
    <w:rPr>
      <w:vertAlign w:val="superscript"/>
    </w:rPr>
  </w:style>
  <w:style w:type="paragraph" w:styleId="FootnoteText">
    <w:name w:val="footnote text"/>
    <w:basedOn w:val="Normal"/>
    <w:semiHidden/>
    <w:locked/>
    <w:rsid w:val="00613733"/>
    <w:rPr>
      <w:sz w:val="18"/>
    </w:rPr>
  </w:style>
  <w:style w:type="paragraph" w:customStyle="1" w:styleId="Heading">
    <w:name w:val="Heading"/>
    <w:basedOn w:val="Normal"/>
    <w:next w:val="Header"/>
    <w:semiHidden/>
    <w:locked/>
    <w:rsid w:val="00613733"/>
    <w:pPr>
      <w:spacing w:before="120" w:after="120"/>
      <w:jc w:val="right"/>
    </w:pPr>
    <w:rPr>
      <w:sz w:val="40"/>
    </w:rPr>
  </w:style>
  <w:style w:type="paragraph" w:styleId="Index1">
    <w:name w:val="index 1"/>
    <w:basedOn w:val="Normal"/>
    <w:next w:val="Normal"/>
    <w:autoRedefine/>
    <w:semiHidden/>
    <w:locked/>
    <w:rsid w:val="00613733"/>
    <w:pPr>
      <w:ind w:left="200" w:hanging="200"/>
    </w:pPr>
  </w:style>
  <w:style w:type="paragraph" w:styleId="Index2">
    <w:name w:val="index 2"/>
    <w:basedOn w:val="Normal"/>
    <w:next w:val="Normal"/>
    <w:autoRedefine/>
    <w:semiHidden/>
    <w:locked/>
    <w:rsid w:val="00613733"/>
    <w:pPr>
      <w:ind w:left="400" w:hanging="200"/>
    </w:pPr>
  </w:style>
  <w:style w:type="paragraph" w:styleId="Index3">
    <w:name w:val="index 3"/>
    <w:basedOn w:val="Normal"/>
    <w:next w:val="Normal"/>
    <w:autoRedefine/>
    <w:semiHidden/>
    <w:locked/>
    <w:rsid w:val="00613733"/>
    <w:pPr>
      <w:ind w:left="600" w:hanging="200"/>
    </w:pPr>
  </w:style>
  <w:style w:type="paragraph" w:styleId="Index4">
    <w:name w:val="index 4"/>
    <w:basedOn w:val="Normal"/>
    <w:next w:val="Normal"/>
    <w:autoRedefine/>
    <w:semiHidden/>
    <w:locked/>
    <w:rsid w:val="00613733"/>
    <w:pPr>
      <w:ind w:left="800" w:hanging="200"/>
    </w:pPr>
  </w:style>
  <w:style w:type="paragraph" w:styleId="Index5">
    <w:name w:val="index 5"/>
    <w:basedOn w:val="Normal"/>
    <w:next w:val="Normal"/>
    <w:autoRedefine/>
    <w:semiHidden/>
    <w:locked/>
    <w:rsid w:val="00613733"/>
    <w:pPr>
      <w:ind w:left="1000" w:hanging="200"/>
    </w:pPr>
  </w:style>
  <w:style w:type="paragraph" w:styleId="Index6">
    <w:name w:val="index 6"/>
    <w:basedOn w:val="Normal"/>
    <w:next w:val="Normal"/>
    <w:autoRedefine/>
    <w:semiHidden/>
    <w:locked/>
    <w:rsid w:val="00613733"/>
    <w:pPr>
      <w:ind w:left="1200" w:hanging="200"/>
    </w:pPr>
  </w:style>
  <w:style w:type="paragraph" w:styleId="Index7">
    <w:name w:val="index 7"/>
    <w:basedOn w:val="Normal"/>
    <w:next w:val="Normal"/>
    <w:autoRedefine/>
    <w:semiHidden/>
    <w:locked/>
    <w:rsid w:val="00613733"/>
    <w:pPr>
      <w:ind w:left="1400" w:hanging="200"/>
    </w:pPr>
  </w:style>
  <w:style w:type="paragraph" w:styleId="Index8">
    <w:name w:val="index 8"/>
    <w:basedOn w:val="Normal"/>
    <w:next w:val="Normal"/>
    <w:autoRedefine/>
    <w:semiHidden/>
    <w:locked/>
    <w:rsid w:val="00613733"/>
    <w:pPr>
      <w:ind w:left="1600" w:hanging="200"/>
    </w:pPr>
  </w:style>
  <w:style w:type="paragraph" w:styleId="Index9">
    <w:name w:val="index 9"/>
    <w:basedOn w:val="Normal"/>
    <w:next w:val="Normal"/>
    <w:autoRedefine/>
    <w:semiHidden/>
    <w:locked/>
    <w:rsid w:val="00613733"/>
    <w:pPr>
      <w:ind w:left="1800" w:hanging="200"/>
    </w:pPr>
  </w:style>
  <w:style w:type="paragraph" w:styleId="IndexHeading">
    <w:name w:val="index heading"/>
    <w:basedOn w:val="Normal"/>
    <w:next w:val="Index1"/>
    <w:semiHidden/>
    <w:locked/>
    <w:rsid w:val="00613733"/>
    <w:rPr>
      <w:rFonts w:cs="Arial"/>
      <w:b/>
      <w:bCs/>
    </w:rPr>
  </w:style>
  <w:style w:type="paragraph" w:styleId="MacroText">
    <w:name w:val="macro"/>
    <w:semiHidden/>
    <w:locked/>
    <w:rsid w:val="00613733"/>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cs="Courier New"/>
      <w:lang w:val="en-GB" w:eastAsia="en-US"/>
    </w:rPr>
  </w:style>
  <w:style w:type="paragraph" w:customStyle="1" w:styleId="NumberPoints">
    <w:name w:val="Number Points"/>
    <w:basedOn w:val="Normal"/>
    <w:semiHidden/>
    <w:rsid w:val="00613733"/>
    <w:pPr>
      <w:numPr>
        <w:numId w:val="26"/>
      </w:numPr>
    </w:pPr>
  </w:style>
  <w:style w:type="paragraph" w:customStyle="1" w:styleId="TableHeading0">
    <w:name w:val="Table Heading"/>
    <w:basedOn w:val="Normal"/>
    <w:semiHidden/>
    <w:locked/>
    <w:rsid w:val="00613733"/>
    <w:pPr>
      <w:spacing w:before="60" w:after="60"/>
    </w:pPr>
    <w:rPr>
      <w:rFonts w:ascii="Arial Narrow" w:hAnsi="Arial Narrow"/>
      <w:b/>
    </w:rPr>
  </w:style>
  <w:style w:type="paragraph" w:styleId="TableofAuthorities">
    <w:name w:val="table of authorities"/>
    <w:basedOn w:val="Normal"/>
    <w:next w:val="Normal"/>
    <w:uiPriority w:val="2"/>
    <w:semiHidden/>
    <w:locked/>
    <w:rsid w:val="00613733"/>
    <w:pPr>
      <w:ind w:left="200" w:hanging="200"/>
    </w:pPr>
  </w:style>
  <w:style w:type="paragraph" w:styleId="TableofFigures">
    <w:name w:val="table of figures"/>
    <w:basedOn w:val="Normal"/>
    <w:next w:val="Normal"/>
    <w:uiPriority w:val="99"/>
    <w:locked/>
    <w:rsid w:val="00613733"/>
    <w:pPr>
      <w:tabs>
        <w:tab w:val="clear" w:pos="-567"/>
        <w:tab w:val="clear" w:pos="0"/>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639"/>
        <w:tab w:val="clear" w:pos="10206"/>
        <w:tab w:val="left" w:pos="1418"/>
        <w:tab w:val="right" w:leader="dot" w:pos="9072"/>
      </w:tabs>
      <w:spacing w:after="40"/>
    </w:pPr>
    <w:rPr>
      <w:noProof/>
      <w:sz w:val="18"/>
    </w:rPr>
  </w:style>
  <w:style w:type="paragraph" w:customStyle="1" w:styleId="TableText0">
    <w:name w:val="Table Text"/>
    <w:basedOn w:val="Normal"/>
    <w:semiHidden/>
    <w:locked/>
    <w:rsid w:val="00613733"/>
    <w:pPr>
      <w:spacing w:before="60" w:after="60"/>
    </w:pPr>
  </w:style>
  <w:style w:type="paragraph" w:styleId="TOAHeading">
    <w:name w:val="toa heading"/>
    <w:basedOn w:val="Normal"/>
    <w:next w:val="Normal"/>
    <w:semiHidden/>
    <w:locked/>
    <w:rsid w:val="00613733"/>
    <w:pPr>
      <w:spacing w:before="120"/>
    </w:pPr>
    <w:rPr>
      <w:rFonts w:cs="Arial"/>
      <w:b/>
      <w:bCs/>
      <w:sz w:val="24"/>
      <w:szCs w:val="24"/>
    </w:rPr>
  </w:style>
  <w:style w:type="paragraph" w:styleId="TOC5">
    <w:name w:val="toc 5"/>
    <w:basedOn w:val="Normal"/>
    <w:next w:val="Normal"/>
    <w:autoRedefine/>
    <w:semiHidden/>
    <w:locked/>
    <w:rsid w:val="00613733"/>
    <w:pPr>
      <w:ind w:left="800"/>
    </w:pPr>
  </w:style>
  <w:style w:type="paragraph" w:styleId="TOC6">
    <w:name w:val="toc 6"/>
    <w:basedOn w:val="Normal"/>
    <w:next w:val="Normal"/>
    <w:autoRedefine/>
    <w:semiHidden/>
    <w:locked/>
    <w:rsid w:val="00613733"/>
    <w:pPr>
      <w:ind w:left="1000"/>
    </w:pPr>
  </w:style>
  <w:style w:type="paragraph" w:styleId="TOC7">
    <w:name w:val="toc 7"/>
    <w:basedOn w:val="Normal"/>
    <w:next w:val="Normal"/>
    <w:autoRedefine/>
    <w:semiHidden/>
    <w:locked/>
    <w:rsid w:val="00613733"/>
    <w:pPr>
      <w:ind w:left="1200"/>
    </w:pPr>
  </w:style>
  <w:style w:type="paragraph" w:styleId="TOC8">
    <w:name w:val="toc 8"/>
    <w:basedOn w:val="Normal"/>
    <w:next w:val="Normal"/>
    <w:autoRedefine/>
    <w:semiHidden/>
    <w:locked/>
    <w:rsid w:val="00613733"/>
    <w:pPr>
      <w:ind w:left="1400"/>
    </w:pPr>
  </w:style>
  <w:style w:type="paragraph" w:styleId="TOC9">
    <w:name w:val="toc 9"/>
    <w:basedOn w:val="Normal"/>
    <w:next w:val="Normal"/>
    <w:autoRedefine/>
    <w:semiHidden/>
    <w:locked/>
    <w:rsid w:val="00613733"/>
    <w:pPr>
      <w:ind w:left="1600"/>
    </w:pPr>
  </w:style>
  <w:style w:type="paragraph" w:customStyle="1" w:styleId="PullQuoteBlue">
    <w:name w:val="_PullQuoteBlue"/>
    <w:basedOn w:val="ParaIndent"/>
    <w:uiPriority w:val="2"/>
    <w:semiHidden/>
    <w:rsid w:val="00613733"/>
    <w:pPr>
      <w:ind w:left="0"/>
    </w:pPr>
    <w:rPr>
      <w:color w:val="FFFFFF"/>
    </w:rPr>
  </w:style>
  <w:style w:type="paragraph" w:customStyle="1" w:styleId="PullQuoteGreen">
    <w:name w:val="_PullQuoteGreen"/>
    <w:basedOn w:val="ParaIndent"/>
    <w:uiPriority w:val="2"/>
    <w:semiHidden/>
    <w:rsid w:val="00613733"/>
    <w:pPr>
      <w:ind w:left="0"/>
    </w:pPr>
    <w:rPr>
      <w:color w:val="FFFFFF"/>
    </w:rPr>
  </w:style>
  <w:style w:type="character" w:styleId="BookTitle">
    <w:name w:val="Book Title"/>
    <w:basedOn w:val="DefaultParagraphFont"/>
    <w:uiPriority w:val="33"/>
    <w:semiHidden/>
    <w:qFormat/>
    <w:locked/>
    <w:rsid w:val="00613733"/>
    <w:rPr>
      <w:b/>
      <w:bCs/>
      <w:smallCaps/>
      <w:spacing w:val="5"/>
    </w:rPr>
  </w:style>
  <w:style w:type="character" w:styleId="IntenseEmphasis">
    <w:name w:val="Intense Emphasis"/>
    <w:basedOn w:val="DefaultParagraphFont"/>
    <w:uiPriority w:val="21"/>
    <w:semiHidden/>
    <w:qFormat/>
    <w:locked/>
    <w:rsid w:val="00613733"/>
    <w:rPr>
      <w:b/>
      <w:bCs/>
      <w:i/>
      <w:iCs/>
      <w:color w:val="4F81BD"/>
    </w:rPr>
  </w:style>
  <w:style w:type="paragraph" w:styleId="IntenseQuote">
    <w:name w:val="Intense Quote"/>
    <w:basedOn w:val="Normal"/>
    <w:next w:val="Normal"/>
    <w:link w:val="IntenseQuoteChar"/>
    <w:uiPriority w:val="30"/>
    <w:semiHidden/>
    <w:qFormat/>
    <w:locked/>
    <w:rsid w:val="006137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613733"/>
    <w:rPr>
      <w:b/>
      <w:bCs/>
      <w:i/>
      <w:iCs/>
      <w:color w:val="4F81BD"/>
    </w:rPr>
  </w:style>
  <w:style w:type="character" w:styleId="IntenseReference">
    <w:name w:val="Intense Reference"/>
    <w:basedOn w:val="DefaultParagraphFont"/>
    <w:uiPriority w:val="32"/>
    <w:semiHidden/>
    <w:qFormat/>
    <w:locked/>
    <w:rsid w:val="00613733"/>
    <w:rPr>
      <w:b/>
      <w:bCs/>
      <w:smallCaps/>
      <w:color w:val="C0504D"/>
      <w:spacing w:val="5"/>
      <w:u w:val="single"/>
    </w:rPr>
  </w:style>
  <w:style w:type="paragraph" w:styleId="ListParagraph">
    <w:name w:val="List Paragraph"/>
    <w:basedOn w:val="Normal"/>
    <w:uiPriority w:val="34"/>
    <w:qFormat/>
    <w:locked/>
    <w:rsid w:val="00613733"/>
    <w:pPr>
      <w:ind w:left="720"/>
      <w:contextualSpacing/>
    </w:pPr>
  </w:style>
  <w:style w:type="paragraph" w:styleId="NoSpacing">
    <w:name w:val="No Spacing"/>
    <w:basedOn w:val="ParaMargin"/>
    <w:link w:val="NoSpacingChar"/>
    <w:qFormat/>
    <w:rsid w:val="00613733"/>
    <w:pPr>
      <w:spacing w:after="0" w:line="240" w:lineRule="auto"/>
    </w:pPr>
    <w:rPr>
      <w:rFonts w:asciiTheme="minorHAnsi" w:hAnsiTheme="minorHAnsi"/>
      <w:color w:val="000000"/>
    </w:rPr>
  </w:style>
  <w:style w:type="character" w:styleId="PlaceholderText">
    <w:name w:val="Placeholder Text"/>
    <w:basedOn w:val="DefaultParagraphFont"/>
    <w:semiHidden/>
    <w:rsid w:val="00613733"/>
    <w:rPr>
      <w:rFonts w:cs="Times New Roman"/>
      <w:color w:val="808080"/>
    </w:rPr>
  </w:style>
  <w:style w:type="paragraph" w:customStyle="1" w:styleId="PSALevel10">
    <w:name w:val="PSALevel 1"/>
    <w:basedOn w:val="Normal"/>
    <w:semiHidden/>
    <w:locked/>
    <w:rsid w:val="00613733"/>
    <w:pPr>
      <w:keepNext/>
      <w:spacing w:before="20" w:after="20" w:line="240" w:lineRule="auto"/>
    </w:pPr>
    <w:rPr>
      <w:rFonts w:ascii="Arial Narrow" w:hAnsi="Arial Narrow"/>
      <w:b/>
      <w:bCs/>
      <w:sz w:val="18"/>
    </w:rPr>
  </w:style>
  <w:style w:type="paragraph" w:styleId="Quote">
    <w:name w:val="Quote"/>
    <w:basedOn w:val="Normal"/>
    <w:next w:val="Normal"/>
    <w:link w:val="QuoteChar"/>
    <w:uiPriority w:val="29"/>
    <w:semiHidden/>
    <w:qFormat/>
    <w:locked/>
    <w:rsid w:val="00613733"/>
    <w:rPr>
      <w:i/>
      <w:iCs/>
      <w:color w:val="000000"/>
    </w:rPr>
  </w:style>
  <w:style w:type="character" w:customStyle="1" w:styleId="QuoteChar">
    <w:name w:val="Quote Char"/>
    <w:basedOn w:val="DefaultParagraphFont"/>
    <w:link w:val="Quote"/>
    <w:uiPriority w:val="29"/>
    <w:semiHidden/>
    <w:rsid w:val="00613733"/>
    <w:rPr>
      <w:i/>
      <w:iCs/>
      <w:color w:val="000000"/>
    </w:rPr>
  </w:style>
  <w:style w:type="character" w:styleId="SubtleEmphasis">
    <w:name w:val="Subtle Emphasis"/>
    <w:basedOn w:val="DefaultParagraphFont"/>
    <w:uiPriority w:val="19"/>
    <w:semiHidden/>
    <w:qFormat/>
    <w:locked/>
    <w:rsid w:val="00613733"/>
    <w:rPr>
      <w:i/>
      <w:iCs/>
      <w:color w:val="808080"/>
    </w:rPr>
  </w:style>
  <w:style w:type="character" w:styleId="SubtleReference">
    <w:name w:val="Subtle Reference"/>
    <w:basedOn w:val="DefaultParagraphFont"/>
    <w:uiPriority w:val="31"/>
    <w:semiHidden/>
    <w:qFormat/>
    <w:locked/>
    <w:rsid w:val="00613733"/>
    <w:rPr>
      <w:smallCaps/>
      <w:color w:val="C0504D"/>
      <w:u w:val="single"/>
    </w:rPr>
  </w:style>
  <w:style w:type="paragraph" w:customStyle="1" w:styleId="ToC40">
    <w:name w:val="_ToC4"/>
    <w:basedOn w:val="ToC3"/>
    <w:rsid w:val="00613733"/>
    <w:pPr>
      <w:tabs>
        <w:tab w:val="clear" w:pos="1985"/>
        <w:tab w:val="left" w:pos="2835"/>
      </w:tabs>
      <w:ind w:left="2836"/>
    </w:pPr>
  </w:style>
  <w:style w:type="character" w:customStyle="1" w:styleId="ParaMarginChar">
    <w:name w:val="_ParaMargin Char"/>
    <w:basedOn w:val="DefaultParagraphFont"/>
    <w:link w:val="ParaMargin"/>
    <w:rsid w:val="00B1303D"/>
    <w:rPr>
      <w:lang w:val="en-GB"/>
    </w:rPr>
  </w:style>
  <w:style w:type="character" w:customStyle="1" w:styleId="Heading2Char">
    <w:name w:val="_Heading2 Char"/>
    <w:basedOn w:val="DefaultParagraphFont"/>
    <w:link w:val="Heading2"/>
    <w:rsid w:val="00613733"/>
    <w:rPr>
      <w:rFonts w:cs="Arial"/>
      <w:caps/>
      <w:color w:val="495F70"/>
      <w:sz w:val="36"/>
    </w:rPr>
  </w:style>
  <w:style w:type="paragraph" w:customStyle="1" w:styleId="Statement">
    <w:name w:val="Statement"/>
    <w:basedOn w:val="Normal"/>
    <w:link w:val="StatementChar"/>
    <w:semiHidden/>
    <w:locked/>
    <w:rsid w:val="00613733"/>
    <w:pPr>
      <w:tabs>
        <w:tab w:val="right" w:pos="10206"/>
      </w:tabs>
      <w:spacing w:after="60" w:line="240" w:lineRule="auto"/>
    </w:pPr>
    <w:rPr>
      <w:rFonts w:cs="Arial"/>
      <w:lang w:val="en-GB"/>
    </w:rPr>
  </w:style>
  <w:style w:type="character" w:customStyle="1" w:styleId="StatementChar">
    <w:name w:val="Statement Char"/>
    <w:basedOn w:val="DefaultParagraphFont"/>
    <w:link w:val="Statement"/>
    <w:semiHidden/>
    <w:rsid w:val="00613733"/>
    <w:rPr>
      <w:rFonts w:cs="Arial"/>
      <w:lang w:val="en-GB"/>
    </w:rPr>
  </w:style>
  <w:style w:type="paragraph" w:customStyle="1" w:styleId="PSAFooter">
    <w:name w:val="_PSAFooter"/>
    <w:basedOn w:val="NoSpacing"/>
    <w:uiPriority w:val="2"/>
    <w:semiHidden/>
    <w:rsid w:val="00613733"/>
    <w:pPr>
      <w:spacing w:before="20"/>
    </w:pPr>
    <w:rPr>
      <w:rFonts w:cs="Arial"/>
      <w:sz w:val="16"/>
    </w:rPr>
  </w:style>
  <w:style w:type="paragraph" w:customStyle="1" w:styleId="PSAHeader">
    <w:name w:val="_PSAHeader"/>
    <w:basedOn w:val="NoSpacing"/>
    <w:uiPriority w:val="2"/>
    <w:semiHidden/>
    <w:rsid w:val="00613733"/>
    <w:pPr>
      <w:tabs>
        <w:tab w:val="center" w:pos="4320"/>
        <w:tab w:val="right" w:pos="8640"/>
      </w:tabs>
      <w:spacing w:before="40"/>
    </w:pPr>
    <w:rPr>
      <w:rFonts w:cstheme="minorHAnsi"/>
      <w:bCs/>
      <w:sz w:val="18"/>
    </w:rPr>
  </w:style>
  <w:style w:type="paragraph" w:customStyle="1" w:styleId="PSAHeading1">
    <w:name w:val="_PSAHeading 1"/>
    <w:basedOn w:val="NoSpacing"/>
    <w:uiPriority w:val="2"/>
    <w:semiHidden/>
    <w:rsid w:val="00613733"/>
    <w:pPr>
      <w:spacing w:after="120"/>
    </w:pPr>
    <w:rPr>
      <w:rFonts w:ascii="Arial Narrow" w:hAnsi="Arial Narrow" w:cstheme="minorHAnsi"/>
      <w:b/>
      <w:bCs/>
      <w:sz w:val="28"/>
    </w:rPr>
  </w:style>
  <w:style w:type="paragraph" w:customStyle="1" w:styleId="PSAHeading2">
    <w:name w:val="_PSAHeading 2"/>
    <w:basedOn w:val="NoSpacing"/>
    <w:uiPriority w:val="2"/>
    <w:semiHidden/>
    <w:rsid w:val="00613733"/>
    <w:pPr>
      <w:spacing w:before="20" w:after="20"/>
    </w:pPr>
    <w:rPr>
      <w:rFonts w:ascii="Arial Narrow" w:hAnsi="Arial Narrow" w:cstheme="minorHAnsi"/>
      <w:b/>
      <w:bCs/>
      <w:sz w:val="18"/>
    </w:rPr>
  </w:style>
  <w:style w:type="paragraph" w:customStyle="1" w:styleId="PSAIndent">
    <w:name w:val="_PSAIndent"/>
    <w:basedOn w:val="NoSpacing"/>
    <w:uiPriority w:val="2"/>
    <w:semiHidden/>
    <w:rsid w:val="00613733"/>
    <w:pPr>
      <w:spacing w:before="20" w:after="20"/>
      <w:ind w:left="397"/>
    </w:pPr>
    <w:rPr>
      <w:rFonts w:ascii="Arial Narrow" w:hAnsi="Arial Narrow" w:cstheme="minorHAnsi"/>
      <w:sz w:val="18"/>
    </w:rPr>
  </w:style>
  <w:style w:type="paragraph" w:customStyle="1" w:styleId="PSALevel1">
    <w:name w:val="_PSALevel 1"/>
    <w:basedOn w:val="NoSpacing"/>
    <w:uiPriority w:val="2"/>
    <w:semiHidden/>
    <w:rsid w:val="00613733"/>
    <w:pPr>
      <w:keepNext/>
      <w:numPr>
        <w:numId w:val="6"/>
      </w:numPr>
      <w:spacing w:before="20" w:after="20"/>
    </w:pPr>
    <w:rPr>
      <w:rFonts w:ascii="Arial Narrow" w:hAnsi="Arial Narrow" w:cstheme="minorHAnsi"/>
      <w:b/>
      <w:bCs/>
      <w:sz w:val="18"/>
    </w:rPr>
  </w:style>
  <w:style w:type="paragraph" w:customStyle="1" w:styleId="PSALevel2">
    <w:name w:val="_PSALevel 2"/>
    <w:basedOn w:val="NoSpacing"/>
    <w:uiPriority w:val="2"/>
    <w:semiHidden/>
    <w:rsid w:val="00613733"/>
    <w:pPr>
      <w:spacing w:before="20" w:after="20"/>
      <w:ind w:left="794" w:hanging="397"/>
    </w:pPr>
    <w:rPr>
      <w:rFonts w:ascii="Arial Narrow" w:hAnsi="Arial Narrow" w:cstheme="minorHAnsi"/>
      <w:sz w:val="18"/>
    </w:rPr>
  </w:style>
  <w:style w:type="paragraph" w:customStyle="1" w:styleId="PSALevel3">
    <w:name w:val="_PSALevel 3"/>
    <w:basedOn w:val="PSALevel2"/>
    <w:uiPriority w:val="2"/>
    <w:semiHidden/>
    <w:rsid w:val="00613733"/>
    <w:pPr>
      <w:ind w:left="1191"/>
    </w:pPr>
  </w:style>
  <w:style w:type="paragraph" w:customStyle="1" w:styleId="PSALevel4">
    <w:name w:val="_PSALevel 4"/>
    <w:basedOn w:val="PSALevel2"/>
    <w:uiPriority w:val="2"/>
    <w:semiHidden/>
    <w:rsid w:val="00613733"/>
    <w:pPr>
      <w:ind w:left="1588"/>
    </w:pPr>
  </w:style>
  <w:style w:type="paragraph" w:customStyle="1" w:styleId="PSANormal">
    <w:name w:val="_PSANormal"/>
    <w:basedOn w:val="NoSpacing"/>
    <w:uiPriority w:val="2"/>
    <w:semiHidden/>
    <w:rsid w:val="00613733"/>
    <w:pPr>
      <w:tabs>
        <w:tab w:val="left" w:pos="397"/>
        <w:tab w:val="left" w:pos="794"/>
        <w:tab w:val="left" w:pos="1191"/>
        <w:tab w:val="left" w:pos="1588"/>
      </w:tabs>
      <w:spacing w:before="20" w:after="20"/>
    </w:pPr>
    <w:rPr>
      <w:rFonts w:ascii="Arial Narrow" w:hAnsi="Arial Narrow" w:cstheme="minorHAnsi"/>
      <w:sz w:val="18"/>
    </w:rPr>
  </w:style>
  <w:style w:type="paragraph" w:customStyle="1" w:styleId="PSANormalHanging">
    <w:name w:val="_PSANormalHanging"/>
    <w:basedOn w:val="PSANormal"/>
    <w:uiPriority w:val="2"/>
    <w:semiHidden/>
    <w:rsid w:val="00613733"/>
    <w:pPr>
      <w:ind w:left="397" w:hanging="397"/>
    </w:pPr>
  </w:style>
  <w:style w:type="paragraph" w:customStyle="1" w:styleId="PSAVersion">
    <w:name w:val="_PSAVersion"/>
    <w:basedOn w:val="PSANormal"/>
    <w:uiPriority w:val="2"/>
    <w:semiHidden/>
    <w:rsid w:val="00613733"/>
    <w:pPr>
      <w:jc w:val="right"/>
    </w:pPr>
    <w:rPr>
      <w:color w:val="999999"/>
      <w:sz w:val="14"/>
    </w:rPr>
  </w:style>
  <w:style w:type="table" w:customStyle="1" w:styleId="HyderTableStyle">
    <w:name w:val="_Hyder Table Style"/>
    <w:basedOn w:val="TableNormal"/>
    <w:uiPriority w:val="99"/>
    <w:rsid w:val="00601359"/>
    <w:pPr>
      <w:spacing w:before="60" w:after="60" w:line="260" w:lineRule="atLeast"/>
    </w:pPr>
    <w:rPr>
      <w:sz w:val="18"/>
    </w:r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85" w:type="dxa"/>
        <w:bottom w:w="0" w:type="dxa"/>
        <w:right w:w="85" w:type="dxa"/>
      </w:tblCellMar>
    </w:tblPr>
    <w:trPr>
      <w:cantSplit/>
    </w:trPr>
    <w:tcPr>
      <w:shd w:val="clear" w:color="auto" w:fill="DDDDDD"/>
    </w:tcPr>
    <w:tblStylePr w:type="firstRow">
      <w:pPr>
        <w:keepNext/>
        <w:wordWrap/>
      </w:pPr>
      <w:rPr>
        <w:rFonts w:ascii="Arial" w:hAnsi="Arial"/>
        <w:b w:val="0"/>
        <w:i w:val="0"/>
        <w:color w:val="FFFFFF" w:themeColor="background1"/>
        <w:sz w:val="18"/>
      </w:rPr>
      <w:tblPr/>
      <w:trPr>
        <w:tblHeader/>
      </w:trPr>
      <w:tcPr>
        <w:shd w:val="clear" w:color="auto" w:fill="495F70"/>
      </w:tcPr>
    </w:tblStylePr>
  </w:style>
  <w:style w:type="paragraph" w:customStyle="1" w:styleId="Statement0">
    <w:name w:val="_Statement"/>
    <w:basedOn w:val="Normal"/>
    <w:link w:val="StatementChar0"/>
    <w:rsid w:val="00613733"/>
    <w:pPr>
      <w:tabs>
        <w:tab w:val="right" w:pos="10206"/>
      </w:tabs>
      <w:spacing w:after="60" w:line="240" w:lineRule="auto"/>
    </w:pPr>
    <w:rPr>
      <w:rFonts w:cs="Arial"/>
      <w:lang w:val="en-GB"/>
    </w:rPr>
  </w:style>
  <w:style w:type="character" w:customStyle="1" w:styleId="StatementChar0">
    <w:name w:val="_Statement Char"/>
    <w:basedOn w:val="DefaultParagraphFont"/>
    <w:link w:val="Statement0"/>
    <w:rsid w:val="00613733"/>
    <w:rPr>
      <w:rFonts w:cs="Arial"/>
      <w:lang w:val="en-GB"/>
    </w:rPr>
  </w:style>
  <w:style w:type="paragraph" w:customStyle="1" w:styleId="CalloutText">
    <w:name w:val="_CalloutText"/>
    <w:basedOn w:val="Normal"/>
    <w:qFormat/>
    <w:rsid w:val="00845370"/>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60" w:after="60" w:line="240" w:lineRule="auto"/>
      <w:jc w:val="center"/>
    </w:pPr>
    <w:rPr>
      <w:color w:val="495F70"/>
      <w:sz w:val="18"/>
    </w:rPr>
  </w:style>
  <w:style w:type="paragraph" w:customStyle="1" w:styleId="FootnoteSeparator">
    <w:name w:val="_FootnoteSeparator"/>
    <w:basedOn w:val="ParaMargin"/>
    <w:qFormat/>
    <w:rsid w:val="00613733"/>
    <w:pPr>
      <w:spacing w:after="0" w:line="240" w:lineRule="auto"/>
    </w:pPr>
    <w:rPr>
      <w:sz w:val="16"/>
      <w:szCs w:val="16"/>
      <w:lang w:val="en-AU"/>
    </w:rPr>
  </w:style>
  <w:style w:type="paragraph" w:customStyle="1" w:styleId="LUMPSUMClacNonGST">
    <w:name w:val="_LUMPSUMClacNonGST"/>
    <w:basedOn w:val="ParaMargin"/>
    <w:semiHidden/>
    <w:rsid w:val="00613733"/>
    <w:pPr>
      <w:tabs>
        <w:tab w:val="right" w:pos="10206"/>
      </w:tabs>
      <w:spacing w:after="60"/>
    </w:pPr>
    <w:rPr>
      <w:rFonts w:cs="Arial"/>
      <w:lang w:eastAsia="en-US"/>
    </w:rPr>
  </w:style>
  <w:style w:type="paragraph" w:customStyle="1" w:styleId="ParaQuote">
    <w:name w:val="_ParaQuote"/>
    <w:basedOn w:val="ParaMargin"/>
    <w:next w:val="ParaIndent"/>
    <w:qFormat/>
    <w:rsid w:val="00613733"/>
    <w:pPr>
      <w:spacing w:after="120" w:line="280" w:lineRule="atLeast"/>
      <w:ind w:left="567" w:right="567"/>
    </w:pPr>
    <w:rPr>
      <w:i/>
      <w:sz w:val="18"/>
      <w:szCs w:val="18"/>
    </w:rPr>
  </w:style>
  <w:style w:type="paragraph" w:customStyle="1" w:styleId="ParaQuoteIndent">
    <w:name w:val="_ParaQuoteIndent"/>
    <w:basedOn w:val="ParaIndent"/>
    <w:next w:val="ParaIndent"/>
    <w:qFormat/>
    <w:rsid w:val="00613733"/>
    <w:pPr>
      <w:spacing w:after="120" w:line="280" w:lineRule="atLeast"/>
      <w:ind w:left="1701" w:right="567"/>
    </w:pPr>
    <w:rPr>
      <w:i/>
      <w:sz w:val="18"/>
      <w:szCs w:val="18"/>
    </w:rPr>
  </w:style>
  <w:style w:type="paragraph" w:customStyle="1" w:styleId="ParaSource">
    <w:name w:val="_ParaSource"/>
    <w:basedOn w:val="ParaMargin"/>
    <w:next w:val="ParaIndent"/>
    <w:rsid w:val="00613733"/>
    <w:pPr>
      <w:spacing w:after="120"/>
    </w:pPr>
    <w:rPr>
      <w:sz w:val="16"/>
    </w:rPr>
  </w:style>
  <w:style w:type="character" w:customStyle="1" w:styleId="NoSpacingChar">
    <w:name w:val="No Spacing Char"/>
    <w:basedOn w:val="DefaultParagraphFont"/>
    <w:link w:val="NoSpacing"/>
    <w:rsid w:val="00613733"/>
    <w:rPr>
      <w:rFonts w:asciiTheme="minorHAnsi" w:hAnsiTheme="minorHAnsi"/>
      <w:color w:val="000000"/>
      <w:lang w:val="en-GB"/>
    </w:rPr>
  </w:style>
  <w:style w:type="paragraph" w:customStyle="1" w:styleId="TableHeadingWhite">
    <w:name w:val="_TableHeadingWhite"/>
    <w:basedOn w:val="TableHeading"/>
    <w:qFormat/>
    <w:rsid w:val="00613733"/>
    <w:rPr>
      <w:color w:val="FFFFFF" w:themeColor="background1"/>
    </w:rPr>
  </w:style>
  <w:style w:type="character" w:customStyle="1" w:styleId="Heading4Char">
    <w:name w:val="Heading 4 Char"/>
    <w:basedOn w:val="DefaultParagraphFont"/>
    <w:link w:val="Heading4"/>
    <w:rsid w:val="00613733"/>
    <w:rPr>
      <w:sz w:val="28"/>
      <w:lang w:eastAsia="en-US"/>
    </w:rPr>
  </w:style>
  <w:style w:type="character" w:customStyle="1" w:styleId="Heading4Char0">
    <w:name w:val="_Heading4 Char"/>
    <w:basedOn w:val="Heading4Char"/>
    <w:link w:val="Heading40"/>
    <w:rsid w:val="0089119A"/>
    <w:rPr>
      <w:rFonts w:cs="Arial"/>
      <w:color w:val="495F70"/>
      <w:sz w:val="28"/>
      <w:lang w:eastAsia="en-US"/>
    </w:rPr>
  </w:style>
  <w:style w:type="table" w:customStyle="1" w:styleId="HyderBlank">
    <w:name w:val="_Hyder Blank"/>
    <w:basedOn w:val="TableNormal"/>
    <w:uiPriority w:val="99"/>
    <w:rsid w:val="00601359"/>
    <w:tblPr>
      <w:tblInd w:w="0" w:type="dxa"/>
      <w:tblCellMar>
        <w:top w:w="0" w:type="dxa"/>
        <w:left w:w="57" w:type="dxa"/>
        <w:bottom w:w="0" w:type="dxa"/>
        <w:right w:w="57" w:type="dxa"/>
      </w:tblCellMar>
    </w:tblPr>
  </w:style>
  <w:style w:type="table" w:customStyle="1" w:styleId="HyderPlain">
    <w:name w:val="_Hyder Plain"/>
    <w:basedOn w:val="TableNormal"/>
    <w:uiPriority w:val="99"/>
    <w:rsid w:val="00601359"/>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CellMar>
        <w:top w:w="0" w:type="dxa"/>
        <w:left w:w="57" w:type="dxa"/>
        <w:bottom w:w="0" w:type="dxa"/>
        <w:right w:w="57" w:type="dxa"/>
      </w:tblCellMar>
    </w:tblPr>
  </w:style>
  <w:style w:type="table" w:customStyle="1" w:styleId="HyderTableStyleBlue">
    <w:name w:val="_Hyder Table Style Blue"/>
    <w:basedOn w:val="TableNormal"/>
    <w:uiPriority w:val="99"/>
    <w:rsid w:val="003C7154"/>
    <w:pPr>
      <w:spacing w:before="60" w:after="60" w:line="260" w:lineRule="atLeast"/>
    </w:pPr>
    <w:rPr>
      <w:sz w:val="18"/>
    </w:rPr>
    <w:tblPr>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rPr>
      <w:cantSplit/>
    </w:trPr>
    <w:tblStylePr w:type="firstRow">
      <w:rPr>
        <w:rFonts w:ascii="Arial" w:hAnsi="Arial"/>
        <w:color w:val="FFFFFF" w:themeColor="background1"/>
        <w:sz w:val="18"/>
      </w:rPr>
      <w:tblPr/>
      <w:tcPr>
        <w:shd w:val="clear" w:color="auto" w:fill="00519E"/>
      </w:tcPr>
    </w:tblStylePr>
  </w:style>
  <w:style w:type="table" w:customStyle="1" w:styleId="HyderTableStyle1">
    <w:name w:val="_Hyder Table Style1"/>
    <w:basedOn w:val="TableNormal"/>
    <w:uiPriority w:val="99"/>
    <w:rsid w:val="00F74A5B"/>
    <w:pPr>
      <w:spacing w:before="60" w:after="60" w:line="260" w:lineRule="atLeast"/>
    </w:pPr>
    <w:rPr>
      <w:sz w:val="18"/>
    </w:r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85" w:type="dxa"/>
        <w:bottom w:w="0" w:type="dxa"/>
        <w:right w:w="85" w:type="dxa"/>
      </w:tblCellMar>
    </w:tblPr>
    <w:trPr>
      <w:cantSplit/>
    </w:trPr>
    <w:tcPr>
      <w:shd w:val="clear" w:color="auto" w:fill="DDDDDD"/>
    </w:tcPr>
    <w:tblStylePr w:type="firstRow">
      <w:pPr>
        <w:keepNext/>
        <w:wordWrap/>
      </w:pPr>
      <w:rPr>
        <w:rFonts w:ascii="Arial" w:hAnsi="Arial"/>
        <w:b w:val="0"/>
        <w:i w:val="0"/>
        <w:color w:val="FFFFFF" w:themeColor="background1"/>
        <w:sz w:val="18"/>
      </w:rPr>
      <w:tblPr/>
      <w:trPr>
        <w:tblHeader/>
      </w:trPr>
      <w:tcPr>
        <w:shd w:val="clear" w:color="auto" w:fill="495F70"/>
      </w:tcPr>
    </w:tblStylePr>
  </w:style>
  <w:style w:type="table" w:customStyle="1" w:styleId="HyderTableStyle2">
    <w:name w:val="_Hyder Table Style2"/>
    <w:basedOn w:val="TableNormal"/>
    <w:uiPriority w:val="99"/>
    <w:rsid w:val="00F74A5B"/>
    <w:pPr>
      <w:spacing w:before="60" w:after="60" w:line="260" w:lineRule="atLeast"/>
    </w:pPr>
    <w:rPr>
      <w:sz w:val="18"/>
    </w:r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85" w:type="dxa"/>
        <w:bottom w:w="0" w:type="dxa"/>
        <w:right w:w="85" w:type="dxa"/>
      </w:tblCellMar>
    </w:tblPr>
    <w:trPr>
      <w:cantSplit/>
    </w:trPr>
    <w:tcPr>
      <w:shd w:val="clear" w:color="auto" w:fill="DDDDDD"/>
    </w:tcPr>
    <w:tblStylePr w:type="firstRow">
      <w:pPr>
        <w:keepNext/>
        <w:wordWrap/>
      </w:pPr>
      <w:rPr>
        <w:rFonts w:ascii="Arial" w:hAnsi="Arial"/>
        <w:b w:val="0"/>
        <w:i w:val="0"/>
        <w:color w:val="FFFFFF" w:themeColor="background1"/>
        <w:sz w:val="18"/>
      </w:rPr>
      <w:tblPr/>
      <w:trPr>
        <w:tblHeader/>
      </w:trPr>
      <w:tcPr>
        <w:shd w:val="clear" w:color="auto" w:fill="495F70"/>
      </w:tcPr>
    </w:tblStylePr>
  </w:style>
  <w:style w:type="table" w:customStyle="1" w:styleId="HyderTableStyle3">
    <w:name w:val="_Hyder Table Style3"/>
    <w:basedOn w:val="TableNormal"/>
    <w:uiPriority w:val="99"/>
    <w:rsid w:val="00D12992"/>
    <w:pPr>
      <w:spacing w:before="60" w:after="60" w:line="260" w:lineRule="atLeast"/>
    </w:pPr>
    <w:rPr>
      <w:sz w:val="18"/>
    </w:r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85" w:type="dxa"/>
        <w:bottom w:w="0" w:type="dxa"/>
        <w:right w:w="85" w:type="dxa"/>
      </w:tblCellMar>
    </w:tblPr>
    <w:trPr>
      <w:cantSplit/>
    </w:trPr>
    <w:tcPr>
      <w:shd w:val="clear" w:color="auto" w:fill="DDDDDD"/>
    </w:tcPr>
    <w:tblStylePr w:type="firstRow">
      <w:pPr>
        <w:keepNext/>
        <w:wordWrap/>
      </w:pPr>
      <w:rPr>
        <w:rFonts w:ascii="Arial" w:hAnsi="Arial"/>
        <w:b w:val="0"/>
        <w:i w:val="0"/>
        <w:color w:val="FFFFFF" w:themeColor="background1"/>
        <w:sz w:val="18"/>
      </w:rPr>
      <w:tblPr/>
      <w:trPr>
        <w:tblHeader/>
      </w:trPr>
      <w:tcPr>
        <w:shd w:val="clear" w:color="auto" w:fill="495F70"/>
      </w:tcPr>
    </w:tblStylePr>
  </w:style>
  <w:style w:type="table" w:customStyle="1" w:styleId="HyderTableStyle11">
    <w:name w:val="_Hyder Table Style11"/>
    <w:basedOn w:val="TableNormal"/>
    <w:uiPriority w:val="99"/>
    <w:rsid w:val="001E645D"/>
    <w:pPr>
      <w:spacing w:before="60" w:after="60" w:line="260" w:lineRule="atLeast"/>
    </w:pPr>
    <w:rPr>
      <w:sz w:val="18"/>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85" w:type="dxa"/>
        <w:bottom w:w="0" w:type="dxa"/>
        <w:right w:w="85" w:type="dxa"/>
      </w:tblCellMar>
    </w:tblPr>
    <w:trPr>
      <w:cantSplit/>
    </w:trPr>
    <w:tcPr>
      <w:shd w:val="clear" w:color="auto" w:fill="DDDDDD"/>
    </w:tcPr>
    <w:tblStylePr w:type="firstRow">
      <w:pPr>
        <w:keepNext/>
        <w:wordWrap/>
      </w:pPr>
      <w:rPr>
        <w:rFonts w:ascii="Arial" w:hAnsi="Arial"/>
        <w:b w:val="0"/>
        <w:i w:val="0"/>
        <w:color w:val="FFFFFF"/>
        <w:sz w:val="18"/>
      </w:rPr>
      <w:tblPr/>
      <w:trPr>
        <w:tblHeader/>
      </w:trPr>
      <w:tcPr>
        <w:shd w:val="clear" w:color="auto" w:fill="495F70"/>
      </w:tcPr>
    </w:tblStylePr>
  </w:style>
  <w:style w:type="character" w:customStyle="1" w:styleId="Heading1Char">
    <w:name w:val="Heading 1 Char"/>
    <w:basedOn w:val="DefaultParagraphFont"/>
    <w:link w:val="Heading10"/>
    <w:uiPriority w:val="9"/>
    <w:rsid w:val="00845709"/>
    <w:rPr>
      <w:rFonts w:ascii="Arial Narrow" w:hAnsi="Arial Narrow"/>
      <w:kern w:val="28"/>
      <w:sz w:val="40"/>
    </w:rPr>
  </w:style>
  <w:style w:type="paragraph" w:styleId="Bibliography">
    <w:name w:val="Bibliography"/>
    <w:basedOn w:val="Normal"/>
    <w:next w:val="Normal"/>
    <w:uiPriority w:val="37"/>
    <w:unhideWhenUsed/>
    <w:locked/>
    <w:rsid w:val="00845709"/>
  </w:style>
  <w:style w:type="paragraph" w:styleId="Revision">
    <w:name w:val="Revision"/>
    <w:hidden/>
    <w:uiPriority w:val="99"/>
    <w:semiHidden/>
    <w:rsid w:val="00B468A5"/>
  </w:style>
  <w:style w:type="character" w:customStyle="1" w:styleId="CommentTextChar">
    <w:name w:val="Comment Text Char"/>
    <w:basedOn w:val="DefaultParagraphFont"/>
    <w:link w:val="CommentText"/>
    <w:semiHidden/>
    <w:rsid w:val="001C5BE4"/>
  </w:style>
  <w:style w:type="table" w:customStyle="1" w:styleId="TableGrid10">
    <w:name w:val="Table Grid1"/>
    <w:basedOn w:val="TableNormal"/>
    <w:next w:val="TableGrid"/>
    <w:uiPriority w:val="39"/>
    <w:rsid w:val="001C5BE4"/>
    <w:pPr>
      <w:spacing w:after="18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yderTableStyle12">
    <w:name w:val="_Hyder Table Style12"/>
    <w:basedOn w:val="TableNormal"/>
    <w:uiPriority w:val="99"/>
    <w:rsid w:val="006A3F36"/>
    <w:pPr>
      <w:spacing w:before="60" w:after="60" w:line="260" w:lineRule="atLeast"/>
    </w:pPr>
    <w:rPr>
      <w:sz w:val="18"/>
    </w:r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85" w:type="dxa"/>
        <w:bottom w:w="0" w:type="dxa"/>
        <w:right w:w="85" w:type="dxa"/>
      </w:tblCellMar>
    </w:tblPr>
    <w:trPr>
      <w:cantSplit/>
    </w:trPr>
    <w:tcPr>
      <w:shd w:val="clear" w:color="auto" w:fill="DDDDDD"/>
    </w:tcPr>
    <w:tblStylePr w:type="firstRow">
      <w:pPr>
        <w:keepNext/>
        <w:wordWrap/>
      </w:pPr>
      <w:rPr>
        <w:rFonts w:ascii="Arial" w:hAnsi="Arial"/>
        <w:b w:val="0"/>
        <w:i w:val="0"/>
        <w:color w:val="FFFFFF" w:themeColor="background1"/>
        <w:sz w:val="18"/>
      </w:rPr>
      <w:tblPr/>
      <w:trPr>
        <w:tblHeader/>
      </w:trPr>
      <w:tcPr>
        <w:shd w:val="clear" w:color="auto" w:fill="495F70"/>
      </w:tcPr>
    </w:tblStylePr>
  </w:style>
  <w:style w:type="table" w:customStyle="1" w:styleId="HyderTableStyle4">
    <w:name w:val="_Hyder Table Style4"/>
    <w:basedOn w:val="TableNormal"/>
    <w:uiPriority w:val="99"/>
    <w:rsid w:val="00596D62"/>
    <w:pPr>
      <w:spacing w:before="60" w:after="60" w:line="260" w:lineRule="atLeast"/>
    </w:pPr>
    <w:rPr>
      <w:sz w:val="18"/>
    </w:r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85" w:type="dxa"/>
        <w:bottom w:w="0" w:type="dxa"/>
        <w:right w:w="85" w:type="dxa"/>
      </w:tblCellMar>
    </w:tblPr>
    <w:trPr>
      <w:cantSplit/>
    </w:trPr>
    <w:tcPr>
      <w:shd w:val="clear" w:color="auto" w:fill="DDDDDD"/>
    </w:tcPr>
    <w:tblStylePr w:type="firstRow">
      <w:pPr>
        <w:keepNext/>
        <w:wordWrap/>
      </w:pPr>
      <w:rPr>
        <w:rFonts w:ascii="Arial" w:hAnsi="Arial"/>
        <w:b w:val="0"/>
        <w:i w:val="0"/>
        <w:color w:val="FFFFFF" w:themeColor="background1"/>
        <w:sz w:val="18"/>
      </w:rPr>
      <w:tblPr/>
      <w:trPr>
        <w:tblHeader/>
      </w:trPr>
      <w:tcPr>
        <w:shd w:val="clear" w:color="auto" w:fill="495F70"/>
      </w:tcPr>
    </w:tblStylePr>
  </w:style>
</w:styles>
</file>

<file path=word/webSettings.xml><?xml version="1.0" encoding="utf-8"?>
<w:webSettings xmlns:r="http://schemas.openxmlformats.org/officeDocument/2006/relationships" xmlns:w="http://schemas.openxmlformats.org/wordprocessingml/2006/main">
  <w:divs>
    <w:div w:id="6562280">
      <w:bodyDiv w:val="1"/>
      <w:marLeft w:val="0"/>
      <w:marRight w:val="0"/>
      <w:marTop w:val="0"/>
      <w:marBottom w:val="0"/>
      <w:divBdr>
        <w:top w:val="none" w:sz="0" w:space="0" w:color="auto"/>
        <w:left w:val="none" w:sz="0" w:space="0" w:color="auto"/>
        <w:bottom w:val="none" w:sz="0" w:space="0" w:color="auto"/>
        <w:right w:val="none" w:sz="0" w:space="0" w:color="auto"/>
      </w:divBdr>
    </w:div>
    <w:div w:id="501969556">
      <w:bodyDiv w:val="1"/>
      <w:marLeft w:val="0"/>
      <w:marRight w:val="0"/>
      <w:marTop w:val="0"/>
      <w:marBottom w:val="0"/>
      <w:divBdr>
        <w:top w:val="none" w:sz="0" w:space="0" w:color="auto"/>
        <w:left w:val="none" w:sz="0" w:space="0" w:color="auto"/>
        <w:bottom w:val="none" w:sz="0" w:space="0" w:color="auto"/>
        <w:right w:val="none" w:sz="0" w:space="0" w:color="auto"/>
      </w:divBdr>
    </w:div>
    <w:div w:id="553471124">
      <w:bodyDiv w:val="1"/>
      <w:marLeft w:val="0"/>
      <w:marRight w:val="0"/>
      <w:marTop w:val="0"/>
      <w:marBottom w:val="0"/>
      <w:divBdr>
        <w:top w:val="none" w:sz="0" w:space="0" w:color="auto"/>
        <w:left w:val="none" w:sz="0" w:space="0" w:color="auto"/>
        <w:bottom w:val="none" w:sz="0" w:space="0" w:color="auto"/>
        <w:right w:val="none" w:sz="0" w:space="0" w:color="auto"/>
      </w:divBdr>
    </w:div>
    <w:div w:id="588202563">
      <w:bodyDiv w:val="1"/>
      <w:marLeft w:val="0"/>
      <w:marRight w:val="0"/>
      <w:marTop w:val="0"/>
      <w:marBottom w:val="0"/>
      <w:divBdr>
        <w:top w:val="none" w:sz="0" w:space="0" w:color="auto"/>
        <w:left w:val="none" w:sz="0" w:space="0" w:color="auto"/>
        <w:bottom w:val="none" w:sz="0" w:space="0" w:color="auto"/>
        <w:right w:val="none" w:sz="0" w:space="0" w:color="auto"/>
      </w:divBdr>
    </w:div>
    <w:div w:id="778597653">
      <w:bodyDiv w:val="1"/>
      <w:marLeft w:val="0"/>
      <w:marRight w:val="0"/>
      <w:marTop w:val="0"/>
      <w:marBottom w:val="0"/>
      <w:divBdr>
        <w:top w:val="none" w:sz="0" w:space="0" w:color="auto"/>
        <w:left w:val="none" w:sz="0" w:space="0" w:color="auto"/>
        <w:bottom w:val="none" w:sz="0" w:space="0" w:color="auto"/>
        <w:right w:val="none" w:sz="0" w:space="0" w:color="auto"/>
      </w:divBdr>
    </w:div>
    <w:div w:id="908542332">
      <w:bodyDiv w:val="1"/>
      <w:marLeft w:val="0"/>
      <w:marRight w:val="0"/>
      <w:marTop w:val="0"/>
      <w:marBottom w:val="0"/>
      <w:divBdr>
        <w:top w:val="none" w:sz="0" w:space="0" w:color="auto"/>
        <w:left w:val="none" w:sz="0" w:space="0" w:color="auto"/>
        <w:bottom w:val="none" w:sz="0" w:space="0" w:color="auto"/>
        <w:right w:val="none" w:sz="0" w:space="0" w:color="auto"/>
      </w:divBdr>
    </w:div>
    <w:div w:id="910165430">
      <w:bodyDiv w:val="1"/>
      <w:marLeft w:val="0"/>
      <w:marRight w:val="0"/>
      <w:marTop w:val="0"/>
      <w:marBottom w:val="0"/>
      <w:divBdr>
        <w:top w:val="none" w:sz="0" w:space="0" w:color="auto"/>
        <w:left w:val="none" w:sz="0" w:space="0" w:color="auto"/>
        <w:bottom w:val="none" w:sz="0" w:space="0" w:color="auto"/>
        <w:right w:val="none" w:sz="0" w:space="0" w:color="auto"/>
      </w:divBdr>
    </w:div>
    <w:div w:id="920483576">
      <w:bodyDiv w:val="1"/>
      <w:marLeft w:val="0"/>
      <w:marRight w:val="0"/>
      <w:marTop w:val="0"/>
      <w:marBottom w:val="0"/>
      <w:divBdr>
        <w:top w:val="none" w:sz="0" w:space="0" w:color="auto"/>
        <w:left w:val="none" w:sz="0" w:space="0" w:color="auto"/>
        <w:bottom w:val="none" w:sz="0" w:space="0" w:color="auto"/>
        <w:right w:val="none" w:sz="0" w:space="0" w:color="auto"/>
      </w:divBdr>
    </w:div>
    <w:div w:id="1026491968">
      <w:bodyDiv w:val="1"/>
      <w:marLeft w:val="0"/>
      <w:marRight w:val="0"/>
      <w:marTop w:val="0"/>
      <w:marBottom w:val="0"/>
      <w:divBdr>
        <w:top w:val="none" w:sz="0" w:space="0" w:color="auto"/>
        <w:left w:val="none" w:sz="0" w:space="0" w:color="auto"/>
        <w:bottom w:val="none" w:sz="0" w:space="0" w:color="auto"/>
        <w:right w:val="none" w:sz="0" w:space="0" w:color="auto"/>
      </w:divBdr>
    </w:div>
    <w:div w:id="1201669871">
      <w:bodyDiv w:val="1"/>
      <w:marLeft w:val="0"/>
      <w:marRight w:val="0"/>
      <w:marTop w:val="0"/>
      <w:marBottom w:val="0"/>
      <w:divBdr>
        <w:top w:val="none" w:sz="0" w:space="0" w:color="auto"/>
        <w:left w:val="none" w:sz="0" w:space="0" w:color="auto"/>
        <w:bottom w:val="none" w:sz="0" w:space="0" w:color="auto"/>
        <w:right w:val="none" w:sz="0" w:space="0" w:color="auto"/>
      </w:divBdr>
    </w:div>
    <w:div w:id="1230920295">
      <w:bodyDiv w:val="1"/>
      <w:marLeft w:val="0"/>
      <w:marRight w:val="0"/>
      <w:marTop w:val="0"/>
      <w:marBottom w:val="0"/>
      <w:divBdr>
        <w:top w:val="none" w:sz="0" w:space="0" w:color="auto"/>
        <w:left w:val="none" w:sz="0" w:space="0" w:color="auto"/>
        <w:bottom w:val="none" w:sz="0" w:space="0" w:color="auto"/>
        <w:right w:val="none" w:sz="0" w:space="0" w:color="auto"/>
      </w:divBdr>
    </w:div>
    <w:div w:id="1709335728">
      <w:bodyDiv w:val="1"/>
      <w:marLeft w:val="0"/>
      <w:marRight w:val="0"/>
      <w:marTop w:val="0"/>
      <w:marBottom w:val="0"/>
      <w:divBdr>
        <w:top w:val="none" w:sz="0" w:space="0" w:color="auto"/>
        <w:left w:val="none" w:sz="0" w:space="0" w:color="auto"/>
        <w:bottom w:val="none" w:sz="0" w:space="0" w:color="auto"/>
        <w:right w:val="none" w:sz="0" w:space="0" w:color="auto"/>
      </w:divBdr>
    </w:div>
    <w:div w:id="1765690956">
      <w:bodyDiv w:val="1"/>
      <w:marLeft w:val="0"/>
      <w:marRight w:val="0"/>
      <w:marTop w:val="0"/>
      <w:marBottom w:val="0"/>
      <w:divBdr>
        <w:top w:val="none" w:sz="0" w:space="0" w:color="auto"/>
        <w:left w:val="none" w:sz="0" w:space="0" w:color="auto"/>
        <w:bottom w:val="none" w:sz="0" w:space="0" w:color="auto"/>
        <w:right w:val="none" w:sz="0" w:space="0" w:color="auto"/>
      </w:divBdr>
    </w:div>
    <w:div w:id="1854418833">
      <w:bodyDiv w:val="1"/>
      <w:marLeft w:val="0"/>
      <w:marRight w:val="0"/>
      <w:marTop w:val="0"/>
      <w:marBottom w:val="0"/>
      <w:divBdr>
        <w:top w:val="none" w:sz="0" w:space="0" w:color="auto"/>
        <w:left w:val="none" w:sz="0" w:space="0" w:color="auto"/>
        <w:bottom w:val="none" w:sz="0" w:space="0" w:color="auto"/>
        <w:right w:val="none" w:sz="0" w:space="0" w:color="auto"/>
      </w:divBdr>
    </w:div>
    <w:div w:id="1937201812">
      <w:bodyDiv w:val="1"/>
      <w:marLeft w:val="0"/>
      <w:marRight w:val="0"/>
      <w:marTop w:val="0"/>
      <w:marBottom w:val="0"/>
      <w:divBdr>
        <w:top w:val="none" w:sz="0" w:space="0" w:color="auto"/>
        <w:left w:val="none" w:sz="0" w:space="0" w:color="auto"/>
        <w:bottom w:val="none" w:sz="0" w:space="0" w:color="auto"/>
        <w:right w:val="none" w:sz="0" w:space="0" w:color="auto"/>
      </w:divBdr>
    </w:div>
    <w:div w:id="209173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lient_Report_1S_1C_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3a_ xmlns="9c61834d-447e-4b40-85f3-412776ef6271">2015-04-08T00:43:15+00:00</Date_x003a_>
    <Description_x003a_ xmlns="a3934a9c-4d1f-4be5-b4f5-15e24c61f397" xsi:nil="true"/>
    <Delivery_x003a_ xmlns="9c61834d-447e-4b40-85f3-412776ef6271" xsi:nil="true"/>
    <Type_x003a_ xmlns="68634ea0-c470-4a73-a052-d03ca6a8cd88">(none)</Type_x003a_>
    <Discipline_x003a_ xmlns="68634ea0-c470-4a73-a052-d03ca6a8cd88">(none)</Discipline_x003a_>
    <Recipient_x003a_ xmlns="9c61834d-447e-4b40-85f3-412776ef6271" xsi:nil="true"/>
    <Other_x0020_companies_x003a_ xmlns="9c61834d-447e-4b40-85f3-412776ef6271" xsi:nil="true"/>
    <Sender_x003a_ xmlns="9c61834d-447e-4b40-85f3-412776ef6271">
      <UserInfo>
        <DisplayName/>
        <AccountId xsi:nil="true"/>
        <AccountType/>
      </UserInfo>
    </Sender_x003a_>
    <Reason_x003a_ xmlns="9c61834d-447e-4b40-85f3-412776ef6271" xsi:nil="true"/>
    <Companies_x003a_ xmlns="9c61834d-447e-4b40-85f3-412776ef6271" xsi:nil="true"/>
    <Status_x003a_ xmlns="9c61834d-447e-4b40-85f3-412776ef62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w Word Document" ma:contentTypeID="0x0101009DD7810196B1A843B74CE6D1B5F00E8A" ma:contentTypeVersion="17" ma:contentTypeDescription="Create a new document." ma:contentTypeScope="" ma:versionID="16d0219203d6e09850f8d368d3821200">
  <xsd:schema xmlns:xsd="http://www.w3.org/2001/XMLSchema" xmlns:xs="http://www.w3.org/2001/XMLSchema" xmlns:p="http://schemas.microsoft.com/office/2006/metadata/properties" xmlns:ns2="a3934a9c-4d1f-4be5-b4f5-15e24c61f397" xmlns:ns3="68634ea0-c470-4a73-a052-d03ca6a8cd88" xmlns:ns4="9c61834d-447e-4b40-85f3-412776ef6271" targetNamespace="http://schemas.microsoft.com/office/2006/metadata/properties" ma:root="true" ma:fieldsID="990fa90844435aadb4115ef8a2f1785c" ns2:_="" ns3:_="" ns4:_="">
    <xsd:import namespace="a3934a9c-4d1f-4be5-b4f5-15e24c61f397"/>
    <xsd:import namespace="68634ea0-c470-4a73-a052-d03ca6a8cd88"/>
    <xsd:import namespace="9c61834d-447e-4b40-85f3-412776ef6271"/>
    <xsd:element name="properties">
      <xsd:complexType>
        <xsd:sequence>
          <xsd:element name="documentManagement">
            <xsd:complexType>
              <xsd:all>
                <xsd:element ref="ns2:Description_x003a_" minOccurs="0"/>
                <xsd:element ref="ns3:Discipline_x003a_" minOccurs="0"/>
                <xsd:element ref="ns3:Type_x003a_" minOccurs="0"/>
                <xsd:element ref="ns4:Recipient_x003a_" minOccurs="0"/>
                <xsd:element ref="ns4:Companies_x003a_" minOccurs="0"/>
                <xsd:element ref="ns4:Other_x0020_companies_x003a_" minOccurs="0"/>
                <xsd:element ref="ns4:Sender_x003a_" minOccurs="0"/>
                <xsd:element ref="ns4:Date_x003a_" minOccurs="0"/>
                <xsd:element ref="ns4:Status_x003a_" minOccurs="0"/>
                <xsd:element ref="ns4:Reason_x003a_" minOccurs="0"/>
                <xsd:element ref="ns4:Delivery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34a9c-4d1f-4be5-b4f5-15e24c61f397" elementFormDefault="qualified">
    <xsd:import namespace="http://schemas.microsoft.com/office/2006/documentManagement/types"/>
    <xsd:import namespace="http://schemas.microsoft.com/office/infopath/2007/PartnerControls"/>
    <xsd:element name="Description_x003a_" ma:index="8" nillable="true" ma:displayName="Description:" ma:description="Title, subject, contents or keywords" ma:internalName="Description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34ea0-c470-4a73-a052-d03ca6a8cd88" elementFormDefault="qualified">
    <xsd:import namespace="http://schemas.microsoft.com/office/2006/documentManagement/types"/>
    <xsd:import namespace="http://schemas.microsoft.com/office/infopath/2007/PartnerControls"/>
    <xsd:element name="Discipline_x003a_" ma:index="9" nillable="true" ma:displayName="Discipline:" ma:default="(none)" ma:format="Dropdown" ma:internalName="Discipline_x003a_">
      <xsd:simpleType>
        <xsd:restriction base="dms:Choice">
          <xsd:enumeration value="(none)"/>
          <xsd:enumeration value="Acoustics"/>
          <xsd:enumeration value="Advisory"/>
          <xsd:enumeration value="All"/>
          <xsd:enumeration value="BIT"/>
          <xsd:enumeration value="Bridges"/>
          <xsd:enumeration value="Building Structures"/>
          <xsd:enumeration value="Civil"/>
          <xsd:enumeration value="Clean Water"/>
          <xsd:enumeration value="Drainage"/>
          <xsd:enumeration value="Environment"/>
          <xsd:enumeration value="Facades"/>
          <xsd:enumeration value="Geotech"/>
          <xsd:enumeration value="GIS"/>
          <xsd:enumeration value="Highways"/>
          <xsd:enumeration value="IT"/>
          <xsd:enumeration value="Land Development"/>
          <xsd:enumeration value="Project Management"/>
          <xsd:enumeration value="Rail"/>
          <xsd:enumeration value="Sewage Treatment"/>
          <xsd:enumeration value="Sewerage"/>
          <xsd:enumeration value="Technology"/>
          <xsd:enumeration value="TLE"/>
          <xsd:enumeration value="Traffic"/>
          <xsd:enumeration value="Transport"/>
          <xsd:enumeration value="Tunnels"/>
          <xsd:enumeration value="Utilities"/>
        </xsd:restriction>
      </xsd:simpleType>
    </xsd:element>
    <xsd:element name="Type_x003a_" ma:index="10" nillable="true" ma:displayName="Type:" ma:default="(none)" ma:format="Dropdown" ma:internalName="Type_x003a_">
      <xsd:simpleType>
        <xsd:restriction base="dms:Choice">
          <xsd:enumeration value="(none)"/>
          <xsd:enumeration value="Agenda"/>
          <xsd:enumeration value="Agreement"/>
          <xsd:enumeration value="BOQ"/>
          <xsd:enumeration value="CAD"/>
          <xsd:enumeration value="Contract"/>
          <xsd:enumeration value="Deed"/>
          <xsd:enumeration value="Design"/>
          <xsd:enumeration value="Drawing"/>
          <xsd:enumeration value="Email"/>
          <xsd:enumeration value="Estimate"/>
          <xsd:enumeration value="Fax"/>
          <xsd:enumeration value="Information"/>
          <xsd:enumeration value="Invoice"/>
          <xsd:enumeration value="Letter"/>
          <xsd:enumeration value="Memo"/>
          <xsd:enumeration value="Minutes"/>
          <xsd:enumeration value="Other"/>
          <xsd:enumeration value="Programme"/>
          <xsd:enumeration value="Progress Claim"/>
          <xsd:enumeration value="QA"/>
          <xsd:enumeration value="RFI"/>
          <xsd:enumeration value="Schedule"/>
          <xsd:enumeration value="Site Diary"/>
          <xsd:enumeration value="Sketch"/>
          <xsd:enumeration value="Specification"/>
          <xsd:enumeration value="Submission"/>
          <xsd:enumeration value="Tender"/>
          <xsd:enumeration value="Xref"/>
        </xsd:restriction>
      </xsd:simpleType>
    </xsd:element>
  </xsd:schema>
  <xsd:schema xmlns:xsd="http://www.w3.org/2001/XMLSchema" xmlns:xs="http://www.w3.org/2001/XMLSchema" xmlns:dms="http://schemas.microsoft.com/office/2006/documentManagement/types" xmlns:pc="http://schemas.microsoft.com/office/infopath/2007/PartnerControls" targetNamespace="9c61834d-447e-4b40-85f3-412776ef6271" elementFormDefault="qualified">
    <xsd:import namespace="http://schemas.microsoft.com/office/2006/documentManagement/types"/>
    <xsd:import namespace="http://schemas.microsoft.com/office/infopath/2007/PartnerControls"/>
    <xsd:element name="Recipient_x003a_" ma:index="11" nillable="true" ma:displayName="Recipient:" ma:internalName="Recipient_x003a_">
      <xsd:simpleType>
        <xsd:restriction base="dms:Text">
          <xsd:maxLength value="255"/>
        </xsd:restriction>
      </xsd:simpleType>
    </xsd:element>
    <xsd:element name="Companies_x003a_" ma:index="12" nillable="true" ma:displayName="Companies:" ma:list="{3C1E3149-E389-4973-BB92-5D937AF45E4F}" ma:internalName="Companies_x003a_" ma:showField="Title">
      <xsd:simpleType>
        <xsd:restriction base="dms:Lookup"/>
      </xsd:simpleType>
    </xsd:element>
    <xsd:element name="Other_x0020_companies_x003a_" ma:index="13" nillable="true" ma:displayName="Other companies:" ma:description="One-off, not in Companies lookup" ma:internalName="Other_x0020_companies_x003a_">
      <xsd:simpleType>
        <xsd:restriction base="dms:Text">
          <xsd:maxLength value="255"/>
        </xsd:restriction>
      </xsd:simpleType>
    </xsd:element>
    <xsd:element name="Sender_x003a_" ma:index="14" nillable="true" ma:displayName="Sender:" ma:list="UserInfo" ma:SharePointGroup="0" ma:internalName="Sender_x003a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3a_" ma:index="15" nillable="true" ma:displayName="Date:" ma:default="[today]" ma:format="DateTime" ma:internalName="Date_x003a_">
      <xsd:simpleType>
        <xsd:restriction base="dms:DateTime"/>
      </xsd:simpleType>
    </xsd:element>
    <xsd:element name="Status_x003a_" ma:index="16" nillable="true" ma:displayName="Status:" ma:list="{D973C8B3-0B63-456C-B3EB-BDDAC483F2D5}" ma:internalName="Status_x003a_" ma:showField="Title">
      <xsd:simpleType>
        <xsd:restriction base="dms:Lookup"/>
      </xsd:simpleType>
    </xsd:element>
    <xsd:element name="Reason_x003a_" ma:index="17" nillable="true" ma:displayName="Reason:" ma:list="{C6EBDC85-3BC8-4E7D-8D2F-F01CF771017A}" ma:internalName="Reason_x003a_" ma:showField="Title">
      <xsd:simpleType>
        <xsd:restriction base="dms:Lookup"/>
      </xsd:simpleType>
    </xsd:element>
    <xsd:element name="Delivery_x003a_" ma:index="18" nillable="true" ma:displayName="Delivery:" ma:list="{4A15991D-B2DE-4D7F-9DE9-A287AF483B80}" ma:internalName="Delivery_x003a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 Typ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Nat14</b:Tag>
    <b:SourceType>Report</b:SourceType>
    <b:Guid>{B1816C57-5E27-48D0-B036-719CDE5901EB}</b:Guid>
    <b:Author>
      <b:Author>
        <b:Corporate>National Environment Protection Council</b:Corporate>
      </b:Author>
    </b:Author>
    <b:Title>Annual Report 2012 - 2013</b:Title>
    <b:Year>2014</b:Year>
    <b:RefOrder>1</b:RefOrder>
  </b:Source>
  <b:Source>
    <b:Tag>Blu14</b:Tag>
    <b:SourceType>Report</b:SourceType>
    <b:Guid>{7926B99C-B675-4767-9DCA-5B1D271C33B1}</b:Guid>
    <b:Author>
      <b:Author>
        <b:Corporate>Blue Environment et al</b:Corporate>
      </b:Author>
    </b:Author>
    <b:Title>Improving Australia's reporting on hazardous waste under the Basel Convention</b:Title>
    <b:Year>2014</b:Year>
    <b:RefOrder>2</b:RefOrder>
  </b:Source>
  <b:Source>
    <b:Tag>KMH13</b:Tag>
    <b:SourceType>Report</b:SourceType>
    <b:Guid>{2C8B816A-95CD-4BDE-B687-89FEAC7D5578}</b:Guid>
    <b:Author>
      <b:Author>
        <b:Corporate>KMH Environmental</b:Corporate>
      </b:Author>
    </b:Author>
    <b:Title>Hazardous Waste Data Assessment</b:Title>
    <b:Year>2013</b:Year>
    <b:RefOrder>3</b:RefOrder>
  </b:Source>
  <b:Source>
    <b:Tag>SKM12</b:Tag>
    <b:SourceType>Report</b:SourceType>
    <b:Guid>{33EFD61C-9F45-462A-A3F6-A918BE9A2815}</b:Guid>
    <b:Author>
      <b:Author>
        <b:Corporate>SKM</b:Corporate>
      </b:Author>
    </b:Author>
    <b:Title>Review of Australia's international waste related reporting obligations</b:Title>
    <b:Year>2012</b:Year>
    <b:RefOrder>4</b:RefOrder>
  </b:Source>
  <b:Source>
    <b:Tag>Blu141</b:Tag>
    <b:SourceType>Report</b:SourceType>
    <b:Guid>{B0CF146E-2829-4EE4-A38B-544F2D43E50B}</b:Guid>
    <b:Author>
      <b:Author>
        <b:Corporate>Blue Environment et al</b:Corporate>
      </b:Author>
    </b:Author>
    <b:Title>Reporting hazardous waste under the Basel Convention - guidance to states and territories</b:Title>
    <b:Year>2014</b:Year>
    <b:RefOrder>5</b:RefOrder>
  </b:Source>
</b:Sources>
</file>

<file path=customXml/itemProps1.xml><?xml version="1.0" encoding="utf-8"?>
<ds:datastoreItem xmlns:ds="http://schemas.openxmlformats.org/officeDocument/2006/customXml" ds:itemID="{20BB1A82-B7E9-42C9-B304-45EE5631751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3934a9c-4d1f-4be5-b4f5-15e24c61f397"/>
    <ds:schemaRef ds:uri="http://purl.org/dc/elements/1.1/"/>
    <ds:schemaRef ds:uri="9c61834d-447e-4b40-85f3-412776ef6271"/>
    <ds:schemaRef ds:uri="68634ea0-c470-4a73-a052-d03ca6a8cd88"/>
    <ds:schemaRef ds:uri="http://www.w3.org/XML/1998/namespace"/>
  </ds:schemaRefs>
</ds:datastoreItem>
</file>

<file path=customXml/itemProps2.xml><?xml version="1.0" encoding="utf-8"?>
<ds:datastoreItem xmlns:ds="http://schemas.openxmlformats.org/officeDocument/2006/customXml" ds:itemID="{865863F1-B96A-4CFA-9469-0C9ADF928F46}">
  <ds:schemaRefs>
    <ds:schemaRef ds:uri="http://schemas.microsoft.com/sharepoint/v3/contenttype/forms"/>
  </ds:schemaRefs>
</ds:datastoreItem>
</file>

<file path=customXml/itemProps3.xml><?xml version="1.0" encoding="utf-8"?>
<ds:datastoreItem xmlns:ds="http://schemas.openxmlformats.org/officeDocument/2006/customXml" ds:itemID="{BD77CDE2-3A0B-4F0B-BCF7-392320CBF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34a9c-4d1f-4be5-b4f5-15e24c61f397"/>
    <ds:schemaRef ds:uri="68634ea0-c470-4a73-a052-d03ca6a8cd88"/>
    <ds:schemaRef ds:uri="9c61834d-447e-4b40-85f3-412776ef6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A9BEC-04E3-4626-B7C5-4684B3D5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Client_Report_1S_1C_2010</Template>
  <TotalTime>4</TotalTime>
  <Pages>80</Pages>
  <Words>28176</Words>
  <Characters>165776</Characters>
  <Application>Microsoft Office Word</Application>
  <DocSecurity>0</DocSecurity>
  <Lines>1381</Lines>
  <Paragraphs>387</Paragraphs>
  <ScaleCrop>false</ScaleCrop>
  <HeadingPairs>
    <vt:vector size="2" baseType="variant">
      <vt:variant>
        <vt:lpstr>Title</vt:lpstr>
      </vt:variant>
      <vt:variant>
        <vt:i4>1</vt:i4>
      </vt:variant>
    </vt:vector>
  </HeadingPairs>
  <TitlesOfParts>
    <vt:vector size="1" baseType="lpstr">
      <vt:lpstr>Client - Report-1 Sided 1 Column</vt:lpstr>
    </vt:vector>
  </TitlesOfParts>
  <Company>Hyder Consulting</Company>
  <LinksUpToDate>false</LinksUpToDate>
  <CharactersWithSpaces>193565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into the feasibility of a nationally consistent system for tracking controlled wastes</dc:title>
  <dc:subject>Report</dc:subject>
  <dc:creator>Hyder</dc:creator>
  <cp:keywords>Global template</cp:keywords>
  <cp:lastModifiedBy>A00870</cp:lastModifiedBy>
  <cp:revision>3</cp:revision>
  <cp:lastPrinted>2015-06-04T01:46:00Z</cp:lastPrinted>
  <dcterms:created xsi:type="dcterms:W3CDTF">2015-10-20T23:50:00Z</dcterms:created>
  <dcterms:modified xsi:type="dcterms:W3CDTF">2015-10-27T01:20:00Z</dcterms:modified>
  <cp:category>Client</cp:category>
  <cp:version>072014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Text">
    <vt:lpwstr> </vt:lpwstr>
  </property>
  <property fmtid="{D5CDD505-2E9C-101B-9397-08002B2CF9AE}" pid="3" name="RevisionInfo">
    <vt:lpwstr> </vt:lpwstr>
  </property>
  <property fmtid="{D5CDD505-2E9C-101B-9397-08002B2CF9AE}" pid="4" name="Title">
    <vt:lpwstr>Feasibility Analysis</vt:lpwstr>
  </property>
  <property fmtid="{D5CDD505-2E9C-101B-9397-08002B2CF9AE}" pid="5" name="Subtitle">
    <vt:lpwstr>Final Report</vt:lpwstr>
  </property>
  <property fmtid="{D5CDD505-2E9C-101B-9397-08002B2CF9AE}" pid="6" name="Project">
    <vt:lpwstr>Feasibility of a Nationally Consistent System for Tracking the Movements of Controlled Wastes</vt:lpwstr>
  </property>
  <property fmtid="{D5CDD505-2E9C-101B-9397-08002B2CF9AE}" pid="7" name="Client">
    <vt:lpwstr>Department of the Environment</vt:lpwstr>
  </property>
  <property fmtid="{D5CDD505-2E9C-101B-9397-08002B2CF9AE}" pid="8" name="Date">
    <vt:lpwstr>4 June 2015</vt:lpwstr>
  </property>
  <property fmtid="{D5CDD505-2E9C-101B-9397-08002B2CF9AE}" pid="9" name="Number">
    <vt:lpwstr>AA007864-R01-02</vt:lpwstr>
  </property>
  <property fmtid="{D5CDD505-2E9C-101B-9397-08002B2CF9AE}" pid="10" name="Author">
    <vt:lpwstr>Sam Withers &amp; Richard Collins</vt:lpwstr>
  </property>
  <property fmtid="{D5CDD505-2E9C-101B-9397-08002B2CF9AE}" pid="11" name="Checker">
    <vt:lpwstr>Richard Collins</vt:lpwstr>
  </property>
  <property fmtid="{D5CDD505-2E9C-101B-9397-08002B2CF9AE}" pid="12" name="Approver">
    <vt:lpwstr>Matt Genever</vt:lpwstr>
  </property>
  <property fmtid="{D5CDD505-2E9C-101B-9397-08002B2CF9AE}" pid="13" name="AppointmentDate">
    <vt:lpwstr>5 January 2015</vt:lpwstr>
  </property>
  <property fmtid="{D5CDD505-2E9C-101B-9397-08002B2CF9AE}" pid="14" name="ContentTypeId">
    <vt:lpwstr>0x0101009DD7810196B1A843B74CE6D1B5F00E8A</vt:lpwstr>
  </property>
</Properties>
</file>