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94F" w:rsidRDefault="0016118E" w:rsidP="00CA794F">
      <w:pPr>
        <w:sectPr w:rsidR="00CA794F" w:rsidSect="00CA794F">
          <w:headerReference w:type="even" r:id="rId7"/>
          <w:headerReference w:type="default" r:id="rId8"/>
          <w:footerReference w:type="even" r:id="rId9"/>
          <w:footerReference w:type="default" r:id="rId10"/>
          <w:headerReference w:type="first" r:id="rId11"/>
          <w:footerReference w:type="first" r:id="rId12"/>
          <w:pgSz w:w="11906" w:h="16838"/>
          <w:pgMar w:top="1418" w:right="1276" w:bottom="567" w:left="1418" w:header="425" w:footer="425" w:gutter="0"/>
          <w:cols w:space="708"/>
          <w:docGrid w:linePitch="360"/>
        </w:sectPr>
      </w:pPr>
      <w:r>
        <w:rPr>
          <w:noProof/>
          <w:lang w:val="en-AU" w:eastAsia="en-AU" w:bidi="ar-SA"/>
        </w:rPr>
        <w:drawing>
          <wp:anchor distT="0" distB="0" distL="114300" distR="114300" simplePos="0" relativeHeight="251708416" behindDoc="0" locked="0" layoutInCell="1" allowOverlap="1">
            <wp:simplePos x="0" y="0"/>
            <wp:positionH relativeFrom="column">
              <wp:posOffset>-586105</wp:posOffset>
            </wp:positionH>
            <wp:positionV relativeFrom="paragraph">
              <wp:posOffset>556895</wp:posOffset>
            </wp:positionV>
            <wp:extent cx="2466975" cy="971550"/>
            <wp:effectExtent l="19050" t="0" r="9525" b="0"/>
            <wp:wrapNone/>
            <wp:docPr id="35"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13" cstate="screen"/>
                    <a:stretch>
                      <a:fillRect/>
                    </a:stretch>
                  </pic:blipFill>
                  <pic:spPr>
                    <a:xfrm>
                      <a:off x="0" y="0"/>
                      <a:ext cx="2466975" cy="971550"/>
                    </a:xfrm>
                    <a:prstGeom prst="rect">
                      <a:avLst/>
                    </a:prstGeom>
                  </pic:spPr>
                </pic:pic>
              </a:graphicData>
            </a:graphic>
          </wp:anchor>
        </w:drawing>
      </w:r>
      <w:r w:rsidR="009F4861">
        <w:rPr>
          <w:noProof/>
          <w:lang w:val="en-AU" w:eastAsia="en-AU" w:bidi="ar-SA"/>
        </w:rPr>
        <w:drawing>
          <wp:anchor distT="0" distB="0" distL="114300" distR="114300" simplePos="0" relativeHeight="251702272" behindDoc="1" locked="0" layoutInCell="1" allowOverlap="1">
            <wp:simplePos x="0" y="0"/>
            <wp:positionH relativeFrom="column">
              <wp:posOffset>-1732718</wp:posOffset>
            </wp:positionH>
            <wp:positionV relativeFrom="paragraph">
              <wp:posOffset>-2445451</wp:posOffset>
            </wp:positionV>
            <wp:extent cx="9099660" cy="14031311"/>
            <wp:effectExtent l="19050" t="0" r="6240" b="0"/>
            <wp:wrapNone/>
            <wp:docPr id="2" name="Picture 1" descr="\\pvac01file02\water$\Environment\Environmental Water\CEWH\SER Section\(SPIRE) Publications\Trade of CEW\Trading Framework\03 GDA 183 D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water$\Environment\Environmental Water\CEWH\SER Section\(SPIRE) Publications\Trade of CEW\Trading Framework\03 GDA 183 Dam (3).JPG"/>
                    <pic:cNvPicPr>
                      <a:picLocks noChangeAspect="1" noChangeArrowheads="1"/>
                    </pic:cNvPicPr>
                  </pic:nvPicPr>
                  <pic:blipFill>
                    <a:blip r:embed="rId14" cstate="screen"/>
                    <a:srcRect/>
                    <a:stretch>
                      <a:fillRect/>
                    </a:stretch>
                  </pic:blipFill>
                  <pic:spPr bwMode="auto">
                    <a:xfrm>
                      <a:off x="0" y="0"/>
                      <a:ext cx="9099660" cy="14031311"/>
                    </a:xfrm>
                    <a:prstGeom prst="rect">
                      <a:avLst/>
                    </a:prstGeom>
                    <a:noFill/>
                    <a:ln w="9525">
                      <a:noFill/>
                      <a:miter lim="800000"/>
                      <a:headEnd/>
                      <a:tailEnd/>
                    </a:ln>
                  </pic:spPr>
                </pic:pic>
              </a:graphicData>
            </a:graphic>
          </wp:anchor>
        </w:drawing>
      </w:r>
      <w:r w:rsidR="009F4861">
        <w:rPr>
          <w:noProof/>
          <w:lang w:val="en-AU" w:eastAsia="en-AU" w:bidi="ar-SA"/>
        </w:rPr>
        <w:drawing>
          <wp:anchor distT="0" distB="0" distL="114300" distR="114300" simplePos="0" relativeHeight="251706368" behindDoc="0" locked="0" layoutInCell="1" allowOverlap="1">
            <wp:simplePos x="0" y="0"/>
            <wp:positionH relativeFrom="column">
              <wp:posOffset>2176145</wp:posOffset>
            </wp:positionH>
            <wp:positionV relativeFrom="paragraph">
              <wp:posOffset>1147445</wp:posOffset>
            </wp:positionV>
            <wp:extent cx="3362325" cy="257175"/>
            <wp:effectExtent l="19050" t="0" r="9525" b="0"/>
            <wp:wrapNone/>
            <wp:docPr id="8" name="Picture 13" descr="CEW_squ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squares.png"/>
                    <pic:cNvPicPr/>
                  </pic:nvPicPr>
                  <pic:blipFill>
                    <a:blip r:embed="rId15" cstate="screen"/>
                    <a:stretch>
                      <a:fillRect/>
                    </a:stretch>
                  </pic:blipFill>
                  <pic:spPr>
                    <a:xfrm>
                      <a:off x="0" y="0"/>
                      <a:ext cx="3362325" cy="257175"/>
                    </a:xfrm>
                    <a:prstGeom prst="rect">
                      <a:avLst/>
                    </a:prstGeom>
                  </pic:spPr>
                </pic:pic>
              </a:graphicData>
            </a:graphic>
          </wp:anchor>
        </w:drawing>
      </w:r>
      <w:r w:rsidR="0044782E">
        <w:rPr>
          <w:noProof/>
          <w:lang w:val="en-AU" w:eastAsia="en-AU" w:bidi="ar-SA"/>
        </w:rPr>
        <mc:AlternateContent>
          <mc:Choice Requires="wps">
            <w:drawing>
              <wp:anchor distT="0" distB="0" distL="114300" distR="114300" simplePos="0" relativeHeight="251688960" behindDoc="0" locked="0" layoutInCell="1" allowOverlap="1">
                <wp:simplePos x="0" y="0"/>
                <wp:positionH relativeFrom="column">
                  <wp:posOffset>928370</wp:posOffset>
                </wp:positionH>
                <wp:positionV relativeFrom="paragraph">
                  <wp:posOffset>54610</wp:posOffset>
                </wp:positionV>
                <wp:extent cx="4657725" cy="1026160"/>
                <wp:effectExtent l="0" t="2540" r="0"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96B" w:rsidRPr="004E2640" w:rsidRDefault="005E096B" w:rsidP="00CA794F">
                            <w:pPr>
                              <w:pStyle w:val="Para0"/>
                              <w:spacing w:after="0" w:line="240" w:lineRule="auto"/>
                              <w:ind w:left="-142" w:right="-79"/>
                              <w:jc w:val="right"/>
                              <w:rPr>
                                <w:rFonts w:ascii="Calibri" w:hAnsi="Calibri" w:cs="Calibri"/>
                                <w:b/>
                                <w:color w:val="auto"/>
                                <w:sz w:val="44"/>
                                <w:szCs w:val="44"/>
                              </w:rPr>
                            </w:pPr>
                            <w:bookmarkStart w:id="0" w:name="OLE_LINK3"/>
                            <w:bookmarkStart w:id="1" w:name="OLE_LINK4"/>
                            <w:r w:rsidRPr="004E2640">
                              <w:rPr>
                                <w:rFonts w:ascii="Calibri" w:hAnsi="Calibri" w:cs="Calibri"/>
                                <w:b/>
                                <w:color w:val="auto"/>
                                <w:sz w:val="44"/>
                                <w:szCs w:val="44"/>
                              </w:rPr>
                              <w:t>Comm</w:t>
                            </w:r>
                            <w:bookmarkStart w:id="2" w:name="_GoBack"/>
                            <w:bookmarkEnd w:id="2"/>
                            <w:r w:rsidRPr="004E2640">
                              <w:rPr>
                                <w:rFonts w:ascii="Calibri" w:hAnsi="Calibri" w:cs="Calibri"/>
                                <w:b/>
                                <w:color w:val="auto"/>
                                <w:sz w:val="44"/>
                                <w:szCs w:val="44"/>
                              </w:rPr>
                              <w:t xml:space="preserve">onwealth </w:t>
                            </w:r>
                            <w:r>
                              <w:rPr>
                                <w:rFonts w:ascii="Calibri" w:hAnsi="Calibri" w:cs="Calibri"/>
                                <w:b/>
                                <w:color w:val="auto"/>
                                <w:sz w:val="44"/>
                                <w:szCs w:val="44"/>
                              </w:rPr>
                              <w:t>E</w:t>
                            </w:r>
                            <w:r w:rsidRPr="004E2640">
                              <w:rPr>
                                <w:rFonts w:ascii="Calibri" w:hAnsi="Calibri" w:cs="Calibri"/>
                                <w:b/>
                                <w:color w:val="auto"/>
                                <w:sz w:val="44"/>
                                <w:szCs w:val="44"/>
                              </w:rPr>
                              <w:t xml:space="preserve">nvironmental </w:t>
                            </w:r>
                            <w:r>
                              <w:rPr>
                                <w:rFonts w:ascii="Calibri" w:hAnsi="Calibri" w:cs="Calibri"/>
                                <w:b/>
                                <w:color w:val="auto"/>
                                <w:sz w:val="44"/>
                                <w:szCs w:val="44"/>
                              </w:rPr>
                              <w:t>W</w:t>
                            </w:r>
                            <w:r w:rsidRPr="004E2640">
                              <w:rPr>
                                <w:rFonts w:ascii="Calibri" w:hAnsi="Calibri" w:cs="Calibri"/>
                                <w:b/>
                                <w:color w:val="auto"/>
                                <w:sz w:val="44"/>
                                <w:szCs w:val="44"/>
                              </w:rPr>
                              <w:t xml:space="preserve">ater </w:t>
                            </w:r>
                          </w:p>
                          <w:p w:rsidR="005E096B" w:rsidRPr="004E2640" w:rsidRDefault="005E096B" w:rsidP="00CA794F">
                            <w:pPr>
                              <w:pStyle w:val="Para0"/>
                              <w:spacing w:after="0" w:line="240" w:lineRule="auto"/>
                              <w:ind w:left="-142" w:right="-79"/>
                              <w:jc w:val="right"/>
                              <w:rPr>
                                <w:rFonts w:ascii="Calibri" w:hAnsi="Calibri" w:cs="Calibri"/>
                                <w:b/>
                                <w:color w:val="auto"/>
                                <w:sz w:val="44"/>
                                <w:szCs w:val="44"/>
                              </w:rPr>
                            </w:pPr>
                            <w:r>
                              <w:rPr>
                                <w:rFonts w:ascii="Calibri" w:hAnsi="Calibri" w:cs="Calibri"/>
                                <w:b/>
                                <w:color w:val="auto"/>
                                <w:sz w:val="44"/>
                                <w:szCs w:val="44"/>
                              </w:rPr>
                              <w:t>T</w:t>
                            </w:r>
                            <w:r w:rsidRPr="004E2640">
                              <w:rPr>
                                <w:rFonts w:ascii="Calibri" w:hAnsi="Calibri" w:cs="Calibri"/>
                                <w:b/>
                                <w:color w:val="auto"/>
                                <w:sz w:val="44"/>
                                <w:szCs w:val="44"/>
                              </w:rPr>
                              <w:t xml:space="preserve">rading </w:t>
                            </w:r>
                            <w:r>
                              <w:rPr>
                                <w:rFonts w:ascii="Calibri" w:hAnsi="Calibri" w:cs="Calibri"/>
                                <w:b/>
                                <w:color w:val="auto"/>
                                <w:sz w:val="44"/>
                                <w:szCs w:val="44"/>
                              </w:rPr>
                              <w:t>F</w:t>
                            </w:r>
                            <w:r w:rsidRPr="004E2640">
                              <w:rPr>
                                <w:rFonts w:ascii="Calibri" w:hAnsi="Calibri" w:cs="Calibri"/>
                                <w:b/>
                                <w:color w:val="auto"/>
                                <w:sz w:val="44"/>
                                <w:szCs w:val="44"/>
                              </w:rPr>
                              <w:t>ramework</w:t>
                            </w:r>
                          </w:p>
                          <w:bookmarkEnd w:id="0"/>
                          <w:bookmarkEnd w:id="1"/>
                          <w:p w:rsidR="005E096B" w:rsidRPr="004E2640" w:rsidRDefault="005E096B" w:rsidP="00CA794F">
                            <w:pPr>
                              <w:pStyle w:val="Para0"/>
                              <w:spacing w:after="0" w:line="240" w:lineRule="auto"/>
                              <w:ind w:left="-142" w:right="-79"/>
                              <w:jc w:val="right"/>
                              <w:rPr>
                                <w:rFonts w:ascii="Calibri" w:hAnsi="Calibri" w:cs="Calibri"/>
                                <w:b/>
                                <w:color w:val="B6533F"/>
                                <w:sz w:val="36"/>
                                <w:szCs w:val="36"/>
                              </w:rPr>
                            </w:pPr>
                            <w:r>
                              <w:rPr>
                                <w:rFonts w:ascii="Calibri" w:hAnsi="Calibri" w:cs="Calibri"/>
                                <w:b/>
                                <w:color w:val="B6533F"/>
                                <w:sz w:val="36"/>
                                <w:szCs w:val="36"/>
                              </w:rPr>
                              <w:t>November 2016</w:t>
                            </w:r>
                          </w:p>
                          <w:p w:rsidR="005E096B" w:rsidRPr="00213AC9" w:rsidRDefault="005E096B" w:rsidP="00CA794F">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73.1pt;margin-top:4.3pt;width:366.75pt;height:8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E9uQIAALw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" filled="f" stroked="f">
                <v:textbox>
                  <w:txbxContent>
                    <w:p w:rsidR="005E096B" w:rsidRPr="004E2640" w:rsidRDefault="005E096B" w:rsidP="00CA794F">
                      <w:pPr>
                        <w:pStyle w:val="Para0"/>
                        <w:spacing w:after="0" w:line="240" w:lineRule="auto"/>
                        <w:ind w:left="-142" w:right="-79"/>
                        <w:jc w:val="right"/>
                        <w:rPr>
                          <w:rFonts w:ascii="Calibri" w:hAnsi="Calibri" w:cs="Calibri"/>
                          <w:b/>
                          <w:color w:val="auto"/>
                          <w:sz w:val="44"/>
                          <w:szCs w:val="44"/>
                        </w:rPr>
                      </w:pPr>
                      <w:bookmarkStart w:id="3" w:name="OLE_LINK3"/>
                      <w:bookmarkStart w:id="4" w:name="OLE_LINK4"/>
                      <w:r w:rsidRPr="004E2640">
                        <w:rPr>
                          <w:rFonts w:ascii="Calibri" w:hAnsi="Calibri" w:cs="Calibri"/>
                          <w:b/>
                          <w:color w:val="auto"/>
                          <w:sz w:val="44"/>
                          <w:szCs w:val="44"/>
                        </w:rPr>
                        <w:t>Comm</w:t>
                      </w:r>
                      <w:bookmarkStart w:id="5" w:name="_GoBack"/>
                      <w:bookmarkEnd w:id="5"/>
                      <w:r w:rsidRPr="004E2640">
                        <w:rPr>
                          <w:rFonts w:ascii="Calibri" w:hAnsi="Calibri" w:cs="Calibri"/>
                          <w:b/>
                          <w:color w:val="auto"/>
                          <w:sz w:val="44"/>
                          <w:szCs w:val="44"/>
                        </w:rPr>
                        <w:t xml:space="preserve">onwealth </w:t>
                      </w:r>
                      <w:r>
                        <w:rPr>
                          <w:rFonts w:ascii="Calibri" w:hAnsi="Calibri" w:cs="Calibri"/>
                          <w:b/>
                          <w:color w:val="auto"/>
                          <w:sz w:val="44"/>
                          <w:szCs w:val="44"/>
                        </w:rPr>
                        <w:t>E</w:t>
                      </w:r>
                      <w:r w:rsidRPr="004E2640">
                        <w:rPr>
                          <w:rFonts w:ascii="Calibri" w:hAnsi="Calibri" w:cs="Calibri"/>
                          <w:b/>
                          <w:color w:val="auto"/>
                          <w:sz w:val="44"/>
                          <w:szCs w:val="44"/>
                        </w:rPr>
                        <w:t xml:space="preserve">nvironmental </w:t>
                      </w:r>
                      <w:r>
                        <w:rPr>
                          <w:rFonts w:ascii="Calibri" w:hAnsi="Calibri" w:cs="Calibri"/>
                          <w:b/>
                          <w:color w:val="auto"/>
                          <w:sz w:val="44"/>
                          <w:szCs w:val="44"/>
                        </w:rPr>
                        <w:t>W</w:t>
                      </w:r>
                      <w:r w:rsidRPr="004E2640">
                        <w:rPr>
                          <w:rFonts w:ascii="Calibri" w:hAnsi="Calibri" w:cs="Calibri"/>
                          <w:b/>
                          <w:color w:val="auto"/>
                          <w:sz w:val="44"/>
                          <w:szCs w:val="44"/>
                        </w:rPr>
                        <w:t xml:space="preserve">ater </w:t>
                      </w:r>
                    </w:p>
                    <w:p w:rsidR="005E096B" w:rsidRPr="004E2640" w:rsidRDefault="005E096B" w:rsidP="00CA794F">
                      <w:pPr>
                        <w:pStyle w:val="Para0"/>
                        <w:spacing w:after="0" w:line="240" w:lineRule="auto"/>
                        <w:ind w:left="-142" w:right="-79"/>
                        <w:jc w:val="right"/>
                        <w:rPr>
                          <w:rFonts w:ascii="Calibri" w:hAnsi="Calibri" w:cs="Calibri"/>
                          <w:b/>
                          <w:color w:val="auto"/>
                          <w:sz w:val="44"/>
                          <w:szCs w:val="44"/>
                        </w:rPr>
                      </w:pPr>
                      <w:r>
                        <w:rPr>
                          <w:rFonts w:ascii="Calibri" w:hAnsi="Calibri" w:cs="Calibri"/>
                          <w:b/>
                          <w:color w:val="auto"/>
                          <w:sz w:val="44"/>
                          <w:szCs w:val="44"/>
                        </w:rPr>
                        <w:t>T</w:t>
                      </w:r>
                      <w:r w:rsidRPr="004E2640">
                        <w:rPr>
                          <w:rFonts w:ascii="Calibri" w:hAnsi="Calibri" w:cs="Calibri"/>
                          <w:b/>
                          <w:color w:val="auto"/>
                          <w:sz w:val="44"/>
                          <w:szCs w:val="44"/>
                        </w:rPr>
                        <w:t xml:space="preserve">rading </w:t>
                      </w:r>
                      <w:r>
                        <w:rPr>
                          <w:rFonts w:ascii="Calibri" w:hAnsi="Calibri" w:cs="Calibri"/>
                          <w:b/>
                          <w:color w:val="auto"/>
                          <w:sz w:val="44"/>
                          <w:szCs w:val="44"/>
                        </w:rPr>
                        <w:t>F</w:t>
                      </w:r>
                      <w:r w:rsidRPr="004E2640">
                        <w:rPr>
                          <w:rFonts w:ascii="Calibri" w:hAnsi="Calibri" w:cs="Calibri"/>
                          <w:b/>
                          <w:color w:val="auto"/>
                          <w:sz w:val="44"/>
                          <w:szCs w:val="44"/>
                        </w:rPr>
                        <w:t>ramework</w:t>
                      </w:r>
                    </w:p>
                    <w:bookmarkEnd w:id="3"/>
                    <w:bookmarkEnd w:id="4"/>
                    <w:p w:rsidR="005E096B" w:rsidRPr="004E2640" w:rsidRDefault="005E096B" w:rsidP="00CA794F">
                      <w:pPr>
                        <w:pStyle w:val="Para0"/>
                        <w:spacing w:after="0" w:line="240" w:lineRule="auto"/>
                        <w:ind w:left="-142" w:right="-79"/>
                        <w:jc w:val="right"/>
                        <w:rPr>
                          <w:rFonts w:ascii="Calibri" w:hAnsi="Calibri" w:cs="Calibri"/>
                          <w:b/>
                          <w:color w:val="B6533F"/>
                          <w:sz w:val="36"/>
                          <w:szCs w:val="36"/>
                        </w:rPr>
                      </w:pPr>
                      <w:r>
                        <w:rPr>
                          <w:rFonts w:ascii="Calibri" w:hAnsi="Calibri" w:cs="Calibri"/>
                          <w:b/>
                          <w:color w:val="B6533F"/>
                          <w:sz w:val="36"/>
                          <w:szCs w:val="36"/>
                        </w:rPr>
                        <w:t>November 2016</w:t>
                      </w:r>
                    </w:p>
                    <w:p w:rsidR="005E096B" w:rsidRPr="00213AC9" w:rsidRDefault="005E096B" w:rsidP="00CA794F">
                      <w:pPr>
                        <w:rPr>
                          <w:lang w:val="en-GB"/>
                        </w:rPr>
                      </w:pPr>
                    </w:p>
                  </w:txbxContent>
                </v:textbox>
              </v:shape>
            </w:pict>
          </mc:Fallback>
        </mc:AlternateContent>
      </w:r>
      <w:r w:rsidR="0044782E">
        <w:rPr>
          <w:noProof/>
          <w:lang w:val="en-AU" w:eastAsia="en-AU" w:bidi="ar-SA"/>
        </w:rPr>
        <mc:AlternateContent>
          <mc:Choice Requires="wps">
            <w:drawing>
              <wp:anchor distT="0" distB="0" distL="114300" distR="114300" simplePos="0" relativeHeight="251687936" behindDoc="0" locked="0" layoutInCell="1" allowOverlap="1">
                <wp:simplePos x="0" y="0"/>
                <wp:positionH relativeFrom="column">
                  <wp:posOffset>-1896745</wp:posOffset>
                </wp:positionH>
                <wp:positionV relativeFrom="paragraph">
                  <wp:posOffset>54610</wp:posOffset>
                </wp:positionV>
                <wp:extent cx="7740015" cy="1492885"/>
                <wp:effectExtent l="3810" t="2540" r="0" b="0"/>
                <wp:wrapNone/>
                <wp:docPr id="3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1492885"/>
                        </a:xfrm>
                        <a:prstGeom prst="roundRect">
                          <a:avLst>
                            <a:gd name="adj" fmla="val 8005"/>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1D814" id="AutoShape 31" o:spid="_x0000_s1026" style="position:absolute;margin-left:-149.35pt;margin-top:4.3pt;width:609.45pt;height:1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" stroked="f"/>
            </w:pict>
          </mc:Fallback>
        </mc:AlternateContent>
      </w:r>
    </w:p>
    <w:p w:rsidR="00CA794F" w:rsidRDefault="00CA794F" w:rsidP="00CA794F">
      <w:pPr>
        <w:ind w:firstLine="0"/>
        <w:rPr>
          <w:b/>
          <w:sz w:val="28"/>
          <w:szCs w:val="28"/>
        </w:rPr>
      </w:pPr>
    </w:p>
    <w:p w:rsidR="00CA794F" w:rsidRPr="00B07950" w:rsidRDefault="009F4861" w:rsidP="00CA794F">
      <w:pPr>
        <w:ind w:firstLine="0"/>
        <w:rPr>
          <w:b/>
          <w:sz w:val="28"/>
          <w:szCs w:val="28"/>
        </w:rPr>
      </w:pPr>
      <w:r w:rsidRPr="00B07950">
        <w:rPr>
          <w:b/>
          <w:sz w:val="28"/>
          <w:szCs w:val="28"/>
        </w:rPr>
        <w:t>Acknowledgement of the Traditional Owners of the Murray-Darling Basin</w:t>
      </w:r>
    </w:p>
    <w:p w:rsidR="00CA794F" w:rsidRDefault="00CA794F" w:rsidP="00CA794F">
      <w:pPr>
        <w:ind w:firstLine="0"/>
        <w:rPr>
          <w:rFonts w:cs="Century Gothic"/>
          <w:color w:val="000000"/>
          <w:sz w:val="28"/>
          <w:szCs w:val="28"/>
        </w:rPr>
      </w:pPr>
    </w:p>
    <w:p w:rsidR="00CA794F" w:rsidRPr="00B07950" w:rsidRDefault="009F4861" w:rsidP="00CA794F">
      <w:pPr>
        <w:ind w:firstLine="0"/>
        <w:rPr>
          <w:sz w:val="28"/>
          <w:szCs w:val="28"/>
        </w:rPr>
      </w:pPr>
      <w:r w:rsidRPr="00B07950">
        <w:rPr>
          <w:rFonts w:cs="Century Gothic"/>
          <w:color w:val="000000"/>
          <w:sz w:val="28"/>
          <w:szCs w:val="28"/>
        </w:rPr>
        <w:t xml:space="preserve">The Commonwealth Environmental Water </w:t>
      </w:r>
      <w:r>
        <w:rPr>
          <w:rFonts w:cs="Century Gothic"/>
          <w:color w:val="000000"/>
          <w:sz w:val="28"/>
          <w:szCs w:val="28"/>
        </w:rPr>
        <w:t xml:space="preserve">Holder and the </w:t>
      </w:r>
      <w:r w:rsidRPr="00B07950">
        <w:rPr>
          <w:rFonts w:cs="Century Gothic"/>
          <w:color w:val="000000"/>
          <w:sz w:val="28"/>
          <w:szCs w:val="28"/>
        </w:rPr>
        <w:t>Commonwealth Environmental Water Office respectfully acknowledges the Traditional Owners, their Elders past and present, their Nations of the Murray– Darling Basin, and their cultural, social, environmental, spiritual and economic connection to their lands and waters.</w:t>
      </w:r>
    </w:p>
    <w:p w:rsidR="00CA794F" w:rsidRPr="00E02AA5" w:rsidRDefault="00CA794F" w:rsidP="0016118E">
      <w:pPr>
        <w:ind w:firstLine="0"/>
      </w:pPr>
    </w:p>
    <w:p w:rsidR="00CA794F" w:rsidRPr="00E02AA5" w:rsidRDefault="00CA794F" w:rsidP="0016118E">
      <w:pPr>
        <w:ind w:firstLine="0"/>
      </w:pPr>
    </w:p>
    <w:p w:rsidR="00CA794F" w:rsidRPr="00E02AA5" w:rsidRDefault="00CA794F" w:rsidP="0016118E">
      <w:pPr>
        <w:ind w:firstLine="0"/>
      </w:pPr>
    </w:p>
    <w:p w:rsidR="00CA794F" w:rsidRPr="00E02AA5" w:rsidRDefault="00CA794F" w:rsidP="0016118E">
      <w:pPr>
        <w:ind w:firstLine="0"/>
      </w:pPr>
    </w:p>
    <w:p w:rsidR="00CA794F" w:rsidRPr="00E02AA5" w:rsidRDefault="00CA794F" w:rsidP="0016118E">
      <w:pPr>
        <w:ind w:firstLine="0"/>
      </w:pPr>
    </w:p>
    <w:p w:rsidR="00CA794F" w:rsidRPr="00E02AA5" w:rsidRDefault="00CA794F" w:rsidP="0016118E">
      <w:pPr>
        <w:ind w:firstLine="0"/>
      </w:pPr>
    </w:p>
    <w:p w:rsidR="00CA794F" w:rsidRPr="00E02AA5" w:rsidRDefault="00CA794F" w:rsidP="0016118E">
      <w:pPr>
        <w:ind w:firstLine="0"/>
      </w:pPr>
    </w:p>
    <w:p w:rsidR="00CA794F" w:rsidRPr="00E02AA5" w:rsidRDefault="00CA794F" w:rsidP="0016118E">
      <w:pPr>
        <w:ind w:firstLine="0"/>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Default="00CA794F" w:rsidP="0016118E">
      <w:pPr>
        <w:autoSpaceDE w:val="0"/>
        <w:autoSpaceDN w:val="0"/>
        <w:ind w:firstLine="0"/>
        <w:rPr>
          <w:color w:val="414142"/>
        </w:rPr>
      </w:pPr>
    </w:p>
    <w:p w:rsidR="00CA794F" w:rsidRPr="00B07950" w:rsidRDefault="009F4861" w:rsidP="00CA794F">
      <w:pPr>
        <w:autoSpaceDE w:val="0"/>
        <w:autoSpaceDN w:val="0"/>
        <w:ind w:firstLine="0"/>
        <w:rPr>
          <w:color w:val="414142"/>
        </w:rPr>
      </w:pPr>
      <w:r w:rsidRPr="00B07950">
        <w:rPr>
          <w:color w:val="414142"/>
        </w:rPr>
        <w:t>This report should be cited as ‘</w:t>
      </w:r>
      <w:r>
        <w:rPr>
          <w:i/>
          <w:iCs/>
          <w:color w:val="414142"/>
          <w:lang w:val="en-GB"/>
        </w:rPr>
        <w:t xml:space="preserve">Commonwealth </w:t>
      </w:r>
      <w:r w:rsidR="00ED4603">
        <w:rPr>
          <w:i/>
          <w:iCs/>
          <w:color w:val="414142"/>
          <w:lang w:val="en-GB"/>
        </w:rPr>
        <w:t xml:space="preserve">Environmental Water </w:t>
      </w:r>
      <w:r>
        <w:rPr>
          <w:i/>
          <w:iCs/>
          <w:color w:val="414142"/>
          <w:lang w:val="en-GB"/>
        </w:rPr>
        <w:t>Trading Framework</w:t>
      </w:r>
      <w:r w:rsidRPr="00B07950">
        <w:rPr>
          <w:i/>
          <w:iCs/>
          <w:color w:val="414142"/>
          <w:lang w:val="en-GB"/>
        </w:rPr>
        <w:t>’</w:t>
      </w:r>
      <w:r w:rsidRPr="00B07950">
        <w:rPr>
          <w:color w:val="414142"/>
        </w:rPr>
        <w:t xml:space="preserve">. </w:t>
      </w:r>
    </w:p>
    <w:p w:rsidR="00CA794F" w:rsidRPr="00B07950" w:rsidRDefault="00CA794F" w:rsidP="00CA794F">
      <w:pPr>
        <w:autoSpaceDE w:val="0"/>
        <w:autoSpaceDN w:val="0"/>
        <w:ind w:firstLine="0"/>
        <w:rPr>
          <w:b/>
          <w:i/>
          <w:iCs/>
          <w:color w:val="414142"/>
          <w:lang w:val="en-GB"/>
        </w:rPr>
      </w:pPr>
    </w:p>
    <w:p w:rsidR="00CA794F" w:rsidRPr="00B07950" w:rsidRDefault="009F4861" w:rsidP="00CA794F">
      <w:pPr>
        <w:autoSpaceDE w:val="0"/>
        <w:autoSpaceDN w:val="0"/>
        <w:ind w:firstLine="0"/>
        <w:rPr>
          <w:color w:val="414142"/>
        </w:rPr>
      </w:pPr>
      <w:r w:rsidRPr="00B07950">
        <w:rPr>
          <w:color w:val="414142"/>
        </w:rPr>
        <w:t>Published by the Commonwealth Environmental Water Holder for the Australian Government.</w:t>
      </w:r>
      <w:r w:rsidRPr="00B07950">
        <w:rPr>
          <w:color w:val="414142"/>
        </w:rPr>
        <w:br/>
      </w:r>
      <w:r w:rsidRPr="00B07950">
        <w:rPr>
          <w:color w:val="414142"/>
        </w:rPr>
        <w:softHyphen/>
      </w:r>
      <w:r w:rsidRPr="00B07950">
        <w:rPr>
          <w:color w:val="414142"/>
        </w:rPr>
        <w:softHyphen/>
        <w:t xml:space="preserve">© Commonwealth of Australia </w:t>
      </w:r>
      <w:r w:rsidR="00783F33">
        <w:rPr>
          <w:color w:val="414142"/>
        </w:rPr>
        <w:t>2016</w:t>
      </w:r>
      <w:r w:rsidRPr="00B07950">
        <w:rPr>
          <w:color w:val="414142"/>
        </w:rPr>
        <w:t>.</w:t>
      </w:r>
    </w:p>
    <w:p w:rsidR="00CA794F" w:rsidRPr="00B07950" w:rsidRDefault="00CA794F" w:rsidP="00CA794F">
      <w:pPr>
        <w:autoSpaceDE w:val="0"/>
        <w:autoSpaceDN w:val="0"/>
        <w:ind w:firstLine="0"/>
        <w:rPr>
          <w:color w:val="414142"/>
        </w:rPr>
      </w:pPr>
    </w:p>
    <w:p w:rsidR="00CA794F" w:rsidRPr="00B07950" w:rsidRDefault="009F4861" w:rsidP="00CA794F">
      <w:pPr>
        <w:autoSpaceDE w:val="0"/>
        <w:autoSpaceDN w:val="0"/>
        <w:ind w:firstLine="0"/>
      </w:pPr>
      <w:r w:rsidRPr="00B07950">
        <w:rPr>
          <w:color w:val="414142"/>
        </w:rPr>
        <w:t xml:space="preserve">This work is copyright. Apart from any use as permitted under the Copyright Act 1968, no part may be reproduced by any process without prior written permission from the Commonwealth. Requests and enquiries concerning reproduction and rights should be addressed to Department of </w:t>
      </w:r>
      <w:r>
        <w:rPr>
          <w:color w:val="414142"/>
        </w:rPr>
        <w:t>the Environment</w:t>
      </w:r>
      <w:r w:rsidRPr="00B07950">
        <w:rPr>
          <w:color w:val="414142"/>
        </w:rPr>
        <w:t xml:space="preserve">, Public Affairs, GPO Box 787 Canberra ACT 2601 or email </w:t>
      </w:r>
      <w:hyperlink r:id="rId16" w:history="1">
        <w:r w:rsidRPr="00B07950">
          <w:rPr>
            <w:rStyle w:val="Hyperlink"/>
          </w:rPr>
          <w:t>public.affairs@environment.gov.au</w:t>
        </w:r>
      </w:hyperlink>
    </w:p>
    <w:p w:rsidR="00CA794F" w:rsidRPr="00B07950" w:rsidRDefault="00CA794F" w:rsidP="00CA794F">
      <w:pPr>
        <w:autoSpaceDE w:val="0"/>
        <w:autoSpaceDN w:val="0"/>
        <w:ind w:firstLine="0"/>
        <w:rPr>
          <w:color w:val="414142"/>
        </w:rPr>
      </w:pPr>
    </w:p>
    <w:p w:rsidR="00CA794F" w:rsidRDefault="009F4861" w:rsidP="00CA794F">
      <w:pPr>
        <w:ind w:firstLine="0"/>
      </w:pPr>
      <w:r w:rsidRPr="00B07950">
        <w:rPr>
          <w:color w:val="414142"/>
        </w:rPr>
        <w:t xml:space="preserve">Information presented in this document may be copied for personal use or published for education purposes, provided that any extracts are fully acknowledged. The views and opinions expressed in this publication are those of the authors and do not necessarily reflect those of the Australian Government or the Minister for </w:t>
      </w:r>
      <w:r>
        <w:rPr>
          <w:color w:val="414142"/>
        </w:rPr>
        <w:t xml:space="preserve">the </w:t>
      </w:r>
      <w:r w:rsidRPr="00B07950">
        <w:rPr>
          <w:color w:val="414142"/>
        </w:rPr>
        <w:t>Environ</w:t>
      </w:r>
      <w:r>
        <w:rPr>
          <w:color w:val="414142"/>
        </w:rPr>
        <w:t>ment</w:t>
      </w:r>
      <w:r w:rsidRPr="00B07950">
        <w:rPr>
          <w:color w:val="414142"/>
        </w:rPr>
        <w: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192448">
        <w:t xml:space="preserve"> </w:t>
      </w:r>
    </w:p>
    <w:p w:rsidR="00CA794F" w:rsidRPr="00192448" w:rsidRDefault="00CA794F" w:rsidP="00CA794F">
      <w:pPr>
        <w:autoSpaceDE w:val="0"/>
        <w:autoSpaceDN w:val="0"/>
        <w:ind w:firstLine="0"/>
        <w:rPr>
          <w:color w:val="414142"/>
        </w:rPr>
      </w:pPr>
    </w:p>
    <w:p w:rsidR="00CA794F" w:rsidRPr="00B07950" w:rsidRDefault="009F4861" w:rsidP="00CA794F">
      <w:pPr>
        <w:ind w:firstLine="0"/>
        <w:rPr>
          <w:b/>
        </w:rPr>
      </w:pPr>
      <w:r w:rsidRPr="00192448">
        <w:rPr>
          <w:color w:val="414142"/>
        </w:rPr>
        <w:t>Cover image credit:</w:t>
      </w:r>
      <w:r>
        <w:rPr>
          <w:color w:val="414142"/>
        </w:rPr>
        <w:t xml:space="preserve"> </w:t>
      </w:r>
      <w:r w:rsidRPr="00192448">
        <w:rPr>
          <w:color w:val="414142"/>
        </w:rPr>
        <w:t>Great Darling Anabranch, NSW. Photo by Rebecca Gee © CEWO.</w:t>
      </w:r>
    </w:p>
    <w:p w:rsidR="00CA794F" w:rsidRDefault="00CA794F" w:rsidP="00CA794F">
      <w:pPr>
        <w:ind w:firstLine="0"/>
        <w:sectPr w:rsidR="00CA794F" w:rsidSect="00CA794F">
          <w:pgSz w:w="11906" w:h="16838"/>
          <w:pgMar w:top="1418" w:right="1276" w:bottom="567" w:left="1418" w:header="425" w:footer="425" w:gutter="0"/>
          <w:cols w:space="708"/>
          <w:docGrid w:linePitch="360"/>
        </w:sectPr>
      </w:pPr>
    </w:p>
    <w:p w:rsidR="009C79EA" w:rsidRDefault="0044782E" w:rsidP="00037A8B">
      <w:pPr>
        <w:pStyle w:val="Heading1"/>
        <w:spacing w:before="0"/>
        <w:ind w:left="425" w:right="425"/>
        <w:jc w:val="center"/>
      </w:pPr>
      <w:r>
        <w:rPr>
          <w:noProof/>
          <w:lang w:val="en-AU" w:eastAsia="en-AU" w:bidi="ar-SA"/>
        </w:rPr>
        <w:lastRenderedPageBreak/>
        <mc:AlternateContent>
          <mc:Choice Requires="wps">
            <w:drawing>
              <wp:anchor distT="0" distB="0" distL="114300" distR="114300" simplePos="0" relativeHeight="251657215" behindDoc="0" locked="0" layoutInCell="1" allowOverlap="1">
                <wp:simplePos x="0" y="0"/>
                <wp:positionH relativeFrom="column">
                  <wp:posOffset>-41910</wp:posOffset>
                </wp:positionH>
                <wp:positionV relativeFrom="paragraph">
                  <wp:posOffset>-121285</wp:posOffset>
                </wp:positionV>
                <wp:extent cx="6018530" cy="9255125"/>
                <wp:effectExtent l="15875" t="17145" r="13970" b="14605"/>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9255125"/>
                        </a:xfrm>
                        <a:prstGeom prst="roundRect">
                          <a:avLst>
                            <a:gd name="adj" fmla="val 5171"/>
                          </a:avLst>
                        </a:prstGeom>
                        <a:noFill/>
                        <a:ln w="19050">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3F70E" id="AutoShape 5" o:spid="_x0000_s1026" style="position:absolute;margin-left:-3.3pt;margin-top:-9.55pt;width:473.9pt;height:728.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" filled="f" strokecolor="#365f91 [2404]" strokeweight="1.5pt"/>
            </w:pict>
          </mc:Fallback>
        </mc:AlternateContent>
      </w:r>
      <w:bookmarkStart w:id="6" w:name="_Toc464762936"/>
      <w:r w:rsidR="009C79EA">
        <w:t>EXECUTIVE SUMMARY</w:t>
      </w:r>
      <w:bookmarkEnd w:id="6"/>
    </w:p>
    <w:p w:rsidR="009C79EA" w:rsidRPr="00037A8B" w:rsidRDefault="009C79EA" w:rsidP="00037A8B">
      <w:pPr>
        <w:pStyle w:val="Default"/>
        <w:spacing w:before="240" w:after="40"/>
        <w:ind w:left="425" w:right="425"/>
        <w:rPr>
          <w:sz w:val="21"/>
          <w:szCs w:val="21"/>
        </w:rPr>
      </w:pPr>
      <w:r w:rsidRPr="00037A8B">
        <w:rPr>
          <w:rFonts w:ascii="Calibri" w:hAnsi="Calibri"/>
          <w:sz w:val="21"/>
          <w:szCs w:val="21"/>
        </w:rPr>
        <w:t>The Commonwealth Environmental Water Holder (CEWH) has legislated responsibility for decisions relating to Commonwealth environmental water. The purpose of Commonwealth environmental water is protecting or restoring the environmental assets of the Murray-Darling Basin. To maximise the benefits of environmental water, the Commonwealth environmental water portfolio is actively managed which means the water may be:</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delivered to meet environmental outcomes;</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 xml:space="preserve">carried over to the following year to meet future environmental outcomes; or </w:t>
      </w:r>
    </w:p>
    <w:p w:rsidR="009C79EA" w:rsidRPr="00037A8B" w:rsidRDefault="009C79EA" w:rsidP="00BF2A8B">
      <w:pPr>
        <w:pStyle w:val="Default"/>
        <w:numPr>
          <w:ilvl w:val="0"/>
          <w:numId w:val="19"/>
        </w:numPr>
        <w:spacing w:after="120"/>
        <w:ind w:left="1066" w:right="423" w:hanging="357"/>
        <w:rPr>
          <w:rFonts w:ascii="Calibri" w:hAnsi="Calibri"/>
          <w:sz w:val="21"/>
          <w:szCs w:val="21"/>
        </w:rPr>
      </w:pPr>
      <w:r w:rsidRPr="00037A8B">
        <w:rPr>
          <w:rFonts w:ascii="Calibri" w:hAnsi="Calibri"/>
          <w:sz w:val="21"/>
          <w:szCs w:val="21"/>
        </w:rPr>
        <w:t>traded.</w:t>
      </w:r>
    </w:p>
    <w:p w:rsidR="009C79EA" w:rsidRPr="00037A8B" w:rsidRDefault="009C79EA" w:rsidP="00037A8B">
      <w:pPr>
        <w:pStyle w:val="Default"/>
        <w:spacing w:before="240" w:after="40"/>
        <w:ind w:left="425" w:right="425"/>
        <w:rPr>
          <w:rFonts w:ascii="Calibri" w:hAnsi="Calibri"/>
          <w:sz w:val="21"/>
          <w:szCs w:val="21"/>
        </w:rPr>
      </w:pPr>
      <w:r w:rsidRPr="00037A8B">
        <w:rPr>
          <w:rFonts w:ascii="Calibri" w:hAnsi="Calibri"/>
          <w:sz w:val="21"/>
          <w:szCs w:val="21"/>
        </w:rPr>
        <w:t xml:space="preserve">The purpose of this </w:t>
      </w:r>
      <w:r w:rsidR="00037A8B" w:rsidRPr="00037A8B">
        <w:rPr>
          <w:rFonts w:ascii="Calibri" w:hAnsi="Calibri"/>
          <w:sz w:val="21"/>
          <w:szCs w:val="21"/>
        </w:rPr>
        <w:t>document</w:t>
      </w:r>
      <w:r w:rsidRPr="00037A8B">
        <w:rPr>
          <w:rFonts w:ascii="Calibri" w:hAnsi="Calibri"/>
          <w:sz w:val="21"/>
          <w:szCs w:val="21"/>
        </w:rPr>
        <w:t xml:space="preserve"> is to provide interested parties with the framework within which the CEWH and Commonwealth Environmental Water Office (CEWO) staff are required to behave when involved in commercial trading. The implementation of the Commonwealth </w:t>
      </w:r>
      <w:r w:rsidR="00ED4603">
        <w:rPr>
          <w:rFonts w:ascii="Calibri" w:hAnsi="Calibri"/>
          <w:sz w:val="21"/>
          <w:szCs w:val="21"/>
        </w:rPr>
        <w:t>E</w:t>
      </w:r>
      <w:r w:rsidR="00ED4603" w:rsidRPr="00037A8B">
        <w:rPr>
          <w:rFonts w:ascii="Calibri" w:hAnsi="Calibri"/>
          <w:sz w:val="21"/>
          <w:szCs w:val="21"/>
        </w:rPr>
        <w:t xml:space="preserve">nvironmental </w:t>
      </w:r>
      <w:r w:rsidR="00ED4603">
        <w:rPr>
          <w:rFonts w:ascii="Calibri" w:hAnsi="Calibri"/>
          <w:sz w:val="21"/>
          <w:szCs w:val="21"/>
        </w:rPr>
        <w:t>W</w:t>
      </w:r>
      <w:r w:rsidR="00ED4603" w:rsidRPr="00037A8B">
        <w:rPr>
          <w:rFonts w:ascii="Calibri" w:hAnsi="Calibri"/>
          <w:sz w:val="21"/>
          <w:szCs w:val="21"/>
        </w:rPr>
        <w:t xml:space="preserve">ater </w:t>
      </w:r>
      <w:r w:rsidR="00ED4603">
        <w:rPr>
          <w:rFonts w:ascii="Calibri" w:hAnsi="Calibri"/>
          <w:sz w:val="21"/>
          <w:szCs w:val="21"/>
        </w:rPr>
        <w:t>T</w:t>
      </w:r>
      <w:r w:rsidR="00ED4603" w:rsidRPr="00037A8B">
        <w:rPr>
          <w:rFonts w:ascii="Calibri" w:hAnsi="Calibri"/>
          <w:sz w:val="21"/>
          <w:szCs w:val="21"/>
        </w:rPr>
        <w:t xml:space="preserve">rading </w:t>
      </w:r>
      <w:r w:rsidR="00ED4603">
        <w:rPr>
          <w:rFonts w:ascii="Calibri" w:hAnsi="Calibri"/>
          <w:sz w:val="21"/>
          <w:szCs w:val="21"/>
        </w:rPr>
        <w:t>F</w:t>
      </w:r>
      <w:r w:rsidR="00ED4603" w:rsidRPr="00037A8B">
        <w:rPr>
          <w:rFonts w:ascii="Calibri" w:hAnsi="Calibri"/>
          <w:sz w:val="21"/>
          <w:szCs w:val="21"/>
        </w:rPr>
        <w:t xml:space="preserve">ramework </w:t>
      </w:r>
      <w:r w:rsidRPr="00037A8B">
        <w:rPr>
          <w:rFonts w:ascii="Calibri" w:hAnsi="Calibri"/>
          <w:sz w:val="21"/>
          <w:szCs w:val="21"/>
        </w:rPr>
        <w:t>(the Trading Framework)</w:t>
      </w:r>
      <w:r w:rsidRPr="00037A8B">
        <w:rPr>
          <w:sz w:val="21"/>
          <w:szCs w:val="21"/>
        </w:rPr>
        <w:t xml:space="preserve"> </w:t>
      </w:r>
      <w:r w:rsidRPr="00037A8B">
        <w:rPr>
          <w:rFonts w:ascii="Calibri" w:hAnsi="Calibri"/>
          <w:sz w:val="21"/>
          <w:szCs w:val="21"/>
        </w:rPr>
        <w:t xml:space="preserve">will ensure that the CEWH’s trading activities: </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support enhanced environmental outcomes;</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have regard to social and economic outcomes;</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consider impacts on the market, including any third-party impacts;</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are undertaken in a manner which meets legislative requirements;</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are financially responsible, fair, equitable, transparent and accountable; and that</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the CEWH and CEWO staff act with integrity and high ethical standards.</w:t>
      </w:r>
    </w:p>
    <w:p w:rsidR="009C79EA" w:rsidRPr="00037A8B" w:rsidRDefault="009C79EA" w:rsidP="00037A8B">
      <w:pPr>
        <w:pStyle w:val="Default"/>
        <w:spacing w:before="240" w:after="40"/>
        <w:ind w:left="425" w:right="425"/>
        <w:rPr>
          <w:rFonts w:ascii="Calibri" w:hAnsi="Calibri"/>
          <w:sz w:val="21"/>
          <w:szCs w:val="21"/>
        </w:rPr>
      </w:pPr>
      <w:r w:rsidRPr="00037A8B">
        <w:rPr>
          <w:rFonts w:ascii="Calibri" w:hAnsi="Calibri"/>
          <w:sz w:val="21"/>
          <w:szCs w:val="21"/>
        </w:rPr>
        <w:t xml:space="preserve">This revised version of the Trading Framework builds on the original version released in 2011 after stakeholder consultations, by incorporating changes arising from the amendments of the </w:t>
      </w:r>
      <w:r w:rsidRPr="00037A8B">
        <w:rPr>
          <w:rFonts w:ascii="Calibri" w:hAnsi="Calibri"/>
          <w:i/>
          <w:sz w:val="21"/>
          <w:szCs w:val="21"/>
        </w:rPr>
        <w:t>Water Act 2007</w:t>
      </w:r>
      <w:r w:rsidRPr="00037A8B">
        <w:rPr>
          <w:rFonts w:ascii="Calibri" w:hAnsi="Calibri"/>
          <w:sz w:val="21"/>
          <w:szCs w:val="21"/>
        </w:rPr>
        <w:t xml:space="preserve"> which passed in May 2016.The Trading Framework consists of:</w:t>
      </w:r>
    </w:p>
    <w:p w:rsidR="009C79EA" w:rsidRPr="00037A8B" w:rsidRDefault="009C79EA" w:rsidP="00BF2A8B">
      <w:pPr>
        <w:pStyle w:val="Default"/>
        <w:numPr>
          <w:ilvl w:val="0"/>
          <w:numId w:val="17"/>
        </w:numPr>
        <w:spacing w:after="40"/>
        <w:ind w:left="1066" w:right="425" w:hanging="357"/>
        <w:rPr>
          <w:rFonts w:ascii="Calibri" w:hAnsi="Calibri"/>
          <w:sz w:val="21"/>
          <w:szCs w:val="21"/>
        </w:rPr>
      </w:pPr>
      <w:r w:rsidRPr="00037A8B">
        <w:rPr>
          <w:rFonts w:ascii="Calibri" w:hAnsi="Calibri"/>
          <w:sz w:val="21"/>
          <w:szCs w:val="21"/>
        </w:rPr>
        <w:t>Legislative requirements that must be met by the CEWH as a statutory office holder and CEWO staff as Commonwealth government employees.</w:t>
      </w:r>
    </w:p>
    <w:p w:rsidR="009C79EA" w:rsidRPr="00037A8B" w:rsidRDefault="009C79EA" w:rsidP="00BF2A8B">
      <w:pPr>
        <w:pStyle w:val="Default"/>
        <w:numPr>
          <w:ilvl w:val="0"/>
          <w:numId w:val="17"/>
        </w:numPr>
        <w:spacing w:after="40"/>
        <w:ind w:left="1066" w:right="425" w:hanging="357"/>
        <w:rPr>
          <w:rFonts w:ascii="Calibri" w:hAnsi="Calibri"/>
          <w:sz w:val="21"/>
          <w:szCs w:val="21"/>
        </w:rPr>
      </w:pPr>
      <w:r w:rsidRPr="00037A8B">
        <w:rPr>
          <w:rFonts w:ascii="Calibri" w:hAnsi="Calibri"/>
          <w:sz w:val="21"/>
          <w:szCs w:val="21"/>
        </w:rPr>
        <w:t>Operating rules, which are internal governance arrangements covering the CEWH and CEWO staff in relation to the different stages involved in trade.</w:t>
      </w:r>
    </w:p>
    <w:p w:rsidR="009C79EA" w:rsidRPr="00037A8B" w:rsidRDefault="009C79EA" w:rsidP="00BF2A8B">
      <w:pPr>
        <w:pStyle w:val="Default"/>
        <w:numPr>
          <w:ilvl w:val="0"/>
          <w:numId w:val="17"/>
        </w:numPr>
        <w:spacing w:after="120"/>
        <w:ind w:left="1066" w:right="423" w:hanging="357"/>
        <w:rPr>
          <w:rFonts w:ascii="Calibri" w:hAnsi="Calibri"/>
          <w:sz w:val="21"/>
          <w:szCs w:val="21"/>
        </w:rPr>
      </w:pPr>
      <w:r w:rsidRPr="00037A8B">
        <w:rPr>
          <w:rFonts w:ascii="Calibri" w:hAnsi="Calibri"/>
          <w:sz w:val="21"/>
          <w:szCs w:val="21"/>
        </w:rPr>
        <w:t xml:space="preserve">Procedures and Protocols, which are the processes that support legislative requirements and the operating rules, and must be complied with by the CEWH and CEWO staff. </w:t>
      </w:r>
    </w:p>
    <w:p w:rsidR="009C79EA" w:rsidRPr="00037A8B" w:rsidRDefault="009C79EA" w:rsidP="00037A8B">
      <w:pPr>
        <w:pStyle w:val="Default"/>
        <w:spacing w:before="240" w:after="40"/>
        <w:ind w:left="425" w:right="425"/>
        <w:rPr>
          <w:rFonts w:ascii="Calibri" w:hAnsi="Calibri"/>
          <w:sz w:val="21"/>
          <w:szCs w:val="21"/>
        </w:rPr>
      </w:pPr>
      <w:r w:rsidRPr="00037A8B">
        <w:rPr>
          <w:rFonts w:ascii="Calibri" w:hAnsi="Calibri"/>
          <w:sz w:val="21"/>
          <w:szCs w:val="21"/>
        </w:rPr>
        <w:t>The focus of this paper is on the CEWH and CEWO’s legislative requirements and the operating rules. The operating rules provide clear guidance about the way the CEWH will behave through the trading process including:</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 xml:space="preserve">identifying trading opportunities that will enhance capacity to support environmental objectives; </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making a trade decision;</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 xml:space="preserve">approaching the market, including announcements; </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evaluation of offers;</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 xml:space="preserve">trade approvals; and </w:t>
      </w:r>
    </w:p>
    <w:p w:rsidR="009C79EA" w:rsidRPr="00037A8B" w:rsidRDefault="009C79EA" w:rsidP="00BF2A8B">
      <w:pPr>
        <w:pStyle w:val="Default"/>
        <w:numPr>
          <w:ilvl w:val="0"/>
          <w:numId w:val="19"/>
        </w:numPr>
        <w:spacing w:after="40"/>
        <w:ind w:left="1066" w:right="425" w:hanging="357"/>
        <w:rPr>
          <w:rFonts w:ascii="Calibri" w:hAnsi="Calibri"/>
          <w:sz w:val="21"/>
          <w:szCs w:val="21"/>
        </w:rPr>
      </w:pPr>
      <w:r w:rsidRPr="00037A8B">
        <w:rPr>
          <w:rFonts w:ascii="Calibri" w:hAnsi="Calibri"/>
          <w:sz w:val="21"/>
          <w:szCs w:val="21"/>
        </w:rPr>
        <w:t xml:space="preserve">announcement of results. </w:t>
      </w:r>
    </w:p>
    <w:p w:rsidR="009C79EA" w:rsidRPr="00037A8B" w:rsidRDefault="009C79EA" w:rsidP="00037A8B">
      <w:pPr>
        <w:pStyle w:val="body"/>
        <w:widowControl/>
        <w:suppressAutoHyphens w:val="0"/>
        <w:spacing w:before="240" w:after="40" w:line="240" w:lineRule="auto"/>
        <w:ind w:left="425" w:right="425"/>
        <w:textAlignment w:val="auto"/>
        <w:rPr>
          <w:rFonts w:ascii="Calibri" w:hAnsi="Calibri" w:cs="Arial"/>
          <w:spacing w:val="0"/>
          <w:sz w:val="21"/>
          <w:szCs w:val="21"/>
          <w:lang w:val="en-AU"/>
        </w:rPr>
      </w:pPr>
      <w:r w:rsidRPr="00037A8B">
        <w:rPr>
          <w:rFonts w:ascii="Calibri" w:hAnsi="Calibri"/>
          <w:sz w:val="21"/>
          <w:szCs w:val="21"/>
        </w:rPr>
        <w:t xml:space="preserve">The Trading Framework will continue to be refined if necessary as the CEWH’s involvement in the water market matures. An independent review of the Trading Framework to establish its appropriateness and effectiveness is planned for 2019. The review will also assess the CEWO’s compliance with the Trading Framework. </w:t>
      </w:r>
    </w:p>
    <w:p w:rsidR="00037A8B" w:rsidRPr="00037A8B" w:rsidRDefault="00037A8B" w:rsidP="00037A8B">
      <w:pPr>
        <w:pStyle w:val="body"/>
        <w:widowControl/>
        <w:suppressAutoHyphens w:val="0"/>
        <w:spacing w:before="240" w:after="40" w:line="240" w:lineRule="auto"/>
        <w:ind w:left="425" w:right="425"/>
        <w:textAlignment w:val="auto"/>
        <w:rPr>
          <w:rFonts w:ascii="Calibri" w:hAnsi="Calibri"/>
          <w:sz w:val="21"/>
          <w:szCs w:val="21"/>
        </w:rPr>
      </w:pPr>
    </w:p>
    <w:p w:rsidR="009C79EA" w:rsidRPr="00037A8B" w:rsidRDefault="009C79EA" w:rsidP="009C79EA">
      <w:pPr>
        <w:pStyle w:val="body"/>
        <w:spacing w:after="0"/>
        <w:ind w:left="426" w:right="423"/>
        <w:rPr>
          <w:rFonts w:ascii="Calibri" w:hAnsi="Calibri" w:cs="Arial"/>
          <w:spacing w:val="0"/>
          <w:sz w:val="21"/>
          <w:szCs w:val="21"/>
          <w:lang w:val="en-AU"/>
        </w:rPr>
      </w:pPr>
      <w:r w:rsidRPr="00037A8B">
        <w:rPr>
          <w:rFonts w:ascii="Calibri" w:hAnsi="Calibri" w:cs="Arial"/>
          <w:spacing w:val="0"/>
          <w:sz w:val="21"/>
          <w:szCs w:val="21"/>
          <w:lang w:val="en-AU"/>
        </w:rPr>
        <w:t>David Papps</w:t>
      </w:r>
      <w:r w:rsidRPr="00037A8B">
        <w:rPr>
          <w:rFonts w:ascii="Calibri" w:hAnsi="Calibri" w:cs="Arial"/>
          <w:spacing w:val="0"/>
          <w:sz w:val="21"/>
          <w:szCs w:val="21"/>
          <w:lang w:val="en-AU"/>
        </w:rPr>
        <w:br/>
        <w:t>Commonwealth Environmental Water Holder</w:t>
      </w:r>
    </w:p>
    <w:p w:rsidR="009C79EA" w:rsidRPr="00037A8B" w:rsidRDefault="000F5654" w:rsidP="009C79EA">
      <w:pPr>
        <w:pStyle w:val="body"/>
        <w:ind w:left="426" w:right="423"/>
        <w:rPr>
          <w:rFonts w:ascii="Calibri" w:hAnsi="Calibri" w:cs="Arial"/>
          <w:spacing w:val="0"/>
          <w:sz w:val="21"/>
          <w:szCs w:val="21"/>
          <w:lang w:val="en-AU"/>
        </w:rPr>
      </w:pPr>
      <w:r>
        <w:rPr>
          <w:rFonts w:ascii="Calibri" w:hAnsi="Calibri" w:cs="Arial"/>
          <w:spacing w:val="0"/>
          <w:sz w:val="21"/>
          <w:szCs w:val="21"/>
          <w:lang w:val="en-AU"/>
        </w:rPr>
        <w:t>November</w:t>
      </w:r>
      <w:r w:rsidRPr="00037A8B">
        <w:rPr>
          <w:rFonts w:ascii="Calibri" w:hAnsi="Calibri" w:cs="Arial"/>
          <w:spacing w:val="0"/>
          <w:sz w:val="21"/>
          <w:szCs w:val="21"/>
          <w:lang w:val="en-AU"/>
        </w:rPr>
        <w:t xml:space="preserve"> </w:t>
      </w:r>
      <w:r w:rsidR="009C79EA" w:rsidRPr="00037A8B">
        <w:rPr>
          <w:rFonts w:ascii="Calibri" w:hAnsi="Calibri" w:cs="Arial"/>
          <w:spacing w:val="0"/>
          <w:sz w:val="21"/>
          <w:szCs w:val="21"/>
          <w:lang w:val="en-AU"/>
        </w:rPr>
        <w:t>2016</w:t>
      </w:r>
    </w:p>
    <w:p w:rsidR="00CA794F" w:rsidRPr="00AE20CA" w:rsidRDefault="00CA794F" w:rsidP="00CA794F">
      <w:pPr>
        <w:rPr>
          <w:highlight w:val="magenta"/>
        </w:rPr>
        <w:sectPr w:rsidR="00CA794F" w:rsidRPr="00AE20CA" w:rsidSect="00037A8B">
          <w:footerReference w:type="default" r:id="rId17"/>
          <w:pgSz w:w="11906" w:h="16838"/>
          <w:pgMar w:top="1418" w:right="1276" w:bottom="567" w:left="1276" w:header="425" w:footer="425" w:gutter="0"/>
          <w:pgNumType w:start="1"/>
          <w:cols w:space="708"/>
          <w:docGrid w:linePitch="360"/>
        </w:sectPr>
      </w:pPr>
    </w:p>
    <w:bookmarkStart w:id="7" w:name="_Toc373835450" w:displacedByCustomXml="next"/>
    <w:sdt>
      <w:sdtPr>
        <w:rPr>
          <w:rFonts w:asciiTheme="minorHAnsi" w:eastAsiaTheme="minorEastAsia" w:hAnsiTheme="minorHAnsi" w:cstheme="minorBidi"/>
          <w:b w:val="0"/>
          <w:bCs w:val="0"/>
          <w:color w:val="auto"/>
          <w:sz w:val="22"/>
          <w:szCs w:val="22"/>
        </w:rPr>
        <w:id w:val="28811503"/>
        <w:docPartObj>
          <w:docPartGallery w:val="Table of Contents"/>
          <w:docPartUnique/>
        </w:docPartObj>
      </w:sdtPr>
      <w:sdtEndPr/>
      <w:sdtContent>
        <w:p w:rsidR="00CA794F" w:rsidRDefault="009F4861">
          <w:pPr>
            <w:pStyle w:val="TOCHeading"/>
          </w:pPr>
          <w:r>
            <w:t>Table of Contents</w:t>
          </w:r>
        </w:p>
        <w:p w:rsidR="008749E1" w:rsidRDefault="00A03D2A">
          <w:pPr>
            <w:pStyle w:val="TOC1"/>
            <w:tabs>
              <w:tab w:val="right" w:leader="dot" w:pos="9202"/>
            </w:tabs>
            <w:rPr>
              <w:rFonts w:asciiTheme="minorHAnsi" w:eastAsiaTheme="minorEastAsia" w:hAnsiTheme="minorHAnsi" w:cstheme="minorBidi"/>
              <w:b w:val="0"/>
              <w:noProof/>
              <w:lang w:val="en-AU" w:eastAsia="en-AU" w:bidi="ar-SA"/>
            </w:rPr>
          </w:pPr>
          <w:r>
            <w:fldChar w:fldCharType="begin"/>
          </w:r>
          <w:r w:rsidR="009F4861">
            <w:instrText xml:space="preserve"> TOC \o "1-3" \h \z \u </w:instrText>
          </w:r>
          <w:r>
            <w:fldChar w:fldCharType="separate"/>
          </w:r>
          <w:hyperlink w:anchor="_Toc464762936" w:history="1">
            <w:r w:rsidR="008749E1" w:rsidRPr="00CD2EA1">
              <w:rPr>
                <w:rStyle w:val="Hyperlink"/>
                <w:noProof/>
              </w:rPr>
              <w:t>EXECUTIVE SUMMARY</w:t>
            </w:r>
            <w:r w:rsidR="008749E1">
              <w:rPr>
                <w:noProof/>
                <w:webHidden/>
              </w:rPr>
              <w:tab/>
            </w:r>
            <w:r>
              <w:rPr>
                <w:noProof/>
                <w:webHidden/>
              </w:rPr>
              <w:fldChar w:fldCharType="begin"/>
            </w:r>
            <w:r w:rsidR="008749E1">
              <w:rPr>
                <w:noProof/>
                <w:webHidden/>
              </w:rPr>
              <w:instrText xml:space="preserve"> PAGEREF _Toc464762936 \h </w:instrText>
            </w:r>
            <w:r>
              <w:rPr>
                <w:noProof/>
                <w:webHidden/>
              </w:rPr>
            </w:r>
            <w:r>
              <w:rPr>
                <w:noProof/>
                <w:webHidden/>
              </w:rPr>
              <w:fldChar w:fldCharType="separate"/>
            </w:r>
            <w:r w:rsidR="005E096B">
              <w:rPr>
                <w:noProof/>
                <w:webHidden/>
              </w:rPr>
              <w:t>1</w:t>
            </w:r>
            <w:r>
              <w:rPr>
                <w:noProof/>
                <w:webHidden/>
              </w:rPr>
              <w:fldChar w:fldCharType="end"/>
            </w:r>
          </w:hyperlink>
        </w:p>
        <w:p w:rsidR="008749E1" w:rsidRDefault="0044782E">
          <w:pPr>
            <w:pStyle w:val="TOC1"/>
            <w:tabs>
              <w:tab w:val="left" w:pos="880"/>
              <w:tab w:val="right" w:leader="dot" w:pos="9202"/>
            </w:tabs>
            <w:rPr>
              <w:rFonts w:asciiTheme="minorHAnsi" w:eastAsiaTheme="minorEastAsia" w:hAnsiTheme="minorHAnsi" w:cstheme="minorBidi"/>
              <w:b w:val="0"/>
              <w:noProof/>
              <w:lang w:val="en-AU" w:eastAsia="en-AU" w:bidi="ar-SA"/>
            </w:rPr>
          </w:pPr>
          <w:hyperlink w:anchor="_Toc464762937" w:history="1">
            <w:r w:rsidR="008749E1" w:rsidRPr="00CD2EA1">
              <w:rPr>
                <w:rStyle w:val="Hyperlink"/>
                <w:noProof/>
              </w:rPr>
              <w:t>1.</w:t>
            </w:r>
            <w:r w:rsidR="008749E1">
              <w:rPr>
                <w:rFonts w:asciiTheme="minorHAnsi" w:eastAsiaTheme="minorEastAsia" w:hAnsiTheme="minorHAnsi" w:cstheme="minorBidi"/>
                <w:b w:val="0"/>
                <w:noProof/>
                <w:lang w:val="en-AU" w:eastAsia="en-AU" w:bidi="ar-SA"/>
              </w:rPr>
              <w:tab/>
            </w:r>
            <w:r w:rsidR="008749E1" w:rsidRPr="00CD2EA1">
              <w:rPr>
                <w:rStyle w:val="Hyperlink"/>
                <w:noProof/>
              </w:rPr>
              <w:t>PURPOSE</w:t>
            </w:r>
            <w:r w:rsidR="008749E1">
              <w:rPr>
                <w:noProof/>
                <w:webHidden/>
              </w:rPr>
              <w:tab/>
            </w:r>
            <w:r w:rsidR="00A03D2A">
              <w:rPr>
                <w:noProof/>
                <w:webHidden/>
              </w:rPr>
              <w:fldChar w:fldCharType="begin"/>
            </w:r>
            <w:r w:rsidR="008749E1">
              <w:rPr>
                <w:noProof/>
                <w:webHidden/>
              </w:rPr>
              <w:instrText xml:space="preserve"> PAGEREF _Toc464762937 \h </w:instrText>
            </w:r>
            <w:r w:rsidR="00A03D2A">
              <w:rPr>
                <w:noProof/>
                <w:webHidden/>
              </w:rPr>
            </w:r>
            <w:r w:rsidR="00A03D2A">
              <w:rPr>
                <w:noProof/>
                <w:webHidden/>
              </w:rPr>
              <w:fldChar w:fldCharType="separate"/>
            </w:r>
            <w:r w:rsidR="005E096B">
              <w:rPr>
                <w:noProof/>
                <w:webHidden/>
              </w:rPr>
              <w:t>3</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38" w:history="1">
            <w:r w:rsidR="008749E1" w:rsidRPr="00CD2EA1">
              <w:rPr>
                <w:rStyle w:val="Hyperlink"/>
                <w:noProof/>
              </w:rPr>
              <w:t>1.1.</w:t>
            </w:r>
            <w:r w:rsidR="008749E1">
              <w:rPr>
                <w:rFonts w:asciiTheme="minorHAnsi" w:eastAsiaTheme="minorEastAsia" w:hAnsiTheme="minorHAnsi" w:cstheme="minorBidi"/>
                <w:b w:val="0"/>
                <w:noProof/>
                <w:lang w:val="en-AU" w:eastAsia="en-AU" w:bidi="ar-SA"/>
              </w:rPr>
              <w:tab/>
            </w:r>
            <w:r w:rsidR="008749E1" w:rsidRPr="00CD2EA1">
              <w:rPr>
                <w:rStyle w:val="Hyperlink"/>
                <w:noProof/>
              </w:rPr>
              <w:t>Compliance with Commonwealth and State legislation</w:t>
            </w:r>
            <w:r w:rsidR="008749E1">
              <w:rPr>
                <w:noProof/>
                <w:webHidden/>
              </w:rPr>
              <w:tab/>
            </w:r>
            <w:r w:rsidR="00A03D2A">
              <w:rPr>
                <w:noProof/>
                <w:webHidden/>
              </w:rPr>
              <w:fldChar w:fldCharType="begin"/>
            </w:r>
            <w:r w:rsidR="008749E1">
              <w:rPr>
                <w:noProof/>
                <w:webHidden/>
              </w:rPr>
              <w:instrText xml:space="preserve"> PAGEREF _Toc464762938 \h </w:instrText>
            </w:r>
            <w:r w:rsidR="00A03D2A">
              <w:rPr>
                <w:noProof/>
                <w:webHidden/>
              </w:rPr>
            </w:r>
            <w:r w:rsidR="00A03D2A">
              <w:rPr>
                <w:noProof/>
                <w:webHidden/>
              </w:rPr>
              <w:fldChar w:fldCharType="separate"/>
            </w:r>
            <w:r w:rsidR="005E096B">
              <w:rPr>
                <w:noProof/>
                <w:webHidden/>
              </w:rPr>
              <w:t>3</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39" w:history="1">
            <w:r w:rsidR="008749E1" w:rsidRPr="00CD2EA1">
              <w:rPr>
                <w:rStyle w:val="Hyperlink"/>
                <w:noProof/>
              </w:rPr>
              <w:t>1.2.</w:t>
            </w:r>
            <w:r w:rsidR="008749E1">
              <w:rPr>
                <w:rFonts w:asciiTheme="minorHAnsi" w:eastAsiaTheme="minorEastAsia" w:hAnsiTheme="minorHAnsi" w:cstheme="minorBidi"/>
                <w:b w:val="0"/>
                <w:noProof/>
                <w:lang w:val="en-AU" w:eastAsia="en-AU" w:bidi="ar-SA"/>
              </w:rPr>
              <w:tab/>
            </w:r>
            <w:r w:rsidR="008749E1" w:rsidRPr="00CD2EA1">
              <w:rPr>
                <w:rStyle w:val="Hyperlink"/>
                <w:noProof/>
              </w:rPr>
              <w:t>Operating Rules</w:t>
            </w:r>
            <w:r w:rsidR="008749E1">
              <w:rPr>
                <w:noProof/>
                <w:webHidden/>
              </w:rPr>
              <w:tab/>
            </w:r>
            <w:r w:rsidR="00A03D2A">
              <w:rPr>
                <w:noProof/>
                <w:webHidden/>
              </w:rPr>
              <w:fldChar w:fldCharType="begin"/>
            </w:r>
            <w:r w:rsidR="008749E1">
              <w:rPr>
                <w:noProof/>
                <w:webHidden/>
              </w:rPr>
              <w:instrText xml:space="preserve"> PAGEREF _Toc464762939 \h </w:instrText>
            </w:r>
            <w:r w:rsidR="00A03D2A">
              <w:rPr>
                <w:noProof/>
                <w:webHidden/>
              </w:rPr>
            </w:r>
            <w:r w:rsidR="00A03D2A">
              <w:rPr>
                <w:noProof/>
                <w:webHidden/>
              </w:rPr>
              <w:fldChar w:fldCharType="separate"/>
            </w:r>
            <w:r w:rsidR="005E096B">
              <w:rPr>
                <w:noProof/>
                <w:webHidden/>
              </w:rPr>
              <w:t>4</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40" w:history="1">
            <w:r w:rsidR="008749E1" w:rsidRPr="00CD2EA1">
              <w:rPr>
                <w:rStyle w:val="Hyperlink"/>
                <w:noProof/>
              </w:rPr>
              <w:t>1.3.</w:t>
            </w:r>
            <w:r w:rsidR="008749E1">
              <w:rPr>
                <w:rFonts w:asciiTheme="minorHAnsi" w:eastAsiaTheme="minorEastAsia" w:hAnsiTheme="minorHAnsi" w:cstheme="minorBidi"/>
                <w:b w:val="0"/>
                <w:noProof/>
                <w:lang w:val="en-AU" w:eastAsia="en-AU" w:bidi="ar-SA"/>
              </w:rPr>
              <w:tab/>
            </w:r>
            <w:r w:rsidR="008749E1" w:rsidRPr="00CD2EA1">
              <w:rPr>
                <w:rStyle w:val="Hyperlink"/>
                <w:noProof/>
              </w:rPr>
              <w:t>Procedures and Protocols</w:t>
            </w:r>
            <w:r w:rsidR="008749E1">
              <w:rPr>
                <w:noProof/>
                <w:webHidden/>
              </w:rPr>
              <w:tab/>
            </w:r>
            <w:r w:rsidR="00A03D2A">
              <w:rPr>
                <w:noProof/>
                <w:webHidden/>
              </w:rPr>
              <w:fldChar w:fldCharType="begin"/>
            </w:r>
            <w:r w:rsidR="008749E1">
              <w:rPr>
                <w:noProof/>
                <w:webHidden/>
              </w:rPr>
              <w:instrText xml:space="preserve"> PAGEREF _Toc464762940 \h </w:instrText>
            </w:r>
            <w:r w:rsidR="00A03D2A">
              <w:rPr>
                <w:noProof/>
                <w:webHidden/>
              </w:rPr>
            </w:r>
            <w:r w:rsidR="00A03D2A">
              <w:rPr>
                <w:noProof/>
                <w:webHidden/>
              </w:rPr>
              <w:fldChar w:fldCharType="separate"/>
            </w:r>
            <w:r w:rsidR="005E096B">
              <w:rPr>
                <w:noProof/>
                <w:webHidden/>
              </w:rPr>
              <w:t>4</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41" w:history="1">
            <w:r w:rsidR="008749E1" w:rsidRPr="00CD2EA1">
              <w:rPr>
                <w:rStyle w:val="Hyperlink"/>
                <w:noProof/>
              </w:rPr>
              <w:t>1.3.1.</w:t>
            </w:r>
            <w:r w:rsidR="008749E1">
              <w:rPr>
                <w:rFonts w:asciiTheme="minorHAnsi" w:eastAsiaTheme="minorEastAsia" w:hAnsiTheme="minorHAnsi" w:cstheme="minorBidi"/>
                <w:b w:val="0"/>
                <w:noProof/>
                <w:lang w:val="en-AU" w:eastAsia="en-AU" w:bidi="ar-SA"/>
              </w:rPr>
              <w:tab/>
            </w:r>
            <w:r w:rsidR="008749E1" w:rsidRPr="00CD2EA1">
              <w:rPr>
                <w:rStyle w:val="Hyperlink"/>
                <w:noProof/>
              </w:rPr>
              <w:t>Procedures</w:t>
            </w:r>
            <w:r w:rsidR="008749E1">
              <w:rPr>
                <w:noProof/>
                <w:webHidden/>
              </w:rPr>
              <w:tab/>
            </w:r>
            <w:r w:rsidR="00A03D2A">
              <w:rPr>
                <w:noProof/>
                <w:webHidden/>
              </w:rPr>
              <w:fldChar w:fldCharType="begin"/>
            </w:r>
            <w:r w:rsidR="008749E1">
              <w:rPr>
                <w:noProof/>
                <w:webHidden/>
              </w:rPr>
              <w:instrText xml:space="preserve"> PAGEREF _Toc464762941 \h </w:instrText>
            </w:r>
            <w:r w:rsidR="00A03D2A">
              <w:rPr>
                <w:noProof/>
                <w:webHidden/>
              </w:rPr>
            </w:r>
            <w:r w:rsidR="00A03D2A">
              <w:rPr>
                <w:noProof/>
                <w:webHidden/>
              </w:rPr>
              <w:fldChar w:fldCharType="separate"/>
            </w:r>
            <w:r w:rsidR="005E096B">
              <w:rPr>
                <w:noProof/>
                <w:webHidden/>
              </w:rPr>
              <w:t>4</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42" w:history="1">
            <w:r w:rsidR="008749E1" w:rsidRPr="00CD2EA1">
              <w:rPr>
                <w:rStyle w:val="Hyperlink"/>
                <w:noProof/>
              </w:rPr>
              <w:t>1.3.2.</w:t>
            </w:r>
            <w:r w:rsidR="008749E1">
              <w:rPr>
                <w:rFonts w:asciiTheme="minorHAnsi" w:eastAsiaTheme="minorEastAsia" w:hAnsiTheme="minorHAnsi" w:cstheme="minorBidi"/>
                <w:b w:val="0"/>
                <w:noProof/>
                <w:lang w:val="en-AU" w:eastAsia="en-AU" w:bidi="ar-SA"/>
              </w:rPr>
              <w:tab/>
            </w:r>
            <w:r w:rsidR="008749E1" w:rsidRPr="00CD2EA1">
              <w:rPr>
                <w:rStyle w:val="Hyperlink"/>
                <w:noProof/>
              </w:rPr>
              <w:t>Protocols</w:t>
            </w:r>
            <w:r w:rsidR="008749E1">
              <w:rPr>
                <w:noProof/>
                <w:webHidden/>
              </w:rPr>
              <w:tab/>
            </w:r>
            <w:r w:rsidR="00A03D2A">
              <w:rPr>
                <w:noProof/>
                <w:webHidden/>
              </w:rPr>
              <w:fldChar w:fldCharType="begin"/>
            </w:r>
            <w:r w:rsidR="008749E1">
              <w:rPr>
                <w:noProof/>
                <w:webHidden/>
              </w:rPr>
              <w:instrText xml:space="preserve"> PAGEREF _Toc464762942 \h </w:instrText>
            </w:r>
            <w:r w:rsidR="00A03D2A">
              <w:rPr>
                <w:noProof/>
                <w:webHidden/>
              </w:rPr>
            </w:r>
            <w:r w:rsidR="00A03D2A">
              <w:rPr>
                <w:noProof/>
                <w:webHidden/>
              </w:rPr>
              <w:fldChar w:fldCharType="separate"/>
            </w:r>
            <w:r w:rsidR="005E096B">
              <w:rPr>
                <w:noProof/>
                <w:webHidden/>
              </w:rPr>
              <w:t>4</w:t>
            </w:r>
            <w:r w:rsidR="00A03D2A">
              <w:rPr>
                <w:noProof/>
                <w:webHidden/>
              </w:rPr>
              <w:fldChar w:fldCharType="end"/>
            </w:r>
          </w:hyperlink>
        </w:p>
        <w:p w:rsidR="008749E1" w:rsidRDefault="0044782E">
          <w:pPr>
            <w:pStyle w:val="TOC2"/>
            <w:rPr>
              <w:rFonts w:asciiTheme="minorHAnsi" w:eastAsiaTheme="minorEastAsia" w:hAnsiTheme="minorHAnsi" w:cstheme="minorBidi"/>
              <w:b w:val="0"/>
              <w:bCs w:val="0"/>
              <w:i w:val="0"/>
              <w:iCs w:val="0"/>
              <w:lang w:val="en-AU" w:eastAsia="en-AU" w:bidi="ar-SA"/>
            </w:rPr>
          </w:pPr>
          <w:hyperlink w:anchor="_Toc464762943" w:history="1">
            <w:r w:rsidR="008749E1" w:rsidRPr="00CD2EA1">
              <w:rPr>
                <w:rStyle w:val="Hyperlink"/>
              </w:rPr>
              <w:t>Figure 1: Trading Framework and Trading Process</w:t>
            </w:r>
            <w:r w:rsidR="008749E1">
              <w:rPr>
                <w:webHidden/>
              </w:rPr>
              <w:tab/>
            </w:r>
            <w:r w:rsidR="00A03D2A">
              <w:rPr>
                <w:webHidden/>
              </w:rPr>
              <w:fldChar w:fldCharType="begin"/>
            </w:r>
            <w:r w:rsidR="008749E1">
              <w:rPr>
                <w:webHidden/>
              </w:rPr>
              <w:instrText xml:space="preserve"> PAGEREF _Toc464762943 \h </w:instrText>
            </w:r>
            <w:r w:rsidR="00A03D2A">
              <w:rPr>
                <w:webHidden/>
              </w:rPr>
            </w:r>
            <w:r w:rsidR="00A03D2A">
              <w:rPr>
                <w:webHidden/>
              </w:rPr>
              <w:fldChar w:fldCharType="separate"/>
            </w:r>
            <w:r w:rsidR="005E096B">
              <w:rPr>
                <w:webHidden/>
              </w:rPr>
              <w:t>5</w:t>
            </w:r>
            <w:r w:rsidR="00A03D2A">
              <w:rPr>
                <w:webHidden/>
              </w:rPr>
              <w:fldChar w:fldCharType="end"/>
            </w:r>
          </w:hyperlink>
        </w:p>
        <w:p w:rsidR="008749E1" w:rsidRDefault="0044782E">
          <w:pPr>
            <w:pStyle w:val="TOC1"/>
            <w:tabs>
              <w:tab w:val="left" w:pos="880"/>
              <w:tab w:val="right" w:leader="dot" w:pos="9202"/>
            </w:tabs>
            <w:rPr>
              <w:rFonts w:asciiTheme="minorHAnsi" w:eastAsiaTheme="minorEastAsia" w:hAnsiTheme="minorHAnsi" w:cstheme="minorBidi"/>
              <w:b w:val="0"/>
              <w:noProof/>
              <w:lang w:val="en-AU" w:eastAsia="en-AU" w:bidi="ar-SA"/>
            </w:rPr>
          </w:pPr>
          <w:hyperlink w:anchor="_Toc464762944" w:history="1">
            <w:r w:rsidR="008749E1" w:rsidRPr="00CD2EA1">
              <w:rPr>
                <w:rStyle w:val="Hyperlink"/>
                <w:noProof/>
              </w:rPr>
              <w:t>2.</w:t>
            </w:r>
            <w:r w:rsidR="008749E1">
              <w:rPr>
                <w:rFonts w:asciiTheme="minorHAnsi" w:eastAsiaTheme="minorEastAsia" w:hAnsiTheme="minorHAnsi" w:cstheme="minorBidi"/>
                <w:b w:val="0"/>
                <w:noProof/>
                <w:lang w:val="en-AU" w:eastAsia="en-AU" w:bidi="ar-SA"/>
              </w:rPr>
              <w:tab/>
            </w:r>
            <w:r w:rsidR="008749E1" w:rsidRPr="00CD2EA1">
              <w:rPr>
                <w:rStyle w:val="Hyperlink"/>
                <w:noProof/>
              </w:rPr>
              <w:t>COMPLIANCE WITH COMMONWEALTH AND STATE LEGISLATION</w:t>
            </w:r>
            <w:r w:rsidR="008749E1">
              <w:rPr>
                <w:noProof/>
                <w:webHidden/>
              </w:rPr>
              <w:tab/>
            </w:r>
            <w:r w:rsidR="00A03D2A">
              <w:rPr>
                <w:noProof/>
                <w:webHidden/>
              </w:rPr>
              <w:fldChar w:fldCharType="begin"/>
            </w:r>
            <w:r w:rsidR="008749E1">
              <w:rPr>
                <w:noProof/>
                <w:webHidden/>
              </w:rPr>
              <w:instrText xml:space="preserve"> PAGEREF _Toc464762944 \h </w:instrText>
            </w:r>
            <w:r w:rsidR="00A03D2A">
              <w:rPr>
                <w:noProof/>
                <w:webHidden/>
              </w:rPr>
            </w:r>
            <w:r w:rsidR="00A03D2A">
              <w:rPr>
                <w:noProof/>
                <w:webHidden/>
              </w:rPr>
              <w:fldChar w:fldCharType="separate"/>
            </w:r>
            <w:r w:rsidR="005E096B">
              <w:rPr>
                <w:noProof/>
                <w:webHidden/>
              </w:rPr>
              <w:t>6</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45" w:history="1">
            <w:r w:rsidR="008749E1" w:rsidRPr="00CD2EA1">
              <w:rPr>
                <w:rStyle w:val="Hyperlink"/>
                <w:noProof/>
              </w:rPr>
              <w:t>2.1.</w:t>
            </w:r>
            <w:r w:rsidR="008749E1">
              <w:rPr>
                <w:rFonts w:asciiTheme="minorHAnsi" w:eastAsiaTheme="minorEastAsia" w:hAnsiTheme="minorHAnsi" w:cstheme="minorBidi"/>
                <w:b w:val="0"/>
                <w:noProof/>
                <w:lang w:val="en-AU" w:eastAsia="en-AU" w:bidi="ar-SA"/>
              </w:rPr>
              <w:tab/>
            </w:r>
            <w:r w:rsidR="008749E1" w:rsidRPr="00CD2EA1">
              <w:rPr>
                <w:rStyle w:val="Hyperlink"/>
                <w:noProof/>
              </w:rPr>
              <w:t>The Water Act</w:t>
            </w:r>
            <w:r w:rsidR="008749E1">
              <w:rPr>
                <w:noProof/>
                <w:webHidden/>
              </w:rPr>
              <w:tab/>
            </w:r>
            <w:r w:rsidR="00A03D2A">
              <w:rPr>
                <w:noProof/>
                <w:webHidden/>
              </w:rPr>
              <w:fldChar w:fldCharType="begin"/>
            </w:r>
            <w:r w:rsidR="008749E1">
              <w:rPr>
                <w:noProof/>
                <w:webHidden/>
              </w:rPr>
              <w:instrText xml:space="preserve"> PAGEREF _Toc464762945 \h </w:instrText>
            </w:r>
            <w:r w:rsidR="00A03D2A">
              <w:rPr>
                <w:noProof/>
                <w:webHidden/>
              </w:rPr>
            </w:r>
            <w:r w:rsidR="00A03D2A">
              <w:rPr>
                <w:noProof/>
                <w:webHidden/>
              </w:rPr>
              <w:fldChar w:fldCharType="separate"/>
            </w:r>
            <w:r w:rsidR="005E096B">
              <w:rPr>
                <w:noProof/>
                <w:webHidden/>
              </w:rPr>
              <w:t>6</w:t>
            </w:r>
            <w:r w:rsidR="00A03D2A">
              <w:rPr>
                <w:noProof/>
                <w:webHidden/>
              </w:rPr>
              <w:fldChar w:fldCharType="end"/>
            </w:r>
          </w:hyperlink>
        </w:p>
        <w:p w:rsidR="008749E1" w:rsidRDefault="0044782E">
          <w:pPr>
            <w:pStyle w:val="TOC2"/>
            <w:rPr>
              <w:rFonts w:asciiTheme="minorHAnsi" w:eastAsiaTheme="minorEastAsia" w:hAnsiTheme="minorHAnsi" w:cstheme="minorBidi"/>
              <w:b w:val="0"/>
              <w:bCs w:val="0"/>
              <w:i w:val="0"/>
              <w:iCs w:val="0"/>
              <w:lang w:val="en-AU" w:eastAsia="en-AU" w:bidi="ar-SA"/>
            </w:rPr>
          </w:pPr>
          <w:hyperlink w:anchor="_Toc464762946" w:history="1">
            <w:r w:rsidR="008749E1" w:rsidRPr="00CD2EA1">
              <w:rPr>
                <w:rStyle w:val="Hyperlink"/>
              </w:rPr>
              <w:t>Figure 2: Options for allocation sale under Section 106 of the Water Act</w:t>
            </w:r>
            <w:r w:rsidR="008749E1">
              <w:rPr>
                <w:webHidden/>
              </w:rPr>
              <w:tab/>
            </w:r>
            <w:r w:rsidR="00A03D2A">
              <w:rPr>
                <w:webHidden/>
              </w:rPr>
              <w:fldChar w:fldCharType="begin"/>
            </w:r>
            <w:r w:rsidR="008749E1">
              <w:rPr>
                <w:webHidden/>
              </w:rPr>
              <w:instrText xml:space="preserve"> PAGEREF _Toc464762946 \h </w:instrText>
            </w:r>
            <w:r w:rsidR="00A03D2A">
              <w:rPr>
                <w:webHidden/>
              </w:rPr>
            </w:r>
            <w:r w:rsidR="00A03D2A">
              <w:rPr>
                <w:webHidden/>
              </w:rPr>
              <w:fldChar w:fldCharType="separate"/>
            </w:r>
            <w:r w:rsidR="005E096B">
              <w:rPr>
                <w:webHidden/>
              </w:rPr>
              <w:t>7</w:t>
            </w:r>
            <w:r w:rsidR="00A03D2A">
              <w:rPr>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47" w:history="1">
            <w:r w:rsidR="008749E1" w:rsidRPr="00CD2EA1">
              <w:rPr>
                <w:rStyle w:val="Hyperlink"/>
                <w:noProof/>
              </w:rPr>
              <w:t>2.1.1.</w:t>
            </w:r>
            <w:r w:rsidR="008749E1">
              <w:rPr>
                <w:rFonts w:asciiTheme="minorHAnsi" w:eastAsiaTheme="minorEastAsia" w:hAnsiTheme="minorHAnsi" w:cstheme="minorBidi"/>
                <w:b w:val="0"/>
                <w:noProof/>
                <w:lang w:val="en-AU" w:eastAsia="en-AU" w:bidi="ar-SA"/>
              </w:rPr>
              <w:tab/>
            </w:r>
            <w:r w:rsidR="008749E1" w:rsidRPr="00CD2EA1">
              <w:rPr>
                <w:rStyle w:val="Hyperlink"/>
                <w:noProof/>
              </w:rPr>
              <w:t>The Basin Plan</w:t>
            </w:r>
            <w:r w:rsidR="008749E1">
              <w:rPr>
                <w:noProof/>
                <w:webHidden/>
              </w:rPr>
              <w:tab/>
            </w:r>
            <w:r w:rsidR="00A03D2A">
              <w:rPr>
                <w:noProof/>
                <w:webHidden/>
              </w:rPr>
              <w:fldChar w:fldCharType="begin"/>
            </w:r>
            <w:r w:rsidR="008749E1">
              <w:rPr>
                <w:noProof/>
                <w:webHidden/>
              </w:rPr>
              <w:instrText xml:space="preserve"> PAGEREF _Toc464762947 \h </w:instrText>
            </w:r>
            <w:r w:rsidR="00A03D2A">
              <w:rPr>
                <w:noProof/>
                <w:webHidden/>
              </w:rPr>
            </w:r>
            <w:r w:rsidR="00A03D2A">
              <w:rPr>
                <w:noProof/>
                <w:webHidden/>
              </w:rPr>
              <w:fldChar w:fldCharType="separate"/>
            </w:r>
            <w:r w:rsidR="005E096B">
              <w:rPr>
                <w:noProof/>
                <w:webHidden/>
              </w:rPr>
              <w:t>7</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48" w:history="1">
            <w:r w:rsidR="008749E1" w:rsidRPr="00CD2EA1">
              <w:rPr>
                <w:rStyle w:val="Hyperlink"/>
                <w:noProof/>
              </w:rPr>
              <w:t>2.2.</w:t>
            </w:r>
            <w:r w:rsidR="008749E1">
              <w:rPr>
                <w:rFonts w:asciiTheme="minorHAnsi" w:eastAsiaTheme="minorEastAsia" w:hAnsiTheme="minorHAnsi" w:cstheme="minorBidi"/>
                <w:b w:val="0"/>
                <w:noProof/>
                <w:lang w:val="en-AU" w:eastAsia="en-AU" w:bidi="ar-SA"/>
              </w:rPr>
              <w:tab/>
            </w:r>
            <w:r w:rsidR="008749E1" w:rsidRPr="00CD2EA1">
              <w:rPr>
                <w:rStyle w:val="Hyperlink"/>
                <w:noProof/>
              </w:rPr>
              <w:t>Public Service Act 1999</w:t>
            </w:r>
            <w:r w:rsidR="008749E1">
              <w:rPr>
                <w:noProof/>
                <w:webHidden/>
              </w:rPr>
              <w:tab/>
            </w:r>
            <w:r w:rsidR="00A03D2A">
              <w:rPr>
                <w:noProof/>
                <w:webHidden/>
              </w:rPr>
              <w:fldChar w:fldCharType="begin"/>
            </w:r>
            <w:r w:rsidR="008749E1">
              <w:rPr>
                <w:noProof/>
                <w:webHidden/>
              </w:rPr>
              <w:instrText xml:space="preserve"> PAGEREF _Toc464762948 \h </w:instrText>
            </w:r>
            <w:r w:rsidR="00A03D2A">
              <w:rPr>
                <w:noProof/>
                <w:webHidden/>
              </w:rPr>
            </w:r>
            <w:r w:rsidR="00A03D2A">
              <w:rPr>
                <w:noProof/>
                <w:webHidden/>
              </w:rPr>
              <w:fldChar w:fldCharType="separate"/>
            </w:r>
            <w:r w:rsidR="005E096B">
              <w:rPr>
                <w:noProof/>
                <w:webHidden/>
              </w:rPr>
              <w:t>8</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49" w:history="1">
            <w:r w:rsidR="008749E1" w:rsidRPr="00CD2EA1">
              <w:rPr>
                <w:rStyle w:val="Hyperlink"/>
                <w:noProof/>
              </w:rPr>
              <w:t>2.2.1.</w:t>
            </w:r>
            <w:r w:rsidR="008749E1">
              <w:rPr>
                <w:rFonts w:asciiTheme="minorHAnsi" w:eastAsiaTheme="minorEastAsia" w:hAnsiTheme="minorHAnsi" w:cstheme="minorBidi"/>
                <w:b w:val="0"/>
                <w:noProof/>
                <w:lang w:val="en-AU" w:eastAsia="en-AU" w:bidi="ar-SA"/>
              </w:rPr>
              <w:tab/>
            </w:r>
            <w:r w:rsidR="008749E1" w:rsidRPr="00CD2EA1">
              <w:rPr>
                <w:rStyle w:val="Hyperlink"/>
                <w:noProof/>
              </w:rPr>
              <w:t>APS Values, Employment Principles and Code of Conduct</w:t>
            </w:r>
            <w:r w:rsidR="008749E1">
              <w:rPr>
                <w:noProof/>
                <w:webHidden/>
              </w:rPr>
              <w:tab/>
            </w:r>
            <w:r w:rsidR="00A03D2A">
              <w:rPr>
                <w:noProof/>
                <w:webHidden/>
              </w:rPr>
              <w:fldChar w:fldCharType="begin"/>
            </w:r>
            <w:r w:rsidR="008749E1">
              <w:rPr>
                <w:noProof/>
                <w:webHidden/>
              </w:rPr>
              <w:instrText xml:space="preserve"> PAGEREF _Toc464762949 \h </w:instrText>
            </w:r>
            <w:r w:rsidR="00A03D2A">
              <w:rPr>
                <w:noProof/>
                <w:webHidden/>
              </w:rPr>
            </w:r>
            <w:r w:rsidR="00A03D2A">
              <w:rPr>
                <w:noProof/>
                <w:webHidden/>
              </w:rPr>
              <w:fldChar w:fldCharType="separate"/>
            </w:r>
            <w:r w:rsidR="005E096B">
              <w:rPr>
                <w:noProof/>
                <w:webHidden/>
              </w:rPr>
              <w:t>8</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50" w:history="1">
            <w:r w:rsidR="008749E1" w:rsidRPr="00CD2EA1">
              <w:rPr>
                <w:rStyle w:val="Hyperlink"/>
                <w:noProof/>
              </w:rPr>
              <w:t>2.3.</w:t>
            </w:r>
            <w:r w:rsidR="008749E1">
              <w:rPr>
                <w:rFonts w:asciiTheme="minorHAnsi" w:eastAsiaTheme="minorEastAsia" w:hAnsiTheme="minorHAnsi" w:cstheme="minorBidi"/>
                <w:b w:val="0"/>
                <w:noProof/>
                <w:lang w:val="en-AU" w:eastAsia="en-AU" w:bidi="ar-SA"/>
              </w:rPr>
              <w:tab/>
            </w:r>
            <w:r w:rsidR="008749E1" w:rsidRPr="00CD2EA1">
              <w:rPr>
                <w:rStyle w:val="Hyperlink"/>
                <w:noProof/>
              </w:rPr>
              <w:t>The Public Governance, Performance and Accountability Act 2013 (PGPA Act)</w:t>
            </w:r>
            <w:r w:rsidR="008749E1">
              <w:rPr>
                <w:noProof/>
                <w:webHidden/>
              </w:rPr>
              <w:tab/>
            </w:r>
            <w:r w:rsidR="00A03D2A">
              <w:rPr>
                <w:noProof/>
                <w:webHidden/>
              </w:rPr>
              <w:fldChar w:fldCharType="begin"/>
            </w:r>
            <w:r w:rsidR="008749E1">
              <w:rPr>
                <w:noProof/>
                <w:webHidden/>
              </w:rPr>
              <w:instrText xml:space="preserve"> PAGEREF _Toc464762950 \h </w:instrText>
            </w:r>
            <w:r w:rsidR="00A03D2A">
              <w:rPr>
                <w:noProof/>
                <w:webHidden/>
              </w:rPr>
            </w:r>
            <w:r w:rsidR="00A03D2A">
              <w:rPr>
                <w:noProof/>
                <w:webHidden/>
              </w:rPr>
              <w:fldChar w:fldCharType="separate"/>
            </w:r>
            <w:r w:rsidR="005E096B">
              <w:rPr>
                <w:noProof/>
                <w:webHidden/>
              </w:rPr>
              <w:t>8</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51" w:history="1">
            <w:r w:rsidR="008749E1" w:rsidRPr="00CD2EA1">
              <w:rPr>
                <w:rStyle w:val="Hyperlink"/>
                <w:noProof/>
              </w:rPr>
              <w:t>2.3.1.</w:t>
            </w:r>
            <w:r w:rsidR="008749E1">
              <w:rPr>
                <w:rFonts w:asciiTheme="minorHAnsi" w:eastAsiaTheme="minorEastAsia" w:hAnsiTheme="minorHAnsi" w:cstheme="minorBidi"/>
                <w:b w:val="0"/>
                <w:noProof/>
                <w:lang w:val="en-AU" w:eastAsia="en-AU" w:bidi="ar-SA"/>
              </w:rPr>
              <w:tab/>
            </w:r>
            <w:r w:rsidR="008749E1" w:rsidRPr="00CD2EA1">
              <w:rPr>
                <w:rStyle w:val="Hyperlink"/>
                <w:noProof/>
              </w:rPr>
              <w:t>Commonwealth Procurement Rules 2014 (CPR)</w:t>
            </w:r>
            <w:r w:rsidR="008749E1">
              <w:rPr>
                <w:noProof/>
                <w:webHidden/>
              </w:rPr>
              <w:tab/>
            </w:r>
            <w:r w:rsidR="00A03D2A">
              <w:rPr>
                <w:noProof/>
                <w:webHidden/>
              </w:rPr>
              <w:fldChar w:fldCharType="begin"/>
            </w:r>
            <w:r w:rsidR="008749E1">
              <w:rPr>
                <w:noProof/>
                <w:webHidden/>
              </w:rPr>
              <w:instrText xml:space="preserve"> PAGEREF _Toc464762951 \h </w:instrText>
            </w:r>
            <w:r w:rsidR="00A03D2A">
              <w:rPr>
                <w:noProof/>
                <w:webHidden/>
              </w:rPr>
            </w:r>
            <w:r w:rsidR="00A03D2A">
              <w:rPr>
                <w:noProof/>
                <w:webHidden/>
              </w:rPr>
              <w:fldChar w:fldCharType="separate"/>
            </w:r>
            <w:r w:rsidR="005E096B">
              <w:rPr>
                <w:noProof/>
                <w:webHidden/>
              </w:rPr>
              <w:t>9</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52" w:history="1">
            <w:r w:rsidR="008749E1" w:rsidRPr="00CD2EA1">
              <w:rPr>
                <w:rStyle w:val="Hyperlink"/>
                <w:noProof/>
              </w:rPr>
              <w:t>2.4.</w:t>
            </w:r>
            <w:r w:rsidR="008749E1">
              <w:rPr>
                <w:rFonts w:asciiTheme="minorHAnsi" w:eastAsiaTheme="minorEastAsia" w:hAnsiTheme="minorHAnsi" w:cstheme="minorBidi"/>
                <w:b w:val="0"/>
                <w:noProof/>
                <w:lang w:val="en-AU" w:eastAsia="en-AU" w:bidi="ar-SA"/>
              </w:rPr>
              <w:tab/>
            </w:r>
            <w:r w:rsidR="008749E1" w:rsidRPr="00CD2EA1">
              <w:rPr>
                <w:rStyle w:val="Hyperlink"/>
                <w:noProof/>
              </w:rPr>
              <w:t>Freedom of Information Act 1982 (FOI Act)</w:t>
            </w:r>
            <w:r w:rsidR="008749E1">
              <w:rPr>
                <w:noProof/>
                <w:webHidden/>
              </w:rPr>
              <w:tab/>
            </w:r>
            <w:r w:rsidR="00A03D2A">
              <w:rPr>
                <w:noProof/>
                <w:webHidden/>
              </w:rPr>
              <w:fldChar w:fldCharType="begin"/>
            </w:r>
            <w:r w:rsidR="008749E1">
              <w:rPr>
                <w:noProof/>
                <w:webHidden/>
              </w:rPr>
              <w:instrText xml:space="preserve"> PAGEREF _Toc464762952 \h </w:instrText>
            </w:r>
            <w:r w:rsidR="00A03D2A">
              <w:rPr>
                <w:noProof/>
                <w:webHidden/>
              </w:rPr>
            </w:r>
            <w:r w:rsidR="00A03D2A">
              <w:rPr>
                <w:noProof/>
                <w:webHidden/>
              </w:rPr>
              <w:fldChar w:fldCharType="separate"/>
            </w:r>
            <w:r w:rsidR="005E096B">
              <w:rPr>
                <w:noProof/>
                <w:webHidden/>
              </w:rPr>
              <w:t>9</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53" w:history="1">
            <w:r w:rsidR="008749E1" w:rsidRPr="00CD2EA1">
              <w:rPr>
                <w:rStyle w:val="Hyperlink"/>
                <w:noProof/>
              </w:rPr>
              <w:t>2.5.</w:t>
            </w:r>
            <w:r w:rsidR="008749E1">
              <w:rPr>
                <w:rFonts w:asciiTheme="minorHAnsi" w:eastAsiaTheme="minorEastAsia" w:hAnsiTheme="minorHAnsi" w:cstheme="minorBidi"/>
                <w:b w:val="0"/>
                <w:noProof/>
                <w:lang w:val="en-AU" w:eastAsia="en-AU" w:bidi="ar-SA"/>
              </w:rPr>
              <w:tab/>
            </w:r>
            <w:r w:rsidR="008749E1" w:rsidRPr="00CD2EA1">
              <w:rPr>
                <w:rStyle w:val="Hyperlink"/>
                <w:noProof/>
              </w:rPr>
              <w:t>State water management legislation</w:t>
            </w:r>
            <w:r w:rsidR="008749E1">
              <w:rPr>
                <w:noProof/>
                <w:webHidden/>
              </w:rPr>
              <w:tab/>
            </w:r>
            <w:r w:rsidR="00A03D2A">
              <w:rPr>
                <w:noProof/>
                <w:webHidden/>
              </w:rPr>
              <w:fldChar w:fldCharType="begin"/>
            </w:r>
            <w:r w:rsidR="008749E1">
              <w:rPr>
                <w:noProof/>
                <w:webHidden/>
              </w:rPr>
              <w:instrText xml:space="preserve"> PAGEREF _Toc464762953 \h </w:instrText>
            </w:r>
            <w:r w:rsidR="00A03D2A">
              <w:rPr>
                <w:noProof/>
                <w:webHidden/>
              </w:rPr>
            </w:r>
            <w:r w:rsidR="00A03D2A">
              <w:rPr>
                <w:noProof/>
                <w:webHidden/>
              </w:rPr>
              <w:fldChar w:fldCharType="separate"/>
            </w:r>
            <w:r w:rsidR="005E096B">
              <w:rPr>
                <w:noProof/>
                <w:webHidden/>
              </w:rPr>
              <w:t>9</w:t>
            </w:r>
            <w:r w:rsidR="00A03D2A">
              <w:rPr>
                <w:noProof/>
                <w:webHidden/>
              </w:rPr>
              <w:fldChar w:fldCharType="end"/>
            </w:r>
          </w:hyperlink>
        </w:p>
        <w:p w:rsidR="008749E1" w:rsidRDefault="0044782E">
          <w:pPr>
            <w:pStyle w:val="TOC1"/>
            <w:tabs>
              <w:tab w:val="left" w:pos="880"/>
              <w:tab w:val="right" w:leader="dot" w:pos="9202"/>
            </w:tabs>
            <w:rPr>
              <w:rFonts w:asciiTheme="minorHAnsi" w:eastAsiaTheme="minorEastAsia" w:hAnsiTheme="minorHAnsi" w:cstheme="minorBidi"/>
              <w:b w:val="0"/>
              <w:noProof/>
              <w:lang w:val="en-AU" w:eastAsia="en-AU" w:bidi="ar-SA"/>
            </w:rPr>
          </w:pPr>
          <w:hyperlink w:anchor="_Toc464762954" w:history="1">
            <w:r w:rsidR="008749E1" w:rsidRPr="00CD2EA1">
              <w:rPr>
                <w:rStyle w:val="Hyperlink"/>
                <w:noProof/>
              </w:rPr>
              <w:t>3.</w:t>
            </w:r>
            <w:r w:rsidR="008749E1">
              <w:rPr>
                <w:rFonts w:asciiTheme="minorHAnsi" w:eastAsiaTheme="minorEastAsia" w:hAnsiTheme="minorHAnsi" w:cstheme="minorBidi"/>
                <w:b w:val="0"/>
                <w:noProof/>
                <w:lang w:val="en-AU" w:eastAsia="en-AU" w:bidi="ar-SA"/>
              </w:rPr>
              <w:tab/>
            </w:r>
            <w:r w:rsidR="008749E1" w:rsidRPr="00CD2EA1">
              <w:rPr>
                <w:rStyle w:val="Hyperlink"/>
                <w:noProof/>
              </w:rPr>
              <w:t>OPERATING RULES</w:t>
            </w:r>
            <w:r w:rsidR="008749E1">
              <w:rPr>
                <w:noProof/>
                <w:webHidden/>
              </w:rPr>
              <w:tab/>
            </w:r>
            <w:r w:rsidR="00A03D2A">
              <w:rPr>
                <w:noProof/>
                <w:webHidden/>
              </w:rPr>
              <w:fldChar w:fldCharType="begin"/>
            </w:r>
            <w:r w:rsidR="008749E1">
              <w:rPr>
                <w:noProof/>
                <w:webHidden/>
              </w:rPr>
              <w:instrText xml:space="preserve"> PAGEREF _Toc464762954 \h </w:instrText>
            </w:r>
            <w:r w:rsidR="00A03D2A">
              <w:rPr>
                <w:noProof/>
                <w:webHidden/>
              </w:rPr>
            </w:r>
            <w:r w:rsidR="00A03D2A">
              <w:rPr>
                <w:noProof/>
                <w:webHidden/>
              </w:rPr>
              <w:fldChar w:fldCharType="separate"/>
            </w:r>
            <w:r w:rsidR="005E096B">
              <w:rPr>
                <w:noProof/>
                <w:webHidden/>
              </w:rPr>
              <w:t>10</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55" w:history="1">
            <w:r w:rsidR="008749E1" w:rsidRPr="00CD2EA1">
              <w:rPr>
                <w:rStyle w:val="Hyperlink"/>
                <w:noProof/>
              </w:rPr>
              <w:t>3.1.</w:t>
            </w:r>
            <w:r w:rsidR="008749E1">
              <w:rPr>
                <w:rFonts w:asciiTheme="minorHAnsi" w:eastAsiaTheme="minorEastAsia" w:hAnsiTheme="minorHAnsi" w:cstheme="minorBidi"/>
                <w:b w:val="0"/>
                <w:noProof/>
                <w:lang w:val="en-AU" w:eastAsia="en-AU" w:bidi="ar-SA"/>
              </w:rPr>
              <w:tab/>
            </w:r>
            <w:r w:rsidR="008749E1" w:rsidRPr="00CD2EA1">
              <w:rPr>
                <w:rStyle w:val="Hyperlink"/>
                <w:noProof/>
              </w:rPr>
              <w:t>Governance</w:t>
            </w:r>
            <w:r w:rsidR="008749E1">
              <w:rPr>
                <w:noProof/>
                <w:webHidden/>
              </w:rPr>
              <w:tab/>
            </w:r>
            <w:r w:rsidR="00A03D2A">
              <w:rPr>
                <w:noProof/>
                <w:webHidden/>
              </w:rPr>
              <w:fldChar w:fldCharType="begin"/>
            </w:r>
            <w:r w:rsidR="008749E1">
              <w:rPr>
                <w:noProof/>
                <w:webHidden/>
              </w:rPr>
              <w:instrText xml:space="preserve"> PAGEREF _Toc464762955 \h </w:instrText>
            </w:r>
            <w:r w:rsidR="00A03D2A">
              <w:rPr>
                <w:noProof/>
                <w:webHidden/>
              </w:rPr>
            </w:r>
            <w:r w:rsidR="00A03D2A">
              <w:rPr>
                <w:noProof/>
                <w:webHidden/>
              </w:rPr>
              <w:fldChar w:fldCharType="separate"/>
            </w:r>
            <w:r w:rsidR="005E096B">
              <w:rPr>
                <w:noProof/>
                <w:webHidden/>
              </w:rPr>
              <w:t>10</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56" w:history="1">
            <w:r w:rsidR="008749E1" w:rsidRPr="00CD2EA1">
              <w:rPr>
                <w:rStyle w:val="Hyperlink"/>
                <w:noProof/>
              </w:rPr>
              <w:t>3.2.</w:t>
            </w:r>
            <w:r w:rsidR="008749E1">
              <w:rPr>
                <w:rFonts w:asciiTheme="minorHAnsi" w:eastAsiaTheme="minorEastAsia" w:hAnsiTheme="minorHAnsi" w:cstheme="minorBidi"/>
                <w:b w:val="0"/>
                <w:noProof/>
                <w:lang w:val="en-AU" w:eastAsia="en-AU" w:bidi="ar-SA"/>
              </w:rPr>
              <w:tab/>
            </w:r>
            <w:r w:rsidR="008749E1" w:rsidRPr="00CD2EA1">
              <w:rPr>
                <w:rStyle w:val="Hyperlink"/>
                <w:noProof/>
              </w:rPr>
              <w:t>Trade decision making</w:t>
            </w:r>
            <w:r w:rsidR="008749E1">
              <w:rPr>
                <w:noProof/>
                <w:webHidden/>
              </w:rPr>
              <w:tab/>
            </w:r>
            <w:r w:rsidR="00A03D2A">
              <w:rPr>
                <w:noProof/>
                <w:webHidden/>
              </w:rPr>
              <w:fldChar w:fldCharType="begin"/>
            </w:r>
            <w:r w:rsidR="008749E1">
              <w:rPr>
                <w:noProof/>
                <w:webHidden/>
              </w:rPr>
              <w:instrText xml:space="preserve"> PAGEREF _Toc464762956 \h </w:instrText>
            </w:r>
            <w:r w:rsidR="00A03D2A">
              <w:rPr>
                <w:noProof/>
                <w:webHidden/>
              </w:rPr>
            </w:r>
            <w:r w:rsidR="00A03D2A">
              <w:rPr>
                <w:noProof/>
                <w:webHidden/>
              </w:rPr>
              <w:fldChar w:fldCharType="separate"/>
            </w:r>
            <w:r w:rsidR="005E096B">
              <w:rPr>
                <w:noProof/>
                <w:webHidden/>
              </w:rPr>
              <w:t>11</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57" w:history="1">
            <w:r w:rsidR="008749E1" w:rsidRPr="00CD2EA1">
              <w:rPr>
                <w:rStyle w:val="Hyperlink"/>
                <w:noProof/>
              </w:rPr>
              <w:t>3.3.</w:t>
            </w:r>
            <w:r w:rsidR="008749E1">
              <w:rPr>
                <w:rFonts w:asciiTheme="minorHAnsi" w:eastAsiaTheme="minorEastAsia" w:hAnsiTheme="minorHAnsi" w:cstheme="minorBidi"/>
                <w:b w:val="0"/>
                <w:noProof/>
                <w:lang w:val="en-AU" w:eastAsia="en-AU" w:bidi="ar-SA"/>
              </w:rPr>
              <w:tab/>
            </w:r>
            <w:r w:rsidR="008749E1" w:rsidRPr="00CD2EA1">
              <w:rPr>
                <w:rStyle w:val="Hyperlink"/>
                <w:noProof/>
              </w:rPr>
              <w:t>Announcements</w:t>
            </w:r>
            <w:r w:rsidR="008749E1">
              <w:rPr>
                <w:noProof/>
                <w:webHidden/>
              </w:rPr>
              <w:tab/>
            </w:r>
            <w:r w:rsidR="00A03D2A">
              <w:rPr>
                <w:noProof/>
                <w:webHidden/>
              </w:rPr>
              <w:fldChar w:fldCharType="begin"/>
            </w:r>
            <w:r w:rsidR="008749E1">
              <w:rPr>
                <w:noProof/>
                <w:webHidden/>
              </w:rPr>
              <w:instrText xml:space="preserve"> PAGEREF _Toc464762957 \h </w:instrText>
            </w:r>
            <w:r w:rsidR="00A03D2A">
              <w:rPr>
                <w:noProof/>
                <w:webHidden/>
              </w:rPr>
            </w:r>
            <w:r w:rsidR="00A03D2A">
              <w:rPr>
                <w:noProof/>
                <w:webHidden/>
              </w:rPr>
              <w:fldChar w:fldCharType="separate"/>
            </w:r>
            <w:r w:rsidR="005E096B">
              <w:rPr>
                <w:noProof/>
                <w:webHidden/>
              </w:rPr>
              <w:t>12</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58" w:history="1">
            <w:r w:rsidR="008749E1" w:rsidRPr="00CD2EA1">
              <w:rPr>
                <w:rStyle w:val="Hyperlink"/>
                <w:noProof/>
              </w:rPr>
              <w:t>3.4.</w:t>
            </w:r>
            <w:r w:rsidR="008749E1">
              <w:rPr>
                <w:rFonts w:asciiTheme="minorHAnsi" w:eastAsiaTheme="minorEastAsia" w:hAnsiTheme="minorHAnsi" w:cstheme="minorBidi"/>
                <w:b w:val="0"/>
                <w:noProof/>
                <w:lang w:val="en-AU" w:eastAsia="en-AU" w:bidi="ar-SA"/>
              </w:rPr>
              <w:tab/>
            </w:r>
            <w:r w:rsidR="008749E1" w:rsidRPr="00CD2EA1">
              <w:rPr>
                <w:rStyle w:val="Hyperlink"/>
                <w:noProof/>
              </w:rPr>
              <w:t>Review and audit</w:t>
            </w:r>
            <w:r w:rsidR="008749E1">
              <w:rPr>
                <w:noProof/>
                <w:webHidden/>
              </w:rPr>
              <w:tab/>
            </w:r>
            <w:r w:rsidR="00A03D2A">
              <w:rPr>
                <w:noProof/>
                <w:webHidden/>
              </w:rPr>
              <w:fldChar w:fldCharType="begin"/>
            </w:r>
            <w:r w:rsidR="008749E1">
              <w:rPr>
                <w:noProof/>
                <w:webHidden/>
              </w:rPr>
              <w:instrText xml:space="preserve"> PAGEREF _Toc464762958 \h </w:instrText>
            </w:r>
            <w:r w:rsidR="00A03D2A">
              <w:rPr>
                <w:noProof/>
                <w:webHidden/>
              </w:rPr>
            </w:r>
            <w:r w:rsidR="00A03D2A">
              <w:rPr>
                <w:noProof/>
                <w:webHidden/>
              </w:rPr>
              <w:fldChar w:fldCharType="separate"/>
            </w:r>
            <w:r w:rsidR="005E096B">
              <w:rPr>
                <w:noProof/>
                <w:webHidden/>
              </w:rPr>
              <w:t>13</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59" w:history="1">
            <w:r w:rsidR="008749E1" w:rsidRPr="00CD2EA1">
              <w:rPr>
                <w:rStyle w:val="Hyperlink"/>
                <w:noProof/>
              </w:rPr>
              <w:t>3.4.1.</w:t>
            </w:r>
            <w:r w:rsidR="008749E1">
              <w:rPr>
                <w:rFonts w:asciiTheme="minorHAnsi" w:eastAsiaTheme="minorEastAsia" w:hAnsiTheme="minorHAnsi" w:cstheme="minorBidi"/>
                <w:b w:val="0"/>
                <w:noProof/>
                <w:lang w:val="en-AU" w:eastAsia="en-AU" w:bidi="ar-SA"/>
              </w:rPr>
              <w:tab/>
            </w:r>
            <w:r w:rsidR="008749E1" w:rsidRPr="00CD2EA1">
              <w:rPr>
                <w:rStyle w:val="Hyperlink"/>
                <w:noProof/>
              </w:rPr>
              <w:t>Independent review of the operating rules</w:t>
            </w:r>
            <w:r w:rsidR="008749E1">
              <w:rPr>
                <w:noProof/>
                <w:webHidden/>
              </w:rPr>
              <w:tab/>
            </w:r>
            <w:r w:rsidR="00A03D2A">
              <w:rPr>
                <w:noProof/>
                <w:webHidden/>
              </w:rPr>
              <w:fldChar w:fldCharType="begin"/>
            </w:r>
            <w:r w:rsidR="008749E1">
              <w:rPr>
                <w:noProof/>
                <w:webHidden/>
              </w:rPr>
              <w:instrText xml:space="preserve"> PAGEREF _Toc464762959 \h </w:instrText>
            </w:r>
            <w:r w:rsidR="00A03D2A">
              <w:rPr>
                <w:noProof/>
                <w:webHidden/>
              </w:rPr>
            </w:r>
            <w:r w:rsidR="00A03D2A">
              <w:rPr>
                <w:noProof/>
                <w:webHidden/>
              </w:rPr>
              <w:fldChar w:fldCharType="separate"/>
            </w:r>
            <w:r w:rsidR="005E096B">
              <w:rPr>
                <w:noProof/>
                <w:webHidden/>
              </w:rPr>
              <w:t>13</w:t>
            </w:r>
            <w:r w:rsidR="00A03D2A">
              <w:rPr>
                <w:noProof/>
                <w:webHidden/>
              </w:rPr>
              <w:fldChar w:fldCharType="end"/>
            </w:r>
          </w:hyperlink>
        </w:p>
        <w:p w:rsidR="008749E1" w:rsidRDefault="0044782E">
          <w:pPr>
            <w:pStyle w:val="TOC1"/>
            <w:tabs>
              <w:tab w:val="left" w:pos="1100"/>
              <w:tab w:val="right" w:leader="dot" w:pos="9202"/>
            </w:tabs>
            <w:rPr>
              <w:rFonts w:asciiTheme="minorHAnsi" w:eastAsiaTheme="minorEastAsia" w:hAnsiTheme="minorHAnsi" w:cstheme="minorBidi"/>
              <w:b w:val="0"/>
              <w:noProof/>
              <w:lang w:val="en-AU" w:eastAsia="en-AU" w:bidi="ar-SA"/>
            </w:rPr>
          </w:pPr>
          <w:hyperlink w:anchor="_Toc464762960" w:history="1">
            <w:r w:rsidR="008749E1" w:rsidRPr="00CD2EA1">
              <w:rPr>
                <w:rStyle w:val="Hyperlink"/>
                <w:noProof/>
              </w:rPr>
              <w:t>3.4.2.</w:t>
            </w:r>
            <w:r w:rsidR="008749E1">
              <w:rPr>
                <w:rFonts w:asciiTheme="minorHAnsi" w:eastAsiaTheme="minorEastAsia" w:hAnsiTheme="minorHAnsi" w:cstheme="minorBidi"/>
                <w:b w:val="0"/>
                <w:noProof/>
                <w:lang w:val="en-AU" w:eastAsia="en-AU" w:bidi="ar-SA"/>
              </w:rPr>
              <w:tab/>
            </w:r>
            <w:r w:rsidR="008749E1" w:rsidRPr="00CD2EA1">
              <w:rPr>
                <w:rStyle w:val="Hyperlink"/>
                <w:noProof/>
              </w:rPr>
              <w:t>Independent assessment of the impacts of trading activity</w:t>
            </w:r>
            <w:r w:rsidR="008749E1">
              <w:rPr>
                <w:noProof/>
                <w:webHidden/>
              </w:rPr>
              <w:tab/>
            </w:r>
            <w:r w:rsidR="00A03D2A">
              <w:rPr>
                <w:noProof/>
                <w:webHidden/>
              </w:rPr>
              <w:fldChar w:fldCharType="begin"/>
            </w:r>
            <w:r w:rsidR="008749E1">
              <w:rPr>
                <w:noProof/>
                <w:webHidden/>
              </w:rPr>
              <w:instrText xml:space="preserve"> PAGEREF _Toc464762960 \h </w:instrText>
            </w:r>
            <w:r w:rsidR="00A03D2A">
              <w:rPr>
                <w:noProof/>
                <w:webHidden/>
              </w:rPr>
            </w:r>
            <w:r w:rsidR="00A03D2A">
              <w:rPr>
                <w:noProof/>
                <w:webHidden/>
              </w:rPr>
              <w:fldChar w:fldCharType="separate"/>
            </w:r>
            <w:r w:rsidR="005E096B">
              <w:rPr>
                <w:noProof/>
                <w:webHidden/>
              </w:rPr>
              <w:t>13</w:t>
            </w:r>
            <w:r w:rsidR="00A03D2A">
              <w:rPr>
                <w:noProof/>
                <w:webHidden/>
              </w:rPr>
              <w:fldChar w:fldCharType="end"/>
            </w:r>
          </w:hyperlink>
        </w:p>
        <w:p w:rsidR="008749E1" w:rsidRDefault="0044782E">
          <w:pPr>
            <w:pStyle w:val="TOC2"/>
            <w:rPr>
              <w:rFonts w:asciiTheme="minorHAnsi" w:eastAsiaTheme="minorEastAsia" w:hAnsiTheme="minorHAnsi" w:cstheme="minorBidi"/>
              <w:b w:val="0"/>
              <w:bCs w:val="0"/>
              <w:i w:val="0"/>
              <w:iCs w:val="0"/>
              <w:lang w:val="en-AU" w:eastAsia="en-AU" w:bidi="ar-SA"/>
            </w:rPr>
          </w:pPr>
          <w:hyperlink w:anchor="_Toc464762961" w:history="1">
            <w:r w:rsidR="008749E1" w:rsidRPr="00CD2EA1">
              <w:rPr>
                <w:rStyle w:val="Hyperlink"/>
              </w:rPr>
              <w:t>Revision history</w:t>
            </w:r>
            <w:r w:rsidR="008749E1">
              <w:rPr>
                <w:webHidden/>
              </w:rPr>
              <w:tab/>
            </w:r>
            <w:r w:rsidR="00A03D2A">
              <w:rPr>
                <w:webHidden/>
              </w:rPr>
              <w:fldChar w:fldCharType="begin"/>
            </w:r>
            <w:r w:rsidR="008749E1">
              <w:rPr>
                <w:webHidden/>
              </w:rPr>
              <w:instrText xml:space="preserve"> PAGEREF _Toc464762961 \h </w:instrText>
            </w:r>
            <w:r w:rsidR="00A03D2A">
              <w:rPr>
                <w:webHidden/>
              </w:rPr>
            </w:r>
            <w:r w:rsidR="00A03D2A">
              <w:rPr>
                <w:webHidden/>
              </w:rPr>
              <w:fldChar w:fldCharType="separate"/>
            </w:r>
            <w:r w:rsidR="005E096B">
              <w:rPr>
                <w:webHidden/>
              </w:rPr>
              <w:t>14</w:t>
            </w:r>
            <w:r w:rsidR="00A03D2A">
              <w:rPr>
                <w:webHidden/>
              </w:rPr>
              <w:fldChar w:fldCharType="end"/>
            </w:r>
          </w:hyperlink>
        </w:p>
        <w:p w:rsidR="00D90EED" w:rsidRDefault="00A03D2A">
          <w:r>
            <w:fldChar w:fldCharType="end"/>
          </w:r>
        </w:p>
      </w:sdtContent>
    </w:sdt>
    <w:p w:rsidR="00CA794F" w:rsidRDefault="00CA794F" w:rsidP="00CA794F">
      <w:pPr>
        <w:pStyle w:val="Heading1"/>
        <w:numPr>
          <w:ilvl w:val="0"/>
          <w:numId w:val="13"/>
        </w:numPr>
        <w:sectPr w:rsidR="00CA794F" w:rsidSect="00CA794F">
          <w:footerReference w:type="first" r:id="rId18"/>
          <w:pgSz w:w="11906" w:h="16838"/>
          <w:pgMar w:top="1418" w:right="1276" w:bottom="567" w:left="1418" w:header="425" w:footer="425" w:gutter="0"/>
          <w:cols w:space="708"/>
          <w:docGrid w:linePitch="360"/>
        </w:sectPr>
      </w:pPr>
    </w:p>
    <w:p w:rsidR="00CA794F" w:rsidRPr="00F277D8" w:rsidRDefault="00802957" w:rsidP="005C3C3A">
      <w:pPr>
        <w:pStyle w:val="Heading1"/>
        <w:numPr>
          <w:ilvl w:val="0"/>
          <w:numId w:val="13"/>
        </w:numPr>
        <w:spacing w:after="240"/>
        <w:ind w:left="357" w:hanging="357"/>
      </w:pPr>
      <w:bookmarkStart w:id="8" w:name="_Toc464762937"/>
      <w:bookmarkEnd w:id="7"/>
      <w:r>
        <w:t>PURPOSE</w:t>
      </w:r>
      <w:bookmarkEnd w:id="8"/>
      <w:r w:rsidR="009F4861" w:rsidRPr="00F277D8">
        <w:t xml:space="preserve"> </w:t>
      </w:r>
    </w:p>
    <w:p w:rsidR="00C46572" w:rsidRDefault="009F4861" w:rsidP="00E24C7F">
      <w:pPr>
        <w:spacing w:after="120"/>
        <w:ind w:left="357" w:firstLine="0"/>
        <w:rPr>
          <w:rFonts w:cs="Calibri"/>
        </w:rPr>
      </w:pPr>
      <w:r w:rsidRPr="009A74BA">
        <w:rPr>
          <w:rFonts w:cs="Calibri"/>
        </w:rPr>
        <w:t>T</w:t>
      </w:r>
      <w:r>
        <w:rPr>
          <w:rFonts w:cs="Calibri"/>
        </w:rPr>
        <w:t xml:space="preserve">he primary role of the </w:t>
      </w:r>
      <w:r w:rsidR="008E4492" w:rsidRPr="00B431D7">
        <w:rPr>
          <w:rFonts w:cs="Calibri"/>
        </w:rPr>
        <w:t xml:space="preserve">Commonwealth Environmental Water </w:t>
      </w:r>
      <w:r w:rsidR="008E4492">
        <w:rPr>
          <w:rFonts w:cs="Calibri"/>
        </w:rPr>
        <w:t>Office (</w:t>
      </w:r>
      <w:r w:rsidRPr="009A74BA">
        <w:rPr>
          <w:rFonts w:cs="Calibri"/>
        </w:rPr>
        <w:t>CEWO</w:t>
      </w:r>
      <w:r w:rsidR="008E4492">
        <w:rPr>
          <w:rFonts w:cs="Calibri"/>
        </w:rPr>
        <w:t>)</w:t>
      </w:r>
      <w:r w:rsidRPr="009A74BA">
        <w:rPr>
          <w:rFonts w:cs="Calibri"/>
        </w:rPr>
        <w:t xml:space="preserve"> is </w:t>
      </w:r>
      <w:r>
        <w:rPr>
          <w:rFonts w:cs="Calibri"/>
        </w:rPr>
        <w:t xml:space="preserve">the </w:t>
      </w:r>
      <w:r w:rsidRPr="009A74BA">
        <w:rPr>
          <w:rFonts w:cs="Calibri"/>
        </w:rPr>
        <w:t xml:space="preserve">delivery of </w:t>
      </w:r>
      <w:r>
        <w:rPr>
          <w:rFonts w:cs="Calibri"/>
        </w:rPr>
        <w:t xml:space="preserve">Commonwealth </w:t>
      </w:r>
      <w:r w:rsidRPr="009A74BA">
        <w:rPr>
          <w:rFonts w:cs="Calibri"/>
        </w:rPr>
        <w:t xml:space="preserve">environmental water. </w:t>
      </w:r>
      <w:r w:rsidR="00C46572">
        <w:rPr>
          <w:rFonts w:cs="Calibri"/>
        </w:rPr>
        <w:t>Trade is one of the tools the</w:t>
      </w:r>
      <w:r w:rsidR="008E4492" w:rsidRPr="00B431D7">
        <w:rPr>
          <w:rFonts w:cs="Calibri"/>
        </w:rPr>
        <w:t xml:space="preserve"> Commonwealth Environmental Water Holder</w:t>
      </w:r>
      <w:r w:rsidR="008E4492" w:rsidRPr="003B4987">
        <w:rPr>
          <w:rStyle w:val="FootnoteReference"/>
        </w:rPr>
        <w:footnoteReference w:id="1"/>
      </w:r>
      <w:r w:rsidR="004355F5" w:rsidRPr="004355F5">
        <w:rPr>
          <w:rStyle w:val="FootnoteReference"/>
        </w:rPr>
        <w:t xml:space="preserve"> </w:t>
      </w:r>
      <w:r w:rsidR="008E4492">
        <w:rPr>
          <w:rFonts w:cs="Calibri"/>
        </w:rPr>
        <w:t>(</w:t>
      </w:r>
      <w:r w:rsidR="00C46572">
        <w:rPr>
          <w:rFonts w:cs="Calibri"/>
        </w:rPr>
        <w:t>CEWH</w:t>
      </w:r>
      <w:r w:rsidR="008E4492">
        <w:rPr>
          <w:rFonts w:cs="Calibri"/>
        </w:rPr>
        <w:t>)</w:t>
      </w:r>
      <w:r w:rsidR="00C46572">
        <w:rPr>
          <w:rFonts w:cs="Calibri"/>
        </w:rPr>
        <w:t xml:space="preserve"> uses to effectively manage environmental water.  As a Commonwealth entity the CEWH takes its trade responsibilities very seriously</w:t>
      </w:r>
      <w:r w:rsidR="00954108">
        <w:rPr>
          <w:rFonts w:cs="Calibri"/>
        </w:rPr>
        <w:t>.</w:t>
      </w:r>
    </w:p>
    <w:p w:rsidR="00CA794F" w:rsidRPr="00B85B2E" w:rsidRDefault="009F4861" w:rsidP="00E24C7F">
      <w:pPr>
        <w:spacing w:after="120"/>
        <w:ind w:left="357" w:firstLine="0"/>
        <w:rPr>
          <w:rFonts w:cs="Calibri"/>
        </w:rPr>
      </w:pPr>
      <w:r>
        <w:rPr>
          <w:rFonts w:cs="Calibri"/>
        </w:rPr>
        <w:t xml:space="preserve">This paper sets out the framework within which the CEWH will trade. </w:t>
      </w:r>
      <w:r w:rsidRPr="00B85B2E">
        <w:rPr>
          <w:rFonts w:cs="Calibri"/>
        </w:rPr>
        <w:t xml:space="preserve">Implementation of </w:t>
      </w:r>
      <w:r>
        <w:t xml:space="preserve">a </w:t>
      </w:r>
      <w:r w:rsidRPr="00B85B2E">
        <w:rPr>
          <w:rFonts w:cs="Calibri"/>
        </w:rPr>
        <w:t>Trading Framework will ensure that CEWH’s trading activities</w:t>
      </w:r>
      <w:r>
        <w:rPr>
          <w:rFonts w:cs="Calibri"/>
        </w:rPr>
        <w:t xml:space="preserve">: </w:t>
      </w:r>
      <w:r w:rsidRPr="00B85B2E">
        <w:rPr>
          <w:rFonts w:cs="Calibri"/>
        </w:rPr>
        <w:t>support enhanced environmental outcomes;</w:t>
      </w:r>
      <w:r>
        <w:rPr>
          <w:rFonts w:cs="Calibri"/>
        </w:rPr>
        <w:t xml:space="preserve"> </w:t>
      </w:r>
      <w:r w:rsidRPr="00B85B2E">
        <w:rPr>
          <w:rFonts w:cs="Calibri"/>
        </w:rPr>
        <w:t>are undertaken in a manner which meets legislative requirements</w:t>
      </w:r>
      <w:r>
        <w:rPr>
          <w:rFonts w:cs="Calibri"/>
        </w:rPr>
        <w:t>;</w:t>
      </w:r>
      <w:r w:rsidRPr="00B85B2E">
        <w:rPr>
          <w:rFonts w:cs="Calibri"/>
        </w:rPr>
        <w:t xml:space="preserve"> are financially responsible, fair, equitable, transparent and accountable</w:t>
      </w:r>
      <w:r>
        <w:rPr>
          <w:rFonts w:cs="Calibri"/>
        </w:rPr>
        <w:t>; and that the</w:t>
      </w:r>
      <w:r w:rsidRPr="00B85B2E">
        <w:rPr>
          <w:rFonts w:cs="Calibri"/>
        </w:rPr>
        <w:t xml:space="preserve"> CEWH and CEWO staff act with integrity and high ethical standards</w:t>
      </w:r>
      <w:r>
        <w:rPr>
          <w:rFonts w:cs="Calibri"/>
        </w:rPr>
        <w:t>.</w:t>
      </w:r>
      <w:r w:rsidRPr="00B85B2E">
        <w:rPr>
          <w:rFonts w:cs="Calibri"/>
        </w:rPr>
        <w:t xml:space="preserve"> </w:t>
      </w:r>
      <w:r w:rsidR="00C03ACD">
        <w:rPr>
          <w:rFonts w:cs="Calibri"/>
        </w:rPr>
        <w:t>In undertaking trade</w:t>
      </w:r>
      <w:r w:rsidR="00DB0467">
        <w:rPr>
          <w:rFonts w:cs="Calibri"/>
        </w:rPr>
        <w:t>,</w:t>
      </w:r>
      <w:r w:rsidR="00C03ACD">
        <w:rPr>
          <w:rFonts w:cs="Calibri"/>
        </w:rPr>
        <w:t xml:space="preserve"> the CEWH will also have regard to social and economic outcomes; will consider any impacts on the market, </w:t>
      </w:r>
      <w:r w:rsidR="00235443">
        <w:rPr>
          <w:rFonts w:cs="Calibri"/>
        </w:rPr>
        <w:t>and adopt strategies to minimi</w:t>
      </w:r>
      <w:r w:rsidR="00281C47">
        <w:rPr>
          <w:rFonts w:cs="Calibri"/>
        </w:rPr>
        <w:t>s</w:t>
      </w:r>
      <w:r w:rsidR="00235443">
        <w:rPr>
          <w:rFonts w:cs="Calibri"/>
        </w:rPr>
        <w:t xml:space="preserve">e </w:t>
      </w:r>
      <w:r w:rsidR="00AD79E4">
        <w:rPr>
          <w:rFonts w:cs="Calibri"/>
        </w:rPr>
        <w:t>potential impacts</w:t>
      </w:r>
      <w:r w:rsidR="00BE0177">
        <w:rPr>
          <w:rFonts w:cs="Calibri"/>
        </w:rPr>
        <w:t xml:space="preserve"> on third parties</w:t>
      </w:r>
      <w:r w:rsidR="00C03ACD">
        <w:rPr>
          <w:rFonts w:cs="Calibri"/>
        </w:rPr>
        <w:t>.</w:t>
      </w:r>
    </w:p>
    <w:p w:rsidR="00CA794F" w:rsidRDefault="009F4861" w:rsidP="00E24C7F">
      <w:pPr>
        <w:pStyle w:val="ListBullet"/>
        <w:spacing w:after="120"/>
        <w:ind w:left="357" w:firstLine="0"/>
        <w:rPr>
          <w:rFonts w:cs="Calibri"/>
        </w:rPr>
      </w:pPr>
      <w:r w:rsidRPr="00BC1421">
        <w:rPr>
          <w:rFonts w:cs="Calibri"/>
        </w:rPr>
        <w:t xml:space="preserve">The </w:t>
      </w:r>
      <w:r>
        <w:rPr>
          <w:rFonts w:cs="Calibri"/>
        </w:rPr>
        <w:t xml:space="preserve">Commonwealth </w:t>
      </w:r>
      <w:r w:rsidR="00E67960">
        <w:rPr>
          <w:rFonts w:cs="Calibri"/>
        </w:rPr>
        <w:t xml:space="preserve">Environmental Water </w:t>
      </w:r>
      <w:r>
        <w:rPr>
          <w:rFonts w:cs="Calibri"/>
        </w:rPr>
        <w:t>T</w:t>
      </w:r>
      <w:r w:rsidRPr="00BC1421">
        <w:rPr>
          <w:rFonts w:cs="Calibri"/>
        </w:rPr>
        <w:t xml:space="preserve">rading </w:t>
      </w:r>
      <w:r>
        <w:rPr>
          <w:rFonts w:cs="Calibri"/>
        </w:rPr>
        <w:t>F</w:t>
      </w:r>
      <w:r w:rsidRPr="00BC1421">
        <w:rPr>
          <w:rFonts w:cs="Calibri"/>
        </w:rPr>
        <w:t>ramework</w:t>
      </w:r>
      <w:r w:rsidR="00E80C15">
        <w:rPr>
          <w:rFonts w:cs="Calibri"/>
        </w:rPr>
        <w:t>,</w:t>
      </w:r>
      <w:r w:rsidRPr="00BC1421">
        <w:rPr>
          <w:rFonts w:cs="Calibri"/>
        </w:rPr>
        <w:t xml:space="preserve"> </w:t>
      </w:r>
      <w:r w:rsidR="00456C9A">
        <w:rPr>
          <w:rFonts w:cs="Calibri"/>
        </w:rPr>
        <w:t xml:space="preserve">originally </w:t>
      </w:r>
      <w:r w:rsidR="002B64C5">
        <w:rPr>
          <w:rFonts w:cs="Calibri"/>
        </w:rPr>
        <w:t>published</w:t>
      </w:r>
      <w:r w:rsidR="00456C9A">
        <w:rPr>
          <w:rFonts w:cs="Calibri"/>
        </w:rPr>
        <w:t xml:space="preserve"> in 20</w:t>
      </w:r>
      <w:r w:rsidR="00FC2257">
        <w:rPr>
          <w:rFonts w:cs="Calibri"/>
        </w:rPr>
        <w:t>1</w:t>
      </w:r>
      <w:r w:rsidR="00456C9A">
        <w:rPr>
          <w:rFonts w:cs="Calibri"/>
        </w:rPr>
        <w:t>1</w:t>
      </w:r>
      <w:r w:rsidR="00E80C15">
        <w:rPr>
          <w:rFonts w:cs="Calibri"/>
        </w:rPr>
        <w:t>,</w:t>
      </w:r>
      <w:r w:rsidR="00456C9A">
        <w:rPr>
          <w:rFonts w:cs="Calibri"/>
        </w:rPr>
        <w:t xml:space="preserve"> was developed after wide consultation with business, agricultural industry and community groups interested or involved with </w:t>
      </w:r>
      <w:r w:rsidR="00E74929">
        <w:rPr>
          <w:rFonts w:cs="Calibri"/>
        </w:rPr>
        <w:t>w</w:t>
      </w:r>
      <w:r w:rsidR="00456C9A">
        <w:rPr>
          <w:rFonts w:cs="Calibri"/>
        </w:rPr>
        <w:t>ater markets. This version of the Trading Framework has been updated to reflect changes to the legislation</w:t>
      </w:r>
      <w:r w:rsidR="00B63E38">
        <w:rPr>
          <w:rFonts w:cs="Calibri"/>
        </w:rPr>
        <w:t xml:space="preserve"> governing the way in which the CEWH can trade water allocation and then </w:t>
      </w:r>
      <w:r w:rsidR="007104E4">
        <w:rPr>
          <w:rFonts w:cs="Calibri"/>
        </w:rPr>
        <w:t xml:space="preserve">invest the proceeds of trade. This is detailed in Section </w:t>
      </w:r>
      <w:r w:rsidR="00FC2257" w:rsidRPr="00E74929">
        <w:rPr>
          <w:rFonts w:cs="Calibri"/>
        </w:rPr>
        <w:t>2.1</w:t>
      </w:r>
      <w:r w:rsidR="000E21C3" w:rsidRPr="00E74929">
        <w:rPr>
          <w:rFonts w:cs="Calibri"/>
        </w:rPr>
        <w:t>.</w:t>
      </w:r>
      <w:r w:rsidR="007104E4">
        <w:rPr>
          <w:rFonts w:cs="Calibri"/>
        </w:rPr>
        <w:t xml:space="preserve"> </w:t>
      </w:r>
      <w:r w:rsidR="00E74929">
        <w:rPr>
          <w:rFonts w:cs="Calibri"/>
        </w:rPr>
        <w:t>The</w:t>
      </w:r>
      <w:r w:rsidR="007104E4">
        <w:rPr>
          <w:rFonts w:cs="Calibri"/>
        </w:rPr>
        <w:t xml:space="preserve"> framework guiding how the CEWH will invest proceeds of trade is being developed separately.</w:t>
      </w:r>
      <w:r w:rsidRPr="00466D21">
        <w:rPr>
          <w:rFonts w:cs="Calibri"/>
        </w:rPr>
        <w:t xml:space="preserve"> </w:t>
      </w:r>
    </w:p>
    <w:p w:rsidR="00CA794F" w:rsidRPr="009E6C4F" w:rsidRDefault="009F4861" w:rsidP="00E24C7F">
      <w:pPr>
        <w:shd w:val="clear" w:color="auto" w:fill="FFFFFF" w:themeFill="background1"/>
        <w:spacing w:after="120"/>
        <w:ind w:left="357" w:firstLine="0"/>
        <w:rPr>
          <w:rFonts w:cs="Calibri"/>
        </w:rPr>
      </w:pPr>
      <w:r w:rsidRPr="009E6C4F">
        <w:rPr>
          <w:rFonts w:cs="Calibri"/>
        </w:rPr>
        <w:t xml:space="preserve">There are three elements to the Trading Framework: </w:t>
      </w:r>
    </w:p>
    <w:p w:rsidR="00CA794F" w:rsidRPr="009E6C4F" w:rsidRDefault="009F4861" w:rsidP="00E24C7F">
      <w:pPr>
        <w:pStyle w:val="ListNumber"/>
        <w:numPr>
          <w:ilvl w:val="0"/>
          <w:numId w:val="5"/>
        </w:numPr>
        <w:shd w:val="clear" w:color="auto" w:fill="FFFFFF" w:themeFill="background1"/>
        <w:spacing w:after="120"/>
        <w:ind w:left="811" w:hanging="454"/>
      </w:pPr>
      <w:r>
        <w:t>C</w:t>
      </w:r>
      <w:r w:rsidRPr="009E6C4F">
        <w:t xml:space="preserve">ompliance with Commonwealth and </w:t>
      </w:r>
      <w:r>
        <w:t>state legislative requirements.</w:t>
      </w:r>
    </w:p>
    <w:p w:rsidR="00CA794F" w:rsidRPr="009E6C4F" w:rsidRDefault="009F4861" w:rsidP="00E24C7F">
      <w:pPr>
        <w:pStyle w:val="ListNumber"/>
        <w:numPr>
          <w:ilvl w:val="0"/>
          <w:numId w:val="5"/>
        </w:numPr>
        <w:shd w:val="clear" w:color="auto" w:fill="FFFFFF" w:themeFill="background1"/>
        <w:spacing w:after="120"/>
        <w:ind w:left="811" w:hanging="454"/>
      </w:pPr>
      <w:r>
        <w:t>O</w:t>
      </w:r>
      <w:r w:rsidRPr="009E6C4F">
        <w:t>perating</w:t>
      </w:r>
      <w:r>
        <w:t xml:space="preserve"> Rules.</w:t>
      </w:r>
    </w:p>
    <w:p w:rsidR="00CA794F" w:rsidRDefault="009F4861" w:rsidP="00E24C7F">
      <w:pPr>
        <w:pStyle w:val="ListNumber"/>
        <w:numPr>
          <w:ilvl w:val="0"/>
          <w:numId w:val="5"/>
        </w:numPr>
        <w:shd w:val="clear" w:color="auto" w:fill="FFFFFF" w:themeFill="background1"/>
        <w:spacing w:after="120"/>
        <w:ind w:left="811" w:hanging="454"/>
      </w:pPr>
      <w:r>
        <w:t>Procedures and Protocols.</w:t>
      </w:r>
    </w:p>
    <w:p w:rsidR="000E21C3" w:rsidRDefault="009F4861" w:rsidP="00E24C7F">
      <w:pPr>
        <w:pStyle w:val="ListNumber"/>
        <w:numPr>
          <w:ilvl w:val="0"/>
          <w:numId w:val="0"/>
        </w:numPr>
        <w:spacing w:after="120"/>
        <w:ind w:left="357"/>
        <w:rPr>
          <w:rFonts w:cs="Calibri"/>
        </w:rPr>
      </w:pPr>
      <w:r w:rsidRPr="00B64EFD">
        <w:t>Figure 1</w:t>
      </w:r>
      <w:r w:rsidR="00E80C15">
        <w:t xml:space="preserve"> on page 5</w:t>
      </w:r>
      <w:r>
        <w:t xml:space="preserve"> illustrates the </w:t>
      </w:r>
      <w:r w:rsidRPr="00A31C3C">
        <w:t xml:space="preserve">practical application of the </w:t>
      </w:r>
      <w:r>
        <w:t>Trading Framework,</w:t>
      </w:r>
      <w:r w:rsidRPr="00A31C3C">
        <w:t xml:space="preserve"> </w:t>
      </w:r>
      <w:r>
        <w:t xml:space="preserve">as well has how the framework influences the trade process. </w:t>
      </w:r>
      <w:bookmarkStart w:id="9" w:name="_Toc372716793"/>
      <w:bookmarkStart w:id="10" w:name="_Toc372717214"/>
      <w:bookmarkStart w:id="11" w:name="_Toc372718806"/>
      <w:bookmarkStart w:id="12" w:name="_Toc372718846"/>
      <w:bookmarkStart w:id="13" w:name="_Toc372719408"/>
      <w:bookmarkStart w:id="14" w:name="_Toc372724370"/>
      <w:bookmarkStart w:id="15" w:name="_Toc372791119"/>
      <w:bookmarkStart w:id="16" w:name="_Toc373235003"/>
      <w:bookmarkStart w:id="17" w:name="_Toc373243802"/>
      <w:bookmarkStart w:id="18" w:name="_Toc373410816"/>
      <w:bookmarkStart w:id="19" w:name="_Toc373495808"/>
      <w:bookmarkStart w:id="20" w:name="_Toc373741153"/>
      <w:bookmarkStart w:id="21" w:name="_Toc373744849"/>
      <w:bookmarkStart w:id="22" w:name="_Toc373746213"/>
      <w:bookmarkStart w:id="23" w:name="_Toc373754693"/>
      <w:bookmarkStart w:id="24" w:name="_Toc373754721"/>
      <w:bookmarkStart w:id="25" w:name="_Toc373835424"/>
      <w:bookmarkStart w:id="26" w:name="_Toc373835451"/>
      <w:bookmarkStart w:id="27" w:name="_Toc373857303"/>
      <w:bookmarkStart w:id="28" w:name="_Toc373858659"/>
      <w:bookmarkStart w:id="29" w:name="_Toc373865175"/>
      <w:bookmarkStart w:id="30" w:name="_Toc37503517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Style w:val="TableGrid"/>
        <w:tblW w:w="8930" w:type="dxa"/>
        <w:tblInd w:w="392" w:type="dxa"/>
        <w:tblLook w:val="04A0" w:firstRow="1" w:lastRow="0" w:firstColumn="1" w:lastColumn="0" w:noHBand="0" w:noVBand="1"/>
      </w:tblPr>
      <w:tblGrid>
        <w:gridCol w:w="8930"/>
      </w:tblGrid>
      <w:tr w:rsidR="00D90EED" w:rsidTr="00E24C7F">
        <w:trPr>
          <w:cnfStyle w:val="100000000000" w:firstRow="1" w:lastRow="0" w:firstColumn="0" w:lastColumn="0" w:oddVBand="0" w:evenVBand="0" w:oddHBand="0" w:evenHBand="0" w:firstRowFirstColumn="0" w:firstRowLastColumn="0" w:lastRowFirstColumn="0" w:lastRowLastColumn="0"/>
          <w:trHeight w:val="1559"/>
        </w:trPr>
        <w:tc>
          <w:tcPr>
            <w:tcW w:w="8930" w:type="dxa"/>
          </w:tcPr>
          <w:p w:rsidR="00E8723C" w:rsidRDefault="009F4861" w:rsidP="00E24C7F">
            <w:pPr>
              <w:pStyle w:val="ListBullet"/>
              <w:spacing w:before="120" w:after="120"/>
              <w:ind w:left="34" w:firstLine="0"/>
              <w:rPr>
                <w:rFonts w:asciiTheme="minorHAnsi" w:hAnsiTheme="minorHAnsi" w:cstheme="minorHAnsi"/>
                <w:sz w:val="22"/>
              </w:rPr>
            </w:pPr>
            <w:r w:rsidRPr="00E24C7F">
              <w:rPr>
                <w:rFonts w:asciiTheme="minorHAnsi" w:hAnsiTheme="minorHAnsi"/>
                <w:b/>
              </w:rPr>
              <w:t>Note:</w:t>
            </w:r>
            <w:r>
              <w:rPr>
                <w:rFonts w:asciiTheme="minorHAnsi" w:hAnsiTheme="minorHAnsi"/>
              </w:rPr>
              <w:t xml:space="preserve"> </w:t>
            </w:r>
            <w:r w:rsidRPr="00775BEA">
              <w:rPr>
                <w:rFonts w:asciiTheme="minorHAnsi" w:hAnsiTheme="minorHAnsi"/>
              </w:rPr>
              <w:t>Within this paper, ‘trade’ is used in the sense of a commercial exchange, between two parties, of water allocation or entitlement for some form of consideration (typically monetary). The term is not intended to cover the transfer of water allocations between the accounts of one or more parties performed for the primary purpose of physically delivering water, such as to an environmental asset, or for managing carryover. Th</w:t>
            </w:r>
            <w:r>
              <w:rPr>
                <w:rFonts w:asciiTheme="minorHAnsi" w:hAnsiTheme="minorHAnsi"/>
              </w:rPr>
              <w:t>is</w:t>
            </w:r>
            <w:r w:rsidRPr="00775BEA">
              <w:rPr>
                <w:rFonts w:asciiTheme="minorHAnsi" w:hAnsiTheme="minorHAnsi"/>
              </w:rPr>
              <w:t xml:space="preserve"> differs from </w:t>
            </w:r>
            <w:r>
              <w:rPr>
                <w:rFonts w:asciiTheme="minorHAnsi" w:hAnsiTheme="minorHAnsi"/>
              </w:rPr>
              <w:t>the definition of trade</w:t>
            </w:r>
            <w:r w:rsidRPr="00775BEA">
              <w:rPr>
                <w:rFonts w:asciiTheme="minorHAnsi" w:hAnsiTheme="minorHAnsi"/>
              </w:rPr>
              <w:t xml:space="preserve"> in the Basin Plan’s </w:t>
            </w:r>
            <w:r>
              <w:rPr>
                <w:rFonts w:asciiTheme="minorHAnsi" w:hAnsiTheme="minorHAnsi"/>
              </w:rPr>
              <w:t>t</w:t>
            </w:r>
            <w:r w:rsidRPr="00775BEA">
              <w:rPr>
                <w:rFonts w:asciiTheme="minorHAnsi" w:hAnsiTheme="minorHAnsi"/>
              </w:rPr>
              <w:t xml:space="preserve">rading </w:t>
            </w:r>
            <w:r>
              <w:rPr>
                <w:rFonts w:asciiTheme="minorHAnsi" w:hAnsiTheme="minorHAnsi"/>
              </w:rPr>
              <w:t>r</w:t>
            </w:r>
            <w:r w:rsidRPr="00775BEA">
              <w:rPr>
                <w:rFonts w:asciiTheme="minorHAnsi" w:hAnsiTheme="minorHAnsi"/>
              </w:rPr>
              <w:t>ules, which defines trade as any change in ownership and/or location with or without consideration.</w:t>
            </w:r>
          </w:p>
        </w:tc>
      </w:tr>
    </w:tbl>
    <w:p w:rsidR="00CA794F" w:rsidRPr="00B44C56" w:rsidRDefault="009F4861" w:rsidP="005C3C3A">
      <w:pPr>
        <w:pStyle w:val="Heading1"/>
        <w:numPr>
          <w:ilvl w:val="1"/>
          <w:numId w:val="13"/>
        </w:numPr>
        <w:spacing w:after="240"/>
        <w:ind w:left="811" w:hanging="454"/>
      </w:pPr>
      <w:bookmarkStart w:id="31" w:name="_Toc256000006"/>
      <w:bookmarkStart w:id="32" w:name="_Toc372791123"/>
      <w:bookmarkStart w:id="33" w:name="_Toc373835455"/>
      <w:bookmarkStart w:id="34" w:name="_Toc373865178"/>
      <w:bookmarkStart w:id="35" w:name="_Toc375035180"/>
      <w:bookmarkStart w:id="36" w:name="_Toc464762938"/>
      <w:r>
        <w:t>Compliance with C</w:t>
      </w:r>
      <w:r w:rsidRPr="00B44C56">
        <w:t xml:space="preserve">ommonwealth and </w:t>
      </w:r>
      <w:r>
        <w:t>S</w:t>
      </w:r>
      <w:r w:rsidRPr="00B44C56">
        <w:t>tate legislation</w:t>
      </w:r>
      <w:bookmarkEnd w:id="31"/>
      <w:bookmarkEnd w:id="32"/>
      <w:bookmarkEnd w:id="33"/>
      <w:bookmarkEnd w:id="34"/>
      <w:bookmarkEnd w:id="35"/>
      <w:bookmarkEnd w:id="36"/>
    </w:p>
    <w:p w:rsidR="00CA794F" w:rsidRDefault="009F4861" w:rsidP="001A2CAB">
      <w:pPr>
        <w:spacing w:after="120"/>
        <w:ind w:left="357" w:firstLine="0"/>
        <w:rPr>
          <w:rFonts w:cs="Calibri"/>
        </w:rPr>
      </w:pPr>
      <w:r w:rsidRPr="009E6C4F">
        <w:rPr>
          <w:rFonts w:cs="Calibri"/>
        </w:rPr>
        <w:t xml:space="preserve">As a government entity, </w:t>
      </w:r>
      <w:r w:rsidR="00E74929">
        <w:rPr>
          <w:rFonts w:cs="Calibri"/>
        </w:rPr>
        <w:t xml:space="preserve">the CEWH and </w:t>
      </w:r>
      <w:r w:rsidR="00E74929" w:rsidRPr="009E6C4F">
        <w:rPr>
          <w:rFonts w:cs="Calibri"/>
        </w:rPr>
        <w:t>CEWO</w:t>
      </w:r>
      <w:r w:rsidR="00E74929">
        <w:rPr>
          <w:rFonts w:cs="Calibri"/>
        </w:rPr>
        <w:t xml:space="preserve"> staff must comply with a w</w:t>
      </w:r>
      <w:r w:rsidRPr="009E6C4F">
        <w:rPr>
          <w:rFonts w:cs="Calibri"/>
        </w:rPr>
        <w:t>ide range of existing legislative requirements. This includes</w:t>
      </w:r>
      <w:r w:rsidR="00E74929">
        <w:rPr>
          <w:rFonts w:cs="Calibri"/>
        </w:rPr>
        <w:t>:</w:t>
      </w:r>
      <w:r w:rsidRPr="009E6C4F">
        <w:rPr>
          <w:rFonts w:cs="Calibri"/>
        </w:rPr>
        <w:t xml:space="preserve"> financial management arrangements for Commonwealth agencies</w:t>
      </w:r>
      <w:r>
        <w:rPr>
          <w:rFonts w:cs="Calibri"/>
        </w:rPr>
        <w:t>;</w:t>
      </w:r>
      <w:r w:rsidRPr="009E6C4F">
        <w:rPr>
          <w:rFonts w:cs="Calibri"/>
        </w:rPr>
        <w:t xml:space="preserve"> freedom of information</w:t>
      </w:r>
      <w:r>
        <w:rPr>
          <w:rFonts w:cs="Calibri"/>
        </w:rPr>
        <w:t>;</w:t>
      </w:r>
      <w:r w:rsidRPr="009E6C4F">
        <w:rPr>
          <w:rFonts w:cs="Calibri"/>
        </w:rPr>
        <w:t xml:space="preserve"> and policies relating to </w:t>
      </w:r>
      <w:r>
        <w:rPr>
          <w:rFonts w:cs="Calibri"/>
        </w:rPr>
        <w:t>information</w:t>
      </w:r>
      <w:r w:rsidRPr="009E6C4F">
        <w:rPr>
          <w:rFonts w:cs="Calibri"/>
        </w:rPr>
        <w:t xml:space="preserve"> management, auditing, employee conduct and accountability. </w:t>
      </w:r>
      <w:r w:rsidR="00E74929">
        <w:rPr>
          <w:rFonts w:cs="Calibri"/>
        </w:rPr>
        <w:t xml:space="preserve">As the Commonwealth holds environmental entitlements across </w:t>
      </w:r>
      <w:r w:rsidR="00B63CC5">
        <w:rPr>
          <w:rFonts w:cs="Calibri"/>
        </w:rPr>
        <w:t>four states, the CEWO must also comply with the prudential , trade and water resource management frameworks of those states.</w:t>
      </w:r>
    </w:p>
    <w:p w:rsidR="00B63CC5" w:rsidRDefault="00B63CC5">
      <w:pPr>
        <w:rPr>
          <w:rFonts w:ascii="Cambria" w:hAnsi="Cambria"/>
          <w:b/>
          <w:bCs/>
          <w:color w:val="365F91" w:themeColor="accent1" w:themeShade="BF"/>
          <w:sz w:val="24"/>
          <w:szCs w:val="24"/>
        </w:rPr>
      </w:pPr>
      <w:bookmarkStart w:id="37" w:name="_Toc256000007"/>
      <w:bookmarkStart w:id="38" w:name="_Toc372791124"/>
      <w:bookmarkStart w:id="39" w:name="_Toc373835456"/>
      <w:bookmarkStart w:id="40" w:name="_Toc373865179"/>
      <w:bookmarkStart w:id="41" w:name="_Toc375035181"/>
      <w:r>
        <w:br w:type="page"/>
      </w:r>
    </w:p>
    <w:p w:rsidR="00CA794F" w:rsidRPr="00B44C56" w:rsidRDefault="009F4861" w:rsidP="005C3C3A">
      <w:pPr>
        <w:pStyle w:val="Heading1"/>
        <w:numPr>
          <w:ilvl w:val="1"/>
          <w:numId w:val="13"/>
        </w:numPr>
        <w:spacing w:after="240"/>
        <w:ind w:left="811" w:hanging="454"/>
      </w:pPr>
      <w:bookmarkStart w:id="42" w:name="_Toc464762939"/>
      <w:r w:rsidRPr="00B44C56">
        <w:t>Operating Rules</w:t>
      </w:r>
      <w:bookmarkEnd w:id="37"/>
      <w:bookmarkEnd w:id="38"/>
      <w:bookmarkEnd w:id="39"/>
      <w:bookmarkEnd w:id="40"/>
      <w:bookmarkEnd w:id="41"/>
      <w:bookmarkEnd w:id="42"/>
    </w:p>
    <w:p w:rsidR="00CA794F" w:rsidRDefault="00230E84" w:rsidP="008749E1">
      <w:pPr>
        <w:spacing w:after="60"/>
        <w:ind w:left="357" w:firstLine="0"/>
        <w:rPr>
          <w:rFonts w:cs="Calibri"/>
        </w:rPr>
      </w:pPr>
      <w:r>
        <w:rPr>
          <w:rFonts w:cs="Calibri"/>
        </w:rPr>
        <w:t>The Operating Rules provide clear guidelines on how the CEWH and CEWO staff will behave through the trading process including:</w:t>
      </w:r>
    </w:p>
    <w:p w:rsidR="00E8723C" w:rsidRDefault="00230E84" w:rsidP="008749E1">
      <w:pPr>
        <w:pStyle w:val="ListBullet"/>
        <w:numPr>
          <w:ilvl w:val="0"/>
          <w:numId w:val="11"/>
        </w:numPr>
        <w:spacing w:after="60"/>
        <w:ind w:left="1168" w:hanging="357"/>
        <w:rPr>
          <w:rFonts w:cs="Calibri"/>
        </w:rPr>
      </w:pPr>
      <w:r w:rsidRPr="00230E84">
        <w:rPr>
          <w:rFonts w:cs="Calibri"/>
        </w:rPr>
        <w:t>The CE</w:t>
      </w:r>
      <w:r w:rsidR="00893499">
        <w:rPr>
          <w:rFonts w:cs="Calibri"/>
        </w:rPr>
        <w:t>W</w:t>
      </w:r>
      <w:r w:rsidRPr="00230E84">
        <w:rPr>
          <w:rFonts w:cs="Calibri"/>
        </w:rPr>
        <w:t>H will not trade if aware of a water announce</w:t>
      </w:r>
      <w:r w:rsidR="001F1C06">
        <w:rPr>
          <w:rFonts w:cs="Calibri"/>
        </w:rPr>
        <w:t>ment</w:t>
      </w:r>
      <w:r w:rsidRPr="00230E84">
        <w:rPr>
          <w:rFonts w:cs="Calibri"/>
        </w:rPr>
        <w:t xml:space="preserve"> that has not been made generally available</w:t>
      </w:r>
      <w:r w:rsidR="00242B6F" w:rsidRPr="00242B6F">
        <w:rPr>
          <w:rFonts w:cs="Calibri"/>
        </w:rPr>
        <w:t>.</w:t>
      </w:r>
    </w:p>
    <w:p w:rsidR="00E8723C" w:rsidRDefault="00242B6F" w:rsidP="008749E1">
      <w:pPr>
        <w:pStyle w:val="ListBullet"/>
        <w:numPr>
          <w:ilvl w:val="0"/>
          <w:numId w:val="11"/>
        </w:numPr>
        <w:spacing w:after="60"/>
        <w:ind w:left="1168" w:hanging="357"/>
        <w:rPr>
          <w:rFonts w:cs="Calibri"/>
        </w:rPr>
      </w:pPr>
      <w:r w:rsidRPr="00242B6F">
        <w:rPr>
          <w:rFonts w:cs="Calibri"/>
        </w:rPr>
        <w:t>All</w:t>
      </w:r>
      <w:r w:rsidR="00230E84">
        <w:rPr>
          <w:rFonts w:cs="Calibri"/>
        </w:rPr>
        <w:t xml:space="preserve"> trade will be undertaken using a competitive process.</w:t>
      </w:r>
    </w:p>
    <w:p w:rsidR="00E8723C" w:rsidRDefault="00230E84" w:rsidP="008749E1">
      <w:pPr>
        <w:pStyle w:val="ListBullet"/>
        <w:numPr>
          <w:ilvl w:val="0"/>
          <w:numId w:val="11"/>
        </w:numPr>
        <w:spacing w:after="60"/>
        <w:ind w:left="1168" w:hanging="357"/>
        <w:rPr>
          <w:rFonts w:cs="Calibri"/>
        </w:rPr>
      </w:pPr>
      <w:r>
        <w:rPr>
          <w:rFonts w:cs="Calibri"/>
        </w:rPr>
        <w:t>Decisions to trade wil</w:t>
      </w:r>
      <w:r w:rsidR="00E74929">
        <w:rPr>
          <w:rFonts w:cs="Calibri"/>
        </w:rPr>
        <w:t>l</w:t>
      </w:r>
      <w:r>
        <w:rPr>
          <w:rFonts w:cs="Calibri"/>
        </w:rPr>
        <w:t xml:space="preserve"> be informed by a market assessment.</w:t>
      </w:r>
    </w:p>
    <w:p w:rsidR="00E8723C" w:rsidRDefault="00230E84" w:rsidP="008749E1">
      <w:pPr>
        <w:pStyle w:val="ListBullet"/>
        <w:numPr>
          <w:ilvl w:val="0"/>
          <w:numId w:val="11"/>
        </w:numPr>
        <w:spacing w:after="60"/>
        <w:ind w:left="1168" w:hanging="357"/>
        <w:rPr>
          <w:rFonts w:cs="Calibri"/>
        </w:rPr>
      </w:pPr>
      <w:r>
        <w:rPr>
          <w:rFonts w:cs="Calibri"/>
        </w:rPr>
        <w:t>Price limits will be used in every trading action.</w:t>
      </w:r>
    </w:p>
    <w:p w:rsidR="00E8723C" w:rsidRDefault="00DE1891" w:rsidP="008749E1">
      <w:pPr>
        <w:pStyle w:val="ListBullet"/>
        <w:numPr>
          <w:ilvl w:val="0"/>
          <w:numId w:val="11"/>
        </w:numPr>
        <w:spacing w:after="60"/>
        <w:ind w:left="1168" w:hanging="357"/>
        <w:rPr>
          <w:rFonts w:cs="Calibri"/>
        </w:rPr>
      </w:pPr>
      <w:r>
        <w:rPr>
          <w:rFonts w:cs="Calibri"/>
        </w:rPr>
        <w:t>Trade offers will be based on consisten</w:t>
      </w:r>
      <w:r w:rsidR="00B63CC5">
        <w:rPr>
          <w:rFonts w:cs="Calibri"/>
        </w:rPr>
        <w:t>t</w:t>
      </w:r>
      <w:r>
        <w:rPr>
          <w:rFonts w:cs="Calibri"/>
        </w:rPr>
        <w:t>, equitable and transparent assessments. The CEWH will provide regular guidance on trading intentions.</w:t>
      </w:r>
    </w:p>
    <w:p w:rsidR="00E8723C" w:rsidRDefault="00DE1891" w:rsidP="008749E1">
      <w:pPr>
        <w:pStyle w:val="ListBullet"/>
        <w:numPr>
          <w:ilvl w:val="0"/>
          <w:numId w:val="11"/>
        </w:numPr>
        <w:spacing w:after="60"/>
        <w:ind w:left="1168" w:hanging="357"/>
        <w:rPr>
          <w:rFonts w:cs="Calibri"/>
        </w:rPr>
      </w:pPr>
      <w:r>
        <w:rPr>
          <w:rFonts w:cs="Calibri"/>
        </w:rPr>
        <w:t>Trading actions will be announced prior to trade.</w:t>
      </w:r>
    </w:p>
    <w:p w:rsidR="00E8723C" w:rsidRDefault="00DE1891" w:rsidP="008749E1">
      <w:pPr>
        <w:pStyle w:val="ListBullet"/>
        <w:numPr>
          <w:ilvl w:val="0"/>
          <w:numId w:val="11"/>
        </w:numPr>
        <w:spacing w:after="60"/>
        <w:ind w:left="1168" w:hanging="357"/>
        <w:rPr>
          <w:rFonts w:cs="Calibri"/>
        </w:rPr>
      </w:pPr>
      <w:r>
        <w:rPr>
          <w:rFonts w:cs="Calibri"/>
        </w:rPr>
        <w:t>Market information will be released prior to each trading action.</w:t>
      </w:r>
    </w:p>
    <w:p w:rsidR="00E8723C" w:rsidRDefault="00DE1891" w:rsidP="008749E1">
      <w:pPr>
        <w:pStyle w:val="ListBullet"/>
        <w:numPr>
          <w:ilvl w:val="0"/>
          <w:numId w:val="11"/>
        </w:numPr>
        <w:spacing w:after="120"/>
        <w:ind w:left="1168" w:hanging="357"/>
        <w:rPr>
          <w:rFonts w:cs="Calibri"/>
        </w:rPr>
      </w:pPr>
      <w:r>
        <w:rPr>
          <w:rFonts w:cs="Calibri"/>
        </w:rPr>
        <w:t>Public reporting will occur following trading actions.</w:t>
      </w:r>
    </w:p>
    <w:p w:rsidR="00CA794F" w:rsidRPr="007852E5" w:rsidRDefault="009F4861" w:rsidP="008749E1">
      <w:pPr>
        <w:pStyle w:val="Heading1"/>
        <w:numPr>
          <w:ilvl w:val="1"/>
          <w:numId w:val="13"/>
        </w:numPr>
        <w:spacing w:after="240"/>
        <w:ind w:left="811" w:hanging="454"/>
      </w:pPr>
      <w:bookmarkStart w:id="43" w:name="_Toc372791125"/>
      <w:bookmarkStart w:id="44" w:name="_Toc256000008"/>
      <w:bookmarkStart w:id="45" w:name="_Toc373835457"/>
      <w:bookmarkStart w:id="46" w:name="_Toc373865180"/>
      <w:bookmarkStart w:id="47" w:name="_Toc375035182"/>
      <w:bookmarkStart w:id="48" w:name="_Toc464762940"/>
      <w:r w:rsidRPr="007852E5">
        <w:t>Procedures</w:t>
      </w:r>
      <w:bookmarkEnd w:id="43"/>
      <w:r w:rsidRPr="007852E5">
        <w:t xml:space="preserve"> and Protocols</w:t>
      </w:r>
      <w:bookmarkEnd w:id="44"/>
      <w:bookmarkEnd w:id="45"/>
      <w:bookmarkEnd w:id="46"/>
      <w:bookmarkEnd w:id="47"/>
      <w:bookmarkEnd w:id="48"/>
    </w:p>
    <w:p w:rsidR="00CA794F" w:rsidRPr="001A2CAB" w:rsidRDefault="009F4861" w:rsidP="001A2CAB">
      <w:pPr>
        <w:ind w:left="357" w:firstLine="0"/>
        <w:rPr>
          <w:rFonts w:cs="Calibri"/>
        </w:rPr>
      </w:pPr>
      <w:r w:rsidRPr="001A2CAB">
        <w:rPr>
          <w:rFonts w:cs="Calibri"/>
        </w:rPr>
        <w:t xml:space="preserve">Procedures and protocols are internal documents which support the CEWH and CEWO staff in complying with Commonwealth and state legislative requirements and the operating rules. </w:t>
      </w:r>
    </w:p>
    <w:p w:rsidR="00CA794F" w:rsidRPr="00604262" w:rsidRDefault="009F4861" w:rsidP="005C3C3A">
      <w:pPr>
        <w:pStyle w:val="Heading1"/>
        <w:numPr>
          <w:ilvl w:val="2"/>
          <w:numId w:val="13"/>
        </w:numPr>
        <w:spacing w:after="240"/>
        <w:ind w:left="1378" w:hanging="567"/>
      </w:pPr>
      <w:bookmarkStart w:id="49" w:name="_Toc256000009"/>
      <w:bookmarkStart w:id="50" w:name="_Toc373410823"/>
      <w:bookmarkStart w:id="51" w:name="_Toc373495815"/>
      <w:bookmarkStart w:id="52" w:name="_Toc373741160"/>
      <w:bookmarkStart w:id="53" w:name="_Toc373754728"/>
      <w:bookmarkStart w:id="54" w:name="_Toc373835458"/>
      <w:bookmarkStart w:id="55" w:name="_Toc373858665"/>
      <w:bookmarkStart w:id="56" w:name="_Toc373865181"/>
      <w:bookmarkStart w:id="57" w:name="_Toc375035183"/>
      <w:bookmarkStart w:id="58" w:name="_Toc464762941"/>
      <w:r w:rsidRPr="00604262">
        <w:t>Procedures</w:t>
      </w:r>
      <w:bookmarkEnd w:id="49"/>
      <w:bookmarkEnd w:id="50"/>
      <w:bookmarkEnd w:id="51"/>
      <w:bookmarkEnd w:id="52"/>
      <w:bookmarkEnd w:id="53"/>
      <w:bookmarkEnd w:id="54"/>
      <w:bookmarkEnd w:id="55"/>
      <w:bookmarkEnd w:id="56"/>
      <w:bookmarkEnd w:id="57"/>
      <w:bookmarkEnd w:id="58"/>
    </w:p>
    <w:p w:rsidR="00CA794F" w:rsidRPr="001A2CAB" w:rsidRDefault="009F4861" w:rsidP="008749E1">
      <w:pPr>
        <w:spacing w:after="60"/>
        <w:ind w:left="357" w:firstLine="0"/>
        <w:rPr>
          <w:rFonts w:cs="Calibri"/>
        </w:rPr>
      </w:pPr>
      <w:r w:rsidRPr="001A2CAB">
        <w:rPr>
          <w:rFonts w:cs="Calibri"/>
        </w:rPr>
        <w:t>The procedures support each step of the trade process and cover a number of areas including:</w:t>
      </w:r>
    </w:p>
    <w:p w:rsidR="00CA794F" w:rsidRPr="00604262" w:rsidRDefault="009F4861" w:rsidP="008749E1">
      <w:pPr>
        <w:pStyle w:val="ListBullet"/>
        <w:numPr>
          <w:ilvl w:val="0"/>
          <w:numId w:val="11"/>
        </w:numPr>
        <w:spacing w:after="60"/>
        <w:ind w:left="1168" w:hanging="357"/>
        <w:rPr>
          <w:rFonts w:cs="Calibri"/>
        </w:rPr>
      </w:pPr>
      <w:r>
        <w:rPr>
          <w:rFonts w:cs="Calibri"/>
        </w:rPr>
        <w:t>the i</w:t>
      </w:r>
      <w:r w:rsidRPr="00604262">
        <w:rPr>
          <w:rFonts w:cs="Calibri"/>
        </w:rPr>
        <w:t xml:space="preserve">nvestigation of  trading possibilities; </w:t>
      </w:r>
    </w:p>
    <w:p w:rsidR="00CA794F" w:rsidRPr="00604262" w:rsidRDefault="009F4861" w:rsidP="008749E1">
      <w:pPr>
        <w:pStyle w:val="ListBullet"/>
        <w:numPr>
          <w:ilvl w:val="0"/>
          <w:numId w:val="11"/>
        </w:numPr>
        <w:spacing w:after="60"/>
        <w:ind w:left="1168" w:hanging="357"/>
        <w:rPr>
          <w:rFonts w:cs="Calibri"/>
        </w:rPr>
      </w:pPr>
      <w:r>
        <w:rPr>
          <w:rFonts w:cs="Calibri"/>
        </w:rPr>
        <w:t>t</w:t>
      </w:r>
      <w:r w:rsidRPr="00604262">
        <w:rPr>
          <w:rFonts w:cs="Calibri"/>
        </w:rPr>
        <w:t>he justification and approval to trade;</w:t>
      </w:r>
    </w:p>
    <w:p w:rsidR="00CA794F" w:rsidRPr="00604262" w:rsidRDefault="009F4861" w:rsidP="008749E1">
      <w:pPr>
        <w:pStyle w:val="ListBullet"/>
        <w:numPr>
          <w:ilvl w:val="0"/>
          <w:numId w:val="11"/>
        </w:numPr>
        <w:spacing w:after="60"/>
        <w:ind w:left="1168" w:hanging="357"/>
        <w:rPr>
          <w:rFonts w:cs="Calibri"/>
        </w:rPr>
      </w:pPr>
      <w:r>
        <w:rPr>
          <w:rFonts w:cs="Calibri"/>
        </w:rPr>
        <w:t>d</w:t>
      </w:r>
      <w:r w:rsidRPr="00604262">
        <w:rPr>
          <w:rFonts w:cs="Calibri"/>
        </w:rPr>
        <w:t>evelopment of an appropriate approach to market;</w:t>
      </w:r>
    </w:p>
    <w:p w:rsidR="00CA794F" w:rsidRPr="00604262" w:rsidRDefault="009F4861" w:rsidP="008749E1">
      <w:pPr>
        <w:pStyle w:val="ListBullet"/>
        <w:numPr>
          <w:ilvl w:val="0"/>
          <w:numId w:val="11"/>
        </w:numPr>
        <w:spacing w:after="60"/>
        <w:ind w:left="1168" w:hanging="357"/>
        <w:rPr>
          <w:rFonts w:cs="Calibri"/>
        </w:rPr>
      </w:pPr>
      <w:r>
        <w:rPr>
          <w:rFonts w:cs="Calibri"/>
        </w:rPr>
        <w:t>i</w:t>
      </w:r>
      <w:r w:rsidRPr="00604262">
        <w:rPr>
          <w:rFonts w:cs="Calibri"/>
        </w:rPr>
        <w:t>nternal financial processes;</w:t>
      </w:r>
    </w:p>
    <w:p w:rsidR="00CA794F" w:rsidRPr="00604262" w:rsidRDefault="009F4861" w:rsidP="008749E1">
      <w:pPr>
        <w:pStyle w:val="ListBullet"/>
        <w:numPr>
          <w:ilvl w:val="0"/>
          <w:numId w:val="11"/>
        </w:numPr>
        <w:spacing w:after="60"/>
        <w:ind w:left="1168" w:hanging="357"/>
        <w:rPr>
          <w:rFonts w:cs="Calibri"/>
        </w:rPr>
      </w:pPr>
      <w:r w:rsidRPr="00604262">
        <w:rPr>
          <w:rFonts w:cs="Calibri"/>
        </w:rPr>
        <w:t xml:space="preserve">an </w:t>
      </w:r>
      <w:r w:rsidR="00620943">
        <w:rPr>
          <w:rFonts w:cs="Calibri"/>
        </w:rPr>
        <w:t>e</w:t>
      </w:r>
      <w:r w:rsidR="00620943" w:rsidRPr="00604262">
        <w:rPr>
          <w:rFonts w:cs="Calibri"/>
        </w:rPr>
        <w:t xml:space="preserve">valuation </w:t>
      </w:r>
      <w:r w:rsidRPr="00604262">
        <w:rPr>
          <w:rFonts w:cs="Calibri"/>
        </w:rPr>
        <w:t>plan</w:t>
      </w:r>
      <w:r w:rsidR="00620943">
        <w:rPr>
          <w:rFonts w:cs="Calibri"/>
        </w:rPr>
        <w:t xml:space="preserve"> which details how offers to sell </w:t>
      </w:r>
      <w:r w:rsidR="00B63CC5">
        <w:rPr>
          <w:rFonts w:cs="Calibri"/>
        </w:rPr>
        <w:t>or</w:t>
      </w:r>
      <w:r w:rsidR="00620943">
        <w:rPr>
          <w:rFonts w:cs="Calibri"/>
        </w:rPr>
        <w:t xml:space="preserve"> buy water will be assessed</w:t>
      </w:r>
      <w:r w:rsidRPr="00604262">
        <w:rPr>
          <w:rFonts w:cs="Calibri"/>
        </w:rPr>
        <w:t>;</w:t>
      </w:r>
    </w:p>
    <w:p w:rsidR="00CA794F" w:rsidRPr="00604262" w:rsidRDefault="009F4861" w:rsidP="008749E1">
      <w:pPr>
        <w:pStyle w:val="ListBullet"/>
        <w:numPr>
          <w:ilvl w:val="0"/>
          <w:numId w:val="11"/>
        </w:numPr>
        <w:spacing w:after="60"/>
        <w:ind w:left="1168" w:hanging="357"/>
        <w:rPr>
          <w:rFonts w:cs="Calibri"/>
        </w:rPr>
      </w:pPr>
      <w:r w:rsidRPr="00604262">
        <w:rPr>
          <w:rFonts w:cs="Calibri"/>
        </w:rPr>
        <w:t xml:space="preserve">the approval process; and </w:t>
      </w:r>
    </w:p>
    <w:p w:rsidR="00CA794F" w:rsidRPr="00604262" w:rsidRDefault="009F4861" w:rsidP="008749E1">
      <w:pPr>
        <w:pStyle w:val="ListBullet"/>
        <w:numPr>
          <w:ilvl w:val="0"/>
          <w:numId w:val="11"/>
        </w:numPr>
        <w:spacing w:after="60"/>
        <w:ind w:left="1168" w:hanging="357"/>
        <w:rPr>
          <w:rFonts w:cs="Calibri"/>
        </w:rPr>
      </w:pPr>
      <w:r w:rsidRPr="00604262">
        <w:rPr>
          <w:rFonts w:cs="Calibri"/>
        </w:rPr>
        <w:t>public announcements and timely release of information.</w:t>
      </w:r>
    </w:p>
    <w:p w:rsidR="00CA794F" w:rsidRDefault="009F4861" w:rsidP="005C3C3A">
      <w:pPr>
        <w:pStyle w:val="Heading1"/>
        <w:numPr>
          <w:ilvl w:val="2"/>
          <w:numId w:val="13"/>
        </w:numPr>
        <w:spacing w:after="240"/>
        <w:ind w:left="1378" w:hanging="567"/>
      </w:pPr>
      <w:bookmarkStart w:id="59" w:name="_Toc256000010"/>
      <w:bookmarkStart w:id="60" w:name="_Toc373410824"/>
      <w:bookmarkStart w:id="61" w:name="_Toc373495816"/>
      <w:bookmarkStart w:id="62" w:name="_Toc373741161"/>
      <w:bookmarkStart w:id="63" w:name="_Toc373754729"/>
      <w:bookmarkStart w:id="64" w:name="_Toc373835459"/>
      <w:bookmarkStart w:id="65" w:name="_Toc373858666"/>
      <w:bookmarkStart w:id="66" w:name="_Toc373865182"/>
      <w:bookmarkStart w:id="67" w:name="_Toc375035184"/>
      <w:bookmarkStart w:id="68" w:name="_Toc464762942"/>
      <w:r>
        <w:t>Protocols</w:t>
      </w:r>
      <w:bookmarkEnd w:id="59"/>
      <w:bookmarkEnd w:id="60"/>
      <w:bookmarkEnd w:id="61"/>
      <w:bookmarkEnd w:id="62"/>
      <w:bookmarkEnd w:id="63"/>
      <w:bookmarkEnd w:id="64"/>
      <w:bookmarkEnd w:id="65"/>
      <w:bookmarkEnd w:id="66"/>
      <w:bookmarkEnd w:id="67"/>
      <w:bookmarkEnd w:id="68"/>
    </w:p>
    <w:p w:rsidR="00E315FE" w:rsidRDefault="00893499" w:rsidP="001A2CAB">
      <w:pPr>
        <w:pStyle w:val="ListBullet"/>
        <w:spacing w:after="120"/>
        <w:ind w:left="357" w:firstLine="0"/>
      </w:pPr>
      <w:r>
        <w:t xml:space="preserve">The CEWH has developed Protocols </w:t>
      </w:r>
      <w:r w:rsidR="004355F5" w:rsidRPr="004355F5">
        <w:t>to assist the CEWH and CEWO staff in meeting their requirements as per the Basin Plan water trading rules and to reflect the CEWO</w:t>
      </w:r>
      <w:r w:rsidR="003B4987">
        <w:t>’</w:t>
      </w:r>
      <w:r w:rsidR="004355F5" w:rsidRPr="004355F5">
        <w:t>s corporate values as an Australian</w:t>
      </w:r>
      <w:r w:rsidR="007104E4">
        <w:t xml:space="preserve"> Government</w:t>
      </w:r>
      <w:r w:rsidR="004355F5" w:rsidRPr="004355F5">
        <w:t xml:space="preserve"> Public Service agency.</w:t>
      </w:r>
    </w:p>
    <w:p w:rsidR="00CA794F" w:rsidRDefault="008F1D94" w:rsidP="008749E1">
      <w:pPr>
        <w:spacing w:after="60"/>
        <w:ind w:left="357" w:firstLine="0"/>
      </w:pPr>
      <w:r w:rsidRPr="00893499">
        <w:t xml:space="preserve">The </w:t>
      </w:r>
      <w:hyperlink r:id="rId19" w:anchor="protocols" w:history="1">
        <w:r w:rsidRPr="00893499">
          <w:t>protocols</w:t>
        </w:r>
      </w:hyperlink>
      <w:r w:rsidRPr="00893499">
        <w:t xml:space="preserve"> </w:t>
      </w:r>
      <w:r w:rsidR="009F4861">
        <w:t xml:space="preserve">are available at: </w:t>
      </w:r>
      <w:hyperlink r:id="rId20" w:history="1">
        <w:r w:rsidR="00C10EE5" w:rsidRPr="00B63CC5">
          <w:rPr>
            <w:rStyle w:val="Hyperlink"/>
          </w:rPr>
          <w:t>http://www.environment.gov.au/water/cewo/trade/trading-framework</w:t>
        </w:r>
      </w:hyperlink>
      <w:r w:rsidR="009F4861">
        <w:t xml:space="preserve"> and include: </w:t>
      </w:r>
    </w:p>
    <w:p w:rsidR="00CA794F" w:rsidRPr="0064685D" w:rsidRDefault="007104E4" w:rsidP="008749E1">
      <w:pPr>
        <w:pStyle w:val="ListBullet"/>
        <w:numPr>
          <w:ilvl w:val="0"/>
          <w:numId w:val="11"/>
        </w:numPr>
        <w:spacing w:after="60"/>
        <w:ind w:left="1168" w:hanging="357"/>
        <w:rPr>
          <w:rFonts w:cs="Calibri"/>
        </w:rPr>
      </w:pPr>
      <w:r>
        <w:rPr>
          <w:rFonts w:cs="Calibri"/>
        </w:rPr>
        <w:t>‘</w:t>
      </w:r>
      <w:r w:rsidR="009F4861" w:rsidRPr="0064685D">
        <w:rPr>
          <w:rFonts w:cs="Calibri"/>
        </w:rPr>
        <w:t>Chinese wall</w:t>
      </w:r>
      <w:r>
        <w:rPr>
          <w:rFonts w:cs="Calibri"/>
        </w:rPr>
        <w:t>’</w:t>
      </w:r>
      <w:r w:rsidR="009F4861" w:rsidRPr="0064685D">
        <w:rPr>
          <w:rFonts w:cs="Calibri"/>
        </w:rPr>
        <w:t xml:space="preserve"> arrangements</w:t>
      </w:r>
      <w:r>
        <w:rPr>
          <w:rFonts w:cs="Calibri"/>
        </w:rPr>
        <w:t xml:space="preserve"> to preserve the integrity of advice within the CEWO;</w:t>
      </w:r>
    </w:p>
    <w:p w:rsidR="00CA794F" w:rsidRPr="0064685D" w:rsidRDefault="009F4861" w:rsidP="008749E1">
      <w:pPr>
        <w:pStyle w:val="ListBullet"/>
        <w:numPr>
          <w:ilvl w:val="0"/>
          <w:numId w:val="11"/>
        </w:numPr>
        <w:spacing w:after="60"/>
        <w:ind w:left="1168" w:hanging="357"/>
        <w:rPr>
          <w:rFonts w:cs="Calibri"/>
        </w:rPr>
      </w:pPr>
      <w:r>
        <w:rPr>
          <w:rFonts w:cs="Calibri"/>
        </w:rPr>
        <w:t>a</w:t>
      </w:r>
      <w:r w:rsidRPr="0064685D">
        <w:rPr>
          <w:rFonts w:cs="Calibri"/>
        </w:rPr>
        <w:t>voiding,</w:t>
      </w:r>
      <w:r>
        <w:rPr>
          <w:rFonts w:cs="Calibri"/>
        </w:rPr>
        <w:t xml:space="preserve"> exposure to inside information and conflicts of interest;</w:t>
      </w:r>
    </w:p>
    <w:p w:rsidR="00CA794F" w:rsidRPr="0064685D" w:rsidRDefault="009F4861" w:rsidP="008749E1">
      <w:pPr>
        <w:pStyle w:val="ListBullet"/>
        <w:numPr>
          <w:ilvl w:val="0"/>
          <w:numId w:val="11"/>
        </w:numPr>
        <w:spacing w:after="60"/>
        <w:ind w:left="1168" w:hanging="357"/>
        <w:rPr>
          <w:rFonts w:cs="Calibri"/>
        </w:rPr>
      </w:pPr>
      <w:r>
        <w:rPr>
          <w:rFonts w:cs="Calibri"/>
        </w:rPr>
        <w:t>disclosing and managing inside information</w:t>
      </w:r>
      <w:r w:rsidRPr="0064685D">
        <w:rPr>
          <w:rFonts w:cs="Calibri"/>
        </w:rPr>
        <w:t xml:space="preserve"> and conflicts of interest</w:t>
      </w:r>
      <w:r>
        <w:rPr>
          <w:rFonts w:cs="Calibri"/>
        </w:rPr>
        <w:t xml:space="preserve"> if they arise </w:t>
      </w:r>
      <w:r w:rsidRPr="0064685D">
        <w:rPr>
          <w:rFonts w:cs="Calibri"/>
        </w:rPr>
        <w:t>;</w:t>
      </w:r>
    </w:p>
    <w:p w:rsidR="00CA794F" w:rsidRPr="0064685D" w:rsidRDefault="009F4861" w:rsidP="008749E1">
      <w:pPr>
        <w:pStyle w:val="ListBullet"/>
        <w:numPr>
          <w:ilvl w:val="0"/>
          <w:numId w:val="11"/>
        </w:numPr>
        <w:spacing w:after="60"/>
        <w:ind w:left="1168" w:hanging="357"/>
        <w:rPr>
          <w:rFonts w:cs="Calibri"/>
        </w:rPr>
      </w:pPr>
      <w:r>
        <w:rPr>
          <w:rFonts w:cs="Calibri"/>
        </w:rPr>
        <w:t>r</w:t>
      </w:r>
      <w:r w:rsidRPr="0064685D">
        <w:rPr>
          <w:rFonts w:cs="Calibri"/>
        </w:rPr>
        <w:t>ecord keeping and information management;</w:t>
      </w:r>
    </w:p>
    <w:p w:rsidR="00CA794F" w:rsidRPr="00BE067D" w:rsidRDefault="009F4861" w:rsidP="008749E1">
      <w:pPr>
        <w:pStyle w:val="ListBullet"/>
        <w:numPr>
          <w:ilvl w:val="0"/>
          <w:numId w:val="11"/>
        </w:numPr>
        <w:spacing w:after="60"/>
        <w:ind w:left="1168" w:hanging="357"/>
        <w:rPr>
          <w:rFonts w:cs="Calibri"/>
        </w:rPr>
      </w:pPr>
      <w:r>
        <w:rPr>
          <w:rFonts w:cs="Calibri"/>
        </w:rPr>
        <w:t xml:space="preserve">being aware of </w:t>
      </w:r>
      <w:r w:rsidRPr="0064685D">
        <w:rPr>
          <w:rFonts w:cs="Calibri"/>
        </w:rPr>
        <w:t>water announcement</w:t>
      </w:r>
      <w:r>
        <w:rPr>
          <w:rFonts w:cs="Calibri"/>
        </w:rPr>
        <w:t xml:space="preserve">s and decisions to trade; </w:t>
      </w:r>
      <w:r w:rsidRPr="00BF2A8B">
        <w:rPr>
          <w:rFonts w:cs="Calibri"/>
        </w:rPr>
        <w:t>and</w:t>
      </w:r>
    </w:p>
    <w:p w:rsidR="00CA794F" w:rsidRPr="0064685D" w:rsidRDefault="009F4861" w:rsidP="008749E1">
      <w:pPr>
        <w:pStyle w:val="ListBullet"/>
        <w:numPr>
          <w:ilvl w:val="0"/>
          <w:numId w:val="11"/>
        </w:numPr>
        <w:spacing w:after="60"/>
        <w:ind w:left="1168" w:hanging="357"/>
        <w:rPr>
          <w:rFonts w:cs="Calibri"/>
        </w:rPr>
      </w:pPr>
      <w:r>
        <w:rPr>
          <w:rFonts w:cs="Calibri"/>
        </w:rPr>
        <w:t>s</w:t>
      </w:r>
      <w:r w:rsidRPr="0064685D">
        <w:rPr>
          <w:rFonts w:cs="Calibri"/>
        </w:rPr>
        <w:t>anctions for breaches of the APS Code of Conduct.</w:t>
      </w:r>
    </w:p>
    <w:p w:rsidR="00CA794F" w:rsidRPr="008E27CE" w:rsidRDefault="00CA794F" w:rsidP="00CA794F">
      <w:pPr>
        <w:sectPr w:rsidR="00CA794F" w:rsidRPr="008E27CE" w:rsidSect="00E74929">
          <w:pgSz w:w="11906" w:h="16838"/>
          <w:pgMar w:top="1418" w:right="1276" w:bottom="568" w:left="1418" w:header="425" w:footer="423" w:gutter="0"/>
          <w:cols w:space="708"/>
          <w:docGrid w:linePitch="360"/>
        </w:sectPr>
      </w:pPr>
    </w:p>
    <w:p w:rsidR="00CA794F" w:rsidRPr="004C4E18" w:rsidRDefault="0044782E" w:rsidP="007B28EA">
      <w:pPr>
        <w:pStyle w:val="Heading2"/>
        <w:pBdr>
          <w:bottom w:val="none" w:sz="0" w:space="0" w:color="auto"/>
        </w:pBdr>
        <w:spacing w:after="240"/>
        <w:rPr>
          <w:rStyle w:val="IntenseEmphasis"/>
          <w:b w:val="0"/>
          <w:bCs w:val="0"/>
          <w:i w:val="0"/>
          <w:iCs w:val="0"/>
          <w:color w:val="365F91" w:themeColor="accent1" w:themeShade="BF"/>
          <w:sz w:val="24"/>
        </w:rPr>
      </w:pPr>
      <w:bookmarkStart w:id="69" w:name="_Toc256000011"/>
      <w:r>
        <w:rPr>
          <w:rStyle w:val="IntenseEmphasis"/>
          <w:noProof/>
          <w:color w:val="365F91" w:themeColor="accent1" w:themeShade="BF"/>
          <w:lang w:val="en-AU" w:eastAsia="en-AU" w:bidi="ar-SA"/>
        </w:rPr>
        <mc:AlternateContent>
          <mc:Choice Requires="wps">
            <w:drawing>
              <wp:anchor distT="0" distB="0" distL="114300" distR="114300" simplePos="0" relativeHeight="251683840" behindDoc="0" locked="0" layoutInCell="1" allowOverlap="1">
                <wp:simplePos x="0" y="0"/>
                <wp:positionH relativeFrom="column">
                  <wp:posOffset>-355600</wp:posOffset>
                </wp:positionH>
                <wp:positionV relativeFrom="paragraph">
                  <wp:posOffset>384810</wp:posOffset>
                </wp:positionV>
                <wp:extent cx="6480175" cy="304800"/>
                <wp:effectExtent l="1905" t="8890" r="13970" b="29210"/>
                <wp:wrapNone/>
                <wp:docPr id="3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04800"/>
                        </a:xfrm>
                        <a:prstGeom prst="roundRect">
                          <a:avLst>
                            <a:gd name="adj" fmla="val 16667"/>
                          </a:avLst>
                        </a:prstGeom>
                        <a:solidFill>
                          <a:srgbClr val="9BBB59"/>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5E096B" w:rsidRPr="00E435BD" w:rsidRDefault="005E096B" w:rsidP="007B28EA">
                            <w:pPr>
                              <w:spacing w:before="40"/>
                              <w:ind w:firstLine="0"/>
                              <w:jc w:val="center"/>
                              <w:rPr>
                                <w:b/>
                              </w:rPr>
                            </w:pPr>
                            <w:r w:rsidRPr="00E435BD">
                              <w:rPr>
                                <w:b/>
                              </w:rPr>
                              <w:t xml:space="preserve">TRADING </w:t>
                            </w:r>
                            <w:r>
                              <w:rPr>
                                <w:b/>
                              </w:rPr>
                              <w:t>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7" style="position:absolute;margin-left:-28pt;margin-top:30.3pt;width:510.2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" fillcolor="#9bbb59" stroked="f" strokecolor="#f2f2f2" strokeweight="3pt">
                <v:shadow on="t" color="#4e6128" opacity=".5" offset="1pt"/>
                <v:textbox>
                  <w:txbxContent>
                    <w:p w:rsidR="005E096B" w:rsidRPr="00E435BD" w:rsidRDefault="005E096B" w:rsidP="007B28EA">
                      <w:pPr>
                        <w:spacing w:before="40"/>
                        <w:ind w:firstLine="0"/>
                        <w:jc w:val="center"/>
                        <w:rPr>
                          <w:b/>
                        </w:rPr>
                      </w:pPr>
                      <w:r w:rsidRPr="00E435BD">
                        <w:rPr>
                          <w:b/>
                        </w:rPr>
                        <w:t xml:space="preserve">TRADING </w:t>
                      </w:r>
                      <w:r>
                        <w:rPr>
                          <w:b/>
                        </w:rPr>
                        <w:t>FRAMEWORK</w:t>
                      </w:r>
                    </w:p>
                  </w:txbxContent>
                </v:textbox>
              </v:roundrect>
            </w:pict>
          </mc:Fallback>
        </mc:AlternateContent>
      </w:r>
      <w:bookmarkStart w:id="70" w:name="_Toc372631425"/>
      <w:bookmarkStart w:id="71" w:name="_Toc372631500"/>
      <w:bookmarkStart w:id="72" w:name="_Toc373835460"/>
      <w:bookmarkStart w:id="73" w:name="_Toc373858667"/>
      <w:bookmarkStart w:id="74" w:name="_Toc373865183"/>
      <w:bookmarkStart w:id="75" w:name="_Toc375035185"/>
      <w:bookmarkStart w:id="76" w:name="_Toc464762943"/>
      <w:r w:rsidR="009F4861" w:rsidRPr="004C4E18">
        <w:rPr>
          <w:rStyle w:val="IntenseEmphasis"/>
          <w:color w:val="365F91" w:themeColor="accent1" w:themeShade="BF"/>
        </w:rPr>
        <w:t>Figure 1: Trading Framework and Trading Process</w:t>
      </w:r>
      <w:bookmarkEnd w:id="69"/>
      <w:bookmarkEnd w:id="70"/>
      <w:bookmarkEnd w:id="71"/>
      <w:bookmarkEnd w:id="72"/>
      <w:bookmarkEnd w:id="73"/>
      <w:bookmarkEnd w:id="74"/>
      <w:bookmarkEnd w:id="75"/>
      <w:bookmarkEnd w:id="76"/>
    </w:p>
    <w:p w:rsidR="00CA794F" w:rsidRPr="000C640E" w:rsidRDefault="00CA794F" w:rsidP="00CA794F">
      <w:pPr>
        <w:rPr>
          <w:rStyle w:val="IntenseEmphasis"/>
          <w:b w:val="0"/>
        </w:rPr>
      </w:pPr>
    </w:p>
    <w:p w:rsidR="00CA794F" w:rsidRDefault="0044782E" w:rsidP="00CA794F">
      <w:pPr>
        <w:spacing w:before="120" w:after="120"/>
        <w:rPr>
          <w:rFonts w:cs="Calibri"/>
        </w:rPr>
      </w:pPr>
      <w:r>
        <w:rPr>
          <w:rStyle w:val="IntenseEmphasis"/>
          <w:noProof/>
          <w:lang w:val="en-AU" w:eastAsia="en-AU" w:bidi="ar-SA"/>
        </w:rPr>
        <mc:AlternateContent>
          <mc:Choice Requires="wps">
            <w:drawing>
              <wp:anchor distT="0" distB="0" distL="114300" distR="114300" simplePos="0" relativeHeight="251668480" behindDoc="0" locked="0" layoutInCell="1" allowOverlap="1">
                <wp:simplePos x="0" y="0"/>
                <wp:positionH relativeFrom="column">
                  <wp:posOffset>3504565</wp:posOffset>
                </wp:positionH>
                <wp:positionV relativeFrom="paragraph">
                  <wp:posOffset>202565</wp:posOffset>
                </wp:positionV>
                <wp:extent cx="2620010" cy="495300"/>
                <wp:effectExtent l="4445" t="1905" r="13970" b="26670"/>
                <wp:wrapNone/>
                <wp:docPr id="3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010" cy="495300"/>
                        </a:xfrm>
                        <a:prstGeom prst="roundRect">
                          <a:avLst>
                            <a:gd name="adj" fmla="val 16667"/>
                          </a:avLst>
                        </a:prstGeom>
                        <a:solidFill>
                          <a:srgbClr val="D6E3BC"/>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5E096B" w:rsidRPr="00E435BD" w:rsidRDefault="005E096B" w:rsidP="007B28EA">
                            <w:pPr>
                              <w:spacing w:before="120"/>
                              <w:ind w:firstLine="0"/>
                              <w:jc w:val="center"/>
                              <w:rPr>
                                <w:b/>
                              </w:rPr>
                            </w:pPr>
                            <w:r w:rsidRPr="00E435BD">
                              <w:rPr>
                                <w:b/>
                              </w:rPr>
                              <w:t>Operating Rules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8" style="position:absolute;left:0;text-align:left;margin-left:275.95pt;margin-top:15.95pt;width:206.3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" fillcolor="#d6e3bc" stroked="f" strokecolor="#f2f2f2" strokeweight="3pt">
                <v:shadow on="t" color="#243f60" opacity=".5" offset="1pt"/>
                <v:textbox>
                  <w:txbxContent>
                    <w:p w:rsidR="005E096B" w:rsidRPr="00E435BD" w:rsidRDefault="005E096B" w:rsidP="007B28EA">
                      <w:pPr>
                        <w:spacing w:before="120"/>
                        <w:ind w:firstLine="0"/>
                        <w:jc w:val="center"/>
                        <w:rPr>
                          <w:b/>
                        </w:rPr>
                      </w:pPr>
                      <w:r w:rsidRPr="00E435BD">
                        <w:rPr>
                          <w:b/>
                        </w:rPr>
                        <w:t>Operating Rules</w:t>
                      </w:r>
                    </w:p>
                  </w:txbxContent>
                </v:textbox>
              </v:roundrect>
            </w:pict>
          </mc:Fallback>
        </mc:AlternateContent>
      </w:r>
      <w:r>
        <w:rPr>
          <w:rStyle w:val="IntenseEmphasis"/>
          <w:noProof/>
          <w:lang w:val="en-AU" w:eastAsia="en-AU" w:bidi="ar-SA"/>
        </w:rPr>
        <mc:AlternateContent>
          <mc:Choice Requires="wps">
            <w:drawing>
              <wp:anchor distT="0" distB="0" distL="114300" distR="114300" simplePos="0" relativeHeight="251667456" behindDoc="0" locked="0" layoutInCell="1" allowOverlap="1">
                <wp:simplePos x="0" y="0"/>
                <wp:positionH relativeFrom="column">
                  <wp:posOffset>-355600</wp:posOffset>
                </wp:positionH>
                <wp:positionV relativeFrom="paragraph">
                  <wp:posOffset>187960</wp:posOffset>
                </wp:positionV>
                <wp:extent cx="3578860" cy="495300"/>
                <wp:effectExtent l="1905" t="6350" r="19685" b="31750"/>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8860" cy="495300"/>
                        </a:xfrm>
                        <a:prstGeom prst="roundRect">
                          <a:avLst>
                            <a:gd name="adj" fmla="val 16667"/>
                          </a:avLst>
                        </a:prstGeom>
                        <a:solidFill>
                          <a:srgbClr val="D6E3BC"/>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5E096B" w:rsidRPr="00E435BD" w:rsidRDefault="005E096B" w:rsidP="007B28EA">
                            <w:pPr>
                              <w:spacing w:before="120"/>
                              <w:ind w:firstLine="0"/>
                              <w:jc w:val="center"/>
                              <w:rPr>
                                <w:b/>
                              </w:rPr>
                            </w:pPr>
                            <w:r w:rsidRPr="00E435BD">
                              <w:rPr>
                                <w:b/>
                              </w:rPr>
                              <w:t>Commonwealth and State legislation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9" style="position:absolute;left:0;text-align:left;margin-left:-28pt;margin-top:14.8pt;width:281.8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" fillcolor="#d6e3bc" stroked="f" strokecolor="#f2f2f2" strokeweight="3pt">
                <v:shadow on="t" color="#4e6128" opacity=".5" offset="1pt"/>
                <v:textbox>
                  <w:txbxContent>
                    <w:p w:rsidR="005E096B" w:rsidRPr="00E435BD" w:rsidRDefault="005E096B" w:rsidP="007B28EA">
                      <w:pPr>
                        <w:spacing w:before="120"/>
                        <w:ind w:firstLine="0"/>
                        <w:jc w:val="center"/>
                        <w:rPr>
                          <w:b/>
                        </w:rPr>
                      </w:pPr>
                      <w:r w:rsidRPr="00E435BD">
                        <w:rPr>
                          <w:b/>
                        </w:rPr>
                        <w:t>Commonwealth and State legislation</w:t>
                      </w:r>
                    </w:p>
                  </w:txbxContent>
                </v:textbox>
              </v:roundrect>
            </w:pict>
          </mc:Fallback>
        </mc:AlternateContent>
      </w:r>
    </w:p>
    <w:p w:rsidR="00CA794F" w:rsidRDefault="0044782E" w:rsidP="00CA794F">
      <w:pPr>
        <w:spacing w:before="120" w:after="120"/>
        <w:rPr>
          <w:rFonts w:cs="Calibri"/>
        </w:rPr>
      </w:pPr>
      <w:r>
        <w:rPr>
          <w:rFonts w:cs="Calibri"/>
          <w:noProof/>
          <w:lang w:val="en-AU" w:eastAsia="en-AU" w:bidi="ar-SA"/>
        </w:rPr>
        <mc:AlternateContent>
          <mc:Choice Requires="wps">
            <w:drawing>
              <wp:anchor distT="0" distB="0" distL="114300" distR="114300" simplePos="0" relativeHeight="251670528" behindDoc="0" locked="0" layoutInCell="1" allowOverlap="1">
                <wp:simplePos x="0" y="0"/>
                <wp:positionH relativeFrom="column">
                  <wp:posOffset>3223260</wp:posOffset>
                </wp:positionH>
                <wp:positionV relativeFrom="paragraph">
                  <wp:posOffset>51435</wp:posOffset>
                </wp:positionV>
                <wp:extent cx="281305" cy="186055"/>
                <wp:effectExtent l="8890" t="2540" r="5080" b="1905"/>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186055"/>
                        </a:xfrm>
                        <a:prstGeom prst="rightArrow">
                          <a:avLst>
                            <a:gd name="adj1" fmla="val 50000"/>
                            <a:gd name="adj2" fmla="val 37799"/>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73B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253.8pt;margin-top:4.05pt;width:22.15pt;height:1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" fillcolor="#76923c" stroked="f"/>
            </w:pict>
          </mc:Fallback>
        </mc:AlternateContent>
      </w:r>
    </w:p>
    <w:p w:rsidR="00CA794F" w:rsidRDefault="0044782E" w:rsidP="00CA794F">
      <w:pPr>
        <w:spacing w:before="120" w:after="120"/>
        <w:rPr>
          <w:rFonts w:cs="Calibri"/>
        </w:rPr>
      </w:pPr>
      <w:r>
        <w:rPr>
          <w:rFonts w:cs="Calibri"/>
          <w:noProof/>
          <w:lang w:val="en-AU" w:eastAsia="en-AU" w:bidi="ar-SA"/>
        </w:rPr>
        <mc:AlternateContent>
          <mc:Choice Requires="wps">
            <w:drawing>
              <wp:anchor distT="0" distB="0" distL="114300" distR="114300" simplePos="0" relativeHeight="251672576" behindDoc="0" locked="0" layoutInCell="1" allowOverlap="1">
                <wp:simplePos x="0" y="0"/>
                <wp:positionH relativeFrom="column">
                  <wp:posOffset>4395470</wp:posOffset>
                </wp:positionH>
                <wp:positionV relativeFrom="paragraph">
                  <wp:posOffset>128270</wp:posOffset>
                </wp:positionV>
                <wp:extent cx="152400" cy="228600"/>
                <wp:effectExtent l="0" t="2540" r="0" b="6985"/>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8D7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 o:spid="_x0000_s1026" type="#_x0000_t67" style="position:absolute;margin-left:346.1pt;margin-top:10.1pt;width:12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" fillcolor="#76923c" stroked="f"/>
            </w:pict>
          </mc:Fallback>
        </mc:AlternateContent>
      </w:r>
      <w:r>
        <w:rPr>
          <w:rFonts w:cs="Calibri"/>
          <w:noProof/>
          <w:lang w:val="en-AU" w:eastAsia="en-AU" w:bidi="ar-SA"/>
        </w:rPr>
        <mc:AlternateContent>
          <mc:Choice Requires="wps">
            <w:drawing>
              <wp:anchor distT="0" distB="0" distL="114300" distR="114300" simplePos="0" relativeHeight="251671552" behindDoc="0" locked="0" layoutInCell="1" allowOverlap="1">
                <wp:simplePos x="0" y="0"/>
                <wp:positionH relativeFrom="column">
                  <wp:posOffset>2528570</wp:posOffset>
                </wp:positionH>
                <wp:positionV relativeFrom="paragraph">
                  <wp:posOffset>128270</wp:posOffset>
                </wp:positionV>
                <wp:extent cx="152400" cy="228600"/>
                <wp:effectExtent l="0" t="2540" r="0" b="6985"/>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37500"/>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4E529" id="AutoShape 19" o:spid="_x0000_s1026" type="#_x0000_t67" style="position:absolute;margin-left:199.1pt;margin-top:10.1pt;width:12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" fillcolor="#76923c" stroked="f"/>
            </w:pict>
          </mc:Fallback>
        </mc:AlternateContent>
      </w:r>
      <w:r>
        <w:rPr>
          <w:rFonts w:cs="Calibri"/>
          <w:noProof/>
          <w:lang w:val="en-AU" w:eastAsia="en-AU" w:bidi="ar-SA"/>
        </w:rPr>
        <mc:AlternateContent>
          <mc:Choice Requires="wps">
            <w:drawing>
              <wp:anchor distT="0" distB="0" distL="114300" distR="114300" simplePos="0" relativeHeight="251655165" behindDoc="0" locked="0" layoutInCell="1" allowOverlap="1">
                <wp:simplePos x="0" y="0"/>
                <wp:positionH relativeFrom="column">
                  <wp:posOffset>5452745</wp:posOffset>
                </wp:positionH>
                <wp:positionV relativeFrom="paragraph">
                  <wp:posOffset>128270</wp:posOffset>
                </wp:positionV>
                <wp:extent cx="361950" cy="914400"/>
                <wp:effectExtent l="0" t="2540" r="0" b="6985"/>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14400"/>
                        </a:xfrm>
                        <a:prstGeom prst="downArrow">
                          <a:avLst>
                            <a:gd name="adj1" fmla="val 50000"/>
                            <a:gd name="adj2" fmla="val 63158"/>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CB16A" id="AutoShape 3" o:spid="_x0000_s1026" type="#_x0000_t67" style="position:absolute;margin-left:429.35pt;margin-top:10.1pt;width:28.5pt;height:1in;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" fillcolor="#76923c" stroked="f"/>
            </w:pict>
          </mc:Fallback>
        </mc:AlternateContent>
      </w:r>
      <w:r>
        <w:rPr>
          <w:rFonts w:cs="Calibri"/>
          <w:noProof/>
          <w:lang w:val="en-AU" w:eastAsia="en-AU" w:bidi="ar-SA"/>
        </w:rPr>
        <mc:AlternateContent>
          <mc:Choice Requires="wps">
            <w:drawing>
              <wp:anchor distT="0" distB="0" distL="114300" distR="114300" simplePos="0" relativeHeight="251654140" behindDoc="0" locked="0" layoutInCell="1" allowOverlap="1">
                <wp:simplePos x="0" y="0"/>
                <wp:positionH relativeFrom="column">
                  <wp:posOffset>947420</wp:posOffset>
                </wp:positionH>
                <wp:positionV relativeFrom="paragraph">
                  <wp:posOffset>128270</wp:posOffset>
                </wp:positionV>
                <wp:extent cx="361950" cy="914400"/>
                <wp:effectExtent l="0" t="2540" r="0" b="698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14400"/>
                        </a:xfrm>
                        <a:prstGeom prst="downArrow">
                          <a:avLst>
                            <a:gd name="adj1" fmla="val 50000"/>
                            <a:gd name="adj2" fmla="val 63158"/>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7FD7" id="AutoShape 2" o:spid="_x0000_s1026" type="#_x0000_t67" style="position:absolute;margin-left:74.6pt;margin-top:10.1pt;width:28.5pt;height:1in;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" fillcolor="#76923c" stroked="f"/>
            </w:pict>
          </mc:Fallback>
        </mc:AlternateContent>
      </w:r>
    </w:p>
    <w:p w:rsidR="00CA794F" w:rsidRDefault="0044782E" w:rsidP="00CA794F">
      <w:pPr>
        <w:spacing w:before="120" w:after="120"/>
        <w:rPr>
          <w:rFonts w:cs="Calibri"/>
        </w:rPr>
      </w:pPr>
      <w:r>
        <w:rPr>
          <w:rFonts w:cs="Calibri"/>
          <w:noProof/>
          <w:lang w:val="en-AU" w:eastAsia="en-AU" w:bidi="ar-SA"/>
        </w:rPr>
        <mc:AlternateContent>
          <mc:Choice Requires="wps">
            <w:drawing>
              <wp:anchor distT="0" distB="0" distL="114300" distR="114300" simplePos="0" relativeHeight="251684864" behindDoc="0" locked="0" layoutInCell="1" allowOverlap="1">
                <wp:simplePos x="0" y="0"/>
                <wp:positionH relativeFrom="column">
                  <wp:posOffset>1934210</wp:posOffset>
                </wp:positionH>
                <wp:positionV relativeFrom="paragraph">
                  <wp:posOffset>109855</wp:posOffset>
                </wp:positionV>
                <wp:extent cx="2948305" cy="421640"/>
                <wp:effectExtent l="5715" t="1905" r="17780" b="33655"/>
                <wp:wrapNone/>
                <wp:docPr id="2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8305" cy="421640"/>
                        </a:xfrm>
                        <a:prstGeom prst="roundRect">
                          <a:avLst>
                            <a:gd name="adj" fmla="val 16667"/>
                          </a:avLst>
                        </a:prstGeom>
                        <a:solidFill>
                          <a:srgbClr val="D6E3BC"/>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5E096B" w:rsidRPr="00E435BD" w:rsidRDefault="005E096B" w:rsidP="007B28EA">
                            <w:pPr>
                              <w:spacing w:before="120"/>
                              <w:ind w:firstLine="0"/>
                              <w:jc w:val="center"/>
                              <w:rPr>
                                <w:b/>
                              </w:rPr>
                            </w:pPr>
                            <w:r w:rsidRPr="00E435BD">
                              <w:rPr>
                                <w:b/>
                              </w:rPr>
                              <w:t>Procedures</w:t>
                            </w:r>
                            <w:r>
                              <w:rPr>
                                <w:b/>
                              </w:rPr>
                              <w:t xml:space="preserve"> and Protocols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0" style="position:absolute;left:0;text-align:left;margin-left:152.3pt;margin-top:8.65pt;width:232.15pt;height: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" fillcolor="#d6e3bc" stroked="f" strokecolor="#f2f2f2" strokeweight="3pt">
                <v:shadow on="t" color="#243f60" opacity=".5" offset="1pt"/>
                <v:textbox>
                  <w:txbxContent>
                    <w:p w:rsidR="005E096B" w:rsidRPr="00E435BD" w:rsidRDefault="005E096B" w:rsidP="007B28EA">
                      <w:pPr>
                        <w:spacing w:before="120"/>
                        <w:ind w:firstLine="0"/>
                        <w:jc w:val="center"/>
                        <w:rPr>
                          <w:b/>
                        </w:rPr>
                      </w:pPr>
                      <w:r w:rsidRPr="00E435BD">
                        <w:rPr>
                          <w:b/>
                        </w:rPr>
                        <w:t>Procedures</w:t>
                      </w:r>
                      <w:r>
                        <w:rPr>
                          <w:b/>
                        </w:rPr>
                        <w:t xml:space="preserve"> and Protocols</w:t>
                      </w:r>
                    </w:p>
                  </w:txbxContent>
                </v:textbox>
              </v:roundrect>
            </w:pict>
          </mc:Fallback>
        </mc:AlternateContent>
      </w:r>
    </w:p>
    <w:p w:rsidR="00CA794F" w:rsidRDefault="0044782E" w:rsidP="00CA794F">
      <w:pPr>
        <w:spacing w:before="120" w:after="120"/>
        <w:rPr>
          <w:rFonts w:cs="Calibri"/>
        </w:rPr>
      </w:pPr>
      <w:r>
        <w:rPr>
          <w:rFonts w:cs="Calibri"/>
          <w:noProof/>
          <w:lang w:val="en-AU" w:eastAsia="en-AU" w:bidi="ar-SA"/>
        </w:rPr>
        <mc:AlternateContent>
          <mc:Choice Requires="wps">
            <w:drawing>
              <wp:anchor distT="0" distB="0" distL="114300" distR="114300" simplePos="0" relativeHeight="251656190" behindDoc="0" locked="0" layoutInCell="1" allowOverlap="1">
                <wp:simplePos x="0" y="0"/>
                <wp:positionH relativeFrom="column">
                  <wp:posOffset>3352165</wp:posOffset>
                </wp:positionH>
                <wp:positionV relativeFrom="paragraph">
                  <wp:posOffset>225425</wp:posOffset>
                </wp:positionV>
                <wp:extent cx="152400" cy="323850"/>
                <wp:effectExtent l="4445" t="2540" r="5080" b="6985"/>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23850"/>
                        </a:xfrm>
                        <a:prstGeom prst="downArrow">
                          <a:avLst>
                            <a:gd name="adj1" fmla="val 50000"/>
                            <a:gd name="adj2" fmla="val 53125"/>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1F970" id="AutoShape 4" o:spid="_x0000_s1026" type="#_x0000_t67" style="position:absolute;margin-left:263.95pt;margin-top:17.75pt;width:12pt;height:25.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" fillcolor="#76923c" stroked="f"/>
            </w:pict>
          </mc:Fallback>
        </mc:AlternateContent>
      </w:r>
    </w:p>
    <w:p w:rsidR="00CA794F" w:rsidRDefault="00CA794F" w:rsidP="00CA794F">
      <w:pPr>
        <w:spacing w:before="120" w:after="120"/>
        <w:rPr>
          <w:rFonts w:cs="Calibri"/>
        </w:rPr>
      </w:pPr>
    </w:p>
    <w:p w:rsidR="00CA794F" w:rsidRDefault="0044782E" w:rsidP="00CA794F">
      <w:pPr>
        <w:spacing w:before="120" w:after="120"/>
        <w:rPr>
          <w:rFonts w:cs="Calibri"/>
        </w:rPr>
        <w:sectPr w:rsidR="00CA794F" w:rsidSect="00CA794F">
          <w:pgSz w:w="11906" w:h="16838"/>
          <w:pgMar w:top="1418" w:right="1276" w:bottom="567" w:left="1418" w:header="425" w:footer="425" w:gutter="0"/>
          <w:cols w:space="708"/>
          <w:docGrid w:linePitch="360"/>
        </w:sectPr>
      </w:pPr>
      <w:r>
        <w:rPr>
          <w:rFonts w:cs="Calibri"/>
          <w:noProof/>
          <w:lang w:val="en-AU" w:eastAsia="en-AU" w:bidi="ar-SA"/>
        </w:rPr>
        <mc:AlternateContent>
          <mc:Choice Requires="wps">
            <w:drawing>
              <wp:anchor distT="0" distB="0" distL="114300" distR="114300" simplePos="0" relativeHeight="251678720" behindDoc="0" locked="0" layoutInCell="1" allowOverlap="1">
                <wp:simplePos x="0" y="0"/>
                <wp:positionH relativeFrom="column">
                  <wp:posOffset>2745740</wp:posOffset>
                </wp:positionH>
                <wp:positionV relativeFrom="paragraph">
                  <wp:posOffset>4711700</wp:posOffset>
                </wp:positionV>
                <wp:extent cx="276225" cy="720090"/>
                <wp:effectExtent l="5080" t="3175" r="8255" b="6350"/>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225" cy="720090"/>
                        </a:xfrm>
                        <a:prstGeom prst="downArrow">
                          <a:avLst>
                            <a:gd name="adj1" fmla="val 50000"/>
                            <a:gd name="adj2" fmla="val 65172"/>
                          </a:avLst>
                        </a:prstGeom>
                        <a:solidFill>
                          <a:srgbClr val="365F91"/>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26E4C" id="AutoShape 24" o:spid="_x0000_s1026" type="#_x0000_t67" style="position:absolute;margin-left:216.2pt;margin-top:371pt;width:21.75pt;height:56.7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" fillcolor="#365f91" stroked="f" strokecolor="#f2f2f2" strokeweight="3pt">
                <v:shadow color="#243f60" opacity=".5" offset="1pt"/>
              </v:shape>
            </w:pict>
          </mc:Fallback>
        </mc:AlternateContent>
      </w:r>
      <w:r>
        <w:rPr>
          <w:rFonts w:cs="Calibri"/>
          <w:noProof/>
          <w:lang w:val="en-AU" w:eastAsia="en-AU" w:bidi="ar-SA"/>
        </w:rPr>
        <mc:AlternateContent>
          <mc:Choice Requires="wps">
            <w:drawing>
              <wp:anchor distT="0" distB="0" distL="114300" distR="114300" simplePos="0" relativeHeight="251658240" behindDoc="0" locked="0" layoutInCell="1" allowOverlap="1">
                <wp:simplePos x="0" y="0"/>
                <wp:positionH relativeFrom="column">
                  <wp:posOffset>1624330</wp:posOffset>
                </wp:positionH>
                <wp:positionV relativeFrom="paragraph">
                  <wp:posOffset>556260</wp:posOffset>
                </wp:positionV>
                <wp:extent cx="2520315" cy="828675"/>
                <wp:effectExtent l="10160" t="7620" r="12700" b="1143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828675"/>
                        </a:xfrm>
                        <a:prstGeom prst="roundRect">
                          <a:avLst>
                            <a:gd name="adj" fmla="val 16667"/>
                          </a:avLst>
                        </a:prstGeom>
                        <a:solidFill>
                          <a:srgbClr val="8DB3E2">
                            <a:alpha val="50000"/>
                          </a:srgbClr>
                        </a:solidFill>
                        <a:ln w="9525">
                          <a:solidFill>
                            <a:srgbClr val="365F91"/>
                          </a:solidFill>
                          <a:round/>
                          <a:headEnd/>
                          <a:tailEnd/>
                        </a:ln>
                      </wps:spPr>
                      <wps:txbx>
                        <w:txbxContent>
                          <w:p w:rsidR="005E096B" w:rsidRPr="00433CB6" w:rsidRDefault="005E096B" w:rsidP="00433CB6">
                            <w:pPr>
                              <w:pStyle w:val="ListNumber"/>
                              <w:numPr>
                                <w:ilvl w:val="0"/>
                                <w:numId w:val="0"/>
                              </w:numPr>
                              <w:ind w:left="369" w:hanging="369"/>
                              <w:rPr>
                                <w:b/>
                              </w:rPr>
                            </w:pPr>
                            <w:r w:rsidRPr="00A75818">
                              <w:rPr>
                                <w:b/>
                              </w:rPr>
                              <w:t>1.</w:t>
                            </w:r>
                            <w:r>
                              <w:rPr>
                                <w:b/>
                              </w:rPr>
                              <w:tab/>
                            </w:r>
                            <w:r w:rsidRPr="00A75818">
                              <w:rPr>
                                <w:b/>
                              </w:rPr>
                              <w:t>Trading opportunity that will enhance capacity to support environmental objectives identified</w:t>
                            </w:r>
                            <w:r w:rsidRPr="00433CB6">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1" style="position:absolute;left:0;text-align:left;margin-left:127.9pt;margin-top:43.8pt;width:198.4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" fillcolor="#8db3e2" strokecolor="#365f91">
                <v:fill opacity="32896f"/>
                <v:textbox>
                  <w:txbxContent>
                    <w:p w:rsidR="005E096B" w:rsidRPr="00433CB6" w:rsidRDefault="005E096B" w:rsidP="00433CB6">
                      <w:pPr>
                        <w:pStyle w:val="ListNumber"/>
                        <w:numPr>
                          <w:ilvl w:val="0"/>
                          <w:numId w:val="0"/>
                        </w:numPr>
                        <w:ind w:left="369" w:hanging="369"/>
                        <w:rPr>
                          <w:b/>
                        </w:rPr>
                      </w:pPr>
                      <w:r w:rsidRPr="00A75818">
                        <w:rPr>
                          <w:b/>
                        </w:rPr>
                        <w:t>1.</w:t>
                      </w:r>
                      <w:r>
                        <w:rPr>
                          <w:b/>
                        </w:rPr>
                        <w:tab/>
                      </w:r>
                      <w:r w:rsidRPr="00A75818">
                        <w:rPr>
                          <w:b/>
                        </w:rPr>
                        <w:t>Trading opportunity that will enhance capacity to support environmental objectives identified</w:t>
                      </w:r>
                      <w:r w:rsidRPr="00433CB6">
                        <w:rPr>
                          <w:b/>
                        </w:rPr>
                        <w:t>.</w:t>
                      </w:r>
                    </w:p>
                  </w:txbxContent>
                </v:textbox>
              </v:roundrect>
            </w:pict>
          </mc:Fallback>
        </mc:AlternateContent>
      </w:r>
      <w:r>
        <w:rPr>
          <w:rFonts w:cs="Calibri"/>
          <w:noProof/>
          <w:lang w:val="en-AU" w:eastAsia="en-AU" w:bidi="ar-SA"/>
        </w:rPr>
        <mc:AlternateContent>
          <mc:Choice Requires="wps">
            <w:drawing>
              <wp:anchor distT="0" distB="0" distL="114300" distR="114300" simplePos="0" relativeHeight="251663360" behindDoc="0" locked="0" layoutInCell="1" allowOverlap="1">
                <wp:simplePos x="0" y="0"/>
                <wp:positionH relativeFrom="column">
                  <wp:posOffset>3830320</wp:posOffset>
                </wp:positionH>
                <wp:positionV relativeFrom="paragraph">
                  <wp:posOffset>3317875</wp:posOffset>
                </wp:positionV>
                <wp:extent cx="2520315" cy="539750"/>
                <wp:effectExtent l="6350" t="6985" r="6985" b="5715"/>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39750"/>
                        </a:xfrm>
                        <a:prstGeom prst="roundRect">
                          <a:avLst>
                            <a:gd name="adj" fmla="val 16667"/>
                          </a:avLst>
                        </a:prstGeom>
                        <a:solidFill>
                          <a:srgbClr val="8DB3E2">
                            <a:alpha val="50000"/>
                          </a:srgbClr>
                        </a:solidFill>
                        <a:ln w="9525">
                          <a:solidFill>
                            <a:srgbClr val="365F91"/>
                          </a:solidFill>
                          <a:round/>
                          <a:headEnd/>
                          <a:tailEnd/>
                        </a:ln>
                      </wps:spPr>
                      <wps:txbx>
                        <w:txbxContent>
                          <w:p w:rsidR="005E096B" w:rsidRPr="003618D6" w:rsidRDefault="005E096B" w:rsidP="0084225E">
                            <w:pPr>
                              <w:pStyle w:val="ListNumber"/>
                              <w:numPr>
                                <w:ilvl w:val="0"/>
                                <w:numId w:val="0"/>
                              </w:numPr>
                              <w:spacing w:before="40"/>
                              <w:ind w:left="369" w:hanging="369"/>
                              <w:rPr>
                                <w:b/>
                              </w:rPr>
                            </w:pPr>
                            <w:r w:rsidRPr="003618D6">
                              <w:rPr>
                                <w:b/>
                              </w:rPr>
                              <w:t>3.</w:t>
                            </w:r>
                            <w:r w:rsidRPr="003618D6">
                              <w:rPr>
                                <w:b/>
                              </w:rPr>
                              <w:tab/>
                              <w:t>Public announcement of trading intentions</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left:0;text-align:left;margin-left:301.6pt;margin-top:261.25pt;width:198.4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" fillcolor="#8db3e2" strokecolor="#365f91">
                <v:fill opacity="32896f"/>
                <v:textbox>
                  <w:txbxContent>
                    <w:p w:rsidR="005E096B" w:rsidRPr="003618D6" w:rsidRDefault="005E096B" w:rsidP="0084225E">
                      <w:pPr>
                        <w:pStyle w:val="ListNumber"/>
                        <w:numPr>
                          <w:ilvl w:val="0"/>
                          <w:numId w:val="0"/>
                        </w:numPr>
                        <w:spacing w:before="40"/>
                        <w:ind w:left="369" w:hanging="369"/>
                        <w:rPr>
                          <w:b/>
                        </w:rPr>
                      </w:pPr>
                      <w:r w:rsidRPr="003618D6">
                        <w:rPr>
                          <w:b/>
                        </w:rPr>
                        <w:t>3.</w:t>
                      </w:r>
                      <w:r w:rsidRPr="003618D6">
                        <w:rPr>
                          <w:b/>
                        </w:rPr>
                        <w:tab/>
                        <w:t>Public announcement of trading intentions</w:t>
                      </w:r>
                      <w:r>
                        <w:rPr>
                          <w:b/>
                        </w:rPr>
                        <w:t>.</w:t>
                      </w:r>
                    </w:p>
                  </w:txbxContent>
                </v:textbox>
              </v:roundrect>
            </w:pict>
          </mc:Fallback>
        </mc:AlternateContent>
      </w:r>
      <w:r>
        <w:rPr>
          <w:rFonts w:cs="Calibri"/>
          <w:noProof/>
          <w:lang w:val="en-AU" w:eastAsia="en-AU" w:bidi="ar-SA"/>
        </w:rPr>
        <mc:AlternateContent>
          <mc:Choice Requires="wps">
            <w:drawing>
              <wp:anchor distT="0" distB="0" distL="114300" distR="114300" simplePos="0" relativeHeight="251662336" behindDoc="0" locked="0" layoutInCell="1" allowOverlap="1">
                <wp:simplePos x="0" y="0"/>
                <wp:positionH relativeFrom="column">
                  <wp:posOffset>-586105</wp:posOffset>
                </wp:positionH>
                <wp:positionV relativeFrom="paragraph">
                  <wp:posOffset>3317875</wp:posOffset>
                </wp:positionV>
                <wp:extent cx="2520315" cy="539750"/>
                <wp:effectExtent l="9525" t="6985" r="13335" b="5715"/>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39750"/>
                        </a:xfrm>
                        <a:prstGeom prst="roundRect">
                          <a:avLst>
                            <a:gd name="adj" fmla="val 16667"/>
                          </a:avLst>
                        </a:prstGeom>
                        <a:solidFill>
                          <a:srgbClr val="8DB3E2">
                            <a:alpha val="50000"/>
                          </a:srgbClr>
                        </a:solidFill>
                        <a:ln w="9525">
                          <a:solidFill>
                            <a:srgbClr val="365F91"/>
                          </a:solidFill>
                          <a:round/>
                          <a:headEnd/>
                          <a:tailEnd/>
                        </a:ln>
                      </wps:spPr>
                      <wps:txbx>
                        <w:txbxContent>
                          <w:p w:rsidR="005E096B" w:rsidRPr="00950A6A" w:rsidRDefault="005E096B" w:rsidP="0084225E">
                            <w:pPr>
                              <w:pStyle w:val="ListNumber"/>
                              <w:numPr>
                                <w:ilvl w:val="0"/>
                                <w:numId w:val="0"/>
                              </w:numPr>
                              <w:spacing w:before="40"/>
                              <w:ind w:left="369" w:hanging="369"/>
                              <w:rPr>
                                <w:b/>
                              </w:rPr>
                            </w:pPr>
                            <w:r w:rsidRPr="00950A6A">
                              <w:rPr>
                                <w:b/>
                              </w:rPr>
                              <w:t>6.</w:t>
                            </w:r>
                            <w:r w:rsidRPr="00950A6A">
                              <w:rPr>
                                <w:b/>
                              </w:rPr>
                              <w:tab/>
                              <w:t xml:space="preserve">Trade approval, settlement and registration.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3" style="position:absolute;left:0;text-align:left;margin-left:-46.15pt;margin-top:261.25pt;width:198.45pt;height: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" fillcolor="#8db3e2" strokecolor="#365f91">
                <v:fill opacity="32896f"/>
                <v:textbox>
                  <w:txbxContent>
                    <w:p w:rsidR="005E096B" w:rsidRPr="00950A6A" w:rsidRDefault="005E096B" w:rsidP="0084225E">
                      <w:pPr>
                        <w:pStyle w:val="ListNumber"/>
                        <w:numPr>
                          <w:ilvl w:val="0"/>
                          <w:numId w:val="0"/>
                        </w:numPr>
                        <w:spacing w:before="40"/>
                        <w:ind w:left="369" w:hanging="369"/>
                        <w:rPr>
                          <w:b/>
                        </w:rPr>
                      </w:pPr>
                      <w:r w:rsidRPr="00950A6A">
                        <w:rPr>
                          <w:b/>
                        </w:rPr>
                        <w:t>6.</w:t>
                      </w:r>
                      <w:r w:rsidRPr="00950A6A">
                        <w:rPr>
                          <w:b/>
                        </w:rPr>
                        <w:tab/>
                        <w:t xml:space="preserve">Trade approval, settlement and registration. </w:t>
                      </w:r>
                    </w:p>
                  </w:txbxContent>
                </v:textbox>
              </v:roundrect>
            </w:pict>
          </mc:Fallback>
        </mc:AlternateContent>
      </w:r>
      <w:r>
        <w:rPr>
          <w:rFonts w:cs="Calibri"/>
          <w:noProof/>
          <w:lang w:val="en-AU" w:eastAsia="en-AU" w:bidi="ar-SA"/>
        </w:rPr>
        <mc:AlternateContent>
          <mc:Choice Requires="wps">
            <w:drawing>
              <wp:anchor distT="0" distB="0" distL="114300" distR="114300" simplePos="0" relativeHeight="251661312" behindDoc="0" locked="0" layoutInCell="1" allowOverlap="1">
                <wp:simplePos x="0" y="0"/>
                <wp:positionH relativeFrom="column">
                  <wp:posOffset>2182495</wp:posOffset>
                </wp:positionH>
                <wp:positionV relativeFrom="paragraph">
                  <wp:posOffset>2781300</wp:posOffset>
                </wp:positionV>
                <wp:extent cx="1403985" cy="1403985"/>
                <wp:effectExtent l="6350" t="13335" r="8890" b="11430"/>
                <wp:wrapNone/>
                <wp:docPr id="1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403985"/>
                        </a:xfrm>
                        <a:prstGeom prst="ellipse">
                          <a:avLst/>
                        </a:prstGeom>
                        <a:solidFill>
                          <a:srgbClr val="D99594">
                            <a:alpha val="50000"/>
                          </a:srgbClr>
                        </a:solidFill>
                        <a:ln w="3175">
                          <a:solidFill>
                            <a:srgbClr val="5F497A"/>
                          </a:solidFill>
                          <a:round/>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5E096B" w:rsidRPr="007B28EA" w:rsidRDefault="005E096B" w:rsidP="00CA794F">
                            <w:pPr>
                              <w:ind w:firstLine="0"/>
                              <w:jc w:val="center"/>
                              <w:rPr>
                                <w:b/>
                                <w:sz w:val="28"/>
                                <w:szCs w:val="28"/>
                              </w:rPr>
                            </w:pPr>
                          </w:p>
                          <w:p w:rsidR="005E096B" w:rsidRPr="00AA38F0" w:rsidRDefault="005E096B" w:rsidP="00CA794F">
                            <w:pPr>
                              <w:ind w:firstLine="0"/>
                              <w:jc w:val="center"/>
                            </w:pPr>
                            <w:r w:rsidRPr="00AA38F0">
                              <w:rPr>
                                <w:b/>
                              </w:rPr>
                              <w:t>Process for conducting a trading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4" style="position:absolute;left:0;text-align:left;margin-left:171.85pt;margin-top:219pt;width:110.55pt;height:1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" fillcolor="#d99594" strokecolor="#5f497a" strokeweight=".25pt">
                <v:fill opacity="32896f"/>
                <v:shadow color="#3f3151" opacity=".5" offset="1pt"/>
                <v:textbox>
                  <w:txbxContent>
                    <w:p w:rsidR="005E096B" w:rsidRPr="007B28EA" w:rsidRDefault="005E096B" w:rsidP="00CA794F">
                      <w:pPr>
                        <w:ind w:firstLine="0"/>
                        <w:jc w:val="center"/>
                        <w:rPr>
                          <w:b/>
                          <w:sz w:val="28"/>
                          <w:szCs w:val="28"/>
                        </w:rPr>
                      </w:pPr>
                    </w:p>
                    <w:p w:rsidR="005E096B" w:rsidRPr="00AA38F0" w:rsidRDefault="005E096B" w:rsidP="00CA794F">
                      <w:pPr>
                        <w:ind w:firstLine="0"/>
                        <w:jc w:val="center"/>
                      </w:pPr>
                      <w:r w:rsidRPr="00AA38F0">
                        <w:rPr>
                          <w:b/>
                        </w:rPr>
                        <w:t>Process for conducting a trading action</w:t>
                      </w:r>
                    </w:p>
                  </w:txbxContent>
                </v:textbox>
              </v:oval>
            </w:pict>
          </mc:Fallback>
        </mc:AlternateContent>
      </w:r>
      <w:r>
        <w:rPr>
          <w:rFonts w:cs="Calibri"/>
          <w:noProof/>
          <w:lang w:val="en-AU" w:eastAsia="en-AU" w:bidi="ar-SA"/>
        </w:rPr>
        <mc:AlternateContent>
          <mc:Choice Requires="wps">
            <w:drawing>
              <wp:anchor distT="0" distB="0" distL="114300" distR="114300" simplePos="0" relativeHeight="251681792" behindDoc="0" locked="0" layoutInCell="1" allowOverlap="1">
                <wp:simplePos x="0" y="0"/>
                <wp:positionH relativeFrom="column">
                  <wp:posOffset>2746375</wp:posOffset>
                </wp:positionH>
                <wp:positionV relativeFrom="paragraph">
                  <wp:posOffset>5483860</wp:posOffset>
                </wp:positionV>
                <wp:extent cx="276225" cy="338455"/>
                <wp:effectExtent l="8255" t="1270" r="1270" b="3175"/>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38455"/>
                        </a:xfrm>
                        <a:prstGeom prst="downArrow">
                          <a:avLst>
                            <a:gd name="adj1" fmla="val 50000"/>
                            <a:gd name="adj2" fmla="val 30632"/>
                          </a:avLst>
                        </a:prstGeom>
                        <a:solidFill>
                          <a:srgbClr val="6224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836D2" id="AutoShape 27" o:spid="_x0000_s1026" type="#_x0000_t67" style="position:absolute;margin-left:216.25pt;margin-top:431.8pt;width:21.75pt;height: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" fillcolor="#622423" stroked="f" strokecolor="#f2f2f2" strokeweight="3pt">
                <v:shadow color="#243f60" opacity=".5" offset="1pt"/>
              </v:shape>
            </w:pict>
          </mc:Fallback>
        </mc:AlternateContent>
      </w:r>
      <w:r>
        <w:rPr>
          <w:rFonts w:cs="Calibri"/>
          <w:noProof/>
          <w:lang w:val="en-AU" w:eastAsia="en-AU" w:bidi="ar-SA"/>
        </w:rPr>
        <mc:AlternateContent>
          <mc:Choice Requires="wps">
            <w:drawing>
              <wp:anchor distT="0" distB="0" distL="114300" distR="114300" simplePos="0" relativeHeight="251675648" behindDoc="0" locked="0" layoutInCell="1" allowOverlap="1">
                <wp:simplePos x="0" y="0"/>
                <wp:positionH relativeFrom="column">
                  <wp:posOffset>-355600</wp:posOffset>
                </wp:positionH>
                <wp:positionV relativeFrom="paragraph">
                  <wp:posOffset>5885180</wp:posOffset>
                </wp:positionV>
                <wp:extent cx="6480175" cy="958215"/>
                <wp:effectExtent l="11430" t="12065" r="13970" b="10795"/>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58215"/>
                        </a:xfrm>
                        <a:prstGeom prst="roundRect">
                          <a:avLst>
                            <a:gd name="adj" fmla="val 11213"/>
                          </a:avLst>
                        </a:prstGeom>
                        <a:solidFill>
                          <a:srgbClr val="D99594">
                            <a:alpha val="50000"/>
                          </a:srgbClr>
                        </a:solidFill>
                        <a:ln w="12700">
                          <a:solidFill>
                            <a:srgbClr val="4E6128"/>
                          </a:solidFill>
                          <a:round/>
                          <a:headEnd/>
                          <a:tailEnd/>
                        </a:ln>
                      </wps:spPr>
                      <wps:txbx>
                        <w:txbxContent>
                          <w:p w:rsidR="005E096B" w:rsidRDefault="005E096B" w:rsidP="007B28EA">
                            <w:pPr>
                              <w:ind w:firstLine="0"/>
                              <w:jc w:val="center"/>
                              <w:rPr>
                                <w:b/>
                              </w:rPr>
                            </w:pPr>
                            <w:r>
                              <w:rPr>
                                <w:b/>
                              </w:rPr>
                              <w:t>Monitoring and r</w:t>
                            </w:r>
                            <w:r w:rsidRPr="004A2D05">
                              <w:rPr>
                                <w:b/>
                              </w:rPr>
                              <w:t>eview of trading activities</w:t>
                            </w:r>
                            <w:r>
                              <w:rPr>
                                <w:b/>
                              </w:rPr>
                              <w:t>/outcomes</w:t>
                            </w:r>
                          </w:p>
                          <w:p w:rsidR="005E096B" w:rsidRDefault="005E096B" w:rsidP="007B28EA">
                            <w:pPr>
                              <w:ind w:firstLine="0"/>
                              <w:jc w:val="center"/>
                              <w:rPr>
                                <w:i/>
                                <w:sz w:val="20"/>
                              </w:rPr>
                            </w:pPr>
                            <w:r w:rsidRPr="005A1478">
                              <w:rPr>
                                <w:i/>
                                <w:sz w:val="20"/>
                              </w:rPr>
                              <w:t xml:space="preserve">Includes ongoing </w:t>
                            </w:r>
                            <w:r w:rsidRPr="00854594">
                              <w:rPr>
                                <w:i/>
                                <w:sz w:val="20"/>
                              </w:rPr>
                              <w:t>monitoring</w:t>
                            </w:r>
                            <w:r>
                              <w:rPr>
                                <w:i/>
                                <w:sz w:val="20"/>
                              </w:rPr>
                              <w:t xml:space="preserve"> and review of arrangements to support </w:t>
                            </w:r>
                            <w:r w:rsidRPr="00854594">
                              <w:rPr>
                                <w:i/>
                                <w:sz w:val="20"/>
                              </w:rPr>
                              <w:t xml:space="preserve">compliance with Water Act, Environmental Watering Plan, </w:t>
                            </w:r>
                            <w:r>
                              <w:rPr>
                                <w:i/>
                                <w:sz w:val="20"/>
                              </w:rPr>
                              <w:t>Water Trading Rules and operating rules</w:t>
                            </w:r>
                            <w:r w:rsidRPr="00854594">
                              <w:rPr>
                                <w:i/>
                                <w:sz w:val="20"/>
                              </w:rPr>
                              <w:t>. External review</w:t>
                            </w:r>
                            <w:r>
                              <w:rPr>
                                <w:i/>
                                <w:sz w:val="20"/>
                              </w:rPr>
                              <w:t>s</w:t>
                            </w:r>
                            <w:r w:rsidRPr="00854594">
                              <w:rPr>
                                <w:i/>
                                <w:sz w:val="20"/>
                              </w:rPr>
                              <w:t xml:space="preserve"> of </w:t>
                            </w:r>
                            <w:r>
                              <w:rPr>
                                <w:i/>
                                <w:sz w:val="20"/>
                              </w:rPr>
                              <w:t>T</w:t>
                            </w:r>
                            <w:r w:rsidRPr="00854594">
                              <w:rPr>
                                <w:i/>
                                <w:sz w:val="20"/>
                              </w:rPr>
                              <w:t>rading</w:t>
                            </w:r>
                            <w:r>
                              <w:rPr>
                                <w:i/>
                                <w:sz w:val="20"/>
                              </w:rPr>
                              <w:t xml:space="preserve"> Framework and trade outcomes </w:t>
                            </w:r>
                            <w:r w:rsidRPr="00854594">
                              <w:rPr>
                                <w:i/>
                                <w:sz w:val="20"/>
                              </w:rPr>
                              <w:t>including market, third-party and socio-economic impacts</w:t>
                            </w:r>
                            <w:r w:rsidRPr="005A1478">
                              <w:rPr>
                                <w:i/>
                                <w:sz w:val="20"/>
                              </w:rPr>
                              <w:t>.</w:t>
                            </w:r>
                            <w:r>
                              <w:rPr>
                                <w:i/>
                                <w:sz w:val="20"/>
                              </w:rPr>
                              <w:t xml:space="preserve"> Ongoing review of compliance with departmental risk management and audit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5" style="position:absolute;left:0;text-align:left;margin-left:-28pt;margin-top:463.4pt;width:510.25pt;height:7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" fillcolor="#d99594" strokecolor="#4e6128" strokeweight="1pt">
                <v:fill opacity="32896f"/>
                <v:textbox>
                  <w:txbxContent>
                    <w:p w:rsidR="005E096B" w:rsidRDefault="005E096B" w:rsidP="007B28EA">
                      <w:pPr>
                        <w:ind w:firstLine="0"/>
                        <w:jc w:val="center"/>
                        <w:rPr>
                          <w:b/>
                        </w:rPr>
                      </w:pPr>
                      <w:r>
                        <w:rPr>
                          <w:b/>
                        </w:rPr>
                        <w:t>Monitoring and r</w:t>
                      </w:r>
                      <w:r w:rsidRPr="004A2D05">
                        <w:rPr>
                          <w:b/>
                        </w:rPr>
                        <w:t>eview of trading activities</w:t>
                      </w:r>
                      <w:r>
                        <w:rPr>
                          <w:b/>
                        </w:rPr>
                        <w:t>/outcomes</w:t>
                      </w:r>
                    </w:p>
                    <w:p w:rsidR="005E096B" w:rsidRDefault="005E096B" w:rsidP="007B28EA">
                      <w:pPr>
                        <w:ind w:firstLine="0"/>
                        <w:jc w:val="center"/>
                        <w:rPr>
                          <w:i/>
                          <w:sz w:val="20"/>
                        </w:rPr>
                      </w:pPr>
                      <w:r w:rsidRPr="005A1478">
                        <w:rPr>
                          <w:i/>
                          <w:sz w:val="20"/>
                        </w:rPr>
                        <w:t xml:space="preserve">Includes ongoing </w:t>
                      </w:r>
                      <w:r w:rsidRPr="00854594">
                        <w:rPr>
                          <w:i/>
                          <w:sz w:val="20"/>
                        </w:rPr>
                        <w:t>monitoring</w:t>
                      </w:r>
                      <w:r>
                        <w:rPr>
                          <w:i/>
                          <w:sz w:val="20"/>
                        </w:rPr>
                        <w:t xml:space="preserve"> and review of arrangements to support </w:t>
                      </w:r>
                      <w:r w:rsidRPr="00854594">
                        <w:rPr>
                          <w:i/>
                          <w:sz w:val="20"/>
                        </w:rPr>
                        <w:t xml:space="preserve">compliance with Water Act, Environmental Watering Plan, </w:t>
                      </w:r>
                      <w:r>
                        <w:rPr>
                          <w:i/>
                          <w:sz w:val="20"/>
                        </w:rPr>
                        <w:t>Water Trading Rules and operating rules</w:t>
                      </w:r>
                      <w:r w:rsidRPr="00854594">
                        <w:rPr>
                          <w:i/>
                          <w:sz w:val="20"/>
                        </w:rPr>
                        <w:t>. External review</w:t>
                      </w:r>
                      <w:r>
                        <w:rPr>
                          <w:i/>
                          <w:sz w:val="20"/>
                        </w:rPr>
                        <w:t>s</w:t>
                      </w:r>
                      <w:r w:rsidRPr="00854594">
                        <w:rPr>
                          <w:i/>
                          <w:sz w:val="20"/>
                        </w:rPr>
                        <w:t xml:space="preserve"> of </w:t>
                      </w:r>
                      <w:r>
                        <w:rPr>
                          <w:i/>
                          <w:sz w:val="20"/>
                        </w:rPr>
                        <w:t>T</w:t>
                      </w:r>
                      <w:r w:rsidRPr="00854594">
                        <w:rPr>
                          <w:i/>
                          <w:sz w:val="20"/>
                        </w:rPr>
                        <w:t>rading</w:t>
                      </w:r>
                      <w:r>
                        <w:rPr>
                          <w:i/>
                          <w:sz w:val="20"/>
                        </w:rPr>
                        <w:t xml:space="preserve"> Framework and trade outcomes </w:t>
                      </w:r>
                      <w:r w:rsidRPr="00854594">
                        <w:rPr>
                          <w:i/>
                          <w:sz w:val="20"/>
                        </w:rPr>
                        <w:t>including market, third-party and socio-economic impacts</w:t>
                      </w:r>
                      <w:r w:rsidRPr="005A1478">
                        <w:rPr>
                          <w:i/>
                          <w:sz w:val="20"/>
                        </w:rPr>
                        <w:t>.</w:t>
                      </w:r>
                      <w:r>
                        <w:rPr>
                          <w:i/>
                          <w:sz w:val="20"/>
                        </w:rPr>
                        <w:t xml:space="preserve"> Ongoing review of compliance with departmental risk management and audit requirements.</w:t>
                      </w:r>
                    </w:p>
                  </w:txbxContent>
                </v:textbox>
              </v:roundrect>
            </w:pict>
          </mc:Fallback>
        </mc:AlternateContent>
      </w:r>
      <w:r>
        <w:rPr>
          <w:rFonts w:cs="Calibri"/>
          <w:noProof/>
          <w:lang w:val="en-AU" w:eastAsia="en-AU" w:bidi="ar-SA"/>
        </w:rPr>
        <mc:AlternateContent>
          <mc:Choice Requires="wps">
            <w:drawing>
              <wp:anchor distT="0" distB="0" distL="114300" distR="114300" simplePos="0" relativeHeight="251679744" behindDoc="0" locked="0" layoutInCell="1" allowOverlap="1">
                <wp:simplePos x="0" y="0"/>
                <wp:positionH relativeFrom="column">
                  <wp:posOffset>993140</wp:posOffset>
                </wp:positionH>
                <wp:positionV relativeFrom="paragraph">
                  <wp:posOffset>3935730</wp:posOffset>
                </wp:positionV>
                <wp:extent cx="276225" cy="720090"/>
                <wp:effectExtent l="83820" t="0" r="144780" b="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25384">
                          <a:off x="0" y="0"/>
                          <a:ext cx="276225" cy="720090"/>
                        </a:xfrm>
                        <a:prstGeom prst="downArrow">
                          <a:avLst>
                            <a:gd name="adj1" fmla="val 50000"/>
                            <a:gd name="adj2" fmla="val 65172"/>
                          </a:avLst>
                        </a:prstGeom>
                        <a:solidFill>
                          <a:srgbClr val="365F91"/>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92F95" id="AutoShape 25" o:spid="_x0000_s1026" type="#_x0000_t67" style="position:absolute;margin-left:78.2pt;margin-top:309.9pt;width:21.75pt;height:56.7pt;rotation:9311993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" fillcolor="#365f91" stroked="f" strokecolor="#f2f2f2" strokeweight="3pt">
                <v:shadow color="#243f60" opacity=".5" offset="1pt"/>
              </v:shape>
            </w:pict>
          </mc:Fallback>
        </mc:AlternateContent>
      </w:r>
      <w:r>
        <w:rPr>
          <w:rFonts w:cs="Calibri"/>
          <w:noProof/>
          <w:lang w:val="en-AU" w:eastAsia="en-AU" w:bidi="ar-SA"/>
        </w:rPr>
        <mc:AlternateContent>
          <mc:Choice Requires="wps">
            <w:drawing>
              <wp:anchor distT="0" distB="0" distL="114300" distR="114300" simplePos="0" relativeHeight="251677696" behindDoc="0" locked="0" layoutInCell="1" allowOverlap="1">
                <wp:simplePos x="0" y="0"/>
                <wp:positionH relativeFrom="column">
                  <wp:posOffset>4497705</wp:posOffset>
                </wp:positionH>
                <wp:positionV relativeFrom="paragraph">
                  <wp:posOffset>3907790</wp:posOffset>
                </wp:positionV>
                <wp:extent cx="276225" cy="720090"/>
                <wp:effectExtent l="73660" t="0" r="116840" b="0"/>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6662">
                          <a:off x="0" y="0"/>
                          <a:ext cx="276225" cy="720090"/>
                        </a:xfrm>
                        <a:prstGeom prst="downArrow">
                          <a:avLst>
                            <a:gd name="adj1" fmla="val 50000"/>
                            <a:gd name="adj2" fmla="val 65172"/>
                          </a:avLst>
                        </a:prstGeom>
                        <a:solidFill>
                          <a:srgbClr val="365F91"/>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56305" id="AutoShape 23" o:spid="_x0000_s1026" type="#_x0000_t67" style="position:absolute;margin-left:354.15pt;margin-top:307.7pt;width:21.75pt;height:56.7pt;rotation:206073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" fillcolor="#365f91" stroked="f" strokecolor="#f2f2f2" strokeweight="3pt">
                <v:shadow color="#243f60" opacity=".5" offset="1pt"/>
              </v:shape>
            </w:pict>
          </mc:Fallback>
        </mc:AlternateContent>
      </w:r>
      <w:r>
        <w:rPr>
          <w:rFonts w:cs="Calibri"/>
          <w:noProof/>
          <w:lang w:val="en-AU" w:eastAsia="en-AU" w:bidi="ar-SA"/>
        </w:rPr>
        <mc:AlternateContent>
          <mc:Choice Requires="wps">
            <w:drawing>
              <wp:anchor distT="0" distB="0" distL="114300" distR="114300" simplePos="0" relativeHeight="251686912" behindDoc="0" locked="0" layoutInCell="1" allowOverlap="1">
                <wp:simplePos x="0" y="0"/>
                <wp:positionH relativeFrom="column">
                  <wp:posOffset>4395470</wp:posOffset>
                </wp:positionH>
                <wp:positionV relativeFrom="paragraph">
                  <wp:posOffset>956310</wp:posOffset>
                </wp:positionV>
                <wp:extent cx="276225" cy="720090"/>
                <wp:effectExtent l="161925" t="0" r="114300" b="0"/>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54819">
                          <a:off x="0" y="0"/>
                          <a:ext cx="276225" cy="720090"/>
                        </a:xfrm>
                        <a:prstGeom prst="downArrow">
                          <a:avLst>
                            <a:gd name="adj1" fmla="val 50000"/>
                            <a:gd name="adj2" fmla="val 65172"/>
                          </a:avLst>
                        </a:prstGeom>
                        <a:solidFill>
                          <a:srgbClr val="365F91"/>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2BD31" id="AutoShape 30" o:spid="_x0000_s1026" type="#_x0000_t67" style="position:absolute;margin-left:346.1pt;margin-top:75.3pt;width:21.75pt;height:56.7pt;rotation:-279054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" fillcolor="#365f91" stroked="f" strokecolor="#f2f2f2" strokeweight="3pt">
                <v:shadow color="#243f60" opacity=".5" offset="1pt"/>
              </v:shape>
            </w:pict>
          </mc:Fallback>
        </mc:AlternateContent>
      </w:r>
      <w:r>
        <w:rPr>
          <w:rFonts w:cs="Calibri"/>
          <w:noProof/>
          <w:lang w:val="en-AU" w:eastAsia="en-AU" w:bidi="ar-SA"/>
        </w:rPr>
        <mc:AlternateContent>
          <mc:Choice Requires="wps">
            <w:drawing>
              <wp:anchor distT="0" distB="0" distL="114300" distR="114300" simplePos="0" relativeHeight="251680768" behindDoc="0" locked="0" layoutInCell="1" allowOverlap="1">
                <wp:simplePos x="0" y="0"/>
                <wp:positionH relativeFrom="column">
                  <wp:posOffset>671195</wp:posOffset>
                </wp:positionH>
                <wp:positionV relativeFrom="paragraph">
                  <wp:posOffset>2696845</wp:posOffset>
                </wp:positionV>
                <wp:extent cx="276225" cy="539750"/>
                <wp:effectExtent l="0" t="5080" r="0" b="7620"/>
                <wp:wrapNone/>
                <wp:docPr id="1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6225" cy="539750"/>
                        </a:xfrm>
                        <a:prstGeom prst="downArrow">
                          <a:avLst>
                            <a:gd name="adj1" fmla="val 50000"/>
                            <a:gd name="adj2" fmla="val 48851"/>
                          </a:avLst>
                        </a:prstGeom>
                        <a:solidFill>
                          <a:srgbClr val="365F91"/>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AA88C" id="AutoShape 26" o:spid="_x0000_s1026" type="#_x0000_t67" style="position:absolute;margin-left:52.85pt;margin-top:212.35pt;width:21.75pt;height:42.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" fillcolor="#365f91" stroked="f" strokecolor="#f2f2f2" strokeweight="3pt">
                <v:shadow color="#243f60" opacity=".5" offset="1pt"/>
              </v:shape>
            </w:pict>
          </mc:Fallback>
        </mc:AlternateContent>
      </w:r>
      <w:r>
        <w:rPr>
          <w:rFonts w:cs="Calibri"/>
          <w:noProof/>
          <w:lang w:val="en-AU" w:eastAsia="en-AU" w:bidi="ar-SA"/>
        </w:rPr>
        <mc:AlternateContent>
          <mc:Choice Requires="wps">
            <w:drawing>
              <wp:anchor distT="0" distB="0" distL="114300" distR="114300" simplePos="0" relativeHeight="251676672" behindDoc="0" locked="0" layoutInCell="1" allowOverlap="1">
                <wp:simplePos x="0" y="0"/>
                <wp:positionH relativeFrom="column">
                  <wp:posOffset>4773930</wp:posOffset>
                </wp:positionH>
                <wp:positionV relativeFrom="paragraph">
                  <wp:posOffset>2696845</wp:posOffset>
                </wp:positionV>
                <wp:extent cx="276225" cy="539750"/>
                <wp:effectExtent l="6985" t="5080" r="2540" b="7620"/>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539750"/>
                        </a:xfrm>
                        <a:prstGeom prst="downArrow">
                          <a:avLst>
                            <a:gd name="adj1" fmla="val 50000"/>
                            <a:gd name="adj2" fmla="val 48851"/>
                          </a:avLst>
                        </a:prstGeom>
                        <a:solidFill>
                          <a:srgbClr val="365F91"/>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6B492" id="AutoShape 22" o:spid="_x0000_s1026" type="#_x0000_t67" style="position:absolute;margin-left:375.9pt;margin-top:212.35pt;width:21.75pt;height: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" fillcolor="#365f91" stroked="f" strokecolor="#f2f2f2" strokeweight="3pt">
                <v:shadow color="#243f60" opacity=".5" offset="1pt"/>
              </v:shape>
            </w:pict>
          </mc:Fallback>
        </mc:AlternateContent>
      </w:r>
      <w:r>
        <w:rPr>
          <w:rFonts w:cs="Calibri"/>
          <w:noProof/>
          <w:lang w:val="en-AU" w:eastAsia="en-AU" w:bidi="ar-SA"/>
        </w:rPr>
        <mc:AlternateContent>
          <mc:Choice Requires="wps">
            <w:drawing>
              <wp:anchor distT="0" distB="0" distL="114300" distR="114300" simplePos="0" relativeHeight="251659264" behindDoc="0" locked="0" layoutInCell="1" allowOverlap="1">
                <wp:simplePos x="0" y="0"/>
                <wp:positionH relativeFrom="column">
                  <wp:posOffset>3446145</wp:posOffset>
                </wp:positionH>
                <wp:positionV relativeFrom="paragraph">
                  <wp:posOffset>1784350</wp:posOffset>
                </wp:positionV>
                <wp:extent cx="2520315" cy="828040"/>
                <wp:effectExtent l="12700" t="6985" r="10160" b="1270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828040"/>
                        </a:xfrm>
                        <a:prstGeom prst="roundRect">
                          <a:avLst>
                            <a:gd name="adj" fmla="val 16667"/>
                          </a:avLst>
                        </a:prstGeom>
                        <a:solidFill>
                          <a:srgbClr val="8DB3E2">
                            <a:alpha val="50000"/>
                          </a:srgbClr>
                        </a:solidFill>
                        <a:ln w="9525">
                          <a:solidFill>
                            <a:srgbClr val="365F91"/>
                          </a:solidFill>
                          <a:round/>
                          <a:headEnd/>
                          <a:tailEnd/>
                        </a:ln>
                      </wps:spPr>
                      <wps:txbx>
                        <w:txbxContent>
                          <w:p w:rsidR="005E096B" w:rsidRPr="00A75818" w:rsidRDefault="005E096B" w:rsidP="007B28EA">
                            <w:pPr>
                              <w:pStyle w:val="ListNumber"/>
                              <w:numPr>
                                <w:ilvl w:val="0"/>
                                <w:numId w:val="0"/>
                              </w:numPr>
                              <w:ind w:left="369" w:hanging="369"/>
                              <w:rPr>
                                <w:b/>
                              </w:rPr>
                            </w:pPr>
                            <w:r w:rsidRPr="00A75818">
                              <w:rPr>
                                <w:b/>
                              </w:rPr>
                              <w:t>2.</w:t>
                            </w:r>
                            <w:r w:rsidRPr="00A75818">
                              <w:rPr>
                                <w:b/>
                                <w:sz w:val="20"/>
                              </w:rPr>
                              <w:tab/>
                            </w:r>
                            <w:r w:rsidRPr="00A75818">
                              <w:rPr>
                                <w:b/>
                              </w:rPr>
                              <w:t xml:space="preserve">CEWH trading decision </w:t>
                            </w:r>
                            <w:r>
                              <w:rPr>
                                <w:b/>
                              </w:rPr>
                              <w:t xml:space="preserve">that is </w:t>
                            </w:r>
                            <w:r w:rsidRPr="00A75818">
                              <w:rPr>
                                <w:b/>
                              </w:rPr>
                              <w:t xml:space="preserve">consistent with the requirements of the </w:t>
                            </w:r>
                            <w:r w:rsidRPr="00A75818">
                              <w:rPr>
                                <w:b/>
                                <w:i/>
                              </w:rPr>
                              <w:t>Water Act 2007</w:t>
                            </w:r>
                            <w:r>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6" style="position:absolute;left:0;text-align:left;margin-left:271.35pt;margin-top:140.5pt;width:198.45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" fillcolor="#8db3e2" strokecolor="#365f91">
                <v:fill opacity="32896f"/>
                <v:textbox>
                  <w:txbxContent>
                    <w:p w:rsidR="005E096B" w:rsidRPr="00A75818" w:rsidRDefault="005E096B" w:rsidP="007B28EA">
                      <w:pPr>
                        <w:pStyle w:val="ListNumber"/>
                        <w:numPr>
                          <w:ilvl w:val="0"/>
                          <w:numId w:val="0"/>
                        </w:numPr>
                        <w:ind w:left="369" w:hanging="369"/>
                        <w:rPr>
                          <w:b/>
                        </w:rPr>
                      </w:pPr>
                      <w:r w:rsidRPr="00A75818">
                        <w:rPr>
                          <w:b/>
                        </w:rPr>
                        <w:t>2.</w:t>
                      </w:r>
                      <w:r w:rsidRPr="00A75818">
                        <w:rPr>
                          <w:b/>
                          <w:sz w:val="20"/>
                        </w:rPr>
                        <w:tab/>
                      </w:r>
                      <w:r w:rsidRPr="00A75818">
                        <w:rPr>
                          <w:b/>
                        </w:rPr>
                        <w:t xml:space="preserve">CEWH trading decision </w:t>
                      </w:r>
                      <w:r>
                        <w:rPr>
                          <w:b/>
                        </w:rPr>
                        <w:t xml:space="preserve">that is </w:t>
                      </w:r>
                      <w:r w:rsidRPr="00A75818">
                        <w:rPr>
                          <w:b/>
                        </w:rPr>
                        <w:t xml:space="preserve">consistent with the requirements of the </w:t>
                      </w:r>
                      <w:r w:rsidRPr="00A75818">
                        <w:rPr>
                          <w:b/>
                          <w:i/>
                        </w:rPr>
                        <w:t>Water Act 2007</w:t>
                      </w:r>
                      <w:r>
                        <w:rPr>
                          <w:b/>
                          <w:i/>
                        </w:rPr>
                        <w:t>.</w:t>
                      </w:r>
                    </w:p>
                  </w:txbxContent>
                </v:textbox>
              </v:roundrect>
            </w:pict>
          </mc:Fallback>
        </mc:AlternateContent>
      </w:r>
      <w:r>
        <w:rPr>
          <w:rFonts w:cs="Calibri"/>
          <w:noProof/>
          <w:lang w:val="en-AU" w:eastAsia="en-AU" w:bidi="ar-SA"/>
        </w:rPr>
        <mc:AlternateContent>
          <mc:Choice Requires="wps">
            <w:drawing>
              <wp:anchor distT="0" distB="0" distL="114300" distR="114300" simplePos="0" relativeHeight="251664384" behindDoc="0" locked="0" layoutInCell="1" allowOverlap="1">
                <wp:simplePos x="0" y="0"/>
                <wp:positionH relativeFrom="column">
                  <wp:posOffset>3446145</wp:posOffset>
                </wp:positionH>
                <wp:positionV relativeFrom="paragraph">
                  <wp:posOffset>4655820</wp:posOffset>
                </wp:positionV>
                <wp:extent cx="2520315" cy="828040"/>
                <wp:effectExtent l="12700" t="11430" r="10160" b="825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828040"/>
                        </a:xfrm>
                        <a:prstGeom prst="roundRect">
                          <a:avLst>
                            <a:gd name="adj" fmla="val 16667"/>
                          </a:avLst>
                        </a:prstGeom>
                        <a:solidFill>
                          <a:srgbClr val="8DB3E2">
                            <a:alpha val="50000"/>
                          </a:srgbClr>
                        </a:solidFill>
                        <a:ln w="9525">
                          <a:solidFill>
                            <a:srgbClr val="365F91"/>
                          </a:solidFill>
                          <a:round/>
                          <a:headEnd/>
                          <a:tailEnd/>
                        </a:ln>
                      </wps:spPr>
                      <wps:txbx>
                        <w:txbxContent>
                          <w:p w:rsidR="005E096B" w:rsidRPr="003618D6" w:rsidRDefault="005E096B" w:rsidP="0084225E">
                            <w:pPr>
                              <w:pStyle w:val="ListNumber"/>
                              <w:numPr>
                                <w:ilvl w:val="0"/>
                                <w:numId w:val="0"/>
                              </w:numPr>
                              <w:ind w:left="369" w:hanging="369"/>
                            </w:pPr>
                            <w:r w:rsidRPr="003618D6">
                              <w:rPr>
                                <w:b/>
                              </w:rPr>
                              <w:t>4.</w:t>
                            </w:r>
                            <w:r w:rsidRPr="003618D6">
                              <w:rPr>
                                <w:b/>
                              </w:rPr>
                              <w:tab/>
                              <w:t>Approach to market</w:t>
                            </w:r>
                            <w:r>
                              <w:rPr>
                                <w:b/>
                              </w:rPr>
                              <w:t xml:space="preserve"> via a market mechanism tailored to suit particular circumstances of the trading action.</w:t>
                            </w:r>
                            <w:r w:rsidRPr="003618D6">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7" style="position:absolute;left:0;text-align:left;margin-left:271.35pt;margin-top:366.6pt;width:198.45pt;height:6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" fillcolor="#8db3e2" strokecolor="#365f91">
                <v:fill opacity="32896f"/>
                <v:textbox>
                  <w:txbxContent>
                    <w:p w:rsidR="005E096B" w:rsidRPr="003618D6" w:rsidRDefault="005E096B" w:rsidP="0084225E">
                      <w:pPr>
                        <w:pStyle w:val="ListNumber"/>
                        <w:numPr>
                          <w:ilvl w:val="0"/>
                          <w:numId w:val="0"/>
                        </w:numPr>
                        <w:ind w:left="369" w:hanging="369"/>
                      </w:pPr>
                      <w:r w:rsidRPr="003618D6">
                        <w:rPr>
                          <w:b/>
                        </w:rPr>
                        <w:t>4.</w:t>
                      </w:r>
                      <w:r w:rsidRPr="003618D6">
                        <w:rPr>
                          <w:b/>
                        </w:rPr>
                        <w:tab/>
                        <w:t>Approach to market</w:t>
                      </w:r>
                      <w:r>
                        <w:rPr>
                          <w:b/>
                        </w:rPr>
                        <w:t xml:space="preserve"> via a market mechanism tailored to suit particular circumstances of the trading action.</w:t>
                      </w:r>
                      <w:r w:rsidRPr="003618D6">
                        <w:t xml:space="preserve"> </w:t>
                      </w:r>
                    </w:p>
                  </w:txbxContent>
                </v:textbox>
              </v:roundrect>
            </w:pict>
          </mc:Fallback>
        </mc:AlternateContent>
      </w:r>
      <w:r>
        <w:rPr>
          <w:rFonts w:cs="Calibri"/>
          <w:noProof/>
          <w:lang w:val="en-AU" w:eastAsia="en-AU" w:bidi="ar-SA"/>
        </w:rPr>
        <mc:AlternateContent>
          <mc:Choice Requires="wps">
            <w:drawing>
              <wp:anchor distT="0" distB="0" distL="114300" distR="114300" simplePos="0" relativeHeight="251660288" behindDoc="0" locked="0" layoutInCell="1" allowOverlap="1">
                <wp:simplePos x="0" y="0"/>
                <wp:positionH relativeFrom="column">
                  <wp:posOffset>-207010</wp:posOffset>
                </wp:positionH>
                <wp:positionV relativeFrom="paragraph">
                  <wp:posOffset>1784350</wp:posOffset>
                </wp:positionV>
                <wp:extent cx="2520315" cy="828040"/>
                <wp:effectExtent l="7620" t="6985" r="5715" b="1270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828040"/>
                        </a:xfrm>
                        <a:prstGeom prst="roundRect">
                          <a:avLst>
                            <a:gd name="adj" fmla="val 16667"/>
                          </a:avLst>
                        </a:prstGeom>
                        <a:solidFill>
                          <a:srgbClr val="8DB3E2">
                            <a:alpha val="50000"/>
                          </a:srgbClr>
                        </a:solidFill>
                        <a:ln w="9525">
                          <a:solidFill>
                            <a:srgbClr val="365F91"/>
                          </a:solidFill>
                          <a:round/>
                          <a:headEnd/>
                          <a:tailEnd/>
                        </a:ln>
                      </wps:spPr>
                      <wps:txbx>
                        <w:txbxContent>
                          <w:p w:rsidR="005E096B" w:rsidRDefault="005E096B" w:rsidP="007B28EA">
                            <w:pPr>
                              <w:pStyle w:val="ListNumber"/>
                              <w:numPr>
                                <w:ilvl w:val="0"/>
                                <w:numId w:val="0"/>
                              </w:numPr>
                              <w:ind w:left="369" w:hanging="369"/>
                              <w:rPr>
                                <w:sz w:val="20"/>
                              </w:rPr>
                            </w:pPr>
                            <w:r>
                              <w:rPr>
                                <w:b/>
                              </w:rPr>
                              <w:t>7.</w:t>
                            </w:r>
                            <w:r w:rsidRPr="00786B13">
                              <w:rPr>
                                <w:b/>
                              </w:rPr>
                              <w:tab/>
                              <w:t xml:space="preserve">Public announcement of trading outcomes within 30 days of registration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8" style="position:absolute;left:0;text-align:left;margin-left:-16.3pt;margin-top:140.5pt;width:198.45pt;height:6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" fillcolor="#8db3e2" strokecolor="#365f91">
                <v:fill opacity="32896f"/>
                <v:textbox>
                  <w:txbxContent>
                    <w:p w:rsidR="005E096B" w:rsidRDefault="005E096B" w:rsidP="007B28EA">
                      <w:pPr>
                        <w:pStyle w:val="ListNumber"/>
                        <w:numPr>
                          <w:ilvl w:val="0"/>
                          <w:numId w:val="0"/>
                        </w:numPr>
                        <w:ind w:left="369" w:hanging="369"/>
                        <w:rPr>
                          <w:sz w:val="20"/>
                        </w:rPr>
                      </w:pPr>
                      <w:r>
                        <w:rPr>
                          <w:b/>
                        </w:rPr>
                        <w:t>7.</w:t>
                      </w:r>
                      <w:r w:rsidRPr="00786B13">
                        <w:rPr>
                          <w:b/>
                        </w:rPr>
                        <w:tab/>
                        <w:t xml:space="preserve">Public announcement of trading outcomes within 30 days of registration </w:t>
                      </w:r>
                    </w:p>
                  </w:txbxContent>
                </v:textbox>
              </v:roundrect>
            </w:pict>
          </mc:Fallback>
        </mc:AlternateContent>
      </w:r>
      <w:r>
        <w:rPr>
          <w:rFonts w:cs="Calibri"/>
          <w:noProof/>
          <w:lang w:val="en-AU" w:eastAsia="en-AU" w:bidi="ar-SA"/>
        </w:rPr>
        <mc:AlternateContent>
          <mc:Choice Requires="wps">
            <w:drawing>
              <wp:anchor distT="0" distB="0" distL="114300" distR="114300" simplePos="0" relativeHeight="251665408" behindDoc="0" locked="0" layoutInCell="1" allowOverlap="1">
                <wp:simplePos x="0" y="0"/>
                <wp:positionH relativeFrom="column">
                  <wp:posOffset>-207010</wp:posOffset>
                </wp:positionH>
                <wp:positionV relativeFrom="paragraph">
                  <wp:posOffset>4822825</wp:posOffset>
                </wp:positionV>
                <wp:extent cx="2520315" cy="539750"/>
                <wp:effectExtent l="7620" t="6985" r="5715" b="5715"/>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39750"/>
                        </a:xfrm>
                        <a:prstGeom prst="roundRect">
                          <a:avLst>
                            <a:gd name="adj" fmla="val 16667"/>
                          </a:avLst>
                        </a:prstGeom>
                        <a:solidFill>
                          <a:srgbClr val="8DB3E2">
                            <a:alpha val="50000"/>
                          </a:srgbClr>
                        </a:solidFill>
                        <a:ln w="9525">
                          <a:solidFill>
                            <a:srgbClr val="365F91"/>
                          </a:solidFill>
                          <a:round/>
                          <a:headEnd/>
                          <a:tailEnd/>
                        </a:ln>
                      </wps:spPr>
                      <wps:txbx>
                        <w:txbxContent>
                          <w:p w:rsidR="005E096B" w:rsidRPr="00D40BBD" w:rsidRDefault="005E096B" w:rsidP="0084225E">
                            <w:pPr>
                              <w:pStyle w:val="ListNumber"/>
                              <w:numPr>
                                <w:ilvl w:val="0"/>
                                <w:numId w:val="0"/>
                              </w:numPr>
                              <w:spacing w:before="200"/>
                              <w:ind w:left="369" w:hanging="369"/>
                              <w:contextualSpacing/>
                              <w:rPr>
                                <w:b/>
                              </w:rPr>
                            </w:pPr>
                            <w:r>
                              <w:rPr>
                                <w:b/>
                              </w:rPr>
                              <w:t>5.</w:t>
                            </w:r>
                            <w:r>
                              <w:rPr>
                                <w:b/>
                              </w:rPr>
                              <w:tab/>
                            </w:r>
                            <w:r w:rsidRPr="00D40BBD">
                              <w:rPr>
                                <w:b/>
                              </w:rPr>
                              <w:t>Evaluation of offers received</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9" style="position:absolute;left:0;text-align:left;margin-left:-16.3pt;margin-top:379.75pt;width:198.4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" fillcolor="#8db3e2" strokecolor="#365f91">
                <v:fill opacity="32896f"/>
                <v:textbox>
                  <w:txbxContent>
                    <w:p w:rsidR="005E096B" w:rsidRPr="00D40BBD" w:rsidRDefault="005E096B" w:rsidP="0084225E">
                      <w:pPr>
                        <w:pStyle w:val="ListNumber"/>
                        <w:numPr>
                          <w:ilvl w:val="0"/>
                          <w:numId w:val="0"/>
                        </w:numPr>
                        <w:spacing w:before="200"/>
                        <w:ind w:left="369" w:hanging="369"/>
                        <w:contextualSpacing/>
                        <w:rPr>
                          <w:b/>
                        </w:rPr>
                      </w:pPr>
                      <w:r>
                        <w:rPr>
                          <w:b/>
                        </w:rPr>
                        <w:t>5.</w:t>
                      </w:r>
                      <w:r>
                        <w:rPr>
                          <w:b/>
                        </w:rPr>
                        <w:tab/>
                      </w:r>
                      <w:r w:rsidRPr="00D40BBD">
                        <w:rPr>
                          <w:b/>
                        </w:rPr>
                        <w:t>Evaluation of offers received</w:t>
                      </w:r>
                      <w:r>
                        <w:rPr>
                          <w:b/>
                        </w:rPr>
                        <w:t>.</w:t>
                      </w:r>
                    </w:p>
                  </w:txbxContent>
                </v:textbox>
              </v:roundrect>
            </w:pict>
          </mc:Fallback>
        </mc:AlternateContent>
      </w:r>
      <w:r>
        <w:rPr>
          <w:rFonts w:cs="Calibri"/>
          <w:noProof/>
          <w:lang w:val="en-AU" w:eastAsia="en-AU" w:bidi="ar-SA"/>
        </w:rPr>
        <mc:AlternateContent>
          <mc:Choice Requires="wps">
            <w:drawing>
              <wp:anchor distT="0" distB="0" distL="114300" distR="114300" simplePos="0" relativeHeight="251669504" behindDoc="0" locked="0" layoutInCell="1" allowOverlap="1">
                <wp:simplePos x="0" y="0"/>
                <wp:positionH relativeFrom="column">
                  <wp:posOffset>-355600</wp:posOffset>
                </wp:positionH>
                <wp:positionV relativeFrom="paragraph">
                  <wp:posOffset>57785</wp:posOffset>
                </wp:positionV>
                <wp:extent cx="6480175" cy="304800"/>
                <wp:effectExtent l="1905" t="4445" r="13970" b="33655"/>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04800"/>
                        </a:xfrm>
                        <a:prstGeom prst="roundRect">
                          <a:avLst>
                            <a:gd name="adj" fmla="val 16667"/>
                          </a:avLst>
                        </a:prstGeom>
                        <a:solidFill>
                          <a:srgbClr val="4F81BD"/>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5E096B" w:rsidRPr="007B28EA" w:rsidRDefault="005E096B" w:rsidP="007B28EA">
                            <w:pPr>
                              <w:ind w:firstLine="0"/>
                              <w:jc w:val="center"/>
                              <w:rPr>
                                <w:b/>
                                <w:color w:val="FFFFFF" w:themeColor="background1"/>
                              </w:rPr>
                            </w:pPr>
                            <w:r w:rsidRPr="007B28EA">
                              <w:rPr>
                                <w:b/>
                                <w:color w:val="FFFFFF" w:themeColor="background1"/>
                              </w:rPr>
                              <w:t>TRADING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0" style="position:absolute;left:0;text-align:left;margin-left:-28pt;margin-top:4.55pt;width:510.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" fillcolor="#4f81bd" stroked="f" strokecolor="#f2f2f2" strokeweight="3pt">
                <v:shadow on="t" color="#3f3151" opacity=".5" offset="1pt"/>
                <v:textbox>
                  <w:txbxContent>
                    <w:p w:rsidR="005E096B" w:rsidRPr="007B28EA" w:rsidRDefault="005E096B" w:rsidP="007B28EA">
                      <w:pPr>
                        <w:ind w:firstLine="0"/>
                        <w:jc w:val="center"/>
                        <w:rPr>
                          <w:b/>
                          <w:color w:val="FFFFFF" w:themeColor="background1"/>
                        </w:rPr>
                      </w:pPr>
                      <w:r w:rsidRPr="007B28EA">
                        <w:rPr>
                          <w:b/>
                          <w:color w:val="FFFFFF" w:themeColor="background1"/>
                        </w:rPr>
                        <w:t>TRADING PROCESS</w:t>
                      </w:r>
                    </w:p>
                  </w:txbxContent>
                </v:textbox>
              </v:roundrect>
            </w:pict>
          </mc:Fallback>
        </mc:AlternateContent>
      </w:r>
      <w:r>
        <w:rPr>
          <w:rFonts w:cs="Calibri"/>
          <w:noProof/>
          <w:lang w:val="en-AU" w:eastAsia="en-AU" w:bidi="ar-SA"/>
        </w:rPr>
        <mc:AlternateContent>
          <mc:Choice Requires="wps">
            <w:drawing>
              <wp:anchor distT="0" distB="0" distL="114300" distR="114300" simplePos="0" relativeHeight="251666432" behindDoc="0" locked="0" layoutInCell="1" allowOverlap="1">
                <wp:simplePos x="0" y="0"/>
                <wp:positionH relativeFrom="column">
                  <wp:posOffset>461645</wp:posOffset>
                </wp:positionH>
                <wp:positionV relativeFrom="paragraph">
                  <wp:posOffset>8666480</wp:posOffset>
                </wp:positionV>
                <wp:extent cx="6324600" cy="1047750"/>
                <wp:effectExtent l="9525" t="12065" r="9525" b="6985"/>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47750"/>
                        </a:xfrm>
                        <a:prstGeom prst="roundRect">
                          <a:avLst>
                            <a:gd name="adj" fmla="val 11213"/>
                          </a:avLst>
                        </a:prstGeom>
                        <a:solidFill>
                          <a:srgbClr val="C2D69B">
                            <a:alpha val="50000"/>
                          </a:srgbClr>
                        </a:solidFill>
                        <a:ln w="12700">
                          <a:solidFill>
                            <a:srgbClr val="4E6128"/>
                          </a:solidFill>
                          <a:round/>
                          <a:headEnd/>
                          <a:tailEnd/>
                        </a:ln>
                      </wps:spPr>
                      <wps:txbx>
                        <w:txbxContent>
                          <w:p w:rsidR="005E096B" w:rsidRDefault="005E096B" w:rsidP="00CA794F">
                            <w:pPr>
                              <w:jc w:val="center"/>
                              <w:rPr>
                                <w:b/>
                              </w:rPr>
                            </w:pPr>
                            <w:r>
                              <w:rPr>
                                <w:b/>
                              </w:rPr>
                              <w:t>Monitoring and r</w:t>
                            </w:r>
                            <w:r w:rsidRPr="004A2D05">
                              <w:rPr>
                                <w:b/>
                              </w:rPr>
                              <w:t>eview of trading activities</w:t>
                            </w:r>
                            <w:r>
                              <w:rPr>
                                <w:b/>
                              </w:rPr>
                              <w:t>/outcomes</w:t>
                            </w:r>
                          </w:p>
                          <w:p w:rsidR="005E096B" w:rsidRDefault="005E096B" w:rsidP="00CA794F">
                            <w:pPr>
                              <w:rPr>
                                <w:i/>
                                <w:sz w:val="20"/>
                              </w:rPr>
                            </w:pPr>
                            <w:r w:rsidRPr="005A1478">
                              <w:rPr>
                                <w:i/>
                                <w:sz w:val="20"/>
                              </w:rPr>
                              <w:t xml:space="preserve">Includes ongoing </w:t>
                            </w:r>
                            <w:r w:rsidRPr="00854594">
                              <w:rPr>
                                <w:i/>
                                <w:sz w:val="20"/>
                              </w:rPr>
                              <w:t>monitoring</w:t>
                            </w:r>
                            <w:r>
                              <w:rPr>
                                <w:i/>
                                <w:sz w:val="20"/>
                              </w:rPr>
                              <w:t xml:space="preserve"> and review of arrangements to support </w:t>
                            </w:r>
                            <w:r w:rsidRPr="00854594">
                              <w:rPr>
                                <w:i/>
                                <w:sz w:val="20"/>
                              </w:rPr>
                              <w:t xml:space="preserve">compliance with Water Act, Environmental Watering Plan, </w:t>
                            </w:r>
                            <w:r>
                              <w:rPr>
                                <w:i/>
                                <w:sz w:val="20"/>
                              </w:rPr>
                              <w:t>Water Trading Rules and operating rules</w:t>
                            </w:r>
                            <w:r w:rsidRPr="00854594">
                              <w:rPr>
                                <w:i/>
                                <w:sz w:val="20"/>
                              </w:rPr>
                              <w:t xml:space="preserve"> etc. External review</w:t>
                            </w:r>
                            <w:r>
                              <w:rPr>
                                <w:i/>
                                <w:sz w:val="20"/>
                              </w:rPr>
                              <w:t>s</w:t>
                            </w:r>
                            <w:r w:rsidRPr="00854594">
                              <w:rPr>
                                <w:i/>
                                <w:sz w:val="20"/>
                              </w:rPr>
                              <w:t xml:space="preserve"> of </w:t>
                            </w:r>
                            <w:r>
                              <w:rPr>
                                <w:i/>
                                <w:sz w:val="20"/>
                              </w:rPr>
                              <w:t>T</w:t>
                            </w:r>
                            <w:r w:rsidRPr="00854594">
                              <w:rPr>
                                <w:i/>
                                <w:sz w:val="20"/>
                              </w:rPr>
                              <w:t>rading</w:t>
                            </w:r>
                            <w:r>
                              <w:rPr>
                                <w:i/>
                                <w:sz w:val="20"/>
                              </w:rPr>
                              <w:t xml:space="preserve"> Framework and trade outcomes </w:t>
                            </w:r>
                            <w:r w:rsidRPr="00854594">
                              <w:rPr>
                                <w:i/>
                                <w:sz w:val="20"/>
                              </w:rPr>
                              <w:t>including market, third-party and socio-economic impacts)</w:t>
                            </w:r>
                            <w:r w:rsidRPr="005A1478">
                              <w:rPr>
                                <w:i/>
                                <w:sz w:val="20"/>
                              </w:rPr>
                              <w:t>.</w:t>
                            </w:r>
                            <w:r>
                              <w:rPr>
                                <w:i/>
                                <w:sz w:val="20"/>
                              </w:rPr>
                              <w:t xml:space="preserve"> Ongoing review of compliance with Departmental risk management and audit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41" style="position:absolute;left:0;text-align:left;margin-left:36.35pt;margin-top:682.4pt;width:498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" fillcolor="#c2d69b" strokecolor="#4e6128" strokeweight="1pt">
                <v:fill opacity="32896f"/>
                <v:textbox>
                  <w:txbxContent>
                    <w:p w:rsidR="005E096B" w:rsidRDefault="005E096B" w:rsidP="00CA794F">
                      <w:pPr>
                        <w:jc w:val="center"/>
                        <w:rPr>
                          <w:b/>
                        </w:rPr>
                      </w:pPr>
                      <w:r>
                        <w:rPr>
                          <w:b/>
                        </w:rPr>
                        <w:t>Monitoring and r</w:t>
                      </w:r>
                      <w:r w:rsidRPr="004A2D05">
                        <w:rPr>
                          <w:b/>
                        </w:rPr>
                        <w:t>eview of trading activities</w:t>
                      </w:r>
                      <w:r>
                        <w:rPr>
                          <w:b/>
                        </w:rPr>
                        <w:t>/outcomes</w:t>
                      </w:r>
                    </w:p>
                    <w:p w:rsidR="005E096B" w:rsidRDefault="005E096B" w:rsidP="00CA794F">
                      <w:pPr>
                        <w:rPr>
                          <w:i/>
                          <w:sz w:val="20"/>
                        </w:rPr>
                      </w:pPr>
                      <w:r w:rsidRPr="005A1478">
                        <w:rPr>
                          <w:i/>
                          <w:sz w:val="20"/>
                        </w:rPr>
                        <w:t xml:space="preserve">Includes ongoing </w:t>
                      </w:r>
                      <w:r w:rsidRPr="00854594">
                        <w:rPr>
                          <w:i/>
                          <w:sz w:val="20"/>
                        </w:rPr>
                        <w:t>monitoring</w:t>
                      </w:r>
                      <w:r>
                        <w:rPr>
                          <w:i/>
                          <w:sz w:val="20"/>
                        </w:rPr>
                        <w:t xml:space="preserve"> and review of arrangements to support </w:t>
                      </w:r>
                      <w:r w:rsidRPr="00854594">
                        <w:rPr>
                          <w:i/>
                          <w:sz w:val="20"/>
                        </w:rPr>
                        <w:t xml:space="preserve">compliance with Water Act, Environmental Watering Plan, </w:t>
                      </w:r>
                      <w:r>
                        <w:rPr>
                          <w:i/>
                          <w:sz w:val="20"/>
                        </w:rPr>
                        <w:t>Water Trading Rules and operating rules</w:t>
                      </w:r>
                      <w:r w:rsidRPr="00854594">
                        <w:rPr>
                          <w:i/>
                          <w:sz w:val="20"/>
                        </w:rPr>
                        <w:t xml:space="preserve"> etc. External review</w:t>
                      </w:r>
                      <w:r>
                        <w:rPr>
                          <w:i/>
                          <w:sz w:val="20"/>
                        </w:rPr>
                        <w:t>s</w:t>
                      </w:r>
                      <w:r w:rsidRPr="00854594">
                        <w:rPr>
                          <w:i/>
                          <w:sz w:val="20"/>
                        </w:rPr>
                        <w:t xml:space="preserve"> of </w:t>
                      </w:r>
                      <w:r>
                        <w:rPr>
                          <w:i/>
                          <w:sz w:val="20"/>
                        </w:rPr>
                        <w:t>T</w:t>
                      </w:r>
                      <w:r w:rsidRPr="00854594">
                        <w:rPr>
                          <w:i/>
                          <w:sz w:val="20"/>
                        </w:rPr>
                        <w:t>rading</w:t>
                      </w:r>
                      <w:r>
                        <w:rPr>
                          <w:i/>
                          <w:sz w:val="20"/>
                        </w:rPr>
                        <w:t xml:space="preserve"> Framework and trade outcomes </w:t>
                      </w:r>
                      <w:r w:rsidRPr="00854594">
                        <w:rPr>
                          <w:i/>
                          <w:sz w:val="20"/>
                        </w:rPr>
                        <w:t>including market, third-party and socio-economic impacts)</w:t>
                      </w:r>
                      <w:r w:rsidRPr="005A1478">
                        <w:rPr>
                          <w:i/>
                          <w:sz w:val="20"/>
                        </w:rPr>
                        <w:t>.</w:t>
                      </w:r>
                      <w:r>
                        <w:rPr>
                          <w:i/>
                          <w:sz w:val="20"/>
                        </w:rPr>
                        <w:t xml:space="preserve"> Ongoing review of compliance with Departmental risk management and audit requirements.</w:t>
                      </w:r>
                    </w:p>
                  </w:txbxContent>
                </v:textbox>
              </v:roundrect>
            </w:pict>
          </mc:Fallback>
        </mc:AlternateContent>
      </w:r>
    </w:p>
    <w:p w:rsidR="00CA794F" w:rsidRDefault="009F4861" w:rsidP="005C3C3A">
      <w:pPr>
        <w:pStyle w:val="Heading1"/>
        <w:numPr>
          <w:ilvl w:val="0"/>
          <w:numId w:val="13"/>
        </w:numPr>
        <w:spacing w:after="240"/>
        <w:ind w:left="357" w:hanging="357"/>
      </w:pPr>
      <w:bookmarkStart w:id="77" w:name="_Toc256000015"/>
      <w:bookmarkStart w:id="78" w:name="_Toc373835463"/>
      <w:bookmarkStart w:id="79" w:name="_Toc373865186"/>
      <w:bookmarkStart w:id="80" w:name="_Toc375035188"/>
      <w:bookmarkStart w:id="81" w:name="_Toc464762944"/>
      <w:r w:rsidRPr="00417D9A">
        <w:t xml:space="preserve">COMPLIANCE WITH </w:t>
      </w:r>
      <w:r>
        <w:t>COMMONWEALTH AND S</w:t>
      </w:r>
      <w:r w:rsidRPr="00417D9A">
        <w:t xml:space="preserve">TATE </w:t>
      </w:r>
      <w:r>
        <w:t>LEGISLATION</w:t>
      </w:r>
      <w:bookmarkEnd w:id="77"/>
      <w:bookmarkEnd w:id="78"/>
      <w:bookmarkEnd w:id="79"/>
      <w:bookmarkEnd w:id="80"/>
      <w:bookmarkEnd w:id="81"/>
    </w:p>
    <w:p w:rsidR="00CA794F" w:rsidRPr="00E24C7F" w:rsidRDefault="009F4861" w:rsidP="00E24C7F">
      <w:pPr>
        <w:spacing w:after="120"/>
        <w:ind w:left="357" w:firstLine="0"/>
        <w:rPr>
          <w:rFonts w:cs="Calibri"/>
        </w:rPr>
      </w:pPr>
      <w:r w:rsidRPr="00E24C7F">
        <w:rPr>
          <w:rFonts w:cs="Calibri"/>
        </w:rPr>
        <w:t>Legislation is a necessary feature of the administration and accountability of government, and underpins a broad range of government functions.  In addition, a significant body of law governs the operating environment of government agencies in their day-to-day activities.</w:t>
      </w:r>
    </w:p>
    <w:p w:rsidR="00CA794F" w:rsidRPr="00E24C7F" w:rsidRDefault="009F4861" w:rsidP="00E24C7F">
      <w:pPr>
        <w:spacing w:after="120"/>
        <w:ind w:left="357" w:firstLine="0"/>
        <w:rPr>
          <w:rFonts w:cs="Calibri"/>
        </w:rPr>
      </w:pPr>
      <w:r w:rsidRPr="00844869">
        <w:rPr>
          <w:rFonts w:cs="Calibri"/>
        </w:rPr>
        <w:t xml:space="preserve">Commonwealth legislation applies specifically to the way </w:t>
      </w:r>
      <w:r>
        <w:rPr>
          <w:rFonts w:cs="Calibri"/>
        </w:rPr>
        <w:t xml:space="preserve">in which the CEWH and </w:t>
      </w:r>
      <w:r w:rsidRPr="00844869">
        <w:rPr>
          <w:rFonts w:cs="Calibri"/>
        </w:rPr>
        <w:t>CEWO operates, including its trading function</w:t>
      </w:r>
      <w:r>
        <w:rPr>
          <w:rFonts w:cs="Calibri"/>
        </w:rPr>
        <w:t>. S</w:t>
      </w:r>
      <w:r w:rsidRPr="00844869">
        <w:rPr>
          <w:rFonts w:cs="Calibri"/>
        </w:rPr>
        <w:t xml:space="preserve">tate water management legislation sets </w:t>
      </w:r>
      <w:r>
        <w:rPr>
          <w:rFonts w:cs="Calibri"/>
        </w:rPr>
        <w:t>out</w:t>
      </w:r>
      <w:r w:rsidRPr="00844869">
        <w:rPr>
          <w:rFonts w:cs="Calibri"/>
        </w:rPr>
        <w:t xml:space="preserve"> the rules that apply to </w:t>
      </w:r>
      <w:r>
        <w:rPr>
          <w:rFonts w:cs="Calibri"/>
        </w:rPr>
        <w:t>all</w:t>
      </w:r>
      <w:r w:rsidRPr="00844869">
        <w:rPr>
          <w:rFonts w:cs="Calibri"/>
        </w:rPr>
        <w:t xml:space="preserve"> </w:t>
      </w:r>
      <w:r>
        <w:rPr>
          <w:rFonts w:cs="Calibri"/>
        </w:rPr>
        <w:t xml:space="preserve">water </w:t>
      </w:r>
      <w:r w:rsidRPr="00E24C7F">
        <w:rPr>
          <w:rFonts w:cs="Calibri"/>
        </w:rPr>
        <w:t>entitlements, including those that form part of the Commonwealth environmental water holdings.</w:t>
      </w:r>
    </w:p>
    <w:p w:rsidR="00CA794F" w:rsidRDefault="009F4861" w:rsidP="00E24C7F">
      <w:pPr>
        <w:spacing w:after="120"/>
        <w:ind w:left="357" w:firstLine="0"/>
        <w:rPr>
          <w:rFonts w:cs="Calibri"/>
        </w:rPr>
      </w:pPr>
      <w:r w:rsidRPr="00E24C7F">
        <w:rPr>
          <w:rFonts w:cs="Calibri"/>
        </w:rPr>
        <w:t xml:space="preserve">The CEWH and CEWO staff </w:t>
      </w:r>
      <w:r w:rsidR="0076738B" w:rsidRPr="00E24C7F">
        <w:rPr>
          <w:rFonts w:cs="Calibri"/>
        </w:rPr>
        <w:t xml:space="preserve">are </w:t>
      </w:r>
      <w:r w:rsidRPr="00E24C7F">
        <w:rPr>
          <w:rFonts w:cs="Calibri"/>
        </w:rPr>
        <w:t>required to comply with the following legislation and subservient</w:t>
      </w:r>
      <w:r>
        <w:rPr>
          <w:rFonts w:cs="Calibri"/>
        </w:rPr>
        <w:t xml:space="preserve"> regulations:</w:t>
      </w:r>
    </w:p>
    <w:p w:rsidR="00CA794F" w:rsidRDefault="009F4861" w:rsidP="00E24C7F">
      <w:pPr>
        <w:pStyle w:val="ListBullet"/>
        <w:numPr>
          <w:ilvl w:val="0"/>
          <w:numId w:val="27"/>
        </w:numPr>
        <w:spacing w:after="120"/>
        <w:ind w:left="1168" w:hanging="357"/>
        <w:rPr>
          <w:rFonts w:cs="Calibri"/>
        </w:rPr>
      </w:pPr>
      <w:r>
        <w:rPr>
          <w:rFonts w:cs="Calibri"/>
        </w:rPr>
        <w:t xml:space="preserve">The </w:t>
      </w:r>
      <w:hyperlink r:id="rId21" w:history="1">
        <w:r w:rsidRPr="000F59BC">
          <w:rPr>
            <w:rStyle w:val="Hyperlink"/>
            <w:rFonts w:cs="Calibri"/>
            <w:i/>
          </w:rPr>
          <w:t>Water Act 2007</w:t>
        </w:r>
      </w:hyperlink>
      <w:r>
        <w:rPr>
          <w:rFonts w:cs="Calibri"/>
        </w:rPr>
        <w:t xml:space="preserve"> and </w:t>
      </w:r>
      <w:r w:rsidR="00E80C15">
        <w:rPr>
          <w:rFonts w:cs="Calibri"/>
        </w:rPr>
        <w:t xml:space="preserve">the </w:t>
      </w:r>
      <w:hyperlink r:id="rId22" w:history="1">
        <w:r w:rsidRPr="000F59BC">
          <w:rPr>
            <w:rStyle w:val="Hyperlink"/>
            <w:rFonts w:cs="Calibri"/>
            <w:i/>
          </w:rPr>
          <w:t>Basin Plan</w:t>
        </w:r>
        <w:r w:rsidR="000F59BC" w:rsidRPr="000F59BC">
          <w:rPr>
            <w:rStyle w:val="Hyperlink"/>
            <w:rFonts w:cs="Calibri"/>
            <w:i/>
          </w:rPr>
          <w:t xml:space="preserve"> 2012</w:t>
        </w:r>
      </w:hyperlink>
      <w:r>
        <w:rPr>
          <w:rFonts w:cs="Calibri"/>
        </w:rPr>
        <w:t>;</w:t>
      </w:r>
    </w:p>
    <w:p w:rsidR="00CA794F" w:rsidRDefault="0044782E" w:rsidP="00E24C7F">
      <w:pPr>
        <w:pStyle w:val="ListBullet"/>
        <w:numPr>
          <w:ilvl w:val="0"/>
          <w:numId w:val="27"/>
        </w:numPr>
        <w:spacing w:after="120"/>
        <w:ind w:left="1168" w:hanging="357"/>
        <w:rPr>
          <w:rFonts w:cs="Calibri"/>
        </w:rPr>
      </w:pPr>
      <w:hyperlink r:id="rId23" w:history="1">
        <w:r w:rsidR="009F4861" w:rsidRPr="003026D8">
          <w:rPr>
            <w:rStyle w:val="Hyperlink"/>
            <w:i/>
          </w:rPr>
          <w:t>Public Service Act 1999</w:t>
        </w:r>
      </w:hyperlink>
      <w:r w:rsidR="009F4861" w:rsidRPr="00A50F2B">
        <w:rPr>
          <w:i/>
        </w:rPr>
        <w:t xml:space="preserve">, </w:t>
      </w:r>
      <w:hyperlink r:id="rId24" w:history="1">
        <w:r w:rsidR="009F4861" w:rsidRPr="003026D8">
          <w:rPr>
            <w:rStyle w:val="Hyperlink"/>
            <w:i/>
          </w:rPr>
          <w:t>Public Service Regulations 1999</w:t>
        </w:r>
      </w:hyperlink>
      <w:r w:rsidR="009F4861">
        <w:t xml:space="preserve">, </w:t>
      </w:r>
      <w:r w:rsidR="009F4861" w:rsidRPr="00A50F2B">
        <w:t xml:space="preserve">the </w:t>
      </w:r>
      <w:hyperlink r:id="rId25" w:history="1">
        <w:r w:rsidR="009F4861" w:rsidRPr="003026D8">
          <w:rPr>
            <w:rStyle w:val="Hyperlink"/>
            <w:i/>
          </w:rPr>
          <w:t>Australian Public Service</w:t>
        </w:r>
        <w:r w:rsidR="009F4861" w:rsidRPr="003026D8">
          <w:rPr>
            <w:rStyle w:val="Hyperlink"/>
          </w:rPr>
          <w:t xml:space="preserve"> </w:t>
        </w:r>
        <w:r w:rsidR="009F4861" w:rsidRPr="003026D8">
          <w:rPr>
            <w:rStyle w:val="Hyperlink"/>
            <w:i/>
          </w:rPr>
          <w:t>Commissioners Directions 2013</w:t>
        </w:r>
      </w:hyperlink>
      <w:r w:rsidR="009F4861">
        <w:rPr>
          <w:rFonts w:cs="Calibri"/>
          <w:i/>
        </w:rPr>
        <w:t>,</w:t>
      </w:r>
      <w:r w:rsidR="009F4861" w:rsidRPr="00643E62">
        <w:rPr>
          <w:rFonts w:cs="Calibri"/>
          <w:i/>
        </w:rPr>
        <w:t xml:space="preserve"> </w:t>
      </w:r>
      <w:r w:rsidR="009F4861">
        <w:rPr>
          <w:rFonts w:cs="Calibri"/>
        </w:rPr>
        <w:t>and the APS Values and Code of Conduct;</w:t>
      </w:r>
    </w:p>
    <w:p w:rsidR="00CA794F" w:rsidRPr="00643E62" w:rsidRDefault="009F4861" w:rsidP="00E24C7F">
      <w:pPr>
        <w:pStyle w:val="ListBullet"/>
        <w:numPr>
          <w:ilvl w:val="0"/>
          <w:numId w:val="27"/>
        </w:numPr>
        <w:spacing w:after="120"/>
        <w:ind w:left="1168" w:hanging="357"/>
        <w:rPr>
          <w:rFonts w:cs="Calibri"/>
        </w:rPr>
      </w:pPr>
      <w:r w:rsidRPr="001B3222">
        <w:t>The</w:t>
      </w:r>
      <w:r>
        <w:rPr>
          <w:i/>
        </w:rPr>
        <w:t xml:space="preserve"> </w:t>
      </w:r>
      <w:hyperlink r:id="rId26" w:history="1">
        <w:r w:rsidR="00692F9F" w:rsidRPr="000F59BC">
          <w:rPr>
            <w:rStyle w:val="Hyperlink"/>
            <w:i/>
            <w:iCs/>
          </w:rPr>
          <w:t>Public Governance, Performance and Accountability Act 2013</w:t>
        </w:r>
      </w:hyperlink>
      <w:r w:rsidR="00692F9F">
        <w:rPr>
          <w:rStyle w:val="Emphasis"/>
        </w:rPr>
        <w:t xml:space="preserve"> </w:t>
      </w:r>
      <w:r w:rsidRPr="00643E62">
        <w:t>(</w:t>
      </w:r>
      <w:r w:rsidR="00692F9F">
        <w:t>PGPA</w:t>
      </w:r>
      <w:r w:rsidR="00692F9F" w:rsidRPr="00643E62">
        <w:t xml:space="preserve"> </w:t>
      </w:r>
      <w:r w:rsidRPr="00643E62">
        <w:t>Act)</w:t>
      </w:r>
      <w:r>
        <w:t xml:space="preserve"> and the </w:t>
      </w:r>
      <w:hyperlink r:id="rId27" w:history="1">
        <w:r w:rsidRPr="008749E1">
          <w:rPr>
            <w:rStyle w:val="Hyperlink"/>
            <w:i/>
          </w:rPr>
          <w:t xml:space="preserve">Commonwealth Procurement Rules </w:t>
        </w:r>
        <w:r w:rsidR="0031058F" w:rsidRPr="008749E1">
          <w:rPr>
            <w:rStyle w:val="Hyperlink"/>
            <w:i/>
          </w:rPr>
          <w:t>2014</w:t>
        </w:r>
      </w:hyperlink>
      <w:r w:rsidR="0031058F">
        <w:t xml:space="preserve"> </w:t>
      </w:r>
      <w:r>
        <w:t>(CPR);</w:t>
      </w:r>
    </w:p>
    <w:p w:rsidR="00CA794F" w:rsidRPr="008749E1" w:rsidRDefault="0044782E" w:rsidP="00E24C7F">
      <w:pPr>
        <w:pStyle w:val="ListBullet"/>
        <w:numPr>
          <w:ilvl w:val="0"/>
          <w:numId w:val="27"/>
        </w:numPr>
        <w:spacing w:after="120"/>
        <w:ind w:left="1168" w:hanging="357"/>
        <w:rPr>
          <w:rFonts w:cs="Calibri"/>
        </w:rPr>
      </w:pPr>
      <w:hyperlink r:id="rId28" w:history="1">
        <w:r w:rsidR="009F4861" w:rsidRPr="003026D8">
          <w:rPr>
            <w:rStyle w:val="Hyperlink"/>
            <w:rFonts w:cs="Calibri"/>
            <w:i/>
          </w:rPr>
          <w:t>Freedom of Information Act 1982</w:t>
        </w:r>
      </w:hyperlink>
      <w:r w:rsidR="009F4861" w:rsidRPr="00643E62">
        <w:rPr>
          <w:rFonts w:cs="Calibri"/>
          <w:i/>
        </w:rPr>
        <w:t xml:space="preserve"> </w:t>
      </w:r>
      <w:r w:rsidR="009F4861" w:rsidRPr="008749E1">
        <w:rPr>
          <w:rFonts w:cs="Calibri"/>
        </w:rPr>
        <w:t xml:space="preserve">(FOI Act); and </w:t>
      </w:r>
    </w:p>
    <w:p w:rsidR="00CA794F" w:rsidRPr="008749E1" w:rsidRDefault="009F4861" w:rsidP="00E24C7F">
      <w:pPr>
        <w:pStyle w:val="ListBullet"/>
        <w:numPr>
          <w:ilvl w:val="0"/>
          <w:numId w:val="27"/>
        </w:numPr>
        <w:spacing w:after="120"/>
        <w:ind w:left="1168" w:hanging="357"/>
        <w:rPr>
          <w:rFonts w:cs="Calibri"/>
        </w:rPr>
      </w:pPr>
      <w:r w:rsidRPr="008749E1">
        <w:rPr>
          <w:rFonts w:cs="Calibri"/>
        </w:rPr>
        <w:t>Relevant State water management legislation.</w:t>
      </w:r>
    </w:p>
    <w:p w:rsidR="00CA794F" w:rsidRDefault="009F4861" w:rsidP="008749E1">
      <w:pPr>
        <w:pStyle w:val="Heading1"/>
        <w:numPr>
          <w:ilvl w:val="1"/>
          <w:numId w:val="13"/>
        </w:numPr>
        <w:spacing w:after="240"/>
        <w:ind w:left="811" w:hanging="454"/>
      </w:pPr>
      <w:bookmarkStart w:id="82" w:name="_Toc372718817"/>
      <w:bookmarkStart w:id="83" w:name="_Toc372718858"/>
      <w:bookmarkStart w:id="84" w:name="_Toc372719420"/>
      <w:bookmarkStart w:id="85" w:name="_Toc372724382"/>
      <w:bookmarkStart w:id="86" w:name="_Toc372791131"/>
      <w:bookmarkStart w:id="87" w:name="_Toc373235015"/>
      <w:bookmarkStart w:id="88" w:name="_Toc373243814"/>
      <w:bookmarkStart w:id="89" w:name="_Toc373410830"/>
      <w:bookmarkStart w:id="90" w:name="_Toc256000016"/>
      <w:bookmarkStart w:id="91" w:name="_Toc373835464"/>
      <w:bookmarkStart w:id="92" w:name="_Toc373865187"/>
      <w:bookmarkStart w:id="93" w:name="_Toc375035189"/>
      <w:bookmarkStart w:id="94" w:name="_Toc464762945"/>
      <w:bookmarkEnd w:id="82"/>
      <w:bookmarkEnd w:id="83"/>
      <w:bookmarkEnd w:id="84"/>
      <w:bookmarkEnd w:id="85"/>
      <w:bookmarkEnd w:id="86"/>
      <w:bookmarkEnd w:id="87"/>
      <w:bookmarkEnd w:id="88"/>
      <w:bookmarkEnd w:id="89"/>
      <w:r>
        <w:t>The Water Act</w:t>
      </w:r>
      <w:bookmarkEnd w:id="90"/>
      <w:bookmarkEnd w:id="91"/>
      <w:bookmarkEnd w:id="92"/>
      <w:bookmarkEnd w:id="93"/>
      <w:bookmarkEnd w:id="94"/>
    </w:p>
    <w:p w:rsidR="00CA794F" w:rsidRPr="00927DD3" w:rsidRDefault="009F4861" w:rsidP="00CA794F">
      <w:pPr>
        <w:pStyle w:val="ListBullet"/>
        <w:spacing w:after="120"/>
        <w:ind w:left="360" w:firstLine="0"/>
        <w:rPr>
          <w:rFonts w:cs="Calibri"/>
        </w:rPr>
      </w:pPr>
      <w:r>
        <w:rPr>
          <w:rFonts w:cs="Calibri"/>
        </w:rPr>
        <w:t xml:space="preserve">The Water Act and Basin Plan limit the circumstances under which trade can occur, and, the information that can be used when making a trade decision. </w:t>
      </w:r>
      <w:r w:rsidRPr="00643E62">
        <w:rPr>
          <w:rFonts w:cs="Arial"/>
        </w:rPr>
        <w:t>The Water Act is the primary legislation governing the CEWH</w:t>
      </w:r>
      <w:r>
        <w:rPr>
          <w:rFonts w:cs="Arial"/>
        </w:rPr>
        <w:t>;</w:t>
      </w:r>
      <w:r w:rsidRPr="00643E62">
        <w:rPr>
          <w:rFonts w:cs="Arial"/>
        </w:rPr>
        <w:t xml:space="preserve"> it allows for the establishment </w:t>
      </w:r>
      <w:r>
        <w:rPr>
          <w:rFonts w:cs="Arial"/>
        </w:rPr>
        <w:t xml:space="preserve">of </w:t>
      </w:r>
      <w:r w:rsidRPr="00643E62">
        <w:rPr>
          <w:rFonts w:cs="Arial"/>
        </w:rPr>
        <w:t xml:space="preserve">and </w:t>
      </w:r>
      <w:r>
        <w:rPr>
          <w:rFonts w:cs="Arial"/>
        </w:rPr>
        <w:t xml:space="preserve">carrying out of the </w:t>
      </w:r>
      <w:r w:rsidRPr="00643E62">
        <w:rPr>
          <w:rFonts w:cs="Arial"/>
        </w:rPr>
        <w:t>functions of the CEWH</w:t>
      </w:r>
      <w:r>
        <w:rPr>
          <w:rFonts w:cs="Arial"/>
        </w:rPr>
        <w:t xml:space="preserve">. </w:t>
      </w:r>
    </w:p>
    <w:p w:rsidR="00CA794F" w:rsidRDefault="009F4861" w:rsidP="00CA794F">
      <w:pPr>
        <w:pStyle w:val="ListBullet"/>
        <w:spacing w:after="120"/>
        <w:ind w:left="360" w:firstLine="0"/>
        <w:rPr>
          <w:rFonts w:cs="Arial"/>
        </w:rPr>
      </w:pPr>
      <w:r w:rsidRPr="00643E62">
        <w:rPr>
          <w:rFonts w:cs="Calibri"/>
        </w:rPr>
        <w:t xml:space="preserve">Section 105 </w:t>
      </w:r>
      <w:r>
        <w:rPr>
          <w:rFonts w:cs="Calibri"/>
        </w:rPr>
        <w:t>of the Water Act</w:t>
      </w:r>
      <w:r w:rsidRPr="00643E62">
        <w:rPr>
          <w:rFonts w:cs="Calibri"/>
        </w:rPr>
        <w:t xml:space="preserve"> require</w:t>
      </w:r>
      <w:r>
        <w:rPr>
          <w:rFonts w:cs="Calibri"/>
        </w:rPr>
        <w:t>s</w:t>
      </w:r>
      <w:r w:rsidRPr="00643E62">
        <w:rPr>
          <w:rFonts w:cs="Calibri"/>
        </w:rPr>
        <w:t xml:space="preserve"> all decisions relating to use, carryover, or trade of </w:t>
      </w:r>
      <w:r>
        <w:rPr>
          <w:rFonts w:cs="Calibri"/>
        </w:rPr>
        <w:t xml:space="preserve">Commonwealth environmental </w:t>
      </w:r>
      <w:r w:rsidRPr="00643E62">
        <w:rPr>
          <w:rFonts w:cs="Calibri"/>
        </w:rPr>
        <w:t>water made by CEW</w:t>
      </w:r>
      <w:r>
        <w:rPr>
          <w:rFonts w:cs="Calibri"/>
        </w:rPr>
        <w:t>H</w:t>
      </w:r>
      <w:r w:rsidRPr="00643E62">
        <w:rPr>
          <w:rFonts w:cs="Calibri"/>
        </w:rPr>
        <w:t xml:space="preserve"> </w:t>
      </w:r>
      <w:r>
        <w:rPr>
          <w:rFonts w:cs="Calibri"/>
        </w:rPr>
        <w:t>to</w:t>
      </w:r>
      <w:r w:rsidRPr="00643E62">
        <w:rPr>
          <w:rFonts w:cs="Calibri"/>
        </w:rPr>
        <w:t xml:space="preserve"> be justified (and documented) by reference to the objectives of managing the holdings for the purpose of protecting or restoring the environmental assets of the Basin</w:t>
      </w:r>
      <w:r>
        <w:rPr>
          <w:rFonts w:cs="Calibri"/>
        </w:rPr>
        <w:t xml:space="preserve">. </w:t>
      </w:r>
      <w:r w:rsidRPr="00643E62">
        <w:t>Trade is not an end unto itself but rather a tool for enhancing environmental watering capacity</w:t>
      </w:r>
      <w:r>
        <w:t>.</w:t>
      </w:r>
    </w:p>
    <w:p w:rsidR="003026D8" w:rsidRDefault="009F4861" w:rsidP="003026D8">
      <w:pPr>
        <w:pStyle w:val="ListBullet"/>
        <w:spacing w:after="120"/>
        <w:ind w:left="360" w:firstLine="0"/>
        <w:rPr>
          <w:rFonts w:cs="Calibri"/>
        </w:rPr>
      </w:pPr>
      <w:r w:rsidRPr="003026D8">
        <w:rPr>
          <w:rFonts w:cs="Calibri"/>
        </w:rPr>
        <w:t xml:space="preserve">In relation to trade, </w:t>
      </w:r>
      <w:r w:rsidR="006921AC" w:rsidRPr="003026D8">
        <w:rPr>
          <w:rFonts w:cs="Calibri"/>
        </w:rPr>
        <w:t xml:space="preserve">Section 106 </w:t>
      </w:r>
      <w:r w:rsidR="003026D8" w:rsidRPr="003026D8">
        <w:rPr>
          <w:rFonts w:cs="Calibri"/>
        </w:rPr>
        <w:t>of</w:t>
      </w:r>
      <w:r w:rsidR="006921AC" w:rsidRPr="003026D8">
        <w:rPr>
          <w:rFonts w:cs="Calibri"/>
        </w:rPr>
        <w:t xml:space="preserve"> the </w:t>
      </w:r>
      <w:r w:rsidRPr="003026D8">
        <w:rPr>
          <w:rFonts w:cs="Calibri"/>
        </w:rPr>
        <w:t xml:space="preserve">Water Act </w:t>
      </w:r>
      <w:r w:rsidR="003026D8" w:rsidRPr="003026D8">
        <w:rPr>
          <w:rFonts w:cs="Calibri"/>
        </w:rPr>
        <w:t xml:space="preserve">(Attachment A) </w:t>
      </w:r>
      <w:r w:rsidRPr="003026D8">
        <w:rPr>
          <w:rFonts w:cs="Calibri"/>
        </w:rPr>
        <w:t xml:space="preserve">outlines the powers of the CEWH, which includes under what circumstance trade can be undertaken, and the purpose of the trade. </w:t>
      </w:r>
      <w:r w:rsidR="003026D8" w:rsidRPr="003026D8">
        <w:rPr>
          <w:rFonts w:cs="Calibri"/>
        </w:rPr>
        <w:t xml:space="preserve">Figure </w:t>
      </w:r>
      <w:r w:rsidR="00D550CB">
        <w:rPr>
          <w:rFonts w:cs="Calibri"/>
        </w:rPr>
        <w:t>2</w:t>
      </w:r>
      <w:r w:rsidR="003026D8" w:rsidRPr="003026D8">
        <w:rPr>
          <w:rFonts w:cs="Calibri"/>
        </w:rPr>
        <w:t xml:space="preserve"> illustrates the </w:t>
      </w:r>
      <w:r w:rsidR="00D550CB">
        <w:rPr>
          <w:rFonts w:cs="Calibri"/>
        </w:rPr>
        <w:t xml:space="preserve">two options under which the CEWH can undertake a sale of water allocation </w:t>
      </w:r>
      <w:r w:rsidR="00C772DE">
        <w:rPr>
          <w:rFonts w:cs="Calibri"/>
        </w:rPr>
        <w:t>in accordance with</w:t>
      </w:r>
      <w:r w:rsidR="003026D8" w:rsidRPr="003026D8">
        <w:rPr>
          <w:rFonts w:cs="Calibri"/>
        </w:rPr>
        <w:t xml:space="preserve"> </w:t>
      </w:r>
      <w:r w:rsidR="00D550CB">
        <w:rPr>
          <w:rFonts w:cs="Calibri"/>
        </w:rPr>
        <w:t>Section 106</w:t>
      </w:r>
      <w:r w:rsidR="001A2CAB">
        <w:rPr>
          <w:rFonts w:cs="Calibri"/>
        </w:rPr>
        <w:t xml:space="preserve"> of the Water Act</w:t>
      </w:r>
      <w:r w:rsidR="003026D8" w:rsidRPr="003026D8">
        <w:rPr>
          <w:rFonts w:cs="Calibri"/>
        </w:rPr>
        <w:t xml:space="preserve">. </w:t>
      </w:r>
    </w:p>
    <w:p w:rsidR="003026D8" w:rsidRDefault="003026D8" w:rsidP="003026D8">
      <w:pPr>
        <w:pStyle w:val="ListBullet"/>
        <w:spacing w:after="120"/>
        <w:ind w:left="360" w:firstLine="0"/>
        <w:rPr>
          <w:rFonts w:cs="Arial"/>
        </w:rPr>
      </w:pPr>
      <w:r>
        <w:rPr>
          <w:rFonts w:cs="Arial"/>
        </w:rPr>
        <w:t xml:space="preserve">The Water Act also provides for the </w:t>
      </w:r>
      <w:r w:rsidRPr="00643E62">
        <w:rPr>
          <w:rFonts w:cs="Calibri"/>
        </w:rPr>
        <w:t>independence of the CEWH from direction</w:t>
      </w:r>
      <w:r>
        <w:rPr>
          <w:rFonts w:cs="Calibri"/>
        </w:rPr>
        <w:t xml:space="preserve"> by either the Minister or Secretary of the Department</w:t>
      </w:r>
      <w:r w:rsidRPr="00643E62">
        <w:rPr>
          <w:rFonts w:cs="Calibri"/>
        </w:rPr>
        <w:t xml:space="preserve"> on </w:t>
      </w:r>
      <w:r>
        <w:rPr>
          <w:rFonts w:cs="Calibri"/>
        </w:rPr>
        <w:t>function</w:t>
      </w:r>
      <w:r w:rsidRPr="00643E62">
        <w:rPr>
          <w:rFonts w:cs="Calibri"/>
        </w:rPr>
        <w:t>s related to trade</w:t>
      </w:r>
      <w:r w:rsidRPr="00643E62">
        <w:rPr>
          <w:rFonts w:cs="Arial"/>
        </w:rPr>
        <w:t>.</w:t>
      </w:r>
    </w:p>
    <w:p w:rsidR="003026D8" w:rsidRDefault="003026D8" w:rsidP="00CA794F">
      <w:pPr>
        <w:pStyle w:val="ListBullet"/>
        <w:spacing w:after="120"/>
        <w:ind w:left="360" w:firstLine="0"/>
        <w:rPr>
          <w:rFonts w:cs="Arial"/>
        </w:rPr>
      </w:pPr>
    </w:p>
    <w:p w:rsidR="00D550CB" w:rsidRPr="004C4E18" w:rsidRDefault="00D550CB" w:rsidP="008749E1">
      <w:pPr>
        <w:pStyle w:val="Heading2"/>
        <w:keepNext/>
        <w:pBdr>
          <w:bottom w:val="none" w:sz="0" w:space="0" w:color="auto"/>
        </w:pBdr>
        <w:rPr>
          <w:rStyle w:val="IntenseEmphasis"/>
          <w:color w:val="365F91" w:themeColor="accent1" w:themeShade="BF"/>
        </w:rPr>
      </w:pPr>
      <w:bookmarkStart w:id="95" w:name="_Toc464762946"/>
      <w:r w:rsidRPr="004C4E18">
        <w:rPr>
          <w:rStyle w:val="IntenseEmphasis"/>
          <w:color w:val="365F91" w:themeColor="accent1" w:themeShade="BF"/>
        </w:rPr>
        <w:t>Figure 2: Options for allocation sale under Section 106 of the Water Act</w:t>
      </w:r>
      <w:bookmarkEnd w:id="95"/>
    </w:p>
    <w:p w:rsidR="008C18D8" w:rsidRDefault="00776AC1" w:rsidP="00D550CB">
      <w:pPr>
        <w:pStyle w:val="ListBullet"/>
        <w:keepNext/>
        <w:spacing w:after="120"/>
        <w:ind w:left="357" w:firstLine="0"/>
        <w:rPr>
          <w:rFonts w:cs="Arial"/>
        </w:rPr>
      </w:pPr>
      <w:r>
        <w:rPr>
          <w:rFonts w:cs="Arial"/>
          <w:noProof/>
          <w:lang w:val="en-AU" w:eastAsia="en-AU" w:bidi="ar-SA"/>
        </w:rPr>
        <w:drawing>
          <wp:inline distT="0" distB="0" distL="0" distR="0">
            <wp:extent cx="5849620" cy="4166193"/>
            <wp:effectExtent l="19050" t="0" r="0" b="0"/>
            <wp:docPr id="1" name="Picture 1" descr="C:\Users\A04680\AppData\Local\Microsoft\Windows\Temporary Internet Files\Content.Outlook\QZ3G87AR\Trade-Document_v4_300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4680\AppData\Local\Microsoft\Windows\Temporary Internet Files\Content.Outlook\QZ3G87AR\Trade-Document_v4_300percent.jpg"/>
                    <pic:cNvPicPr>
                      <a:picLocks noChangeAspect="1" noChangeArrowheads="1"/>
                    </pic:cNvPicPr>
                  </pic:nvPicPr>
                  <pic:blipFill>
                    <a:blip r:embed="rId29" cstate="print"/>
                    <a:srcRect/>
                    <a:stretch>
                      <a:fillRect/>
                    </a:stretch>
                  </pic:blipFill>
                  <pic:spPr bwMode="auto">
                    <a:xfrm>
                      <a:off x="0" y="0"/>
                      <a:ext cx="5849620" cy="4166193"/>
                    </a:xfrm>
                    <a:prstGeom prst="rect">
                      <a:avLst/>
                    </a:prstGeom>
                    <a:noFill/>
                    <a:ln w="9525">
                      <a:noFill/>
                      <a:miter lim="800000"/>
                      <a:headEnd/>
                      <a:tailEnd/>
                    </a:ln>
                  </pic:spPr>
                </pic:pic>
              </a:graphicData>
            </a:graphic>
          </wp:inline>
        </w:drawing>
      </w:r>
    </w:p>
    <w:p w:rsidR="00CA794F" w:rsidRPr="005602F3" w:rsidRDefault="009F4861" w:rsidP="008749E1">
      <w:pPr>
        <w:pStyle w:val="Heading1"/>
        <w:numPr>
          <w:ilvl w:val="2"/>
          <w:numId w:val="13"/>
        </w:numPr>
        <w:spacing w:before="240" w:after="240"/>
        <w:ind w:left="1378" w:hanging="567"/>
      </w:pPr>
      <w:bookmarkStart w:id="96" w:name="_Toc256000017"/>
      <w:bookmarkStart w:id="97" w:name="_Toc373835465"/>
      <w:bookmarkStart w:id="98" w:name="_Toc373858672"/>
      <w:bookmarkStart w:id="99" w:name="_Toc373865188"/>
      <w:bookmarkStart w:id="100" w:name="_Toc375035190"/>
      <w:bookmarkStart w:id="101" w:name="_Toc464762947"/>
      <w:r w:rsidRPr="005602F3">
        <w:t>The Basin Plan</w:t>
      </w:r>
      <w:bookmarkEnd w:id="96"/>
      <w:bookmarkEnd w:id="97"/>
      <w:bookmarkEnd w:id="98"/>
      <w:bookmarkEnd w:id="99"/>
      <w:bookmarkEnd w:id="100"/>
      <w:bookmarkEnd w:id="101"/>
    </w:p>
    <w:p w:rsidR="00CA794F" w:rsidRDefault="009F4861" w:rsidP="005C3C3A">
      <w:pPr>
        <w:pStyle w:val="ListBullet"/>
        <w:spacing w:after="120"/>
        <w:ind w:left="357" w:firstLine="0"/>
        <w:rPr>
          <w:rFonts w:cs="Calibri"/>
        </w:rPr>
      </w:pPr>
      <w:r w:rsidRPr="00643E62">
        <w:t>The Water Act places an obligation on the CEWH “to perform its functions and exercise its powers consistently with and in a manner that gives effect to the Basin Plan</w:t>
      </w:r>
      <w:r w:rsidRPr="00D74649">
        <w:t xml:space="preserve">”. </w:t>
      </w:r>
      <w:r w:rsidRPr="00D74649">
        <w:rPr>
          <w:rFonts w:cs="Arial"/>
        </w:rPr>
        <w:t xml:space="preserve">The Basin Plan places a number of obligations on the use, trade and monitoring of Commonwealth environmental water, as well </w:t>
      </w:r>
      <w:r>
        <w:rPr>
          <w:rFonts w:cs="Arial"/>
        </w:rPr>
        <w:t>as re</w:t>
      </w:r>
      <w:r w:rsidRPr="00D74649">
        <w:rPr>
          <w:rFonts w:cs="Arial"/>
        </w:rPr>
        <w:t xml:space="preserve">porting requirements. </w:t>
      </w:r>
    </w:p>
    <w:p w:rsidR="00CA794F" w:rsidRDefault="009F4861" w:rsidP="005C3C3A">
      <w:pPr>
        <w:pStyle w:val="ListBullet"/>
        <w:spacing w:after="120"/>
        <w:ind w:left="357" w:firstLine="0"/>
        <w:rPr>
          <w:rFonts w:cs="Calibri"/>
        </w:rPr>
      </w:pPr>
      <w:r>
        <w:rPr>
          <w:rFonts w:cs="Calibri"/>
        </w:rPr>
        <w:t xml:space="preserve">Chapter 12 of the Basin Plan sets out the water trade rules. Requirements relating to information to be made available are expressly stated in Division 5.  These rules </w:t>
      </w:r>
      <w:r>
        <w:t>govern how persons or agencies are to behave if they are aware of information that has not been made generally available and that could materially affect a person’s decision to trade water.</w:t>
      </w:r>
    </w:p>
    <w:p w:rsidR="00CA794F" w:rsidRPr="00B43C16" w:rsidRDefault="009F4861" w:rsidP="005C3C3A">
      <w:pPr>
        <w:pStyle w:val="ListBullet"/>
        <w:spacing w:after="80"/>
        <w:ind w:left="357" w:firstLine="0"/>
        <w:rPr>
          <w:rFonts w:cs="Calibri"/>
        </w:rPr>
      </w:pPr>
      <w:r w:rsidRPr="00B43C16">
        <w:rPr>
          <w:rFonts w:cs="Calibri"/>
        </w:rPr>
        <w:t xml:space="preserve">For the trade of Commonwealth environmental water, the key elements of the </w:t>
      </w:r>
      <w:r w:rsidRPr="00B52C0A">
        <w:t>trade rules</w:t>
      </w:r>
      <w:r w:rsidRPr="00B43C16">
        <w:rPr>
          <w:rFonts w:cs="Calibri"/>
        </w:rPr>
        <w:t xml:space="preserve"> are:</w:t>
      </w:r>
    </w:p>
    <w:p w:rsidR="00CA794F" w:rsidRPr="00BF2A8B" w:rsidRDefault="009F4861" w:rsidP="008749E1">
      <w:pPr>
        <w:pStyle w:val="ListBullet"/>
        <w:numPr>
          <w:ilvl w:val="0"/>
          <w:numId w:val="11"/>
        </w:numPr>
        <w:spacing w:after="60"/>
        <w:ind w:left="1168" w:hanging="357"/>
        <w:rPr>
          <w:rFonts w:cs="Calibri"/>
        </w:rPr>
      </w:pPr>
      <w:r w:rsidRPr="00BF2A8B">
        <w:rPr>
          <w:rFonts w:cs="Calibri"/>
        </w:rPr>
        <w:t>12.49(1) – Definition of material effect;</w:t>
      </w:r>
    </w:p>
    <w:p w:rsidR="00CA794F" w:rsidRPr="00BF2A8B" w:rsidRDefault="009F4861" w:rsidP="008749E1">
      <w:pPr>
        <w:pStyle w:val="ListBullet"/>
        <w:numPr>
          <w:ilvl w:val="0"/>
          <w:numId w:val="11"/>
        </w:numPr>
        <w:spacing w:after="60"/>
        <w:ind w:left="1168" w:hanging="357"/>
        <w:rPr>
          <w:rFonts w:cs="Calibri"/>
        </w:rPr>
      </w:pPr>
      <w:r w:rsidRPr="00BF2A8B">
        <w:rPr>
          <w:rFonts w:cs="Calibri"/>
        </w:rPr>
        <w:t>12.49(2) – Definition of a water announcement;</w:t>
      </w:r>
    </w:p>
    <w:p w:rsidR="00CA794F" w:rsidRPr="00BF2A8B" w:rsidRDefault="009F4861" w:rsidP="008749E1">
      <w:pPr>
        <w:pStyle w:val="ListBullet"/>
        <w:numPr>
          <w:ilvl w:val="0"/>
          <w:numId w:val="11"/>
        </w:numPr>
        <w:spacing w:after="60"/>
        <w:ind w:left="1168" w:hanging="357"/>
        <w:rPr>
          <w:rFonts w:cs="Calibri"/>
        </w:rPr>
      </w:pPr>
      <w:r w:rsidRPr="00BF2A8B">
        <w:rPr>
          <w:rFonts w:cs="Calibri"/>
        </w:rPr>
        <w:t>12.49(3)(b) – Trading in accordance with a trading strategy;</w:t>
      </w:r>
    </w:p>
    <w:p w:rsidR="00CA794F" w:rsidRPr="00BF2A8B" w:rsidRDefault="009F4861" w:rsidP="008749E1">
      <w:pPr>
        <w:pStyle w:val="ListBullet"/>
        <w:numPr>
          <w:ilvl w:val="0"/>
          <w:numId w:val="11"/>
        </w:numPr>
        <w:spacing w:after="60"/>
        <w:ind w:left="1168" w:hanging="357"/>
        <w:rPr>
          <w:rFonts w:cs="Calibri"/>
        </w:rPr>
      </w:pPr>
      <w:r w:rsidRPr="00BF2A8B">
        <w:rPr>
          <w:rFonts w:cs="Calibri"/>
        </w:rPr>
        <w:t>12.50 – Water announcements to be made generally available;</w:t>
      </w:r>
    </w:p>
    <w:p w:rsidR="00CA794F" w:rsidRPr="00BF2A8B" w:rsidRDefault="009F4861" w:rsidP="008749E1">
      <w:pPr>
        <w:pStyle w:val="ListBullet"/>
        <w:numPr>
          <w:ilvl w:val="0"/>
          <w:numId w:val="11"/>
        </w:numPr>
        <w:spacing w:after="60"/>
        <w:ind w:left="1168" w:right="-144" w:hanging="357"/>
        <w:rPr>
          <w:rFonts w:cs="Calibri"/>
        </w:rPr>
      </w:pPr>
      <w:r w:rsidRPr="00BF2A8B">
        <w:rPr>
          <w:rFonts w:cs="Calibri"/>
        </w:rPr>
        <w:t>12.51 – Person not to trade if aware of a water announcement not generally available; and</w:t>
      </w:r>
    </w:p>
    <w:p w:rsidR="00CA794F" w:rsidRPr="00BF2A8B" w:rsidRDefault="009F4861" w:rsidP="008749E1">
      <w:pPr>
        <w:pStyle w:val="ListBullet"/>
        <w:numPr>
          <w:ilvl w:val="0"/>
          <w:numId w:val="11"/>
        </w:numPr>
        <w:spacing w:after="60"/>
        <w:ind w:left="1168" w:hanging="357"/>
        <w:rPr>
          <w:rFonts w:cs="Calibri"/>
        </w:rPr>
      </w:pPr>
      <w:r w:rsidRPr="00BF2A8B">
        <w:rPr>
          <w:rFonts w:cs="Calibri"/>
        </w:rPr>
        <w:t>12.52 – Chinese Wall arrangements for agencies.</w:t>
      </w:r>
    </w:p>
    <w:p w:rsidR="00E8723C" w:rsidRDefault="001C38ED" w:rsidP="005C3C3A">
      <w:pPr>
        <w:pStyle w:val="ListBullet2"/>
        <w:spacing w:after="120"/>
        <w:ind w:left="357" w:firstLine="0"/>
        <w:rPr>
          <w:rFonts w:cs="Calibri"/>
        </w:rPr>
      </w:pPr>
      <w:r>
        <w:t>These rules have a number of ramifications for the CEWH and CEWO staff.  The CEWH will have to structure water-trading practices to ensure that the trade rules are not breached. The CEWH and CEWO staff will have to consider whether decisions relating to government policies, programs and legislation, that have not been made generally available, that it has knowledge of, constitute a water announcement. If this is the case, the CEWH must consider whether the price or value of a water access right proposed to be traded could reasonably be expected to be materially affected by the information contained in the water announcement. If the answer to this question is ‘yes’, then the CEWH must not trade until the information has been made generally available.</w:t>
      </w:r>
    </w:p>
    <w:p w:rsidR="00CA794F" w:rsidRDefault="009F4861" w:rsidP="005C3C3A">
      <w:pPr>
        <w:pStyle w:val="Heading1"/>
        <w:numPr>
          <w:ilvl w:val="1"/>
          <w:numId w:val="13"/>
        </w:numPr>
        <w:spacing w:after="240"/>
        <w:ind w:left="811" w:hanging="454"/>
      </w:pPr>
      <w:bookmarkStart w:id="102" w:name="_Toc372716805"/>
      <w:bookmarkStart w:id="103" w:name="_Toc372717226"/>
      <w:bookmarkStart w:id="104" w:name="_Toc256000018"/>
      <w:bookmarkStart w:id="105" w:name="_Toc373865189"/>
      <w:bookmarkStart w:id="106" w:name="_Toc375035191"/>
      <w:bookmarkStart w:id="107" w:name="_Toc464762948"/>
      <w:bookmarkEnd w:id="102"/>
      <w:bookmarkEnd w:id="103"/>
      <w:r w:rsidRPr="00927DD3">
        <w:t>Public Service Act 1999</w:t>
      </w:r>
      <w:bookmarkEnd w:id="104"/>
      <w:bookmarkEnd w:id="105"/>
      <w:bookmarkEnd w:id="106"/>
      <w:bookmarkEnd w:id="107"/>
    </w:p>
    <w:p w:rsidR="00CA794F" w:rsidRDefault="009F4861" w:rsidP="001A2CAB">
      <w:pPr>
        <w:ind w:left="357" w:firstLine="0"/>
      </w:pPr>
      <w:r>
        <w:t xml:space="preserve">Together the </w:t>
      </w:r>
      <w:r w:rsidRPr="003800D5">
        <w:rPr>
          <w:i/>
        </w:rPr>
        <w:t>Public Service Act 1999</w:t>
      </w:r>
      <w:r w:rsidRPr="00A50F2B">
        <w:t xml:space="preserve">, </w:t>
      </w:r>
      <w:r w:rsidRPr="003800D5">
        <w:rPr>
          <w:i/>
        </w:rPr>
        <w:t>Public Service Regulations</w:t>
      </w:r>
      <w:r>
        <w:rPr>
          <w:i/>
        </w:rPr>
        <w:t xml:space="preserve"> 1999</w:t>
      </w:r>
      <w:r>
        <w:t>,</w:t>
      </w:r>
      <w:r w:rsidRPr="00A50F2B">
        <w:t xml:space="preserve"> and the </w:t>
      </w:r>
      <w:r w:rsidRPr="003800D5">
        <w:rPr>
          <w:i/>
        </w:rPr>
        <w:t>Australian Public Service Commissioners Directions 2013</w:t>
      </w:r>
      <w:r w:rsidRPr="00A50F2B">
        <w:t xml:space="preserve"> provide</w:t>
      </w:r>
      <w:r>
        <w:t xml:space="preserve"> </w:t>
      </w:r>
      <w:r w:rsidRPr="00A50F2B">
        <w:t>the legislative framework governing APS employment</w:t>
      </w:r>
      <w:r w:rsidRPr="003800D5">
        <w:rPr>
          <w:i/>
        </w:rPr>
        <w:t>. The Public Service Act 1999</w:t>
      </w:r>
      <w:r w:rsidRPr="00A50F2B">
        <w:t xml:space="preserve"> </w:t>
      </w:r>
      <w:r>
        <w:t xml:space="preserve">is the principal act governing the establishment and operation of, and employment in, the Australian Public Service. The Public Service Act </w:t>
      </w:r>
      <w:r w:rsidRPr="00A50F2B">
        <w:t xml:space="preserve">contains the APS Values, Employment Principles and Code of Conduct.  </w:t>
      </w:r>
    </w:p>
    <w:p w:rsidR="00CA794F" w:rsidRPr="00FA7741" w:rsidRDefault="009F4861" w:rsidP="008749E1">
      <w:pPr>
        <w:pStyle w:val="Heading1"/>
        <w:numPr>
          <w:ilvl w:val="2"/>
          <w:numId w:val="13"/>
        </w:numPr>
        <w:spacing w:after="240"/>
        <w:ind w:left="1225" w:hanging="505"/>
      </w:pPr>
      <w:bookmarkStart w:id="108" w:name="_Toc256000019"/>
      <w:bookmarkStart w:id="109" w:name="_Toc373858674"/>
      <w:bookmarkStart w:id="110" w:name="_Toc373865190"/>
      <w:bookmarkStart w:id="111" w:name="_Toc375035192"/>
      <w:bookmarkStart w:id="112" w:name="_Toc464762949"/>
      <w:r w:rsidRPr="00FA7741">
        <w:t>APS Values, Employment Principles and Code of Conduct</w:t>
      </w:r>
      <w:bookmarkEnd w:id="108"/>
      <w:bookmarkEnd w:id="109"/>
      <w:bookmarkEnd w:id="110"/>
      <w:bookmarkEnd w:id="111"/>
      <w:bookmarkEnd w:id="112"/>
    </w:p>
    <w:p w:rsidR="00CA794F" w:rsidRDefault="009F4861" w:rsidP="001A2CAB">
      <w:pPr>
        <w:pStyle w:val="ListBullet2"/>
        <w:spacing w:after="120"/>
        <w:ind w:left="357" w:firstLine="0"/>
      </w:pPr>
      <w:r>
        <w:t xml:space="preserve">APS Values and Employment Principles are the basis of good public administration and are intended to provide the public with confidence in the way public servants exercise authority when meeting government objectives. </w:t>
      </w:r>
    </w:p>
    <w:p w:rsidR="00CA794F" w:rsidRDefault="009F4861" w:rsidP="001A2CAB">
      <w:pPr>
        <w:pStyle w:val="ListBullet2"/>
        <w:spacing w:after="120"/>
        <w:ind w:left="357" w:firstLine="0"/>
      </w:pPr>
      <w:r>
        <w:t xml:space="preserve">All APS employees are required to comply with the APS Code of Conduct, which includes behaving in a way that upholds the APS Values and Employment Principles, and the integrity and good reputation of the their agency and the APS. A breach of the Code of Conduct can result in sanctions, ranging from a reprimand to termination of employment. The </w:t>
      </w:r>
      <w:r w:rsidRPr="00B96D06">
        <w:t>APS Code of Conduct</w:t>
      </w:r>
      <w:r>
        <w:t xml:space="preserve"> also </w:t>
      </w:r>
      <w:r w:rsidRPr="00B96D06">
        <w:t>outlines employees’ obligations and responsibilities with regard to conflicts of interest and use of inside information.</w:t>
      </w:r>
    </w:p>
    <w:p w:rsidR="00CA794F" w:rsidRDefault="009F4861" w:rsidP="001A2CAB">
      <w:pPr>
        <w:pStyle w:val="ListBullet2"/>
        <w:spacing w:after="120"/>
        <w:ind w:left="357" w:firstLine="0"/>
      </w:pPr>
      <w:r>
        <w:t xml:space="preserve">The specific </w:t>
      </w:r>
      <w:r w:rsidR="00F23404">
        <w:t xml:space="preserve">aspects </w:t>
      </w:r>
      <w:r>
        <w:t>of the APS Code of Conduct that directly relate to behavio</w:t>
      </w:r>
      <w:r w:rsidR="00F23404">
        <w:t>u</w:t>
      </w:r>
      <w:r>
        <w:t>r of staff in relation to conducting trade of Commonwealth environmental water are:</w:t>
      </w:r>
    </w:p>
    <w:p w:rsidR="00CA794F" w:rsidRPr="00BF2A8B" w:rsidRDefault="009F4861" w:rsidP="002900E8">
      <w:pPr>
        <w:pStyle w:val="ListBullet"/>
        <w:numPr>
          <w:ilvl w:val="0"/>
          <w:numId w:val="11"/>
        </w:numPr>
        <w:spacing w:after="60"/>
        <w:ind w:left="1168" w:hanging="357"/>
        <w:rPr>
          <w:rFonts w:cs="Calibri"/>
        </w:rPr>
      </w:pPr>
      <w:r w:rsidRPr="00BF2A8B">
        <w:rPr>
          <w:rFonts w:cs="Calibri"/>
        </w:rPr>
        <w:t xml:space="preserve">staff behave honestly and with integrity in connection with APS employment; </w:t>
      </w:r>
    </w:p>
    <w:p w:rsidR="005A3A49" w:rsidRPr="00BF2A8B" w:rsidRDefault="007C369E" w:rsidP="002900E8">
      <w:pPr>
        <w:pStyle w:val="ListBullet"/>
        <w:numPr>
          <w:ilvl w:val="0"/>
          <w:numId w:val="11"/>
        </w:numPr>
        <w:spacing w:after="60"/>
        <w:ind w:left="1168" w:hanging="357"/>
        <w:rPr>
          <w:rFonts w:cs="Calibri"/>
        </w:rPr>
      </w:pPr>
      <w:r w:rsidRPr="00BF2A8B">
        <w:rPr>
          <w:rFonts w:cs="Calibri"/>
        </w:rPr>
        <w:t>take reasonable steps to avoid any conflict of interest (real or apparent) and disclose details of any material personal interest of the employee in connection with the employee's APS employment; and</w:t>
      </w:r>
    </w:p>
    <w:p w:rsidR="005A3A49" w:rsidRPr="00BF2A8B" w:rsidRDefault="005C3F95" w:rsidP="002900E8">
      <w:pPr>
        <w:pStyle w:val="ListBullet"/>
        <w:numPr>
          <w:ilvl w:val="0"/>
          <w:numId w:val="11"/>
        </w:numPr>
        <w:spacing w:after="60"/>
        <w:ind w:left="1168" w:hanging="357"/>
        <w:rPr>
          <w:rFonts w:cs="Calibri"/>
        </w:rPr>
      </w:pPr>
      <w:r w:rsidRPr="00BF2A8B">
        <w:rPr>
          <w:rFonts w:cs="Calibri"/>
        </w:rPr>
        <w:t>not improperly use inside information or the employee's duties, status, power or authority:</w:t>
      </w:r>
    </w:p>
    <w:p w:rsidR="005A3A49" w:rsidRDefault="007C369E" w:rsidP="002900E8">
      <w:pPr>
        <w:pStyle w:val="ListBullet2"/>
        <w:numPr>
          <w:ilvl w:val="2"/>
          <w:numId w:val="43"/>
        </w:numPr>
        <w:spacing w:after="120" w:line="276" w:lineRule="auto"/>
        <w:ind w:left="1525" w:hanging="357"/>
        <w:rPr>
          <w:lang w:eastAsia="en-AU"/>
        </w:rPr>
      </w:pPr>
      <w:r w:rsidRPr="001D0BBE">
        <w:rPr>
          <w:lang w:eastAsia="en-AU"/>
        </w:rPr>
        <w:t>to gain, or seek to gain, a benefit or an advantage for the employee or any other person; or</w:t>
      </w:r>
    </w:p>
    <w:p w:rsidR="005A3A49" w:rsidRDefault="007C369E" w:rsidP="002900E8">
      <w:pPr>
        <w:pStyle w:val="ListBullet2"/>
        <w:numPr>
          <w:ilvl w:val="2"/>
          <w:numId w:val="43"/>
        </w:numPr>
        <w:spacing w:after="200" w:line="276" w:lineRule="auto"/>
        <w:ind w:left="1525" w:hanging="357"/>
        <w:rPr>
          <w:lang w:eastAsia="en-AU"/>
        </w:rPr>
      </w:pPr>
      <w:r w:rsidRPr="001D0BBE">
        <w:rPr>
          <w:lang w:eastAsia="en-AU"/>
        </w:rPr>
        <w:t>to cause, or to seek to cause, detriment to the employee's Agency, the Commonwealth or any other person.</w:t>
      </w:r>
    </w:p>
    <w:p w:rsidR="00CA794F" w:rsidRPr="00485C8D" w:rsidRDefault="009F4861" w:rsidP="002900E8">
      <w:pPr>
        <w:pStyle w:val="Heading1"/>
        <w:numPr>
          <w:ilvl w:val="1"/>
          <w:numId w:val="13"/>
        </w:numPr>
        <w:spacing w:after="240"/>
        <w:ind w:left="811" w:right="-144" w:hanging="454"/>
      </w:pPr>
      <w:bookmarkStart w:id="113" w:name="_Toc256000020"/>
      <w:bookmarkStart w:id="114" w:name="_Toc373865191"/>
      <w:bookmarkStart w:id="115" w:name="_Toc375035193"/>
      <w:bookmarkStart w:id="116" w:name="_Toc464762950"/>
      <w:r w:rsidRPr="00485C8D">
        <w:t xml:space="preserve">The </w:t>
      </w:r>
      <w:hyperlink r:id="rId30" w:history="1">
        <w:r w:rsidR="005C3F95" w:rsidRPr="00485C8D">
          <w:t>Public Governance, Performance and Accountability Act 2013</w:t>
        </w:r>
      </w:hyperlink>
      <w:r w:rsidR="005F71F0" w:rsidRPr="005C3C3A">
        <w:t xml:space="preserve"> </w:t>
      </w:r>
      <w:r w:rsidRPr="00485C8D">
        <w:t>(</w:t>
      </w:r>
      <w:r w:rsidR="005F71F0" w:rsidRPr="00485C8D">
        <w:t xml:space="preserve">PGPA </w:t>
      </w:r>
      <w:r w:rsidRPr="00485C8D">
        <w:t>Act)</w:t>
      </w:r>
      <w:bookmarkEnd w:id="113"/>
      <w:bookmarkEnd w:id="114"/>
      <w:bookmarkEnd w:id="115"/>
      <w:bookmarkEnd w:id="116"/>
    </w:p>
    <w:p w:rsidR="00621D1D" w:rsidRPr="00621D1D" w:rsidRDefault="005C3F95" w:rsidP="000A6A81">
      <w:pPr>
        <w:ind w:left="360" w:firstLine="0"/>
      </w:pPr>
      <w:r w:rsidRPr="005C3F95">
        <w:t xml:space="preserve">The PGPA Act establishes the framework for managing resources by the Commonwealth and relevant entities. The </w:t>
      </w:r>
      <w:hyperlink r:id="rId31" w:history="1">
        <w:r w:rsidRPr="005C3F95">
          <w:t>PGPA Act</w:t>
        </w:r>
      </w:hyperlink>
      <w:r w:rsidRPr="005C3F95">
        <w:t xml:space="preserve"> has </w:t>
      </w:r>
      <w:r w:rsidR="00F23404">
        <w:t>four</w:t>
      </w:r>
      <w:r w:rsidR="00F23404" w:rsidRPr="005C3F95">
        <w:t xml:space="preserve"> </w:t>
      </w:r>
      <w:r w:rsidRPr="005C3F95">
        <w:t xml:space="preserve">objects including: to establish a coherent system of governance and accountability across Commonwealth entities; to establish a performance framework for all Commonwealth entities; </w:t>
      </w:r>
      <w:r w:rsidR="00771CEE">
        <w:t xml:space="preserve">and </w:t>
      </w:r>
      <w:r w:rsidRPr="005C3F95">
        <w:t>to require Commonwealth entities to</w:t>
      </w:r>
      <w:r w:rsidR="00621D1D">
        <w:t>:</w:t>
      </w:r>
      <w:r w:rsidRPr="005C3F95">
        <w:t xml:space="preserve"> meet high standards of governance; meet high standards of performance; meet high standards of accountability</w:t>
      </w:r>
      <w:r w:rsidR="007222FF">
        <w:t>;</w:t>
      </w:r>
      <w:r w:rsidRPr="005C3F95">
        <w:t xml:space="preserve"> provide meaningful information to the Parliament; ensure that public resources are used and managed properly; and cooperate with others to achieve common objectives.</w:t>
      </w:r>
      <w:r w:rsidR="00FB55CE">
        <w:t xml:space="preserve"> The CEWO must </w:t>
      </w:r>
      <w:r w:rsidR="00F23404">
        <w:t>comply with</w:t>
      </w:r>
      <w:r w:rsidR="00FB55CE">
        <w:t xml:space="preserve"> the PGPA Act </w:t>
      </w:r>
      <w:r w:rsidR="00AC7F22">
        <w:t xml:space="preserve">and the broader Commonwealth financial management framework </w:t>
      </w:r>
      <w:r w:rsidR="00FB55CE">
        <w:t>when acquiring and disposing of Commonwealth environmental water.</w:t>
      </w:r>
    </w:p>
    <w:p w:rsidR="001A2CAB" w:rsidRDefault="001A2CAB">
      <w:pPr>
        <w:rPr>
          <w:rFonts w:ascii="Cambria" w:hAnsi="Cambria" w:cs="Calibri"/>
          <w:b/>
          <w:bCs/>
          <w:color w:val="365F91" w:themeColor="accent1" w:themeShade="BF"/>
          <w:sz w:val="24"/>
          <w:szCs w:val="24"/>
        </w:rPr>
      </w:pPr>
      <w:bookmarkStart w:id="117" w:name="_Toc256000021"/>
      <w:bookmarkStart w:id="118" w:name="_Toc373858677"/>
      <w:bookmarkStart w:id="119" w:name="_Toc373865192"/>
      <w:bookmarkStart w:id="120" w:name="_Toc375035194"/>
      <w:r>
        <w:rPr>
          <w:rFonts w:cs="Calibri"/>
        </w:rPr>
        <w:br w:type="page"/>
      </w:r>
    </w:p>
    <w:p w:rsidR="00CA794F" w:rsidRPr="008749E1" w:rsidRDefault="009F4861" w:rsidP="008749E1">
      <w:pPr>
        <w:pStyle w:val="Heading1"/>
        <w:numPr>
          <w:ilvl w:val="2"/>
          <w:numId w:val="13"/>
        </w:numPr>
        <w:spacing w:after="240"/>
        <w:ind w:left="1225" w:hanging="505"/>
      </w:pPr>
      <w:bookmarkStart w:id="121" w:name="_Toc464762951"/>
      <w:r w:rsidRPr="008749E1">
        <w:t xml:space="preserve">Commonwealth Procurement Rules </w:t>
      </w:r>
      <w:r w:rsidR="006B6748" w:rsidRPr="008749E1">
        <w:t xml:space="preserve">2014 </w:t>
      </w:r>
      <w:r w:rsidRPr="008749E1">
        <w:t>(CPR)</w:t>
      </w:r>
      <w:bookmarkEnd w:id="117"/>
      <w:bookmarkEnd w:id="118"/>
      <w:bookmarkEnd w:id="119"/>
      <w:bookmarkEnd w:id="120"/>
      <w:bookmarkEnd w:id="121"/>
    </w:p>
    <w:p w:rsidR="00CA794F" w:rsidRDefault="009F4861" w:rsidP="00CA794F">
      <w:pPr>
        <w:spacing w:after="120"/>
        <w:ind w:left="357" w:firstLine="0"/>
      </w:pPr>
      <w:r>
        <w:t>The CPR</w:t>
      </w:r>
      <w:r w:rsidR="00917522">
        <w:t>s</w:t>
      </w:r>
      <w:r w:rsidR="00F93A05">
        <w:t xml:space="preserve"> are an instrument attached to the PGPA</w:t>
      </w:r>
      <w:r>
        <w:t xml:space="preserve"> </w:t>
      </w:r>
      <w:r w:rsidR="00A92885">
        <w:t xml:space="preserve">Act </w:t>
      </w:r>
      <w:r w:rsidR="00441D5E">
        <w:t xml:space="preserve">which </w:t>
      </w:r>
      <w:r>
        <w:t>outline the</w:t>
      </w:r>
      <w:r w:rsidRPr="00D17ACB">
        <w:t xml:space="preserve"> </w:t>
      </w:r>
      <w:r>
        <w:t>k</w:t>
      </w:r>
      <w:r w:rsidRPr="00D17ACB">
        <w:t>ey principles</w:t>
      </w:r>
      <w:r>
        <w:t xml:space="preserve"> and governance arrangements that CEWO must abide by when undertaking procurement. The </w:t>
      </w:r>
      <w:r w:rsidRPr="00643E62">
        <w:rPr>
          <w:rFonts w:cs="Calibri"/>
        </w:rPr>
        <w:t>CPR</w:t>
      </w:r>
      <w:r>
        <w:rPr>
          <w:rFonts w:cs="Calibri"/>
        </w:rPr>
        <w:t>s</w:t>
      </w:r>
      <w:r w:rsidRPr="00643E62">
        <w:rPr>
          <w:rFonts w:cs="Calibri"/>
        </w:rPr>
        <w:t xml:space="preserve"> mandate that CEWO’s affairs be managed</w:t>
      </w:r>
      <w:r>
        <w:rPr>
          <w:rFonts w:cs="Calibri"/>
        </w:rPr>
        <w:t xml:space="preserve"> in a way that:</w:t>
      </w:r>
    </w:p>
    <w:p w:rsidR="00CA794F" w:rsidRPr="00BF2A8B" w:rsidRDefault="009F4861" w:rsidP="002900E8">
      <w:pPr>
        <w:pStyle w:val="ListBullet"/>
        <w:numPr>
          <w:ilvl w:val="0"/>
          <w:numId w:val="11"/>
        </w:numPr>
        <w:spacing w:after="60"/>
        <w:ind w:left="1168" w:hanging="357"/>
        <w:rPr>
          <w:rFonts w:cs="Calibri"/>
        </w:rPr>
      </w:pPr>
      <w:r w:rsidRPr="00BF2A8B">
        <w:rPr>
          <w:rFonts w:cs="Calibri"/>
        </w:rPr>
        <w:t>achieves value for money;</w:t>
      </w:r>
    </w:p>
    <w:p w:rsidR="00CA794F" w:rsidRPr="00BF2A8B" w:rsidRDefault="009F4861" w:rsidP="002900E8">
      <w:pPr>
        <w:pStyle w:val="ListBullet"/>
        <w:numPr>
          <w:ilvl w:val="0"/>
          <w:numId w:val="11"/>
        </w:numPr>
        <w:spacing w:after="60"/>
        <w:ind w:left="1168" w:hanging="357"/>
        <w:rPr>
          <w:rFonts w:cs="Calibri"/>
        </w:rPr>
      </w:pPr>
      <w:r w:rsidRPr="00BF2A8B">
        <w:rPr>
          <w:rFonts w:cs="Calibri"/>
        </w:rPr>
        <w:t>encourages competition;</w:t>
      </w:r>
    </w:p>
    <w:p w:rsidR="00CA794F" w:rsidRPr="00BF2A8B" w:rsidRDefault="009F4861" w:rsidP="002900E8">
      <w:pPr>
        <w:pStyle w:val="ListBullet"/>
        <w:numPr>
          <w:ilvl w:val="0"/>
          <w:numId w:val="11"/>
        </w:numPr>
        <w:spacing w:after="60"/>
        <w:ind w:left="1168" w:hanging="357"/>
        <w:rPr>
          <w:rFonts w:cs="Calibri"/>
        </w:rPr>
      </w:pPr>
      <w:r w:rsidRPr="00BF2A8B">
        <w:rPr>
          <w:rFonts w:cs="Calibri"/>
        </w:rPr>
        <w:t>ensures procurement is efficient, effective and ethical; and</w:t>
      </w:r>
    </w:p>
    <w:p w:rsidR="00CA794F" w:rsidRPr="00BF2A8B" w:rsidRDefault="009F4861" w:rsidP="002900E8">
      <w:pPr>
        <w:pStyle w:val="ListBullet"/>
        <w:numPr>
          <w:ilvl w:val="0"/>
          <w:numId w:val="11"/>
        </w:numPr>
        <w:spacing w:after="60"/>
        <w:ind w:left="1168" w:hanging="357"/>
        <w:rPr>
          <w:rFonts w:cs="Calibri"/>
        </w:rPr>
      </w:pPr>
      <w:r w:rsidRPr="00BF2A8B">
        <w:rPr>
          <w:rFonts w:cs="Calibri"/>
        </w:rPr>
        <w:t>is accountable and transparent.</w:t>
      </w:r>
    </w:p>
    <w:p w:rsidR="00CA794F" w:rsidRPr="005C3C3A" w:rsidRDefault="009F4861" w:rsidP="005C3C3A">
      <w:pPr>
        <w:pStyle w:val="Heading1"/>
        <w:numPr>
          <w:ilvl w:val="1"/>
          <w:numId w:val="13"/>
        </w:numPr>
        <w:spacing w:after="240"/>
        <w:ind w:left="811" w:hanging="454"/>
      </w:pPr>
      <w:bookmarkStart w:id="122" w:name="_Toc256000022"/>
      <w:bookmarkStart w:id="123" w:name="_Toc373858678"/>
      <w:bookmarkStart w:id="124" w:name="_Toc373865193"/>
      <w:bookmarkStart w:id="125" w:name="_Toc375035195"/>
      <w:bookmarkStart w:id="126" w:name="_Toc464762952"/>
      <w:r w:rsidRPr="005C3C3A">
        <w:t>Freedom of Information Act 1982 (FOI Act)</w:t>
      </w:r>
      <w:bookmarkEnd w:id="122"/>
      <w:bookmarkEnd w:id="123"/>
      <w:bookmarkEnd w:id="124"/>
      <w:bookmarkEnd w:id="125"/>
      <w:bookmarkEnd w:id="126"/>
    </w:p>
    <w:p w:rsidR="00CA794F" w:rsidRDefault="009F4861" w:rsidP="00CA794F">
      <w:pPr>
        <w:ind w:left="360" w:firstLine="0"/>
        <w:rPr>
          <w:rFonts w:ascii="Cambria" w:hAnsi="Cambria" w:cs="Calibri"/>
          <w:b/>
          <w:bCs/>
          <w:color w:val="365F91" w:themeColor="accent1" w:themeShade="BF"/>
          <w:sz w:val="24"/>
          <w:szCs w:val="24"/>
        </w:rPr>
      </w:pPr>
      <w:r w:rsidRPr="00FA1B84">
        <w:t>The FOI Act promotes government accountability and transparency by providing a legal framework for individuals to request access to government documents. This includes documents containing information about policy-making, administrative decision-making and government service delivery. The FOI Act also requires agencies to publish other specified classes of information online</w:t>
      </w:r>
      <w:r>
        <w:t>.</w:t>
      </w:r>
      <w:bookmarkStart w:id="127" w:name="_Toc373865194"/>
    </w:p>
    <w:p w:rsidR="00CA794F" w:rsidRDefault="009F4861" w:rsidP="005C3C3A">
      <w:pPr>
        <w:pStyle w:val="Heading1"/>
        <w:numPr>
          <w:ilvl w:val="1"/>
          <w:numId w:val="13"/>
        </w:numPr>
        <w:spacing w:after="240"/>
        <w:ind w:left="811" w:hanging="454"/>
      </w:pPr>
      <w:bookmarkStart w:id="128" w:name="_Toc256000023"/>
      <w:bookmarkStart w:id="129" w:name="_Toc375035196"/>
      <w:bookmarkStart w:id="130" w:name="_Toc464762953"/>
      <w:r w:rsidRPr="005C3C3A">
        <w:t>State water management legislation</w:t>
      </w:r>
      <w:bookmarkEnd w:id="127"/>
      <w:bookmarkEnd w:id="128"/>
      <w:bookmarkEnd w:id="129"/>
      <w:bookmarkEnd w:id="130"/>
      <w:r w:rsidRPr="005C3C3A">
        <w:t xml:space="preserve"> </w:t>
      </w:r>
    </w:p>
    <w:p w:rsidR="00CA794F" w:rsidRDefault="009F4861" w:rsidP="00CA794F">
      <w:pPr>
        <w:spacing w:after="120"/>
        <w:ind w:left="357" w:firstLine="0"/>
      </w:pPr>
      <w:r>
        <w:t>State governments have their own water management legislation. In general, these cover:</w:t>
      </w:r>
    </w:p>
    <w:p w:rsidR="00CA794F" w:rsidRPr="00BF2A8B" w:rsidRDefault="009F4861" w:rsidP="002900E8">
      <w:pPr>
        <w:pStyle w:val="ListBullet"/>
        <w:numPr>
          <w:ilvl w:val="0"/>
          <w:numId w:val="11"/>
        </w:numPr>
        <w:spacing w:after="60"/>
        <w:ind w:left="1168" w:hanging="357"/>
        <w:rPr>
          <w:rFonts w:cs="Calibri"/>
        </w:rPr>
      </w:pPr>
      <w:r w:rsidRPr="00BF2A8B">
        <w:rPr>
          <w:rFonts w:cs="Calibri"/>
        </w:rPr>
        <w:t>water entitlement and planning frameworks;</w:t>
      </w:r>
    </w:p>
    <w:p w:rsidR="00CA794F" w:rsidRPr="00BF2A8B" w:rsidRDefault="009F4861" w:rsidP="002900E8">
      <w:pPr>
        <w:pStyle w:val="ListBullet"/>
        <w:numPr>
          <w:ilvl w:val="0"/>
          <w:numId w:val="11"/>
        </w:numPr>
        <w:spacing w:after="60"/>
        <w:ind w:left="1168" w:hanging="357"/>
        <w:rPr>
          <w:rFonts w:cs="Calibri"/>
        </w:rPr>
      </w:pPr>
      <w:r w:rsidRPr="00BF2A8B">
        <w:rPr>
          <w:rFonts w:cs="Calibri"/>
        </w:rPr>
        <w:t xml:space="preserve">the determination of water allocations each year; and </w:t>
      </w:r>
    </w:p>
    <w:p w:rsidR="00CA794F" w:rsidRPr="00BF2A8B" w:rsidRDefault="009F4861" w:rsidP="002900E8">
      <w:pPr>
        <w:pStyle w:val="ListBullet"/>
        <w:numPr>
          <w:ilvl w:val="0"/>
          <w:numId w:val="11"/>
        </w:numPr>
        <w:spacing w:after="60"/>
        <w:ind w:left="1168" w:hanging="357"/>
        <w:rPr>
          <w:rFonts w:cs="Calibri"/>
        </w:rPr>
      </w:pPr>
      <w:r w:rsidRPr="00BF2A8B">
        <w:rPr>
          <w:rFonts w:cs="Calibri"/>
        </w:rPr>
        <w:t xml:space="preserve">how water is </w:t>
      </w:r>
      <w:r w:rsidR="002900E8">
        <w:rPr>
          <w:rFonts w:cs="Calibri"/>
        </w:rPr>
        <w:t>shared, held, used and traded.</w:t>
      </w:r>
    </w:p>
    <w:p w:rsidR="00CA794F" w:rsidRDefault="009F4861" w:rsidP="00CA794F">
      <w:pPr>
        <w:spacing w:after="120"/>
        <w:ind w:left="357" w:firstLine="0"/>
      </w:pPr>
      <w:r>
        <w:t xml:space="preserve">When water entitlements are purchased for the purpose of </w:t>
      </w:r>
      <w:r w:rsidRPr="00D17ACB">
        <w:t>Commonwealth environmental</w:t>
      </w:r>
      <w:r>
        <w:t xml:space="preserve"> watering they </w:t>
      </w:r>
      <w:r w:rsidRPr="00D17ACB">
        <w:t>retain the same characteristics as existed before their acquisition</w:t>
      </w:r>
      <w:r>
        <w:t xml:space="preserve"> and are governed by the same rules </w:t>
      </w:r>
      <w:r w:rsidRPr="00D17ACB">
        <w:t>that apply to other holders of equivalent water entitlements</w:t>
      </w:r>
      <w:r>
        <w:t xml:space="preserve">. </w:t>
      </w:r>
    </w:p>
    <w:p w:rsidR="00CA794F" w:rsidRDefault="009F4861" w:rsidP="00CA794F">
      <w:pPr>
        <w:ind w:left="360" w:firstLine="0"/>
      </w:pPr>
      <w:r>
        <w:t>As such, the CEWO environmental water portfolio is subject to the same carryover arrangements, fees and charges, allocations, and trade restrictions as any other water market participant</w:t>
      </w:r>
      <w:r w:rsidRPr="00C02C2A">
        <w:t xml:space="preserve"> </w:t>
      </w:r>
      <w:r>
        <w:t>and is not afforded priority over other rights held by other water users. State authorities are responsible for ensuring that these management frameworks are applied equitably and to manage third party impacts associated with these management frameworks.</w:t>
      </w:r>
    </w:p>
    <w:p w:rsidR="00CA794F" w:rsidRDefault="00CA794F" w:rsidP="00CA794F">
      <w:pPr>
        <w:ind w:left="360" w:firstLine="0"/>
      </w:pPr>
    </w:p>
    <w:p w:rsidR="001A2CAB" w:rsidRDefault="001A2CAB" w:rsidP="00CA794F">
      <w:pPr>
        <w:ind w:left="360" w:firstLine="0"/>
      </w:pPr>
    </w:p>
    <w:p w:rsidR="001A2CAB" w:rsidRDefault="001A2CAB">
      <w:r>
        <w:br w:type="page"/>
      </w:r>
    </w:p>
    <w:p w:rsidR="00CA794F" w:rsidRPr="001A17A9" w:rsidRDefault="009F4861" w:rsidP="005C3C3A">
      <w:pPr>
        <w:pStyle w:val="Heading1"/>
        <w:numPr>
          <w:ilvl w:val="0"/>
          <w:numId w:val="13"/>
        </w:numPr>
        <w:spacing w:after="240"/>
        <w:ind w:left="357" w:hanging="357"/>
      </w:pPr>
      <w:bookmarkStart w:id="131" w:name="_Toc256000024"/>
      <w:bookmarkStart w:id="132" w:name="_Toc373835470"/>
      <w:bookmarkStart w:id="133" w:name="_Toc373865195"/>
      <w:bookmarkStart w:id="134" w:name="_Toc375035197"/>
      <w:bookmarkStart w:id="135" w:name="_Toc464762954"/>
      <w:r w:rsidRPr="001A17A9">
        <w:t>OPERATING RULES</w:t>
      </w:r>
      <w:bookmarkEnd w:id="131"/>
      <w:bookmarkEnd w:id="132"/>
      <w:bookmarkEnd w:id="133"/>
      <w:bookmarkEnd w:id="134"/>
      <w:bookmarkEnd w:id="135"/>
    </w:p>
    <w:p w:rsidR="00CA794F" w:rsidRDefault="008F5D75" w:rsidP="00E24C7F">
      <w:pPr>
        <w:spacing w:after="120"/>
        <w:ind w:left="357" w:firstLine="0"/>
      </w:pPr>
      <w:r>
        <w:rPr>
          <w:rFonts w:cs="Calibri"/>
        </w:rPr>
        <w:t>Adding to the existing obligation imposed by</w:t>
      </w:r>
      <w:r w:rsidR="005C3C3A">
        <w:rPr>
          <w:rFonts w:cs="Calibri"/>
        </w:rPr>
        <w:t xml:space="preserve"> </w:t>
      </w:r>
      <w:r w:rsidR="009F4861" w:rsidRPr="001A17A9">
        <w:rPr>
          <w:rFonts w:cs="Calibri"/>
        </w:rPr>
        <w:t xml:space="preserve">Commonwealth and state </w:t>
      </w:r>
      <w:r>
        <w:rPr>
          <w:rFonts w:cs="Calibri"/>
        </w:rPr>
        <w:t>legislation</w:t>
      </w:r>
      <w:r w:rsidR="009F4861">
        <w:rPr>
          <w:rFonts w:cs="Calibri"/>
        </w:rPr>
        <w:t>,</w:t>
      </w:r>
      <w:r w:rsidR="009F4861" w:rsidRPr="001A17A9">
        <w:rPr>
          <w:rFonts w:cs="Calibri"/>
        </w:rPr>
        <w:t xml:space="preserve"> the CEWH </w:t>
      </w:r>
      <w:r>
        <w:rPr>
          <w:rFonts w:cs="Calibri"/>
        </w:rPr>
        <w:t xml:space="preserve">has put in place </w:t>
      </w:r>
      <w:r w:rsidR="009F4861" w:rsidRPr="001A17A9">
        <w:rPr>
          <w:rFonts w:cs="Calibri"/>
        </w:rPr>
        <w:t xml:space="preserve">operating rules to </w:t>
      </w:r>
      <w:r w:rsidR="009F4861">
        <w:rPr>
          <w:rFonts w:cs="Calibri"/>
        </w:rPr>
        <w:t xml:space="preserve">guide </w:t>
      </w:r>
      <w:r w:rsidR="009F4861" w:rsidRPr="001A17A9">
        <w:rPr>
          <w:rFonts w:cs="Calibri"/>
        </w:rPr>
        <w:t xml:space="preserve">water trading </w:t>
      </w:r>
      <w:r w:rsidR="009F4861">
        <w:rPr>
          <w:rFonts w:cs="Calibri"/>
        </w:rPr>
        <w:t>activities</w:t>
      </w:r>
      <w:r w:rsidR="009F4861" w:rsidRPr="001A17A9">
        <w:rPr>
          <w:rFonts w:cs="Calibri"/>
        </w:rPr>
        <w:t xml:space="preserve">.  </w:t>
      </w:r>
      <w:r w:rsidR="009F4861" w:rsidRPr="001A17A9">
        <w:t>The operating</w:t>
      </w:r>
      <w:r w:rsidR="009F4861">
        <w:t xml:space="preserve"> rules reflect the CEWO’s </w:t>
      </w:r>
      <w:r w:rsidR="009F4861">
        <w:rPr>
          <w:rFonts w:cs="Calibri"/>
        </w:rPr>
        <w:t>corporate values</w:t>
      </w:r>
      <w:r>
        <w:t xml:space="preserve">, and </w:t>
      </w:r>
      <w:r w:rsidR="00967CA2">
        <w:t>codify</w:t>
      </w:r>
      <w:r w:rsidR="009F4861">
        <w:t xml:space="preserve"> the conservative approach the CEWH intends to take in relation to the trade of Commonwealth environmental water.</w:t>
      </w:r>
    </w:p>
    <w:p w:rsidR="00CA794F" w:rsidRPr="00643E62" w:rsidRDefault="009F4861" w:rsidP="00E24C7F">
      <w:pPr>
        <w:spacing w:after="120"/>
        <w:ind w:left="357" w:firstLine="0"/>
        <w:rPr>
          <w:rFonts w:cs="Calibri"/>
        </w:rPr>
      </w:pPr>
      <w:r w:rsidRPr="00643E62">
        <w:t xml:space="preserve">Figure 1 </w:t>
      </w:r>
      <w:r>
        <w:t xml:space="preserve">(pg 7) </w:t>
      </w:r>
      <w:r w:rsidRPr="00643E62">
        <w:t>demonstrates how the operating rules fit within the trading framework and influence the trade process. T</w:t>
      </w:r>
      <w:r w:rsidRPr="00643E62">
        <w:rPr>
          <w:rFonts w:cs="Calibri"/>
        </w:rPr>
        <w:t xml:space="preserve">here are </w:t>
      </w:r>
      <w:r>
        <w:rPr>
          <w:rFonts w:cs="Calibri"/>
        </w:rPr>
        <w:t>three</w:t>
      </w:r>
      <w:r w:rsidRPr="00643E62">
        <w:rPr>
          <w:rFonts w:cs="Calibri"/>
        </w:rPr>
        <w:t xml:space="preserve"> elements to the proposed operating rules:</w:t>
      </w:r>
    </w:p>
    <w:p w:rsidR="00CA794F" w:rsidRPr="00643E62" w:rsidRDefault="009F4861" w:rsidP="00E24C7F">
      <w:pPr>
        <w:pStyle w:val="ListParagraph"/>
        <w:numPr>
          <w:ilvl w:val="0"/>
          <w:numId w:val="12"/>
        </w:numPr>
        <w:spacing w:after="120"/>
        <w:ind w:left="811" w:hanging="454"/>
        <w:contextualSpacing w:val="0"/>
        <w:rPr>
          <w:rFonts w:cs="Calibri"/>
        </w:rPr>
      </w:pPr>
      <w:r>
        <w:rPr>
          <w:rFonts w:cs="Calibri"/>
        </w:rPr>
        <w:t>governance;</w:t>
      </w:r>
    </w:p>
    <w:p w:rsidR="00CA794F" w:rsidRPr="00643E62" w:rsidRDefault="009F4861" w:rsidP="00E24C7F">
      <w:pPr>
        <w:pStyle w:val="ListParagraph"/>
        <w:numPr>
          <w:ilvl w:val="0"/>
          <w:numId w:val="12"/>
        </w:numPr>
        <w:spacing w:after="120"/>
        <w:ind w:left="811" w:hanging="454"/>
        <w:contextualSpacing w:val="0"/>
        <w:rPr>
          <w:rFonts w:cs="Calibri"/>
        </w:rPr>
      </w:pPr>
      <w:r>
        <w:rPr>
          <w:rFonts w:cs="Calibri"/>
        </w:rPr>
        <w:t>t</w:t>
      </w:r>
      <w:r w:rsidRPr="00643E62">
        <w:rPr>
          <w:rFonts w:cs="Calibri"/>
        </w:rPr>
        <w:t>rad</w:t>
      </w:r>
      <w:r>
        <w:rPr>
          <w:rFonts w:cs="Calibri"/>
        </w:rPr>
        <w:t>e</w:t>
      </w:r>
      <w:r w:rsidRPr="00643E62">
        <w:rPr>
          <w:rFonts w:cs="Calibri"/>
        </w:rPr>
        <w:t xml:space="preserve"> </w:t>
      </w:r>
      <w:r>
        <w:rPr>
          <w:rFonts w:cs="Calibri"/>
        </w:rPr>
        <w:t>d</w:t>
      </w:r>
      <w:r w:rsidRPr="00643E62">
        <w:rPr>
          <w:rFonts w:cs="Calibri"/>
        </w:rPr>
        <w:t xml:space="preserve">ecision </w:t>
      </w:r>
      <w:r>
        <w:rPr>
          <w:rFonts w:cs="Calibri"/>
        </w:rPr>
        <w:t>m</w:t>
      </w:r>
      <w:r w:rsidRPr="00643E62">
        <w:rPr>
          <w:rFonts w:cs="Calibri"/>
        </w:rPr>
        <w:t>aking</w:t>
      </w:r>
      <w:r>
        <w:rPr>
          <w:rFonts w:cs="Calibri"/>
        </w:rPr>
        <w:t>; and</w:t>
      </w:r>
    </w:p>
    <w:p w:rsidR="00CA794F" w:rsidRPr="00643E62" w:rsidRDefault="009F4861" w:rsidP="00E24C7F">
      <w:pPr>
        <w:pStyle w:val="ListParagraph"/>
        <w:numPr>
          <w:ilvl w:val="0"/>
          <w:numId w:val="12"/>
        </w:numPr>
        <w:spacing w:after="120"/>
        <w:ind w:left="811" w:hanging="454"/>
        <w:contextualSpacing w:val="0"/>
        <w:rPr>
          <w:rFonts w:cs="Calibri"/>
        </w:rPr>
      </w:pPr>
      <w:r>
        <w:rPr>
          <w:rFonts w:cs="Calibri"/>
        </w:rPr>
        <w:t>a</w:t>
      </w:r>
      <w:r w:rsidRPr="00643E62">
        <w:rPr>
          <w:rFonts w:cs="Calibri"/>
        </w:rPr>
        <w:t>nnouncements</w:t>
      </w:r>
      <w:r>
        <w:rPr>
          <w:rFonts w:cs="Calibri"/>
        </w:rPr>
        <w:t>.</w:t>
      </w:r>
    </w:p>
    <w:p w:rsidR="005E63E2" w:rsidRPr="00E24C7F" w:rsidRDefault="005E63E2" w:rsidP="00E24C7F">
      <w:pPr>
        <w:spacing w:after="120"/>
        <w:ind w:left="357" w:firstLine="0"/>
        <w:rPr>
          <w:rFonts w:cs="Calibri"/>
        </w:rPr>
      </w:pPr>
      <w:r>
        <w:rPr>
          <w:rFonts w:cs="Calibri"/>
        </w:rPr>
        <w:t>While t</w:t>
      </w:r>
      <w:r w:rsidRPr="005E63E2">
        <w:rPr>
          <w:rFonts w:cs="Calibri"/>
        </w:rPr>
        <w:t xml:space="preserve">he CEWH is not subject to direction from the Minister or Secretary on specific decisions related to water trade, Section 109 of the Water Act provides for the Minister to make operating rules relating to trade of Commonwealth environmental water. </w:t>
      </w:r>
      <w:r w:rsidR="00967CA2">
        <w:rPr>
          <w:rFonts w:cs="Calibri"/>
        </w:rPr>
        <w:t xml:space="preserve">In </w:t>
      </w:r>
      <w:r w:rsidR="001722F2">
        <w:rPr>
          <w:rFonts w:cs="Calibri"/>
        </w:rPr>
        <w:t>2019</w:t>
      </w:r>
      <w:r w:rsidR="00967CA2">
        <w:rPr>
          <w:rFonts w:cs="Calibri"/>
        </w:rPr>
        <w:t xml:space="preserve"> </w:t>
      </w:r>
      <w:r w:rsidRPr="00437CF8">
        <w:rPr>
          <w:rFonts w:cs="Calibri"/>
        </w:rPr>
        <w:t xml:space="preserve">there will be a review of the </w:t>
      </w:r>
      <w:r>
        <w:rPr>
          <w:rFonts w:cs="Calibri"/>
        </w:rPr>
        <w:t>operating rules</w:t>
      </w:r>
      <w:r w:rsidRPr="00437CF8">
        <w:rPr>
          <w:rFonts w:cs="Calibri"/>
        </w:rPr>
        <w:t xml:space="preserve"> to establish </w:t>
      </w:r>
      <w:r>
        <w:rPr>
          <w:rFonts w:cs="Calibri"/>
        </w:rPr>
        <w:t>their</w:t>
      </w:r>
      <w:r w:rsidRPr="00437CF8">
        <w:rPr>
          <w:rFonts w:cs="Calibri"/>
        </w:rPr>
        <w:t xml:space="preserve"> appropriateness and effectiveness. </w:t>
      </w:r>
      <w:r>
        <w:rPr>
          <w:rFonts w:cs="Calibri"/>
        </w:rPr>
        <w:t xml:space="preserve">The review will also </w:t>
      </w:r>
      <w:r w:rsidR="0001277B">
        <w:rPr>
          <w:rFonts w:cs="Calibri"/>
        </w:rPr>
        <w:t xml:space="preserve">consider whether </w:t>
      </w:r>
      <w:r>
        <w:rPr>
          <w:rFonts w:cs="Calibri"/>
        </w:rPr>
        <w:t xml:space="preserve"> there is a need for legislated operating rules</w:t>
      </w:r>
      <w:r w:rsidR="0001277B">
        <w:rPr>
          <w:rFonts w:cs="Calibri"/>
        </w:rPr>
        <w:t>, which would place</w:t>
      </w:r>
      <w:r w:rsidRPr="009E6C4F">
        <w:rPr>
          <w:rFonts w:cs="Calibri"/>
        </w:rPr>
        <w:t xml:space="preserve"> a regula</w:t>
      </w:r>
      <w:r>
        <w:rPr>
          <w:rFonts w:cs="Calibri"/>
        </w:rPr>
        <w:t xml:space="preserve">tory obligation on the </w:t>
      </w:r>
      <w:r w:rsidRPr="009E6C4F">
        <w:rPr>
          <w:rFonts w:cs="Calibri"/>
        </w:rPr>
        <w:t>CEW</w:t>
      </w:r>
      <w:r w:rsidR="002900E8">
        <w:rPr>
          <w:rFonts w:cs="Calibri"/>
        </w:rPr>
        <w:t>H to trade in a certain manner.</w:t>
      </w:r>
    </w:p>
    <w:p w:rsidR="00CA794F" w:rsidRDefault="009F4861" w:rsidP="005C3C3A">
      <w:pPr>
        <w:pStyle w:val="Heading1"/>
        <w:numPr>
          <w:ilvl w:val="1"/>
          <w:numId w:val="13"/>
        </w:numPr>
        <w:spacing w:after="240"/>
        <w:ind w:left="811" w:hanging="454"/>
      </w:pPr>
      <w:bookmarkStart w:id="136" w:name="_Toc372716811"/>
      <w:bookmarkStart w:id="137" w:name="_Toc372717232"/>
      <w:bookmarkStart w:id="138" w:name="_Toc372718824"/>
      <w:bookmarkStart w:id="139" w:name="_Toc372718865"/>
      <w:bookmarkStart w:id="140" w:name="_Toc372719427"/>
      <w:bookmarkStart w:id="141" w:name="_Toc372724389"/>
      <w:bookmarkStart w:id="142" w:name="_Toc372791138"/>
      <w:bookmarkStart w:id="143" w:name="_Toc373235022"/>
      <w:bookmarkStart w:id="144" w:name="_Toc373243821"/>
      <w:bookmarkStart w:id="145" w:name="_Toc373410839"/>
      <w:bookmarkStart w:id="146" w:name="_Toc373495829"/>
      <w:bookmarkStart w:id="147" w:name="_Toc373741174"/>
      <w:bookmarkStart w:id="148" w:name="_Toc373744870"/>
      <w:bookmarkStart w:id="149" w:name="_Toc373746234"/>
      <w:bookmarkStart w:id="150" w:name="_Toc373754714"/>
      <w:bookmarkStart w:id="151" w:name="_Toc373754742"/>
      <w:bookmarkStart w:id="152" w:name="_Toc373835444"/>
      <w:bookmarkStart w:id="153" w:name="_Toc373835471"/>
      <w:bookmarkStart w:id="154" w:name="_Toc373857324"/>
      <w:bookmarkStart w:id="155" w:name="_Toc373858680"/>
      <w:bookmarkStart w:id="156" w:name="_Toc373865196"/>
      <w:bookmarkStart w:id="157" w:name="_Toc256000026"/>
      <w:bookmarkStart w:id="158" w:name="_Toc373835472"/>
      <w:bookmarkStart w:id="159" w:name="_Toc373865197"/>
      <w:bookmarkStart w:id="160" w:name="_Toc375035198"/>
      <w:bookmarkStart w:id="161" w:name="_Toc46476295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0C640E">
        <w:t>Governance</w:t>
      </w:r>
      <w:bookmarkEnd w:id="157"/>
      <w:bookmarkEnd w:id="158"/>
      <w:bookmarkEnd w:id="159"/>
      <w:bookmarkEnd w:id="160"/>
      <w:bookmarkEnd w:id="161"/>
    </w:p>
    <w:p w:rsidR="00CA794F" w:rsidRDefault="009F4861" w:rsidP="002900E8">
      <w:pPr>
        <w:spacing w:after="120"/>
        <w:ind w:left="357" w:firstLine="0"/>
      </w:pPr>
      <w:r w:rsidRPr="00A23EE9">
        <w:t>These operating rules provide instruction to the CEWH and CEWO staff in relation to the overarching operation</w:t>
      </w:r>
      <w:r>
        <w:t>s</w:t>
      </w:r>
      <w:r w:rsidRPr="00A23EE9">
        <w:t xml:space="preserve"> and behaviours relating to trade of Commonwealth environmental water. </w:t>
      </w:r>
      <w:r>
        <w:t>They support legislation and reflect the CEWH’s intention in relation to trade.</w:t>
      </w:r>
    </w:p>
    <w:p w:rsidR="006A0CA0" w:rsidRDefault="009F4861" w:rsidP="002900E8">
      <w:pPr>
        <w:spacing w:after="120"/>
        <w:ind w:left="357" w:firstLine="0"/>
        <w:rPr>
          <w:rFonts w:cs="Calibri"/>
          <w:b/>
          <w:color w:val="0070C0"/>
          <w:u w:val="single"/>
        </w:rPr>
      </w:pPr>
      <w:r w:rsidRPr="002B1C2D">
        <w:rPr>
          <w:rFonts w:cs="Calibri"/>
          <w:b/>
          <w:color w:val="0070C0"/>
          <w:u w:val="single"/>
        </w:rPr>
        <w:t xml:space="preserve">The CEWH will not trade if aware of a water announcement that </w:t>
      </w:r>
      <w:r w:rsidR="0020440C">
        <w:rPr>
          <w:rFonts w:cs="Calibri"/>
          <w:b/>
          <w:color w:val="0070C0"/>
          <w:u w:val="single"/>
        </w:rPr>
        <w:t>has not been made</w:t>
      </w:r>
      <w:r w:rsidRPr="002B1C2D">
        <w:rPr>
          <w:rFonts w:cs="Calibri"/>
          <w:b/>
          <w:color w:val="0070C0"/>
          <w:u w:val="single"/>
        </w:rPr>
        <w:t xml:space="preserve"> generally available [OR </w:t>
      </w:r>
      <w:r>
        <w:rPr>
          <w:rFonts w:cs="Calibri"/>
          <w:b/>
          <w:color w:val="0070C0"/>
          <w:u w:val="single"/>
        </w:rPr>
        <w:t>1</w:t>
      </w:r>
      <w:r w:rsidRPr="002B1C2D">
        <w:rPr>
          <w:rFonts w:cs="Calibri"/>
          <w:b/>
          <w:color w:val="0070C0"/>
          <w:u w:val="single"/>
        </w:rPr>
        <w:t>]</w:t>
      </w:r>
    </w:p>
    <w:p w:rsidR="00CA794F" w:rsidRDefault="009F4861" w:rsidP="002900E8">
      <w:pPr>
        <w:spacing w:after="120"/>
        <w:ind w:left="357" w:firstLine="0"/>
      </w:pPr>
      <w:r>
        <w:t>The Basin Plan contains water-trading rules that govern how persons or agencies are to behave. The rules include provisions that limit the capacity of people or agencies to trade if:</w:t>
      </w:r>
    </w:p>
    <w:p w:rsidR="00CA794F" w:rsidRDefault="009F4861" w:rsidP="002900E8">
      <w:pPr>
        <w:pStyle w:val="ListParagraph"/>
        <w:numPr>
          <w:ilvl w:val="0"/>
          <w:numId w:val="25"/>
        </w:numPr>
        <w:spacing w:after="120"/>
        <w:ind w:left="811" w:hanging="454"/>
        <w:contextualSpacing w:val="0"/>
      </w:pPr>
      <w:r>
        <w:t>they are aware of a decision made by an agency of the Commonwealth or of a Basin State which would be the subject of a water announcement that has not been made generally available; and</w:t>
      </w:r>
    </w:p>
    <w:p w:rsidR="00CA794F" w:rsidRDefault="009F4861" w:rsidP="002900E8">
      <w:pPr>
        <w:pStyle w:val="ListParagraph"/>
        <w:numPr>
          <w:ilvl w:val="0"/>
          <w:numId w:val="25"/>
        </w:numPr>
        <w:spacing w:after="120"/>
        <w:ind w:left="811" w:hanging="454"/>
        <w:contextualSpacing w:val="0"/>
      </w:pPr>
      <w:r>
        <w:t>the trading action is in relation to a water access right whose price or value could reasonably be expected to be materially affected if the information were made generally available.</w:t>
      </w:r>
    </w:p>
    <w:p w:rsidR="00CA794F" w:rsidRDefault="009F4861" w:rsidP="002900E8">
      <w:pPr>
        <w:spacing w:after="120"/>
        <w:ind w:left="357" w:firstLine="0"/>
      </w:pPr>
      <w:r>
        <w:t xml:space="preserve">In addition, the CEWH and CEWO staff are legally required to comply with the APS Values, Employment Principles and Code of </w:t>
      </w:r>
      <w:r w:rsidRPr="00177F08">
        <w:t>Conduct when carrying out the functions of the CEWH</w:t>
      </w:r>
      <w:r>
        <w:t>. Among other things, these values, principles and code of conduct</w:t>
      </w:r>
      <w:r w:rsidRPr="00177F08">
        <w:t xml:space="preserve"> place requirements on staff behavior in relation to </w:t>
      </w:r>
      <w:r>
        <w:t>managing inside</w:t>
      </w:r>
      <w:r w:rsidRPr="00177F08">
        <w:t xml:space="preserve"> information and conflicts of interest. Protocols have been developed to assist the CEWH and CEWO staff man</w:t>
      </w:r>
      <w:r>
        <w:t>a</w:t>
      </w:r>
      <w:r w:rsidRPr="00177F08">
        <w:t>ge water trade related information. The protocols</w:t>
      </w:r>
      <w:r>
        <w:t xml:space="preserve"> are available at </w:t>
      </w:r>
      <w:hyperlink r:id="rId32" w:history="1">
        <w:r w:rsidR="00C10EE5" w:rsidRPr="002900E8">
          <w:rPr>
            <w:rStyle w:val="Hyperlink"/>
          </w:rPr>
          <w:t>http://www.environment.gov.au/water/cewo/trade/trading-framework#protocols</w:t>
        </w:r>
      </w:hyperlink>
      <w:r w:rsidRPr="00941C92">
        <w:t>.</w:t>
      </w:r>
    </w:p>
    <w:p w:rsidR="00CA794F" w:rsidRDefault="009F4861" w:rsidP="002900E8">
      <w:pPr>
        <w:spacing w:after="120"/>
        <w:ind w:left="357" w:firstLine="0"/>
      </w:pPr>
      <w:r>
        <w:t>This rule will ensure that the CEWH and CEWO staff</w:t>
      </w:r>
      <w:r w:rsidRPr="00A23EE9">
        <w:t xml:space="preserve"> </w:t>
      </w:r>
      <w:r>
        <w:t xml:space="preserve">cannot use their </w:t>
      </w:r>
      <w:r w:rsidRPr="00A23EE9">
        <w:t xml:space="preserve">position </w:t>
      </w:r>
      <w:r>
        <w:t xml:space="preserve">in government </w:t>
      </w:r>
      <w:r w:rsidRPr="00A23EE9">
        <w:t xml:space="preserve">to </w:t>
      </w:r>
      <w:r>
        <w:t xml:space="preserve">take advantage of information which is not generally available. </w:t>
      </w:r>
    </w:p>
    <w:p w:rsidR="000E21C3" w:rsidRDefault="000E21C3" w:rsidP="000E21C3">
      <w:pPr>
        <w:spacing w:after="120"/>
        <w:ind w:firstLine="0"/>
      </w:pPr>
    </w:p>
    <w:p w:rsidR="00CA794F" w:rsidRPr="002900E8" w:rsidRDefault="009F4861" w:rsidP="002900E8">
      <w:pPr>
        <w:spacing w:after="120"/>
        <w:ind w:left="357" w:firstLine="0"/>
        <w:rPr>
          <w:rFonts w:cs="Calibri"/>
          <w:b/>
          <w:color w:val="0070C0"/>
          <w:u w:val="single"/>
        </w:rPr>
      </w:pPr>
      <w:r w:rsidRPr="002B1C2D">
        <w:rPr>
          <w:rFonts w:cs="Calibri"/>
          <w:b/>
          <w:color w:val="0070C0"/>
          <w:u w:val="single"/>
        </w:rPr>
        <w:t>All trades will be undertaken using a competitive process</w:t>
      </w:r>
      <w:r>
        <w:rPr>
          <w:rFonts w:cs="Calibri"/>
          <w:b/>
          <w:color w:val="0070C0"/>
          <w:u w:val="single"/>
        </w:rPr>
        <w:t xml:space="preserve"> </w:t>
      </w:r>
      <w:r w:rsidRPr="002B1C2D">
        <w:rPr>
          <w:rFonts w:cs="Calibri"/>
          <w:b/>
          <w:color w:val="0070C0"/>
          <w:u w:val="single"/>
        </w:rPr>
        <w:t>[OR</w:t>
      </w:r>
      <w:r>
        <w:rPr>
          <w:rFonts w:cs="Calibri"/>
          <w:b/>
          <w:color w:val="0070C0"/>
          <w:u w:val="single"/>
        </w:rPr>
        <w:t>2</w:t>
      </w:r>
      <w:r w:rsidRPr="002B1C2D">
        <w:rPr>
          <w:rFonts w:cs="Calibri"/>
          <w:b/>
          <w:color w:val="0070C0"/>
          <w:u w:val="single"/>
        </w:rPr>
        <w:t>]</w:t>
      </w:r>
      <w:bookmarkStart w:id="162" w:name="_Ref371584469"/>
      <w:r w:rsidRPr="002900E8">
        <w:rPr>
          <w:color w:val="0070C0"/>
          <w:u w:val="single"/>
          <w:vertAlign w:val="superscript"/>
        </w:rPr>
        <w:footnoteReference w:id="2"/>
      </w:r>
      <w:bookmarkEnd w:id="162"/>
    </w:p>
    <w:p w:rsidR="00CA794F" w:rsidRPr="00643E62" w:rsidRDefault="009F4861" w:rsidP="002900E8">
      <w:pPr>
        <w:spacing w:after="120"/>
        <w:ind w:left="357" w:firstLine="0"/>
      </w:pPr>
      <w:r w:rsidRPr="00643E62">
        <w:t xml:space="preserve">In conducting a trade the CEWH will: </w:t>
      </w:r>
    </w:p>
    <w:p w:rsidR="00CA794F" w:rsidRPr="00643E62" w:rsidRDefault="009F4861" w:rsidP="002900E8">
      <w:pPr>
        <w:pStyle w:val="ListParagraph"/>
        <w:numPr>
          <w:ilvl w:val="0"/>
          <w:numId w:val="25"/>
        </w:numPr>
        <w:spacing w:after="120"/>
        <w:ind w:left="811" w:hanging="454"/>
        <w:contextualSpacing w:val="0"/>
      </w:pPr>
      <w:r>
        <w:t>e</w:t>
      </w:r>
      <w:r w:rsidRPr="00643E62">
        <w:t>nsure that processes  are consistent  with Commonwealth Procurement Rules and are efficient, effective, economical, appropria</w:t>
      </w:r>
      <w:r>
        <w:t>te, and provide value for money;</w:t>
      </w:r>
    </w:p>
    <w:p w:rsidR="00CA794F" w:rsidRPr="00643E62" w:rsidRDefault="009F4861" w:rsidP="002900E8">
      <w:pPr>
        <w:pStyle w:val="ListParagraph"/>
        <w:numPr>
          <w:ilvl w:val="0"/>
          <w:numId w:val="25"/>
        </w:numPr>
        <w:spacing w:after="120"/>
        <w:ind w:left="811" w:hanging="454"/>
        <w:contextualSpacing w:val="0"/>
      </w:pPr>
      <w:r>
        <w:t>s</w:t>
      </w:r>
      <w:r w:rsidRPr="00643E62">
        <w:t>eek to promote competition within the water market and opportunity for involvement of</w:t>
      </w:r>
      <w:r w:rsidRPr="002900E8">
        <w:t> </w:t>
      </w:r>
      <w:r w:rsidRPr="00643E62">
        <w:t>interested parties. This includes announcing trading actions</w:t>
      </w:r>
      <w:r>
        <w:t>;</w:t>
      </w:r>
      <w:r w:rsidRPr="00643E62">
        <w:t xml:space="preserve"> using market engagement mechanisms that encourage wide participation</w:t>
      </w:r>
      <w:r>
        <w:t>;</w:t>
      </w:r>
      <w:r w:rsidRPr="00643E62">
        <w:t xml:space="preserve"> and providing efficient means through which market participants can communicate an offer to buy or sell</w:t>
      </w:r>
      <w:r>
        <w:t>;</w:t>
      </w:r>
      <w:r w:rsidRPr="00643E62">
        <w:t xml:space="preserve"> </w:t>
      </w:r>
      <w:r>
        <w:t>and</w:t>
      </w:r>
    </w:p>
    <w:p w:rsidR="00CA794F" w:rsidRPr="00643E62" w:rsidRDefault="009F4861" w:rsidP="002900E8">
      <w:pPr>
        <w:pStyle w:val="ListParagraph"/>
        <w:numPr>
          <w:ilvl w:val="0"/>
          <w:numId w:val="25"/>
        </w:numPr>
        <w:spacing w:after="120"/>
        <w:ind w:left="811" w:hanging="454"/>
        <w:contextualSpacing w:val="0"/>
      </w:pPr>
      <w:r>
        <w:t>e</w:t>
      </w:r>
      <w:r w:rsidRPr="00643E62">
        <w:t>nsure that</w:t>
      </w:r>
      <w:r w:rsidRPr="00E54891">
        <w:t xml:space="preserve"> its</w:t>
      </w:r>
      <w:r w:rsidRPr="00643E62">
        <w:t xml:space="preserve"> processes do not unreasonably disadvantage certain categories of market participants (including small and medium enterprises)</w:t>
      </w:r>
      <w:r w:rsidRPr="002900E8">
        <w:t>;</w:t>
      </w:r>
    </w:p>
    <w:p w:rsidR="00CA794F" w:rsidRDefault="009F4861" w:rsidP="002900E8">
      <w:pPr>
        <w:spacing w:after="120"/>
        <w:ind w:left="357" w:firstLine="0"/>
      </w:pPr>
      <w:r>
        <w:t xml:space="preserve">For each trading action, the CEWH will approach the market in a way that reflects the nature of the market and the conditions associated with the proposed trade. </w:t>
      </w:r>
      <w:r w:rsidRPr="00F76953">
        <w:t xml:space="preserve">CEWO </w:t>
      </w:r>
      <w:r>
        <w:t xml:space="preserve">staff </w:t>
      </w:r>
      <w:r w:rsidRPr="00F76953">
        <w:t xml:space="preserve">will continue to investigate </w:t>
      </w:r>
      <w:r>
        <w:t xml:space="preserve">different market engagement mechanisms, including </w:t>
      </w:r>
      <w:r w:rsidRPr="00F76953">
        <w:t>the ways in which water market intermediaries can support the trade of Commonwealth environmental water</w:t>
      </w:r>
      <w:r>
        <w:t>.</w:t>
      </w:r>
    </w:p>
    <w:p w:rsidR="00CA794F" w:rsidRDefault="009F4861" w:rsidP="002900E8">
      <w:pPr>
        <w:spacing w:after="120"/>
        <w:ind w:left="357" w:firstLine="0"/>
      </w:pPr>
      <w:r w:rsidRPr="00643E62">
        <w:t>If the CEWH was to use water market intermediaries to trade</w:t>
      </w:r>
      <w:r>
        <w:t>,</w:t>
      </w:r>
      <w:r w:rsidRPr="00643E62">
        <w:t xml:space="preserve"> the engagement of and use of their services </w:t>
      </w:r>
      <w:r w:rsidR="006A5038">
        <w:t>would need to</w:t>
      </w:r>
      <w:r w:rsidR="006A5038" w:rsidRPr="00643E62">
        <w:t xml:space="preserve"> </w:t>
      </w:r>
      <w:r w:rsidRPr="00643E62">
        <w:t xml:space="preserve">comply with Commonwealth Procurement Rules. </w:t>
      </w:r>
    </w:p>
    <w:p w:rsidR="00CA794F" w:rsidRPr="00704F56" w:rsidRDefault="009F4861" w:rsidP="005C3C3A">
      <w:pPr>
        <w:pStyle w:val="Heading1"/>
        <w:numPr>
          <w:ilvl w:val="1"/>
          <w:numId w:val="13"/>
        </w:numPr>
        <w:spacing w:after="240"/>
        <w:ind w:left="811" w:hanging="454"/>
      </w:pPr>
      <w:bookmarkStart w:id="163" w:name="_Toc256000027"/>
      <w:bookmarkStart w:id="164" w:name="_Toc373835473"/>
      <w:bookmarkStart w:id="165" w:name="_Toc373865198"/>
      <w:bookmarkStart w:id="166" w:name="_Toc375035199"/>
      <w:bookmarkStart w:id="167" w:name="_Toc464762956"/>
      <w:r w:rsidRPr="00704F56">
        <w:t>Trad</w:t>
      </w:r>
      <w:r>
        <w:t>e</w:t>
      </w:r>
      <w:r w:rsidRPr="00704F56">
        <w:t xml:space="preserve"> </w:t>
      </w:r>
      <w:r>
        <w:t>d</w:t>
      </w:r>
      <w:r w:rsidRPr="00704F56">
        <w:t xml:space="preserve">ecision </w:t>
      </w:r>
      <w:r>
        <w:t>m</w:t>
      </w:r>
      <w:r w:rsidRPr="00704F56">
        <w:t>aking</w:t>
      </w:r>
      <w:bookmarkEnd w:id="163"/>
      <w:bookmarkEnd w:id="164"/>
      <w:bookmarkEnd w:id="165"/>
      <w:bookmarkEnd w:id="166"/>
      <w:bookmarkEnd w:id="167"/>
    </w:p>
    <w:p w:rsidR="00CA794F" w:rsidRPr="002D6EE9" w:rsidRDefault="009F4861" w:rsidP="002900E8">
      <w:pPr>
        <w:spacing w:after="120"/>
        <w:ind w:left="357" w:firstLine="0"/>
      </w:pPr>
      <w:r w:rsidRPr="002D6EE9">
        <w:t>These operating rules</w:t>
      </w:r>
      <w:r>
        <w:t xml:space="preserve"> guide the CEWH and CEWO staff when engaging with the water market and making decisions to trade.</w:t>
      </w:r>
    </w:p>
    <w:p w:rsidR="00CA794F" w:rsidRPr="002B1C2D" w:rsidRDefault="009F4861" w:rsidP="002900E8">
      <w:pPr>
        <w:keepNext/>
        <w:spacing w:after="120"/>
        <w:ind w:left="357" w:firstLine="0"/>
        <w:jc w:val="both"/>
        <w:rPr>
          <w:rFonts w:cs="Calibri"/>
          <w:b/>
          <w:color w:val="0070C0"/>
          <w:u w:val="single"/>
        </w:rPr>
      </w:pPr>
      <w:r w:rsidRPr="002B1C2D">
        <w:rPr>
          <w:rFonts w:cs="Calibri"/>
          <w:b/>
          <w:color w:val="0070C0"/>
          <w:u w:val="single"/>
        </w:rPr>
        <w:t xml:space="preserve">Decisions to trade </w:t>
      </w:r>
      <w:r>
        <w:rPr>
          <w:rFonts w:cs="Calibri"/>
          <w:b/>
          <w:color w:val="0070C0"/>
          <w:u w:val="single"/>
        </w:rPr>
        <w:t>will be</w:t>
      </w:r>
      <w:r w:rsidRPr="002B1C2D">
        <w:rPr>
          <w:rFonts w:cs="Calibri"/>
          <w:b/>
          <w:color w:val="0070C0"/>
          <w:u w:val="single"/>
        </w:rPr>
        <w:t xml:space="preserve"> informed by a market assessment [OR</w:t>
      </w:r>
      <w:r>
        <w:rPr>
          <w:rFonts w:cs="Calibri"/>
          <w:b/>
          <w:color w:val="0070C0"/>
          <w:u w:val="single"/>
        </w:rPr>
        <w:t>3</w:t>
      </w:r>
      <w:r w:rsidRPr="002B1C2D">
        <w:rPr>
          <w:rFonts w:cs="Calibri"/>
          <w:b/>
          <w:color w:val="0070C0"/>
          <w:u w:val="single"/>
        </w:rPr>
        <w:t>]</w:t>
      </w:r>
    </w:p>
    <w:p w:rsidR="00CA794F" w:rsidRPr="002900E8" w:rsidRDefault="009F4861" w:rsidP="002900E8">
      <w:pPr>
        <w:spacing w:after="120"/>
        <w:ind w:left="357" w:firstLine="0"/>
      </w:pPr>
      <w:r w:rsidRPr="00643E62">
        <w:t xml:space="preserve">In </w:t>
      </w:r>
      <w:r w:rsidRPr="002D6EE9">
        <w:t>addition to existing legislative</w:t>
      </w:r>
      <w:r w:rsidRPr="00643E62">
        <w:t xml:space="preserve"> requirements, when making trading decisions the CEWH will give reasonable consideration to the matters that include, but are not limited to:</w:t>
      </w:r>
    </w:p>
    <w:p w:rsidR="00CA794F" w:rsidRPr="00643E62" w:rsidRDefault="009F4861" w:rsidP="002900E8">
      <w:pPr>
        <w:pStyle w:val="ListParagraph"/>
        <w:numPr>
          <w:ilvl w:val="0"/>
          <w:numId w:val="25"/>
        </w:numPr>
        <w:spacing w:after="120"/>
        <w:ind w:left="811" w:hanging="454"/>
        <w:contextualSpacing w:val="0"/>
      </w:pPr>
      <w:r>
        <w:t>t</w:t>
      </w:r>
      <w:r w:rsidRPr="00643E62">
        <w:t>he likely supply and demand of water within the relevant market at the expected time of trading, informed by current and historical market information;</w:t>
      </w:r>
      <w:r>
        <w:t xml:space="preserve"> and</w:t>
      </w:r>
    </w:p>
    <w:p w:rsidR="00CA794F" w:rsidRDefault="009F4861" w:rsidP="002900E8">
      <w:pPr>
        <w:pStyle w:val="ListParagraph"/>
        <w:numPr>
          <w:ilvl w:val="0"/>
          <w:numId w:val="25"/>
        </w:numPr>
        <w:spacing w:after="120"/>
        <w:ind w:left="811" w:hanging="454"/>
        <w:contextualSpacing w:val="0"/>
      </w:pPr>
      <w:r>
        <w:t>p</w:t>
      </w:r>
      <w:r w:rsidRPr="00643E62">
        <w:t>otential market impacts</w:t>
      </w:r>
      <w:r w:rsidR="003F10A0">
        <w:t xml:space="preserve"> of the proposed trade on the supply and market price of water</w:t>
      </w:r>
      <w:r w:rsidRPr="00643E62">
        <w:t>.</w:t>
      </w:r>
    </w:p>
    <w:p w:rsidR="00CA794F" w:rsidRDefault="009F4861" w:rsidP="002900E8">
      <w:pPr>
        <w:spacing w:after="120"/>
        <w:ind w:left="357" w:firstLine="0"/>
      </w:pPr>
      <w:r w:rsidRPr="001543E5">
        <w:t xml:space="preserve">This information could be used, for example, to inform the break-up of a large purchase or sale into smaller tranches that are traded over a more extended period of time. This approach </w:t>
      </w:r>
      <w:r>
        <w:t>aims</w:t>
      </w:r>
      <w:r w:rsidRPr="001543E5">
        <w:t xml:space="preserve"> to reduce </w:t>
      </w:r>
      <w:r>
        <w:t xml:space="preserve">market impacts by reducing </w:t>
      </w:r>
      <w:r w:rsidRPr="001543E5">
        <w:t xml:space="preserve">the volatility in market prices and </w:t>
      </w:r>
      <w:r>
        <w:t xml:space="preserve">tailoring the </w:t>
      </w:r>
      <w:r w:rsidRPr="001543E5">
        <w:t>volumes available for trade</w:t>
      </w:r>
      <w:r>
        <w:t xml:space="preserve"> to the market circumstances at the time</w:t>
      </w:r>
      <w:r w:rsidRPr="001543E5">
        <w:t>.</w:t>
      </w:r>
    </w:p>
    <w:p w:rsidR="00CA794F" w:rsidRPr="002B1C2D" w:rsidRDefault="009F4861" w:rsidP="007B28EA">
      <w:pPr>
        <w:keepNext/>
        <w:spacing w:after="120"/>
        <w:ind w:left="357" w:firstLine="0"/>
        <w:jc w:val="both"/>
        <w:rPr>
          <w:rFonts w:cs="Calibri"/>
          <w:b/>
          <w:color w:val="0070C0"/>
          <w:u w:val="single"/>
        </w:rPr>
      </w:pPr>
      <w:r w:rsidRPr="002B1C2D">
        <w:rPr>
          <w:rFonts w:cs="Calibri"/>
          <w:b/>
          <w:color w:val="0070C0"/>
          <w:u w:val="single"/>
        </w:rPr>
        <w:t xml:space="preserve">Price limits to be </w:t>
      </w:r>
      <w:r>
        <w:rPr>
          <w:rFonts w:cs="Calibri"/>
          <w:b/>
          <w:color w:val="0070C0"/>
          <w:u w:val="single"/>
        </w:rPr>
        <w:t>used</w:t>
      </w:r>
      <w:r w:rsidRPr="002B1C2D">
        <w:rPr>
          <w:rFonts w:cs="Calibri"/>
          <w:b/>
          <w:color w:val="0070C0"/>
          <w:u w:val="single"/>
        </w:rPr>
        <w:t xml:space="preserve"> in any trading action [OR</w:t>
      </w:r>
      <w:r>
        <w:rPr>
          <w:rFonts w:cs="Calibri"/>
          <w:b/>
          <w:color w:val="0070C0"/>
          <w:u w:val="single"/>
        </w:rPr>
        <w:t>4</w:t>
      </w:r>
      <w:r w:rsidRPr="002B1C2D">
        <w:rPr>
          <w:rFonts w:cs="Calibri"/>
          <w:b/>
          <w:color w:val="0070C0"/>
          <w:u w:val="single"/>
        </w:rPr>
        <w:t>]</w:t>
      </w:r>
    </w:p>
    <w:p w:rsidR="00CA794F" w:rsidRDefault="009F4861" w:rsidP="002900E8">
      <w:pPr>
        <w:spacing w:after="120"/>
        <w:ind w:left="357" w:firstLine="0"/>
      </w:pPr>
      <w:r w:rsidRPr="00974EC2">
        <w:t xml:space="preserve">Prior to </w:t>
      </w:r>
      <w:r>
        <w:t>bids or offers being received</w:t>
      </w:r>
      <w:r w:rsidRPr="00974EC2">
        <w:t>,</w:t>
      </w:r>
      <w:r w:rsidRPr="00490F38">
        <w:t xml:space="preserve"> </w:t>
      </w:r>
      <w:r w:rsidRPr="00F462F5">
        <w:t>the</w:t>
      </w:r>
      <w:r w:rsidRPr="00974EC2">
        <w:t xml:space="preserve"> CEW</w:t>
      </w:r>
      <w:r>
        <w:t>H</w:t>
      </w:r>
      <w:r w:rsidRPr="00974EC2">
        <w:t xml:space="preserve"> will identify a price limit, informed by </w:t>
      </w:r>
      <w:r>
        <w:t>current and historical market conditions, based on the above market assessment. The price limit will be reviewed prior to each trading action. Setting such a price limit will:</w:t>
      </w:r>
    </w:p>
    <w:p w:rsidR="00CA794F" w:rsidRDefault="009F4861" w:rsidP="002900E8">
      <w:pPr>
        <w:pStyle w:val="ListParagraph"/>
        <w:numPr>
          <w:ilvl w:val="0"/>
          <w:numId w:val="25"/>
        </w:numPr>
        <w:spacing w:after="120"/>
        <w:ind w:left="811" w:hanging="454"/>
        <w:contextualSpacing w:val="0"/>
      </w:pPr>
      <w:r>
        <w:t>assist the CEWH in achieving value for money by establishing a</w:t>
      </w:r>
      <w:r w:rsidRPr="00974EC2">
        <w:t xml:space="preserve"> price that the CEW</w:t>
      </w:r>
      <w:r>
        <w:t>H</w:t>
      </w:r>
      <w:r w:rsidRPr="00974EC2">
        <w:t xml:space="preserve"> will not pay above (when buying) or accept below (when selling)</w:t>
      </w:r>
      <w:r>
        <w:t>; and</w:t>
      </w:r>
    </w:p>
    <w:p w:rsidR="00CA794F" w:rsidRDefault="009F4861" w:rsidP="002900E8">
      <w:pPr>
        <w:pStyle w:val="ListParagraph"/>
        <w:numPr>
          <w:ilvl w:val="0"/>
          <w:numId w:val="25"/>
        </w:numPr>
        <w:spacing w:after="120"/>
        <w:ind w:left="811" w:hanging="454"/>
        <w:contextualSpacing w:val="0"/>
      </w:pPr>
      <w:r>
        <w:t>help minimise market impacts by being reflective of prevailing market conditions</w:t>
      </w:r>
      <w:r w:rsidR="00102ACA">
        <w:t xml:space="preserve"> and limiting the range in which prices may move</w:t>
      </w:r>
      <w:r>
        <w:t xml:space="preserve">. </w:t>
      </w:r>
    </w:p>
    <w:p w:rsidR="004E73E5" w:rsidRDefault="00BE0177" w:rsidP="002900E8">
      <w:pPr>
        <w:spacing w:after="120"/>
        <w:ind w:left="357" w:firstLine="0"/>
      </w:pPr>
      <w:r>
        <w:t>Depending on the trading mechanism used, the price limit may not be disc</w:t>
      </w:r>
      <w:r w:rsidR="00102ACA">
        <w:t xml:space="preserve">losed </w:t>
      </w:r>
      <w:r>
        <w:t>to the market</w:t>
      </w:r>
      <w:r w:rsidR="006A5038">
        <w:t xml:space="preserve"> -</w:t>
      </w:r>
      <w:r>
        <w:t xml:space="preserve"> for example, where a competitive tender is used.</w:t>
      </w:r>
    </w:p>
    <w:p w:rsidR="00CA794F" w:rsidRPr="002B1C2D" w:rsidRDefault="009F4861" w:rsidP="007B28EA">
      <w:pPr>
        <w:keepNext/>
        <w:spacing w:after="120"/>
        <w:ind w:left="357" w:firstLine="0"/>
        <w:jc w:val="both"/>
        <w:rPr>
          <w:rFonts w:cs="Calibri"/>
          <w:b/>
          <w:color w:val="0070C0"/>
          <w:u w:val="single"/>
        </w:rPr>
      </w:pPr>
      <w:r w:rsidRPr="002B1C2D">
        <w:rPr>
          <w:rFonts w:cs="Calibri"/>
          <w:b/>
          <w:color w:val="0070C0"/>
          <w:u w:val="single"/>
        </w:rPr>
        <w:t>Consistent, equitable and transparent assessment of trade offers [OR</w:t>
      </w:r>
      <w:r>
        <w:rPr>
          <w:rFonts w:cs="Calibri"/>
          <w:b/>
          <w:color w:val="0070C0"/>
          <w:u w:val="single"/>
        </w:rPr>
        <w:t>5</w:t>
      </w:r>
      <w:r w:rsidRPr="002B1C2D">
        <w:rPr>
          <w:rFonts w:cs="Calibri"/>
          <w:b/>
          <w:color w:val="0070C0"/>
          <w:u w:val="single"/>
        </w:rPr>
        <w:t>]</w:t>
      </w:r>
    </w:p>
    <w:p w:rsidR="00CA794F" w:rsidRDefault="009F4861" w:rsidP="002900E8">
      <w:pPr>
        <w:spacing w:after="120"/>
        <w:ind w:left="357" w:firstLine="0"/>
      </w:pPr>
      <w:r>
        <w:t xml:space="preserve">CEWO staff are developing, and will continue to refine, </w:t>
      </w:r>
      <w:r w:rsidRPr="00643E62">
        <w:t>interna</w:t>
      </w:r>
      <w:r>
        <w:t xml:space="preserve">l procedures to </w:t>
      </w:r>
      <w:r w:rsidRPr="00643E62">
        <w:t xml:space="preserve">make certain that </w:t>
      </w:r>
      <w:r>
        <w:t xml:space="preserve">the assessment and </w:t>
      </w:r>
      <w:r w:rsidRPr="00643E62">
        <w:t xml:space="preserve">decisions </w:t>
      </w:r>
      <w:r w:rsidRPr="005262DF">
        <w:t xml:space="preserve">for each individual trade process </w:t>
      </w:r>
      <w:r w:rsidRPr="00643E62">
        <w:t>a</w:t>
      </w:r>
      <w:r>
        <w:t>re</w:t>
      </w:r>
      <w:r w:rsidRPr="00643E62">
        <w:t xml:space="preserve"> rigorous, consistent and equitable. This will include an evaluation plan, approved by the CEWH prior to undertaking a trading action, which outlines the process for evaluating the of</w:t>
      </w:r>
      <w:r>
        <w:t>fers received</w:t>
      </w:r>
      <w:r w:rsidRPr="00643E62">
        <w:t>.</w:t>
      </w:r>
    </w:p>
    <w:p w:rsidR="00CA794F" w:rsidRPr="00704F56" w:rsidRDefault="009F4861" w:rsidP="005C3C3A">
      <w:pPr>
        <w:pStyle w:val="Heading1"/>
        <w:numPr>
          <w:ilvl w:val="1"/>
          <w:numId w:val="13"/>
        </w:numPr>
        <w:spacing w:after="240"/>
        <w:ind w:left="811" w:hanging="454"/>
      </w:pPr>
      <w:bookmarkStart w:id="168" w:name="_Toc256000028"/>
      <w:bookmarkStart w:id="169" w:name="_Toc373835474"/>
      <w:bookmarkStart w:id="170" w:name="_Toc373865199"/>
      <w:bookmarkStart w:id="171" w:name="_Toc375035200"/>
      <w:bookmarkStart w:id="172" w:name="_Toc464762957"/>
      <w:r w:rsidRPr="00704F56">
        <w:t>Announcements</w:t>
      </w:r>
      <w:bookmarkEnd w:id="168"/>
      <w:bookmarkEnd w:id="169"/>
      <w:bookmarkEnd w:id="170"/>
      <w:bookmarkEnd w:id="171"/>
      <w:bookmarkEnd w:id="172"/>
    </w:p>
    <w:p w:rsidR="00CA794F" w:rsidRPr="002900E8" w:rsidRDefault="009F4861" w:rsidP="002900E8">
      <w:pPr>
        <w:spacing w:after="120"/>
        <w:ind w:left="357" w:firstLine="0"/>
      </w:pPr>
      <w:r w:rsidRPr="002900E8">
        <w:t>The purpose of public announcements is to ensure transparency and accountability of the CEWO in relation to trade, and inform other market participants of the CEWH’s trading intentions. These operating rules cover announcements relating to trading intentions, decisions and outcomes.</w:t>
      </w:r>
    </w:p>
    <w:p w:rsidR="00CA794F" w:rsidRPr="001F735D" w:rsidRDefault="009F4861" w:rsidP="007B28EA">
      <w:pPr>
        <w:keepNext/>
        <w:spacing w:after="120"/>
        <w:ind w:left="357" w:firstLine="0"/>
        <w:jc w:val="both"/>
        <w:rPr>
          <w:rFonts w:cs="Calibri"/>
          <w:b/>
          <w:color w:val="0070C0"/>
          <w:u w:val="single"/>
        </w:rPr>
      </w:pPr>
      <w:r w:rsidRPr="001F735D">
        <w:rPr>
          <w:rFonts w:cs="Calibri"/>
          <w:b/>
          <w:color w:val="0070C0"/>
          <w:u w:val="single"/>
        </w:rPr>
        <w:t>Regular guidance on trading intentions [</w:t>
      </w:r>
      <w:r w:rsidR="00A37210" w:rsidRPr="001F735D">
        <w:rPr>
          <w:rFonts w:cs="Calibri"/>
          <w:b/>
          <w:color w:val="0070C0"/>
          <w:u w:val="single"/>
        </w:rPr>
        <w:t>OR</w:t>
      </w:r>
      <w:r w:rsidR="00102ACA">
        <w:rPr>
          <w:rFonts w:cs="Calibri"/>
          <w:b/>
          <w:color w:val="0070C0"/>
          <w:u w:val="single"/>
        </w:rPr>
        <w:t>6</w:t>
      </w:r>
      <w:r w:rsidRPr="001F735D">
        <w:rPr>
          <w:rFonts w:cs="Calibri"/>
          <w:b/>
          <w:color w:val="0070C0"/>
          <w:u w:val="single"/>
        </w:rPr>
        <w:t>]</w:t>
      </w:r>
    </w:p>
    <w:p w:rsidR="00CA794F" w:rsidRDefault="009F4861" w:rsidP="002900E8">
      <w:pPr>
        <w:spacing w:after="120"/>
        <w:ind w:left="357" w:firstLine="0"/>
      </w:pPr>
      <w:r w:rsidRPr="00643E62">
        <w:t>The CEWH will provide the public with a summary of trading int</w:t>
      </w:r>
      <w:r>
        <w:t xml:space="preserve">entions early in the water year. </w:t>
      </w:r>
      <w:r w:rsidRPr="00643E62">
        <w:t xml:space="preserve">These trading intentions are subject to review and will be updated </w:t>
      </w:r>
      <w:r w:rsidR="00270B02">
        <w:t xml:space="preserve">quarterly, </w:t>
      </w:r>
      <w:r w:rsidR="00E87B39">
        <w:t>or more regularly</w:t>
      </w:r>
      <w:r w:rsidR="00270B02">
        <w:t xml:space="preserve"> as required,</w:t>
      </w:r>
      <w:r w:rsidRPr="00643E62">
        <w:t xml:space="preserve"> to reflect changing conditions.</w:t>
      </w:r>
      <w:r>
        <w:t xml:space="preserve"> If trading intentions change, the CEWH will ensure that this information is made generally available, as is required by the Basin Plan trading rules. T</w:t>
      </w:r>
      <w:r w:rsidRPr="002C76A4">
        <w:t xml:space="preserve">he timely provision and updating of information on the CEWO website will increase the transparency of CEWO operations and reduce uncertainty </w:t>
      </w:r>
      <w:r>
        <w:t>for water market</w:t>
      </w:r>
      <w:r w:rsidRPr="002C76A4">
        <w:t xml:space="preserve"> participants</w:t>
      </w:r>
    </w:p>
    <w:p w:rsidR="00CA794F" w:rsidRPr="001F735D" w:rsidRDefault="009F4861" w:rsidP="007B28EA">
      <w:pPr>
        <w:keepNext/>
        <w:spacing w:after="120"/>
        <w:ind w:left="357" w:firstLine="0"/>
        <w:jc w:val="both"/>
        <w:rPr>
          <w:rFonts w:cs="Calibri"/>
          <w:b/>
          <w:color w:val="0070C0"/>
          <w:u w:val="single"/>
        </w:rPr>
      </w:pPr>
      <w:r w:rsidRPr="001F735D">
        <w:rPr>
          <w:rFonts w:cs="Calibri"/>
          <w:b/>
          <w:color w:val="0070C0"/>
          <w:u w:val="single"/>
        </w:rPr>
        <w:t>Trading actions to be announced prior to trade [</w:t>
      </w:r>
      <w:r w:rsidR="00A37210" w:rsidRPr="001F735D">
        <w:rPr>
          <w:rFonts w:cs="Calibri"/>
          <w:b/>
          <w:color w:val="0070C0"/>
          <w:u w:val="single"/>
        </w:rPr>
        <w:t>OR</w:t>
      </w:r>
      <w:r w:rsidR="00102ACA">
        <w:rPr>
          <w:rFonts w:cs="Calibri"/>
          <w:b/>
          <w:color w:val="0070C0"/>
          <w:u w:val="single"/>
        </w:rPr>
        <w:t>7</w:t>
      </w:r>
      <w:r w:rsidRPr="001F735D">
        <w:rPr>
          <w:rFonts w:cs="Calibri"/>
          <w:b/>
          <w:color w:val="0070C0"/>
          <w:u w:val="single"/>
        </w:rPr>
        <w:t>]</w:t>
      </w:r>
    </w:p>
    <w:p w:rsidR="00CA794F" w:rsidRPr="00643E62" w:rsidRDefault="003A1837" w:rsidP="002900E8">
      <w:pPr>
        <w:spacing w:after="120"/>
        <w:ind w:left="357" w:firstLine="0"/>
      </w:pPr>
      <w:r>
        <w:t xml:space="preserve">At least two days prior to </w:t>
      </w:r>
      <w:r w:rsidR="007C69E1">
        <w:t>undertaking</w:t>
      </w:r>
      <w:r>
        <w:t xml:space="preserve"> a trad</w:t>
      </w:r>
      <w:r w:rsidR="007C69E1">
        <w:t>ing action</w:t>
      </w:r>
      <w:r w:rsidR="009F4861" w:rsidRPr="00643E62">
        <w:t xml:space="preserve">, the CEWH will publicly announce </w:t>
      </w:r>
      <w:r w:rsidR="007C69E1">
        <w:t>its intention to trade</w:t>
      </w:r>
      <w:r w:rsidR="009F4861" w:rsidRPr="00643E62">
        <w:t xml:space="preserve">. The announcement may </w:t>
      </w:r>
      <w:r w:rsidR="009F4861">
        <w:t>include, but is not limited to</w:t>
      </w:r>
      <w:r w:rsidR="009F4861" w:rsidRPr="00643E62">
        <w:t>:</w:t>
      </w:r>
    </w:p>
    <w:p w:rsidR="00CA794F" w:rsidRPr="00643E62" w:rsidRDefault="009F4861" w:rsidP="002900E8">
      <w:pPr>
        <w:pStyle w:val="ListParagraph"/>
        <w:numPr>
          <w:ilvl w:val="0"/>
          <w:numId w:val="25"/>
        </w:numPr>
        <w:spacing w:after="120"/>
        <w:ind w:left="811" w:hanging="454"/>
        <w:contextualSpacing w:val="0"/>
      </w:pPr>
      <w:r>
        <w:t>l</w:t>
      </w:r>
      <w:r w:rsidRPr="00643E62">
        <w:t>ocation of the trade;</w:t>
      </w:r>
    </w:p>
    <w:p w:rsidR="00CA794F" w:rsidRPr="002900E8" w:rsidRDefault="009F4861" w:rsidP="002900E8">
      <w:pPr>
        <w:pStyle w:val="ListParagraph"/>
        <w:numPr>
          <w:ilvl w:val="0"/>
          <w:numId w:val="25"/>
        </w:numPr>
        <w:spacing w:after="120"/>
        <w:ind w:left="811" w:hanging="454"/>
        <w:contextualSpacing w:val="0"/>
      </w:pPr>
      <w:r>
        <w:t>t</w:t>
      </w:r>
      <w:r w:rsidRPr="00643E62">
        <w:t>ype of water product to be traded;</w:t>
      </w:r>
    </w:p>
    <w:p w:rsidR="00CA794F" w:rsidRPr="002900E8" w:rsidRDefault="009F4861" w:rsidP="002900E8">
      <w:pPr>
        <w:pStyle w:val="ListParagraph"/>
        <w:numPr>
          <w:ilvl w:val="0"/>
          <w:numId w:val="25"/>
        </w:numPr>
        <w:spacing w:after="120"/>
        <w:ind w:left="811" w:hanging="454"/>
        <w:contextualSpacing w:val="0"/>
      </w:pPr>
      <w:r w:rsidRPr="00643E62">
        <w:t>proposed volume to be traded (subject to suitable offers);</w:t>
      </w:r>
    </w:p>
    <w:p w:rsidR="00CA794F" w:rsidRPr="002900E8" w:rsidRDefault="009F4861" w:rsidP="002900E8">
      <w:pPr>
        <w:pStyle w:val="ListParagraph"/>
        <w:numPr>
          <w:ilvl w:val="0"/>
          <w:numId w:val="25"/>
        </w:numPr>
        <w:spacing w:after="120"/>
        <w:ind w:left="811" w:hanging="454"/>
        <w:contextualSpacing w:val="0"/>
      </w:pPr>
      <w:r>
        <w:t>m</w:t>
      </w:r>
      <w:r w:rsidRPr="00643E62">
        <w:t>arket engagement mechanism to be used for the trade;</w:t>
      </w:r>
    </w:p>
    <w:p w:rsidR="00CA794F" w:rsidRPr="002900E8" w:rsidRDefault="009F4861" w:rsidP="002900E8">
      <w:pPr>
        <w:pStyle w:val="ListParagraph"/>
        <w:numPr>
          <w:ilvl w:val="0"/>
          <w:numId w:val="25"/>
        </w:numPr>
        <w:spacing w:after="120"/>
        <w:ind w:left="811" w:hanging="454"/>
        <w:contextualSpacing w:val="0"/>
      </w:pPr>
      <w:r w:rsidRPr="002900E8">
        <w:t xml:space="preserve">time period within which the trade is sought; and </w:t>
      </w:r>
    </w:p>
    <w:p w:rsidR="00CA794F" w:rsidRPr="002900E8" w:rsidRDefault="009F4861" w:rsidP="002900E8">
      <w:pPr>
        <w:pStyle w:val="ListParagraph"/>
        <w:numPr>
          <w:ilvl w:val="0"/>
          <w:numId w:val="25"/>
        </w:numPr>
        <w:spacing w:after="120"/>
        <w:ind w:left="811" w:hanging="454"/>
        <w:contextualSpacing w:val="0"/>
      </w:pPr>
      <w:r w:rsidRPr="002900E8">
        <w:t>reason for the trade, referencing the requirements of the Water Act (including whether the trade is under Section 106(1) or 106(2)) and the Basin Plan.</w:t>
      </w:r>
    </w:p>
    <w:p w:rsidR="00CA794F" w:rsidRDefault="009F4861" w:rsidP="002900E8">
      <w:pPr>
        <w:spacing w:after="120"/>
        <w:ind w:left="357" w:firstLine="0"/>
      </w:pPr>
      <w:r>
        <w:t>The CEWH will make reasonable efforts to ensure that the announcement becomes generally available to interested water market participants.</w:t>
      </w:r>
    </w:p>
    <w:p w:rsidR="00CA794F" w:rsidRPr="007B28EA" w:rsidRDefault="009F4861" w:rsidP="007B28EA">
      <w:pPr>
        <w:keepNext/>
        <w:spacing w:after="120"/>
        <w:ind w:left="357" w:firstLine="0"/>
        <w:jc w:val="both"/>
        <w:rPr>
          <w:rFonts w:cs="Calibri"/>
          <w:b/>
          <w:color w:val="0070C0"/>
          <w:u w:val="single"/>
        </w:rPr>
      </w:pPr>
      <w:r w:rsidRPr="006709B5">
        <w:rPr>
          <w:rFonts w:cs="Calibri"/>
          <w:b/>
          <w:color w:val="0070C0"/>
          <w:u w:val="single"/>
        </w:rPr>
        <w:t xml:space="preserve">Market </w:t>
      </w:r>
      <w:r>
        <w:rPr>
          <w:rFonts w:cs="Calibri"/>
          <w:b/>
          <w:color w:val="0070C0"/>
          <w:u w:val="single"/>
        </w:rPr>
        <w:t>information to be</w:t>
      </w:r>
      <w:r w:rsidRPr="006709B5">
        <w:rPr>
          <w:rFonts w:cs="Calibri"/>
          <w:b/>
          <w:color w:val="0070C0"/>
          <w:u w:val="single"/>
        </w:rPr>
        <w:t xml:space="preserve"> released prior to each trading action [</w:t>
      </w:r>
      <w:r w:rsidR="00A37210" w:rsidRPr="006709B5">
        <w:rPr>
          <w:rFonts w:cs="Calibri"/>
          <w:b/>
          <w:color w:val="0070C0"/>
          <w:u w:val="single"/>
        </w:rPr>
        <w:t>OR</w:t>
      </w:r>
      <w:r w:rsidR="00102ACA">
        <w:rPr>
          <w:rFonts w:cs="Calibri"/>
          <w:b/>
          <w:color w:val="0070C0"/>
          <w:u w:val="single"/>
        </w:rPr>
        <w:t>8</w:t>
      </w:r>
      <w:r w:rsidRPr="006709B5">
        <w:rPr>
          <w:rFonts w:cs="Calibri"/>
          <w:b/>
          <w:color w:val="0070C0"/>
          <w:u w:val="single"/>
        </w:rPr>
        <w:t>]</w:t>
      </w:r>
      <w:r w:rsidRPr="007B28EA">
        <w:rPr>
          <w:b/>
          <w:color w:val="0070C0"/>
          <w:vertAlign w:val="superscript"/>
        </w:rPr>
        <w:footnoteReference w:id="3"/>
      </w:r>
      <w:r w:rsidRPr="007B28EA">
        <w:rPr>
          <w:rFonts w:cs="Calibri"/>
          <w:b/>
          <w:color w:val="0070C0"/>
          <w:u w:val="single"/>
        </w:rPr>
        <w:t xml:space="preserve"> </w:t>
      </w:r>
    </w:p>
    <w:p w:rsidR="00CA794F" w:rsidRPr="002900E8" w:rsidRDefault="009F4861" w:rsidP="002900E8">
      <w:pPr>
        <w:spacing w:after="120"/>
        <w:ind w:left="357" w:firstLine="0"/>
      </w:pPr>
      <w:r w:rsidRPr="002900E8">
        <w:t>The CEWH will release market information at the time of announcing a trading action. Provided the information is readily available, the information will include, but is not limited to:</w:t>
      </w:r>
    </w:p>
    <w:p w:rsidR="00CA794F" w:rsidRPr="00643E62" w:rsidRDefault="009F4861" w:rsidP="002900E8">
      <w:pPr>
        <w:pStyle w:val="ListParagraph"/>
        <w:numPr>
          <w:ilvl w:val="0"/>
          <w:numId w:val="25"/>
        </w:numPr>
        <w:spacing w:after="120"/>
        <w:ind w:left="811" w:hanging="454"/>
        <w:contextualSpacing w:val="0"/>
      </w:pPr>
      <w:r>
        <w:t>t</w:t>
      </w:r>
      <w:r w:rsidRPr="005C7A6F">
        <w:t>he proportion of the total entitlements issued that are owned by the Commonwealth</w:t>
      </w:r>
      <w:r w:rsidRPr="00643E62">
        <w:t>;</w:t>
      </w:r>
    </w:p>
    <w:p w:rsidR="00CA794F" w:rsidRPr="00643E62" w:rsidRDefault="009F4861" w:rsidP="002900E8">
      <w:pPr>
        <w:pStyle w:val="ListParagraph"/>
        <w:numPr>
          <w:ilvl w:val="0"/>
          <w:numId w:val="25"/>
        </w:numPr>
        <w:spacing w:after="120"/>
        <w:ind w:left="811" w:hanging="454"/>
        <w:contextualSpacing w:val="0"/>
      </w:pPr>
      <w:r>
        <w:t>t</w:t>
      </w:r>
      <w:r w:rsidRPr="005C7A6F">
        <w:t>he proposed volume to be traded compared to historical volumes traded within the catchment</w:t>
      </w:r>
      <w:r w:rsidRPr="00643E62">
        <w:t>;</w:t>
      </w:r>
    </w:p>
    <w:p w:rsidR="0001016E" w:rsidRDefault="0001016E" w:rsidP="002900E8">
      <w:pPr>
        <w:pStyle w:val="ListParagraph"/>
        <w:numPr>
          <w:ilvl w:val="0"/>
          <w:numId w:val="25"/>
        </w:numPr>
        <w:spacing w:after="120"/>
        <w:ind w:left="811" w:hanging="454"/>
        <w:contextualSpacing w:val="0"/>
      </w:pPr>
      <w:r>
        <w:t>current and forecast climat</w:t>
      </w:r>
      <w:r w:rsidR="00433E09">
        <w:t>e</w:t>
      </w:r>
      <w:r>
        <w:t xml:space="preserve"> conditions within the catchment;</w:t>
      </w:r>
    </w:p>
    <w:p w:rsidR="00CA794F" w:rsidRPr="00643E62" w:rsidRDefault="009F4861" w:rsidP="002900E8">
      <w:pPr>
        <w:pStyle w:val="ListParagraph"/>
        <w:numPr>
          <w:ilvl w:val="0"/>
          <w:numId w:val="25"/>
        </w:numPr>
        <w:spacing w:after="120"/>
        <w:ind w:left="811" w:hanging="454"/>
        <w:contextualSpacing w:val="0"/>
      </w:pPr>
      <w:r>
        <w:t>h</w:t>
      </w:r>
      <w:r w:rsidRPr="005C7A6F">
        <w:t xml:space="preserve">istorical </w:t>
      </w:r>
      <w:r w:rsidR="00791FAB">
        <w:t xml:space="preserve">and current season </w:t>
      </w:r>
      <w:r w:rsidRPr="005C7A6F">
        <w:t>price information and trading patterns</w:t>
      </w:r>
      <w:r w:rsidRPr="00643E62">
        <w:t>;</w:t>
      </w:r>
      <w:r w:rsidRPr="005C7A6F">
        <w:t xml:space="preserve"> </w:t>
      </w:r>
    </w:p>
    <w:p w:rsidR="00CA794F" w:rsidRPr="00643E62" w:rsidRDefault="009F4861" w:rsidP="002900E8">
      <w:pPr>
        <w:pStyle w:val="ListParagraph"/>
        <w:numPr>
          <w:ilvl w:val="0"/>
          <w:numId w:val="25"/>
        </w:numPr>
        <w:spacing w:after="120"/>
        <w:ind w:left="811" w:hanging="454"/>
        <w:contextualSpacing w:val="0"/>
      </w:pPr>
      <w:r>
        <w:t>h</w:t>
      </w:r>
      <w:r w:rsidRPr="005C7A6F">
        <w:t xml:space="preserve">istorical </w:t>
      </w:r>
      <w:r w:rsidR="00471331">
        <w:t xml:space="preserve">and current season </w:t>
      </w:r>
      <w:r w:rsidRPr="005C7A6F">
        <w:t xml:space="preserve">level of water use within the catchment; and </w:t>
      </w:r>
    </w:p>
    <w:p w:rsidR="00CA794F" w:rsidRPr="005C7A6F" w:rsidRDefault="009F4861" w:rsidP="002900E8">
      <w:pPr>
        <w:pStyle w:val="ListParagraph"/>
        <w:numPr>
          <w:ilvl w:val="0"/>
          <w:numId w:val="25"/>
        </w:numPr>
        <w:spacing w:after="120"/>
        <w:ind w:left="811" w:hanging="454"/>
        <w:contextualSpacing w:val="0"/>
      </w:pPr>
      <w:r>
        <w:t>c</w:t>
      </w:r>
      <w:r w:rsidRPr="005C7A6F">
        <w:t xml:space="preserve">urrent water availability. </w:t>
      </w:r>
    </w:p>
    <w:p w:rsidR="00CA794F" w:rsidRPr="002900E8" w:rsidRDefault="009F4861" w:rsidP="002900E8">
      <w:pPr>
        <w:spacing w:after="120"/>
        <w:ind w:left="357" w:firstLine="0"/>
      </w:pPr>
      <w:r w:rsidRPr="002900E8">
        <w:t>The provision of this information should provide interested parties with confidence that current conditions and impacts have been considered when making a trade decision. It will also inform other parties interested in trading with the CEWH about market conditions.</w:t>
      </w:r>
    </w:p>
    <w:p w:rsidR="00CA794F" w:rsidRPr="001F735D" w:rsidRDefault="009F4861" w:rsidP="007B28EA">
      <w:pPr>
        <w:keepNext/>
        <w:spacing w:after="120"/>
        <w:ind w:left="357" w:firstLine="0"/>
        <w:jc w:val="both"/>
        <w:rPr>
          <w:rFonts w:cs="Calibri"/>
          <w:b/>
          <w:color w:val="0070C0"/>
          <w:u w:val="single"/>
        </w:rPr>
      </w:pPr>
      <w:r w:rsidRPr="001F735D">
        <w:rPr>
          <w:rFonts w:cs="Calibri"/>
          <w:b/>
          <w:color w:val="0070C0"/>
          <w:u w:val="single"/>
        </w:rPr>
        <w:t>Public reporting following trading actions [</w:t>
      </w:r>
      <w:r w:rsidR="00A37210" w:rsidRPr="001F735D">
        <w:rPr>
          <w:rFonts w:cs="Calibri"/>
          <w:b/>
          <w:color w:val="0070C0"/>
          <w:u w:val="single"/>
        </w:rPr>
        <w:t>OR</w:t>
      </w:r>
      <w:r w:rsidR="00102ACA">
        <w:rPr>
          <w:rFonts w:cs="Calibri"/>
          <w:b/>
          <w:color w:val="0070C0"/>
          <w:u w:val="single"/>
        </w:rPr>
        <w:t>9</w:t>
      </w:r>
      <w:r w:rsidRPr="001F735D">
        <w:rPr>
          <w:rFonts w:cs="Calibri"/>
          <w:b/>
          <w:color w:val="0070C0"/>
          <w:u w:val="single"/>
        </w:rPr>
        <w:t>]</w:t>
      </w:r>
    </w:p>
    <w:p w:rsidR="00CA794F" w:rsidRPr="00643E62" w:rsidRDefault="009F4861" w:rsidP="002900E8">
      <w:pPr>
        <w:spacing w:after="120"/>
        <w:ind w:left="357" w:firstLine="0"/>
      </w:pPr>
      <w:r w:rsidRPr="004C0FA0">
        <w:t>To enhance public scrutiny</w:t>
      </w:r>
      <w:r>
        <w:t>,</w:t>
      </w:r>
      <w:r w:rsidRPr="00643E62">
        <w:t xml:space="preserve"> </w:t>
      </w:r>
      <w:r>
        <w:t>w</w:t>
      </w:r>
      <w:r w:rsidRPr="00643E62">
        <w:t xml:space="preserve">ithin 30 days of the registration of the last trade made through a given trading action, the CEWH will make information publicly available (in a way that protects the privacy of trading partners) on its website that includes, but is not limited to: </w:t>
      </w:r>
    </w:p>
    <w:p w:rsidR="00BE63D5" w:rsidRPr="005C7A6F" w:rsidRDefault="00BE63D5" w:rsidP="002900E8">
      <w:pPr>
        <w:pStyle w:val="ListParagraph"/>
        <w:numPr>
          <w:ilvl w:val="0"/>
          <w:numId w:val="25"/>
        </w:numPr>
        <w:spacing w:after="120"/>
        <w:ind w:left="811" w:hanging="454"/>
        <w:contextualSpacing w:val="0"/>
      </w:pPr>
      <w:r>
        <w:t xml:space="preserve">actual and weighted </w:t>
      </w:r>
      <w:r w:rsidR="009F4861">
        <w:t>a</w:t>
      </w:r>
      <w:r w:rsidR="009F4861" w:rsidRPr="00643E62">
        <w:t>verage price at which trades occurred;</w:t>
      </w:r>
    </w:p>
    <w:p w:rsidR="00CA794F" w:rsidRPr="005C7A6F" w:rsidRDefault="009F4861" w:rsidP="002900E8">
      <w:pPr>
        <w:pStyle w:val="ListParagraph"/>
        <w:numPr>
          <w:ilvl w:val="0"/>
          <w:numId w:val="25"/>
        </w:numPr>
        <w:spacing w:after="120"/>
        <w:ind w:left="811" w:hanging="454"/>
        <w:contextualSpacing w:val="0"/>
      </w:pPr>
      <w:r>
        <w:t>t</w:t>
      </w:r>
      <w:r w:rsidRPr="00643E62">
        <w:t>he volume traded; and</w:t>
      </w:r>
    </w:p>
    <w:p w:rsidR="00CA794F" w:rsidRPr="005C7A6F" w:rsidRDefault="009F4861" w:rsidP="002900E8">
      <w:pPr>
        <w:pStyle w:val="ListParagraph"/>
        <w:numPr>
          <w:ilvl w:val="0"/>
          <w:numId w:val="25"/>
        </w:numPr>
        <w:spacing w:after="120"/>
        <w:ind w:left="811" w:hanging="454"/>
        <w:contextualSpacing w:val="0"/>
      </w:pPr>
      <w:r>
        <w:t>c</w:t>
      </w:r>
      <w:r w:rsidRPr="00643E62">
        <w:t>onfirmation of details that were announced prior to the trading action being conducted (including a description of any variance).</w:t>
      </w:r>
    </w:p>
    <w:p w:rsidR="00CA794F" w:rsidRDefault="009F4861" w:rsidP="002900E8">
      <w:pPr>
        <w:spacing w:after="120"/>
        <w:ind w:left="357" w:firstLine="0"/>
      </w:pPr>
      <w:r w:rsidRPr="00643E62">
        <w:t xml:space="preserve">Alternatively, if there were no successful trades in a given trading action, the </w:t>
      </w:r>
      <w:r w:rsidR="005D01FC" w:rsidRPr="00643E62">
        <w:t>CEW</w:t>
      </w:r>
      <w:r w:rsidR="005D01FC">
        <w:t>O</w:t>
      </w:r>
      <w:r w:rsidR="005D01FC" w:rsidRPr="00643E62">
        <w:t xml:space="preserve"> </w:t>
      </w:r>
      <w:r w:rsidRPr="00643E62">
        <w:t>will announce this on its website.</w:t>
      </w:r>
    </w:p>
    <w:p w:rsidR="00CA794F" w:rsidRPr="00643E62" w:rsidRDefault="009F4861" w:rsidP="002900E8">
      <w:pPr>
        <w:spacing w:after="120"/>
        <w:ind w:left="357" w:firstLine="0"/>
      </w:pPr>
      <w:r w:rsidRPr="00643E62">
        <w:t xml:space="preserve">A summary of all trading activity undertaken in a given water year will be provided in the </w:t>
      </w:r>
      <w:r w:rsidR="005D01FC" w:rsidRPr="00643E62">
        <w:t>CEW</w:t>
      </w:r>
      <w:r w:rsidR="005D01FC">
        <w:t>H</w:t>
      </w:r>
      <w:r w:rsidR="005D01FC" w:rsidRPr="00643E62">
        <w:t xml:space="preserve"> </w:t>
      </w:r>
      <w:r w:rsidRPr="00643E62">
        <w:t>annual report and tabled in parliament.</w:t>
      </w:r>
    </w:p>
    <w:p w:rsidR="00CA794F" w:rsidRPr="00704F56" w:rsidRDefault="009F4861" w:rsidP="005C3C3A">
      <w:pPr>
        <w:pStyle w:val="Heading1"/>
        <w:numPr>
          <w:ilvl w:val="1"/>
          <w:numId w:val="13"/>
        </w:numPr>
        <w:spacing w:after="240"/>
        <w:ind w:left="811" w:hanging="454"/>
      </w:pPr>
      <w:bookmarkStart w:id="173" w:name="_Toc256000029"/>
      <w:bookmarkStart w:id="174" w:name="_Toc373835475"/>
      <w:bookmarkStart w:id="175" w:name="_Toc373865200"/>
      <w:bookmarkStart w:id="176" w:name="_Toc375035201"/>
      <w:bookmarkStart w:id="177" w:name="_Toc464762958"/>
      <w:r>
        <w:t>Review and a</w:t>
      </w:r>
      <w:r w:rsidRPr="00704F56">
        <w:t>udit</w:t>
      </w:r>
      <w:bookmarkEnd w:id="173"/>
      <w:bookmarkEnd w:id="174"/>
      <w:bookmarkEnd w:id="175"/>
      <w:bookmarkEnd w:id="176"/>
      <w:bookmarkEnd w:id="177"/>
    </w:p>
    <w:p w:rsidR="004B59B8" w:rsidRPr="00BF40B7" w:rsidRDefault="004B59B8" w:rsidP="008749E1">
      <w:pPr>
        <w:pStyle w:val="Heading1"/>
        <w:numPr>
          <w:ilvl w:val="2"/>
          <w:numId w:val="13"/>
        </w:numPr>
        <w:spacing w:after="240"/>
        <w:ind w:left="1225" w:hanging="505"/>
      </w:pPr>
      <w:bookmarkStart w:id="178" w:name="_Toc464762959"/>
      <w:r w:rsidRPr="00BF40B7">
        <w:t>Independent review of the operating rules</w:t>
      </w:r>
      <w:bookmarkEnd w:id="178"/>
      <w:r w:rsidRPr="00BF40B7">
        <w:t xml:space="preserve"> </w:t>
      </w:r>
    </w:p>
    <w:p w:rsidR="00CA794F" w:rsidRDefault="009F4861" w:rsidP="002900E8">
      <w:pPr>
        <w:spacing w:after="120"/>
        <w:ind w:left="357" w:firstLine="0"/>
      </w:pPr>
      <w:r>
        <w:t xml:space="preserve">The </w:t>
      </w:r>
      <w:r w:rsidR="00C17926">
        <w:t>operating rules</w:t>
      </w:r>
      <w:r>
        <w:t xml:space="preserve"> will be refined if necessary as the CEWH becomes more experienced in the water market.  </w:t>
      </w:r>
      <w:r w:rsidR="005D01FC">
        <w:t>It is anticipated that an</w:t>
      </w:r>
      <w:r>
        <w:t xml:space="preserve"> independent review of the </w:t>
      </w:r>
      <w:r w:rsidR="004B59B8">
        <w:t>operating rules</w:t>
      </w:r>
      <w:r>
        <w:t xml:space="preserve"> </w:t>
      </w:r>
      <w:r w:rsidR="00457854">
        <w:t xml:space="preserve">will be conducted in </w:t>
      </w:r>
      <w:r w:rsidR="00205F2D">
        <w:t>2019</w:t>
      </w:r>
      <w:r>
        <w:t xml:space="preserve"> to ensure that </w:t>
      </w:r>
      <w:r w:rsidR="004B59B8">
        <w:t xml:space="preserve">they are </w:t>
      </w:r>
      <w:r>
        <w:t>appropriate, effective and efficient.</w:t>
      </w:r>
      <w:r w:rsidRPr="001A4150">
        <w:t xml:space="preserve">  </w:t>
      </w:r>
      <w:r>
        <w:t xml:space="preserve">The review </w:t>
      </w:r>
      <w:r w:rsidRPr="001A4150">
        <w:t>will</w:t>
      </w:r>
      <w:r>
        <w:t>:</w:t>
      </w:r>
    </w:p>
    <w:p w:rsidR="00CA794F" w:rsidRDefault="009F4861" w:rsidP="002900E8">
      <w:pPr>
        <w:pStyle w:val="ListParagraph"/>
        <w:numPr>
          <w:ilvl w:val="0"/>
          <w:numId w:val="25"/>
        </w:numPr>
        <w:spacing w:after="120"/>
        <w:ind w:left="811" w:hanging="454"/>
        <w:contextualSpacing w:val="0"/>
      </w:pPr>
      <w:r>
        <w:t>i</w:t>
      </w:r>
      <w:r w:rsidRPr="001A4150">
        <w:t>dentify</w:t>
      </w:r>
      <w:r>
        <w:t xml:space="preserve"> if there is a need for </w:t>
      </w:r>
      <w:r w:rsidRPr="001A4150">
        <w:t xml:space="preserve">any additional </w:t>
      </w:r>
      <w:r w:rsidR="004B59B8">
        <w:t>operating rules</w:t>
      </w:r>
      <w:r>
        <w:t>;</w:t>
      </w:r>
      <w:r w:rsidRPr="001A4150">
        <w:t xml:space="preserve"> </w:t>
      </w:r>
    </w:p>
    <w:p w:rsidR="00CA794F" w:rsidRDefault="009F4861" w:rsidP="002900E8">
      <w:pPr>
        <w:pStyle w:val="ListParagraph"/>
        <w:numPr>
          <w:ilvl w:val="0"/>
          <w:numId w:val="25"/>
        </w:numPr>
        <w:spacing w:after="120"/>
        <w:ind w:left="811" w:hanging="454"/>
        <w:contextualSpacing w:val="0"/>
      </w:pPr>
      <w:r>
        <w:t>i</w:t>
      </w:r>
      <w:r w:rsidRPr="001A4150">
        <w:t>dentify</w:t>
      </w:r>
      <w:r>
        <w:t xml:space="preserve"> if</w:t>
      </w:r>
      <w:r w:rsidRPr="001A4150">
        <w:t xml:space="preserve"> changes </w:t>
      </w:r>
      <w:r>
        <w:t xml:space="preserve">need to be made </w:t>
      </w:r>
      <w:r w:rsidRPr="001A4150">
        <w:t xml:space="preserve">to existing </w:t>
      </w:r>
      <w:r w:rsidR="004B59B8">
        <w:t>operating rules</w:t>
      </w:r>
      <w:r>
        <w:t>;</w:t>
      </w:r>
    </w:p>
    <w:p w:rsidR="00CA794F" w:rsidRDefault="009F4861" w:rsidP="002900E8">
      <w:pPr>
        <w:pStyle w:val="ListParagraph"/>
        <w:numPr>
          <w:ilvl w:val="0"/>
          <w:numId w:val="25"/>
        </w:numPr>
        <w:spacing w:after="120"/>
        <w:ind w:left="811" w:hanging="454"/>
        <w:contextualSpacing w:val="0"/>
      </w:pPr>
      <w:r>
        <w:t>i</w:t>
      </w:r>
      <w:r w:rsidRPr="001A4150">
        <w:t>dentify</w:t>
      </w:r>
      <w:r>
        <w:t xml:space="preserve"> i</w:t>
      </w:r>
      <w:r w:rsidRPr="001A4150">
        <w:t>f there is a need to m</w:t>
      </w:r>
      <w:r>
        <w:t xml:space="preserve">ake legislated </w:t>
      </w:r>
      <w:r w:rsidR="004B59B8">
        <w:t>operating rules</w:t>
      </w:r>
      <w:r>
        <w:t>; and</w:t>
      </w:r>
    </w:p>
    <w:p w:rsidR="00CA794F" w:rsidRDefault="009F4861" w:rsidP="002900E8">
      <w:pPr>
        <w:pStyle w:val="ListParagraph"/>
        <w:numPr>
          <w:ilvl w:val="0"/>
          <w:numId w:val="25"/>
        </w:numPr>
        <w:spacing w:after="120"/>
        <w:ind w:left="811" w:hanging="454"/>
        <w:contextualSpacing w:val="0"/>
      </w:pPr>
      <w:r>
        <w:t xml:space="preserve">assess compliance of the CEWH and CEWO staff </w:t>
      </w:r>
      <w:r w:rsidR="001A515A">
        <w:t>with the operating rules</w:t>
      </w:r>
      <w:r>
        <w:t xml:space="preserve">. </w:t>
      </w:r>
    </w:p>
    <w:p w:rsidR="00CA794F" w:rsidRDefault="009F4861" w:rsidP="002900E8">
      <w:pPr>
        <w:spacing w:after="120"/>
        <w:ind w:left="357" w:firstLine="0"/>
      </w:pPr>
      <w:r>
        <w:t xml:space="preserve">Additionally the review will include assessing </w:t>
      </w:r>
      <w:r w:rsidRPr="001A4150">
        <w:t xml:space="preserve">the effectiveness of arrangements put in place to promote compliance with relevant legislation relating to conflicts of interest, inside information and access to information that is not </w:t>
      </w:r>
      <w:r>
        <w:t>made generally</w:t>
      </w:r>
      <w:r w:rsidRPr="001A4150">
        <w:t xml:space="preserve"> available.  The findings of the review w</w:t>
      </w:r>
      <w:r>
        <w:t>ill be made publicly available.</w:t>
      </w:r>
    </w:p>
    <w:p w:rsidR="00CA794F" w:rsidRDefault="009F4861" w:rsidP="002900E8">
      <w:pPr>
        <w:spacing w:after="120"/>
        <w:ind w:left="357" w:firstLine="0"/>
      </w:pPr>
      <w:r>
        <w:t>At this time the Minister will be provided with advice on whether there is a need for legislated operating rules provided for under section 109 of the Water Act.</w:t>
      </w:r>
    </w:p>
    <w:p w:rsidR="004B59B8" w:rsidRPr="001827B1" w:rsidRDefault="004B59B8" w:rsidP="008749E1">
      <w:pPr>
        <w:pStyle w:val="Heading1"/>
        <w:numPr>
          <w:ilvl w:val="2"/>
          <w:numId w:val="13"/>
        </w:numPr>
        <w:spacing w:after="240"/>
        <w:ind w:left="1225" w:hanging="505"/>
      </w:pPr>
      <w:bookmarkStart w:id="179" w:name="_Toc464762960"/>
      <w:r w:rsidRPr="001827B1">
        <w:t>Independent assessment of the impacts of trading activity</w:t>
      </w:r>
      <w:bookmarkEnd w:id="179"/>
    </w:p>
    <w:p w:rsidR="00E25DC6" w:rsidRDefault="00583039" w:rsidP="002900E8">
      <w:pPr>
        <w:spacing w:after="120"/>
        <w:ind w:left="357" w:firstLine="0"/>
        <w:rPr>
          <w:rFonts w:cs="Calibri"/>
        </w:rPr>
      </w:pPr>
      <w:r>
        <w:t xml:space="preserve">In </w:t>
      </w:r>
      <w:r w:rsidR="00205F2D">
        <w:t>2019</w:t>
      </w:r>
      <w:r w:rsidR="002705AD">
        <w:t xml:space="preserve">, the </w:t>
      </w:r>
      <w:r w:rsidR="004B59B8">
        <w:t>CEWH</w:t>
      </w:r>
      <w:r w:rsidR="002705AD">
        <w:t xml:space="preserve"> wil</w:t>
      </w:r>
      <w:r w:rsidR="001827B1">
        <w:t>l</w:t>
      </w:r>
      <w:r w:rsidR="002705AD">
        <w:t xml:space="preserve"> commission an independent </w:t>
      </w:r>
      <w:r w:rsidR="007835FC">
        <w:t xml:space="preserve">expert to conduct an assessment of the impacts of its trading on the water market, including consideration of third-party and socio-economic impacts. </w:t>
      </w:r>
      <w:r w:rsidR="007835FC" w:rsidRPr="001A4150">
        <w:t xml:space="preserve">The findings of the </w:t>
      </w:r>
      <w:r w:rsidR="007835FC">
        <w:t>assessment</w:t>
      </w:r>
      <w:r w:rsidR="007835FC" w:rsidRPr="001A4150">
        <w:t xml:space="preserve"> w</w:t>
      </w:r>
      <w:r w:rsidR="007835FC">
        <w:t>ill be made publicly available.</w:t>
      </w:r>
    </w:p>
    <w:p w:rsidR="00E25DC6" w:rsidRPr="004F6692" w:rsidRDefault="00E25DC6" w:rsidP="004F6692">
      <w:pPr>
        <w:pStyle w:val="Heading2"/>
        <w:keepNext/>
        <w:pBdr>
          <w:bottom w:val="none" w:sz="0" w:space="0" w:color="auto"/>
        </w:pBdr>
        <w:rPr>
          <w:rStyle w:val="IntenseEmphasis"/>
          <w:color w:val="365F91" w:themeColor="accent1" w:themeShade="BF"/>
        </w:rPr>
      </w:pPr>
      <w:bookmarkStart w:id="180" w:name="_Toc340583985"/>
      <w:bookmarkStart w:id="181" w:name="_Toc464762961"/>
      <w:r w:rsidRPr="004F6692">
        <w:rPr>
          <w:rStyle w:val="IntenseEmphasis"/>
          <w:color w:val="365F91" w:themeColor="accent1" w:themeShade="BF"/>
        </w:rPr>
        <w:t>Revision history</w:t>
      </w:r>
      <w:bookmarkEnd w:id="180"/>
      <w:bookmarkEnd w:id="181"/>
    </w:p>
    <w:p w:rsidR="00CA794F" w:rsidRDefault="00CA794F">
      <w:pPr>
        <w:rPr>
          <w:rFonts w:cs="Calibri"/>
        </w:rPr>
      </w:pPr>
    </w:p>
    <w:tbl>
      <w:tblPr>
        <w:tblStyle w:val="TableGrid"/>
        <w:tblW w:w="9747" w:type="dxa"/>
        <w:shd w:val="pct25" w:color="auto" w:fill="auto"/>
        <w:tblLook w:val="04A0" w:firstRow="1" w:lastRow="0" w:firstColumn="1" w:lastColumn="0" w:noHBand="0" w:noVBand="1"/>
      </w:tblPr>
      <w:tblGrid>
        <w:gridCol w:w="1809"/>
        <w:gridCol w:w="851"/>
        <w:gridCol w:w="1843"/>
        <w:gridCol w:w="2409"/>
        <w:gridCol w:w="2835"/>
      </w:tblGrid>
      <w:tr w:rsidR="00B8542F" w:rsidTr="00B8542F">
        <w:trPr>
          <w:cnfStyle w:val="100000000000" w:firstRow="1" w:lastRow="0" w:firstColumn="0" w:lastColumn="0" w:oddVBand="0" w:evenVBand="0" w:oddHBand="0" w:evenHBand="0" w:firstRowFirstColumn="0" w:firstRowLastColumn="0" w:lastRowFirstColumn="0" w:lastRowLastColumn="0"/>
        </w:trPr>
        <w:tc>
          <w:tcPr>
            <w:tcW w:w="9747" w:type="dxa"/>
            <w:gridSpan w:val="5"/>
            <w:tcBorders>
              <w:bottom w:val="single" w:sz="4" w:space="0" w:color="auto"/>
            </w:tcBorders>
            <w:shd w:val="pct25" w:color="auto" w:fill="auto"/>
          </w:tcPr>
          <w:p w:rsidR="00B8542F" w:rsidRPr="00256C9B" w:rsidRDefault="00B8542F" w:rsidP="00B8542F">
            <w:pPr>
              <w:spacing w:before="60" w:after="60" w:line="276" w:lineRule="auto"/>
              <w:ind w:firstLine="0"/>
              <w:jc w:val="center"/>
              <w:rPr>
                <w:b/>
              </w:rPr>
            </w:pPr>
            <w:r w:rsidRPr="00256C9B">
              <w:rPr>
                <w:b/>
              </w:rPr>
              <w:t>VERSION CONTROL AND REVISION HISTORY</w:t>
            </w:r>
          </w:p>
        </w:tc>
      </w:tr>
      <w:tr w:rsidR="00256C9B" w:rsidRPr="00B8542F" w:rsidTr="00B8542F">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tcW w:w="1809" w:type="dxa"/>
            <w:shd w:val="pct15" w:color="auto" w:fill="auto"/>
          </w:tcPr>
          <w:p w:rsidR="00256C9B" w:rsidRPr="00B8542F" w:rsidRDefault="00256C9B" w:rsidP="00256C9B">
            <w:pPr>
              <w:spacing w:before="60" w:after="60" w:line="276" w:lineRule="auto"/>
              <w:ind w:firstLine="0"/>
              <w:rPr>
                <w:rFonts w:asciiTheme="minorHAnsi" w:hAnsiTheme="minorHAnsi" w:cs="Calibri"/>
                <w:b/>
              </w:rPr>
            </w:pPr>
            <w:r w:rsidRPr="00B8542F">
              <w:rPr>
                <w:rFonts w:asciiTheme="minorHAnsi" w:hAnsiTheme="minorHAnsi" w:cs="Calibri"/>
                <w:b/>
              </w:rPr>
              <w:t>Date</w:t>
            </w:r>
          </w:p>
        </w:tc>
        <w:tc>
          <w:tcPr>
            <w:tcW w:w="851" w:type="dxa"/>
            <w:shd w:val="pct15" w:color="auto" w:fill="auto"/>
          </w:tcPr>
          <w:p w:rsidR="00256C9B" w:rsidRPr="00B8542F" w:rsidRDefault="00256C9B" w:rsidP="00256C9B">
            <w:pPr>
              <w:spacing w:before="60" w:after="60" w:line="276" w:lineRule="auto"/>
              <w:ind w:firstLine="0"/>
              <w:rPr>
                <w:rFonts w:asciiTheme="minorHAnsi" w:hAnsiTheme="minorHAnsi" w:cs="Calibri"/>
                <w:b/>
              </w:rPr>
            </w:pPr>
            <w:r w:rsidRPr="00B8542F">
              <w:rPr>
                <w:rFonts w:asciiTheme="minorHAnsi" w:hAnsiTheme="minorHAnsi" w:cs="Calibri"/>
                <w:b/>
              </w:rPr>
              <w:t>Version</w:t>
            </w:r>
          </w:p>
        </w:tc>
        <w:tc>
          <w:tcPr>
            <w:tcW w:w="1843" w:type="dxa"/>
            <w:shd w:val="pct15" w:color="auto" w:fill="auto"/>
          </w:tcPr>
          <w:p w:rsidR="00256C9B" w:rsidRPr="00B8542F" w:rsidRDefault="00B8542F" w:rsidP="00256C9B">
            <w:pPr>
              <w:spacing w:before="60" w:after="60" w:line="276" w:lineRule="auto"/>
              <w:ind w:firstLine="0"/>
              <w:rPr>
                <w:rFonts w:asciiTheme="minorHAnsi" w:hAnsiTheme="minorHAnsi" w:cs="Calibri"/>
                <w:b/>
              </w:rPr>
            </w:pPr>
            <w:r w:rsidRPr="00B8542F">
              <w:rPr>
                <w:rFonts w:asciiTheme="minorHAnsi" w:hAnsiTheme="minorHAnsi" w:cs="Calibri"/>
                <w:b/>
              </w:rPr>
              <w:t>Description</w:t>
            </w:r>
          </w:p>
        </w:tc>
        <w:tc>
          <w:tcPr>
            <w:tcW w:w="2409" w:type="dxa"/>
            <w:shd w:val="pct15" w:color="auto" w:fill="auto"/>
          </w:tcPr>
          <w:p w:rsidR="00256C9B" w:rsidRPr="00B8542F" w:rsidRDefault="00B8542F" w:rsidP="00256C9B">
            <w:pPr>
              <w:spacing w:before="60" w:after="60" w:line="276" w:lineRule="auto"/>
              <w:ind w:firstLine="0"/>
              <w:rPr>
                <w:rFonts w:asciiTheme="minorHAnsi" w:hAnsiTheme="minorHAnsi" w:cs="Calibri"/>
                <w:b/>
              </w:rPr>
            </w:pPr>
            <w:r w:rsidRPr="00B8542F">
              <w:rPr>
                <w:rFonts w:asciiTheme="minorHAnsi" w:hAnsiTheme="minorHAnsi" w:cs="Calibri"/>
                <w:b/>
              </w:rPr>
              <w:t>Author</w:t>
            </w:r>
          </w:p>
        </w:tc>
        <w:tc>
          <w:tcPr>
            <w:tcW w:w="2835" w:type="dxa"/>
            <w:shd w:val="pct15" w:color="auto" w:fill="auto"/>
          </w:tcPr>
          <w:p w:rsidR="00256C9B" w:rsidRPr="00B8542F" w:rsidRDefault="00B8542F" w:rsidP="00256C9B">
            <w:pPr>
              <w:spacing w:before="60" w:after="60" w:line="276" w:lineRule="auto"/>
              <w:ind w:firstLine="0"/>
              <w:rPr>
                <w:rFonts w:asciiTheme="minorHAnsi" w:hAnsiTheme="minorHAnsi" w:cs="Calibri"/>
                <w:b/>
              </w:rPr>
            </w:pPr>
            <w:r w:rsidRPr="00B8542F">
              <w:rPr>
                <w:rFonts w:asciiTheme="minorHAnsi" w:hAnsiTheme="minorHAnsi" w:cs="Calibri"/>
                <w:b/>
              </w:rPr>
              <w:t>Approved</w:t>
            </w:r>
          </w:p>
        </w:tc>
      </w:tr>
      <w:tr w:rsidR="00256C9B" w:rsidRPr="00256C9B" w:rsidTr="00B8542F">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tcW w:w="1809" w:type="dxa"/>
          </w:tcPr>
          <w:p w:rsidR="00256C9B" w:rsidRPr="00B8542F" w:rsidRDefault="00B8542F" w:rsidP="00256C9B">
            <w:pPr>
              <w:spacing w:before="60" w:after="60" w:line="276" w:lineRule="auto"/>
              <w:ind w:firstLine="0"/>
              <w:rPr>
                <w:rFonts w:asciiTheme="minorHAnsi" w:hAnsiTheme="minorHAnsi" w:cs="Calibri"/>
                <w:i/>
              </w:rPr>
            </w:pPr>
            <w:r w:rsidRPr="00B8542F">
              <w:rPr>
                <w:rFonts w:asciiTheme="minorHAnsi" w:hAnsiTheme="minorHAnsi" w:cs="Calibri"/>
                <w:i/>
              </w:rPr>
              <w:t>January 2014</w:t>
            </w:r>
          </w:p>
        </w:tc>
        <w:tc>
          <w:tcPr>
            <w:tcW w:w="851" w:type="dxa"/>
          </w:tcPr>
          <w:p w:rsidR="00256C9B"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1.0</w:t>
            </w:r>
          </w:p>
        </w:tc>
        <w:tc>
          <w:tcPr>
            <w:tcW w:w="1843" w:type="dxa"/>
          </w:tcPr>
          <w:p w:rsidR="00256C9B"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Document creation</w:t>
            </w:r>
          </w:p>
        </w:tc>
        <w:tc>
          <w:tcPr>
            <w:tcW w:w="2409" w:type="dxa"/>
          </w:tcPr>
          <w:p w:rsidR="00256C9B" w:rsidRDefault="00B8542F" w:rsidP="00256C9B">
            <w:pPr>
              <w:spacing w:before="60" w:after="60" w:line="276" w:lineRule="auto"/>
              <w:ind w:firstLine="0"/>
              <w:rPr>
                <w:rFonts w:asciiTheme="minorHAnsi" w:hAnsiTheme="minorHAnsi" w:cs="Calibri"/>
              </w:rPr>
            </w:pPr>
            <w:r>
              <w:rPr>
                <w:rFonts w:asciiTheme="minorHAnsi" w:hAnsiTheme="minorHAnsi" w:cs="Calibri"/>
              </w:rPr>
              <w:t>Michelle Bancroft</w:t>
            </w:r>
          </w:p>
          <w:p w:rsidR="00B8542F" w:rsidRPr="00256C9B" w:rsidRDefault="00B8542F" w:rsidP="00B8542F">
            <w:pPr>
              <w:spacing w:before="60" w:after="60" w:line="276" w:lineRule="auto"/>
              <w:ind w:firstLine="0"/>
              <w:rPr>
                <w:rFonts w:asciiTheme="minorHAnsi" w:hAnsiTheme="minorHAnsi" w:cs="Calibri"/>
              </w:rPr>
            </w:pPr>
            <w:r>
              <w:rPr>
                <w:rFonts w:asciiTheme="minorHAnsi" w:hAnsiTheme="minorHAnsi" w:cs="Calibri"/>
              </w:rPr>
              <w:t>Assistant Director, Portfolio Management Se</w:t>
            </w:r>
            <w:r w:rsidR="00AD79E4">
              <w:rPr>
                <w:rFonts w:asciiTheme="minorHAnsi" w:hAnsiTheme="minorHAnsi" w:cs="Calibri"/>
              </w:rPr>
              <w:t>c</w:t>
            </w:r>
            <w:r>
              <w:rPr>
                <w:rFonts w:asciiTheme="minorHAnsi" w:hAnsiTheme="minorHAnsi" w:cs="Calibri"/>
              </w:rPr>
              <w:t>tion</w:t>
            </w:r>
          </w:p>
        </w:tc>
        <w:tc>
          <w:tcPr>
            <w:tcW w:w="2835" w:type="dxa"/>
          </w:tcPr>
          <w:p w:rsidR="00256C9B" w:rsidRDefault="00B8542F" w:rsidP="00256C9B">
            <w:pPr>
              <w:spacing w:before="60" w:after="60" w:line="276" w:lineRule="auto"/>
              <w:ind w:firstLine="0"/>
              <w:rPr>
                <w:rFonts w:asciiTheme="minorHAnsi" w:hAnsiTheme="minorHAnsi" w:cs="Calibri"/>
              </w:rPr>
            </w:pPr>
            <w:r>
              <w:rPr>
                <w:rFonts w:asciiTheme="minorHAnsi" w:hAnsiTheme="minorHAnsi" w:cs="Calibri"/>
              </w:rPr>
              <w:t>David Papps</w:t>
            </w:r>
          </w:p>
          <w:p w:rsidR="00B8542F"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Commonwealth Environmental Water Holder</w:t>
            </w:r>
          </w:p>
        </w:tc>
      </w:tr>
      <w:tr w:rsidR="00256C9B" w:rsidRPr="00256C9B" w:rsidTr="00B8542F">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tcW w:w="1809" w:type="dxa"/>
          </w:tcPr>
          <w:p w:rsidR="00256C9B" w:rsidRPr="00B8542F" w:rsidRDefault="00C4230B" w:rsidP="00256C9B">
            <w:pPr>
              <w:spacing w:before="60" w:after="60" w:line="276" w:lineRule="auto"/>
              <w:ind w:firstLine="0"/>
              <w:rPr>
                <w:rFonts w:asciiTheme="minorHAnsi" w:hAnsiTheme="minorHAnsi" w:cs="Calibri"/>
                <w:i/>
              </w:rPr>
            </w:pPr>
            <w:r>
              <w:rPr>
                <w:rFonts w:asciiTheme="minorHAnsi" w:hAnsiTheme="minorHAnsi" w:cs="Calibri"/>
                <w:i/>
              </w:rPr>
              <w:t>December</w:t>
            </w:r>
            <w:r w:rsidR="00B8542F" w:rsidRPr="00B8542F">
              <w:rPr>
                <w:rFonts w:asciiTheme="minorHAnsi" w:hAnsiTheme="minorHAnsi" w:cs="Calibri"/>
                <w:i/>
              </w:rPr>
              <w:t xml:space="preserve"> 2014</w:t>
            </w:r>
          </w:p>
        </w:tc>
        <w:tc>
          <w:tcPr>
            <w:tcW w:w="851" w:type="dxa"/>
          </w:tcPr>
          <w:p w:rsidR="00256C9B"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1.1</w:t>
            </w:r>
          </w:p>
        </w:tc>
        <w:tc>
          <w:tcPr>
            <w:tcW w:w="1843" w:type="dxa"/>
          </w:tcPr>
          <w:p w:rsidR="00256C9B"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Document revision</w:t>
            </w:r>
          </w:p>
        </w:tc>
        <w:tc>
          <w:tcPr>
            <w:tcW w:w="2409" w:type="dxa"/>
          </w:tcPr>
          <w:p w:rsidR="00256C9B" w:rsidRDefault="00B8542F" w:rsidP="00256C9B">
            <w:pPr>
              <w:spacing w:before="60" w:after="60" w:line="276" w:lineRule="auto"/>
              <w:ind w:firstLine="0"/>
              <w:rPr>
                <w:rFonts w:asciiTheme="minorHAnsi" w:hAnsiTheme="minorHAnsi" w:cs="Calibri"/>
              </w:rPr>
            </w:pPr>
            <w:r>
              <w:rPr>
                <w:rFonts w:asciiTheme="minorHAnsi" w:hAnsiTheme="minorHAnsi" w:cs="Calibri"/>
              </w:rPr>
              <w:t>Jessica Hartmann</w:t>
            </w:r>
          </w:p>
          <w:p w:rsidR="00AD79E4" w:rsidRPr="00256C9B" w:rsidRDefault="00AD79E4" w:rsidP="00256C9B">
            <w:pPr>
              <w:spacing w:before="60" w:after="60" w:line="276" w:lineRule="auto"/>
              <w:ind w:firstLine="0"/>
              <w:rPr>
                <w:rFonts w:asciiTheme="minorHAnsi" w:hAnsiTheme="minorHAnsi" w:cs="Calibri"/>
              </w:rPr>
            </w:pPr>
            <w:r>
              <w:rPr>
                <w:rFonts w:asciiTheme="minorHAnsi" w:hAnsiTheme="minorHAnsi" w:cs="Calibri"/>
              </w:rPr>
              <w:t>Director, Portfolio Management Section</w:t>
            </w:r>
          </w:p>
        </w:tc>
        <w:tc>
          <w:tcPr>
            <w:tcW w:w="2835" w:type="dxa"/>
          </w:tcPr>
          <w:p w:rsidR="00256C9B" w:rsidRDefault="00B8542F" w:rsidP="00256C9B">
            <w:pPr>
              <w:spacing w:before="60" w:after="60" w:line="276" w:lineRule="auto"/>
              <w:ind w:firstLine="0"/>
              <w:rPr>
                <w:rFonts w:asciiTheme="minorHAnsi" w:hAnsiTheme="minorHAnsi" w:cs="Calibri"/>
              </w:rPr>
            </w:pPr>
            <w:r>
              <w:rPr>
                <w:rFonts w:asciiTheme="minorHAnsi" w:hAnsiTheme="minorHAnsi" w:cs="Calibri"/>
              </w:rPr>
              <w:t>Steve Costello</w:t>
            </w:r>
          </w:p>
          <w:p w:rsidR="00B8542F" w:rsidRPr="00256C9B" w:rsidRDefault="00B8542F" w:rsidP="00AD79E4">
            <w:pPr>
              <w:spacing w:before="60" w:after="60" w:line="276" w:lineRule="auto"/>
              <w:ind w:firstLine="0"/>
              <w:rPr>
                <w:rFonts w:asciiTheme="minorHAnsi" w:hAnsiTheme="minorHAnsi" w:cs="Calibri"/>
              </w:rPr>
            </w:pPr>
            <w:r>
              <w:rPr>
                <w:rFonts w:asciiTheme="minorHAnsi" w:hAnsiTheme="minorHAnsi" w:cs="Calibri"/>
              </w:rPr>
              <w:t>Assistant Secretary</w:t>
            </w:r>
            <w:r w:rsidR="00AD79E4">
              <w:rPr>
                <w:rFonts w:asciiTheme="minorHAnsi" w:hAnsiTheme="minorHAnsi" w:cs="Calibri"/>
              </w:rPr>
              <w:t>, Policy, Community Engagement &amp; Portfolio Management Branch</w:t>
            </w:r>
          </w:p>
        </w:tc>
      </w:tr>
      <w:tr w:rsidR="00282EAA" w:rsidRPr="00256C9B" w:rsidTr="00B8542F">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tcW w:w="1809" w:type="dxa"/>
          </w:tcPr>
          <w:p w:rsidR="003B4987" w:rsidRDefault="000F5654">
            <w:pPr>
              <w:spacing w:before="60" w:after="60" w:line="276" w:lineRule="auto"/>
              <w:ind w:firstLine="0"/>
              <w:rPr>
                <w:rFonts w:asciiTheme="minorHAnsi" w:hAnsiTheme="minorHAnsi" w:cs="Calibri"/>
                <w:i/>
                <w:sz w:val="22"/>
              </w:rPr>
            </w:pPr>
            <w:r>
              <w:rPr>
                <w:rFonts w:asciiTheme="minorHAnsi" w:hAnsiTheme="minorHAnsi" w:cs="Calibri"/>
                <w:i/>
              </w:rPr>
              <w:t xml:space="preserve">November </w:t>
            </w:r>
            <w:r w:rsidR="00282EAA">
              <w:rPr>
                <w:rFonts w:asciiTheme="minorHAnsi" w:hAnsiTheme="minorHAnsi" w:cs="Calibri"/>
                <w:i/>
              </w:rPr>
              <w:t>2016</w:t>
            </w:r>
          </w:p>
        </w:tc>
        <w:tc>
          <w:tcPr>
            <w:tcW w:w="851" w:type="dxa"/>
          </w:tcPr>
          <w:p w:rsidR="00282EAA" w:rsidRDefault="00282EAA" w:rsidP="00256C9B">
            <w:pPr>
              <w:spacing w:before="60" w:after="60" w:line="276" w:lineRule="auto"/>
              <w:ind w:firstLine="0"/>
              <w:rPr>
                <w:rFonts w:asciiTheme="minorHAnsi" w:hAnsiTheme="minorHAnsi" w:cs="Calibri"/>
              </w:rPr>
            </w:pPr>
            <w:r>
              <w:rPr>
                <w:rFonts w:asciiTheme="minorHAnsi" w:hAnsiTheme="minorHAnsi" w:cs="Calibri"/>
              </w:rPr>
              <w:t>1.2</w:t>
            </w:r>
          </w:p>
        </w:tc>
        <w:tc>
          <w:tcPr>
            <w:tcW w:w="1843" w:type="dxa"/>
          </w:tcPr>
          <w:p w:rsidR="00282EAA" w:rsidRDefault="00282EAA" w:rsidP="00256C9B">
            <w:pPr>
              <w:spacing w:before="60" w:after="60" w:line="276" w:lineRule="auto"/>
              <w:ind w:firstLine="0"/>
              <w:rPr>
                <w:rFonts w:asciiTheme="minorHAnsi" w:hAnsiTheme="minorHAnsi" w:cs="Calibri"/>
              </w:rPr>
            </w:pPr>
            <w:r>
              <w:rPr>
                <w:rFonts w:asciiTheme="minorHAnsi" w:hAnsiTheme="minorHAnsi" w:cs="Calibri"/>
              </w:rPr>
              <w:t>Document revision</w:t>
            </w:r>
          </w:p>
        </w:tc>
        <w:tc>
          <w:tcPr>
            <w:tcW w:w="2409" w:type="dxa"/>
          </w:tcPr>
          <w:p w:rsidR="00282EAA" w:rsidRDefault="00282EAA" w:rsidP="00282EAA">
            <w:pPr>
              <w:spacing w:before="60" w:after="60" w:line="276" w:lineRule="auto"/>
              <w:ind w:firstLine="0"/>
              <w:rPr>
                <w:rFonts w:asciiTheme="minorHAnsi" w:hAnsiTheme="minorHAnsi" w:cs="Calibri"/>
              </w:rPr>
            </w:pPr>
            <w:r>
              <w:rPr>
                <w:rFonts w:asciiTheme="minorHAnsi" w:hAnsiTheme="minorHAnsi" w:cs="Calibri"/>
              </w:rPr>
              <w:t>Clare d’Arcy</w:t>
            </w:r>
          </w:p>
          <w:p w:rsidR="00282EAA" w:rsidRDefault="00282EAA" w:rsidP="00256C9B">
            <w:pPr>
              <w:spacing w:before="60" w:after="60" w:line="276" w:lineRule="auto"/>
              <w:ind w:firstLine="0"/>
              <w:rPr>
                <w:rFonts w:asciiTheme="minorHAnsi" w:hAnsiTheme="minorHAnsi" w:cs="Calibri"/>
              </w:rPr>
            </w:pPr>
            <w:r>
              <w:rPr>
                <w:rFonts w:asciiTheme="minorHAnsi" w:hAnsiTheme="minorHAnsi" w:cs="Calibri"/>
              </w:rPr>
              <w:t>A/g Director, Portfolio Management Section</w:t>
            </w:r>
          </w:p>
        </w:tc>
        <w:tc>
          <w:tcPr>
            <w:tcW w:w="2835" w:type="dxa"/>
          </w:tcPr>
          <w:p w:rsidR="00282EAA" w:rsidRDefault="00867FCC" w:rsidP="00256C9B">
            <w:pPr>
              <w:spacing w:before="60" w:after="60" w:line="276" w:lineRule="auto"/>
              <w:ind w:firstLine="0"/>
              <w:rPr>
                <w:rFonts w:asciiTheme="minorHAnsi" w:hAnsiTheme="minorHAnsi" w:cs="Calibri"/>
              </w:rPr>
            </w:pPr>
            <w:r>
              <w:rPr>
                <w:rFonts w:asciiTheme="minorHAnsi" w:hAnsiTheme="minorHAnsi" w:cs="Calibri"/>
              </w:rPr>
              <w:t>David Papps</w:t>
            </w:r>
          </w:p>
          <w:p w:rsidR="0010734E" w:rsidRDefault="00867FCC">
            <w:pPr>
              <w:spacing w:before="60" w:after="60" w:line="276" w:lineRule="auto"/>
              <w:ind w:firstLine="0"/>
              <w:rPr>
                <w:rFonts w:asciiTheme="minorHAnsi" w:hAnsiTheme="minorHAnsi" w:cs="Calibri"/>
                <w:sz w:val="22"/>
              </w:rPr>
            </w:pPr>
            <w:r>
              <w:rPr>
                <w:rFonts w:asciiTheme="minorHAnsi" w:hAnsiTheme="minorHAnsi" w:cs="Calibri"/>
              </w:rPr>
              <w:t>Commonwealth Environmental Water Holder</w:t>
            </w:r>
          </w:p>
        </w:tc>
      </w:tr>
    </w:tbl>
    <w:p w:rsidR="004D4ADF" w:rsidRPr="004D4ADF" w:rsidRDefault="004D4ADF">
      <w:pPr>
        <w:rPr>
          <w:rFonts w:cs="Calibri"/>
          <w:vanish/>
          <w:specVanish/>
        </w:rPr>
      </w:pPr>
    </w:p>
    <w:p w:rsidR="00256C9B" w:rsidRDefault="004D4ADF" w:rsidP="004D4ADF">
      <w:pPr>
        <w:rPr>
          <w:rFonts w:cs="Calibri"/>
        </w:rPr>
      </w:pPr>
      <w:r>
        <w:rPr>
          <w:rFonts w:cs="Calibri"/>
        </w:rPr>
        <w:t xml:space="preserve"> </w:t>
      </w:r>
    </w:p>
    <w:p w:rsidR="000E21C3" w:rsidRPr="004C4E18" w:rsidRDefault="004D4ADF" w:rsidP="000E21C3">
      <w:pPr>
        <w:pStyle w:val="subsection"/>
        <w:ind w:left="709" w:hanging="709"/>
        <w:jc w:val="right"/>
        <w:rPr>
          <w:rFonts w:asciiTheme="minorHAnsi" w:hAnsiTheme="minorHAnsi" w:cstheme="minorHAnsi"/>
          <w:b/>
        </w:rPr>
      </w:pPr>
      <w:r>
        <w:rPr>
          <w:rFonts w:cs="Calibri"/>
        </w:rPr>
        <w:br w:type="column"/>
      </w:r>
      <w:r w:rsidR="000E21C3" w:rsidRPr="004C4E18">
        <w:rPr>
          <w:rFonts w:asciiTheme="minorHAnsi" w:hAnsiTheme="minorHAnsi" w:cstheme="minorHAnsi"/>
          <w:b/>
        </w:rPr>
        <w:t>Attachment A</w:t>
      </w:r>
    </w:p>
    <w:p w:rsidR="006152E1" w:rsidRPr="004C4E18" w:rsidRDefault="006921AC" w:rsidP="004C4E18">
      <w:pPr>
        <w:pStyle w:val="subsection"/>
        <w:rPr>
          <w:rFonts w:asciiTheme="minorHAnsi" w:hAnsiTheme="minorHAnsi" w:cstheme="minorHAnsi"/>
        </w:rPr>
      </w:pPr>
      <w:r w:rsidRPr="004C4E18">
        <w:rPr>
          <w:rFonts w:asciiTheme="minorHAnsi" w:hAnsiTheme="minorHAnsi" w:cstheme="minorHAnsi"/>
        </w:rPr>
        <w:t xml:space="preserve">Section 106 </w:t>
      </w:r>
      <w:r w:rsidR="005C3C3A" w:rsidRPr="004C4E18">
        <w:rPr>
          <w:rFonts w:asciiTheme="minorHAnsi" w:hAnsiTheme="minorHAnsi" w:cstheme="minorHAnsi"/>
        </w:rPr>
        <w:t>of the Water Act 2007,</w:t>
      </w:r>
      <w:r w:rsidR="004C4E18">
        <w:rPr>
          <w:rFonts w:asciiTheme="minorHAnsi" w:hAnsiTheme="minorHAnsi" w:cstheme="minorHAnsi"/>
        </w:rPr>
        <w:t xml:space="preserve"> </w:t>
      </w:r>
      <w:r w:rsidRPr="004C4E18">
        <w:rPr>
          <w:rFonts w:asciiTheme="minorHAnsi" w:hAnsiTheme="minorHAnsi" w:cstheme="minorHAnsi"/>
        </w:rPr>
        <w:t>‘Limitation on disposal of water and Commonwealth environmental water holdings’ states:</w:t>
      </w:r>
    </w:p>
    <w:p w:rsidR="004D4ADF" w:rsidRPr="004C4E18" w:rsidRDefault="000E21C3" w:rsidP="004D4ADF">
      <w:pPr>
        <w:pStyle w:val="subsection"/>
        <w:ind w:left="709" w:hanging="709"/>
        <w:rPr>
          <w:rFonts w:asciiTheme="minorHAnsi" w:hAnsiTheme="minorHAnsi" w:cstheme="minorHAnsi"/>
          <w:sz w:val="20"/>
        </w:rPr>
      </w:pPr>
      <w:r w:rsidRPr="004C4E18">
        <w:rPr>
          <w:rFonts w:asciiTheme="minorHAnsi" w:hAnsiTheme="minorHAnsi" w:cstheme="minorHAnsi"/>
          <w:sz w:val="20"/>
        </w:rPr>
        <w:t>(1)</w:t>
      </w:r>
      <w:r w:rsidRPr="004C4E18">
        <w:rPr>
          <w:rFonts w:asciiTheme="minorHAnsi" w:hAnsiTheme="minorHAnsi" w:cstheme="minorHAnsi"/>
          <w:sz w:val="20"/>
        </w:rPr>
        <w:tab/>
        <w:t>The Commonwealth Environmental Water Holder may only dispose of water or Commonwealth</w:t>
      </w:r>
      <w:r w:rsidR="004D4ADF" w:rsidRPr="004C4E18">
        <w:rPr>
          <w:rFonts w:asciiTheme="minorHAnsi" w:hAnsiTheme="minorHAnsi" w:cstheme="minorHAnsi"/>
          <w:sz w:val="20"/>
        </w:rPr>
        <w:t xml:space="preserve"> environmental water holdings in accordance with subsection (2) or (3).</w:t>
      </w:r>
    </w:p>
    <w:p w:rsidR="004D4ADF" w:rsidRPr="004C4E18" w:rsidRDefault="004D4ADF" w:rsidP="000710B4">
      <w:pPr>
        <w:pStyle w:val="subsectionhead"/>
        <w:shd w:val="clear" w:color="auto" w:fill="FFFFFF"/>
        <w:spacing w:before="240" w:beforeAutospacing="0" w:after="240" w:afterAutospacing="0"/>
        <w:rPr>
          <w:rFonts w:asciiTheme="minorHAnsi" w:hAnsiTheme="minorHAnsi" w:cstheme="minorHAnsi"/>
          <w:b/>
          <w:i/>
          <w:sz w:val="20"/>
        </w:rPr>
      </w:pPr>
      <w:r w:rsidRPr="004C4E18">
        <w:rPr>
          <w:rFonts w:asciiTheme="minorHAnsi" w:hAnsiTheme="minorHAnsi" w:cstheme="minorHAnsi"/>
          <w:b/>
          <w:i/>
          <w:sz w:val="20"/>
        </w:rPr>
        <w:t>Water or holdings that cannot be carried over, or that are likely to result in a reduced allocation</w:t>
      </w:r>
    </w:p>
    <w:p w:rsidR="004D4ADF" w:rsidRPr="004C4E18" w:rsidRDefault="004D4ADF" w:rsidP="004D4ADF">
      <w:pPr>
        <w:pStyle w:val="subsection"/>
        <w:ind w:left="709" w:hanging="709"/>
        <w:rPr>
          <w:rFonts w:asciiTheme="minorHAnsi" w:hAnsiTheme="minorHAnsi" w:cstheme="minorHAnsi"/>
          <w:sz w:val="20"/>
        </w:rPr>
      </w:pPr>
      <w:r w:rsidRPr="004C4E18">
        <w:rPr>
          <w:rFonts w:asciiTheme="minorHAnsi" w:hAnsiTheme="minorHAnsi" w:cstheme="minorHAnsi"/>
          <w:sz w:val="20"/>
        </w:rPr>
        <w:t>(2)</w:t>
      </w:r>
      <w:r w:rsidRPr="004C4E18">
        <w:rPr>
          <w:rFonts w:asciiTheme="minorHAnsi" w:hAnsiTheme="minorHAnsi" w:cstheme="minorHAnsi"/>
          <w:sz w:val="20"/>
        </w:rPr>
        <w:tab/>
        <w:t>The Commonwealth Environmental Water Holder may dispose of water or Commonwealth environmental water holdings during a water accounting period if he or she reasonably believes that:</w:t>
      </w:r>
    </w:p>
    <w:p w:rsidR="004D4ADF" w:rsidRPr="004C4E18" w:rsidRDefault="004D4ADF" w:rsidP="004D4ADF">
      <w:pPr>
        <w:pStyle w:val="paragraph"/>
        <w:ind w:left="1418" w:hanging="709"/>
        <w:rPr>
          <w:rFonts w:asciiTheme="minorHAnsi" w:hAnsiTheme="minorHAnsi" w:cstheme="minorHAnsi"/>
          <w:sz w:val="20"/>
        </w:rPr>
      </w:pPr>
      <w:r w:rsidRPr="004C4E18">
        <w:rPr>
          <w:rFonts w:asciiTheme="minorHAnsi" w:hAnsiTheme="minorHAnsi" w:cstheme="minorHAnsi"/>
          <w:sz w:val="20"/>
        </w:rPr>
        <w:t>(a)</w:t>
      </w:r>
      <w:r w:rsidRPr="004C4E18">
        <w:rPr>
          <w:rFonts w:asciiTheme="minorHAnsi" w:hAnsiTheme="minorHAnsi" w:cstheme="minorHAnsi"/>
          <w:sz w:val="20"/>
        </w:rPr>
        <w:tab/>
        <w:t>the water or the water holdings are not required in the water accounting period to meet the objectives of:</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w:t>
      </w:r>
      <w:r w:rsidRPr="004C4E18">
        <w:rPr>
          <w:rFonts w:asciiTheme="minorHAnsi" w:hAnsiTheme="minorHAnsi" w:cstheme="minorHAnsi"/>
          <w:sz w:val="18"/>
        </w:rPr>
        <w:tab/>
        <w:t>if the water is in, or the water holdings relate to water in, the Murray</w:t>
      </w:r>
      <w:r w:rsidRPr="004C4E18">
        <w:rPr>
          <w:rFonts w:asciiTheme="minorHAnsi" w:hAnsiTheme="minorHAnsi" w:cstheme="minorHAnsi"/>
          <w:sz w:val="18"/>
        </w:rPr>
        <w:noBreakHyphen/>
        <w:t>Darling Basin—the environmental watering plan; or</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(ii)</w:t>
      </w:r>
      <w:r w:rsidRPr="004C4E18">
        <w:rPr>
          <w:rFonts w:asciiTheme="minorHAnsi" w:hAnsiTheme="minorHAnsi" w:cstheme="minorHAnsi"/>
          <w:sz w:val="18"/>
        </w:rPr>
        <w:tab/>
        <w:t>if the water is in, or the water holdings relate to water in, an area outside the Murray</w:t>
      </w:r>
      <w:r w:rsidRPr="004C4E18">
        <w:rPr>
          <w:rFonts w:asciiTheme="minorHAnsi" w:hAnsiTheme="minorHAnsi" w:cstheme="minorHAnsi"/>
          <w:sz w:val="18"/>
        </w:rPr>
        <w:noBreakHyphen/>
        <w:t>Darling Basin—any plans specified in the regulations in relation to that area; or</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(iii)</w:t>
      </w:r>
      <w:r w:rsidRPr="004C4E18">
        <w:rPr>
          <w:rFonts w:asciiTheme="minorHAnsi" w:hAnsiTheme="minorHAnsi" w:cstheme="minorHAnsi"/>
          <w:sz w:val="18"/>
        </w:rPr>
        <w:tab/>
        <w:t>any applicable environmental watering schedules; and</w:t>
      </w:r>
    </w:p>
    <w:p w:rsidR="004D4ADF" w:rsidRPr="004C4E18" w:rsidRDefault="004D4ADF" w:rsidP="004D4ADF">
      <w:pPr>
        <w:pStyle w:val="paragraph"/>
        <w:ind w:left="1418" w:hanging="709"/>
        <w:rPr>
          <w:rFonts w:asciiTheme="minorHAnsi" w:hAnsiTheme="minorHAnsi" w:cstheme="minorHAnsi"/>
          <w:sz w:val="20"/>
        </w:rPr>
      </w:pPr>
      <w:r w:rsidRPr="004C4E18">
        <w:rPr>
          <w:rFonts w:asciiTheme="minorHAnsi" w:hAnsiTheme="minorHAnsi" w:cstheme="minorHAnsi"/>
          <w:sz w:val="20"/>
        </w:rPr>
        <w:t>(b)</w:t>
      </w:r>
      <w:r w:rsidRPr="004C4E18">
        <w:rPr>
          <w:rFonts w:asciiTheme="minorHAnsi" w:hAnsiTheme="minorHAnsi" w:cstheme="minorHAnsi"/>
          <w:sz w:val="20"/>
        </w:rPr>
        <w:tab/>
        <w:t>either:</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w:t>
      </w:r>
      <w:r w:rsidRPr="004C4E18">
        <w:rPr>
          <w:rFonts w:asciiTheme="minorHAnsi" w:hAnsiTheme="minorHAnsi" w:cstheme="minorHAnsi"/>
          <w:sz w:val="18"/>
        </w:rPr>
        <w:tab/>
        <w:t>the water or the water holdings cannot be carried over into the next water accounting period; or</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(ii)</w:t>
      </w:r>
      <w:r w:rsidRPr="004C4E18">
        <w:rPr>
          <w:rFonts w:asciiTheme="minorHAnsi" w:hAnsiTheme="minorHAnsi" w:cstheme="minorHAnsi"/>
          <w:sz w:val="18"/>
        </w:rPr>
        <w:tab/>
        <w:t>a water allocation in respect of particular Commonwealth environmental water holdings is likely to be reduced (including to nil) if the disposal does not occur.</w:t>
      </w:r>
    </w:p>
    <w:p w:rsidR="004D4ADF" w:rsidRPr="004C4E18" w:rsidRDefault="004D4ADF" w:rsidP="004D4ADF">
      <w:pPr>
        <w:pStyle w:val="subsectionhead"/>
        <w:shd w:val="clear" w:color="auto" w:fill="FFFFFF"/>
        <w:spacing w:before="0" w:beforeAutospacing="0" w:after="0" w:afterAutospacing="0"/>
        <w:rPr>
          <w:rFonts w:asciiTheme="minorHAnsi" w:hAnsiTheme="minorHAnsi" w:cstheme="minorHAnsi"/>
          <w:b/>
          <w:sz w:val="4"/>
          <w:szCs w:val="19"/>
        </w:rPr>
      </w:pPr>
    </w:p>
    <w:p w:rsidR="004D4ADF" w:rsidRPr="004C4E18" w:rsidRDefault="004D4ADF" w:rsidP="000710B4">
      <w:pPr>
        <w:pStyle w:val="subsectionhead"/>
        <w:shd w:val="clear" w:color="auto" w:fill="FFFFFF"/>
        <w:spacing w:before="240" w:beforeAutospacing="0" w:after="240" w:afterAutospacing="0"/>
        <w:rPr>
          <w:rFonts w:asciiTheme="minorHAnsi" w:hAnsiTheme="minorHAnsi" w:cstheme="minorHAnsi"/>
          <w:b/>
          <w:i/>
          <w:sz w:val="20"/>
        </w:rPr>
      </w:pPr>
      <w:r w:rsidRPr="004C4E18">
        <w:rPr>
          <w:rFonts w:asciiTheme="minorHAnsi" w:hAnsiTheme="minorHAnsi" w:cstheme="minorHAnsi"/>
          <w:b/>
          <w:i/>
          <w:sz w:val="20"/>
        </w:rPr>
        <w:t>Proceeds of disposal used for new acquisitions or environmental activities</w:t>
      </w:r>
    </w:p>
    <w:p w:rsidR="004D4ADF" w:rsidRPr="004C4E18" w:rsidRDefault="004D4ADF" w:rsidP="004D4ADF">
      <w:pPr>
        <w:pStyle w:val="subsection"/>
        <w:spacing w:before="240" w:beforeAutospacing="0"/>
        <w:ind w:left="709" w:hanging="709"/>
        <w:rPr>
          <w:rFonts w:asciiTheme="minorHAnsi" w:hAnsiTheme="minorHAnsi" w:cstheme="minorHAnsi"/>
          <w:sz w:val="20"/>
        </w:rPr>
      </w:pPr>
      <w:r w:rsidRPr="004C4E18">
        <w:rPr>
          <w:rFonts w:asciiTheme="minorHAnsi" w:hAnsiTheme="minorHAnsi" w:cstheme="minorHAnsi"/>
          <w:sz w:val="20"/>
        </w:rPr>
        <w:t>(3)</w:t>
      </w:r>
      <w:r w:rsidRPr="004C4E18">
        <w:rPr>
          <w:rFonts w:asciiTheme="minorHAnsi" w:hAnsiTheme="minorHAnsi" w:cstheme="minorHAnsi"/>
          <w:sz w:val="20"/>
        </w:rPr>
        <w:tab/>
        <w:t>The Commonwealth Environmental Water Holder may dispose of water or Commonwealth environmental water holdings if:</w:t>
      </w:r>
    </w:p>
    <w:p w:rsidR="004D4ADF" w:rsidRPr="004C4E18" w:rsidRDefault="004D4ADF" w:rsidP="004D4ADF">
      <w:pPr>
        <w:pStyle w:val="paragraph"/>
        <w:ind w:left="1418" w:hanging="709"/>
        <w:rPr>
          <w:rFonts w:asciiTheme="minorHAnsi" w:hAnsiTheme="minorHAnsi" w:cstheme="minorHAnsi"/>
          <w:sz w:val="20"/>
        </w:rPr>
      </w:pPr>
      <w:r w:rsidRPr="004C4E18">
        <w:rPr>
          <w:rFonts w:asciiTheme="minorHAnsi" w:hAnsiTheme="minorHAnsi" w:cstheme="minorHAnsi"/>
          <w:sz w:val="20"/>
        </w:rPr>
        <w:t>(a)</w:t>
      </w:r>
      <w:r w:rsidRPr="004C4E18">
        <w:rPr>
          <w:rFonts w:asciiTheme="minorHAnsi" w:hAnsiTheme="minorHAnsi" w:cstheme="minorHAnsi"/>
          <w:sz w:val="20"/>
        </w:rPr>
        <w:tab/>
        <w:t>the Commonwealth Environmental Water Holder uses the proceeds of the disposal for either or both of the following activities:</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w:t>
      </w:r>
      <w:r w:rsidRPr="004C4E18">
        <w:rPr>
          <w:rFonts w:asciiTheme="minorHAnsi" w:hAnsiTheme="minorHAnsi" w:cstheme="minorHAnsi"/>
          <w:sz w:val="18"/>
        </w:rPr>
        <w:tab/>
        <w:t>acquiring water or Commonwealth environmental water holdings;</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(ii)</w:t>
      </w:r>
      <w:r w:rsidRPr="004C4E18">
        <w:rPr>
          <w:rFonts w:asciiTheme="minorHAnsi" w:hAnsiTheme="minorHAnsi" w:cstheme="minorHAnsi"/>
          <w:sz w:val="18"/>
        </w:rPr>
        <w:tab/>
        <w:t>for a disposal of a water allocation—environmental activities; and</w:t>
      </w:r>
    </w:p>
    <w:p w:rsidR="004D4ADF" w:rsidRPr="004C4E18" w:rsidRDefault="004D4ADF" w:rsidP="004D4ADF">
      <w:pPr>
        <w:pStyle w:val="paragraph"/>
        <w:ind w:left="1418" w:hanging="709"/>
        <w:rPr>
          <w:rFonts w:asciiTheme="minorHAnsi" w:hAnsiTheme="minorHAnsi" w:cstheme="minorHAnsi"/>
          <w:sz w:val="20"/>
        </w:rPr>
      </w:pPr>
      <w:r w:rsidRPr="004C4E18">
        <w:rPr>
          <w:rFonts w:asciiTheme="minorHAnsi" w:hAnsiTheme="minorHAnsi" w:cstheme="minorHAnsi"/>
          <w:sz w:val="20"/>
        </w:rPr>
        <w:t>(b)</w:t>
      </w:r>
      <w:r w:rsidRPr="004C4E18">
        <w:rPr>
          <w:rFonts w:asciiTheme="minorHAnsi" w:hAnsiTheme="minorHAnsi" w:cstheme="minorHAnsi"/>
          <w:sz w:val="20"/>
        </w:rPr>
        <w:tab/>
        <w:t>if the disposal is of a water allocation and any of the proceeds of the disposal are used for environmental activities—the long</w:t>
      </w:r>
      <w:r w:rsidRPr="004C4E18">
        <w:rPr>
          <w:rFonts w:asciiTheme="minorHAnsi" w:hAnsiTheme="minorHAnsi" w:cstheme="minorHAnsi"/>
          <w:sz w:val="20"/>
        </w:rPr>
        <w:noBreakHyphen/>
        <w:t>term annual diversion limit condition is satisfied in relation to the disposal (see subsections (5) and (6)); and</w:t>
      </w:r>
    </w:p>
    <w:p w:rsidR="004D4ADF" w:rsidRPr="004C4E18" w:rsidRDefault="004D4ADF" w:rsidP="004D4ADF">
      <w:pPr>
        <w:pStyle w:val="paragraph"/>
        <w:ind w:left="1418" w:hanging="709"/>
        <w:rPr>
          <w:rFonts w:asciiTheme="minorHAnsi" w:hAnsiTheme="minorHAnsi" w:cstheme="minorHAnsi"/>
          <w:sz w:val="20"/>
        </w:rPr>
      </w:pPr>
      <w:r w:rsidRPr="004C4E18">
        <w:rPr>
          <w:rFonts w:asciiTheme="minorHAnsi" w:hAnsiTheme="minorHAnsi" w:cstheme="minorHAnsi"/>
          <w:sz w:val="20"/>
        </w:rPr>
        <w:t>(c)</w:t>
      </w:r>
      <w:r w:rsidRPr="004C4E18">
        <w:rPr>
          <w:rFonts w:asciiTheme="minorHAnsi" w:hAnsiTheme="minorHAnsi" w:cstheme="minorHAnsi"/>
          <w:sz w:val="20"/>
        </w:rPr>
        <w:tab/>
        <w:t>in any case—the Commonwealth Environmental Water Holder reasonably believes, at the time of the disposal, that using the proceeds for activities of the kind mentioned in subparagraph (a)(i) or (ii) (if applicable) would improve the capacity of the Commonwealth environmental water holdings to be applied to meet the objectives of one or more of the following:</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w:t>
      </w:r>
      <w:r w:rsidRPr="004C4E18">
        <w:rPr>
          <w:rFonts w:asciiTheme="minorHAnsi" w:hAnsiTheme="minorHAnsi" w:cstheme="minorHAnsi"/>
          <w:sz w:val="18"/>
        </w:rPr>
        <w:tab/>
        <w:t>the environmental watering plan;</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(ii)</w:t>
      </w:r>
      <w:r w:rsidRPr="004C4E18">
        <w:rPr>
          <w:rFonts w:asciiTheme="minorHAnsi" w:hAnsiTheme="minorHAnsi" w:cstheme="minorHAnsi"/>
          <w:sz w:val="18"/>
        </w:rPr>
        <w:tab/>
        <w:t>a plan specified in the regulations in relation to an area outside the Murray</w:t>
      </w:r>
      <w:r w:rsidRPr="004C4E18">
        <w:rPr>
          <w:rFonts w:asciiTheme="minorHAnsi" w:hAnsiTheme="minorHAnsi" w:cstheme="minorHAnsi"/>
          <w:sz w:val="18"/>
        </w:rPr>
        <w:noBreakHyphen/>
        <w:t>Darling Basin;</w:t>
      </w:r>
    </w:p>
    <w:p w:rsidR="004D4ADF" w:rsidRPr="004C4E18" w:rsidRDefault="004D4ADF" w:rsidP="004D4ADF">
      <w:pPr>
        <w:pStyle w:val="paragraphsub0"/>
        <w:rPr>
          <w:rFonts w:asciiTheme="minorHAnsi" w:hAnsiTheme="minorHAnsi" w:cstheme="minorHAnsi"/>
          <w:sz w:val="18"/>
        </w:rPr>
      </w:pPr>
      <w:r w:rsidRPr="004C4E18">
        <w:rPr>
          <w:rFonts w:asciiTheme="minorHAnsi" w:hAnsiTheme="minorHAnsi" w:cstheme="minorHAnsi"/>
          <w:sz w:val="18"/>
        </w:rPr>
        <w:tab/>
        <w:t>(iii)</w:t>
      </w:r>
      <w:r w:rsidRPr="004C4E18">
        <w:rPr>
          <w:rFonts w:asciiTheme="minorHAnsi" w:hAnsiTheme="minorHAnsi" w:cstheme="minorHAnsi"/>
          <w:sz w:val="18"/>
        </w:rPr>
        <w:tab/>
        <w:t>protecting or restoring the environmental assets of an area outside the Murray</w:t>
      </w:r>
      <w:r w:rsidRPr="004C4E18">
        <w:rPr>
          <w:rFonts w:asciiTheme="minorHAnsi" w:hAnsiTheme="minorHAnsi" w:cstheme="minorHAnsi"/>
          <w:sz w:val="18"/>
        </w:rPr>
        <w:noBreakHyphen/>
        <w:t>Darling Basin in relation to which those regulations do not specify a plan.</w:t>
      </w:r>
    </w:p>
    <w:p w:rsidR="004D4ADF" w:rsidRPr="004C4E18" w:rsidRDefault="004D4ADF" w:rsidP="004D4ADF">
      <w:pPr>
        <w:pStyle w:val="notetext0"/>
        <w:rPr>
          <w:rFonts w:asciiTheme="minorHAnsi" w:hAnsiTheme="minorHAnsi" w:cstheme="minorHAnsi"/>
          <w:sz w:val="14"/>
        </w:rPr>
      </w:pPr>
      <w:r w:rsidRPr="004C4E18">
        <w:rPr>
          <w:rFonts w:asciiTheme="minorHAnsi" w:hAnsiTheme="minorHAnsi" w:cstheme="minorHAnsi"/>
          <w:sz w:val="14"/>
        </w:rPr>
        <w:t>Note:</w:t>
      </w:r>
      <w:r w:rsidRPr="004C4E18">
        <w:rPr>
          <w:rFonts w:asciiTheme="minorHAnsi" w:hAnsiTheme="minorHAnsi" w:cstheme="minorHAnsi"/>
          <w:sz w:val="14"/>
        </w:rPr>
        <w:tab/>
        <w:t>Paragraph (c) is modified in relation to water access rights acquired by the Commonwealth with amounts debited from the Water for the Environment Special Account (see subsection 86AE(2)).</w:t>
      </w:r>
    </w:p>
    <w:p w:rsidR="004D4ADF" w:rsidRPr="004C4E18" w:rsidRDefault="004D4ADF" w:rsidP="004D4ADF">
      <w:pPr>
        <w:pStyle w:val="subsection"/>
        <w:ind w:left="709" w:hanging="709"/>
        <w:rPr>
          <w:rFonts w:asciiTheme="minorHAnsi" w:hAnsiTheme="minorHAnsi" w:cstheme="minorHAnsi"/>
          <w:sz w:val="20"/>
        </w:rPr>
      </w:pPr>
      <w:r w:rsidRPr="004C4E18">
        <w:rPr>
          <w:rFonts w:asciiTheme="minorHAnsi" w:hAnsiTheme="minorHAnsi" w:cstheme="minorHAnsi"/>
          <w:sz w:val="20"/>
        </w:rPr>
        <w:t>(4)</w:t>
      </w:r>
      <w:r w:rsidRPr="004C4E18">
        <w:rPr>
          <w:rFonts w:asciiTheme="minorHAnsi" w:hAnsiTheme="minorHAnsi" w:cstheme="minorHAnsi"/>
          <w:sz w:val="20"/>
        </w:rPr>
        <w:tab/>
        <w:t>For the purposes of subparagraph (3)(a)(ii) and paragraph (3)(b), environmental activities do not include paying a fee or charge of the kind referred to in paragraph 91(1)(a), (b) or (c), or subparagraph 91(1)(d)(i), (ii), (iii) or (iv), in relation to Commonwealth environmental water holdings.</w:t>
      </w:r>
    </w:p>
    <w:p w:rsidR="004D4ADF" w:rsidRPr="004C4E18" w:rsidRDefault="004D4ADF" w:rsidP="004D4ADF">
      <w:pPr>
        <w:pStyle w:val="notetext0"/>
        <w:rPr>
          <w:rFonts w:asciiTheme="minorHAnsi" w:hAnsiTheme="minorHAnsi" w:cstheme="minorHAnsi"/>
          <w:sz w:val="14"/>
        </w:rPr>
      </w:pPr>
      <w:r w:rsidRPr="004C4E18">
        <w:rPr>
          <w:rFonts w:asciiTheme="minorHAnsi" w:hAnsiTheme="minorHAnsi" w:cstheme="minorHAnsi"/>
          <w:sz w:val="14"/>
        </w:rPr>
        <w:t>Note:</w:t>
      </w:r>
      <w:r w:rsidRPr="004C4E18">
        <w:rPr>
          <w:rFonts w:asciiTheme="minorHAnsi" w:hAnsiTheme="minorHAnsi" w:cstheme="minorHAnsi"/>
          <w:sz w:val="14"/>
        </w:rPr>
        <w:tab/>
        <w:t>Section 91 is about regulated water charges.</w:t>
      </w:r>
    </w:p>
    <w:p w:rsidR="004D4ADF" w:rsidRPr="004C4E18" w:rsidRDefault="004D4ADF" w:rsidP="004D4ADF">
      <w:pPr>
        <w:pStyle w:val="subsection"/>
        <w:ind w:left="709" w:hanging="709"/>
        <w:rPr>
          <w:rFonts w:asciiTheme="minorHAnsi" w:hAnsiTheme="minorHAnsi" w:cstheme="minorHAnsi"/>
          <w:sz w:val="20"/>
        </w:rPr>
      </w:pPr>
      <w:r w:rsidRPr="004C4E18">
        <w:rPr>
          <w:rFonts w:asciiTheme="minorHAnsi" w:hAnsiTheme="minorHAnsi" w:cstheme="minorHAnsi"/>
          <w:sz w:val="20"/>
        </w:rPr>
        <w:t>(5)</w:t>
      </w:r>
      <w:r w:rsidRPr="004C4E18">
        <w:rPr>
          <w:rFonts w:asciiTheme="minorHAnsi" w:hAnsiTheme="minorHAnsi" w:cstheme="minorHAnsi"/>
          <w:sz w:val="20"/>
        </w:rPr>
        <w:tab/>
        <w:t>For the purposes of paragraph (3)(b), the long</w:t>
      </w:r>
      <w:r w:rsidRPr="004C4E18">
        <w:rPr>
          <w:rFonts w:asciiTheme="minorHAnsi" w:hAnsiTheme="minorHAnsi" w:cstheme="minorHAnsi"/>
          <w:sz w:val="20"/>
        </w:rPr>
        <w:noBreakHyphen/>
        <w:t>term annual diversion limit condition is satisfied in relation to a disposal of a water allocation if:</w:t>
      </w:r>
    </w:p>
    <w:p w:rsidR="004D4ADF" w:rsidRPr="004C4E18" w:rsidRDefault="004D4ADF" w:rsidP="004D4ADF">
      <w:pPr>
        <w:pStyle w:val="paragraph"/>
        <w:ind w:left="1418" w:hanging="709"/>
        <w:rPr>
          <w:rFonts w:asciiTheme="minorHAnsi" w:hAnsiTheme="minorHAnsi" w:cstheme="minorHAnsi"/>
          <w:sz w:val="20"/>
        </w:rPr>
      </w:pPr>
      <w:r w:rsidRPr="004C4E18">
        <w:rPr>
          <w:rFonts w:asciiTheme="minorHAnsi" w:hAnsiTheme="minorHAnsi" w:cstheme="minorHAnsi"/>
          <w:sz w:val="20"/>
        </w:rPr>
        <w:t>(a)</w:t>
      </w:r>
      <w:r w:rsidRPr="004C4E18">
        <w:rPr>
          <w:rFonts w:asciiTheme="minorHAnsi" w:hAnsiTheme="minorHAnsi" w:cstheme="minorHAnsi"/>
          <w:sz w:val="20"/>
        </w:rPr>
        <w:tab/>
        <w:t>before the disposal, the Authority had published information indicating whether the long</w:t>
      </w:r>
      <w:r w:rsidRPr="004C4E18">
        <w:rPr>
          <w:rFonts w:asciiTheme="minorHAnsi" w:hAnsiTheme="minorHAnsi" w:cstheme="minorHAnsi"/>
          <w:sz w:val="20"/>
        </w:rPr>
        <w:noBreakHyphen/>
        <w:t>term annual diversion limit had been complied with for a water accounting period for the part of the water resources of the water resource plan area to which the water allocation relates; and</w:t>
      </w:r>
    </w:p>
    <w:p w:rsidR="004D4ADF" w:rsidRPr="004C4E18" w:rsidRDefault="004D4ADF" w:rsidP="004D4ADF">
      <w:pPr>
        <w:pStyle w:val="paragraph"/>
        <w:ind w:left="1418" w:hanging="709"/>
        <w:rPr>
          <w:rFonts w:asciiTheme="minorHAnsi" w:hAnsiTheme="minorHAnsi" w:cstheme="minorHAnsi"/>
          <w:sz w:val="20"/>
        </w:rPr>
      </w:pPr>
      <w:r w:rsidRPr="004C4E18">
        <w:rPr>
          <w:rFonts w:asciiTheme="minorHAnsi" w:hAnsiTheme="minorHAnsi" w:cstheme="minorHAnsi"/>
          <w:sz w:val="20"/>
        </w:rPr>
        <w:t>(b)</w:t>
      </w:r>
      <w:r w:rsidRPr="004C4E18">
        <w:rPr>
          <w:rFonts w:asciiTheme="minorHAnsi" w:hAnsiTheme="minorHAnsi" w:cstheme="minorHAnsi"/>
          <w:sz w:val="20"/>
        </w:rPr>
        <w:tab/>
        <w:t>the Commonwealth Environmental Water Holder is satisfied, at the time of the disposal and on the basis of information published as mentioned in paragraph (a), that, for the most recent water accounting period for which such information had been published, the limit had been complied with for that part of those water resources.</w:t>
      </w:r>
    </w:p>
    <w:p w:rsidR="004D4ADF" w:rsidRPr="004C4E18" w:rsidRDefault="004D4ADF" w:rsidP="004D4ADF">
      <w:pPr>
        <w:pStyle w:val="subsection"/>
        <w:ind w:left="709" w:hanging="709"/>
        <w:rPr>
          <w:rFonts w:asciiTheme="minorHAnsi" w:hAnsiTheme="minorHAnsi" w:cstheme="minorHAnsi"/>
          <w:sz w:val="20"/>
        </w:rPr>
      </w:pPr>
      <w:r w:rsidRPr="004C4E18">
        <w:rPr>
          <w:rFonts w:asciiTheme="minorHAnsi" w:hAnsiTheme="minorHAnsi" w:cstheme="minorHAnsi"/>
          <w:sz w:val="20"/>
        </w:rPr>
        <w:t>(6)</w:t>
      </w:r>
      <w:r w:rsidRPr="004C4E18">
        <w:rPr>
          <w:rFonts w:asciiTheme="minorHAnsi" w:hAnsiTheme="minorHAnsi" w:cstheme="minorHAnsi"/>
          <w:sz w:val="20"/>
        </w:rPr>
        <w:tab/>
        <w:t>The long</w:t>
      </w:r>
      <w:r w:rsidRPr="004C4E18">
        <w:rPr>
          <w:rFonts w:asciiTheme="minorHAnsi" w:hAnsiTheme="minorHAnsi" w:cstheme="minorHAnsi"/>
          <w:sz w:val="20"/>
        </w:rPr>
        <w:noBreakHyphen/>
        <w:t>term annual diversion limit condition is also satisfied in relation to a disposal of a water allocation if the Authority had not published information of the kind mentioned in paragraph (5)(a) before the disposal for any water accounting period.</w:t>
      </w:r>
    </w:p>
    <w:p w:rsidR="004D4ADF" w:rsidRDefault="004D4ADF" w:rsidP="004D4ADF">
      <w:pPr>
        <w:rPr>
          <w:rFonts w:cs="Calibri"/>
        </w:rPr>
      </w:pPr>
    </w:p>
    <w:p w:rsidR="004C4E18" w:rsidRDefault="004C4E18" w:rsidP="004D4ADF">
      <w:pPr>
        <w:rPr>
          <w:rFonts w:cs="Calibri"/>
        </w:rPr>
      </w:pPr>
    </w:p>
    <w:p w:rsidR="004C4E18" w:rsidRDefault="004C4E18" w:rsidP="004D4ADF">
      <w:pPr>
        <w:rPr>
          <w:rFonts w:cs="Calibri"/>
        </w:rPr>
      </w:pPr>
    </w:p>
    <w:p w:rsidR="004C4E18" w:rsidRDefault="004C4E18">
      <w:pPr>
        <w:rPr>
          <w:rFonts w:asciiTheme="minorHAnsi" w:hAnsiTheme="minorHAnsi" w:cstheme="minorHAnsi"/>
        </w:rPr>
      </w:pPr>
      <w:r>
        <w:rPr>
          <w:rFonts w:asciiTheme="minorHAnsi" w:hAnsiTheme="minorHAnsi" w:cstheme="minorHAnsi"/>
        </w:rPr>
        <w:br w:type="page"/>
      </w:r>
    </w:p>
    <w:p w:rsidR="004C4E18" w:rsidRPr="004F6692" w:rsidRDefault="004C4E18" w:rsidP="004C4E18">
      <w:pPr>
        <w:ind w:firstLine="0"/>
        <w:jc w:val="center"/>
        <w:rPr>
          <w:rFonts w:cs="Calibri"/>
          <w:b/>
        </w:rPr>
      </w:pPr>
      <w:r w:rsidRPr="004F6692">
        <w:rPr>
          <w:rFonts w:asciiTheme="minorHAnsi" w:hAnsiTheme="minorHAnsi" w:cstheme="minorHAnsi"/>
          <w:b/>
        </w:rPr>
        <w:t>Section 106 of the Water Act 2007 Explanatory Memorandum</w:t>
      </w:r>
    </w:p>
    <w:p w:rsidR="004C4E18" w:rsidRPr="004F6692" w:rsidRDefault="004C4E18" w:rsidP="004C4E18">
      <w:pPr>
        <w:ind w:firstLine="0"/>
        <w:rPr>
          <w:rFonts w:cs="Calibri"/>
        </w:rPr>
      </w:pPr>
    </w:p>
    <w:p w:rsidR="004C4E18" w:rsidRPr="004F6692" w:rsidRDefault="004C4E18" w:rsidP="004C4E18">
      <w:pPr>
        <w:ind w:firstLine="0"/>
        <w:rPr>
          <w:b/>
          <w:i/>
        </w:rPr>
      </w:pPr>
      <w:r w:rsidRPr="004F6692">
        <w:rPr>
          <w:b/>
          <w:i/>
        </w:rPr>
        <w:t>Subsection 106(1)</w:t>
      </w:r>
    </w:p>
    <w:p w:rsidR="004C4E18" w:rsidRPr="004F6692" w:rsidRDefault="004C4E18" w:rsidP="004C4E18">
      <w:pPr>
        <w:ind w:firstLine="0"/>
      </w:pPr>
    </w:p>
    <w:p w:rsidR="004C4E18" w:rsidRPr="004F6692" w:rsidRDefault="004C4E18" w:rsidP="004C4E18">
      <w:pPr>
        <w:pStyle w:val="ListParagraph"/>
        <w:numPr>
          <w:ilvl w:val="0"/>
          <w:numId w:val="44"/>
        </w:numPr>
        <w:spacing w:after="60"/>
        <w:contextualSpacing w:val="0"/>
      </w:pPr>
      <w:r w:rsidRPr="004F6692">
        <w:t>The Commonwealth Environmental Water Holder can only trade to meet environmental objectives, not as a profit-making enterprise. Trade is enabled both when water is not required and would otherwise be forfeited or foregone, or when selling water or Commonwealth environmental water holdings would allow the Commonwealth Environmental Water Holder to better protect or restore environmental assets. This is to ensure that the highest priority environmental assets can receive water effectively.</w:t>
      </w:r>
    </w:p>
    <w:p w:rsidR="004C4E18" w:rsidRPr="004F6692" w:rsidRDefault="004C4E18" w:rsidP="004C4E18"/>
    <w:p w:rsidR="004C4E18" w:rsidRPr="004F6692" w:rsidRDefault="004C4E18" w:rsidP="004C4E18">
      <w:pPr>
        <w:pStyle w:val="ListParagraph"/>
        <w:numPr>
          <w:ilvl w:val="0"/>
          <w:numId w:val="44"/>
        </w:numPr>
        <w:spacing w:after="60"/>
        <w:contextualSpacing w:val="0"/>
      </w:pPr>
      <w:r w:rsidRPr="004F6692">
        <w:t>The following subsections provide increased flexibility for the Commonwealth Environmental Water Holder to dispose of (sell) water and Commonwealth environmental water holdings and for the use the proceeds consistent with the existing overarching governance framework for the Commonwealth Environmental Water Holder, both in terms of its functions and objectives for trade.</w:t>
      </w:r>
    </w:p>
    <w:p w:rsidR="004C4E18" w:rsidRPr="004F6692" w:rsidRDefault="004C4E18" w:rsidP="004C4E18"/>
    <w:p w:rsidR="004C4E18" w:rsidRPr="004F6692" w:rsidRDefault="004C4E18" w:rsidP="004C4E18">
      <w:pPr>
        <w:pStyle w:val="ListParagraph"/>
        <w:numPr>
          <w:ilvl w:val="0"/>
          <w:numId w:val="44"/>
        </w:numPr>
        <w:spacing w:after="60"/>
        <w:contextualSpacing w:val="0"/>
      </w:pPr>
      <w:r w:rsidRPr="004F6692">
        <w:t>Consistent with subsection 105(4) for the disposal of water or Commonwealth environmental water holdings in the Murray-Darling Basin, the environmental objectives are those in the Basin Plan environmental watering plan (Chapter 8 of the Basin Plan).</w:t>
      </w:r>
    </w:p>
    <w:p w:rsidR="004C4E18" w:rsidRPr="004F6692" w:rsidRDefault="004C4E18" w:rsidP="004C4E18">
      <w:pPr>
        <w:ind w:firstLine="0"/>
      </w:pPr>
    </w:p>
    <w:p w:rsidR="004C4E18" w:rsidRPr="004F6692" w:rsidRDefault="004C4E18" w:rsidP="004C4E18">
      <w:pPr>
        <w:ind w:firstLine="0"/>
        <w:rPr>
          <w:b/>
          <w:i/>
        </w:rPr>
      </w:pPr>
      <w:r w:rsidRPr="004F6692">
        <w:rPr>
          <w:b/>
          <w:i/>
        </w:rPr>
        <w:t>Subsection 106(2)</w:t>
      </w:r>
    </w:p>
    <w:p w:rsidR="004C4E18" w:rsidRPr="004F6692" w:rsidRDefault="004C4E18" w:rsidP="004C4E18">
      <w:pPr>
        <w:ind w:firstLine="0"/>
        <w:rPr>
          <w:b/>
        </w:rPr>
      </w:pPr>
    </w:p>
    <w:p w:rsidR="004C4E18" w:rsidRPr="004F6692" w:rsidRDefault="004C4E18" w:rsidP="004C4E18">
      <w:pPr>
        <w:pStyle w:val="ListParagraph"/>
        <w:numPr>
          <w:ilvl w:val="0"/>
          <w:numId w:val="44"/>
        </w:numPr>
        <w:spacing w:after="60"/>
        <w:contextualSpacing w:val="0"/>
      </w:pPr>
      <w:r w:rsidRPr="004F6692">
        <w:t xml:space="preserve">This subsection enables the Commonwealth Environmental Water Holder to sell water that is not required during the water year to meet relevant environmental objectives and cannot be carried over to the next water year (that is, it will be forfeited) or, if by retaining the water, it could reasonably be expected to result in reductions in future allocations (that is, water is likely to be foregone). </w:t>
      </w:r>
    </w:p>
    <w:p w:rsidR="004C4E18" w:rsidRPr="004F6692" w:rsidRDefault="004C4E18" w:rsidP="004C4E18"/>
    <w:p w:rsidR="004C4E18" w:rsidRPr="004F6692" w:rsidRDefault="004C4E18" w:rsidP="004C4E18">
      <w:pPr>
        <w:pStyle w:val="ListParagraph"/>
        <w:numPr>
          <w:ilvl w:val="0"/>
          <w:numId w:val="44"/>
        </w:numPr>
        <w:spacing w:after="60"/>
        <w:contextualSpacing w:val="0"/>
      </w:pPr>
      <w:r w:rsidRPr="004F6692">
        <w:rPr>
          <w:color w:val="000000"/>
        </w:rPr>
        <w:t xml:space="preserve">Allowing the sale of water that could otherwise lead to future allocations being foregone introduces </w:t>
      </w:r>
      <w:r w:rsidRPr="004F6692">
        <w:t>new</w:t>
      </w:r>
      <w:r w:rsidRPr="004F6692">
        <w:rPr>
          <w:color w:val="000000"/>
        </w:rPr>
        <w:t xml:space="preserve"> flexibility to sell water</w:t>
      </w:r>
      <w:r w:rsidRPr="004F6692">
        <w:t xml:space="preserve"> (allocations) and ensure that the Commonwealth’s portfolio of water entitlements is used as effectively and efficiently as possible to deliver environmental objectives.</w:t>
      </w:r>
    </w:p>
    <w:p w:rsidR="004C4E18" w:rsidRPr="004F6692" w:rsidRDefault="004C4E18" w:rsidP="004C4E18"/>
    <w:p w:rsidR="004C4E18" w:rsidRPr="004F6692" w:rsidRDefault="004C4E18" w:rsidP="004C4E18">
      <w:pPr>
        <w:pStyle w:val="ListParagraph"/>
        <w:numPr>
          <w:ilvl w:val="0"/>
          <w:numId w:val="44"/>
        </w:numPr>
        <w:spacing w:after="60"/>
        <w:contextualSpacing w:val="0"/>
        <w:rPr>
          <w:color w:val="000000" w:themeColor="text1"/>
        </w:rPr>
      </w:pPr>
      <w:r w:rsidRPr="004F6692">
        <w:t>This amendment gives effect to the Government’s response to recommendation 16 of the Water Act Review.</w:t>
      </w:r>
    </w:p>
    <w:p w:rsidR="004C4E18" w:rsidRPr="004F6692" w:rsidRDefault="004C4E18" w:rsidP="004C4E18">
      <w:pPr>
        <w:ind w:firstLine="0"/>
        <w:rPr>
          <w:b/>
          <w:i/>
        </w:rPr>
      </w:pPr>
    </w:p>
    <w:p w:rsidR="004C4E18" w:rsidRPr="004F6692" w:rsidRDefault="004C4E18" w:rsidP="004C4E18">
      <w:pPr>
        <w:ind w:firstLine="0"/>
        <w:rPr>
          <w:b/>
          <w:i/>
        </w:rPr>
      </w:pPr>
      <w:r w:rsidRPr="004F6692">
        <w:rPr>
          <w:b/>
          <w:i/>
        </w:rPr>
        <w:t>Subsection 106(3)</w:t>
      </w:r>
    </w:p>
    <w:p w:rsidR="004C4E18" w:rsidRPr="004F6692" w:rsidRDefault="004C4E18" w:rsidP="004C4E18">
      <w:pPr>
        <w:ind w:firstLine="0"/>
      </w:pPr>
    </w:p>
    <w:p w:rsidR="004C4E18" w:rsidRPr="004F6692" w:rsidRDefault="004C4E18" w:rsidP="004C4E18">
      <w:pPr>
        <w:pStyle w:val="ListParagraph"/>
        <w:numPr>
          <w:ilvl w:val="0"/>
          <w:numId w:val="44"/>
        </w:numPr>
        <w:spacing w:after="60"/>
        <w:contextualSpacing w:val="0"/>
      </w:pPr>
      <w:r w:rsidRPr="004F6692">
        <w:t>This subsection enables the Commonwealth Environmental Water Holder to sell water allocations and use the revenue to invest in environmental activities, and/or purchase water, where this is reasonably expected to provide greater capacity to achieve environmental objectives from Commonwealth environmental watering than retaining the allocations. It recognises that in some circumstances the intended environmental outcomes from the application of Commonwealth environmental water can be more effectively achieved by investing in works and measures that are complementary to environmental water use, and not always by purchasing additional water.</w:t>
      </w:r>
    </w:p>
    <w:p w:rsidR="004C4E18" w:rsidRPr="004F6692" w:rsidRDefault="004C4E18" w:rsidP="004C4E18"/>
    <w:p w:rsidR="004C4E18" w:rsidRPr="004F6692" w:rsidRDefault="004C4E18" w:rsidP="004C4E18">
      <w:pPr>
        <w:pStyle w:val="ListParagraph"/>
        <w:numPr>
          <w:ilvl w:val="0"/>
          <w:numId w:val="44"/>
        </w:numPr>
        <w:spacing w:after="60"/>
        <w:contextualSpacing w:val="0"/>
        <w:rPr>
          <w:color w:val="000000" w:themeColor="text1"/>
        </w:rPr>
      </w:pPr>
      <w:r w:rsidRPr="004F6692">
        <w:t>Environmental activities can encompass a broad range of investments that improve the effectiveness of Commonwealth environmental watering and could</w:t>
      </w:r>
      <w:r w:rsidRPr="004F6692">
        <w:rPr>
          <w:color w:val="000000" w:themeColor="text1"/>
        </w:rPr>
        <w:t xml:space="preserve"> include, for example, fish-ways or carp exclusion screens that support the delivery of water to off</w:t>
      </w:r>
      <w:r w:rsidRPr="004F6692">
        <w:rPr>
          <w:color w:val="000000" w:themeColor="text1"/>
        </w:rPr>
        <w:noBreakHyphen/>
        <w:t xml:space="preserve">river wetlands. By selling a small volume of allocations </w:t>
      </w:r>
      <w:r w:rsidRPr="004F6692">
        <w:t>in</w:t>
      </w:r>
      <w:r w:rsidRPr="004F6692">
        <w:rPr>
          <w:color w:val="000000" w:themeColor="text1"/>
        </w:rPr>
        <w:t xml:space="preserve"> one year to fund the construction of such works, it could improve the effectiveness of larger volumes of environmental water delivered over several years, thereby improving environmental outcomes. Particular environmental activities are not prescribed or defined, which provides the flexibility to respond to changing priorities and invest in the activities that provide the best environmental outcomes possible based on conditions at the time. </w:t>
      </w:r>
      <w:r w:rsidRPr="004F6692">
        <w:t>This provision is intended to enable additional targeted activities that complement, rather than duplicate or replace, natural resource management programmes implemented by other entities.</w:t>
      </w:r>
      <w:r w:rsidRPr="004F6692">
        <w:rPr>
          <w:color w:val="000000" w:themeColor="text1"/>
        </w:rPr>
        <w:t xml:space="preserve"> Proceeds from allocation sales will not be used for bridging the gap or supply, efficiency or constraints measures under the sustainable diversion limit adjustment mechanism. As these activities will be funded from other sources, selling allocations to substitute for other funding would not be likely to improve environmental outcomes compared to retaining the allocations. The definitions of supply and efficiency measures under the Basin Plan also preclude them from being funded from the proceeds of allocation sales by the </w:t>
      </w:r>
      <w:r w:rsidRPr="004F6692">
        <w:t>Commonwealth</w:t>
      </w:r>
      <w:r w:rsidRPr="004F6692">
        <w:rPr>
          <w:color w:val="000000" w:themeColor="text1"/>
        </w:rPr>
        <w:t xml:space="preserve"> Environmental Water Holder.</w:t>
      </w:r>
    </w:p>
    <w:p w:rsidR="004C4E18" w:rsidRPr="004F6692" w:rsidRDefault="004C4E18" w:rsidP="004C4E18"/>
    <w:p w:rsidR="004C4E18" w:rsidRPr="004F6692" w:rsidRDefault="004C4E18" w:rsidP="004C4E18">
      <w:pPr>
        <w:pStyle w:val="ListParagraph"/>
        <w:numPr>
          <w:ilvl w:val="0"/>
          <w:numId w:val="44"/>
        </w:numPr>
        <w:spacing w:after="60"/>
        <w:contextualSpacing w:val="0"/>
      </w:pPr>
      <w:r w:rsidRPr="004F6692">
        <w:t>The amended subsection retains the requirement to use proceeds from the sale of water entitlements to purchase water or Commonwealth environmental water holdings (a key safeguard recommended in the Water Act Review). It also retains the Commonwealth Environmental Water Holder’s ability to use proceeds from the sale of water allocations to purchase water or Commonwealth environmental water holdings.</w:t>
      </w:r>
    </w:p>
    <w:p w:rsidR="004C4E18" w:rsidRPr="004F6692" w:rsidRDefault="004C4E18" w:rsidP="004C4E18"/>
    <w:p w:rsidR="004C4E18" w:rsidRPr="004F6692" w:rsidRDefault="004C4E18" w:rsidP="004C4E18">
      <w:pPr>
        <w:pStyle w:val="ListParagraph"/>
        <w:numPr>
          <w:ilvl w:val="0"/>
          <w:numId w:val="44"/>
        </w:numPr>
        <w:spacing w:after="60"/>
        <w:contextualSpacing w:val="0"/>
      </w:pPr>
      <w:r w:rsidRPr="004F6692">
        <w:t xml:space="preserve">The amended subsection retains a number of other requirements for the use of proceeds from the sale of water and Commonwealth environmental water holdings. Trade proceeds will need to be credited to the Special Account in order to enable the </w:t>
      </w:r>
      <w:r w:rsidRPr="004F6692">
        <w:rPr>
          <w:color w:val="000000" w:themeColor="text1"/>
        </w:rPr>
        <w:t xml:space="preserve">Commonwealth Environmental Water Holder to give effect to his or her reasonable belief at the time of disposal that environmental outcomes would be improved. Funds from the Special Account need to be used in the performance of the functions of the </w:t>
      </w:r>
      <w:r w:rsidRPr="004F6692">
        <w:t>Commonwealth Environmental Water Holder, consistent with requirements for the Account. Water and Commonwealth environmental water holdings in the Murray</w:t>
      </w:r>
      <w:r w:rsidRPr="004F6692">
        <w:noBreakHyphen/>
        <w:t xml:space="preserve">Darling Basin must be managed in accordance with the Basin Plan environmental watering plan, meaning that proceeds from the sale of water and Commonwealth environmental water holdings in the Basin must be invested in the Basin. </w:t>
      </w:r>
    </w:p>
    <w:p w:rsidR="004C4E18" w:rsidRPr="004F6692" w:rsidRDefault="004C4E18" w:rsidP="004C4E18"/>
    <w:p w:rsidR="004C4E18" w:rsidRPr="004F6692" w:rsidDel="000F0FA4" w:rsidRDefault="004C4E18" w:rsidP="004C4E18">
      <w:pPr>
        <w:pStyle w:val="ListParagraph"/>
        <w:numPr>
          <w:ilvl w:val="0"/>
          <w:numId w:val="44"/>
        </w:numPr>
        <w:spacing w:after="60"/>
        <w:contextualSpacing w:val="0"/>
      </w:pPr>
      <w:r w:rsidRPr="004F6692" w:rsidDel="000F0FA4">
        <w:t>New subsection 106(3)(b) provides that the proceeds of a disposal of a water allocation may only be used for environmental activities if the requ</w:t>
      </w:r>
      <w:r w:rsidRPr="004F6692">
        <w:t>irement in relation to the long</w:t>
      </w:r>
      <w:r w:rsidRPr="004F6692">
        <w:noBreakHyphen/>
      </w:r>
      <w:r w:rsidRPr="004F6692" w:rsidDel="000F0FA4">
        <w:t>term annual diversion limit is satisfied. Subsections 106(5</w:t>
      </w:r>
      <w:r w:rsidRPr="004F6692">
        <w:t>-</w:t>
      </w:r>
      <w:r w:rsidRPr="004F6692" w:rsidDel="000F0FA4">
        <w:t>6) set out the requirements that must be met to satisfy the long-term annual diversion limit condition referred to in subsection 106(3)(b). This is intended to ensure that the Commonwealth Environmental Water Holder’s ability to trade continues to support the Water Act’s object to return the Murray-Darling Basin to sustainable levels of extraction through the sustainable diversion limits under the Basin Plan and does not impact on the achievement of the sustainable diversion limits in the long-term, a key safeguard recommended in the Water Act</w:t>
      </w:r>
      <w:r w:rsidRPr="004F6692">
        <w:t xml:space="preserve"> Review</w:t>
      </w:r>
      <w:r w:rsidRPr="004F6692" w:rsidDel="000F0FA4">
        <w:t>.</w:t>
      </w:r>
    </w:p>
    <w:p w:rsidR="004C4E18" w:rsidRPr="004F6692" w:rsidRDefault="004C4E18" w:rsidP="004C4E18"/>
    <w:p w:rsidR="004C4E18" w:rsidRPr="004F6692" w:rsidRDefault="004C4E18" w:rsidP="004C4E18">
      <w:pPr>
        <w:pStyle w:val="ListParagraph"/>
        <w:numPr>
          <w:ilvl w:val="0"/>
          <w:numId w:val="44"/>
        </w:numPr>
        <w:spacing w:after="60"/>
        <w:contextualSpacing w:val="0"/>
      </w:pPr>
      <w:r w:rsidRPr="004F6692">
        <w:t>This amendment, together with the additional subsections 106(4) to (6), gives effect to the Government’s response to recommendation 15 of the Water Act Review.</w:t>
      </w:r>
    </w:p>
    <w:p w:rsidR="004C4E18" w:rsidRPr="004F6692" w:rsidRDefault="004C4E18" w:rsidP="004C4E18">
      <w:pPr>
        <w:ind w:firstLine="0"/>
      </w:pPr>
    </w:p>
    <w:p w:rsidR="004C4E18" w:rsidRPr="004F6692" w:rsidRDefault="004C4E18" w:rsidP="004C4E18">
      <w:pPr>
        <w:keepNext/>
        <w:ind w:firstLine="0"/>
        <w:rPr>
          <w:b/>
          <w:i/>
        </w:rPr>
      </w:pPr>
      <w:r w:rsidRPr="004F6692">
        <w:rPr>
          <w:b/>
          <w:i/>
        </w:rPr>
        <w:t>Subsection 106(4)</w:t>
      </w:r>
    </w:p>
    <w:p w:rsidR="004C4E18" w:rsidRPr="004F6692" w:rsidRDefault="004C4E18" w:rsidP="004C4E18">
      <w:pPr>
        <w:keepNext/>
        <w:ind w:firstLine="0"/>
      </w:pPr>
    </w:p>
    <w:p w:rsidR="004C4E18" w:rsidRPr="004F6692" w:rsidRDefault="004C4E18" w:rsidP="004C4E18">
      <w:pPr>
        <w:pStyle w:val="ListParagraph"/>
        <w:numPr>
          <w:ilvl w:val="0"/>
          <w:numId w:val="44"/>
        </w:numPr>
        <w:spacing w:after="60"/>
        <w:contextualSpacing w:val="0"/>
      </w:pPr>
      <w:r w:rsidRPr="004F6692">
        <w:t>This subsection clarifies that proceeds from trade under section 106(3) cannot be used to pay for fees and charges for holding and delivering Commonwealth environmental water. The subsection is intended to support the environmental objects of the Water Act and Basin Plan by ensuring that these are not compromised as a result of water that has been acquired for the purpose of meeting environmental objectives being sold to meet non-discretionary fees and charges associated with operating costs. The subsection is also intended to limit the potential for adverse market impacts, which may arise if the Commonwealth Environmental Water Holder were required to approach the market with the aim of raising funds to cover its non-discretionary operating costs.</w:t>
      </w:r>
    </w:p>
    <w:p w:rsidR="004C4E18" w:rsidRPr="004F6692" w:rsidRDefault="004C4E18" w:rsidP="004C4E18"/>
    <w:p w:rsidR="004C4E18" w:rsidRPr="004F6692" w:rsidRDefault="004C4E18" w:rsidP="004C4E18">
      <w:pPr>
        <w:pStyle w:val="ListParagraph"/>
        <w:numPr>
          <w:ilvl w:val="0"/>
          <w:numId w:val="44"/>
        </w:numPr>
        <w:spacing w:after="60"/>
        <w:contextualSpacing w:val="0"/>
        <w:rPr>
          <w:rFonts w:asciiTheme="minorHAnsi" w:hAnsiTheme="minorHAnsi" w:cstheme="minorHAnsi"/>
        </w:rPr>
      </w:pPr>
      <w:r w:rsidRPr="004F6692">
        <w:rPr>
          <w:rFonts w:asciiTheme="minorHAnsi" w:hAnsiTheme="minorHAnsi" w:cstheme="minorHAnsi"/>
        </w:rPr>
        <w:t>The Commonwealth Environmental Water Holder continues to pay all fees and charges for the holding and delivery of environmental water from appropriations made to the Special Account, and not from trade proceeds.</w:t>
      </w:r>
    </w:p>
    <w:p w:rsidR="004C4E18" w:rsidRPr="004F6692" w:rsidRDefault="004C4E18" w:rsidP="004C4E18">
      <w:pPr>
        <w:ind w:firstLine="0"/>
        <w:rPr>
          <w:rFonts w:asciiTheme="minorHAnsi" w:hAnsiTheme="minorHAnsi" w:cstheme="minorHAnsi"/>
        </w:rPr>
      </w:pPr>
    </w:p>
    <w:p w:rsidR="004C4E18" w:rsidRPr="004F6692" w:rsidRDefault="004C4E18" w:rsidP="004C4E18">
      <w:pPr>
        <w:keepNext/>
        <w:ind w:firstLine="0"/>
        <w:rPr>
          <w:rFonts w:asciiTheme="minorHAnsi" w:hAnsiTheme="minorHAnsi" w:cstheme="minorHAnsi"/>
          <w:b/>
          <w:i/>
        </w:rPr>
      </w:pPr>
      <w:r w:rsidRPr="004F6692">
        <w:rPr>
          <w:rFonts w:asciiTheme="minorHAnsi" w:hAnsiTheme="minorHAnsi" w:cstheme="minorHAnsi"/>
          <w:b/>
          <w:i/>
        </w:rPr>
        <w:t>Subsection 106(5)</w:t>
      </w:r>
    </w:p>
    <w:p w:rsidR="004C4E18" w:rsidRPr="004F6692" w:rsidRDefault="004C4E18" w:rsidP="004C4E18">
      <w:pPr>
        <w:keepNext/>
        <w:ind w:firstLine="0"/>
        <w:rPr>
          <w:rFonts w:asciiTheme="minorHAnsi" w:hAnsiTheme="minorHAnsi" w:cstheme="minorHAnsi"/>
        </w:rPr>
      </w:pPr>
    </w:p>
    <w:p w:rsidR="004C4E18" w:rsidRPr="004F6692" w:rsidRDefault="004C4E18" w:rsidP="004C4E18">
      <w:pPr>
        <w:pStyle w:val="bodylist"/>
        <w:rPr>
          <w:rFonts w:asciiTheme="minorHAnsi" w:hAnsiTheme="minorHAnsi" w:cstheme="minorHAnsi"/>
          <w:sz w:val="22"/>
          <w:szCs w:val="22"/>
        </w:rPr>
      </w:pPr>
      <w:r w:rsidRPr="004F6692">
        <w:rPr>
          <w:rFonts w:asciiTheme="minorHAnsi" w:hAnsiTheme="minorHAnsi" w:cstheme="minorHAnsi"/>
          <w:sz w:val="22"/>
          <w:szCs w:val="22"/>
        </w:rPr>
        <w:t>Subsection 106(3)(b) provides that the proceeds from a sale of water allocations may only be used for environmental activities if the Commonwealth Environmental Water Holder is satisfied that the long-term annual diversion limit has been complied with in the resource unit where the disposal is to take place.</w:t>
      </w:r>
    </w:p>
    <w:p w:rsidR="004C4E18" w:rsidRPr="004F6692" w:rsidRDefault="004C4E18" w:rsidP="004C4E18">
      <w:pPr>
        <w:rPr>
          <w:rFonts w:asciiTheme="minorHAnsi" w:hAnsiTheme="minorHAnsi" w:cstheme="minorHAnsi"/>
        </w:rPr>
      </w:pPr>
    </w:p>
    <w:p w:rsidR="004C4E18" w:rsidRPr="004F6692" w:rsidRDefault="004C4E18" w:rsidP="004C4E18">
      <w:pPr>
        <w:pStyle w:val="bodylist"/>
        <w:rPr>
          <w:rFonts w:asciiTheme="minorHAnsi" w:hAnsiTheme="minorHAnsi" w:cstheme="minorHAnsi"/>
          <w:sz w:val="22"/>
          <w:szCs w:val="22"/>
        </w:rPr>
      </w:pPr>
      <w:r w:rsidRPr="004F6692">
        <w:rPr>
          <w:rFonts w:asciiTheme="minorHAnsi" w:hAnsiTheme="minorHAnsi" w:cstheme="minorHAnsi"/>
          <w:sz w:val="22"/>
          <w:szCs w:val="22"/>
        </w:rPr>
        <w:t>Satisfaction that the long-term annual sustainable diversion limit has been complied with for the purposes of section 106(3)(b) is a decision for the Commonwealth Environmental Water Holder that must be based on information published by the Authority prior to the disposal. Under the Basin Plan, the Authority is required to publish registers of take that record any difference between annual actual take and annual permitted take and a cumulative balance for each sustainable diversion limit resource unit (see Part 4, Division 1 of Chapter 6 of the Basin Plan 2012).</w:t>
      </w:r>
    </w:p>
    <w:p w:rsidR="004C4E18" w:rsidRPr="004F6692" w:rsidRDefault="004C4E18" w:rsidP="004C4E18">
      <w:pPr>
        <w:ind w:firstLine="0"/>
        <w:rPr>
          <w:rFonts w:asciiTheme="minorHAnsi" w:hAnsiTheme="minorHAnsi" w:cstheme="minorHAnsi"/>
        </w:rPr>
      </w:pPr>
    </w:p>
    <w:p w:rsidR="004C4E18" w:rsidRPr="004F6692" w:rsidRDefault="004C4E18" w:rsidP="004C4E18">
      <w:pPr>
        <w:ind w:firstLine="0"/>
        <w:rPr>
          <w:rFonts w:asciiTheme="minorHAnsi" w:hAnsiTheme="minorHAnsi" w:cstheme="minorHAnsi"/>
          <w:b/>
          <w:i/>
        </w:rPr>
      </w:pPr>
      <w:r w:rsidRPr="004F6692">
        <w:rPr>
          <w:rFonts w:asciiTheme="minorHAnsi" w:hAnsiTheme="minorHAnsi" w:cstheme="minorHAnsi"/>
          <w:b/>
          <w:i/>
        </w:rPr>
        <w:t>Subsection 106(6)</w:t>
      </w:r>
    </w:p>
    <w:p w:rsidR="004C4E18" w:rsidRPr="004F6692" w:rsidRDefault="004C4E18" w:rsidP="004C4E18">
      <w:pPr>
        <w:ind w:firstLine="0"/>
        <w:rPr>
          <w:rFonts w:asciiTheme="minorHAnsi" w:hAnsiTheme="minorHAnsi" w:cstheme="minorHAnsi"/>
        </w:rPr>
      </w:pPr>
    </w:p>
    <w:p w:rsidR="004C4E18" w:rsidRPr="004F6692" w:rsidRDefault="004C4E18" w:rsidP="004C4E18">
      <w:pPr>
        <w:pStyle w:val="bodylist"/>
        <w:rPr>
          <w:rFonts w:asciiTheme="minorHAnsi" w:hAnsiTheme="minorHAnsi" w:cstheme="minorHAnsi"/>
          <w:sz w:val="22"/>
          <w:szCs w:val="22"/>
        </w:rPr>
      </w:pPr>
      <w:r w:rsidRPr="004F6692">
        <w:rPr>
          <w:rFonts w:asciiTheme="minorHAnsi" w:hAnsiTheme="minorHAnsi" w:cstheme="minorHAnsi"/>
          <w:sz w:val="22"/>
          <w:szCs w:val="22"/>
        </w:rPr>
        <w:t>This subsection provides that the condition relating to long-term sustainable diversion limits in new subsection 106(5) does not restrict the use of the proceeds of trade under section 106(3) before the sustainable diversion limits come into effect and registers of take are published by the Authority.</w:t>
      </w:r>
    </w:p>
    <w:p w:rsidR="004C4E18" w:rsidRPr="004F6692" w:rsidRDefault="004C4E18" w:rsidP="004D4ADF">
      <w:pPr>
        <w:rPr>
          <w:rFonts w:asciiTheme="minorHAnsi" w:hAnsiTheme="minorHAnsi" w:cstheme="minorHAnsi"/>
        </w:rPr>
      </w:pPr>
    </w:p>
    <w:sectPr w:rsidR="004C4E18" w:rsidRPr="004F6692" w:rsidSect="00CA794F">
      <w:pgSz w:w="11906" w:h="16838"/>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CEB" w:rsidRDefault="00DC2CEB" w:rsidP="00D90EED">
      <w:r>
        <w:separator/>
      </w:r>
    </w:p>
  </w:endnote>
  <w:endnote w:type="continuationSeparator" w:id="0">
    <w:p w:rsidR="00DC2CEB" w:rsidRDefault="00DC2CEB" w:rsidP="00D9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YInterstate Light">
    <w:altName w:val="Arial Narrow"/>
    <w:charset w:val="00"/>
    <w:family w:val="auto"/>
    <w:pitch w:val="variable"/>
    <w:sig w:usb0="00000001"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Regular">
    <w:altName w:val="Corbel"/>
    <w:charset w:val="00"/>
    <w:family w:val="auto"/>
    <w:pitch w:val="variable"/>
    <w:sig w:usb0="00000001" w:usb1="5000206A"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82E" w:rsidRDefault="004478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6B" w:rsidRDefault="005E096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94859"/>
      <w:docPartObj>
        <w:docPartGallery w:val="Page Numbers (Bottom of Page)"/>
        <w:docPartUnique/>
      </w:docPartObj>
    </w:sdtPr>
    <w:sdtEndPr/>
    <w:sdtContent>
      <w:p w:rsidR="005E096B" w:rsidRDefault="0044782E">
        <w:pPr>
          <w:pStyle w:val="Footer"/>
          <w:jc w:val="center"/>
        </w:pPr>
        <w:r>
          <w:fldChar w:fldCharType="begin"/>
        </w:r>
        <w:r>
          <w:instrText xml:space="preserve"> PAGE   \* MERGEFORMAT </w:instrText>
        </w:r>
        <w:r>
          <w:fldChar w:fldCharType="separate"/>
        </w:r>
        <w:r w:rsidR="005E096B">
          <w:rPr>
            <w:noProof/>
          </w:rPr>
          <w:t>4</w:t>
        </w:r>
        <w:r>
          <w:rPr>
            <w:noProof/>
          </w:rPr>
          <w:fldChar w:fldCharType="end"/>
        </w:r>
      </w:p>
    </w:sdtContent>
  </w:sdt>
  <w:p w:rsidR="005E096B" w:rsidRDefault="005E09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6B" w:rsidRDefault="005E096B" w:rsidP="00E74929">
    <w:pPr>
      <w:pStyle w:val="Footer"/>
      <w:spacing w:before="120"/>
      <w:ind w:firstLine="0"/>
      <w:jc w:val="right"/>
    </w:pPr>
    <w:r>
      <w:t>Version 1.2</w:t>
    </w:r>
    <w:r>
      <w:tab/>
    </w:r>
    <w:r>
      <w:tab/>
    </w:r>
    <w:sdt>
      <w:sdtPr>
        <w:id w:val="31150616"/>
        <w:docPartObj>
          <w:docPartGallery w:val="Page Numbers (Bottom of Page)"/>
          <w:docPartUnique/>
        </w:docPartObj>
      </w:sdtPr>
      <w:sdtEndPr/>
      <w:sdtContent>
        <w:r w:rsidR="0044782E">
          <w:fldChar w:fldCharType="begin"/>
        </w:r>
        <w:r w:rsidR="0044782E">
          <w:instrText xml:space="preserve"> PAGE   \* MERGEFORMAT </w:instrText>
        </w:r>
        <w:r w:rsidR="0044782E">
          <w:fldChar w:fldCharType="separate"/>
        </w:r>
        <w:r w:rsidR="0044782E">
          <w:rPr>
            <w:noProof/>
          </w:rPr>
          <w:t>15</w:t>
        </w:r>
        <w:r w:rsidR="0044782E">
          <w:rPr>
            <w:noProof/>
          </w:rPr>
          <w:fldChar w:fldCharType="end"/>
        </w:r>
      </w:sdtContent>
    </w:sdt>
  </w:p>
  <w:p w:rsidR="005E096B" w:rsidRDefault="005E096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6B" w:rsidRDefault="005E096B" w:rsidP="000E0F42">
    <w:pPr>
      <w:pStyle w:val="Footer"/>
      <w:spacing w:before="120"/>
      <w:ind w:firstLine="0"/>
      <w:jc w:val="right"/>
    </w:pPr>
    <w:r>
      <w:t>Version 1.2</w:t>
    </w:r>
    <w:r>
      <w:tab/>
    </w:r>
    <w:r>
      <w:tab/>
    </w:r>
    <w:sdt>
      <w:sdtPr>
        <w:id w:val="126423089"/>
        <w:docPartObj>
          <w:docPartGallery w:val="Page Numbers (Bottom of Page)"/>
          <w:docPartUnique/>
        </w:docPartObj>
      </w:sdtPr>
      <w:sdtEndPr/>
      <w:sdtContent>
        <w:r w:rsidR="0044782E">
          <w:fldChar w:fldCharType="begin"/>
        </w:r>
        <w:r w:rsidR="0044782E">
          <w:instrText xml:space="preserve"> PAGE   \* MERGEFORMAT </w:instrText>
        </w:r>
        <w:r w:rsidR="0044782E">
          <w:fldChar w:fldCharType="separate"/>
        </w:r>
        <w:r w:rsidR="0044782E">
          <w:rPr>
            <w:noProof/>
          </w:rPr>
          <w:t>6</w:t>
        </w:r>
        <w:r w:rsidR="0044782E">
          <w:rPr>
            <w:noProof/>
          </w:rPr>
          <w:fldChar w:fldCharType="end"/>
        </w:r>
      </w:sdtContent>
    </w:sdt>
  </w:p>
  <w:p w:rsidR="005E096B" w:rsidRDefault="005E096B" w:rsidP="000E0F4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CEB" w:rsidRDefault="00DC2CEB" w:rsidP="00CA794F">
      <w:r>
        <w:separator/>
      </w:r>
    </w:p>
  </w:footnote>
  <w:footnote w:type="continuationSeparator" w:id="0">
    <w:p w:rsidR="00DC2CEB" w:rsidRDefault="00DC2CEB" w:rsidP="00CA794F">
      <w:r>
        <w:continuationSeparator/>
      </w:r>
    </w:p>
  </w:footnote>
  <w:footnote w:id="1">
    <w:p w:rsidR="005E096B" w:rsidRPr="0033040D" w:rsidRDefault="005E096B" w:rsidP="008E4492">
      <w:pPr>
        <w:pStyle w:val="FootnoteText"/>
        <w:ind w:firstLine="0"/>
        <w:rPr>
          <w:lang w:val="en-AU"/>
        </w:rPr>
      </w:pPr>
      <w:r>
        <w:rPr>
          <w:rStyle w:val="FootnoteReference"/>
        </w:rPr>
        <w:footnoteRef/>
      </w:r>
      <w:r>
        <w:t xml:space="preserve"> </w:t>
      </w:r>
      <w:r w:rsidRPr="008C4D26">
        <w:rPr>
          <w:sz w:val="16"/>
          <w:szCs w:val="16"/>
          <w:lang w:val="en-AU"/>
        </w:rPr>
        <w:t xml:space="preserve">The CEWH is a statutory position created by the Water Act </w:t>
      </w:r>
      <w:r>
        <w:rPr>
          <w:sz w:val="16"/>
          <w:szCs w:val="16"/>
          <w:lang w:val="en-AU"/>
        </w:rPr>
        <w:t xml:space="preserve">2007 (the Water Act) </w:t>
      </w:r>
      <w:r w:rsidRPr="008C4D26">
        <w:rPr>
          <w:sz w:val="16"/>
          <w:szCs w:val="16"/>
          <w:lang w:val="en-AU"/>
        </w:rPr>
        <w:t xml:space="preserve">to manage the Commonwealth’s environmental water holdings. The </w:t>
      </w:r>
      <w:r>
        <w:rPr>
          <w:sz w:val="16"/>
          <w:szCs w:val="16"/>
          <w:lang w:val="en-AU"/>
        </w:rPr>
        <w:t>O</w:t>
      </w:r>
      <w:r w:rsidRPr="008C4D26">
        <w:rPr>
          <w:sz w:val="16"/>
          <w:szCs w:val="16"/>
          <w:lang w:val="en-AU"/>
        </w:rPr>
        <w:t xml:space="preserve">perating </w:t>
      </w:r>
      <w:r>
        <w:rPr>
          <w:sz w:val="16"/>
          <w:szCs w:val="16"/>
          <w:lang w:val="en-AU"/>
        </w:rPr>
        <w:t>R</w:t>
      </w:r>
      <w:r w:rsidRPr="008C4D26">
        <w:rPr>
          <w:sz w:val="16"/>
          <w:szCs w:val="16"/>
          <w:lang w:val="en-AU"/>
        </w:rPr>
        <w:t>ules apply only to the CEWH. The CEWH is supported by CEWO in performing its functions under the Water Act. The CEWO will undertake its role to assist the CEWH’s compliance with the operating rules.</w:t>
      </w:r>
    </w:p>
  </w:footnote>
  <w:footnote w:id="2">
    <w:p w:rsidR="005E096B" w:rsidRPr="00A31FAA" w:rsidRDefault="005E096B" w:rsidP="00CA794F">
      <w:pPr>
        <w:pStyle w:val="FootnoteText"/>
        <w:ind w:firstLine="0"/>
        <w:rPr>
          <w:lang w:val="en-AU"/>
        </w:rPr>
      </w:pPr>
      <w:r>
        <w:rPr>
          <w:rStyle w:val="FootnoteReference"/>
        </w:rPr>
        <w:footnoteRef/>
      </w:r>
      <w:r>
        <w:t xml:space="preserve"> </w:t>
      </w:r>
      <w:r w:rsidRPr="001C36E5">
        <w:rPr>
          <w:sz w:val="16"/>
          <w:szCs w:val="16"/>
          <w:lang w:val="en-AU"/>
        </w:rPr>
        <w:t xml:space="preserve">Consistent with the Commonwealth Procurement Rules, trades with </w:t>
      </w:r>
      <w:r w:rsidRPr="00D035DC">
        <w:rPr>
          <w:sz w:val="16"/>
          <w:szCs w:val="16"/>
          <w:lang w:val="en-AU"/>
        </w:rPr>
        <w:t>a value above the FMA Act threshold of $80,000 will use an open approach to market, which includes the release of a market asse</w:t>
      </w:r>
      <w:r>
        <w:rPr>
          <w:sz w:val="16"/>
          <w:szCs w:val="16"/>
          <w:lang w:val="en-AU"/>
        </w:rPr>
        <w:t>ssment</w:t>
      </w:r>
      <w:r w:rsidRPr="001C36E5">
        <w:rPr>
          <w:sz w:val="16"/>
          <w:szCs w:val="16"/>
          <w:lang w:val="en-AU"/>
        </w:rPr>
        <w:t>. Trades below this threshold may use a</w:t>
      </w:r>
      <w:r>
        <w:rPr>
          <w:sz w:val="16"/>
          <w:szCs w:val="16"/>
          <w:lang w:val="en-AU"/>
        </w:rPr>
        <w:t>n</w:t>
      </w:r>
      <w:r w:rsidRPr="001C36E5">
        <w:rPr>
          <w:sz w:val="16"/>
          <w:szCs w:val="16"/>
          <w:lang w:val="en-AU"/>
        </w:rPr>
        <w:t xml:space="preserve"> approach that is efficient, effective and appropriate to the circumstances.</w:t>
      </w:r>
    </w:p>
  </w:footnote>
  <w:footnote w:id="3">
    <w:p w:rsidR="005E096B" w:rsidRPr="004C5989" w:rsidRDefault="005E096B" w:rsidP="00CA794F">
      <w:pPr>
        <w:pStyle w:val="FootnoteText"/>
        <w:ind w:firstLine="0"/>
        <w:rPr>
          <w:lang w:val="en-AU"/>
        </w:rPr>
      </w:pPr>
      <w:r>
        <w:rPr>
          <w:rStyle w:val="FootnoteReference"/>
        </w:rPr>
        <w:footnoteRef/>
      </w:r>
      <w:r>
        <w:t xml:space="preserve"> </w:t>
      </w:r>
      <w:r w:rsidRPr="001C36E5">
        <w:rPr>
          <w:sz w:val="16"/>
          <w:szCs w:val="16"/>
          <w:lang w:val="en-AU"/>
        </w:rPr>
        <w:t xml:space="preserve">Consistent with the Commonwealth Procurement Rules, trades with </w:t>
      </w:r>
      <w:r w:rsidRPr="00D035DC">
        <w:rPr>
          <w:sz w:val="16"/>
          <w:szCs w:val="16"/>
          <w:lang w:val="en-AU"/>
        </w:rPr>
        <w:t>a value above the FMA Act threshold of $80,000 will use an open approach to market, which includes the release of a market asse</w:t>
      </w:r>
      <w:r>
        <w:rPr>
          <w:sz w:val="16"/>
          <w:szCs w:val="16"/>
          <w:lang w:val="en-AU"/>
        </w:rPr>
        <w:t>ssment</w:t>
      </w:r>
      <w:r w:rsidRPr="001C36E5">
        <w:rPr>
          <w:sz w:val="16"/>
          <w:szCs w:val="16"/>
          <w:lang w:val="en-AU"/>
        </w:rPr>
        <w:t>. Trades below this threshold may use a</w:t>
      </w:r>
      <w:r>
        <w:rPr>
          <w:sz w:val="16"/>
          <w:szCs w:val="16"/>
          <w:lang w:val="en-AU"/>
        </w:rPr>
        <w:t>n</w:t>
      </w:r>
      <w:r w:rsidRPr="001C36E5">
        <w:rPr>
          <w:sz w:val="16"/>
          <w:szCs w:val="16"/>
          <w:lang w:val="en-AU"/>
        </w:rPr>
        <w:t xml:space="preserve"> approach that is efficient, effective and appropriate to the circumstances.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6B" w:rsidRDefault="005E096B" w:rsidP="00CA794F">
    <w:pPr>
      <w:pStyle w:val="Classification"/>
    </w:pPr>
    <w:r>
      <w:fldChar w:fldCharType="begin"/>
    </w:r>
    <w:r>
      <w:instrText xml:space="preserve"> DOCPROPERTY SecurityClassification \* MERGEFORMAT </w:instrText>
    </w:r>
    <w:r>
      <w:fldChar w:fldCharType="separate"/>
    </w:r>
    <w:r>
      <w:rPr>
        <w:b/>
        <w:bC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82E" w:rsidRDefault="004478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82E" w:rsidRDefault="004478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3AB6A26"/>
    <w:multiLevelType w:val="hybridMultilevel"/>
    <w:tmpl w:val="F6720626"/>
    <w:lvl w:ilvl="0" w:tplc="AC20B27A">
      <w:start w:val="1"/>
      <w:numFmt w:val="bullet"/>
      <w:lvlText w:val=""/>
      <w:lvlJc w:val="left"/>
      <w:pPr>
        <w:ind w:left="720" w:hanging="360"/>
      </w:pPr>
      <w:rPr>
        <w:rFonts w:ascii="Symbol" w:hAnsi="Symbol" w:hint="default"/>
      </w:rPr>
    </w:lvl>
    <w:lvl w:ilvl="1" w:tplc="6D001DB6" w:tentative="1">
      <w:start w:val="1"/>
      <w:numFmt w:val="bullet"/>
      <w:lvlText w:val="o"/>
      <w:lvlJc w:val="left"/>
      <w:pPr>
        <w:ind w:left="1440" w:hanging="360"/>
      </w:pPr>
      <w:rPr>
        <w:rFonts w:ascii="Courier New" w:hAnsi="Courier New" w:cs="Courier New" w:hint="default"/>
      </w:rPr>
    </w:lvl>
    <w:lvl w:ilvl="2" w:tplc="565A1328" w:tentative="1">
      <w:start w:val="1"/>
      <w:numFmt w:val="bullet"/>
      <w:lvlText w:val=""/>
      <w:lvlJc w:val="left"/>
      <w:pPr>
        <w:ind w:left="2160" w:hanging="360"/>
      </w:pPr>
      <w:rPr>
        <w:rFonts w:ascii="Wingdings" w:hAnsi="Wingdings" w:hint="default"/>
      </w:rPr>
    </w:lvl>
    <w:lvl w:ilvl="3" w:tplc="257EC934" w:tentative="1">
      <w:start w:val="1"/>
      <w:numFmt w:val="bullet"/>
      <w:lvlText w:val=""/>
      <w:lvlJc w:val="left"/>
      <w:pPr>
        <w:ind w:left="2880" w:hanging="360"/>
      </w:pPr>
      <w:rPr>
        <w:rFonts w:ascii="Symbol" w:hAnsi="Symbol" w:hint="default"/>
      </w:rPr>
    </w:lvl>
    <w:lvl w:ilvl="4" w:tplc="75F6FDD6" w:tentative="1">
      <w:start w:val="1"/>
      <w:numFmt w:val="bullet"/>
      <w:lvlText w:val="o"/>
      <w:lvlJc w:val="left"/>
      <w:pPr>
        <w:ind w:left="3600" w:hanging="360"/>
      </w:pPr>
      <w:rPr>
        <w:rFonts w:ascii="Courier New" w:hAnsi="Courier New" w:cs="Courier New" w:hint="default"/>
      </w:rPr>
    </w:lvl>
    <w:lvl w:ilvl="5" w:tplc="A6081ECA" w:tentative="1">
      <w:start w:val="1"/>
      <w:numFmt w:val="bullet"/>
      <w:lvlText w:val=""/>
      <w:lvlJc w:val="left"/>
      <w:pPr>
        <w:ind w:left="4320" w:hanging="360"/>
      </w:pPr>
      <w:rPr>
        <w:rFonts w:ascii="Wingdings" w:hAnsi="Wingdings" w:hint="default"/>
      </w:rPr>
    </w:lvl>
    <w:lvl w:ilvl="6" w:tplc="7C3CAA78" w:tentative="1">
      <w:start w:val="1"/>
      <w:numFmt w:val="bullet"/>
      <w:lvlText w:val=""/>
      <w:lvlJc w:val="left"/>
      <w:pPr>
        <w:ind w:left="5040" w:hanging="360"/>
      </w:pPr>
      <w:rPr>
        <w:rFonts w:ascii="Symbol" w:hAnsi="Symbol" w:hint="default"/>
      </w:rPr>
    </w:lvl>
    <w:lvl w:ilvl="7" w:tplc="6942855A" w:tentative="1">
      <w:start w:val="1"/>
      <w:numFmt w:val="bullet"/>
      <w:lvlText w:val="o"/>
      <w:lvlJc w:val="left"/>
      <w:pPr>
        <w:ind w:left="5760" w:hanging="360"/>
      </w:pPr>
      <w:rPr>
        <w:rFonts w:ascii="Courier New" w:hAnsi="Courier New" w:cs="Courier New" w:hint="default"/>
      </w:rPr>
    </w:lvl>
    <w:lvl w:ilvl="8" w:tplc="5A701746" w:tentative="1">
      <w:start w:val="1"/>
      <w:numFmt w:val="bullet"/>
      <w:lvlText w:val=""/>
      <w:lvlJc w:val="left"/>
      <w:pPr>
        <w:ind w:left="6480" w:hanging="360"/>
      </w:pPr>
      <w:rPr>
        <w:rFonts w:ascii="Wingdings" w:hAnsi="Wingdings" w:hint="default"/>
      </w:rPr>
    </w:lvl>
  </w:abstractNum>
  <w:abstractNum w:abstractNumId="2" w15:restartNumberingAfterBreak="0">
    <w:nsid w:val="047F251E"/>
    <w:multiLevelType w:val="hybridMultilevel"/>
    <w:tmpl w:val="78282CC4"/>
    <w:lvl w:ilvl="0" w:tplc="FF46E61E">
      <w:start w:val="1"/>
      <w:numFmt w:val="bullet"/>
      <w:lvlText w:val=""/>
      <w:lvlJc w:val="left"/>
      <w:pPr>
        <w:ind w:left="720" w:hanging="360"/>
      </w:pPr>
      <w:rPr>
        <w:rFonts w:ascii="Symbol" w:hAnsi="Symbol" w:hint="default"/>
      </w:rPr>
    </w:lvl>
    <w:lvl w:ilvl="1" w:tplc="89088B94" w:tentative="1">
      <w:start w:val="1"/>
      <w:numFmt w:val="bullet"/>
      <w:lvlText w:val="o"/>
      <w:lvlJc w:val="left"/>
      <w:pPr>
        <w:ind w:left="1440" w:hanging="360"/>
      </w:pPr>
      <w:rPr>
        <w:rFonts w:ascii="Courier New" w:hAnsi="Courier New" w:cs="Courier New" w:hint="default"/>
      </w:rPr>
    </w:lvl>
    <w:lvl w:ilvl="2" w:tplc="510A7A14" w:tentative="1">
      <w:start w:val="1"/>
      <w:numFmt w:val="bullet"/>
      <w:lvlText w:val=""/>
      <w:lvlJc w:val="left"/>
      <w:pPr>
        <w:ind w:left="2160" w:hanging="360"/>
      </w:pPr>
      <w:rPr>
        <w:rFonts w:ascii="Wingdings" w:hAnsi="Wingdings" w:hint="default"/>
      </w:rPr>
    </w:lvl>
    <w:lvl w:ilvl="3" w:tplc="B0900B9E" w:tentative="1">
      <w:start w:val="1"/>
      <w:numFmt w:val="bullet"/>
      <w:lvlText w:val=""/>
      <w:lvlJc w:val="left"/>
      <w:pPr>
        <w:ind w:left="2880" w:hanging="360"/>
      </w:pPr>
      <w:rPr>
        <w:rFonts w:ascii="Symbol" w:hAnsi="Symbol" w:hint="default"/>
      </w:rPr>
    </w:lvl>
    <w:lvl w:ilvl="4" w:tplc="F4BE9C8C" w:tentative="1">
      <w:start w:val="1"/>
      <w:numFmt w:val="bullet"/>
      <w:lvlText w:val="o"/>
      <w:lvlJc w:val="left"/>
      <w:pPr>
        <w:ind w:left="3600" w:hanging="360"/>
      </w:pPr>
      <w:rPr>
        <w:rFonts w:ascii="Courier New" w:hAnsi="Courier New" w:cs="Courier New" w:hint="default"/>
      </w:rPr>
    </w:lvl>
    <w:lvl w:ilvl="5" w:tplc="3432AB32" w:tentative="1">
      <w:start w:val="1"/>
      <w:numFmt w:val="bullet"/>
      <w:lvlText w:val=""/>
      <w:lvlJc w:val="left"/>
      <w:pPr>
        <w:ind w:left="4320" w:hanging="360"/>
      </w:pPr>
      <w:rPr>
        <w:rFonts w:ascii="Wingdings" w:hAnsi="Wingdings" w:hint="default"/>
      </w:rPr>
    </w:lvl>
    <w:lvl w:ilvl="6" w:tplc="0AC0E31E" w:tentative="1">
      <w:start w:val="1"/>
      <w:numFmt w:val="bullet"/>
      <w:lvlText w:val=""/>
      <w:lvlJc w:val="left"/>
      <w:pPr>
        <w:ind w:left="5040" w:hanging="360"/>
      </w:pPr>
      <w:rPr>
        <w:rFonts w:ascii="Symbol" w:hAnsi="Symbol" w:hint="default"/>
      </w:rPr>
    </w:lvl>
    <w:lvl w:ilvl="7" w:tplc="B5005592" w:tentative="1">
      <w:start w:val="1"/>
      <w:numFmt w:val="bullet"/>
      <w:lvlText w:val="o"/>
      <w:lvlJc w:val="left"/>
      <w:pPr>
        <w:ind w:left="5760" w:hanging="360"/>
      </w:pPr>
      <w:rPr>
        <w:rFonts w:ascii="Courier New" w:hAnsi="Courier New" w:cs="Courier New" w:hint="default"/>
      </w:rPr>
    </w:lvl>
    <w:lvl w:ilvl="8" w:tplc="3FCE0C4C" w:tentative="1">
      <w:start w:val="1"/>
      <w:numFmt w:val="bullet"/>
      <w:lvlText w:val=""/>
      <w:lvlJc w:val="left"/>
      <w:pPr>
        <w:ind w:left="6480" w:hanging="360"/>
      </w:pPr>
      <w:rPr>
        <w:rFonts w:ascii="Wingdings" w:hAnsi="Wingdings" w:hint="default"/>
      </w:rPr>
    </w:lvl>
  </w:abstractNum>
  <w:abstractNum w:abstractNumId="3" w15:restartNumberingAfterBreak="0">
    <w:nsid w:val="074F031D"/>
    <w:multiLevelType w:val="multilevel"/>
    <w:tmpl w:val="1C8C9A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A0E93"/>
    <w:multiLevelType w:val="multilevel"/>
    <w:tmpl w:val="CC4862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B748BC"/>
    <w:multiLevelType w:val="hybridMultilevel"/>
    <w:tmpl w:val="2766DA72"/>
    <w:lvl w:ilvl="0" w:tplc="4804404E">
      <w:start w:val="1"/>
      <w:numFmt w:val="bullet"/>
      <w:lvlText w:val=""/>
      <w:lvlJc w:val="left"/>
      <w:pPr>
        <w:ind w:left="720" w:hanging="360"/>
      </w:pPr>
      <w:rPr>
        <w:rFonts w:ascii="Symbol" w:hAnsi="Symbol" w:hint="default"/>
      </w:rPr>
    </w:lvl>
    <w:lvl w:ilvl="1" w:tplc="72F810FE" w:tentative="1">
      <w:start w:val="1"/>
      <w:numFmt w:val="bullet"/>
      <w:lvlText w:val="o"/>
      <w:lvlJc w:val="left"/>
      <w:pPr>
        <w:ind w:left="1440" w:hanging="360"/>
      </w:pPr>
      <w:rPr>
        <w:rFonts w:ascii="Courier New" w:hAnsi="Courier New" w:cs="Courier New" w:hint="default"/>
      </w:rPr>
    </w:lvl>
    <w:lvl w:ilvl="2" w:tplc="2D044602" w:tentative="1">
      <w:start w:val="1"/>
      <w:numFmt w:val="bullet"/>
      <w:lvlText w:val=""/>
      <w:lvlJc w:val="left"/>
      <w:pPr>
        <w:ind w:left="2160" w:hanging="360"/>
      </w:pPr>
      <w:rPr>
        <w:rFonts w:ascii="Wingdings" w:hAnsi="Wingdings" w:hint="default"/>
      </w:rPr>
    </w:lvl>
    <w:lvl w:ilvl="3" w:tplc="352A14B2" w:tentative="1">
      <w:start w:val="1"/>
      <w:numFmt w:val="bullet"/>
      <w:lvlText w:val=""/>
      <w:lvlJc w:val="left"/>
      <w:pPr>
        <w:ind w:left="2880" w:hanging="360"/>
      </w:pPr>
      <w:rPr>
        <w:rFonts w:ascii="Symbol" w:hAnsi="Symbol" w:hint="default"/>
      </w:rPr>
    </w:lvl>
    <w:lvl w:ilvl="4" w:tplc="2ECA77E2" w:tentative="1">
      <w:start w:val="1"/>
      <w:numFmt w:val="bullet"/>
      <w:lvlText w:val="o"/>
      <w:lvlJc w:val="left"/>
      <w:pPr>
        <w:ind w:left="3600" w:hanging="360"/>
      </w:pPr>
      <w:rPr>
        <w:rFonts w:ascii="Courier New" w:hAnsi="Courier New" w:cs="Courier New" w:hint="default"/>
      </w:rPr>
    </w:lvl>
    <w:lvl w:ilvl="5" w:tplc="8D1CDCD4" w:tentative="1">
      <w:start w:val="1"/>
      <w:numFmt w:val="bullet"/>
      <w:lvlText w:val=""/>
      <w:lvlJc w:val="left"/>
      <w:pPr>
        <w:ind w:left="4320" w:hanging="360"/>
      </w:pPr>
      <w:rPr>
        <w:rFonts w:ascii="Wingdings" w:hAnsi="Wingdings" w:hint="default"/>
      </w:rPr>
    </w:lvl>
    <w:lvl w:ilvl="6" w:tplc="62B8A1DA" w:tentative="1">
      <w:start w:val="1"/>
      <w:numFmt w:val="bullet"/>
      <w:lvlText w:val=""/>
      <w:lvlJc w:val="left"/>
      <w:pPr>
        <w:ind w:left="5040" w:hanging="360"/>
      </w:pPr>
      <w:rPr>
        <w:rFonts w:ascii="Symbol" w:hAnsi="Symbol" w:hint="default"/>
      </w:rPr>
    </w:lvl>
    <w:lvl w:ilvl="7" w:tplc="B2BEA5C0" w:tentative="1">
      <w:start w:val="1"/>
      <w:numFmt w:val="bullet"/>
      <w:lvlText w:val="o"/>
      <w:lvlJc w:val="left"/>
      <w:pPr>
        <w:ind w:left="5760" w:hanging="360"/>
      </w:pPr>
      <w:rPr>
        <w:rFonts w:ascii="Courier New" w:hAnsi="Courier New" w:cs="Courier New" w:hint="default"/>
      </w:rPr>
    </w:lvl>
    <w:lvl w:ilvl="8" w:tplc="4B44D9BA" w:tentative="1">
      <w:start w:val="1"/>
      <w:numFmt w:val="bullet"/>
      <w:lvlText w:val=""/>
      <w:lvlJc w:val="left"/>
      <w:pPr>
        <w:ind w:left="6480" w:hanging="360"/>
      </w:pPr>
      <w:rPr>
        <w:rFonts w:ascii="Wingdings" w:hAnsi="Wingdings" w:hint="default"/>
      </w:rPr>
    </w:lvl>
  </w:abstractNum>
  <w:abstractNum w:abstractNumId="6" w15:restartNumberingAfterBreak="0">
    <w:nsid w:val="13E01EFF"/>
    <w:multiLevelType w:val="hybridMultilevel"/>
    <w:tmpl w:val="86BC4546"/>
    <w:lvl w:ilvl="0" w:tplc="14BCDADC">
      <w:start w:val="1"/>
      <w:numFmt w:val="bullet"/>
      <w:lvlText w:val=""/>
      <w:lvlJc w:val="left"/>
      <w:pPr>
        <w:ind w:left="720" w:hanging="360"/>
      </w:pPr>
      <w:rPr>
        <w:rFonts w:ascii="Symbol" w:hAnsi="Symbol" w:hint="default"/>
      </w:rPr>
    </w:lvl>
    <w:lvl w:ilvl="1" w:tplc="B33A35B6" w:tentative="1">
      <w:start w:val="1"/>
      <w:numFmt w:val="bullet"/>
      <w:lvlText w:val="o"/>
      <w:lvlJc w:val="left"/>
      <w:pPr>
        <w:ind w:left="1440" w:hanging="360"/>
      </w:pPr>
      <w:rPr>
        <w:rFonts w:ascii="Courier New" w:hAnsi="Courier New" w:cs="Courier New" w:hint="default"/>
      </w:rPr>
    </w:lvl>
    <w:lvl w:ilvl="2" w:tplc="0C1C093E" w:tentative="1">
      <w:start w:val="1"/>
      <w:numFmt w:val="bullet"/>
      <w:lvlText w:val=""/>
      <w:lvlJc w:val="left"/>
      <w:pPr>
        <w:ind w:left="2160" w:hanging="360"/>
      </w:pPr>
      <w:rPr>
        <w:rFonts w:ascii="Wingdings" w:hAnsi="Wingdings" w:hint="default"/>
      </w:rPr>
    </w:lvl>
    <w:lvl w:ilvl="3" w:tplc="F28C7C0C" w:tentative="1">
      <w:start w:val="1"/>
      <w:numFmt w:val="bullet"/>
      <w:lvlText w:val=""/>
      <w:lvlJc w:val="left"/>
      <w:pPr>
        <w:ind w:left="2880" w:hanging="360"/>
      </w:pPr>
      <w:rPr>
        <w:rFonts w:ascii="Symbol" w:hAnsi="Symbol" w:hint="default"/>
      </w:rPr>
    </w:lvl>
    <w:lvl w:ilvl="4" w:tplc="748C97EA" w:tentative="1">
      <w:start w:val="1"/>
      <w:numFmt w:val="bullet"/>
      <w:lvlText w:val="o"/>
      <w:lvlJc w:val="left"/>
      <w:pPr>
        <w:ind w:left="3600" w:hanging="360"/>
      </w:pPr>
      <w:rPr>
        <w:rFonts w:ascii="Courier New" w:hAnsi="Courier New" w:cs="Courier New" w:hint="default"/>
      </w:rPr>
    </w:lvl>
    <w:lvl w:ilvl="5" w:tplc="972A9BA0" w:tentative="1">
      <w:start w:val="1"/>
      <w:numFmt w:val="bullet"/>
      <w:lvlText w:val=""/>
      <w:lvlJc w:val="left"/>
      <w:pPr>
        <w:ind w:left="4320" w:hanging="360"/>
      </w:pPr>
      <w:rPr>
        <w:rFonts w:ascii="Wingdings" w:hAnsi="Wingdings" w:hint="default"/>
      </w:rPr>
    </w:lvl>
    <w:lvl w:ilvl="6" w:tplc="E6EC985C" w:tentative="1">
      <w:start w:val="1"/>
      <w:numFmt w:val="bullet"/>
      <w:lvlText w:val=""/>
      <w:lvlJc w:val="left"/>
      <w:pPr>
        <w:ind w:left="5040" w:hanging="360"/>
      </w:pPr>
      <w:rPr>
        <w:rFonts w:ascii="Symbol" w:hAnsi="Symbol" w:hint="default"/>
      </w:rPr>
    </w:lvl>
    <w:lvl w:ilvl="7" w:tplc="9C12002A" w:tentative="1">
      <w:start w:val="1"/>
      <w:numFmt w:val="bullet"/>
      <w:lvlText w:val="o"/>
      <w:lvlJc w:val="left"/>
      <w:pPr>
        <w:ind w:left="5760" w:hanging="360"/>
      </w:pPr>
      <w:rPr>
        <w:rFonts w:ascii="Courier New" w:hAnsi="Courier New" w:cs="Courier New" w:hint="default"/>
      </w:rPr>
    </w:lvl>
    <w:lvl w:ilvl="8" w:tplc="B204DAF4" w:tentative="1">
      <w:start w:val="1"/>
      <w:numFmt w:val="bullet"/>
      <w:lvlText w:val=""/>
      <w:lvlJc w:val="left"/>
      <w:pPr>
        <w:ind w:left="6480" w:hanging="360"/>
      </w:pPr>
      <w:rPr>
        <w:rFonts w:ascii="Wingdings" w:hAnsi="Wingdings" w:hint="default"/>
      </w:rPr>
    </w:lvl>
  </w:abstractNum>
  <w:abstractNum w:abstractNumId="7" w15:restartNumberingAfterBreak="0">
    <w:nsid w:val="152C7CA6"/>
    <w:multiLevelType w:val="multilevel"/>
    <w:tmpl w:val="9514CCA6"/>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bullet"/>
      <w:lvlText w:val="◦"/>
      <w:lvlJc w:val="left"/>
      <w:pPr>
        <w:ind w:left="1224" w:hanging="504"/>
      </w:pPr>
      <w:rPr>
        <w:rFonts w:ascii="Calibri" w:hAnsi="Calibri"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8" w15:restartNumberingAfterBreak="0">
    <w:nsid w:val="1B641496"/>
    <w:multiLevelType w:val="multilevel"/>
    <w:tmpl w:val="D786E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47382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C11B2E"/>
    <w:multiLevelType w:val="multilevel"/>
    <w:tmpl w:val="C0562E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45BC2"/>
    <w:multiLevelType w:val="multilevel"/>
    <w:tmpl w:val="E5D8220E"/>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12" w15:restartNumberingAfterBreak="0">
    <w:nsid w:val="1FC45697"/>
    <w:multiLevelType w:val="hybridMultilevel"/>
    <w:tmpl w:val="42E0EA06"/>
    <w:lvl w:ilvl="0" w:tplc="C198957C">
      <w:start w:val="1"/>
      <w:numFmt w:val="bullet"/>
      <w:lvlText w:val=""/>
      <w:lvlJc w:val="left"/>
      <w:pPr>
        <w:ind w:left="1080" w:hanging="360"/>
      </w:pPr>
      <w:rPr>
        <w:rFonts w:ascii="Symbol" w:hAnsi="Symbol" w:hint="default"/>
      </w:rPr>
    </w:lvl>
    <w:lvl w:ilvl="1" w:tplc="2C32E22E" w:tentative="1">
      <w:start w:val="1"/>
      <w:numFmt w:val="bullet"/>
      <w:lvlText w:val="o"/>
      <w:lvlJc w:val="left"/>
      <w:pPr>
        <w:ind w:left="1800" w:hanging="360"/>
      </w:pPr>
      <w:rPr>
        <w:rFonts w:ascii="Courier New" w:hAnsi="Courier New" w:cs="Courier New" w:hint="default"/>
      </w:rPr>
    </w:lvl>
    <w:lvl w:ilvl="2" w:tplc="83DADDFE" w:tentative="1">
      <w:start w:val="1"/>
      <w:numFmt w:val="bullet"/>
      <w:lvlText w:val=""/>
      <w:lvlJc w:val="left"/>
      <w:pPr>
        <w:ind w:left="2520" w:hanging="360"/>
      </w:pPr>
      <w:rPr>
        <w:rFonts w:ascii="Wingdings" w:hAnsi="Wingdings" w:hint="default"/>
      </w:rPr>
    </w:lvl>
    <w:lvl w:ilvl="3" w:tplc="FD229FFE" w:tentative="1">
      <w:start w:val="1"/>
      <w:numFmt w:val="bullet"/>
      <w:lvlText w:val=""/>
      <w:lvlJc w:val="left"/>
      <w:pPr>
        <w:ind w:left="3240" w:hanging="360"/>
      </w:pPr>
      <w:rPr>
        <w:rFonts w:ascii="Symbol" w:hAnsi="Symbol" w:hint="default"/>
      </w:rPr>
    </w:lvl>
    <w:lvl w:ilvl="4" w:tplc="4CC6A880" w:tentative="1">
      <w:start w:val="1"/>
      <w:numFmt w:val="bullet"/>
      <w:lvlText w:val="o"/>
      <w:lvlJc w:val="left"/>
      <w:pPr>
        <w:ind w:left="3960" w:hanging="360"/>
      </w:pPr>
      <w:rPr>
        <w:rFonts w:ascii="Courier New" w:hAnsi="Courier New" w:cs="Courier New" w:hint="default"/>
      </w:rPr>
    </w:lvl>
    <w:lvl w:ilvl="5" w:tplc="B8FE921E" w:tentative="1">
      <w:start w:val="1"/>
      <w:numFmt w:val="bullet"/>
      <w:lvlText w:val=""/>
      <w:lvlJc w:val="left"/>
      <w:pPr>
        <w:ind w:left="4680" w:hanging="360"/>
      </w:pPr>
      <w:rPr>
        <w:rFonts w:ascii="Wingdings" w:hAnsi="Wingdings" w:hint="default"/>
      </w:rPr>
    </w:lvl>
    <w:lvl w:ilvl="6" w:tplc="304E6EDC" w:tentative="1">
      <w:start w:val="1"/>
      <w:numFmt w:val="bullet"/>
      <w:lvlText w:val=""/>
      <w:lvlJc w:val="left"/>
      <w:pPr>
        <w:ind w:left="5400" w:hanging="360"/>
      </w:pPr>
      <w:rPr>
        <w:rFonts w:ascii="Symbol" w:hAnsi="Symbol" w:hint="default"/>
      </w:rPr>
    </w:lvl>
    <w:lvl w:ilvl="7" w:tplc="6D28246C" w:tentative="1">
      <w:start w:val="1"/>
      <w:numFmt w:val="bullet"/>
      <w:lvlText w:val="o"/>
      <w:lvlJc w:val="left"/>
      <w:pPr>
        <w:ind w:left="6120" w:hanging="360"/>
      </w:pPr>
      <w:rPr>
        <w:rFonts w:ascii="Courier New" w:hAnsi="Courier New" w:cs="Courier New" w:hint="default"/>
      </w:rPr>
    </w:lvl>
    <w:lvl w:ilvl="8" w:tplc="9596330C" w:tentative="1">
      <w:start w:val="1"/>
      <w:numFmt w:val="bullet"/>
      <w:lvlText w:val=""/>
      <w:lvlJc w:val="left"/>
      <w:pPr>
        <w:ind w:left="6840" w:hanging="360"/>
      </w:pPr>
      <w:rPr>
        <w:rFonts w:ascii="Wingdings" w:hAnsi="Wingdings" w:hint="default"/>
      </w:rPr>
    </w:lvl>
  </w:abstractNum>
  <w:abstractNum w:abstractNumId="13" w15:restartNumberingAfterBreak="0">
    <w:nsid w:val="248C3D0B"/>
    <w:multiLevelType w:val="hybridMultilevel"/>
    <w:tmpl w:val="11C88F8A"/>
    <w:lvl w:ilvl="0" w:tplc="CE807EC8">
      <w:start w:val="1"/>
      <w:numFmt w:val="lowerLetter"/>
      <w:lvlText w:val="%1."/>
      <w:lvlJc w:val="left"/>
      <w:pPr>
        <w:ind w:left="360" w:hanging="360"/>
      </w:pPr>
    </w:lvl>
    <w:lvl w:ilvl="1" w:tplc="392A7E4E" w:tentative="1">
      <w:start w:val="1"/>
      <w:numFmt w:val="lowerLetter"/>
      <w:lvlText w:val="%2."/>
      <w:lvlJc w:val="left"/>
      <w:pPr>
        <w:ind w:left="1080" w:hanging="360"/>
      </w:pPr>
    </w:lvl>
    <w:lvl w:ilvl="2" w:tplc="F3BADE90" w:tentative="1">
      <w:start w:val="1"/>
      <w:numFmt w:val="lowerRoman"/>
      <w:lvlText w:val="%3."/>
      <w:lvlJc w:val="right"/>
      <w:pPr>
        <w:ind w:left="1800" w:hanging="180"/>
      </w:pPr>
    </w:lvl>
    <w:lvl w:ilvl="3" w:tplc="E2383D02" w:tentative="1">
      <w:start w:val="1"/>
      <w:numFmt w:val="decimal"/>
      <w:lvlText w:val="%4."/>
      <w:lvlJc w:val="left"/>
      <w:pPr>
        <w:ind w:left="2520" w:hanging="360"/>
      </w:pPr>
    </w:lvl>
    <w:lvl w:ilvl="4" w:tplc="F608173C" w:tentative="1">
      <w:start w:val="1"/>
      <w:numFmt w:val="lowerLetter"/>
      <w:lvlText w:val="%5."/>
      <w:lvlJc w:val="left"/>
      <w:pPr>
        <w:ind w:left="3240" w:hanging="360"/>
      </w:pPr>
    </w:lvl>
    <w:lvl w:ilvl="5" w:tplc="A642D89E" w:tentative="1">
      <w:start w:val="1"/>
      <w:numFmt w:val="lowerRoman"/>
      <w:lvlText w:val="%6."/>
      <w:lvlJc w:val="right"/>
      <w:pPr>
        <w:ind w:left="3960" w:hanging="180"/>
      </w:pPr>
    </w:lvl>
    <w:lvl w:ilvl="6" w:tplc="9D1A883C" w:tentative="1">
      <w:start w:val="1"/>
      <w:numFmt w:val="decimal"/>
      <w:lvlText w:val="%7."/>
      <w:lvlJc w:val="left"/>
      <w:pPr>
        <w:ind w:left="4680" w:hanging="360"/>
      </w:pPr>
    </w:lvl>
    <w:lvl w:ilvl="7" w:tplc="0A36FD9A" w:tentative="1">
      <w:start w:val="1"/>
      <w:numFmt w:val="lowerLetter"/>
      <w:lvlText w:val="%8."/>
      <w:lvlJc w:val="left"/>
      <w:pPr>
        <w:ind w:left="5400" w:hanging="360"/>
      </w:pPr>
    </w:lvl>
    <w:lvl w:ilvl="8" w:tplc="AF723C2A" w:tentative="1">
      <w:start w:val="1"/>
      <w:numFmt w:val="lowerRoman"/>
      <w:lvlText w:val="%9."/>
      <w:lvlJc w:val="right"/>
      <w:pPr>
        <w:ind w:left="6120" w:hanging="180"/>
      </w:pPr>
    </w:lvl>
  </w:abstractNum>
  <w:abstractNum w:abstractNumId="14" w15:restartNumberingAfterBreak="0">
    <w:nsid w:val="2C061F4C"/>
    <w:multiLevelType w:val="hybridMultilevel"/>
    <w:tmpl w:val="B0122198"/>
    <w:lvl w:ilvl="0" w:tplc="2ABE3E38">
      <w:start w:val="1"/>
      <w:numFmt w:val="bullet"/>
      <w:lvlText w:val=""/>
      <w:lvlJc w:val="left"/>
      <w:pPr>
        <w:ind w:left="720" w:hanging="360"/>
      </w:pPr>
      <w:rPr>
        <w:rFonts w:ascii="Symbol" w:hAnsi="Symbol" w:hint="default"/>
      </w:rPr>
    </w:lvl>
    <w:lvl w:ilvl="1" w:tplc="418C2D94" w:tentative="1">
      <w:start w:val="1"/>
      <w:numFmt w:val="bullet"/>
      <w:lvlText w:val="o"/>
      <w:lvlJc w:val="left"/>
      <w:pPr>
        <w:ind w:left="1440" w:hanging="360"/>
      </w:pPr>
      <w:rPr>
        <w:rFonts w:ascii="Courier New" w:hAnsi="Courier New" w:cs="Courier New" w:hint="default"/>
      </w:rPr>
    </w:lvl>
    <w:lvl w:ilvl="2" w:tplc="E6A614E4" w:tentative="1">
      <w:start w:val="1"/>
      <w:numFmt w:val="bullet"/>
      <w:lvlText w:val=""/>
      <w:lvlJc w:val="left"/>
      <w:pPr>
        <w:ind w:left="2160" w:hanging="360"/>
      </w:pPr>
      <w:rPr>
        <w:rFonts w:ascii="Wingdings" w:hAnsi="Wingdings" w:hint="default"/>
      </w:rPr>
    </w:lvl>
    <w:lvl w:ilvl="3" w:tplc="BE960F3A" w:tentative="1">
      <w:start w:val="1"/>
      <w:numFmt w:val="bullet"/>
      <w:lvlText w:val=""/>
      <w:lvlJc w:val="left"/>
      <w:pPr>
        <w:ind w:left="2880" w:hanging="360"/>
      </w:pPr>
      <w:rPr>
        <w:rFonts w:ascii="Symbol" w:hAnsi="Symbol" w:hint="default"/>
      </w:rPr>
    </w:lvl>
    <w:lvl w:ilvl="4" w:tplc="A314A09A" w:tentative="1">
      <w:start w:val="1"/>
      <w:numFmt w:val="bullet"/>
      <w:lvlText w:val="o"/>
      <w:lvlJc w:val="left"/>
      <w:pPr>
        <w:ind w:left="3600" w:hanging="360"/>
      </w:pPr>
      <w:rPr>
        <w:rFonts w:ascii="Courier New" w:hAnsi="Courier New" w:cs="Courier New" w:hint="default"/>
      </w:rPr>
    </w:lvl>
    <w:lvl w:ilvl="5" w:tplc="9FB45462" w:tentative="1">
      <w:start w:val="1"/>
      <w:numFmt w:val="bullet"/>
      <w:lvlText w:val=""/>
      <w:lvlJc w:val="left"/>
      <w:pPr>
        <w:ind w:left="4320" w:hanging="360"/>
      </w:pPr>
      <w:rPr>
        <w:rFonts w:ascii="Wingdings" w:hAnsi="Wingdings" w:hint="default"/>
      </w:rPr>
    </w:lvl>
    <w:lvl w:ilvl="6" w:tplc="CB808898" w:tentative="1">
      <w:start w:val="1"/>
      <w:numFmt w:val="bullet"/>
      <w:lvlText w:val=""/>
      <w:lvlJc w:val="left"/>
      <w:pPr>
        <w:ind w:left="5040" w:hanging="360"/>
      </w:pPr>
      <w:rPr>
        <w:rFonts w:ascii="Symbol" w:hAnsi="Symbol" w:hint="default"/>
      </w:rPr>
    </w:lvl>
    <w:lvl w:ilvl="7" w:tplc="B84A7F80" w:tentative="1">
      <w:start w:val="1"/>
      <w:numFmt w:val="bullet"/>
      <w:lvlText w:val="o"/>
      <w:lvlJc w:val="left"/>
      <w:pPr>
        <w:ind w:left="5760" w:hanging="360"/>
      </w:pPr>
      <w:rPr>
        <w:rFonts w:ascii="Courier New" w:hAnsi="Courier New" w:cs="Courier New" w:hint="default"/>
      </w:rPr>
    </w:lvl>
    <w:lvl w:ilvl="8" w:tplc="D4CC4874" w:tentative="1">
      <w:start w:val="1"/>
      <w:numFmt w:val="bullet"/>
      <w:lvlText w:val=""/>
      <w:lvlJc w:val="left"/>
      <w:pPr>
        <w:ind w:left="6480" w:hanging="360"/>
      </w:pPr>
      <w:rPr>
        <w:rFonts w:ascii="Wingdings" w:hAnsi="Wingdings" w:hint="default"/>
      </w:rPr>
    </w:lvl>
  </w:abstractNum>
  <w:abstractNum w:abstractNumId="15" w15:restartNumberingAfterBreak="0">
    <w:nsid w:val="30BF4B31"/>
    <w:multiLevelType w:val="hybridMultilevel"/>
    <w:tmpl w:val="A62EE720"/>
    <w:lvl w:ilvl="0" w:tplc="27B22DAC">
      <w:start w:val="1"/>
      <w:numFmt w:val="bullet"/>
      <w:lvlText w:val=""/>
      <w:lvlJc w:val="left"/>
      <w:pPr>
        <w:ind w:left="360" w:hanging="360"/>
      </w:pPr>
      <w:rPr>
        <w:rFonts w:ascii="Symbol" w:hAnsi="Symbol" w:hint="default"/>
      </w:rPr>
    </w:lvl>
    <w:lvl w:ilvl="1" w:tplc="A8263FBE">
      <w:start w:val="1"/>
      <w:numFmt w:val="bullet"/>
      <w:lvlText w:val="o"/>
      <w:lvlJc w:val="left"/>
      <w:pPr>
        <w:ind w:left="1080" w:hanging="360"/>
      </w:pPr>
      <w:rPr>
        <w:rFonts w:ascii="Courier New" w:hAnsi="Courier New" w:cs="Courier New" w:hint="default"/>
      </w:rPr>
    </w:lvl>
    <w:lvl w:ilvl="2" w:tplc="AEC419BC" w:tentative="1">
      <w:start w:val="1"/>
      <w:numFmt w:val="bullet"/>
      <w:lvlText w:val=""/>
      <w:lvlJc w:val="left"/>
      <w:pPr>
        <w:ind w:left="1800" w:hanging="360"/>
      </w:pPr>
      <w:rPr>
        <w:rFonts w:ascii="Wingdings" w:hAnsi="Wingdings" w:hint="default"/>
      </w:rPr>
    </w:lvl>
    <w:lvl w:ilvl="3" w:tplc="C22A67D4" w:tentative="1">
      <w:start w:val="1"/>
      <w:numFmt w:val="bullet"/>
      <w:lvlText w:val=""/>
      <w:lvlJc w:val="left"/>
      <w:pPr>
        <w:ind w:left="2520" w:hanging="360"/>
      </w:pPr>
      <w:rPr>
        <w:rFonts w:ascii="Symbol" w:hAnsi="Symbol" w:hint="default"/>
      </w:rPr>
    </w:lvl>
    <w:lvl w:ilvl="4" w:tplc="A162B410" w:tentative="1">
      <w:start w:val="1"/>
      <w:numFmt w:val="bullet"/>
      <w:lvlText w:val="o"/>
      <w:lvlJc w:val="left"/>
      <w:pPr>
        <w:ind w:left="3240" w:hanging="360"/>
      </w:pPr>
      <w:rPr>
        <w:rFonts w:ascii="Courier New" w:hAnsi="Courier New" w:cs="Courier New" w:hint="default"/>
      </w:rPr>
    </w:lvl>
    <w:lvl w:ilvl="5" w:tplc="738897CA" w:tentative="1">
      <w:start w:val="1"/>
      <w:numFmt w:val="bullet"/>
      <w:lvlText w:val=""/>
      <w:lvlJc w:val="left"/>
      <w:pPr>
        <w:ind w:left="3960" w:hanging="360"/>
      </w:pPr>
      <w:rPr>
        <w:rFonts w:ascii="Wingdings" w:hAnsi="Wingdings" w:hint="default"/>
      </w:rPr>
    </w:lvl>
    <w:lvl w:ilvl="6" w:tplc="B21ED632" w:tentative="1">
      <w:start w:val="1"/>
      <w:numFmt w:val="bullet"/>
      <w:lvlText w:val=""/>
      <w:lvlJc w:val="left"/>
      <w:pPr>
        <w:ind w:left="4680" w:hanging="360"/>
      </w:pPr>
      <w:rPr>
        <w:rFonts w:ascii="Symbol" w:hAnsi="Symbol" w:hint="default"/>
      </w:rPr>
    </w:lvl>
    <w:lvl w:ilvl="7" w:tplc="DA64D842" w:tentative="1">
      <w:start w:val="1"/>
      <w:numFmt w:val="bullet"/>
      <w:lvlText w:val="o"/>
      <w:lvlJc w:val="left"/>
      <w:pPr>
        <w:ind w:left="5400" w:hanging="360"/>
      </w:pPr>
      <w:rPr>
        <w:rFonts w:ascii="Courier New" w:hAnsi="Courier New" w:cs="Courier New" w:hint="default"/>
      </w:rPr>
    </w:lvl>
    <w:lvl w:ilvl="8" w:tplc="F7144F12" w:tentative="1">
      <w:start w:val="1"/>
      <w:numFmt w:val="bullet"/>
      <w:lvlText w:val=""/>
      <w:lvlJc w:val="left"/>
      <w:pPr>
        <w:ind w:left="6120" w:hanging="360"/>
      </w:pPr>
      <w:rPr>
        <w:rFonts w:ascii="Wingdings" w:hAnsi="Wingdings" w:hint="default"/>
      </w:rPr>
    </w:lvl>
  </w:abstractNum>
  <w:abstractNum w:abstractNumId="16" w15:restartNumberingAfterBreak="0">
    <w:nsid w:val="35C21547"/>
    <w:multiLevelType w:val="multilevel"/>
    <w:tmpl w:val="FE9A2590"/>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bullet"/>
      <w:lvlText w:val="o"/>
      <w:lvlJc w:val="left"/>
      <w:pPr>
        <w:ind w:left="1224" w:hanging="504"/>
      </w:pPr>
      <w:rPr>
        <w:rFonts w:ascii="Courier New" w:hAnsi="Courier New" w:hint="default"/>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17"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9" w15:restartNumberingAfterBreak="0">
    <w:nsid w:val="3CAD7C82"/>
    <w:multiLevelType w:val="multilevel"/>
    <w:tmpl w:val="490A535A"/>
    <w:lvl w:ilvl="0">
      <w:start w:val="1"/>
      <w:numFmt w:val="bullet"/>
      <w:pStyle w:val="EYBulletedList1"/>
      <w:lvlText w:val="•"/>
      <w:lvlJc w:val="left"/>
      <w:pPr>
        <w:tabs>
          <w:tab w:val="num" w:pos="288"/>
        </w:tabs>
        <w:ind w:left="288" w:hanging="288"/>
      </w:pPr>
      <w:rPr>
        <w:rFonts w:ascii="EYInterstate Light" w:hAnsi="EYInterstate Light" w:hint="default"/>
        <w:b w:val="0"/>
        <w:i w:val="0"/>
        <w:color w:val="auto"/>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20" w15:restartNumberingAfterBreak="0">
    <w:nsid w:val="3CE436BC"/>
    <w:multiLevelType w:val="multilevel"/>
    <w:tmpl w:val="0A524B60"/>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bullet"/>
      <w:lvlText w:val="o"/>
      <w:lvlJc w:val="left"/>
      <w:pPr>
        <w:ind w:left="1224" w:hanging="504"/>
      </w:pPr>
      <w:rPr>
        <w:rFonts w:ascii="Courier New" w:hAnsi="Courier New" w:hint="default"/>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21" w15:restartNumberingAfterBreak="0">
    <w:nsid w:val="3F804D7E"/>
    <w:multiLevelType w:val="hybridMultilevel"/>
    <w:tmpl w:val="36A00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4E302D"/>
    <w:multiLevelType w:val="multilevel"/>
    <w:tmpl w:val="AFD4C462"/>
    <w:lvl w:ilvl="0">
      <w:start w:val="1"/>
      <w:numFmt w:val="decimal"/>
      <w:pStyle w:val="Heading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832978"/>
    <w:multiLevelType w:val="hybridMultilevel"/>
    <w:tmpl w:val="4CC452E6"/>
    <w:lvl w:ilvl="0" w:tplc="0B6EC022">
      <w:start w:val="1"/>
      <w:numFmt w:val="bullet"/>
      <w:lvlText w:val=""/>
      <w:lvlJc w:val="left"/>
      <w:pPr>
        <w:ind w:left="717" w:hanging="360"/>
      </w:pPr>
      <w:rPr>
        <w:rFonts w:ascii="Symbol" w:hAnsi="Symbol" w:hint="default"/>
      </w:rPr>
    </w:lvl>
    <w:lvl w:ilvl="1" w:tplc="68DAD05C" w:tentative="1">
      <w:start w:val="1"/>
      <w:numFmt w:val="bullet"/>
      <w:lvlText w:val="o"/>
      <w:lvlJc w:val="left"/>
      <w:pPr>
        <w:ind w:left="1437" w:hanging="360"/>
      </w:pPr>
      <w:rPr>
        <w:rFonts w:ascii="Courier New" w:hAnsi="Courier New" w:cs="Courier New" w:hint="default"/>
      </w:rPr>
    </w:lvl>
    <w:lvl w:ilvl="2" w:tplc="152EF5B2" w:tentative="1">
      <w:start w:val="1"/>
      <w:numFmt w:val="bullet"/>
      <w:lvlText w:val=""/>
      <w:lvlJc w:val="left"/>
      <w:pPr>
        <w:ind w:left="2157" w:hanging="360"/>
      </w:pPr>
      <w:rPr>
        <w:rFonts w:ascii="Wingdings" w:hAnsi="Wingdings" w:hint="default"/>
      </w:rPr>
    </w:lvl>
    <w:lvl w:ilvl="3" w:tplc="4258836E" w:tentative="1">
      <w:start w:val="1"/>
      <w:numFmt w:val="bullet"/>
      <w:lvlText w:val=""/>
      <w:lvlJc w:val="left"/>
      <w:pPr>
        <w:ind w:left="2877" w:hanging="360"/>
      </w:pPr>
      <w:rPr>
        <w:rFonts w:ascii="Symbol" w:hAnsi="Symbol" w:hint="default"/>
      </w:rPr>
    </w:lvl>
    <w:lvl w:ilvl="4" w:tplc="8F8424B2" w:tentative="1">
      <w:start w:val="1"/>
      <w:numFmt w:val="bullet"/>
      <w:lvlText w:val="o"/>
      <w:lvlJc w:val="left"/>
      <w:pPr>
        <w:ind w:left="3597" w:hanging="360"/>
      </w:pPr>
      <w:rPr>
        <w:rFonts w:ascii="Courier New" w:hAnsi="Courier New" w:cs="Courier New" w:hint="default"/>
      </w:rPr>
    </w:lvl>
    <w:lvl w:ilvl="5" w:tplc="20FCECCE" w:tentative="1">
      <w:start w:val="1"/>
      <w:numFmt w:val="bullet"/>
      <w:lvlText w:val=""/>
      <w:lvlJc w:val="left"/>
      <w:pPr>
        <w:ind w:left="4317" w:hanging="360"/>
      </w:pPr>
      <w:rPr>
        <w:rFonts w:ascii="Wingdings" w:hAnsi="Wingdings" w:hint="default"/>
      </w:rPr>
    </w:lvl>
    <w:lvl w:ilvl="6" w:tplc="379E1C8C" w:tentative="1">
      <w:start w:val="1"/>
      <w:numFmt w:val="bullet"/>
      <w:lvlText w:val=""/>
      <w:lvlJc w:val="left"/>
      <w:pPr>
        <w:ind w:left="5037" w:hanging="360"/>
      </w:pPr>
      <w:rPr>
        <w:rFonts w:ascii="Symbol" w:hAnsi="Symbol" w:hint="default"/>
      </w:rPr>
    </w:lvl>
    <w:lvl w:ilvl="7" w:tplc="B0485A68" w:tentative="1">
      <w:start w:val="1"/>
      <w:numFmt w:val="bullet"/>
      <w:lvlText w:val="o"/>
      <w:lvlJc w:val="left"/>
      <w:pPr>
        <w:ind w:left="5757" w:hanging="360"/>
      </w:pPr>
      <w:rPr>
        <w:rFonts w:ascii="Courier New" w:hAnsi="Courier New" w:cs="Courier New" w:hint="default"/>
      </w:rPr>
    </w:lvl>
    <w:lvl w:ilvl="8" w:tplc="ACACAF32" w:tentative="1">
      <w:start w:val="1"/>
      <w:numFmt w:val="bullet"/>
      <w:lvlText w:val=""/>
      <w:lvlJc w:val="left"/>
      <w:pPr>
        <w:ind w:left="6477" w:hanging="360"/>
      </w:pPr>
      <w:rPr>
        <w:rFonts w:ascii="Wingdings" w:hAnsi="Wingdings" w:hint="default"/>
      </w:rPr>
    </w:lvl>
  </w:abstractNum>
  <w:abstractNum w:abstractNumId="24" w15:restartNumberingAfterBreak="0">
    <w:nsid w:val="54131F78"/>
    <w:multiLevelType w:val="hybridMultilevel"/>
    <w:tmpl w:val="CBCAB886"/>
    <w:lvl w:ilvl="0" w:tplc="79FC4C7E">
      <w:start w:val="1"/>
      <w:numFmt w:val="decimal"/>
      <w:lvlText w:val="%1."/>
      <w:lvlJc w:val="left"/>
      <w:pPr>
        <w:ind w:left="360" w:hanging="360"/>
      </w:pPr>
    </w:lvl>
    <w:lvl w:ilvl="1" w:tplc="16947AEC" w:tentative="1">
      <w:start w:val="1"/>
      <w:numFmt w:val="lowerLetter"/>
      <w:lvlText w:val="%2."/>
      <w:lvlJc w:val="left"/>
      <w:pPr>
        <w:ind w:left="1080" w:hanging="360"/>
      </w:pPr>
    </w:lvl>
    <w:lvl w:ilvl="2" w:tplc="11E612A2" w:tentative="1">
      <w:start w:val="1"/>
      <w:numFmt w:val="lowerRoman"/>
      <w:lvlText w:val="%3."/>
      <w:lvlJc w:val="right"/>
      <w:pPr>
        <w:ind w:left="1800" w:hanging="180"/>
      </w:pPr>
    </w:lvl>
    <w:lvl w:ilvl="3" w:tplc="195E8CC2" w:tentative="1">
      <w:start w:val="1"/>
      <w:numFmt w:val="decimal"/>
      <w:lvlText w:val="%4."/>
      <w:lvlJc w:val="left"/>
      <w:pPr>
        <w:ind w:left="2520" w:hanging="360"/>
      </w:pPr>
    </w:lvl>
    <w:lvl w:ilvl="4" w:tplc="5B486A7E" w:tentative="1">
      <w:start w:val="1"/>
      <w:numFmt w:val="lowerLetter"/>
      <w:lvlText w:val="%5."/>
      <w:lvlJc w:val="left"/>
      <w:pPr>
        <w:ind w:left="3240" w:hanging="360"/>
      </w:pPr>
    </w:lvl>
    <w:lvl w:ilvl="5" w:tplc="F16C4658" w:tentative="1">
      <w:start w:val="1"/>
      <w:numFmt w:val="lowerRoman"/>
      <w:lvlText w:val="%6."/>
      <w:lvlJc w:val="right"/>
      <w:pPr>
        <w:ind w:left="3960" w:hanging="180"/>
      </w:pPr>
    </w:lvl>
    <w:lvl w:ilvl="6" w:tplc="1E72663A" w:tentative="1">
      <w:start w:val="1"/>
      <w:numFmt w:val="decimal"/>
      <w:lvlText w:val="%7."/>
      <w:lvlJc w:val="left"/>
      <w:pPr>
        <w:ind w:left="4680" w:hanging="360"/>
      </w:pPr>
    </w:lvl>
    <w:lvl w:ilvl="7" w:tplc="17D23CA2" w:tentative="1">
      <w:start w:val="1"/>
      <w:numFmt w:val="lowerLetter"/>
      <w:lvlText w:val="%8."/>
      <w:lvlJc w:val="left"/>
      <w:pPr>
        <w:ind w:left="5400" w:hanging="360"/>
      </w:pPr>
    </w:lvl>
    <w:lvl w:ilvl="8" w:tplc="8F98445C" w:tentative="1">
      <w:start w:val="1"/>
      <w:numFmt w:val="lowerRoman"/>
      <w:lvlText w:val="%9."/>
      <w:lvlJc w:val="right"/>
      <w:pPr>
        <w:ind w:left="6120" w:hanging="180"/>
      </w:pPr>
    </w:lvl>
  </w:abstractNum>
  <w:abstractNum w:abstractNumId="25" w15:restartNumberingAfterBreak="0">
    <w:nsid w:val="594E5A61"/>
    <w:multiLevelType w:val="multilevel"/>
    <w:tmpl w:val="FB8CC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C5572A"/>
    <w:multiLevelType w:val="hybridMultilevel"/>
    <w:tmpl w:val="00BC9F3E"/>
    <w:lvl w:ilvl="0" w:tplc="19D66FD0">
      <w:start w:val="1"/>
      <w:numFmt w:val="decimal"/>
      <w:lvlText w:val="%1."/>
      <w:lvlJc w:val="left"/>
      <w:pPr>
        <w:ind w:left="2629" w:hanging="360"/>
      </w:pPr>
    </w:lvl>
    <w:lvl w:ilvl="1" w:tplc="FF74D1E2">
      <w:numFmt w:val="bullet"/>
      <w:lvlText w:val="•"/>
      <w:lvlJc w:val="left"/>
      <w:pPr>
        <w:ind w:left="4680" w:hanging="720"/>
      </w:pPr>
      <w:rPr>
        <w:rFonts w:ascii="Calibri" w:hAnsi="Calibri" w:cs="Calibri" w:hint="default"/>
      </w:rPr>
    </w:lvl>
    <w:lvl w:ilvl="2" w:tplc="7F78851A" w:tentative="1">
      <w:start w:val="1"/>
      <w:numFmt w:val="lowerRoman"/>
      <w:lvlText w:val="%3."/>
      <w:lvlJc w:val="right"/>
      <w:pPr>
        <w:ind w:left="5040" w:hanging="180"/>
      </w:pPr>
    </w:lvl>
    <w:lvl w:ilvl="3" w:tplc="B84E1F9C" w:tentative="1">
      <w:start w:val="1"/>
      <w:numFmt w:val="decimal"/>
      <w:lvlText w:val="%4."/>
      <w:lvlJc w:val="left"/>
      <w:pPr>
        <w:ind w:left="5760" w:hanging="360"/>
      </w:pPr>
    </w:lvl>
    <w:lvl w:ilvl="4" w:tplc="E92276D4" w:tentative="1">
      <w:start w:val="1"/>
      <w:numFmt w:val="lowerLetter"/>
      <w:lvlText w:val="%5."/>
      <w:lvlJc w:val="left"/>
      <w:pPr>
        <w:ind w:left="6480" w:hanging="360"/>
      </w:pPr>
    </w:lvl>
    <w:lvl w:ilvl="5" w:tplc="1A605290" w:tentative="1">
      <w:start w:val="1"/>
      <w:numFmt w:val="lowerRoman"/>
      <w:lvlText w:val="%6."/>
      <w:lvlJc w:val="right"/>
      <w:pPr>
        <w:ind w:left="7200" w:hanging="180"/>
      </w:pPr>
    </w:lvl>
    <w:lvl w:ilvl="6" w:tplc="CEFC4C52" w:tentative="1">
      <w:start w:val="1"/>
      <w:numFmt w:val="decimal"/>
      <w:lvlText w:val="%7."/>
      <w:lvlJc w:val="left"/>
      <w:pPr>
        <w:ind w:left="7920" w:hanging="360"/>
      </w:pPr>
    </w:lvl>
    <w:lvl w:ilvl="7" w:tplc="571094C4" w:tentative="1">
      <w:start w:val="1"/>
      <w:numFmt w:val="lowerLetter"/>
      <w:lvlText w:val="%8."/>
      <w:lvlJc w:val="left"/>
      <w:pPr>
        <w:ind w:left="8640" w:hanging="360"/>
      </w:pPr>
    </w:lvl>
    <w:lvl w:ilvl="8" w:tplc="BE08C2A2" w:tentative="1">
      <w:start w:val="1"/>
      <w:numFmt w:val="lowerRoman"/>
      <w:lvlText w:val="%9."/>
      <w:lvlJc w:val="right"/>
      <w:pPr>
        <w:ind w:left="9360" w:hanging="180"/>
      </w:pPr>
    </w:lvl>
  </w:abstractNum>
  <w:abstractNum w:abstractNumId="27" w15:restartNumberingAfterBreak="0">
    <w:nsid w:val="636A2A38"/>
    <w:multiLevelType w:val="hybridMultilevel"/>
    <w:tmpl w:val="72721782"/>
    <w:lvl w:ilvl="0" w:tplc="BFB0571E">
      <w:start w:val="1"/>
      <w:numFmt w:val="decimal"/>
      <w:pStyle w:val="bodylist"/>
      <w:lvlText w:val="%1."/>
      <w:lvlJc w:val="left"/>
      <w:pPr>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4AE3FF0"/>
    <w:multiLevelType w:val="multilevel"/>
    <w:tmpl w:val="56821ADE"/>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bullet"/>
      <w:lvlText w:val="◦"/>
      <w:lvlJc w:val="left"/>
      <w:pPr>
        <w:ind w:left="1224" w:hanging="504"/>
      </w:pPr>
      <w:rPr>
        <w:rFonts w:ascii="Calibri" w:hAnsi="Calibri"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29" w15:restartNumberingAfterBreak="0">
    <w:nsid w:val="65456429"/>
    <w:multiLevelType w:val="multilevel"/>
    <w:tmpl w:val="E898CC72"/>
    <w:numStyleLink w:val="KeyPoints"/>
  </w:abstractNum>
  <w:abstractNum w:abstractNumId="30" w15:restartNumberingAfterBreak="0">
    <w:nsid w:val="66470D9C"/>
    <w:multiLevelType w:val="multilevel"/>
    <w:tmpl w:val="50D46B84"/>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9F66205"/>
    <w:multiLevelType w:val="hybridMultilevel"/>
    <w:tmpl w:val="25D0EC18"/>
    <w:lvl w:ilvl="0" w:tplc="79844AD8">
      <w:start w:val="1"/>
      <w:numFmt w:val="bullet"/>
      <w:lvlText w:val=""/>
      <w:lvlJc w:val="left"/>
      <w:pPr>
        <w:ind w:left="-3326" w:hanging="360"/>
      </w:pPr>
      <w:rPr>
        <w:rFonts w:ascii="Symbol" w:hAnsi="Symbol" w:hint="default"/>
      </w:rPr>
    </w:lvl>
    <w:lvl w:ilvl="1" w:tplc="AE847E76" w:tentative="1">
      <w:start w:val="1"/>
      <w:numFmt w:val="bullet"/>
      <w:lvlText w:val="o"/>
      <w:lvlJc w:val="left"/>
      <w:pPr>
        <w:ind w:left="-2606" w:hanging="360"/>
      </w:pPr>
      <w:rPr>
        <w:rFonts w:ascii="Courier New" w:hAnsi="Courier New" w:cs="Courier New" w:hint="default"/>
      </w:rPr>
    </w:lvl>
    <w:lvl w:ilvl="2" w:tplc="EB24538A" w:tentative="1">
      <w:start w:val="1"/>
      <w:numFmt w:val="bullet"/>
      <w:lvlText w:val=""/>
      <w:lvlJc w:val="left"/>
      <w:pPr>
        <w:ind w:left="-1886" w:hanging="360"/>
      </w:pPr>
      <w:rPr>
        <w:rFonts w:ascii="Wingdings" w:hAnsi="Wingdings" w:hint="default"/>
      </w:rPr>
    </w:lvl>
    <w:lvl w:ilvl="3" w:tplc="46DA72CE" w:tentative="1">
      <w:start w:val="1"/>
      <w:numFmt w:val="bullet"/>
      <w:lvlText w:val=""/>
      <w:lvlJc w:val="left"/>
      <w:pPr>
        <w:ind w:left="-1166" w:hanging="360"/>
      </w:pPr>
      <w:rPr>
        <w:rFonts w:ascii="Symbol" w:hAnsi="Symbol" w:hint="default"/>
      </w:rPr>
    </w:lvl>
    <w:lvl w:ilvl="4" w:tplc="B7FE258A" w:tentative="1">
      <w:start w:val="1"/>
      <w:numFmt w:val="bullet"/>
      <w:lvlText w:val="o"/>
      <w:lvlJc w:val="left"/>
      <w:pPr>
        <w:ind w:left="-446" w:hanging="360"/>
      </w:pPr>
      <w:rPr>
        <w:rFonts w:ascii="Courier New" w:hAnsi="Courier New" w:cs="Courier New" w:hint="default"/>
      </w:rPr>
    </w:lvl>
    <w:lvl w:ilvl="5" w:tplc="61F43AA6" w:tentative="1">
      <w:start w:val="1"/>
      <w:numFmt w:val="bullet"/>
      <w:lvlText w:val=""/>
      <w:lvlJc w:val="left"/>
      <w:pPr>
        <w:ind w:left="274" w:hanging="360"/>
      </w:pPr>
      <w:rPr>
        <w:rFonts w:ascii="Wingdings" w:hAnsi="Wingdings" w:hint="default"/>
      </w:rPr>
    </w:lvl>
    <w:lvl w:ilvl="6" w:tplc="71D8DE3A" w:tentative="1">
      <w:start w:val="1"/>
      <w:numFmt w:val="bullet"/>
      <w:lvlText w:val=""/>
      <w:lvlJc w:val="left"/>
      <w:pPr>
        <w:ind w:left="994" w:hanging="360"/>
      </w:pPr>
      <w:rPr>
        <w:rFonts w:ascii="Symbol" w:hAnsi="Symbol" w:hint="default"/>
      </w:rPr>
    </w:lvl>
    <w:lvl w:ilvl="7" w:tplc="E4CC2D20" w:tentative="1">
      <w:start w:val="1"/>
      <w:numFmt w:val="bullet"/>
      <w:lvlText w:val="o"/>
      <w:lvlJc w:val="left"/>
      <w:pPr>
        <w:ind w:left="1714" w:hanging="360"/>
      </w:pPr>
      <w:rPr>
        <w:rFonts w:ascii="Courier New" w:hAnsi="Courier New" w:cs="Courier New" w:hint="default"/>
      </w:rPr>
    </w:lvl>
    <w:lvl w:ilvl="8" w:tplc="87F899DA" w:tentative="1">
      <w:start w:val="1"/>
      <w:numFmt w:val="bullet"/>
      <w:lvlText w:val=""/>
      <w:lvlJc w:val="left"/>
      <w:pPr>
        <w:ind w:left="2434" w:hanging="360"/>
      </w:pPr>
      <w:rPr>
        <w:rFonts w:ascii="Wingdings" w:hAnsi="Wingdings" w:hint="default"/>
      </w:rPr>
    </w:lvl>
  </w:abstractNum>
  <w:abstractNum w:abstractNumId="32" w15:restartNumberingAfterBreak="0">
    <w:nsid w:val="6B403434"/>
    <w:multiLevelType w:val="hybridMultilevel"/>
    <w:tmpl w:val="BA88A450"/>
    <w:lvl w:ilvl="0" w:tplc="A288BFCA">
      <w:start w:val="1"/>
      <w:numFmt w:val="bullet"/>
      <w:lvlText w:val=""/>
      <w:lvlJc w:val="left"/>
      <w:pPr>
        <w:ind w:left="360" w:hanging="360"/>
      </w:pPr>
      <w:rPr>
        <w:rFonts w:ascii="Symbol" w:hAnsi="Symbol" w:hint="default"/>
      </w:rPr>
    </w:lvl>
    <w:lvl w:ilvl="1" w:tplc="63B227DE" w:tentative="1">
      <w:start w:val="1"/>
      <w:numFmt w:val="bullet"/>
      <w:lvlText w:val="o"/>
      <w:lvlJc w:val="left"/>
      <w:pPr>
        <w:ind w:left="1080" w:hanging="360"/>
      </w:pPr>
      <w:rPr>
        <w:rFonts w:ascii="Courier New" w:hAnsi="Courier New" w:cs="Courier New" w:hint="default"/>
      </w:rPr>
    </w:lvl>
    <w:lvl w:ilvl="2" w:tplc="EB8887B6" w:tentative="1">
      <w:start w:val="1"/>
      <w:numFmt w:val="bullet"/>
      <w:lvlText w:val=""/>
      <w:lvlJc w:val="left"/>
      <w:pPr>
        <w:ind w:left="1800" w:hanging="360"/>
      </w:pPr>
      <w:rPr>
        <w:rFonts w:ascii="Wingdings" w:hAnsi="Wingdings" w:hint="default"/>
      </w:rPr>
    </w:lvl>
    <w:lvl w:ilvl="3" w:tplc="FAC4B70E" w:tentative="1">
      <w:start w:val="1"/>
      <w:numFmt w:val="bullet"/>
      <w:lvlText w:val=""/>
      <w:lvlJc w:val="left"/>
      <w:pPr>
        <w:ind w:left="2520" w:hanging="360"/>
      </w:pPr>
      <w:rPr>
        <w:rFonts w:ascii="Symbol" w:hAnsi="Symbol" w:hint="default"/>
      </w:rPr>
    </w:lvl>
    <w:lvl w:ilvl="4" w:tplc="0B40E47C" w:tentative="1">
      <w:start w:val="1"/>
      <w:numFmt w:val="bullet"/>
      <w:lvlText w:val="o"/>
      <w:lvlJc w:val="left"/>
      <w:pPr>
        <w:ind w:left="3240" w:hanging="360"/>
      </w:pPr>
      <w:rPr>
        <w:rFonts w:ascii="Courier New" w:hAnsi="Courier New" w:cs="Courier New" w:hint="default"/>
      </w:rPr>
    </w:lvl>
    <w:lvl w:ilvl="5" w:tplc="EA66C9B0" w:tentative="1">
      <w:start w:val="1"/>
      <w:numFmt w:val="bullet"/>
      <w:lvlText w:val=""/>
      <w:lvlJc w:val="left"/>
      <w:pPr>
        <w:ind w:left="3960" w:hanging="360"/>
      </w:pPr>
      <w:rPr>
        <w:rFonts w:ascii="Wingdings" w:hAnsi="Wingdings" w:hint="default"/>
      </w:rPr>
    </w:lvl>
    <w:lvl w:ilvl="6" w:tplc="E3802F6A" w:tentative="1">
      <w:start w:val="1"/>
      <w:numFmt w:val="bullet"/>
      <w:lvlText w:val=""/>
      <w:lvlJc w:val="left"/>
      <w:pPr>
        <w:ind w:left="4680" w:hanging="360"/>
      </w:pPr>
      <w:rPr>
        <w:rFonts w:ascii="Symbol" w:hAnsi="Symbol" w:hint="default"/>
      </w:rPr>
    </w:lvl>
    <w:lvl w:ilvl="7" w:tplc="6E6A5BE2" w:tentative="1">
      <w:start w:val="1"/>
      <w:numFmt w:val="bullet"/>
      <w:lvlText w:val="o"/>
      <w:lvlJc w:val="left"/>
      <w:pPr>
        <w:ind w:left="5400" w:hanging="360"/>
      </w:pPr>
      <w:rPr>
        <w:rFonts w:ascii="Courier New" w:hAnsi="Courier New" w:cs="Courier New" w:hint="default"/>
      </w:rPr>
    </w:lvl>
    <w:lvl w:ilvl="8" w:tplc="41027F8A" w:tentative="1">
      <w:start w:val="1"/>
      <w:numFmt w:val="bullet"/>
      <w:lvlText w:val=""/>
      <w:lvlJc w:val="left"/>
      <w:pPr>
        <w:ind w:left="6120" w:hanging="360"/>
      </w:pPr>
      <w:rPr>
        <w:rFonts w:ascii="Wingdings" w:hAnsi="Wingdings" w:hint="default"/>
      </w:rPr>
    </w:lvl>
  </w:abstractNum>
  <w:abstractNum w:abstractNumId="33" w15:restartNumberingAfterBreak="0">
    <w:nsid w:val="6BB97945"/>
    <w:multiLevelType w:val="hybridMultilevel"/>
    <w:tmpl w:val="DAD26230"/>
    <w:lvl w:ilvl="0" w:tplc="916C7DBC">
      <w:start w:val="1"/>
      <w:numFmt w:val="decimal"/>
      <w:lvlText w:val="%1."/>
      <w:lvlJc w:val="left"/>
      <w:pPr>
        <w:ind w:left="765" w:hanging="360"/>
      </w:pPr>
      <w:rPr>
        <w:rFonts w:hint="default"/>
      </w:rPr>
    </w:lvl>
    <w:lvl w:ilvl="1" w:tplc="FD36B232">
      <w:start w:val="1"/>
      <w:numFmt w:val="bullet"/>
      <w:lvlText w:val="o"/>
      <w:lvlJc w:val="left"/>
      <w:pPr>
        <w:ind w:left="1485" w:hanging="360"/>
      </w:pPr>
      <w:rPr>
        <w:rFonts w:ascii="Courier New" w:hAnsi="Courier New" w:cs="Courier New" w:hint="default"/>
      </w:rPr>
    </w:lvl>
    <w:lvl w:ilvl="2" w:tplc="C8D2A1FC">
      <w:start w:val="1"/>
      <w:numFmt w:val="bullet"/>
      <w:lvlText w:val=""/>
      <w:lvlJc w:val="left"/>
      <w:pPr>
        <w:ind w:left="2205" w:hanging="360"/>
      </w:pPr>
      <w:rPr>
        <w:rFonts w:ascii="Wingdings" w:hAnsi="Wingdings" w:hint="default"/>
      </w:rPr>
    </w:lvl>
    <w:lvl w:ilvl="3" w:tplc="C8202A2A" w:tentative="1">
      <w:start w:val="1"/>
      <w:numFmt w:val="bullet"/>
      <w:lvlText w:val=""/>
      <w:lvlJc w:val="left"/>
      <w:pPr>
        <w:ind w:left="2925" w:hanging="360"/>
      </w:pPr>
      <w:rPr>
        <w:rFonts w:ascii="Symbol" w:hAnsi="Symbol" w:hint="default"/>
      </w:rPr>
    </w:lvl>
    <w:lvl w:ilvl="4" w:tplc="15525CCE" w:tentative="1">
      <w:start w:val="1"/>
      <w:numFmt w:val="bullet"/>
      <w:lvlText w:val="o"/>
      <w:lvlJc w:val="left"/>
      <w:pPr>
        <w:ind w:left="3645" w:hanging="360"/>
      </w:pPr>
      <w:rPr>
        <w:rFonts w:ascii="Courier New" w:hAnsi="Courier New" w:cs="Courier New" w:hint="default"/>
      </w:rPr>
    </w:lvl>
    <w:lvl w:ilvl="5" w:tplc="E85A814E" w:tentative="1">
      <w:start w:val="1"/>
      <w:numFmt w:val="bullet"/>
      <w:lvlText w:val=""/>
      <w:lvlJc w:val="left"/>
      <w:pPr>
        <w:ind w:left="4365" w:hanging="360"/>
      </w:pPr>
      <w:rPr>
        <w:rFonts w:ascii="Wingdings" w:hAnsi="Wingdings" w:hint="default"/>
      </w:rPr>
    </w:lvl>
    <w:lvl w:ilvl="6" w:tplc="03A65A0E" w:tentative="1">
      <w:start w:val="1"/>
      <w:numFmt w:val="bullet"/>
      <w:lvlText w:val=""/>
      <w:lvlJc w:val="left"/>
      <w:pPr>
        <w:ind w:left="5085" w:hanging="360"/>
      </w:pPr>
      <w:rPr>
        <w:rFonts w:ascii="Symbol" w:hAnsi="Symbol" w:hint="default"/>
      </w:rPr>
    </w:lvl>
    <w:lvl w:ilvl="7" w:tplc="33468AEA" w:tentative="1">
      <w:start w:val="1"/>
      <w:numFmt w:val="bullet"/>
      <w:lvlText w:val="o"/>
      <w:lvlJc w:val="left"/>
      <w:pPr>
        <w:ind w:left="5805" w:hanging="360"/>
      </w:pPr>
      <w:rPr>
        <w:rFonts w:ascii="Courier New" w:hAnsi="Courier New" w:cs="Courier New" w:hint="default"/>
      </w:rPr>
    </w:lvl>
    <w:lvl w:ilvl="8" w:tplc="CBF2B592" w:tentative="1">
      <w:start w:val="1"/>
      <w:numFmt w:val="bullet"/>
      <w:lvlText w:val=""/>
      <w:lvlJc w:val="left"/>
      <w:pPr>
        <w:ind w:left="6525" w:hanging="360"/>
      </w:pPr>
      <w:rPr>
        <w:rFonts w:ascii="Wingdings" w:hAnsi="Wingdings" w:hint="default"/>
      </w:rPr>
    </w:lvl>
  </w:abstractNum>
  <w:abstractNum w:abstractNumId="34" w15:restartNumberingAfterBreak="0">
    <w:nsid w:val="73851936"/>
    <w:multiLevelType w:val="hybridMultilevel"/>
    <w:tmpl w:val="378A2D14"/>
    <w:lvl w:ilvl="0" w:tplc="360A8D7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A37718"/>
    <w:multiLevelType w:val="multilevel"/>
    <w:tmpl w:val="58B6C74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auto"/>
        <w:sz w:val="16"/>
        <w:szCs w:val="24"/>
      </w:rPr>
    </w:lvl>
    <w:lvl w:ilvl="1">
      <w:start w:val="1"/>
      <w:numFmt w:val="bullet"/>
      <w:pStyle w:val="EYTablebullet2"/>
      <w:lvlText w:val="•"/>
      <w:lvlJc w:val="left"/>
      <w:pPr>
        <w:tabs>
          <w:tab w:val="num" w:pos="568"/>
        </w:tabs>
        <w:ind w:left="572" w:hanging="288"/>
      </w:pPr>
      <w:rPr>
        <w:rFonts w:ascii="EYInterstate Light" w:hAnsi="EYInterstate Light" w:hint="default"/>
        <w:b w:val="0"/>
        <w:i w:val="0"/>
        <w:color w:val="auto"/>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6" w15:restartNumberingAfterBreak="0">
    <w:nsid w:val="75A801B1"/>
    <w:multiLevelType w:val="hybridMultilevel"/>
    <w:tmpl w:val="473E8052"/>
    <w:lvl w:ilvl="0" w:tplc="88EE8FB0">
      <w:start w:val="1"/>
      <w:numFmt w:val="bullet"/>
      <w:lvlText w:val=""/>
      <w:lvlJc w:val="left"/>
      <w:pPr>
        <w:ind w:left="360" w:hanging="360"/>
      </w:pPr>
      <w:rPr>
        <w:rFonts w:ascii="Symbol" w:hAnsi="Symbol" w:hint="default"/>
      </w:rPr>
    </w:lvl>
    <w:lvl w:ilvl="1" w:tplc="C20CF8A8">
      <w:start w:val="1"/>
      <w:numFmt w:val="bullet"/>
      <w:lvlText w:val="o"/>
      <w:lvlJc w:val="left"/>
      <w:pPr>
        <w:ind w:left="1080" w:hanging="360"/>
      </w:pPr>
      <w:rPr>
        <w:rFonts w:ascii="Courier New" w:hAnsi="Courier New" w:cs="Courier New" w:hint="default"/>
      </w:rPr>
    </w:lvl>
    <w:lvl w:ilvl="2" w:tplc="F6581FA2">
      <w:start w:val="1"/>
      <w:numFmt w:val="decimal"/>
      <w:lvlText w:val="%3."/>
      <w:lvlJc w:val="left"/>
      <w:pPr>
        <w:tabs>
          <w:tab w:val="num" w:pos="2160"/>
        </w:tabs>
        <w:ind w:left="2160" w:hanging="360"/>
      </w:pPr>
    </w:lvl>
    <w:lvl w:ilvl="3" w:tplc="0D2C9744">
      <w:start w:val="1"/>
      <w:numFmt w:val="decimal"/>
      <w:lvlText w:val="%4."/>
      <w:lvlJc w:val="left"/>
      <w:pPr>
        <w:tabs>
          <w:tab w:val="num" w:pos="2880"/>
        </w:tabs>
        <w:ind w:left="2880" w:hanging="360"/>
      </w:pPr>
    </w:lvl>
    <w:lvl w:ilvl="4" w:tplc="8F5EAEFE">
      <w:start w:val="1"/>
      <w:numFmt w:val="decimal"/>
      <w:lvlText w:val="%5."/>
      <w:lvlJc w:val="left"/>
      <w:pPr>
        <w:tabs>
          <w:tab w:val="num" w:pos="3600"/>
        </w:tabs>
        <w:ind w:left="3600" w:hanging="360"/>
      </w:pPr>
    </w:lvl>
    <w:lvl w:ilvl="5" w:tplc="FC4CA80E">
      <w:start w:val="1"/>
      <w:numFmt w:val="decimal"/>
      <w:lvlText w:val="%6."/>
      <w:lvlJc w:val="left"/>
      <w:pPr>
        <w:tabs>
          <w:tab w:val="num" w:pos="4320"/>
        </w:tabs>
        <w:ind w:left="4320" w:hanging="360"/>
      </w:pPr>
    </w:lvl>
    <w:lvl w:ilvl="6" w:tplc="B5CC0448">
      <w:start w:val="1"/>
      <w:numFmt w:val="decimal"/>
      <w:lvlText w:val="%7."/>
      <w:lvlJc w:val="left"/>
      <w:pPr>
        <w:tabs>
          <w:tab w:val="num" w:pos="5040"/>
        </w:tabs>
        <w:ind w:left="5040" w:hanging="360"/>
      </w:pPr>
    </w:lvl>
    <w:lvl w:ilvl="7" w:tplc="9DC2ADA2">
      <w:start w:val="1"/>
      <w:numFmt w:val="decimal"/>
      <w:lvlText w:val="%8."/>
      <w:lvlJc w:val="left"/>
      <w:pPr>
        <w:tabs>
          <w:tab w:val="num" w:pos="5760"/>
        </w:tabs>
        <w:ind w:left="5760" w:hanging="360"/>
      </w:pPr>
    </w:lvl>
    <w:lvl w:ilvl="8" w:tplc="BA0E2800">
      <w:start w:val="1"/>
      <w:numFmt w:val="decimal"/>
      <w:lvlText w:val="%9."/>
      <w:lvlJc w:val="left"/>
      <w:pPr>
        <w:tabs>
          <w:tab w:val="num" w:pos="6480"/>
        </w:tabs>
        <w:ind w:left="6480" w:hanging="360"/>
      </w:pPr>
    </w:lvl>
  </w:abstractNum>
  <w:abstractNum w:abstractNumId="37" w15:restartNumberingAfterBreak="0">
    <w:nsid w:val="761C5108"/>
    <w:multiLevelType w:val="hybridMultilevel"/>
    <w:tmpl w:val="E0640A0C"/>
    <w:lvl w:ilvl="0" w:tplc="1A28CEF4">
      <w:start w:val="1"/>
      <w:numFmt w:val="bullet"/>
      <w:lvlText w:val=""/>
      <w:lvlJc w:val="left"/>
      <w:pPr>
        <w:ind w:left="862" w:hanging="360"/>
      </w:pPr>
      <w:rPr>
        <w:rFonts w:ascii="Symbol" w:hAnsi="Symbol" w:hint="default"/>
      </w:rPr>
    </w:lvl>
    <w:lvl w:ilvl="1" w:tplc="00D08802" w:tentative="1">
      <w:start w:val="1"/>
      <w:numFmt w:val="bullet"/>
      <w:lvlText w:val="o"/>
      <w:lvlJc w:val="left"/>
      <w:pPr>
        <w:ind w:left="1582" w:hanging="360"/>
      </w:pPr>
      <w:rPr>
        <w:rFonts w:ascii="Courier New" w:hAnsi="Courier New" w:cs="Courier New" w:hint="default"/>
      </w:rPr>
    </w:lvl>
    <w:lvl w:ilvl="2" w:tplc="3F502B70" w:tentative="1">
      <w:start w:val="1"/>
      <w:numFmt w:val="bullet"/>
      <w:lvlText w:val=""/>
      <w:lvlJc w:val="left"/>
      <w:pPr>
        <w:ind w:left="2302" w:hanging="360"/>
      </w:pPr>
      <w:rPr>
        <w:rFonts w:ascii="Wingdings" w:hAnsi="Wingdings" w:hint="default"/>
      </w:rPr>
    </w:lvl>
    <w:lvl w:ilvl="3" w:tplc="CFD0E938" w:tentative="1">
      <w:start w:val="1"/>
      <w:numFmt w:val="bullet"/>
      <w:lvlText w:val=""/>
      <w:lvlJc w:val="left"/>
      <w:pPr>
        <w:ind w:left="3022" w:hanging="360"/>
      </w:pPr>
      <w:rPr>
        <w:rFonts w:ascii="Symbol" w:hAnsi="Symbol" w:hint="default"/>
      </w:rPr>
    </w:lvl>
    <w:lvl w:ilvl="4" w:tplc="A23A1CB8" w:tentative="1">
      <w:start w:val="1"/>
      <w:numFmt w:val="bullet"/>
      <w:lvlText w:val="o"/>
      <w:lvlJc w:val="left"/>
      <w:pPr>
        <w:ind w:left="3742" w:hanging="360"/>
      </w:pPr>
      <w:rPr>
        <w:rFonts w:ascii="Courier New" w:hAnsi="Courier New" w:cs="Courier New" w:hint="default"/>
      </w:rPr>
    </w:lvl>
    <w:lvl w:ilvl="5" w:tplc="3D567D82" w:tentative="1">
      <w:start w:val="1"/>
      <w:numFmt w:val="bullet"/>
      <w:lvlText w:val=""/>
      <w:lvlJc w:val="left"/>
      <w:pPr>
        <w:ind w:left="4462" w:hanging="360"/>
      </w:pPr>
      <w:rPr>
        <w:rFonts w:ascii="Wingdings" w:hAnsi="Wingdings" w:hint="default"/>
      </w:rPr>
    </w:lvl>
    <w:lvl w:ilvl="6" w:tplc="5A54C84E" w:tentative="1">
      <w:start w:val="1"/>
      <w:numFmt w:val="bullet"/>
      <w:lvlText w:val=""/>
      <w:lvlJc w:val="left"/>
      <w:pPr>
        <w:ind w:left="5182" w:hanging="360"/>
      </w:pPr>
      <w:rPr>
        <w:rFonts w:ascii="Symbol" w:hAnsi="Symbol" w:hint="default"/>
      </w:rPr>
    </w:lvl>
    <w:lvl w:ilvl="7" w:tplc="D958C836" w:tentative="1">
      <w:start w:val="1"/>
      <w:numFmt w:val="bullet"/>
      <w:lvlText w:val="o"/>
      <w:lvlJc w:val="left"/>
      <w:pPr>
        <w:ind w:left="5902" w:hanging="360"/>
      </w:pPr>
      <w:rPr>
        <w:rFonts w:ascii="Courier New" w:hAnsi="Courier New" w:cs="Courier New" w:hint="default"/>
      </w:rPr>
    </w:lvl>
    <w:lvl w:ilvl="8" w:tplc="79A41050" w:tentative="1">
      <w:start w:val="1"/>
      <w:numFmt w:val="bullet"/>
      <w:lvlText w:val=""/>
      <w:lvlJc w:val="left"/>
      <w:pPr>
        <w:ind w:left="6622" w:hanging="360"/>
      </w:pPr>
      <w:rPr>
        <w:rFonts w:ascii="Wingdings" w:hAnsi="Wingdings" w:hint="default"/>
      </w:rPr>
    </w:lvl>
  </w:abstractNum>
  <w:abstractNum w:abstractNumId="3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9" w15:restartNumberingAfterBreak="0">
    <w:nsid w:val="798F30D8"/>
    <w:multiLevelType w:val="multilevel"/>
    <w:tmpl w:val="7B6C7702"/>
    <w:lvl w:ilvl="0">
      <w:start w:val="1"/>
      <w:numFmt w:val="decimal"/>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0" w15:restartNumberingAfterBreak="0">
    <w:nsid w:val="7C6B7170"/>
    <w:multiLevelType w:val="multilevel"/>
    <w:tmpl w:val="5ABA26F6"/>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bullet"/>
      <w:lvlText w:val="o"/>
      <w:lvlJc w:val="left"/>
      <w:pPr>
        <w:ind w:left="1224" w:hanging="504"/>
      </w:pPr>
      <w:rPr>
        <w:rFonts w:ascii="Courier New" w:hAnsi="Courier New" w:hint="default"/>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41" w15:restartNumberingAfterBreak="0">
    <w:nsid w:val="7DA7431D"/>
    <w:multiLevelType w:val="hybridMultilevel"/>
    <w:tmpl w:val="EC36968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059A3960"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38"/>
  </w:num>
  <w:num w:numId="2">
    <w:abstractNumId w:val="0"/>
  </w:num>
  <w:num w:numId="3">
    <w:abstractNumId w:val="17"/>
  </w:num>
  <w:num w:numId="4">
    <w:abstractNumId w:val="29"/>
    <w:lvlOverride w:ilvl="0">
      <w:lvl w:ilvl="0">
        <w:start w:val="1"/>
        <w:numFmt w:val="decimal"/>
        <w:pStyle w:val="ListNumber"/>
        <w:lvlText w:val="%1."/>
        <w:lvlJc w:val="left"/>
        <w:pPr>
          <w:ind w:left="369" w:hanging="369"/>
        </w:pPr>
        <w:rPr>
          <w:rFonts w:ascii="Arial" w:hAnsi="Arial" w:hint="default"/>
          <w:sz w:val="22"/>
        </w:rPr>
      </w:lvl>
    </w:lvlOverride>
  </w:num>
  <w:num w:numId="5">
    <w:abstractNumId w:val="26"/>
  </w:num>
  <w:num w:numId="6">
    <w:abstractNumId w:val="22"/>
  </w:num>
  <w:num w:numId="7">
    <w:abstractNumId w:val="34"/>
  </w:num>
  <w:num w:numId="8">
    <w:abstractNumId w:val="31"/>
  </w:num>
  <w:num w:numId="9">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
  </w:num>
  <w:num w:numId="12">
    <w:abstractNumId w:val="24"/>
  </w:num>
  <w:num w:numId="13">
    <w:abstractNumId w:val="4"/>
  </w:num>
  <w:num w:numId="14">
    <w:abstractNumId w:val="9"/>
  </w:num>
  <w:num w:numId="15">
    <w:abstractNumId w:val="30"/>
  </w:num>
  <w:num w:numId="16">
    <w:abstractNumId w:val="12"/>
  </w:num>
  <w:num w:numId="17">
    <w:abstractNumId w:val="33"/>
  </w:num>
  <w:num w:numId="18">
    <w:abstractNumId w:val="1"/>
  </w:num>
  <w:num w:numId="19">
    <w:abstractNumId w:val="14"/>
  </w:num>
  <w:num w:numId="20">
    <w:abstractNumId w:val="37"/>
  </w:num>
  <w:num w:numId="21">
    <w:abstractNumId w:val="18"/>
  </w:num>
  <w:num w:numId="22">
    <w:abstractNumId w:val="19"/>
  </w:num>
  <w:num w:numId="23">
    <w:abstractNumId w:val="39"/>
  </w:num>
  <w:num w:numId="24">
    <w:abstractNumId w:val="35"/>
  </w:num>
  <w:num w:numId="25">
    <w:abstractNumId w:val="2"/>
  </w:num>
  <w:num w:numId="26">
    <w:abstractNumId w:val="32"/>
  </w:num>
  <w:num w:numId="27">
    <w:abstractNumId w:val="15"/>
  </w:num>
  <w:num w:numId="28">
    <w:abstractNumId w:val="11"/>
    <w:lvlOverride w:ilvl="0">
      <w:lvl w:ilvl="0">
        <w:start w:val="1"/>
        <w:numFmt w:val="bullet"/>
        <w:lvlText w:val=""/>
        <w:lvlJc w:val="left"/>
        <w:pPr>
          <w:ind w:left="369" w:hanging="369"/>
        </w:pPr>
        <w:rPr>
          <w:rFonts w:ascii="Symbol" w:hAnsi="Symbol" w:hint="default"/>
        </w:rPr>
      </w:lvl>
    </w:lvlOverride>
  </w:num>
  <w:num w:numId="29">
    <w:abstractNumId w:val="23"/>
  </w:num>
  <w:num w:numId="30">
    <w:abstractNumId w:val="41"/>
  </w:num>
  <w:num w:numId="31">
    <w:abstractNumId w:val="13"/>
  </w:num>
  <w:num w:numId="32">
    <w:abstractNumId w:val="29"/>
    <w:lvlOverride w:ilvl="0">
      <w:lvl w:ilvl="0">
        <w:start w:val="1"/>
        <w:numFmt w:val="decimal"/>
        <w:pStyle w:val="ListNumber"/>
        <w:lvlText w:val="%1."/>
        <w:lvlJc w:val="left"/>
        <w:pPr>
          <w:ind w:left="369" w:hanging="369"/>
        </w:pPr>
        <w:rPr>
          <w:rFonts w:ascii="Arial" w:hAnsi="Arial" w:hint="default"/>
          <w:sz w:val="22"/>
        </w:rPr>
      </w:lvl>
    </w:lvlOverride>
  </w:num>
  <w:num w:numId="33">
    <w:abstractNumId w:val="11"/>
  </w:num>
  <w:num w:numId="34">
    <w:abstractNumId w:val="8"/>
  </w:num>
  <w:num w:numId="35">
    <w:abstractNumId w:val="10"/>
  </w:num>
  <w:num w:numId="36">
    <w:abstractNumId w:val="3"/>
  </w:num>
  <w:num w:numId="37">
    <w:abstractNumId w:val="25"/>
  </w:num>
  <w:num w:numId="38">
    <w:abstractNumId w:val="21"/>
  </w:num>
  <w:num w:numId="39">
    <w:abstractNumId w:val="7"/>
  </w:num>
  <w:num w:numId="40">
    <w:abstractNumId w:val="28"/>
  </w:num>
  <w:num w:numId="41">
    <w:abstractNumId w:val="40"/>
  </w:num>
  <w:num w:numId="42">
    <w:abstractNumId w:val="16"/>
  </w:num>
  <w:num w:numId="43">
    <w:abstractNumId w:val="20"/>
  </w:num>
  <w:num w:numId="44">
    <w:abstractNumId w:val="27"/>
  </w:num>
  <w:num w:numId="45">
    <w:abstractNumId w:val="29"/>
    <w:lvlOverride w:ilvl="0">
      <w:lvl w:ilvl="0">
        <w:start w:val="1"/>
        <w:numFmt w:val="decimal"/>
        <w:pStyle w:val="ListNumber"/>
        <w:lvlText w:val="%1."/>
        <w:lvlJc w:val="left"/>
        <w:pPr>
          <w:ind w:left="369" w:hanging="369"/>
        </w:pPr>
        <w:rPr>
          <w:rFonts w:ascii="Arial" w:hAnsi="Arial" w:hint="default"/>
          <w:sz w:val="22"/>
        </w:rPr>
      </w:lvl>
    </w:lvlOverride>
  </w:num>
  <w:num w:numId="46">
    <w:abstractNumId w:val="29"/>
    <w:lvlOverride w:ilvl="0">
      <w:lvl w:ilvl="0">
        <w:start w:val="1"/>
        <w:numFmt w:val="decimal"/>
        <w:pStyle w:val="ListNumber"/>
        <w:lvlText w:val="%1."/>
        <w:lvlJc w:val="left"/>
        <w:pPr>
          <w:ind w:left="369" w:hanging="369"/>
        </w:pPr>
        <w:rPr>
          <w:rFonts w:ascii="Arial" w:hAnsi="Aria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D90EED"/>
    <w:rsid w:val="00000E8D"/>
    <w:rsid w:val="0001016E"/>
    <w:rsid w:val="0001277B"/>
    <w:rsid w:val="000200BA"/>
    <w:rsid w:val="0003701F"/>
    <w:rsid w:val="00037A8B"/>
    <w:rsid w:val="000632FC"/>
    <w:rsid w:val="000710B4"/>
    <w:rsid w:val="000718EF"/>
    <w:rsid w:val="00076617"/>
    <w:rsid w:val="00080C83"/>
    <w:rsid w:val="000829F6"/>
    <w:rsid w:val="000A43A0"/>
    <w:rsid w:val="000A6A81"/>
    <w:rsid w:val="000E0F42"/>
    <w:rsid w:val="000E21C3"/>
    <w:rsid w:val="000F5654"/>
    <w:rsid w:val="000F59BC"/>
    <w:rsid w:val="00102ACA"/>
    <w:rsid w:val="0010734E"/>
    <w:rsid w:val="00114B7B"/>
    <w:rsid w:val="00152514"/>
    <w:rsid w:val="00157BF5"/>
    <w:rsid w:val="0016118E"/>
    <w:rsid w:val="001722F2"/>
    <w:rsid w:val="001827B1"/>
    <w:rsid w:val="00185EDC"/>
    <w:rsid w:val="00190259"/>
    <w:rsid w:val="001A2CAB"/>
    <w:rsid w:val="001A4C96"/>
    <w:rsid w:val="001A515A"/>
    <w:rsid w:val="001B369E"/>
    <w:rsid w:val="001C38ED"/>
    <w:rsid w:val="001F1C06"/>
    <w:rsid w:val="001F4A8D"/>
    <w:rsid w:val="0020440C"/>
    <w:rsid w:val="0020441B"/>
    <w:rsid w:val="00205F2D"/>
    <w:rsid w:val="00212F59"/>
    <w:rsid w:val="00213C9B"/>
    <w:rsid w:val="00230E84"/>
    <w:rsid w:val="00235443"/>
    <w:rsid w:val="002377F7"/>
    <w:rsid w:val="0024124E"/>
    <w:rsid w:val="00242B6F"/>
    <w:rsid w:val="002447E3"/>
    <w:rsid w:val="0024488B"/>
    <w:rsid w:val="00245428"/>
    <w:rsid w:val="00255A0D"/>
    <w:rsid w:val="00256C9B"/>
    <w:rsid w:val="00264FF9"/>
    <w:rsid w:val="00266B20"/>
    <w:rsid w:val="0026706E"/>
    <w:rsid w:val="002705AD"/>
    <w:rsid w:val="002705D7"/>
    <w:rsid w:val="00270B02"/>
    <w:rsid w:val="002753B8"/>
    <w:rsid w:val="002766D1"/>
    <w:rsid w:val="00281C47"/>
    <w:rsid w:val="00282EAA"/>
    <w:rsid w:val="002900E8"/>
    <w:rsid w:val="002B107B"/>
    <w:rsid w:val="002B64C5"/>
    <w:rsid w:val="002C4C10"/>
    <w:rsid w:val="002E2483"/>
    <w:rsid w:val="002F3252"/>
    <w:rsid w:val="003026D8"/>
    <w:rsid w:val="0031058F"/>
    <w:rsid w:val="00317ADF"/>
    <w:rsid w:val="003225BF"/>
    <w:rsid w:val="003352DD"/>
    <w:rsid w:val="003439BE"/>
    <w:rsid w:val="0035613E"/>
    <w:rsid w:val="003618D6"/>
    <w:rsid w:val="003629D3"/>
    <w:rsid w:val="00375ADC"/>
    <w:rsid w:val="003A1837"/>
    <w:rsid w:val="003A23BF"/>
    <w:rsid w:val="003A4798"/>
    <w:rsid w:val="003B4987"/>
    <w:rsid w:val="003B7F34"/>
    <w:rsid w:val="003F10A0"/>
    <w:rsid w:val="00430B7B"/>
    <w:rsid w:val="0043288E"/>
    <w:rsid w:val="00433CB6"/>
    <w:rsid w:val="00433E09"/>
    <w:rsid w:val="00433E5D"/>
    <w:rsid w:val="004355F5"/>
    <w:rsid w:val="00441D5E"/>
    <w:rsid w:val="0044782E"/>
    <w:rsid w:val="00456C9A"/>
    <w:rsid w:val="00457854"/>
    <w:rsid w:val="00471331"/>
    <w:rsid w:val="00471D4C"/>
    <w:rsid w:val="004725FF"/>
    <w:rsid w:val="00473566"/>
    <w:rsid w:val="004841D5"/>
    <w:rsid w:val="00485C8D"/>
    <w:rsid w:val="004905CE"/>
    <w:rsid w:val="00493AF3"/>
    <w:rsid w:val="004948C1"/>
    <w:rsid w:val="004A10CC"/>
    <w:rsid w:val="004B59B8"/>
    <w:rsid w:val="004C40B6"/>
    <w:rsid w:val="004C4E18"/>
    <w:rsid w:val="004D4ADF"/>
    <w:rsid w:val="004D4BC6"/>
    <w:rsid w:val="004E73E5"/>
    <w:rsid w:val="004F6692"/>
    <w:rsid w:val="00514700"/>
    <w:rsid w:val="00527EA6"/>
    <w:rsid w:val="005329C1"/>
    <w:rsid w:val="00583039"/>
    <w:rsid w:val="005A3A49"/>
    <w:rsid w:val="005B0181"/>
    <w:rsid w:val="005C3C3A"/>
    <w:rsid w:val="005C3F95"/>
    <w:rsid w:val="005D01FC"/>
    <w:rsid w:val="005D5DC3"/>
    <w:rsid w:val="005E096B"/>
    <w:rsid w:val="005E63E2"/>
    <w:rsid w:val="005F71F0"/>
    <w:rsid w:val="006152E1"/>
    <w:rsid w:val="00616286"/>
    <w:rsid w:val="00620943"/>
    <w:rsid w:val="00621D1D"/>
    <w:rsid w:val="00630993"/>
    <w:rsid w:val="00631947"/>
    <w:rsid w:val="00636FDC"/>
    <w:rsid w:val="006569A0"/>
    <w:rsid w:val="006804C5"/>
    <w:rsid w:val="006921AC"/>
    <w:rsid w:val="00692F9F"/>
    <w:rsid w:val="006A0CA0"/>
    <w:rsid w:val="006A5038"/>
    <w:rsid w:val="006B6748"/>
    <w:rsid w:val="006C45A6"/>
    <w:rsid w:val="006E5A06"/>
    <w:rsid w:val="007104E4"/>
    <w:rsid w:val="00712251"/>
    <w:rsid w:val="007222FF"/>
    <w:rsid w:val="00732442"/>
    <w:rsid w:val="0073420E"/>
    <w:rsid w:val="00734A22"/>
    <w:rsid w:val="00736D91"/>
    <w:rsid w:val="0074190E"/>
    <w:rsid w:val="007526F9"/>
    <w:rsid w:val="00755FBE"/>
    <w:rsid w:val="00763761"/>
    <w:rsid w:val="0076738B"/>
    <w:rsid w:val="00771CEE"/>
    <w:rsid w:val="00776AC1"/>
    <w:rsid w:val="00781F35"/>
    <w:rsid w:val="007835FC"/>
    <w:rsid w:val="00783F33"/>
    <w:rsid w:val="00786B13"/>
    <w:rsid w:val="0079120B"/>
    <w:rsid w:val="00791FAB"/>
    <w:rsid w:val="007938AE"/>
    <w:rsid w:val="00797BE0"/>
    <w:rsid w:val="007B28EA"/>
    <w:rsid w:val="007C369E"/>
    <w:rsid w:val="007C69E1"/>
    <w:rsid w:val="007C7061"/>
    <w:rsid w:val="007D19F0"/>
    <w:rsid w:val="007F58B1"/>
    <w:rsid w:val="00802957"/>
    <w:rsid w:val="00834C76"/>
    <w:rsid w:val="008366A5"/>
    <w:rsid w:val="00836BED"/>
    <w:rsid w:val="0084225E"/>
    <w:rsid w:val="00867FCC"/>
    <w:rsid w:val="008749E1"/>
    <w:rsid w:val="0087670F"/>
    <w:rsid w:val="00877778"/>
    <w:rsid w:val="00893499"/>
    <w:rsid w:val="008A2B60"/>
    <w:rsid w:val="008B0713"/>
    <w:rsid w:val="008C18D8"/>
    <w:rsid w:val="008D06D5"/>
    <w:rsid w:val="008E4492"/>
    <w:rsid w:val="008F1D94"/>
    <w:rsid w:val="008F5D75"/>
    <w:rsid w:val="00900882"/>
    <w:rsid w:val="00913B0A"/>
    <w:rsid w:val="00917522"/>
    <w:rsid w:val="009229A1"/>
    <w:rsid w:val="0093276D"/>
    <w:rsid w:val="00940705"/>
    <w:rsid w:val="00941C92"/>
    <w:rsid w:val="00950A6A"/>
    <w:rsid w:val="00954108"/>
    <w:rsid w:val="0095709A"/>
    <w:rsid w:val="00964B4C"/>
    <w:rsid w:val="00967CA2"/>
    <w:rsid w:val="009764A4"/>
    <w:rsid w:val="009A530A"/>
    <w:rsid w:val="009C79EA"/>
    <w:rsid w:val="009E23DA"/>
    <w:rsid w:val="009E5CEA"/>
    <w:rsid w:val="009F47F9"/>
    <w:rsid w:val="009F4861"/>
    <w:rsid w:val="00A03D2A"/>
    <w:rsid w:val="00A17AFC"/>
    <w:rsid w:val="00A236B0"/>
    <w:rsid w:val="00A37210"/>
    <w:rsid w:val="00A72D06"/>
    <w:rsid w:val="00A75818"/>
    <w:rsid w:val="00A92885"/>
    <w:rsid w:val="00AA38F0"/>
    <w:rsid w:val="00AC7F22"/>
    <w:rsid w:val="00AD79E4"/>
    <w:rsid w:val="00AE4C36"/>
    <w:rsid w:val="00AF2CAE"/>
    <w:rsid w:val="00AF30B5"/>
    <w:rsid w:val="00B455C0"/>
    <w:rsid w:val="00B45CE2"/>
    <w:rsid w:val="00B47706"/>
    <w:rsid w:val="00B63CC5"/>
    <w:rsid w:val="00B63E38"/>
    <w:rsid w:val="00B67C16"/>
    <w:rsid w:val="00B7706C"/>
    <w:rsid w:val="00B80607"/>
    <w:rsid w:val="00B83AD7"/>
    <w:rsid w:val="00B8542F"/>
    <w:rsid w:val="00B873BE"/>
    <w:rsid w:val="00BA4C9D"/>
    <w:rsid w:val="00BE0177"/>
    <w:rsid w:val="00BE63D5"/>
    <w:rsid w:val="00BF2A8B"/>
    <w:rsid w:val="00BF40B7"/>
    <w:rsid w:val="00C03ACD"/>
    <w:rsid w:val="00C10EE5"/>
    <w:rsid w:val="00C10FEE"/>
    <w:rsid w:val="00C14D2D"/>
    <w:rsid w:val="00C17926"/>
    <w:rsid w:val="00C25695"/>
    <w:rsid w:val="00C4230B"/>
    <w:rsid w:val="00C429A7"/>
    <w:rsid w:val="00C46572"/>
    <w:rsid w:val="00C53AD4"/>
    <w:rsid w:val="00C72713"/>
    <w:rsid w:val="00C772DE"/>
    <w:rsid w:val="00CA7462"/>
    <w:rsid w:val="00CA794F"/>
    <w:rsid w:val="00CB3916"/>
    <w:rsid w:val="00CB68B9"/>
    <w:rsid w:val="00CC0755"/>
    <w:rsid w:val="00D056C8"/>
    <w:rsid w:val="00D16E62"/>
    <w:rsid w:val="00D40BBD"/>
    <w:rsid w:val="00D550CB"/>
    <w:rsid w:val="00D65BAF"/>
    <w:rsid w:val="00D71E71"/>
    <w:rsid w:val="00D90EED"/>
    <w:rsid w:val="00D93DE7"/>
    <w:rsid w:val="00DA4A58"/>
    <w:rsid w:val="00DB0467"/>
    <w:rsid w:val="00DC0888"/>
    <w:rsid w:val="00DC2CEB"/>
    <w:rsid w:val="00DD491B"/>
    <w:rsid w:val="00DE1891"/>
    <w:rsid w:val="00DF0AF2"/>
    <w:rsid w:val="00DF5934"/>
    <w:rsid w:val="00E002E8"/>
    <w:rsid w:val="00E037FB"/>
    <w:rsid w:val="00E24C7F"/>
    <w:rsid w:val="00E25DC6"/>
    <w:rsid w:val="00E315FE"/>
    <w:rsid w:val="00E36F1F"/>
    <w:rsid w:val="00E52B77"/>
    <w:rsid w:val="00E55C9B"/>
    <w:rsid w:val="00E67960"/>
    <w:rsid w:val="00E74751"/>
    <w:rsid w:val="00E74929"/>
    <w:rsid w:val="00E80C15"/>
    <w:rsid w:val="00E836EE"/>
    <w:rsid w:val="00E8723C"/>
    <w:rsid w:val="00E87B39"/>
    <w:rsid w:val="00EA0C92"/>
    <w:rsid w:val="00EA1A79"/>
    <w:rsid w:val="00EA50D8"/>
    <w:rsid w:val="00EB4498"/>
    <w:rsid w:val="00ED4603"/>
    <w:rsid w:val="00EE1555"/>
    <w:rsid w:val="00EF3717"/>
    <w:rsid w:val="00F027A0"/>
    <w:rsid w:val="00F14550"/>
    <w:rsid w:val="00F23404"/>
    <w:rsid w:val="00F24884"/>
    <w:rsid w:val="00F26EEE"/>
    <w:rsid w:val="00F34D84"/>
    <w:rsid w:val="00F41172"/>
    <w:rsid w:val="00F5336E"/>
    <w:rsid w:val="00F62888"/>
    <w:rsid w:val="00F731BE"/>
    <w:rsid w:val="00F81412"/>
    <w:rsid w:val="00F9060B"/>
    <w:rsid w:val="00F93A05"/>
    <w:rsid w:val="00FA3F25"/>
    <w:rsid w:val="00FB55CE"/>
    <w:rsid w:val="00FB629A"/>
    <w:rsid w:val="00FC163D"/>
    <w:rsid w:val="00FC2257"/>
    <w:rsid w:val="00FD296A"/>
    <w:rsid w:val="00FE5AD7"/>
    <w:rsid w:val="00FF14EC"/>
    <w:rsid w:val="00FF65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3FC"/>
  </w:style>
  <w:style w:type="paragraph" w:styleId="Heading1">
    <w:name w:val="heading 1"/>
    <w:aliases w:val="PP Head 1"/>
    <w:basedOn w:val="Normal"/>
    <w:next w:val="Normal"/>
    <w:link w:val="Heading1Char"/>
    <w:uiPriority w:val="9"/>
    <w:qFormat/>
    <w:rsid w:val="00893499"/>
    <w:pPr>
      <w:pBdr>
        <w:bottom w:val="single" w:sz="12" w:space="1" w:color="365F91" w:themeColor="accent1" w:themeShade="BF"/>
      </w:pBdr>
      <w:spacing w:before="480" w:after="80"/>
      <w:ind w:firstLine="0"/>
      <w:outlineLvl w:val="0"/>
    </w:pPr>
    <w:rPr>
      <w:rFonts w:ascii="Cambria" w:hAnsi="Cambria"/>
      <w:b/>
      <w:bCs/>
      <w:color w:val="365F91" w:themeColor="accent1" w:themeShade="BF"/>
      <w:sz w:val="24"/>
      <w:szCs w:val="24"/>
    </w:rPr>
  </w:style>
  <w:style w:type="paragraph" w:styleId="Heading2">
    <w:name w:val="heading 2"/>
    <w:aliases w:val="PP Head 11"/>
    <w:basedOn w:val="Normal"/>
    <w:next w:val="Normal"/>
    <w:link w:val="Heading2Char"/>
    <w:uiPriority w:val="9"/>
    <w:unhideWhenUsed/>
    <w:qFormat/>
    <w:rsid w:val="00F943FC"/>
    <w:pPr>
      <w:pBdr>
        <w:bottom w:val="single" w:sz="8" w:space="1" w:color="4F81BD" w:themeColor="accent1"/>
      </w:pBdr>
      <w:spacing w:before="200" w:after="80"/>
      <w:ind w:firstLine="0"/>
      <w:outlineLvl w:val="1"/>
    </w:pPr>
    <w:rPr>
      <w:rFonts w:ascii="Cambria" w:hAnsi="Cambria"/>
      <w:color w:val="365F91" w:themeColor="accent1" w:themeShade="BF"/>
      <w:sz w:val="24"/>
      <w:szCs w:val="24"/>
    </w:rPr>
  </w:style>
  <w:style w:type="paragraph" w:styleId="Heading3">
    <w:name w:val="heading 3"/>
    <w:aliases w:val="PP Head 3"/>
    <w:basedOn w:val="Normal"/>
    <w:next w:val="Normal"/>
    <w:link w:val="Heading3Char"/>
    <w:uiPriority w:val="9"/>
    <w:unhideWhenUsed/>
    <w:qFormat/>
    <w:rsid w:val="000C640E"/>
    <w:pPr>
      <w:numPr>
        <w:ilvl w:val="1"/>
        <w:numId w:val="15"/>
      </w:numPr>
      <w:pBdr>
        <w:bottom w:val="single" w:sz="4" w:space="0" w:color="95B3D7" w:themeColor="accent1" w:themeTint="99"/>
      </w:pBdr>
      <w:spacing w:before="200" w:after="80"/>
      <w:outlineLvl w:val="2"/>
    </w:pPr>
    <w:rPr>
      <w:rFonts w:ascii="Cambria" w:hAnsi="Cambria"/>
      <w:b/>
      <w:color w:val="4F81BD" w:themeColor="accent1"/>
      <w:sz w:val="24"/>
      <w:szCs w:val="24"/>
    </w:rPr>
  </w:style>
  <w:style w:type="paragraph" w:styleId="Heading4">
    <w:name w:val="heading 4"/>
    <w:basedOn w:val="Normal"/>
    <w:next w:val="Normal"/>
    <w:link w:val="Heading4Char"/>
    <w:uiPriority w:val="9"/>
    <w:unhideWhenUsed/>
    <w:qFormat/>
    <w:rsid w:val="00F943FC"/>
    <w:pPr>
      <w:pBdr>
        <w:bottom w:val="single" w:sz="4" w:space="2" w:color="B8CCE4" w:themeColor="accent1" w:themeTint="66"/>
      </w:pBdr>
      <w:spacing w:before="200" w:after="80"/>
      <w:ind w:firstLine="0"/>
      <w:outlineLvl w:val="3"/>
    </w:pPr>
    <w:rPr>
      <w:rFonts w:ascii="Cambria" w:hAnsi="Cambria"/>
      <w:i/>
      <w:iCs/>
      <w:color w:val="4F81BD" w:themeColor="accent1"/>
      <w:sz w:val="24"/>
      <w:szCs w:val="24"/>
    </w:rPr>
  </w:style>
  <w:style w:type="paragraph" w:styleId="Heading5">
    <w:name w:val="heading 5"/>
    <w:basedOn w:val="Normal"/>
    <w:next w:val="Normal"/>
    <w:link w:val="Heading5Char"/>
    <w:uiPriority w:val="9"/>
    <w:unhideWhenUsed/>
    <w:qFormat/>
    <w:rsid w:val="00F943FC"/>
    <w:pPr>
      <w:spacing w:before="200" w:after="80"/>
      <w:ind w:firstLine="0"/>
      <w:outlineLvl w:val="4"/>
    </w:pPr>
    <w:rPr>
      <w:rFonts w:ascii="Cambria" w:hAnsi="Cambria"/>
      <w:color w:val="4F81BD" w:themeColor="accent1"/>
    </w:rPr>
  </w:style>
  <w:style w:type="paragraph" w:styleId="Heading6">
    <w:name w:val="heading 6"/>
    <w:basedOn w:val="Normal"/>
    <w:next w:val="Normal"/>
    <w:link w:val="Heading6Char"/>
    <w:uiPriority w:val="9"/>
    <w:semiHidden/>
    <w:unhideWhenUsed/>
    <w:qFormat/>
    <w:rsid w:val="00F943FC"/>
    <w:pPr>
      <w:spacing w:before="280" w:after="100"/>
      <w:ind w:firstLine="0"/>
      <w:outlineLvl w:val="5"/>
    </w:pPr>
    <w:rPr>
      <w:rFonts w:ascii="Cambria" w:hAnsi="Cambria"/>
      <w:i/>
      <w:iCs/>
      <w:color w:val="4F81BD" w:themeColor="accent1"/>
    </w:rPr>
  </w:style>
  <w:style w:type="paragraph" w:styleId="Heading7">
    <w:name w:val="heading 7"/>
    <w:basedOn w:val="Normal"/>
    <w:next w:val="Normal"/>
    <w:link w:val="Heading7Char"/>
    <w:uiPriority w:val="9"/>
    <w:semiHidden/>
    <w:unhideWhenUsed/>
    <w:qFormat/>
    <w:rsid w:val="00F943FC"/>
    <w:pPr>
      <w:spacing w:before="320" w:after="100"/>
      <w:ind w:firstLine="0"/>
      <w:outlineLvl w:val="6"/>
    </w:pPr>
    <w:rPr>
      <w:rFonts w:ascii="Cambria" w:hAnsi="Cambria"/>
      <w:b/>
      <w:bCs/>
      <w:color w:val="9BBB59" w:themeColor="accent3"/>
      <w:sz w:val="20"/>
      <w:szCs w:val="20"/>
    </w:rPr>
  </w:style>
  <w:style w:type="paragraph" w:styleId="Heading8">
    <w:name w:val="heading 8"/>
    <w:basedOn w:val="Normal"/>
    <w:next w:val="Normal"/>
    <w:link w:val="Heading8Char"/>
    <w:uiPriority w:val="9"/>
    <w:semiHidden/>
    <w:unhideWhenUsed/>
    <w:qFormat/>
    <w:rsid w:val="00F943FC"/>
    <w:pPr>
      <w:spacing w:before="320" w:after="100"/>
      <w:ind w:firstLine="0"/>
      <w:outlineLvl w:val="7"/>
    </w:pPr>
    <w:rPr>
      <w:rFonts w:ascii="Cambria" w:hAnsi="Cambria"/>
      <w:b/>
      <w:bCs/>
      <w:i/>
      <w:iCs/>
      <w:color w:val="9BBB59" w:themeColor="accent3"/>
      <w:sz w:val="20"/>
      <w:szCs w:val="20"/>
    </w:rPr>
  </w:style>
  <w:style w:type="paragraph" w:styleId="Heading9">
    <w:name w:val="heading 9"/>
    <w:basedOn w:val="Normal"/>
    <w:next w:val="Normal"/>
    <w:link w:val="Heading9Char"/>
    <w:uiPriority w:val="9"/>
    <w:semiHidden/>
    <w:unhideWhenUsed/>
    <w:qFormat/>
    <w:rsid w:val="00F943FC"/>
    <w:pPr>
      <w:spacing w:before="320" w:after="100"/>
      <w:ind w:firstLine="0"/>
      <w:outlineLvl w:val="8"/>
    </w:pPr>
    <w:rPr>
      <w:rFonts w:ascii="Cambria" w:hAnsi="Cambria"/>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ind w:left="0" w:firstLine="0"/>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szCs w:val="20"/>
      <w:lang w:eastAsia="en-AU"/>
    </w:rPr>
  </w:style>
  <w:style w:type="character" w:customStyle="1" w:styleId="Heading1Char">
    <w:name w:val="Heading 1 Char"/>
    <w:aliases w:val="PP Head 1 Char"/>
    <w:basedOn w:val="DefaultParagraphFont"/>
    <w:link w:val="Heading1"/>
    <w:uiPriority w:val="9"/>
    <w:rsid w:val="00893499"/>
    <w:rPr>
      <w:rFonts w:ascii="Cambria" w:hAnsi="Cambria"/>
      <w:b/>
      <w:bCs/>
      <w:color w:val="365F91" w:themeColor="accent1" w:themeShade="BF"/>
      <w:sz w:val="24"/>
      <w:szCs w:val="24"/>
    </w:rPr>
  </w:style>
  <w:style w:type="character" w:customStyle="1" w:styleId="Heading2Char">
    <w:name w:val="Heading 2 Char"/>
    <w:aliases w:val="PP Head 11 Char"/>
    <w:basedOn w:val="DefaultParagraphFont"/>
    <w:link w:val="Heading2"/>
    <w:uiPriority w:val="9"/>
    <w:rsid w:val="00F943FC"/>
    <w:rPr>
      <w:rFonts w:ascii="Cambria" w:hAnsi="Cambria"/>
      <w:color w:val="365F91" w:themeColor="accent1" w:themeShade="BF"/>
      <w:sz w:val="24"/>
      <w:szCs w:val="24"/>
    </w:rPr>
  </w:style>
  <w:style w:type="character" w:customStyle="1" w:styleId="Heading3Char">
    <w:name w:val="Heading 3 Char"/>
    <w:aliases w:val="PP Head 3 Char"/>
    <w:basedOn w:val="DefaultParagraphFont"/>
    <w:link w:val="Heading3"/>
    <w:uiPriority w:val="9"/>
    <w:rsid w:val="000C640E"/>
    <w:rPr>
      <w:rFonts w:ascii="Cambria" w:hAnsi="Cambria"/>
      <w:b/>
      <w:color w:val="4F81BD" w:themeColor="accent1"/>
      <w:sz w:val="24"/>
      <w:szCs w:val="24"/>
    </w:rPr>
  </w:style>
  <w:style w:type="character" w:customStyle="1" w:styleId="Heading4Char">
    <w:name w:val="Heading 4 Char"/>
    <w:basedOn w:val="DefaultParagraphFont"/>
    <w:link w:val="Heading4"/>
    <w:uiPriority w:val="9"/>
    <w:rsid w:val="00F943FC"/>
    <w:rPr>
      <w:rFonts w:ascii="Cambria" w:hAnsi="Cambria"/>
      <w:i/>
      <w:iCs/>
      <w:color w:val="4F81BD" w:themeColor="accent1"/>
      <w:sz w:val="24"/>
      <w:szCs w:val="24"/>
    </w:rPr>
  </w:style>
  <w:style w:type="paragraph" w:styleId="ListBullet">
    <w:name w:val="List Bullet"/>
    <w:aliases w:val="PP List Bullet"/>
    <w:basedOn w:val="Normal"/>
    <w:uiPriority w:val="99"/>
    <w:unhideWhenUsed/>
    <w:qFormat/>
    <w:rsid w:val="00091608"/>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style>
  <w:style w:type="paragraph" w:styleId="ListBullet4">
    <w:name w:val="List Bullet 4"/>
    <w:basedOn w:val="Normal"/>
    <w:unhideWhenUsed/>
    <w:rsid w:val="00091608"/>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rsid w:val="00646122"/>
    <w:pPr>
      <w:tabs>
        <w:tab w:val="center" w:pos="4536"/>
        <w:tab w:val="center" w:pos="4819"/>
        <w:tab w:val="right" w:pos="9356"/>
      </w:tabs>
      <w:spacing w:after="240"/>
      <w:jc w:val="center"/>
    </w:pPr>
    <w:rPr>
      <w:rFonts w:cs="Arial"/>
      <w:color w:val="FF0000"/>
      <w:sz w:val="28"/>
      <w:szCs w:val="28"/>
      <w:lang w:eastAsia="en-AU"/>
    </w:rPr>
  </w:style>
  <w:style w:type="paragraph" w:styleId="ListParagraph">
    <w:name w:val="List Paragraph"/>
    <w:aliases w:val="Bullet 1,Bullet list,Recommendation"/>
    <w:basedOn w:val="Normal"/>
    <w:link w:val="ListParagraphChar"/>
    <w:uiPriority w:val="34"/>
    <w:qFormat/>
    <w:rsid w:val="00F943FC"/>
    <w:pPr>
      <w:ind w:left="720"/>
      <w:contextualSpacing/>
    </w:pPr>
  </w:style>
  <w:style w:type="character" w:styleId="BookTitle">
    <w:name w:val="Book Title"/>
    <w:basedOn w:val="DefaultParagraphFont"/>
    <w:uiPriority w:val="33"/>
    <w:qFormat/>
    <w:rsid w:val="00F943FC"/>
    <w:rPr>
      <w:rFonts w:ascii="Cambria" w:hAnsi="Cambria"/>
      <w:b/>
      <w:bCs/>
      <w:i/>
      <w:iCs/>
      <w:color w:val="auto"/>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aliases w:val="none"/>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rsid w:val="005A126E"/>
  </w:style>
  <w:style w:type="paragraph" w:customStyle="1" w:styleId="Classificationsensitivity">
    <w:name w:val="Classification sensitivity"/>
    <w:basedOn w:val="Classification"/>
    <w:rsid w:val="002C5813"/>
    <w:rPr>
      <w:sz w:val="22"/>
    </w:rPr>
  </w:style>
  <w:style w:type="character" w:styleId="Hyperlink">
    <w:name w:val="Hyperlink"/>
    <w:basedOn w:val="DefaultParagraphFont"/>
    <w:uiPriority w:val="99"/>
    <w:rsid w:val="007843C8"/>
    <w:rPr>
      <w:rFonts w:cs="Times New Roman"/>
      <w:color w:val="0000FF"/>
      <w:u w:val="single"/>
    </w:rPr>
  </w:style>
  <w:style w:type="paragraph" w:styleId="FootnoteText">
    <w:name w:val="footnote text"/>
    <w:basedOn w:val="Normal"/>
    <w:link w:val="FootnoteTextChar"/>
    <w:uiPriority w:val="99"/>
    <w:semiHidden/>
    <w:unhideWhenUsed/>
    <w:rsid w:val="007843C8"/>
    <w:pPr>
      <w:spacing w:before="200"/>
    </w:pPr>
    <w:rPr>
      <w:sz w:val="20"/>
      <w:szCs w:val="20"/>
    </w:rPr>
  </w:style>
  <w:style w:type="character" w:customStyle="1" w:styleId="FootnoteTextChar">
    <w:name w:val="Footnote Text Char"/>
    <w:basedOn w:val="DefaultParagraphFont"/>
    <w:link w:val="FootnoteText"/>
    <w:uiPriority w:val="99"/>
    <w:semiHidden/>
    <w:rsid w:val="007843C8"/>
    <w:rPr>
      <w:lang w:val="en-US" w:eastAsia="en-US" w:bidi="en-US"/>
    </w:rPr>
  </w:style>
  <w:style w:type="character" w:styleId="FootnoteReference">
    <w:name w:val="footnote reference"/>
    <w:basedOn w:val="DefaultParagraphFont"/>
    <w:uiPriority w:val="99"/>
    <w:unhideWhenUsed/>
    <w:rsid w:val="003B4987"/>
    <w:rPr>
      <w:rFonts w:cs="Calibri"/>
      <w:vertAlign w:val="superscript"/>
    </w:rPr>
  </w:style>
  <w:style w:type="paragraph" w:styleId="Caption">
    <w:name w:val="caption"/>
    <w:aliases w:val="PP Caption"/>
    <w:basedOn w:val="Normal"/>
    <w:next w:val="Normal"/>
    <w:uiPriority w:val="35"/>
    <w:unhideWhenUsed/>
    <w:qFormat/>
    <w:rsid w:val="00F943FC"/>
    <w:rPr>
      <w:b/>
      <w:bCs/>
      <w:sz w:val="18"/>
      <w:szCs w:val="18"/>
    </w:rPr>
  </w:style>
  <w:style w:type="character" w:styleId="SubtleReference">
    <w:name w:val="Subtle Reference"/>
    <w:uiPriority w:val="31"/>
    <w:qFormat/>
    <w:rsid w:val="00F943FC"/>
    <w:rPr>
      <w:color w:val="auto"/>
      <w:u w:val="single" w:color="9BBB59"/>
    </w:rPr>
  </w:style>
  <w:style w:type="table" w:customStyle="1" w:styleId="LightShading-Accent11">
    <w:name w:val="Light Shading - Accent 11"/>
    <w:basedOn w:val="TableNormal"/>
    <w:uiPriority w:val="60"/>
    <w:rsid w:val="006D230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733726"/>
    <w:rPr>
      <w:sz w:val="16"/>
      <w:szCs w:val="16"/>
    </w:rPr>
  </w:style>
  <w:style w:type="paragraph" w:styleId="CommentText">
    <w:name w:val="annotation text"/>
    <w:basedOn w:val="Normal"/>
    <w:link w:val="CommentTextChar"/>
    <w:uiPriority w:val="99"/>
    <w:semiHidden/>
    <w:unhideWhenUsed/>
    <w:rsid w:val="00733726"/>
    <w:rPr>
      <w:sz w:val="20"/>
      <w:szCs w:val="20"/>
    </w:rPr>
  </w:style>
  <w:style w:type="character" w:customStyle="1" w:styleId="CommentTextChar">
    <w:name w:val="Comment Text Char"/>
    <w:basedOn w:val="DefaultParagraphFont"/>
    <w:link w:val="CommentText"/>
    <w:uiPriority w:val="99"/>
    <w:semiHidden/>
    <w:rsid w:val="00733726"/>
    <w:rPr>
      <w:lang w:eastAsia="en-US"/>
    </w:rPr>
  </w:style>
  <w:style w:type="paragraph" w:styleId="CommentSubject">
    <w:name w:val="annotation subject"/>
    <w:basedOn w:val="CommentText"/>
    <w:next w:val="CommentText"/>
    <w:link w:val="CommentSubjectChar"/>
    <w:uiPriority w:val="99"/>
    <w:semiHidden/>
    <w:unhideWhenUsed/>
    <w:rsid w:val="00733726"/>
    <w:rPr>
      <w:b/>
      <w:bCs/>
    </w:rPr>
  </w:style>
  <w:style w:type="character" w:customStyle="1" w:styleId="CommentSubjectChar">
    <w:name w:val="Comment Subject Char"/>
    <w:basedOn w:val="CommentTextChar"/>
    <w:link w:val="CommentSubject"/>
    <w:uiPriority w:val="99"/>
    <w:semiHidden/>
    <w:rsid w:val="00733726"/>
    <w:rPr>
      <w:b/>
      <w:bCs/>
      <w:lang w:eastAsia="en-US"/>
    </w:rPr>
  </w:style>
  <w:style w:type="character" w:customStyle="1" w:styleId="Heading5Char">
    <w:name w:val="Heading 5 Char"/>
    <w:basedOn w:val="DefaultParagraphFont"/>
    <w:link w:val="Heading5"/>
    <w:uiPriority w:val="9"/>
    <w:rsid w:val="00F943FC"/>
    <w:rPr>
      <w:rFonts w:ascii="Cambria" w:hAnsi="Cambria"/>
      <w:color w:val="4F81BD" w:themeColor="accent1"/>
    </w:rPr>
  </w:style>
  <w:style w:type="character" w:customStyle="1" w:styleId="Heading6Char">
    <w:name w:val="Heading 6 Char"/>
    <w:basedOn w:val="DefaultParagraphFont"/>
    <w:link w:val="Heading6"/>
    <w:uiPriority w:val="9"/>
    <w:semiHidden/>
    <w:rsid w:val="00F943FC"/>
    <w:rPr>
      <w:rFonts w:ascii="Cambria" w:hAnsi="Cambria"/>
      <w:i/>
      <w:iCs/>
      <w:color w:val="4F81BD" w:themeColor="accent1"/>
    </w:rPr>
  </w:style>
  <w:style w:type="character" w:customStyle="1" w:styleId="Heading7Char">
    <w:name w:val="Heading 7 Char"/>
    <w:basedOn w:val="DefaultParagraphFont"/>
    <w:link w:val="Heading7"/>
    <w:uiPriority w:val="9"/>
    <w:semiHidden/>
    <w:rsid w:val="00F943FC"/>
    <w:rPr>
      <w:rFonts w:ascii="Cambria" w:hAnsi="Cambria"/>
      <w:b/>
      <w:bCs/>
      <w:color w:val="9BBB59" w:themeColor="accent3"/>
      <w:sz w:val="20"/>
      <w:szCs w:val="20"/>
    </w:rPr>
  </w:style>
  <w:style w:type="character" w:customStyle="1" w:styleId="Heading8Char">
    <w:name w:val="Heading 8 Char"/>
    <w:basedOn w:val="DefaultParagraphFont"/>
    <w:link w:val="Heading8"/>
    <w:uiPriority w:val="9"/>
    <w:semiHidden/>
    <w:rsid w:val="00F943FC"/>
    <w:rPr>
      <w:rFonts w:ascii="Cambria" w:hAnsi="Cambria"/>
      <w:b/>
      <w:bCs/>
      <w:i/>
      <w:iCs/>
      <w:color w:val="9BBB59" w:themeColor="accent3"/>
      <w:sz w:val="20"/>
      <w:szCs w:val="20"/>
    </w:rPr>
  </w:style>
  <w:style w:type="character" w:customStyle="1" w:styleId="Heading9Char">
    <w:name w:val="Heading 9 Char"/>
    <w:basedOn w:val="DefaultParagraphFont"/>
    <w:link w:val="Heading9"/>
    <w:uiPriority w:val="9"/>
    <w:semiHidden/>
    <w:rsid w:val="00F943FC"/>
    <w:rPr>
      <w:rFonts w:ascii="Cambria" w:hAnsi="Cambria"/>
      <w:i/>
      <w:iCs/>
      <w:color w:val="9BBB59" w:themeColor="accent3"/>
      <w:sz w:val="20"/>
      <w:szCs w:val="20"/>
    </w:rPr>
  </w:style>
  <w:style w:type="paragraph" w:styleId="TOCHeading">
    <w:name w:val="TOC Heading"/>
    <w:basedOn w:val="Heading1"/>
    <w:next w:val="Normal"/>
    <w:uiPriority w:val="39"/>
    <w:unhideWhenUsed/>
    <w:qFormat/>
    <w:rsid w:val="00F943FC"/>
    <w:pPr>
      <w:outlineLvl w:val="9"/>
    </w:pPr>
  </w:style>
  <w:style w:type="paragraph" w:styleId="TOC1">
    <w:name w:val="toc 1"/>
    <w:basedOn w:val="Normal"/>
    <w:next w:val="Normal"/>
    <w:autoRedefine/>
    <w:uiPriority w:val="39"/>
    <w:unhideWhenUsed/>
    <w:rsid w:val="007B7360"/>
    <w:pPr>
      <w:spacing w:after="100"/>
    </w:pPr>
    <w:rPr>
      <w:b/>
    </w:rPr>
  </w:style>
  <w:style w:type="paragraph" w:styleId="TOC2">
    <w:name w:val="toc 2"/>
    <w:basedOn w:val="Normal"/>
    <w:next w:val="Normal"/>
    <w:autoRedefine/>
    <w:uiPriority w:val="39"/>
    <w:unhideWhenUsed/>
    <w:rsid w:val="00854752"/>
    <w:pPr>
      <w:tabs>
        <w:tab w:val="right" w:leader="dot" w:pos="9202"/>
      </w:tabs>
      <w:spacing w:after="100"/>
      <w:ind w:left="220"/>
    </w:pPr>
    <w:rPr>
      <w:b/>
      <w:bCs/>
      <w:i/>
      <w:iCs/>
      <w:noProof/>
    </w:rPr>
  </w:style>
  <w:style w:type="paragraph" w:styleId="TOC3">
    <w:name w:val="toc 3"/>
    <w:basedOn w:val="Normal"/>
    <w:next w:val="Normal"/>
    <w:autoRedefine/>
    <w:uiPriority w:val="39"/>
    <w:unhideWhenUsed/>
    <w:rsid w:val="0061684F"/>
    <w:pPr>
      <w:spacing w:after="100"/>
      <w:ind w:left="440"/>
    </w:pPr>
  </w:style>
  <w:style w:type="paragraph" w:customStyle="1" w:styleId="Heading11">
    <w:name w:val="Heading 11"/>
    <w:basedOn w:val="Heading5"/>
    <w:link w:val="heading1Char0"/>
    <w:qFormat/>
    <w:rsid w:val="00107463"/>
    <w:pPr>
      <w:numPr>
        <w:numId w:val="6"/>
      </w:numPr>
      <w:pBdr>
        <w:bottom w:val="single" w:sz="6" w:space="0" w:color="4F81BD" w:themeColor="accent1"/>
      </w:pBdr>
    </w:pPr>
    <w:rPr>
      <w:b/>
    </w:rPr>
  </w:style>
  <w:style w:type="character" w:customStyle="1" w:styleId="heading1Char0">
    <w:name w:val="heading 1 Char"/>
    <w:basedOn w:val="Heading5Char"/>
    <w:link w:val="Heading11"/>
    <w:rsid w:val="00107463"/>
    <w:rPr>
      <w:rFonts w:ascii="Cambria" w:hAnsi="Cambria"/>
      <w:b/>
      <w:color w:val="4F81BD" w:themeColor="accent1"/>
    </w:rPr>
  </w:style>
  <w:style w:type="paragraph" w:styleId="Title">
    <w:name w:val="Title"/>
    <w:basedOn w:val="Normal"/>
    <w:next w:val="Normal"/>
    <w:link w:val="TitleChar"/>
    <w:uiPriority w:val="10"/>
    <w:qFormat/>
    <w:rsid w:val="00F943FC"/>
    <w:pPr>
      <w:pBdr>
        <w:top w:val="single" w:sz="8" w:space="10" w:color="A7BFDE" w:themeColor="accent1" w:themeTint="7F"/>
        <w:bottom w:val="single" w:sz="24" w:space="15" w:color="9BBB59" w:themeColor="accent3"/>
      </w:pBdr>
      <w:ind w:firstLine="0"/>
      <w:jc w:val="center"/>
    </w:pPr>
    <w:rPr>
      <w:rFonts w:ascii="Cambria" w:hAnsi="Cambria"/>
      <w:i/>
      <w:iCs/>
      <w:color w:val="243F60" w:themeColor="accent1" w:themeShade="7F"/>
      <w:sz w:val="60"/>
      <w:szCs w:val="60"/>
    </w:rPr>
  </w:style>
  <w:style w:type="character" w:customStyle="1" w:styleId="TitleChar">
    <w:name w:val="Title Char"/>
    <w:basedOn w:val="DefaultParagraphFont"/>
    <w:link w:val="Title"/>
    <w:uiPriority w:val="10"/>
    <w:rsid w:val="00F943FC"/>
    <w:rPr>
      <w:rFonts w:ascii="Cambria" w:hAnsi="Cambria"/>
      <w:i/>
      <w:iCs/>
      <w:color w:val="243F60" w:themeColor="accent1" w:themeShade="7F"/>
      <w:sz w:val="60"/>
      <w:szCs w:val="60"/>
    </w:rPr>
  </w:style>
  <w:style w:type="paragraph" w:styleId="Subtitle">
    <w:name w:val="Subtitle"/>
    <w:basedOn w:val="Normal"/>
    <w:next w:val="Normal"/>
    <w:link w:val="SubtitleChar"/>
    <w:uiPriority w:val="11"/>
    <w:qFormat/>
    <w:rsid w:val="00F943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F943FC"/>
    <w:rPr>
      <w:rFonts w:ascii="Calibri"/>
      <w:i/>
      <w:iCs/>
      <w:sz w:val="24"/>
      <w:szCs w:val="24"/>
    </w:rPr>
  </w:style>
  <w:style w:type="character" w:styleId="Strong">
    <w:name w:val="Strong"/>
    <w:basedOn w:val="DefaultParagraphFont"/>
    <w:uiPriority w:val="22"/>
    <w:qFormat/>
    <w:rsid w:val="00F943FC"/>
    <w:rPr>
      <w:b/>
      <w:bCs/>
      <w:spacing w:val="0"/>
    </w:rPr>
  </w:style>
  <w:style w:type="character" w:styleId="Emphasis">
    <w:name w:val="Emphasis"/>
    <w:uiPriority w:val="20"/>
    <w:qFormat/>
    <w:rsid w:val="00F943FC"/>
    <w:rPr>
      <w:b/>
      <w:bCs/>
      <w:i/>
      <w:iCs/>
      <w:color w:val="5A5A5A" w:themeColor="text1" w:themeTint="A5"/>
    </w:rPr>
  </w:style>
  <w:style w:type="paragraph" w:styleId="NoSpacing">
    <w:name w:val="No Spacing"/>
    <w:basedOn w:val="Normal"/>
    <w:link w:val="NoSpacingChar"/>
    <w:uiPriority w:val="1"/>
    <w:qFormat/>
    <w:rsid w:val="00F943FC"/>
    <w:pPr>
      <w:ind w:firstLine="0"/>
    </w:pPr>
  </w:style>
  <w:style w:type="character" w:customStyle="1" w:styleId="NoSpacingChar">
    <w:name w:val="No Spacing Char"/>
    <w:basedOn w:val="DefaultParagraphFont"/>
    <w:link w:val="NoSpacing"/>
    <w:uiPriority w:val="1"/>
    <w:rsid w:val="00F943FC"/>
  </w:style>
  <w:style w:type="paragraph" w:styleId="Quote">
    <w:name w:val="Quote"/>
    <w:basedOn w:val="Normal"/>
    <w:next w:val="Normal"/>
    <w:link w:val="QuoteChar"/>
    <w:uiPriority w:val="29"/>
    <w:qFormat/>
    <w:rsid w:val="00F943FC"/>
    <w:rPr>
      <w:rFonts w:ascii="Cambria" w:hAnsi="Cambria"/>
      <w:i/>
      <w:iCs/>
      <w:color w:val="5A5A5A" w:themeColor="text1" w:themeTint="A5"/>
    </w:rPr>
  </w:style>
  <w:style w:type="character" w:customStyle="1" w:styleId="QuoteChar">
    <w:name w:val="Quote Char"/>
    <w:basedOn w:val="DefaultParagraphFont"/>
    <w:link w:val="Quote"/>
    <w:uiPriority w:val="29"/>
    <w:rsid w:val="00F943FC"/>
    <w:rPr>
      <w:rFonts w:ascii="Cambria" w:hAnsi="Cambria"/>
      <w:i/>
      <w:iCs/>
      <w:color w:val="5A5A5A" w:themeColor="text1" w:themeTint="A5"/>
    </w:rPr>
  </w:style>
  <w:style w:type="paragraph" w:styleId="IntenseQuote">
    <w:name w:val="Intense Quote"/>
    <w:basedOn w:val="Normal"/>
    <w:next w:val="Normal"/>
    <w:link w:val="IntenseQuoteChar"/>
    <w:uiPriority w:val="30"/>
    <w:qFormat/>
    <w:rsid w:val="00F943F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Cambria" w:hAnsi="Cambria"/>
      <w:i/>
      <w:iCs/>
      <w:color w:val="FFFFFF" w:themeColor="background1"/>
      <w:sz w:val="24"/>
      <w:szCs w:val="24"/>
    </w:rPr>
  </w:style>
  <w:style w:type="character" w:customStyle="1" w:styleId="IntenseQuoteChar">
    <w:name w:val="Intense Quote Char"/>
    <w:basedOn w:val="DefaultParagraphFont"/>
    <w:link w:val="IntenseQuote"/>
    <w:uiPriority w:val="30"/>
    <w:rsid w:val="00F943FC"/>
    <w:rPr>
      <w:rFonts w:ascii="Cambria" w:hAnsi="Cambria"/>
      <w:i/>
      <w:iCs/>
      <w:color w:val="FFFFFF" w:themeColor="background1"/>
      <w:sz w:val="24"/>
      <w:szCs w:val="24"/>
      <w:shd w:val="clear" w:color="auto" w:fill="4F81BD" w:themeFill="accent1"/>
    </w:rPr>
  </w:style>
  <w:style w:type="character" w:styleId="SubtleEmphasis">
    <w:name w:val="Subtle Emphasis"/>
    <w:uiPriority w:val="19"/>
    <w:qFormat/>
    <w:rsid w:val="00F943FC"/>
    <w:rPr>
      <w:i/>
      <w:iCs/>
      <w:color w:val="5A5A5A" w:themeColor="text1" w:themeTint="A5"/>
    </w:rPr>
  </w:style>
  <w:style w:type="character" w:styleId="IntenseEmphasis">
    <w:name w:val="Intense Emphasis"/>
    <w:uiPriority w:val="21"/>
    <w:qFormat/>
    <w:rsid w:val="00F943FC"/>
    <w:rPr>
      <w:b/>
      <w:bCs/>
      <w:i/>
      <w:iCs/>
      <w:color w:val="4F81BD" w:themeColor="accent1"/>
      <w:sz w:val="22"/>
      <w:szCs w:val="22"/>
    </w:rPr>
  </w:style>
  <w:style w:type="character" w:styleId="IntenseReference">
    <w:name w:val="Intense Reference"/>
    <w:basedOn w:val="DefaultParagraphFont"/>
    <w:uiPriority w:val="32"/>
    <w:qFormat/>
    <w:rsid w:val="00F943FC"/>
    <w:rPr>
      <w:b/>
      <w:bCs/>
      <w:color w:val="76923C" w:themeColor="accent3" w:themeShade="BF"/>
      <w:u w:val="single" w:color="9BBB59"/>
    </w:rPr>
  </w:style>
  <w:style w:type="paragraph" w:customStyle="1" w:styleId="Default">
    <w:name w:val="Default"/>
    <w:rsid w:val="00A5548C"/>
    <w:pPr>
      <w:autoSpaceDE w:val="0"/>
      <w:autoSpaceDN w:val="0"/>
      <w:adjustRightInd w:val="0"/>
      <w:ind w:firstLine="0"/>
    </w:pPr>
    <w:rPr>
      <w:rFonts w:ascii="Arial" w:hAnsi="Arial" w:cs="Arial"/>
      <w:color w:val="000000"/>
      <w:sz w:val="24"/>
      <w:szCs w:val="24"/>
      <w:lang w:val="en-AU" w:bidi="ar-SA"/>
    </w:rPr>
  </w:style>
  <w:style w:type="paragraph" w:styleId="EndnoteText">
    <w:name w:val="endnote text"/>
    <w:basedOn w:val="Normal"/>
    <w:link w:val="EndnoteTextChar"/>
    <w:uiPriority w:val="99"/>
    <w:semiHidden/>
    <w:unhideWhenUsed/>
    <w:rsid w:val="005262DF"/>
    <w:rPr>
      <w:sz w:val="20"/>
      <w:szCs w:val="20"/>
    </w:rPr>
  </w:style>
  <w:style w:type="character" w:customStyle="1" w:styleId="EndnoteTextChar">
    <w:name w:val="Endnote Text Char"/>
    <w:basedOn w:val="DefaultParagraphFont"/>
    <w:link w:val="EndnoteText"/>
    <w:uiPriority w:val="99"/>
    <w:semiHidden/>
    <w:rsid w:val="005262DF"/>
    <w:rPr>
      <w:sz w:val="20"/>
      <w:szCs w:val="20"/>
    </w:rPr>
  </w:style>
  <w:style w:type="character" w:styleId="EndnoteReference">
    <w:name w:val="endnote reference"/>
    <w:basedOn w:val="DefaultParagraphFont"/>
    <w:uiPriority w:val="99"/>
    <w:semiHidden/>
    <w:unhideWhenUsed/>
    <w:rsid w:val="005262DF"/>
    <w:rPr>
      <w:vertAlign w:val="superscript"/>
    </w:rPr>
  </w:style>
  <w:style w:type="paragraph" w:customStyle="1" w:styleId="EYBulletedList1">
    <w:name w:val="EY Bulleted List 1"/>
    <w:rsid w:val="00D613E2"/>
    <w:pPr>
      <w:numPr>
        <w:numId w:val="22"/>
      </w:numPr>
      <w:spacing w:after="120"/>
      <w:ind w:left="289" w:hanging="289"/>
    </w:pPr>
    <w:rPr>
      <w:rFonts w:ascii="EYInterstate Light" w:hAnsi="EYInterstate Light"/>
      <w:kern w:val="12"/>
      <w:sz w:val="20"/>
      <w:szCs w:val="24"/>
      <w:lang w:bidi="ar-SA"/>
    </w:rPr>
  </w:style>
  <w:style w:type="paragraph" w:customStyle="1" w:styleId="EYBulletedList2">
    <w:name w:val="EY Bulleted List 2"/>
    <w:rsid w:val="00D613E2"/>
    <w:pPr>
      <w:numPr>
        <w:ilvl w:val="1"/>
        <w:numId w:val="22"/>
      </w:numPr>
    </w:pPr>
    <w:rPr>
      <w:rFonts w:ascii="EYInterstate Light" w:hAnsi="EYInterstate Light"/>
      <w:kern w:val="12"/>
      <w:sz w:val="20"/>
      <w:szCs w:val="24"/>
      <w:lang w:bidi="ar-SA"/>
    </w:rPr>
  </w:style>
  <w:style w:type="paragraph" w:customStyle="1" w:styleId="EYBulletedList3">
    <w:name w:val="EY Bulleted List 3"/>
    <w:rsid w:val="00D613E2"/>
    <w:pPr>
      <w:numPr>
        <w:ilvl w:val="2"/>
        <w:numId w:val="22"/>
      </w:numPr>
    </w:pPr>
    <w:rPr>
      <w:rFonts w:ascii="EYInterstate Light" w:hAnsi="EYInterstate Light"/>
      <w:kern w:val="12"/>
      <w:sz w:val="20"/>
      <w:szCs w:val="24"/>
      <w:lang w:bidi="ar-SA"/>
    </w:rPr>
  </w:style>
  <w:style w:type="paragraph" w:customStyle="1" w:styleId="EYNumber">
    <w:name w:val="EY Number"/>
    <w:basedOn w:val="Normal"/>
    <w:rsid w:val="00D613E2"/>
    <w:pPr>
      <w:numPr>
        <w:numId w:val="21"/>
      </w:numPr>
    </w:pPr>
    <w:rPr>
      <w:rFonts w:ascii="EYInterstate Light" w:hAnsi="EYInterstate Light"/>
      <w:kern w:val="12"/>
      <w:sz w:val="20"/>
      <w:szCs w:val="24"/>
      <w:lang w:bidi="ar-SA"/>
    </w:rPr>
  </w:style>
  <w:style w:type="paragraph" w:customStyle="1" w:styleId="EYLetter">
    <w:name w:val="EY Letter"/>
    <w:basedOn w:val="EYNumber"/>
    <w:rsid w:val="00D613E2"/>
    <w:pPr>
      <w:numPr>
        <w:ilvl w:val="1"/>
      </w:numPr>
    </w:pPr>
  </w:style>
  <w:style w:type="paragraph" w:customStyle="1" w:styleId="EYRoman">
    <w:name w:val="EY Roman"/>
    <w:basedOn w:val="EYNumber"/>
    <w:rsid w:val="00D613E2"/>
    <w:pPr>
      <w:numPr>
        <w:ilvl w:val="2"/>
      </w:numPr>
    </w:pPr>
  </w:style>
  <w:style w:type="paragraph" w:customStyle="1" w:styleId="EYBodytextwithparaspace">
    <w:name w:val="EY Body text (with para space)"/>
    <w:basedOn w:val="Normal"/>
    <w:link w:val="EYBodytextwithparaspaceChar"/>
    <w:qFormat/>
    <w:rsid w:val="00D613E2"/>
    <w:pPr>
      <w:numPr>
        <w:ilvl w:val="4"/>
        <w:numId w:val="23"/>
      </w:numPr>
      <w:spacing w:after="240"/>
    </w:pPr>
    <w:rPr>
      <w:rFonts w:ascii="EYInterstate Light" w:hAnsi="EYInterstate Light"/>
      <w:kern w:val="12"/>
      <w:sz w:val="20"/>
      <w:szCs w:val="24"/>
      <w:lang w:bidi="ar-SA"/>
    </w:rPr>
  </w:style>
  <w:style w:type="character" w:customStyle="1" w:styleId="EYBodytextwithparaspaceChar">
    <w:name w:val="EY Body text (with para space) Char"/>
    <w:basedOn w:val="DefaultParagraphFont"/>
    <w:link w:val="EYBodytextwithparaspace"/>
    <w:rsid w:val="00D613E2"/>
    <w:rPr>
      <w:rFonts w:ascii="EYInterstate Light" w:eastAsia="Times New Roman" w:hAnsi="EYInterstate Light" w:cs="Times New Roman"/>
      <w:kern w:val="12"/>
      <w:sz w:val="20"/>
      <w:szCs w:val="24"/>
      <w:lang w:bidi="ar-SA"/>
    </w:rPr>
  </w:style>
  <w:style w:type="paragraph" w:customStyle="1" w:styleId="EYTablebullet1">
    <w:name w:val="EY Table bullet 1"/>
    <w:basedOn w:val="Normal"/>
    <w:link w:val="EYTablebullet1Char"/>
    <w:rsid w:val="00D613E2"/>
    <w:pPr>
      <w:numPr>
        <w:numId w:val="24"/>
      </w:numPr>
      <w:spacing w:before="20" w:after="20"/>
    </w:pPr>
    <w:rPr>
      <w:rFonts w:ascii="EYInterstate Light" w:hAnsi="EYInterstate Light"/>
      <w:sz w:val="16"/>
      <w:szCs w:val="24"/>
      <w:lang w:bidi="ar-SA"/>
    </w:rPr>
  </w:style>
  <w:style w:type="paragraph" w:customStyle="1" w:styleId="EYTablebullet2">
    <w:name w:val="EY Table bullet 2"/>
    <w:basedOn w:val="EYTablebullet1"/>
    <w:rsid w:val="00D613E2"/>
    <w:pPr>
      <w:numPr>
        <w:ilvl w:val="1"/>
      </w:numPr>
      <w:tabs>
        <w:tab w:val="clear" w:pos="568"/>
        <w:tab w:val="num" w:pos="643"/>
      </w:tabs>
      <w:ind w:left="643" w:hanging="360"/>
    </w:pPr>
  </w:style>
  <w:style w:type="character" w:customStyle="1" w:styleId="EYTablebullet1Char">
    <w:name w:val="EY Table bullet 1 Char"/>
    <w:basedOn w:val="DefaultParagraphFont"/>
    <w:link w:val="EYTablebullet1"/>
    <w:rsid w:val="00D613E2"/>
    <w:rPr>
      <w:rFonts w:ascii="EYInterstate Light" w:eastAsia="Times New Roman" w:hAnsi="EYInterstate Light" w:cs="Times New Roman"/>
      <w:sz w:val="16"/>
      <w:szCs w:val="24"/>
      <w:lang w:bidi="ar-SA"/>
    </w:rPr>
  </w:style>
  <w:style w:type="paragraph" w:customStyle="1" w:styleId="EYTableText">
    <w:name w:val="EY Table Text"/>
    <w:basedOn w:val="Normal"/>
    <w:rsid w:val="00C1355B"/>
    <w:pPr>
      <w:spacing w:before="20" w:after="20"/>
      <w:ind w:firstLine="0"/>
    </w:pPr>
    <w:rPr>
      <w:rFonts w:ascii="EYInterstate Light" w:hAnsi="EYInterstate Light"/>
      <w:sz w:val="16"/>
      <w:szCs w:val="24"/>
      <w:lang w:bidi="ar-SA"/>
    </w:rPr>
  </w:style>
  <w:style w:type="paragraph" w:customStyle="1" w:styleId="EYTableHeading">
    <w:name w:val="EY Table Heading"/>
    <w:basedOn w:val="EYTableText"/>
    <w:rsid w:val="00C1355B"/>
    <w:pPr>
      <w:spacing w:before="60" w:after="60"/>
    </w:pPr>
    <w:rPr>
      <w:rFonts w:ascii="EYInterstate Regular" w:hAnsi="EYInterstate Regular"/>
      <w:color w:val="808080"/>
    </w:rPr>
  </w:style>
  <w:style w:type="paragraph" w:customStyle="1" w:styleId="body">
    <w:name w:val="body"/>
    <w:basedOn w:val="Normal"/>
    <w:next w:val="Normal"/>
    <w:uiPriority w:val="99"/>
    <w:rsid w:val="002620A0"/>
    <w:pPr>
      <w:widowControl w:val="0"/>
      <w:suppressAutoHyphens/>
      <w:autoSpaceDE w:val="0"/>
      <w:autoSpaceDN w:val="0"/>
      <w:adjustRightInd w:val="0"/>
      <w:spacing w:after="113" w:line="240" w:lineRule="atLeast"/>
      <w:ind w:firstLine="0"/>
      <w:textAlignment w:val="center"/>
    </w:pPr>
    <w:rPr>
      <w:rFonts w:ascii="ArialMT" w:hAnsi="ArialMT" w:cs="ArialMT"/>
      <w:color w:val="000000"/>
      <w:spacing w:val="-2"/>
      <w:sz w:val="20"/>
      <w:szCs w:val="20"/>
      <w:lang w:val="en-GB" w:bidi="ar-SA"/>
    </w:rPr>
  </w:style>
  <w:style w:type="paragraph" w:customStyle="1" w:styleId="Para0">
    <w:name w:val="Para 0"/>
    <w:basedOn w:val="Normal"/>
    <w:link w:val="Para0Char"/>
    <w:qFormat/>
    <w:rsid w:val="00B85B3B"/>
    <w:pPr>
      <w:spacing w:after="220" w:line="300" w:lineRule="auto"/>
      <w:ind w:firstLine="0"/>
      <w:jc w:val="both"/>
    </w:pPr>
    <w:rPr>
      <w:rFonts w:ascii="Arial" w:hAnsi="Arial"/>
      <w:color w:val="000000"/>
      <w:sz w:val="20"/>
      <w:szCs w:val="20"/>
      <w:lang w:val="en-GB" w:bidi="ar-SA"/>
    </w:rPr>
  </w:style>
  <w:style w:type="character" w:customStyle="1" w:styleId="Para0Char">
    <w:name w:val="Para 0 Char"/>
    <w:basedOn w:val="DefaultParagraphFont"/>
    <w:link w:val="Para0"/>
    <w:locked/>
    <w:rsid w:val="00B85B3B"/>
    <w:rPr>
      <w:rFonts w:ascii="Arial" w:eastAsia="Times New Roman" w:hAnsi="Arial" w:cs="Times New Roman"/>
      <w:color w:val="000000"/>
      <w:sz w:val="20"/>
      <w:szCs w:val="20"/>
      <w:lang w:val="en-GB" w:bidi="ar-SA"/>
    </w:rPr>
  </w:style>
  <w:style w:type="paragraph" w:styleId="NormalWeb">
    <w:name w:val="Normal (Web)"/>
    <w:basedOn w:val="Normal"/>
    <w:uiPriority w:val="99"/>
    <w:unhideWhenUsed/>
    <w:rsid w:val="005944F5"/>
    <w:pPr>
      <w:spacing w:before="100" w:beforeAutospacing="1" w:after="100" w:afterAutospacing="1"/>
      <w:ind w:firstLine="0"/>
    </w:pPr>
    <w:rPr>
      <w:rFonts w:ascii="Times New Roman" w:hAnsi="Times New Roman"/>
      <w:sz w:val="24"/>
      <w:szCs w:val="24"/>
      <w:lang w:val="en-AU" w:eastAsia="en-AU" w:bidi="ar-SA"/>
    </w:rPr>
  </w:style>
  <w:style w:type="character" w:styleId="HTMLAcronym">
    <w:name w:val="HTML Acronym"/>
    <w:basedOn w:val="DefaultParagraphFont"/>
    <w:uiPriority w:val="99"/>
    <w:semiHidden/>
    <w:unhideWhenUsed/>
    <w:rsid w:val="00FA1B84"/>
  </w:style>
  <w:style w:type="paragraph" w:customStyle="1" w:styleId="TableText0">
    <w:name w:val="Table Text"/>
    <w:basedOn w:val="Normal"/>
    <w:qFormat/>
    <w:rsid w:val="00256C9B"/>
    <w:pPr>
      <w:keepLines/>
      <w:spacing w:before="60" w:after="60"/>
      <w:ind w:firstLine="0"/>
    </w:pPr>
    <w:rPr>
      <w:rFonts w:ascii="Arial" w:hAnsi="Arial"/>
      <w:sz w:val="20"/>
      <w:lang w:val="en-AU" w:eastAsia="en-AU" w:bidi="ar-SA"/>
    </w:rPr>
  </w:style>
  <w:style w:type="paragraph" w:customStyle="1" w:styleId="TableColumnHeading">
    <w:name w:val="Table Column Heading"/>
    <w:basedOn w:val="Normal"/>
    <w:rsid w:val="00256C9B"/>
    <w:pPr>
      <w:keepLines/>
      <w:spacing w:before="60" w:after="60"/>
      <w:ind w:right="174" w:firstLine="0"/>
    </w:pPr>
    <w:rPr>
      <w:rFonts w:ascii="Arial" w:hAnsi="Arial" w:cs="Arial"/>
      <w:b/>
      <w:sz w:val="20"/>
      <w:szCs w:val="20"/>
      <w:lang w:val="en-AU" w:eastAsia="en-AU" w:bidi="ar-SA"/>
    </w:rPr>
  </w:style>
  <w:style w:type="paragraph" w:customStyle="1" w:styleId="TableHeading">
    <w:name w:val="TableHeading"/>
    <w:basedOn w:val="Normal"/>
    <w:rsid w:val="00256C9B"/>
    <w:pPr>
      <w:keepLines/>
      <w:spacing w:before="60" w:after="60"/>
      <w:ind w:firstLine="0"/>
      <w:jc w:val="center"/>
    </w:pPr>
    <w:rPr>
      <w:rFonts w:ascii="Arial" w:hAnsi="Arial"/>
      <w:b/>
      <w:lang w:val="en-AU" w:eastAsia="en-AU" w:bidi="ar-SA"/>
    </w:rPr>
  </w:style>
  <w:style w:type="paragraph" w:customStyle="1" w:styleId="acthead5">
    <w:name w:val="acthead5"/>
    <w:basedOn w:val="Normal"/>
    <w:rsid w:val="00282EAA"/>
    <w:pPr>
      <w:spacing w:before="100" w:beforeAutospacing="1" w:after="100" w:afterAutospacing="1"/>
      <w:ind w:firstLine="0"/>
    </w:pPr>
    <w:rPr>
      <w:rFonts w:ascii="Times New Roman" w:hAnsi="Times New Roman"/>
      <w:sz w:val="24"/>
      <w:szCs w:val="24"/>
      <w:lang w:val="en-AU" w:eastAsia="en-AU" w:bidi="ar-SA"/>
    </w:rPr>
  </w:style>
  <w:style w:type="character" w:customStyle="1" w:styleId="charsectno">
    <w:name w:val="charsectno"/>
    <w:basedOn w:val="DefaultParagraphFont"/>
    <w:rsid w:val="00282EAA"/>
  </w:style>
  <w:style w:type="paragraph" w:customStyle="1" w:styleId="subsection">
    <w:name w:val="subsection"/>
    <w:aliases w:val="ss"/>
    <w:basedOn w:val="Normal"/>
    <w:link w:val="subsectionChar"/>
    <w:rsid w:val="00282EAA"/>
    <w:pPr>
      <w:spacing w:before="100" w:beforeAutospacing="1" w:after="100" w:afterAutospacing="1"/>
      <w:ind w:firstLine="0"/>
    </w:pPr>
    <w:rPr>
      <w:rFonts w:ascii="Times New Roman" w:hAnsi="Times New Roman"/>
      <w:sz w:val="24"/>
      <w:szCs w:val="24"/>
      <w:lang w:val="en-AU" w:eastAsia="en-AU" w:bidi="ar-SA"/>
    </w:rPr>
  </w:style>
  <w:style w:type="paragraph" w:customStyle="1" w:styleId="paragraph">
    <w:name w:val="paragraph"/>
    <w:aliases w:val="a"/>
    <w:basedOn w:val="Normal"/>
    <w:link w:val="paragraphChar"/>
    <w:rsid w:val="00282EAA"/>
    <w:pPr>
      <w:spacing w:before="100" w:beforeAutospacing="1" w:after="100" w:afterAutospacing="1"/>
      <w:ind w:firstLine="0"/>
    </w:pPr>
    <w:rPr>
      <w:rFonts w:ascii="Times New Roman" w:hAnsi="Times New Roman"/>
      <w:sz w:val="24"/>
      <w:szCs w:val="24"/>
      <w:lang w:val="en-AU" w:eastAsia="en-AU" w:bidi="ar-SA"/>
    </w:rPr>
  </w:style>
  <w:style w:type="paragraph" w:customStyle="1" w:styleId="paragraphsub">
    <w:name w:val="paragraphsub"/>
    <w:basedOn w:val="Normal"/>
    <w:rsid w:val="00282EAA"/>
    <w:pPr>
      <w:spacing w:before="100" w:beforeAutospacing="1" w:after="100" w:afterAutospacing="1"/>
      <w:ind w:firstLine="0"/>
    </w:pPr>
    <w:rPr>
      <w:rFonts w:ascii="Times New Roman" w:hAnsi="Times New Roman"/>
      <w:sz w:val="24"/>
      <w:szCs w:val="24"/>
      <w:lang w:val="en-AU" w:eastAsia="en-AU" w:bidi="ar-SA"/>
    </w:rPr>
  </w:style>
  <w:style w:type="paragraph" w:customStyle="1" w:styleId="subsectionhead">
    <w:name w:val="subsectionhead"/>
    <w:basedOn w:val="Normal"/>
    <w:rsid w:val="000200BA"/>
    <w:pPr>
      <w:spacing w:before="100" w:beforeAutospacing="1" w:after="100" w:afterAutospacing="1"/>
      <w:ind w:firstLine="0"/>
    </w:pPr>
    <w:rPr>
      <w:rFonts w:ascii="Times New Roman" w:hAnsi="Times New Roman"/>
      <w:sz w:val="24"/>
      <w:szCs w:val="24"/>
      <w:lang w:val="en-AU" w:eastAsia="en-AU" w:bidi="ar-SA"/>
    </w:rPr>
  </w:style>
  <w:style w:type="paragraph" w:customStyle="1" w:styleId="notetext">
    <w:name w:val="notetext"/>
    <w:basedOn w:val="Normal"/>
    <w:rsid w:val="000200BA"/>
    <w:pPr>
      <w:spacing w:before="100" w:beforeAutospacing="1" w:after="100" w:afterAutospacing="1"/>
      <w:ind w:firstLine="0"/>
    </w:pPr>
    <w:rPr>
      <w:rFonts w:ascii="Times New Roman" w:hAnsi="Times New Roman"/>
      <w:sz w:val="24"/>
      <w:szCs w:val="24"/>
      <w:lang w:val="en-AU" w:eastAsia="en-AU" w:bidi="ar-SA"/>
    </w:rPr>
  </w:style>
  <w:style w:type="paragraph" w:customStyle="1" w:styleId="paragraphsub0">
    <w:name w:val="paragraph(sub)"/>
    <w:aliases w:val="aa"/>
    <w:basedOn w:val="Normal"/>
    <w:rsid w:val="003A23BF"/>
    <w:pPr>
      <w:tabs>
        <w:tab w:val="right" w:pos="1985"/>
      </w:tabs>
      <w:spacing w:before="40"/>
      <w:ind w:left="2098" w:hanging="2098"/>
    </w:pPr>
    <w:rPr>
      <w:rFonts w:ascii="Times New Roman" w:hAnsi="Times New Roman"/>
      <w:szCs w:val="20"/>
      <w:lang w:val="en-AU" w:eastAsia="en-AU" w:bidi="ar-SA"/>
    </w:rPr>
  </w:style>
  <w:style w:type="character" w:customStyle="1" w:styleId="subsectionChar">
    <w:name w:val="subsection Char"/>
    <w:aliases w:val="ss Char"/>
    <w:link w:val="subsection"/>
    <w:rsid w:val="003A23BF"/>
    <w:rPr>
      <w:rFonts w:ascii="Times New Roman" w:hAnsi="Times New Roman"/>
      <w:sz w:val="24"/>
      <w:szCs w:val="24"/>
      <w:lang w:val="en-AU" w:eastAsia="en-AU" w:bidi="ar-SA"/>
    </w:rPr>
  </w:style>
  <w:style w:type="character" w:customStyle="1" w:styleId="paragraphChar">
    <w:name w:val="paragraph Char"/>
    <w:aliases w:val="a Char"/>
    <w:basedOn w:val="DefaultParagraphFont"/>
    <w:link w:val="paragraph"/>
    <w:rsid w:val="003A23BF"/>
    <w:rPr>
      <w:rFonts w:ascii="Times New Roman" w:hAnsi="Times New Roman"/>
      <w:sz w:val="24"/>
      <w:szCs w:val="24"/>
      <w:lang w:val="en-AU" w:eastAsia="en-AU" w:bidi="ar-SA"/>
    </w:rPr>
  </w:style>
  <w:style w:type="paragraph" w:styleId="List2">
    <w:name w:val="List 2"/>
    <w:basedOn w:val="Normal"/>
    <w:uiPriority w:val="99"/>
    <w:semiHidden/>
    <w:unhideWhenUsed/>
    <w:rsid w:val="003A23BF"/>
    <w:pPr>
      <w:ind w:left="566" w:hanging="283"/>
      <w:contextualSpacing/>
    </w:pPr>
  </w:style>
  <w:style w:type="paragraph" w:customStyle="1" w:styleId="SubsectionHead0">
    <w:name w:val="SubsectionHead"/>
    <w:aliases w:val="ssh"/>
    <w:basedOn w:val="Normal"/>
    <w:next w:val="subsection"/>
    <w:rsid w:val="003A23BF"/>
    <w:pPr>
      <w:keepNext/>
      <w:keepLines/>
      <w:spacing w:before="240"/>
      <w:ind w:left="1134" w:firstLine="0"/>
    </w:pPr>
    <w:rPr>
      <w:rFonts w:ascii="Times New Roman" w:hAnsi="Times New Roman"/>
      <w:i/>
      <w:szCs w:val="20"/>
      <w:lang w:val="en-AU" w:eastAsia="en-AU" w:bidi="ar-SA"/>
    </w:rPr>
  </w:style>
  <w:style w:type="paragraph" w:customStyle="1" w:styleId="notetext0">
    <w:name w:val="note(text)"/>
    <w:aliases w:val="n"/>
    <w:basedOn w:val="Normal"/>
    <w:link w:val="notetextChar"/>
    <w:rsid w:val="003A23BF"/>
    <w:pPr>
      <w:spacing w:before="122"/>
      <w:ind w:left="1985" w:hanging="851"/>
    </w:pPr>
    <w:rPr>
      <w:rFonts w:ascii="Times New Roman" w:hAnsi="Times New Roman"/>
      <w:sz w:val="18"/>
      <w:szCs w:val="20"/>
      <w:lang w:val="en-AU" w:eastAsia="en-AU" w:bidi="ar-SA"/>
    </w:rPr>
  </w:style>
  <w:style w:type="character" w:customStyle="1" w:styleId="notetextChar">
    <w:name w:val="note(text) Char"/>
    <w:aliases w:val="n Char"/>
    <w:basedOn w:val="DefaultParagraphFont"/>
    <w:link w:val="notetext0"/>
    <w:rsid w:val="003A23BF"/>
    <w:rPr>
      <w:rFonts w:ascii="Times New Roman" w:hAnsi="Times New Roman"/>
      <w:sz w:val="18"/>
      <w:szCs w:val="20"/>
      <w:lang w:val="en-AU" w:eastAsia="en-AU" w:bidi="ar-SA"/>
    </w:rPr>
  </w:style>
  <w:style w:type="paragraph" w:styleId="Index9">
    <w:name w:val="index 9"/>
    <w:next w:val="Normal"/>
    <w:rsid w:val="00BA4C9D"/>
    <w:pPr>
      <w:ind w:left="1980" w:hanging="220"/>
    </w:pPr>
    <w:rPr>
      <w:rFonts w:ascii="Times New Roman" w:hAnsi="Times New Roman"/>
      <w:szCs w:val="24"/>
      <w:lang w:val="en-AU" w:eastAsia="en-AU" w:bidi="ar-SA"/>
    </w:rPr>
  </w:style>
  <w:style w:type="character" w:styleId="FollowedHyperlink">
    <w:name w:val="FollowedHyperlink"/>
    <w:basedOn w:val="DefaultParagraphFont"/>
    <w:uiPriority w:val="99"/>
    <w:semiHidden/>
    <w:unhideWhenUsed/>
    <w:rsid w:val="00B63CC5"/>
    <w:rPr>
      <w:color w:val="800080" w:themeColor="followedHyperlink"/>
      <w:u w:val="single"/>
    </w:rPr>
  </w:style>
  <w:style w:type="character" w:customStyle="1" w:styleId="ListParagraphChar">
    <w:name w:val="List Paragraph Char"/>
    <w:aliases w:val="Bullet 1 Char,Bullet list Char,Recommendation Char"/>
    <w:basedOn w:val="DefaultParagraphFont"/>
    <w:link w:val="ListParagraph"/>
    <w:uiPriority w:val="34"/>
    <w:locked/>
    <w:rsid w:val="004C4E18"/>
  </w:style>
  <w:style w:type="paragraph" w:customStyle="1" w:styleId="bodylist">
    <w:name w:val="body list"/>
    <w:basedOn w:val="ListParagraph"/>
    <w:link w:val="bodylistChar"/>
    <w:qFormat/>
    <w:rsid w:val="004C4E18"/>
    <w:pPr>
      <w:numPr>
        <w:numId w:val="44"/>
      </w:numPr>
      <w:spacing w:after="60"/>
      <w:contextualSpacing w:val="0"/>
    </w:pPr>
    <w:rPr>
      <w:rFonts w:ascii="Times New Roman" w:eastAsia="Calibri" w:hAnsi="Times New Roman"/>
      <w:sz w:val="24"/>
      <w:szCs w:val="24"/>
      <w:lang w:val="en-AU" w:bidi="ar-SA"/>
    </w:rPr>
  </w:style>
  <w:style w:type="character" w:customStyle="1" w:styleId="bodylistChar">
    <w:name w:val="body list Char"/>
    <w:basedOn w:val="ListParagraphChar"/>
    <w:link w:val="bodylist"/>
    <w:rsid w:val="004C4E18"/>
    <w:rPr>
      <w:rFonts w:ascii="Times New Roman" w:eastAsia="Calibri" w:hAnsi="Times New Roman"/>
      <w:sz w:val="24"/>
      <w:szCs w:val="24"/>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407518">
      <w:bodyDiv w:val="1"/>
      <w:marLeft w:val="0"/>
      <w:marRight w:val="0"/>
      <w:marTop w:val="0"/>
      <w:marBottom w:val="0"/>
      <w:divBdr>
        <w:top w:val="none" w:sz="0" w:space="0" w:color="auto"/>
        <w:left w:val="none" w:sz="0" w:space="0" w:color="auto"/>
        <w:bottom w:val="none" w:sz="0" w:space="0" w:color="auto"/>
        <w:right w:val="none" w:sz="0" w:space="0" w:color="auto"/>
      </w:divBdr>
      <w:divsChild>
        <w:div w:id="831410208">
          <w:marLeft w:val="0"/>
          <w:marRight w:val="0"/>
          <w:marTop w:val="0"/>
          <w:marBottom w:val="0"/>
          <w:divBdr>
            <w:top w:val="none" w:sz="0" w:space="0" w:color="auto"/>
            <w:left w:val="none" w:sz="0" w:space="0" w:color="auto"/>
            <w:bottom w:val="none" w:sz="0" w:space="0" w:color="auto"/>
            <w:right w:val="none" w:sz="0" w:space="0" w:color="auto"/>
          </w:divBdr>
          <w:divsChild>
            <w:div w:id="1679231531">
              <w:marLeft w:val="0"/>
              <w:marRight w:val="0"/>
              <w:marTop w:val="0"/>
              <w:marBottom w:val="0"/>
              <w:divBdr>
                <w:top w:val="none" w:sz="0" w:space="0" w:color="auto"/>
                <w:left w:val="none" w:sz="0" w:space="0" w:color="auto"/>
                <w:bottom w:val="none" w:sz="0" w:space="0" w:color="auto"/>
                <w:right w:val="none" w:sz="0" w:space="0" w:color="auto"/>
              </w:divBdr>
              <w:divsChild>
                <w:div w:id="2071344868">
                  <w:marLeft w:val="0"/>
                  <w:marRight w:val="0"/>
                  <w:marTop w:val="0"/>
                  <w:marBottom w:val="0"/>
                  <w:divBdr>
                    <w:top w:val="none" w:sz="0" w:space="0" w:color="auto"/>
                    <w:left w:val="none" w:sz="0" w:space="0" w:color="auto"/>
                    <w:bottom w:val="none" w:sz="0" w:space="0" w:color="auto"/>
                    <w:right w:val="none" w:sz="0" w:space="0" w:color="auto"/>
                  </w:divBdr>
                  <w:divsChild>
                    <w:div w:id="1850220599">
                      <w:marLeft w:val="115"/>
                      <w:marRight w:val="115"/>
                      <w:marTop w:val="0"/>
                      <w:marBottom w:val="0"/>
                      <w:divBdr>
                        <w:top w:val="none" w:sz="0" w:space="0" w:color="auto"/>
                        <w:left w:val="none" w:sz="0" w:space="0" w:color="auto"/>
                        <w:bottom w:val="none" w:sz="0" w:space="0" w:color="auto"/>
                        <w:right w:val="none" w:sz="0" w:space="0" w:color="auto"/>
                      </w:divBdr>
                      <w:divsChild>
                        <w:div w:id="945815885">
                          <w:marLeft w:val="0"/>
                          <w:marRight w:val="0"/>
                          <w:marTop w:val="0"/>
                          <w:marBottom w:val="0"/>
                          <w:divBdr>
                            <w:top w:val="none" w:sz="0" w:space="0" w:color="auto"/>
                            <w:left w:val="none" w:sz="0" w:space="0" w:color="auto"/>
                            <w:bottom w:val="none" w:sz="0" w:space="0" w:color="auto"/>
                            <w:right w:val="none" w:sz="0" w:space="0" w:color="auto"/>
                          </w:divBdr>
                          <w:divsChild>
                            <w:div w:id="830948812">
                              <w:marLeft w:val="0"/>
                              <w:marRight w:val="0"/>
                              <w:marTop w:val="0"/>
                              <w:marBottom w:val="240"/>
                              <w:divBdr>
                                <w:top w:val="none" w:sz="0" w:space="0" w:color="auto"/>
                                <w:left w:val="none" w:sz="0" w:space="0" w:color="auto"/>
                                <w:bottom w:val="none" w:sz="0" w:space="0" w:color="auto"/>
                                <w:right w:val="none" w:sz="0" w:space="0" w:color="auto"/>
                              </w:divBdr>
                              <w:divsChild>
                                <w:div w:id="323512972">
                                  <w:marLeft w:val="0"/>
                                  <w:marRight w:val="0"/>
                                  <w:marTop w:val="0"/>
                                  <w:marBottom w:val="0"/>
                                  <w:divBdr>
                                    <w:top w:val="none" w:sz="0" w:space="0" w:color="auto"/>
                                    <w:left w:val="none" w:sz="0" w:space="0" w:color="auto"/>
                                    <w:bottom w:val="none" w:sz="0" w:space="0" w:color="auto"/>
                                    <w:right w:val="none" w:sz="0" w:space="0" w:color="auto"/>
                                  </w:divBdr>
                                  <w:divsChild>
                                    <w:div w:id="1242908694">
                                      <w:marLeft w:val="0"/>
                                      <w:marRight w:val="0"/>
                                      <w:marTop w:val="0"/>
                                      <w:marBottom w:val="0"/>
                                      <w:divBdr>
                                        <w:top w:val="none" w:sz="0" w:space="0" w:color="auto"/>
                                        <w:left w:val="none" w:sz="0" w:space="0" w:color="auto"/>
                                        <w:bottom w:val="none" w:sz="0" w:space="0" w:color="auto"/>
                                        <w:right w:val="none" w:sz="0" w:space="0" w:color="auto"/>
                                      </w:divBdr>
                                      <w:divsChild>
                                        <w:div w:id="1925871329">
                                          <w:marLeft w:val="0"/>
                                          <w:marRight w:val="0"/>
                                          <w:marTop w:val="0"/>
                                          <w:marBottom w:val="0"/>
                                          <w:divBdr>
                                            <w:top w:val="none" w:sz="0" w:space="0" w:color="auto"/>
                                            <w:left w:val="none" w:sz="0" w:space="0" w:color="auto"/>
                                            <w:bottom w:val="none" w:sz="0" w:space="0" w:color="auto"/>
                                            <w:right w:val="none" w:sz="0" w:space="0" w:color="auto"/>
                                          </w:divBdr>
                                          <w:divsChild>
                                            <w:div w:id="1894922480">
                                              <w:marLeft w:val="0"/>
                                              <w:marRight w:val="0"/>
                                              <w:marTop w:val="0"/>
                                              <w:marBottom w:val="0"/>
                                              <w:divBdr>
                                                <w:top w:val="none" w:sz="0" w:space="0" w:color="auto"/>
                                                <w:left w:val="none" w:sz="0" w:space="0" w:color="auto"/>
                                                <w:bottom w:val="none" w:sz="0" w:space="0" w:color="auto"/>
                                                <w:right w:val="none" w:sz="0" w:space="0" w:color="auto"/>
                                              </w:divBdr>
                                              <w:divsChild>
                                                <w:div w:id="1697538525">
                                                  <w:marLeft w:val="0"/>
                                                  <w:marRight w:val="0"/>
                                                  <w:marTop w:val="0"/>
                                                  <w:marBottom w:val="0"/>
                                                  <w:divBdr>
                                                    <w:top w:val="none" w:sz="0" w:space="0" w:color="auto"/>
                                                    <w:left w:val="none" w:sz="0" w:space="0" w:color="auto"/>
                                                    <w:bottom w:val="none" w:sz="0" w:space="0" w:color="auto"/>
                                                    <w:right w:val="none" w:sz="0" w:space="0" w:color="auto"/>
                                                  </w:divBdr>
                                                  <w:divsChild>
                                                    <w:div w:id="2608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2660924">
      <w:bodyDiv w:val="1"/>
      <w:marLeft w:val="0"/>
      <w:marRight w:val="0"/>
      <w:marTop w:val="0"/>
      <w:marBottom w:val="0"/>
      <w:divBdr>
        <w:top w:val="none" w:sz="0" w:space="0" w:color="auto"/>
        <w:left w:val="none" w:sz="0" w:space="0" w:color="auto"/>
        <w:bottom w:val="none" w:sz="0" w:space="0" w:color="auto"/>
        <w:right w:val="none" w:sz="0" w:space="0" w:color="auto"/>
      </w:divBdr>
      <w:divsChild>
        <w:div w:id="1973485629">
          <w:marLeft w:val="0"/>
          <w:marRight w:val="0"/>
          <w:marTop w:val="0"/>
          <w:marBottom w:val="0"/>
          <w:divBdr>
            <w:top w:val="none" w:sz="0" w:space="0" w:color="auto"/>
            <w:left w:val="none" w:sz="0" w:space="0" w:color="auto"/>
            <w:bottom w:val="none" w:sz="0" w:space="0" w:color="auto"/>
            <w:right w:val="none" w:sz="0" w:space="0" w:color="auto"/>
          </w:divBdr>
          <w:divsChild>
            <w:div w:id="1634948732">
              <w:marLeft w:val="0"/>
              <w:marRight w:val="0"/>
              <w:marTop w:val="0"/>
              <w:marBottom w:val="0"/>
              <w:divBdr>
                <w:top w:val="none" w:sz="0" w:space="0" w:color="auto"/>
                <w:left w:val="none" w:sz="0" w:space="0" w:color="auto"/>
                <w:bottom w:val="none" w:sz="0" w:space="0" w:color="auto"/>
                <w:right w:val="none" w:sz="0" w:space="0" w:color="auto"/>
              </w:divBdr>
              <w:divsChild>
                <w:div w:id="1412120596">
                  <w:marLeft w:val="0"/>
                  <w:marRight w:val="0"/>
                  <w:marTop w:val="0"/>
                  <w:marBottom w:val="0"/>
                  <w:divBdr>
                    <w:top w:val="none" w:sz="0" w:space="0" w:color="auto"/>
                    <w:left w:val="none" w:sz="0" w:space="0" w:color="auto"/>
                    <w:bottom w:val="none" w:sz="0" w:space="0" w:color="auto"/>
                    <w:right w:val="none" w:sz="0" w:space="0" w:color="auto"/>
                  </w:divBdr>
                  <w:divsChild>
                    <w:div w:id="636375999">
                      <w:marLeft w:val="0"/>
                      <w:marRight w:val="0"/>
                      <w:marTop w:val="0"/>
                      <w:marBottom w:val="0"/>
                      <w:divBdr>
                        <w:top w:val="none" w:sz="0" w:space="0" w:color="auto"/>
                        <w:left w:val="none" w:sz="0" w:space="0" w:color="auto"/>
                        <w:bottom w:val="none" w:sz="0" w:space="0" w:color="auto"/>
                        <w:right w:val="none" w:sz="0" w:space="0" w:color="auto"/>
                      </w:divBdr>
                      <w:divsChild>
                        <w:div w:id="1127310127">
                          <w:marLeft w:val="0"/>
                          <w:marRight w:val="0"/>
                          <w:marTop w:val="0"/>
                          <w:marBottom w:val="0"/>
                          <w:divBdr>
                            <w:top w:val="none" w:sz="0" w:space="0" w:color="auto"/>
                            <w:left w:val="none" w:sz="0" w:space="0" w:color="auto"/>
                            <w:bottom w:val="none" w:sz="0" w:space="0" w:color="auto"/>
                            <w:right w:val="none" w:sz="0" w:space="0" w:color="auto"/>
                          </w:divBdr>
                          <w:divsChild>
                            <w:div w:id="2066952340">
                              <w:marLeft w:val="0"/>
                              <w:marRight w:val="0"/>
                              <w:marTop w:val="0"/>
                              <w:marBottom w:val="0"/>
                              <w:divBdr>
                                <w:top w:val="none" w:sz="0" w:space="0" w:color="auto"/>
                                <w:left w:val="none" w:sz="0" w:space="0" w:color="auto"/>
                                <w:bottom w:val="none" w:sz="0" w:space="0" w:color="auto"/>
                                <w:right w:val="none" w:sz="0" w:space="0" w:color="auto"/>
                              </w:divBdr>
                              <w:divsChild>
                                <w:div w:id="923074603">
                                  <w:marLeft w:val="0"/>
                                  <w:marRight w:val="0"/>
                                  <w:marTop w:val="0"/>
                                  <w:marBottom w:val="0"/>
                                  <w:divBdr>
                                    <w:top w:val="none" w:sz="0" w:space="0" w:color="auto"/>
                                    <w:left w:val="none" w:sz="0" w:space="0" w:color="auto"/>
                                    <w:bottom w:val="none" w:sz="0" w:space="0" w:color="auto"/>
                                    <w:right w:val="none" w:sz="0" w:space="0" w:color="auto"/>
                                  </w:divBdr>
                                  <w:divsChild>
                                    <w:div w:id="1888761708">
                                      <w:marLeft w:val="0"/>
                                      <w:marRight w:val="0"/>
                                      <w:marTop w:val="0"/>
                                      <w:marBottom w:val="0"/>
                                      <w:divBdr>
                                        <w:top w:val="none" w:sz="0" w:space="0" w:color="auto"/>
                                        <w:left w:val="none" w:sz="0" w:space="0" w:color="auto"/>
                                        <w:bottom w:val="none" w:sz="0" w:space="0" w:color="auto"/>
                                        <w:right w:val="none" w:sz="0" w:space="0" w:color="auto"/>
                                      </w:divBdr>
                                      <w:divsChild>
                                        <w:div w:id="1306859594">
                                          <w:marLeft w:val="0"/>
                                          <w:marRight w:val="0"/>
                                          <w:marTop w:val="0"/>
                                          <w:marBottom w:val="0"/>
                                          <w:divBdr>
                                            <w:top w:val="none" w:sz="0" w:space="0" w:color="auto"/>
                                            <w:left w:val="none" w:sz="0" w:space="0" w:color="auto"/>
                                            <w:bottom w:val="none" w:sz="0" w:space="0" w:color="auto"/>
                                            <w:right w:val="none" w:sz="0" w:space="0" w:color="auto"/>
                                          </w:divBdr>
                                          <w:divsChild>
                                            <w:div w:id="147480862">
                                              <w:marLeft w:val="0"/>
                                              <w:marRight w:val="0"/>
                                              <w:marTop w:val="0"/>
                                              <w:marBottom w:val="0"/>
                                              <w:divBdr>
                                                <w:top w:val="none" w:sz="0" w:space="0" w:color="auto"/>
                                                <w:left w:val="none" w:sz="0" w:space="0" w:color="auto"/>
                                                <w:bottom w:val="none" w:sz="0" w:space="0" w:color="auto"/>
                                                <w:right w:val="none" w:sz="0" w:space="0" w:color="auto"/>
                                              </w:divBdr>
                                              <w:divsChild>
                                                <w:div w:id="1737631710">
                                                  <w:marLeft w:val="0"/>
                                                  <w:marRight w:val="0"/>
                                                  <w:marTop w:val="0"/>
                                                  <w:marBottom w:val="0"/>
                                                  <w:divBdr>
                                                    <w:top w:val="none" w:sz="0" w:space="0" w:color="auto"/>
                                                    <w:left w:val="none" w:sz="0" w:space="0" w:color="auto"/>
                                                    <w:bottom w:val="none" w:sz="0" w:space="0" w:color="auto"/>
                                                    <w:right w:val="none" w:sz="0" w:space="0" w:color="auto"/>
                                                  </w:divBdr>
                                                  <w:divsChild>
                                                    <w:div w:id="1923946220">
                                                      <w:marLeft w:val="0"/>
                                                      <w:marRight w:val="0"/>
                                                      <w:marTop w:val="0"/>
                                                      <w:marBottom w:val="0"/>
                                                      <w:divBdr>
                                                        <w:top w:val="none" w:sz="0" w:space="0" w:color="auto"/>
                                                        <w:left w:val="none" w:sz="0" w:space="0" w:color="auto"/>
                                                        <w:bottom w:val="none" w:sz="0" w:space="0" w:color="auto"/>
                                                        <w:right w:val="none" w:sz="0" w:space="0" w:color="auto"/>
                                                      </w:divBdr>
                                                      <w:divsChild>
                                                        <w:div w:id="8534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1271919">
      <w:bodyDiv w:val="1"/>
      <w:marLeft w:val="0"/>
      <w:marRight w:val="0"/>
      <w:marTop w:val="0"/>
      <w:marBottom w:val="0"/>
      <w:divBdr>
        <w:top w:val="none" w:sz="0" w:space="0" w:color="auto"/>
        <w:left w:val="none" w:sz="0" w:space="0" w:color="auto"/>
        <w:bottom w:val="none" w:sz="0" w:space="0" w:color="auto"/>
        <w:right w:val="none" w:sz="0" w:space="0" w:color="auto"/>
      </w:divBdr>
      <w:divsChild>
        <w:div w:id="420639110">
          <w:marLeft w:val="0"/>
          <w:marRight w:val="0"/>
          <w:marTop w:val="0"/>
          <w:marBottom w:val="0"/>
          <w:divBdr>
            <w:top w:val="none" w:sz="0" w:space="0" w:color="auto"/>
            <w:left w:val="none" w:sz="0" w:space="0" w:color="auto"/>
            <w:bottom w:val="none" w:sz="0" w:space="0" w:color="auto"/>
            <w:right w:val="none" w:sz="0" w:space="0" w:color="auto"/>
          </w:divBdr>
          <w:divsChild>
            <w:div w:id="460734692">
              <w:marLeft w:val="0"/>
              <w:marRight w:val="0"/>
              <w:marTop w:val="0"/>
              <w:marBottom w:val="420"/>
              <w:divBdr>
                <w:top w:val="none" w:sz="0" w:space="0" w:color="auto"/>
                <w:left w:val="none" w:sz="0" w:space="0" w:color="auto"/>
                <w:bottom w:val="none" w:sz="0" w:space="0" w:color="auto"/>
                <w:right w:val="none" w:sz="0" w:space="0" w:color="auto"/>
              </w:divBdr>
              <w:divsChild>
                <w:div w:id="1462772002">
                  <w:marLeft w:val="0"/>
                  <w:marRight w:val="0"/>
                  <w:marTop w:val="0"/>
                  <w:marBottom w:val="0"/>
                  <w:divBdr>
                    <w:top w:val="none" w:sz="0" w:space="0" w:color="auto"/>
                    <w:left w:val="none" w:sz="0" w:space="0" w:color="auto"/>
                    <w:bottom w:val="none" w:sz="0" w:space="0" w:color="auto"/>
                    <w:right w:val="none" w:sz="0" w:space="0" w:color="auto"/>
                  </w:divBdr>
                  <w:divsChild>
                    <w:div w:id="869301249">
                      <w:marLeft w:val="0"/>
                      <w:marRight w:val="0"/>
                      <w:marTop w:val="0"/>
                      <w:marBottom w:val="0"/>
                      <w:divBdr>
                        <w:top w:val="none" w:sz="0" w:space="0" w:color="auto"/>
                        <w:left w:val="single" w:sz="6" w:space="0" w:color="F69C31"/>
                        <w:bottom w:val="none" w:sz="0" w:space="0" w:color="auto"/>
                        <w:right w:val="none" w:sz="0" w:space="0" w:color="auto"/>
                      </w:divBdr>
                      <w:divsChild>
                        <w:div w:id="1415782921">
                          <w:marLeft w:val="0"/>
                          <w:marRight w:val="0"/>
                          <w:marTop w:val="0"/>
                          <w:marBottom w:val="0"/>
                          <w:divBdr>
                            <w:top w:val="none" w:sz="0" w:space="0" w:color="auto"/>
                            <w:left w:val="none" w:sz="0" w:space="0" w:color="auto"/>
                            <w:bottom w:val="none" w:sz="0" w:space="0" w:color="auto"/>
                            <w:right w:val="none" w:sz="0" w:space="0" w:color="auto"/>
                          </w:divBdr>
                          <w:divsChild>
                            <w:div w:id="484473530">
                              <w:marLeft w:val="0"/>
                              <w:marRight w:val="0"/>
                              <w:marTop w:val="0"/>
                              <w:marBottom w:val="0"/>
                              <w:divBdr>
                                <w:top w:val="none" w:sz="0" w:space="0" w:color="auto"/>
                                <w:left w:val="none" w:sz="0" w:space="0" w:color="auto"/>
                                <w:bottom w:val="none" w:sz="0" w:space="0" w:color="auto"/>
                                <w:right w:val="none" w:sz="0" w:space="0" w:color="auto"/>
                              </w:divBdr>
                              <w:divsChild>
                                <w:div w:id="93810640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409975">
      <w:bodyDiv w:val="1"/>
      <w:marLeft w:val="0"/>
      <w:marRight w:val="0"/>
      <w:marTop w:val="0"/>
      <w:marBottom w:val="0"/>
      <w:divBdr>
        <w:top w:val="none" w:sz="0" w:space="0" w:color="auto"/>
        <w:left w:val="none" w:sz="0" w:space="0" w:color="auto"/>
        <w:bottom w:val="none" w:sz="0" w:space="0" w:color="auto"/>
        <w:right w:val="none" w:sz="0" w:space="0" w:color="auto"/>
      </w:divBdr>
      <w:divsChild>
        <w:div w:id="915866456">
          <w:marLeft w:val="0"/>
          <w:marRight w:val="0"/>
          <w:marTop w:val="0"/>
          <w:marBottom w:val="0"/>
          <w:divBdr>
            <w:top w:val="none" w:sz="0" w:space="0" w:color="auto"/>
            <w:left w:val="none" w:sz="0" w:space="0" w:color="auto"/>
            <w:bottom w:val="none" w:sz="0" w:space="0" w:color="auto"/>
            <w:right w:val="none" w:sz="0" w:space="0" w:color="auto"/>
          </w:divBdr>
          <w:divsChild>
            <w:div w:id="692727946">
              <w:marLeft w:val="0"/>
              <w:marRight w:val="0"/>
              <w:marTop w:val="0"/>
              <w:marBottom w:val="0"/>
              <w:divBdr>
                <w:top w:val="none" w:sz="0" w:space="0" w:color="auto"/>
                <w:left w:val="none" w:sz="0" w:space="0" w:color="auto"/>
                <w:bottom w:val="none" w:sz="0" w:space="0" w:color="auto"/>
                <w:right w:val="none" w:sz="0" w:space="0" w:color="auto"/>
              </w:divBdr>
              <w:divsChild>
                <w:div w:id="846138560">
                  <w:marLeft w:val="0"/>
                  <w:marRight w:val="0"/>
                  <w:marTop w:val="0"/>
                  <w:marBottom w:val="0"/>
                  <w:divBdr>
                    <w:top w:val="none" w:sz="0" w:space="0" w:color="auto"/>
                    <w:left w:val="none" w:sz="0" w:space="0" w:color="auto"/>
                    <w:bottom w:val="none" w:sz="0" w:space="0" w:color="auto"/>
                    <w:right w:val="none" w:sz="0" w:space="0" w:color="auto"/>
                  </w:divBdr>
                  <w:divsChild>
                    <w:div w:id="1510947235">
                      <w:marLeft w:val="0"/>
                      <w:marRight w:val="0"/>
                      <w:marTop w:val="0"/>
                      <w:marBottom w:val="0"/>
                      <w:divBdr>
                        <w:top w:val="none" w:sz="0" w:space="0" w:color="auto"/>
                        <w:left w:val="none" w:sz="0" w:space="0" w:color="auto"/>
                        <w:bottom w:val="none" w:sz="0" w:space="0" w:color="auto"/>
                        <w:right w:val="none" w:sz="0" w:space="0" w:color="auto"/>
                      </w:divBdr>
                      <w:divsChild>
                        <w:div w:id="1435780794">
                          <w:marLeft w:val="0"/>
                          <w:marRight w:val="0"/>
                          <w:marTop w:val="0"/>
                          <w:marBottom w:val="0"/>
                          <w:divBdr>
                            <w:top w:val="none" w:sz="0" w:space="0" w:color="auto"/>
                            <w:left w:val="none" w:sz="0" w:space="0" w:color="auto"/>
                            <w:bottom w:val="none" w:sz="0" w:space="0" w:color="auto"/>
                            <w:right w:val="none" w:sz="0" w:space="0" w:color="auto"/>
                          </w:divBdr>
                          <w:divsChild>
                            <w:div w:id="652416484">
                              <w:marLeft w:val="0"/>
                              <w:marRight w:val="0"/>
                              <w:marTop w:val="0"/>
                              <w:marBottom w:val="0"/>
                              <w:divBdr>
                                <w:top w:val="none" w:sz="0" w:space="0" w:color="auto"/>
                                <w:left w:val="none" w:sz="0" w:space="0" w:color="auto"/>
                                <w:bottom w:val="none" w:sz="0" w:space="0" w:color="auto"/>
                                <w:right w:val="none" w:sz="0" w:space="0" w:color="auto"/>
                              </w:divBdr>
                              <w:divsChild>
                                <w:div w:id="1001006931">
                                  <w:marLeft w:val="0"/>
                                  <w:marRight w:val="0"/>
                                  <w:marTop w:val="0"/>
                                  <w:marBottom w:val="0"/>
                                  <w:divBdr>
                                    <w:top w:val="none" w:sz="0" w:space="0" w:color="auto"/>
                                    <w:left w:val="none" w:sz="0" w:space="0" w:color="auto"/>
                                    <w:bottom w:val="none" w:sz="0" w:space="0" w:color="auto"/>
                                    <w:right w:val="none" w:sz="0" w:space="0" w:color="auto"/>
                                  </w:divBdr>
                                  <w:divsChild>
                                    <w:div w:id="1679193835">
                                      <w:marLeft w:val="0"/>
                                      <w:marRight w:val="0"/>
                                      <w:marTop w:val="0"/>
                                      <w:marBottom w:val="0"/>
                                      <w:divBdr>
                                        <w:top w:val="none" w:sz="0" w:space="0" w:color="auto"/>
                                        <w:left w:val="none" w:sz="0" w:space="0" w:color="auto"/>
                                        <w:bottom w:val="none" w:sz="0" w:space="0" w:color="auto"/>
                                        <w:right w:val="none" w:sz="0" w:space="0" w:color="auto"/>
                                      </w:divBdr>
                                      <w:divsChild>
                                        <w:div w:id="1133792320">
                                          <w:marLeft w:val="0"/>
                                          <w:marRight w:val="0"/>
                                          <w:marTop w:val="0"/>
                                          <w:marBottom w:val="0"/>
                                          <w:divBdr>
                                            <w:top w:val="none" w:sz="0" w:space="0" w:color="auto"/>
                                            <w:left w:val="none" w:sz="0" w:space="0" w:color="auto"/>
                                            <w:bottom w:val="none" w:sz="0" w:space="0" w:color="auto"/>
                                            <w:right w:val="none" w:sz="0" w:space="0" w:color="auto"/>
                                          </w:divBdr>
                                          <w:divsChild>
                                            <w:div w:id="2045715420">
                                              <w:marLeft w:val="0"/>
                                              <w:marRight w:val="0"/>
                                              <w:marTop w:val="0"/>
                                              <w:marBottom w:val="0"/>
                                              <w:divBdr>
                                                <w:top w:val="none" w:sz="0" w:space="0" w:color="auto"/>
                                                <w:left w:val="none" w:sz="0" w:space="0" w:color="auto"/>
                                                <w:bottom w:val="none" w:sz="0" w:space="0" w:color="auto"/>
                                                <w:right w:val="none" w:sz="0" w:space="0" w:color="auto"/>
                                              </w:divBdr>
                                              <w:divsChild>
                                                <w:div w:id="1940916371">
                                                  <w:marLeft w:val="0"/>
                                                  <w:marRight w:val="0"/>
                                                  <w:marTop w:val="0"/>
                                                  <w:marBottom w:val="0"/>
                                                  <w:divBdr>
                                                    <w:top w:val="none" w:sz="0" w:space="0" w:color="auto"/>
                                                    <w:left w:val="none" w:sz="0" w:space="0" w:color="auto"/>
                                                    <w:bottom w:val="none" w:sz="0" w:space="0" w:color="auto"/>
                                                    <w:right w:val="none" w:sz="0" w:space="0" w:color="auto"/>
                                                  </w:divBdr>
                                                  <w:divsChild>
                                                    <w:div w:id="743989031">
                                                      <w:marLeft w:val="0"/>
                                                      <w:marRight w:val="0"/>
                                                      <w:marTop w:val="0"/>
                                                      <w:marBottom w:val="0"/>
                                                      <w:divBdr>
                                                        <w:top w:val="none" w:sz="0" w:space="0" w:color="auto"/>
                                                        <w:left w:val="none" w:sz="0" w:space="0" w:color="auto"/>
                                                        <w:bottom w:val="none" w:sz="0" w:space="0" w:color="auto"/>
                                                        <w:right w:val="none" w:sz="0" w:space="0" w:color="auto"/>
                                                      </w:divBdr>
                                                      <w:divsChild>
                                                        <w:div w:id="386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3194161">
      <w:bodyDiv w:val="1"/>
      <w:marLeft w:val="0"/>
      <w:marRight w:val="0"/>
      <w:marTop w:val="0"/>
      <w:marBottom w:val="0"/>
      <w:divBdr>
        <w:top w:val="none" w:sz="0" w:space="0" w:color="auto"/>
        <w:left w:val="none" w:sz="0" w:space="0" w:color="auto"/>
        <w:bottom w:val="none" w:sz="0" w:space="0" w:color="auto"/>
        <w:right w:val="none" w:sz="0" w:space="0" w:color="auto"/>
      </w:divBdr>
    </w:div>
    <w:div w:id="200018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oter" Target="footer5.xml"/><Relationship Id="rId26" Type="http://schemas.openxmlformats.org/officeDocument/2006/relationships/hyperlink" Target="https://www.legislation.gov.au/Details/C2014C00317" TargetMode="External"/><Relationship Id="rId3" Type="http://schemas.openxmlformats.org/officeDocument/2006/relationships/settings" Target="settings.xml"/><Relationship Id="rId21" Type="http://schemas.openxmlformats.org/officeDocument/2006/relationships/hyperlink" Target="https://www.legislation.gov.au/Details/C2016C00469"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www.legislation.gov.au/Details/F2015C0094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ublic.affairs@environment.gov.au" TargetMode="External"/><Relationship Id="rId20" Type="http://schemas.openxmlformats.org/officeDocument/2006/relationships/hyperlink" Target="http://www.environment.gov.au/water/cewo/trade/trading-framework"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legislation.gov.au/Details/F2015C00713" TargetMode="External"/><Relationship Id="rId32" Type="http://schemas.openxmlformats.org/officeDocument/2006/relationships/hyperlink" Target="http://www.environment.gov.au/water/cewo/trade/trading-framework%23protocols"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legislation.gov.au/Details/C2016C00420" TargetMode="External"/><Relationship Id="rId28" Type="http://schemas.openxmlformats.org/officeDocument/2006/relationships/hyperlink" Target="https://www.legislation.gov.au/Details/C2016C00745" TargetMode="External"/><Relationship Id="rId10" Type="http://schemas.openxmlformats.org/officeDocument/2006/relationships/footer" Target="footer2.xml"/><Relationship Id="rId19" Type="http://schemas.openxmlformats.org/officeDocument/2006/relationships/hyperlink" Target="http://www.environment.gov.au/water/cewo/trade/trading-framework" TargetMode="External"/><Relationship Id="rId31" Type="http://schemas.openxmlformats.org/officeDocument/2006/relationships/hyperlink" Target="http://www.comlaw.gov.au/Details/C2014C0031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www.legislation.gov.au/Details/F2016C00574" TargetMode="External"/><Relationship Id="rId27" Type="http://schemas.openxmlformats.org/officeDocument/2006/relationships/hyperlink" Target="https://www.legislation.gov.au/Details/F2014L00912" TargetMode="External"/><Relationship Id="rId30" Type="http://schemas.openxmlformats.org/officeDocument/2006/relationships/hyperlink" Target="http://www.comlaw.gov.au/Details/C2014C003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C5968F4F.dotm</Template>
  <TotalTime>0</TotalTime>
  <Pages>21</Pages>
  <Words>7007</Words>
  <Characters>39944</Characters>
  <Application>Microsoft Office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Trading Framework</dc:title>
  <dc:creator/>
  <cp:lastModifiedBy/>
  <cp:revision>1</cp:revision>
  <dcterms:created xsi:type="dcterms:W3CDTF">2016-11-25T07:14:00Z</dcterms:created>
  <dcterms:modified xsi:type="dcterms:W3CDTF">2016-11-25T07:14:00Z</dcterms:modified>
</cp:coreProperties>
</file>