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EC9DF" w14:textId="77777777" w:rsidR="000953C9" w:rsidRPr="00750B93" w:rsidRDefault="000953C9" w:rsidP="000953C9">
      <w:r w:rsidRPr="00750B93">
        <w:t xml:space="preserve">Hello </w:t>
      </w:r>
      <w:r>
        <w:t>and</w:t>
      </w:r>
      <w:r w:rsidRPr="00750B93">
        <w:t xml:space="preserve"> welcome,</w:t>
      </w:r>
    </w:p>
    <w:p w14:paraId="7CD34D25" w14:textId="77777777" w:rsidR="000953C9" w:rsidRPr="00750B93" w:rsidRDefault="000953C9" w:rsidP="000953C9">
      <w:r w:rsidRPr="00750B93">
        <w:t>Thank you for joining me today to go through the latest ABARES W</w:t>
      </w:r>
      <w:r>
        <w:t xml:space="preserve">ater </w:t>
      </w:r>
      <w:r w:rsidRPr="00750B93">
        <w:t>M</w:t>
      </w:r>
      <w:r>
        <w:t xml:space="preserve">arket </w:t>
      </w:r>
      <w:r w:rsidRPr="00750B93">
        <w:t>O</w:t>
      </w:r>
      <w:r>
        <w:t>utlook</w:t>
      </w:r>
      <w:r w:rsidRPr="00750B93">
        <w:t xml:space="preserve"> for</w:t>
      </w:r>
      <w:r>
        <w:t xml:space="preserve"> 21/22 for </w:t>
      </w:r>
      <w:r w:rsidRPr="00750B93">
        <w:t>the Southern M</w:t>
      </w:r>
      <w:r>
        <w:t xml:space="preserve">urray-Darling </w:t>
      </w:r>
      <w:r w:rsidRPr="00750B93">
        <w:t>B</w:t>
      </w:r>
      <w:r>
        <w:t>asin.</w:t>
      </w:r>
    </w:p>
    <w:p w14:paraId="51437C2D" w14:textId="77777777" w:rsidR="000953C9" w:rsidRPr="00750B93" w:rsidRDefault="000953C9" w:rsidP="000953C9">
      <w:r w:rsidRPr="00750B93">
        <w:t xml:space="preserve">This presentation aims to provide </w:t>
      </w:r>
      <w:r>
        <w:t xml:space="preserve">an overview of </w:t>
      </w:r>
      <w:r w:rsidRPr="00750B93">
        <w:t>market</w:t>
      </w:r>
      <w:r>
        <w:t xml:space="preserve"> conditions and </w:t>
      </w:r>
      <w:r w:rsidRPr="00750B93">
        <w:t>outlook for the year ahead</w:t>
      </w:r>
      <w:r>
        <w:t>.</w:t>
      </w:r>
    </w:p>
    <w:p w14:paraId="24FFAE61" w14:textId="77777777" w:rsidR="000953C9" w:rsidRDefault="000953C9" w:rsidP="000953C9">
      <w:r w:rsidRPr="00750B93">
        <w:t>We</w:t>
      </w:r>
      <w:r>
        <w:t xml:space="preserve"> join the latest </w:t>
      </w:r>
      <w:r w:rsidRPr="00750B93">
        <w:t>information from the BOM and state water agencies</w:t>
      </w:r>
      <w:r>
        <w:t>.</w:t>
      </w:r>
    </w:p>
    <w:p w14:paraId="1B8B8C31" w14:textId="17029A89" w:rsidR="000953C9" w:rsidRPr="00750B93" w:rsidRDefault="000953C9" w:rsidP="000953C9">
      <w:r>
        <w:br/>
        <w:t>Now, a few things have changed since our last outlook in March.</w:t>
      </w:r>
    </w:p>
    <w:p w14:paraId="538DF3F0" w14:textId="77777777" w:rsidR="000953C9" w:rsidRPr="00750B93" w:rsidRDefault="000953C9" w:rsidP="000953C9">
      <w:r w:rsidRPr="00750B93">
        <w:t xml:space="preserve">The amount of unused water sitting in state accounts has been drawn down, and this means that carryover </w:t>
      </w:r>
      <w:r>
        <w:t xml:space="preserve">volumes </w:t>
      </w:r>
      <w:r w:rsidRPr="00750B93">
        <w:t xml:space="preserve">although still </w:t>
      </w:r>
      <w:r>
        <w:t xml:space="preserve">quite </w:t>
      </w:r>
      <w:r w:rsidRPr="00750B93">
        <w:t>high is not as quite as high</w:t>
      </w:r>
      <w:r>
        <w:t xml:space="preserve"> as they had expected to be back in March.</w:t>
      </w:r>
    </w:p>
    <w:p w14:paraId="07D42A9D" w14:textId="77777777" w:rsidR="000953C9" w:rsidRPr="00750B93" w:rsidRDefault="000953C9" w:rsidP="000953C9">
      <w:r w:rsidRPr="00750B93">
        <w:t>The NSW allocation forecasts has been revised upwards</w:t>
      </w:r>
      <w:r>
        <w:t xml:space="preserve"> (increasing allocations) and the s</w:t>
      </w:r>
      <w:r w:rsidRPr="00750B93">
        <w:t>easonal outlook has improved, with above median rainfall predicted heading into spring</w:t>
      </w:r>
      <w:r>
        <w:t>.</w:t>
      </w:r>
    </w:p>
    <w:p w14:paraId="03C9DE1A" w14:textId="59EF2EBE" w:rsidR="000953C9" w:rsidRDefault="000953C9" w:rsidP="000953C9">
      <w:r>
        <w:br/>
        <w:t xml:space="preserve">So, all these factors have been influential in determining our current market outlook for 21/22 and these are the key points for today’s presentation. </w:t>
      </w:r>
    </w:p>
    <w:p w14:paraId="725A40DE" w14:textId="77777777" w:rsidR="000953C9" w:rsidRPr="000953C9" w:rsidRDefault="000953C9" w:rsidP="000953C9">
      <w:r w:rsidRPr="000953C9">
        <w:t>Water supply levels is set to remain high, on the back of favourable allocations and high carryover volumes.</w:t>
      </w:r>
    </w:p>
    <w:p w14:paraId="0B77720C" w14:textId="77777777" w:rsidR="000953C9" w:rsidRPr="000953C9" w:rsidRDefault="000953C9" w:rsidP="000953C9">
      <w:r w:rsidRPr="000953C9">
        <w:t>Consequently, prices are set to remain low.</w:t>
      </w:r>
    </w:p>
    <w:p w14:paraId="005EF155" w14:textId="77777777" w:rsidR="000953C9" w:rsidRPr="000953C9" w:rsidRDefault="000953C9" w:rsidP="000953C9">
      <w:r w:rsidRPr="000953C9">
        <w:t>Regional price gaps are forecast, due to regional demand and trade limits and average seasonal conditions are currently considered most likely.</w:t>
      </w:r>
    </w:p>
    <w:p w14:paraId="555CFB7B" w14:textId="77777777" w:rsidR="000953C9" w:rsidRDefault="000953C9" w:rsidP="000953C9">
      <w:r>
        <w:t xml:space="preserve">Now we should point out that ABARES provides forecasts under </w:t>
      </w:r>
      <w:r w:rsidRPr="003B31FD">
        <w:t>four scenarios: wet, average, dry and extreme dr</w:t>
      </w:r>
      <w:r>
        <w:t xml:space="preserve">y. </w:t>
      </w:r>
      <w:r w:rsidRPr="003B31FD">
        <w:t>But</w:t>
      </w:r>
      <w:r>
        <w:t xml:space="preserve"> given the current climate outlook, ABARES currently considers the average scenario the most likely. </w:t>
      </w:r>
      <w:r w:rsidRPr="003B31FD">
        <w:t xml:space="preserve"> </w:t>
      </w:r>
    </w:p>
    <w:p w14:paraId="6B2880F6" w14:textId="77777777" w:rsidR="000953C9" w:rsidRDefault="000953C9" w:rsidP="000953C9">
      <w:r>
        <w:t xml:space="preserve">And this will form the basis of today’s presentation. </w:t>
      </w:r>
    </w:p>
    <w:p w14:paraId="2B2925C6" w14:textId="47E118F9" w:rsidR="000953C9" w:rsidRPr="00780D5A" w:rsidRDefault="000953C9" w:rsidP="000953C9">
      <w:r>
        <w:br/>
        <w:t xml:space="preserve">Okay, </w:t>
      </w:r>
      <w:r w:rsidRPr="000953C9">
        <w:t>so this table shows state allocations for selected entitlements there on the left, and in green - we have the current year forecasts (assuming average conditions), in purple - the closing allocations of last year, and in orange - historical averages.</w:t>
      </w:r>
    </w:p>
    <w:p w14:paraId="649AF4AB" w14:textId="77777777" w:rsidR="000953C9" w:rsidRPr="00780D5A" w:rsidRDefault="000953C9" w:rsidP="000953C9">
      <w:r w:rsidRPr="00780D5A">
        <w:t>So, you can see that for Victorian and South Australian entitlements</w:t>
      </w:r>
      <w:r>
        <w:t xml:space="preserve"> first</w:t>
      </w:r>
      <w:r w:rsidRPr="00780D5A">
        <w:t xml:space="preserve">, </w:t>
      </w:r>
      <w:r>
        <w:t xml:space="preserve">you can see they’re </w:t>
      </w:r>
      <w:r w:rsidRPr="00780D5A">
        <w:t>at or near 100%</w:t>
      </w:r>
      <w:r>
        <w:t xml:space="preserve"> which is quite </w:t>
      </w:r>
      <w:proofErr w:type="gramStart"/>
      <w:r>
        <w:t>similar to</w:t>
      </w:r>
      <w:proofErr w:type="gramEnd"/>
      <w:r>
        <w:t xml:space="preserve"> last year</w:t>
      </w:r>
      <w:r w:rsidRPr="00780D5A">
        <w:t>,</w:t>
      </w:r>
      <w:r>
        <w:t xml:space="preserve"> and certainly </w:t>
      </w:r>
      <w:r w:rsidRPr="00780D5A">
        <w:t>above their historical averages</w:t>
      </w:r>
      <w:r>
        <w:t>.</w:t>
      </w:r>
    </w:p>
    <w:p w14:paraId="27A938DC" w14:textId="77777777" w:rsidR="000953C9" w:rsidRPr="00780D5A" w:rsidRDefault="000953C9" w:rsidP="000953C9">
      <w:r w:rsidRPr="00780D5A">
        <w:t>The</w:t>
      </w:r>
      <w:r>
        <w:t xml:space="preserve"> forecast </w:t>
      </w:r>
      <w:r w:rsidRPr="00780D5A">
        <w:t>for NSW</w:t>
      </w:r>
      <w:r>
        <w:t xml:space="preserve"> </w:t>
      </w:r>
      <w:proofErr w:type="gramStart"/>
      <w:r>
        <w:t>tell</w:t>
      </w:r>
      <w:proofErr w:type="gramEnd"/>
      <w:r>
        <w:t xml:space="preserve"> a bit of a different story. So,</w:t>
      </w:r>
      <w:r w:rsidRPr="00780D5A">
        <w:t xml:space="preserve"> both the Murrumbidgee and Murray</w:t>
      </w:r>
      <w:r>
        <w:t xml:space="preserve"> are currently</w:t>
      </w:r>
      <w:r w:rsidRPr="00780D5A">
        <w:t xml:space="preserve"> forecast</w:t>
      </w:r>
      <w:r>
        <w:t xml:space="preserve"> at levels below the levels they reached last year. </w:t>
      </w:r>
    </w:p>
    <w:p w14:paraId="21F7299D" w14:textId="77777777" w:rsidR="000953C9" w:rsidRDefault="000953C9" w:rsidP="000953C9">
      <w:r w:rsidRPr="00780D5A">
        <w:t>Th</w:t>
      </w:r>
      <w:r>
        <w:t xml:space="preserve">is is </w:t>
      </w:r>
      <w:r w:rsidRPr="00780D5A">
        <w:t xml:space="preserve">particularly noticeable </w:t>
      </w:r>
      <w:r>
        <w:t xml:space="preserve">in </w:t>
      </w:r>
      <w:r w:rsidRPr="00780D5A">
        <w:t>the Murrumbidgee, which reached 100%</w:t>
      </w:r>
      <w:r>
        <w:t xml:space="preserve"> last year</w:t>
      </w:r>
      <w:r w:rsidRPr="00780D5A">
        <w:t xml:space="preserve"> for the first time ever</w:t>
      </w:r>
      <w:r>
        <w:t xml:space="preserve"> and</w:t>
      </w:r>
      <w:r w:rsidRPr="00780D5A">
        <w:t xml:space="preserve"> </w:t>
      </w:r>
      <w:r>
        <w:t xml:space="preserve">is </w:t>
      </w:r>
      <w:r w:rsidRPr="00780D5A">
        <w:t xml:space="preserve">currently </w:t>
      </w:r>
      <w:r>
        <w:t xml:space="preserve">only </w:t>
      </w:r>
      <w:r w:rsidRPr="00780D5A">
        <w:t>forecast to reach only 61%</w:t>
      </w:r>
      <w:r>
        <w:t xml:space="preserve">. </w:t>
      </w:r>
    </w:p>
    <w:p w14:paraId="22042FC6" w14:textId="77777777" w:rsidR="000953C9" w:rsidRDefault="000953C9" w:rsidP="000953C9">
      <w:r>
        <w:t>However, it is important to note, that this early in the ear the Murrumbidgee is already at 50%.</w:t>
      </w:r>
    </w:p>
    <w:p w14:paraId="15A97A33" w14:textId="77777777" w:rsidR="000953C9" w:rsidRDefault="000953C9" w:rsidP="000953C9">
      <w:r>
        <w:lastRenderedPageBreak/>
        <w:t xml:space="preserve">So, taking a step back and looking at the allocation </w:t>
      </w:r>
      <w:proofErr w:type="gramStart"/>
      <w:r>
        <w:t xml:space="preserve">picture as a whole, </w:t>
      </w:r>
      <w:r w:rsidRPr="00780D5A">
        <w:t>based</w:t>
      </w:r>
      <w:proofErr w:type="gramEnd"/>
      <w:r w:rsidRPr="00780D5A">
        <w:t xml:space="preserve"> on allocations alone, </w:t>
      </w:r>
      <w:r>
        <w:t>you’d probably think that water supply levels heading into this year would be a bit below last year but above historical averages.</w:t>
      </w:r>
    </w:p>
    <w:p w14:paraId="26964CB9" w14:textId="2187DC27" w:rsidR="000953C9" w:rsidRPr="00780D5A" w:rsidRDefault="000953C9" w:rsidP="000953C9">
      <w:r>
        <w:br/>
        <w:t>Now, k</w:t>
      </w:r>
      <w:r w:rsidRPr="00780D5A">
        <w:t xml:space="preserve">eeping that in mind, this chart shows </w:t>
      </w:r>
      <w:r>
        <w:t>our water supply</w:t>
      </w:r>
      <w:r w:rsidRPr="00780D5A">
        <w:t xml:space="preserve"> forecasts for the</w:t>
      </w:r>
      <w:r>
        <w:t xml:space="preserve"> Southern Murray-Darling for</w:t>
      </w:r>
      <w:r w:rsidRPr="00780D5A">
        <w:t xml:space="preserve"> 21-22, under the four scenarios. </w:t>
      </w:r>
    </w:p>
    <w:p w14:paraId="6F0A0BFA" w14:textId="77777777" w:rsidR="000953C9" w:rsidRDefault="000953C9" w:rsidP="000953C9">
      <w:r>
        <w:t>And w</w:t>
      </w:r>
      <w:r w:rsidRPr="00780D5A">
        <w:t>hat should immediately jump out</w:t>
      </w:r>
      <w:r>
        <w:t xml:space="preserve">, look at the </w:t>
      </w:r>
      <w:r w:rsidRPr="00780D5A">
        <w:t>average scenario,</w:t>
      </w:r>
      <w:r>
        <w:t xml:space="preserve"> is that we’re expecting</w:t>
      </w:r>
      <w:r w:rsidRPr="00780D5A">
        <w:t xml:space="preserve"> the total water supply </w:t>
      </w:r>
      <w:r>
        <w:t xml:space="preserve">levels to be at or around about the same as they were last year. </w:t>
      </w:r>
    </w:p>
    <w:p w14:paraId="6F7A6D8E" w14:textId="77777777" w:rsidR="000953C9" w:rsidRPr="00780D5A" w:rsidRDefault="000953C9" w:rsidP="000953C9">
      <w:r w:rsidRPr="00780D5A">
        <w:t>So</w:t>
      </w:r>
      <w:r>
        <w:t>,</w:t>
      </w:r>
      <w:r w:rsidRPr="00780D5A">
        <w:t xml:space="preserve"> this begs the question why, with </w:t>
      </w:r>
      <w:r>
        <w:t xml:space="preserve">allocation forecasts a bit lower than last year, would the water supply levels not be lower as well? </w:t>
      </w:r>
    </w:p>
    <w:p w14:paraId="46C9C49D" w14:textId="77777777" w:rsidR="000953C9" w:rsidRDefault="000953C9" w:rsidP="000953C9">
      <w:r>
        <w:t>Well, t</w:t>
      </w:r>
      <w:r w:rsidRPr="00780D5A">
        <w:t xml:space="preserve">he reason for this is </w:t>
      </w:r>
      <w:r>
        <w:t xml:space="preserve">that high </w:t>
      </w:r>
      <w:r w:rsidRPr="00780D5A">
        <w:t>carr</w:t>
      </w:r>
      <w:r>
        <w:t>y</w:t>
      </w:r>
      <w:r w:rsidRPr="00780D5A">
        <w:t>over</w:t>
      </w:r>
      <w:r>
        <w:t xml:space="preserve"> volumes have been bought forward from last year, into this year. </w:t>
      </w:r>
    </w:p>
    <w:p w14:paraId="4588A7C2" w14:textId="77777777" w:rsidR="000953C9" w:rsidRPr="00780D5A" w:rsidRDefault="000953C9" w:rsidP="000953C9">
      <w:r>
        <w:t>In fact, the carryover volumes are currently at their highest level since 2017/18.</w:t>
      </w:r>
    </w:p>
    <w:p w14:paraId="26988675" w14:textId="77777777" w:rsidR="000953C9" w:rsidRPr="00780D5A" w:rsidRDefault="000953C9" w:rsidP="000953C9">
      <w:r w:rsidRPr="00780D5A">
        <w:t>And this additional water</w:t>
      </w:r>
      <w:r>
        <w:t xml:space="preserve">, around 2,600 GL, has boosted supply, and has accounted for the favourable forecasts we see in the </w:t>
      </w:r>
      <w:r w:rsidRPr="00780D5A">
        <w:t>chart</w:t>
      </w:r>
      <w:r>
        <w:t>.</w:t>
      </w:r>
    </w:p>
    <w:p w14:paraId="6B0FFA8F" w14:textId="2CD25689" w:rsidR="000953C9" w:rsidRDefault="000953C9" w:rsidP="000953C9">
      <w:r>
        <w:br/>
        <w:t xml:space="preserve">Okay, so our price forecast </w:t>
      </w:r>
      <w:proofErr w:type="gramStart"/>
      <w:r>
        <w:t>are</w:t>
      </w:r>
      <w:proofErr w:type="gramEnd"/>
      <w:r>
        <w:t xml:space="preserve"> largely representative of the supply conditions seen on the previous chart.</w:t>
      </w:r>
    </w:p>
    <w:p w14:paraId="5F0C24CD" w14:textId="77777777" w:rsidR="000953C9" w:rsidRPr="00EA624B" w:rsidRDefault="000953C9" w:rsidP="000953C9">
      <w:r w:rsidRPr="00EA624B">
        <w:t xml:space="preserve">This chart shows observed </w:t>
      </w:r>
      <w:r>
        <w:t xml:space="preserve">average </w:t>
      </w:r>
      <w:r w:rsidRPr="00EA624B">
        <w:t>prices</w:t>
      </w:r>
      <w:r>
        <w:t xml:space="preserve"> across Southern Basin</w:t>
      </w:r>
      <w:r w:rsidRPr="00EA624B">
        <w:t xml:space="preserve"> for the past three years and </w:t>
      </w:r>
      <w:r>
        <w:t xml:space="preserve">our </w:t>
      </w:r>
      <w:r w:rsidRPr="00EA624B">
        <w:t>forecasts for the year ahead</w:t>
      </w:r>
      <w:r>
        <w:t>.</w:t>
      </w:r>
    </w:p>
    <w:p w14:paraId="6FECB931" w14:textId="77777777" w:rsidR="000953C9" w:rsidRPr="00EA624B" w:rsidRDefault="000953C9" w:rsidP="000953C9">
      <w:r w:rsidRPr="00EA624B">
        <w:t xml:space="preserve">In the average scenario, </w:t>
      </w:r>
      <w:r>
        <w:t xml:space="preserve">ABARES is </w:t>
      </w:r>
      <w:r w:rsidRPr="00EA624B">
        <w:t>forecast</w:t>
      </w:r>
      <w:r>
        <w:t>ing</w:t>
      </w:r>
      <w:r w:rsidRPr="00EA624B">
        <w:t xml:space="preserve"> </w:t>
      </w:r>
      <w:r>
        <w:t xml:space="preserve">a southern basin price of </w:t>
      </w:r>
      <w:r w:rsidRPr="00EA624B">
        <w:t>$141 per ML</w:t>
      </w:r>
      <w:r>
        <w:t xml:space="preserve"> for 21/22 and this is comparable but</w:t>
      </w:r>
      <w:r w:rsidRPr="00EA624B">
        <w:t xml:space="preserve"> marginally above the </w:t>
      </w:r>
      <w:r>
        <w:t xml:space="preserve">price from last year at </w:t>
      </w:r>
      <w:r w:rsidRPr="00EA624B">
        <w:t>$130</w:t>
      </w:r>
      <w:r>
        <w:t xml:space="preserve"> per ML</w:t>
      </w:r>
      <w:r w:rsidRPr="00EA624B">
        <w:t>.</w:t>
      </w:r>
    </w:p>
    <w:p w14:paraId="67897C24" w14:textId="77777777" w:rsidR="000953C9" w:rsidRDefault="000953C9" w:rsidP="000953C9">
      <w:r>
        <w:t>Now, the</w:t>
      </w:r>
      <w:r w:rsidRPr="00EA624B">
        <w:t xml:space="preserve"> high</w:t>
      </w:r>
      <w:r>
        <w:t xml:space="preserve"> </w:t>
      </w:r>
      <w:r w:rsidRPr="00EA624B">
        <w:t xml:space="preserve">carryover </w:t>
      </w:r>
      <w:r>
        <w:t>volumes</w:t>
      </w:r>
      <w:r w:rsidRPr="00EA624B">
        <w:t xml:space="preserve"> </w:t>
      </w:r>
      <w:r>
        <w:t>and</w:t>
      </w:r>
      <w:r w:rsidRPr="00EA624B">
        <w:t xml:space="preserve"> generous allocations</w:t>
      </w:r>
      <w:r>
        <w:t xml:space="preserve"> we’re seeing</w:t>
      </w:r>
      <w:r w:rsidRPr="00EA624B">
        <w:t>,</w:t>
      </w:r>
      <w:r>
        <w:t xml:space="preserve"> explain that pri</w:t>
      </w:r>
      <w:r w:rsidRPr="00EA624B">
        <w:t xml:space="preserve">ces </w:t>
      </w:r>
      <w:r>
        <w:t xml:space="preserve">under </w:t>
      </w:r>
      <w:r w:rsidRPr="00EA624B">
        <w:t>all 4 scenarios are</w:t>
      </w:r>
      <w:r>
        <w:t xml:space="preserve"> </w:t>
      </w:r>
      <w:proofErr w:type="gramStart"/>
      <w:r>
        <w:t>actually relatively</w:t>
      </w:r>
      <w:proofErr w:type="gramEnd"/>
      <w:r>
        <w:t xml:space="preserve"> </w:t>
      </w:r>
      <w:r w:rsidRPr="00EA624B">
        <w:t>low</w:t>
      </w:r>
      <w:r>
        <w:t xml:space="preserve"> in historical terms, particularly compared to the drought years of 17/18 and 19/20.</w:t>
      </w:r>
      <w:r w:rsidRPr="00EA624B">
        <w:t xml:space="preserve"> </w:t>
      </w:r>
    </w:p>
    <w:p w14:paraId="0C531AC8" w14:textId="1C4E866F" w:rsidR="000953C9" w:rsidRDefault="000953C9" w:rsidP="000953C9">
      <w:r>
        <w:br/>
        <w:t xml:space="preserve">Okay, so ABARES modelling is forecasting price gaps to emerge throughout 21/22, between regions and this is something we’ve seen in recent years. </w:t>
      </w:r>
    </w:p>
    <w:p w14:paraId="6B3729F8" w14:textId="77777777" w:rsidR="000953C9" w:rsidRPr="000307F4" w:rsidRDefault="000953C9" w:rsidP="000953C9">
      <w:r>
        <w:t xml:space="preserve">Now this chart is an example of that, showing two of those regions: </w:t>
      </w:r>
      <w:r w:rsidRPr="000307F4">
        <w:t>the VIC Goulburn Broken and the VIC Murray Below</w:t>
      </w:r>
      <w:r>
        <w:t>.</w:t>
      </w:r>
    </w:p>
    <w:p w14:paraId="3E51FB97" w14:textId="77777777" w:rsidR="000953C9" w:rsidRPr="002A3089" w:rsidRDefault="000953C9" w:rsidP="000953C9">
      <w:r w:rsidRPr="000307F4">
        <w:t>As you can see</w:t>
      </w:r>
      <w:r>
        <w:t xml:space="preserve"> under all four scenarios, we’re forecasting price gaps to occur, with a </w:t>
      </w:r>
      <w:r w:rsidRPr="000307F4">
        <w:t>$44 gap</w:t>
      </w:r>
      <w:r>
        <w:t xml:space="preserve"> expected</w:t>
      </w:r>
      <w:r w:rsidRPr="000307F4">
        <w:t xml:space="preserve"> in the </w:t>
      </w:r>
      <w:r w:rsidRPr="000307F4">
        <w:rPr>
          <w:i/>
          <w:iCs/>
        </w:rPr>
        <w:t>average</w:t>
      </w:r>
      <w:r w:rsidRPr="000307F4">
        <w:t xml:space="preserve"> scenario</w:t>
      </w:r>
      <w:r>
        <w:t>.</w:t>
      </w:r>
    </w:p>
    <w:p w14:paraId="6A2DAA4B" w14:textId="77777777" w:rsidR="000953C9" w:rsidRPr="00A15C2F" w:rsidRDefault="000953C9" w:rsidP="000953C9">
      <w:r w:rsidRPr="00A15C2F">
        <w:t>So why do these price gaps occur?</w:t>
      </w:r>
    </w:p>
    <w:p w14:paraId="74EAE24C" w14:textId="77777777" w:rsidR="000953C9" w:rsidRPr="000307F4" w:rsidRDefault="000953C9" w:rsidP="000953C9">
      <w:r w:rsidRPr="000307F4">
        <w:t xml:space="preserve">In this example, we have a net exporting region (the VIC Goulburn), and a net </w:t>
      </w:r>
      <w:r>
        <w:t xml:space="preserve">water </w:t>
      </w:r>
      <w:r w:rsidRPr="000307F4">
        <w:t>importing region (the VIC Murray Below),</w:t>
      </w:r>
    </w:p>
    <w:p w14:paraId="71F882C1" w14:textId="77777777" w:rsidR="000953C9" w:rsidRPr="004B2CCE" w:rsidRDefault="000953C9" w:rsidP="000953C9">
      <w:r w:rsidRPr="000307F4">
        <w:t xml:space="preserve">And there is a trade limit that governs the volume of water that is allowed to be traded between the </w:t>
      </w:r>
      <w:r w:rsidRPr="004B2CCE">
        <w:t xml:space="preserve">two regions. </w:t>
      </w:r>
    </w:p>
    <w:p w14:paraId="65BD1DC6" w14:textId="77777777" w:rsidR="000953C9" w:rsidRPr="004B2CCE" w:rsidRDefault="000953C9" w:rsidP="000953C9">
      <w:r w:rsidRPr="004B2CCE">
        <w:t>When the trade volume hit a certain threshold, the limit binds, and trade is halted.</w:t>
      </w:r>
    </w:p>
    <w:p w14:paraId="232C11EB" w14:textId="77777777" w:rsidR="000953C9" w:rsidRPr="004B2CCE" w:rsidRDefault="000953C9" w:rsidP="000953C9">
      <w:r w:rsidRPr="004B2CCE">
        <w:t>The mismatch in supply and demand that results, creates the price gaps seen in the chart.</w:t>
      </w:r>
    </w:p>
    <w:p w14:paraId="6CB827CE" w14:textId="77777777" w:rsidR="000953C9" w:rsidRPr="004B2CCE" w:rsidRDefault="000953C9" w:rsidP="000953C9">
      <w:r w:rsidRPr="004B2CCE">
        <w:lastRenderedPageBreak/>
        <w:t xml:space="preserve">Now what is interesting, is that price gaps like this have become a </w:t>
      </w:r>
      <w:r w:rsidRPr="004B2CCE">
        <w:rPr>
          <w:i/>
          <w:iCs/>
        </w:rPr>
        <w:t>more</w:t>
      </w:r>
      <w:r w:rsidRPr="004B2CCE">
        <w:t xml:space="preserve"> prominent feature of the market in recent years and it’s a two-fold reason behind this. </w:t>
      </w:r>
    </w:p>
    <w:p w14:paraId="6FDBF5F4" w14:textId="77777777" w:rsidR="000953C9" w:rsidRPr="004B2CCE" w:rsidRDefault="000953C9" w:rsidP="000953C9">
      <w:r w:rsidRPr="004B2CCE">
        <w:t>First, is that there is a concentration of high value, water intensive crops such as almonds, in the lower regions of the Murray.</w:t>
      </w:r>
    </w:p>
    <w:p w14:paraId="64779609" w14:textId="77777777" w:rsidR="000953C9" w:rsidRPr="004B2CCE" w:rsidRDefault="000953C9" w:rsidP="000953C9">
      <w:r w:rsidRPr="004B2CCE">
        <w:t xml:space="preserve">And the second is that, due to trade limits, the amount of water that can be traded to meet this demand is being restricted, resulting in these price differentials.  </w:t>
      </w:r>
    </w:p>
    <w:p w14:paraId="5AC3D5F9" w14:textId="77777777" w:rsidR="000953C9" w:rsidRPr="007F6BE7" w:rsidRDefault="000953C9" w:rsidP="000953C9">
      <w:r w:rsidRPr="004B2CCE">
        <w:t>So, looking ahead with almond trees expected</w:t>
      </w:r>
      <w:r>
        <w:t xml:space="preserve"> to continue to mature throughout 21/22, we can probably expect these trends to continue for the foreseeable future. </w:t>
      </w:r>
    </w:p>
    <w:p w14:paraId="1F1BB4E9" w14:textId="0B8820CD" w:rsidR="000953C9" w:rsidRDefault="000953C9" w:rsidP="000953C9">
      <w:r>
        <w:rPr>
          <w:b/>
          <w:bCs/>
        </w:rPr>
        <w:br/>
      </w:r>
      <w:r w:rsidRPr="00C77AAD">
        <w:t>Now</w:t>
      </w:r>
      <w:r>
        <w:t xml:space="preserve">, </w:t>
      </w:r>
      <w:r w:rsidRPr="00C77AAD">
        <w:t xml:space="preserve">there is one other thing to note </w:t>
      </w:r>
      <w:proofErr w:type="gramStart"/>
      <w:r w:rsidRPr="00C77AAD">
        <w:t>on the subject of trade</w:t>
      </w:r>
      <w:proofErr w:type="gramEnd"/>
      <w:r w:rsidRPr="00C77AAD">
        <w:t xml:space="preserve"> limits,</w:t>
      </w:r>
      <w:r>
        <w:t xml:space="preserve"> a</w:t>
      </w:r>
      <w:r w:rsidRPr="00C77AAD">
        <w:t>nd this is something go into more detail on, in our report</w:t>
      </w:r>
      <w:r>
        <w:t>.</w:t>
      </w:r>
    </w:p>
    <w:p w14:paraId="04F8141B" w14:textId="77777777" w:rsidR="000953C9" w:rsidRDefault="000953C9" w:rsidP="000953C9">
      <w:r w:rsidRPr="00C77AAD">
        <w:t>And that is that there have been ongoing changes to the Goulburn to Murray trade rules</w:t>
      </w:r>
      <w:r>
        <w:t xml:space="preserve">. </w:t>
      </w:r>
    </w:p>
    <w:p w14:paraId="3C2811E5" w14:textId="77777777" w:rsidR="000953C9" w:rsidRDefault="000953C9" w:rsidP="000953C9">
      <w:r w:rsidRPr="00C77AAD">
        <w:t>And while it does seem that the new rules will ultimately reduce the volume of water that can be traded from the Goulburn to the Murray,</w:t>
      </w:r>
      <w:r>
        <w:t xml:space="preserve"> so we don’t see the high volumes that were considered too high in 20</w:t>
      </w:r>
      <w:r w:rsidRPr="00C77AAD">
        <w:t>17-18, 19-20</w:t>
      </w:r>
      <w:r>
        <w:t>, t</w:t>
      </w:r>
      <w:r w:rsidRPr="00C77AAD">
        <w:t xml:space="preserve">he exact impact is unknown and will </w:t>
      </w:r>
      <w:r>
        <w:t xml:space="preserve">have to </w:t>
      </w:r>
      <w:r w:rsidRPr="00C77AAD">
        <w:t>be observed over time</w:t>
      </w:r>
      <w:r>
        <w:t>.</w:t>
      </w:r>
    </w:p>
    <w:p w14:paraId="69D26B90" w14:textId="005F0F19" w:rsidR="000953C9" w:rsidRPr="004B2CCE" w:rsidRDefault="000953C9" w:rsidP="000953C9">
      <w:r>
        <w:rPr>
          <w:b/>
          <w:bCs/>
        </w:rPr>
        <w:br/>
      </w:r>
      <w:r w:rsidRPr="004B2CCE">
        <w:t xml:space="preserve">So, in summary, take home points from today. </w:t>
      </w:r>
    </w:p>
    <w:p w14:paraId="48756953" w14:textId="77777777" w:rsidR="000953C9" w:rsidRPr="004B2CCE" w:rsidRDefault="000953C9" w:rsidP="000953C9">
      <w:r w:rsidRPr="004B2CCE">
        <w:t>Water supply to remain high, supported by high volumes of carryover and favourable allocations.</w:t>
      </w:r>
    </w:p>
    <w:p w14:paraId="5B567236" w14:textId="77777777" w:rsidR="000953C9" w:rsidRPr="004B2CCE" w:rsidRDefault="000953C9" w:rsidP="000953C9">
      <w:r w:rsidRPr="004B2CCE">
        <w:t xml:space="preserve">Low prices are set to continue as a result, </w:t>
      </w:r>
      <w:proofErr w:type="gramStart"/>
      <w:r w:rsidRPr="004B2CCE">
        <w:t>and;</w:t>
      </w:r>
      <w:proofErr w:type="gramEnd"/>
      <w:r w:rsidRPr="004B2CCE">
        <w:t xml:space="preserve"> </w:t>
      </w:r>
    </w:p>
    <w:p w14:paraId="1E687263" w14:textId="77777777" w:rsidR="000953C9" w:rsidRPr="004B2CCE" w:rsidRDefault="000953C9" w:rsidP="000953C9">
      <w:r w:rsidRPr="004B2CCE">
        <w:t xml:space="preserve">Regional price gaps are forecast, driven by regional demand and changes to trade limit. </w:t>
      </w:r>
    </w:p>
    <w:p w14:paraId="27F9019B" w14:textId="0D21B514" w:rsidR="000953C9" w:rsidRPr="004B2CCE" w:rsidRDefault="000953C9" w:rsidP="000953C9">
      <w:r>
        <w:br/>
      </w:r>
      <w:r w:rsidRPr="004B2CCE">
        <w:t>Thank you.</w:t>
      </w:r>
    </w:p>
    <w:p w14:paraId="36CCF142" w14:textId="612C863F" w:rsidR="00F66446" w:rsidRDefault="00F66446">
      <w:pPr>
        <w:tabs>
          <w:tab w:val="left" w:pos="426"/>
        </w:tabs>
        <w:rPr>
          <w:sz w:val="24"/>
        </w:rPr>
      </w:pPr>
    </w:p>
    <w:p w14:paraId="042711C1" w14:textId="69E0DE0C" w:rsidR="000953C9" w:rsidRDefault="000953C9">
      <w:pPr>
        <w:tabs>
          <w:tab w:val="left" w:pos="426"/>
        </w:tabs>
        <w:rPr>
          <w:sz w:val="24"/>
        </w:rPr>
      </w:pPr>
    </w:p>
    <w:p w14:paraId="72B35064" w14:textId="6F0C015B" w:rsidR="000953C9" w:rsidRDefault="000953C9" w:rsidP="000953C9">
      <w:pPr>
        <w:tabs>
          <w:tab w:val="left" w:pos="426"/>
        </w:tabs>
        <w:jc w:val="center"/>
        <w:rPr>
          <w:sz w:val="24"/>
        </w:rPr>
      </w:pPr>
      <w:r>
        <w:rPr>
          <w:sz w:val="24"/>
        </w:rPr>
        <w:t>---- End ---</w:t>
      </w:r>
    </w:p>
    <w:sectPr w:rsidR="000953C9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18" w:right="1134" w:bottom="1134" w:left="1134" w:header="595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1F93A" w14:textId="77777777" w:rsidR="00FE0175" w:rsidRDefault="00FE0175">
      <w:r>
        <w:separator/>
      </w:r>
    </w:p>
  </w:endnote>
  <w:endnote w:type="continuationSeparator" w:id="0">
    <w:p w14:paraId="060F6069" w14:textId="77777777" w:rsidR="00FE0175" w:rsidRDefault="00FE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62391"/>
      <w:docPartObj>
        <w:docPartGallery w:val="Page Numbers (Bottom of Page)"/>
        <w:docPartUnique/>
      </w:docPartObj>
    </w:sdtPr>
    <w:sdtEndPr/>
    <w:sdtContent>
      <w:p w14:paraId="7ACB03C7" w14:textId="77777777" w:rsidR="00F66446" w:rsidRDefault="00C86425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5CD9AF" w14:textId="77777777" w:rsidR="00F66446" w:rsidRDefault="00F664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6"/>
      <w:gridCol w:w="2407"/>
      <w:gridCol w:w="2407"/>
      <w:gridCol w:w="2407"/>
    </w:tblGrid>
    <w:tr w:rsidR="00F66446" w14:paraId="77EA4277" w14:textId="77777777"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00125E08" w14:textId="77777777" w:rsidR="00F66446" w:rsidRDefault="00C86425">
          <w:pPr>
            <w:pStyle w:val="Footeraddress"/>
          </w:pPr>
          <w:r>
            <w:rPr>
              <w:b/>
            </w:rPr>
            <w:t>T</w:t>
          </w:r>
          <w:r>
            <w:t xml:space="preserve"> +61 2 6272 2000</w:t>
          </w:r>
        </w:p>
        <w:p w14:paraId="5BAE173F" w14:textId="77777777" w:rsidR="00F66446" w:rsidRDefault="00C86425">
          <w:pPr>
            <w:pStyle w:val="Footeraddress"/>
          </w:pPr>
          <w:r>
            <w:rPr>
              <w:b/>
            </w:rPr>
            <w:t>F</w:t>
          </w:r>
          <w:r>
            <w:t xml:space="preserve"> +61 2 6272 2104</w:t>
          </w:r>
        </w:p>
      </w:tc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40BEAA86" w14:textId="2A9A1E99" w:rsidR="00F66446" w:rsidRDefault="000953C9">
          <w:pPr>
            <w:pStyle w:val="Footeraddress"/>
          </w:pPr>
          <w:r>
            <w:t>7 London Circuit</w:t>
          </w:r>
        </w:p>
        <w:p w14:paraId="6DA0A79A" w14:textId="77777777" w:rsidR="00F66446" w:rsidRDefault="00C86425">
          <w:pPr>
            <w:pStyle w:val="Footeraddress"/>
          </w:pPr>
          <w:r>
            <w:t>Canberra City ACT 2601</w:t>
          </w:r>
        </w:p>
      </w:tc>
      <w:tc>
        <w:tcPr>
          <w:tcW w:w="1250" w:type="pct"/>
          <w:tcBorders>
            <w:left w:val="single" w:sz="4" w:space="0" w:color="auto"/>
            <w:right w:val="single" w:sz="4" w:space="0" w:color="auto"/>
          </w:tcBorders>
        </w:tcPr>
        <w:p w14:paraId="474A9F61" w14:textId="77777777" w:rsidR="00F66446" w:rsidRDefault="00C86425">
          <w:pPr>
            <w:pStyle w:val="Footeraddress"/>
          </w:pPr>
          <w:r>
            <w:t>GPO Box 858</w:t>
          </w:r>
        </w:p>
        <w:p w14:paraId="14D11D63" w14:textId="77777777" w:rsidR="00F66446" w:rsidRDefault="00C86425">
          <w:pPr>
            <w:pStyle w:val="Footeraddress"/>
          </w:pPr>
          <w:r>
            <w:t>Canberra ACT 2601</w:t>
          </w:r>
        </w:p>
      </w:tc>
      <w:tc>
        <w:tcPr>
          <w:tcW w:w="1250" w:type="pct"/>
          <w:tcBorders>
            <w:left w:val="single" w:sz="4" w:space="0" w:color="auto"/>
          </w:tcBorders>
        </w:tcPr>
        <w:p w14:paraId="35612DF1" w14:textId="77777777" w:rsidR="00F66446" w:rsidRDefault="00A12C01">
          <w:pPr>
            <w:pStyle w:val="Footeraddress"/>
            <w:rPr>
              <w:b/>
            </w:rPr>
          </w:pPr>
          <w:r>
            <w:rPr>
              <w:b/>
            </w:rPr>
            <w:t>awe</w:t>
          </w:r>
          <w:r w:rsidR="00C86425">
            <w:rPr>
              <w:b/>
            </w:rPr>
            <w:t>.gov.au/</w:t>
          </w:r>
          <w:proofErr w:type="spellStart"/>
          <w:r w:rsidR="00C86425">
            <w:rPr>
              <w:b/>
            </w:rPr>
            <w:t>abares</w:t>
          </w:r>
          <w:proofErr w:type="spellEnd"/>
        </w:p>
        <w:p w14:paraId="6C2C3B42" w14:textId="77777777" w:rsidR="00F66446" w:rsidRDefault="00907052">
          <w:pPr>
            <w:pStyle w:val="Footeraddress"/>
          </w:pPr>
          <w:r w:rsidRPr="00907052">
            <w:t>ABN 34 190 894 983</w:t>
          </w:r>
        </w:p>
      </w:tc>
    </w:tr>
  </w:tbl>
  <w:p w14:paraId="7104DA38" w14:textId="77777777" w:rsidR="00F66446" w:rsidRDefault="00F664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DA7BF" w14:textId="77777777" w:rsidR="00FE0175" w:rsidRDefault="00FE0175">
      <w:r>
        <w:separator/>
      </w:r>
    </w:p>
  </w:footnote>
  <w:footnote w:type="continuationSeparator" w:id="0">
    <w:p w14:paraId="72E304A4" w14:textId="77777777" w:rsidR="00FE0175" w:rsidRDefault="00FE0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622E6" w14:textId="2181A404" w:rsidR="00F66446" w:rsidRDefault="00F66446">
    <w:pPr>
      <w:pStyle w:val="Header"/>
      <w:tabs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25DA8" w14:textId="77777777" w:rsidR="00F66446" w:rsidRDefault="00C75C61">
    <w:pPr>
      <w:pStyle w:val="Header"/>
    </w:pPr>
    <w:r>
      <w:rPr>
        <w:noProof/>
        <w:lang w:eastAsia="en-AU"/>
      </w:rPr>
      <w:drawing>
        <wp:inline distT="0" distB="0" distL="0" distR="0" wp14:anchorId="770A4CDD" wp14:editId="6133AA9A">
          <wp:extent cx="2417064" cy="905256"/>
          <wp:effectExtent l="0" t="0" r="254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ARES_Inline_BLACK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7064" cy="905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2FE84C" w14:textId="057E02CD" w:rsidR="00F66446" w:rsidRDefault="00F66446">
    <w:pPr>
      <w:pStyle w:val="Header"/>
    </w:pPr>
  </w:p>
  <w:p w14:paraId="57EF8586" w14:textId="77777777" w:rsidR="00C86425" w:rsidRDefault="00C86425">
    <w:pPr>
      <w:pStyle w:val="Header"/>
    </w:pPr>
  </w:p>
  <w:p w14:paraId="1AE23E53" w14:textId="06834F55" w:rsidR="00C86425" w:rsidRDefault="00C86425">
    <w:pPr>
      <w:pStyle w:val="Header"/>
    </w:pPr>
  </w:p>
  <w:p w14:paraId="7687290C" w14:textId="02123F74" w:rsidR="000953C9" w:rsidRPr="00715CBF" w:rsidRDefault="000953C9" w:rsidP="00715CBF">
    <w:pPr>
      <w:pStyle w:val="Heading1"/>
    </w:pPr>
    <w:r w:rsidRPr="00715CBF">
      <w:t xml:space="preserve">ABARES Perspectives: Water Market Outlook August 2021. Presentation by ABARES water analyst John Walsh </w:t>
    </w:r>
  </w:p>
  <w:p w14:paraId="747DA50E" w14:textId="77777777" w:rsidR="00F66446" w:rsidRDefault="00F664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C9"/>
    <w:rsid w:val="000953C9"/>
    <w:rsid w:val="002A0135"/>
    <w:rsid w:val="003E00C9"/>
    <w:rsid w:val="0040348D"/>
    <w:rsid w:val="005056B6"/>
    <w:rsid w:val="005C0B2C"/>
    <w:rsid w:val="00715CBF"/>
    <w:rsid w:val="007D042F"/>
    <w:rsid w:val="00907052"/>
    <w:rsid w:val="00A12C01"/>
    <w:rsid w:val="00AE34A2"/>
    <w:rsid w:val="00BF013C"/>
    <w:rsid w:val="00C52FDF"/>
    <w:rsid w:val="00C75C61"/>
    <w:rsid w:val="00C86425"/>
    <w:rsid w:val="00F66446"/>
    <w:rsid w:val="00F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7D1CFBA"/>
  <w15:docId w15:val="{7206F54C-572C-4093-B640-AC8C700F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3C9"/>
    <w:pPr>
      <w:spacing w:after="160" w:line="259" w:lineRule="auto"/>
    </w:pPr>
    <w:rPr>
      <w:rFonts w:eastAsiaTheme="minorHAnsi"/>
      <w:sz w:val="22"/>
      <w:szCs w:val="22"/>
    </w:rPr>
  </w:style>
  <w:style w:type="paragraph" w:styleId="Heading1">
    <w:name w:val="heading 1"/>
    <w:basedOn w:val="Header"/>
    <w:next w:val="Normal"/>
    <w:link w:val="Heading1Char"/>
    <w:uiPriority w:val="9"/>
    <w:qFormat/>
    <w:rsid w:val="00715CBF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19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19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19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Lucida Grande" w:eastAsiaTheme="minorEastAsia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rFonts w:asciiTheme="majorHAnsi" w:hAnsiTheme="majorHAnsi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15CBF"/>
    <w:rPr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ABARES\ABARES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D372FC-4B2A-4C36-AFBF-CCA6F39E6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ABARES letterhead template.dotx</Template>
  <TotalTime>7</TotalTime>
  <Pages>3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ABARES Perspectives: Water Market Outlook August 2021. Presentation by ABARES water analyst John Walsh </vt:lpstr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ABARES Perspectives: Water Market Outlook August 2021. Presentation by ABARES water analyst John Walsh </dc:title>
  <dc:creator>Department of Agriculture, Water and the Environment, ABARES</dc:creator>
  <cp:lastModifiedBy>Dang, Van</cp:lastModifiedBy>
  <cp:revision>3</cp:revision>
  <cp:lastPrinted>2021-08-05T01:24:00Z</cp:lastPrinted>
  <dcterms:created xsi:type="dcterms:W3CDTF">2021-08-05T01:20:00Z</dcterms:created>
  <dcterms:modified xsi:type="dcterms:W3CDTF">2021-08-05T05:21:00Z</dcterms:modified>
</cp:coreProperties>
</file>