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A509E" w14:textId="77777777" w:rsidR="003266B8" w:rsidRDefault="003266B8" w:rsidP="00D01FF9">
      <w:pPr>
        <w:tabs>
          <w:tab w:val="left" w:pos="426"/>
        </w:tabs>
      </w:pPr>
      <w:r>
        <w:t>Thank you for joining me today to go through the latest ABARES Water Market Outlook for the southern Murray–Darling Basin next year in 2022–23.</w:t>
      </w:r>
    </w:p>
    <w:p w14:paraId="1241D4F9" w14:textId="77777777" w:rsidR="003266B8" w:rsidRDefault="003266B8" w:rsidP="00D01FF9">
      <w:pPr>
        <w:tabs>
          <w:tab w:val="left" w:pos="426"/>
        </w:tabs>
      </w:pPr>
      <w:r>
        <w:t>This presentation will provide a summary of our outlook for the year ahead.</w:t>
      </w:r>
    </w:p>
    <w:p w14:paraId="02941845" w14:textId="77777777" w:rsidR="003266B8" w:rsidRDefault="003266B8" w:rsidP="00D01FF9">
      <w:pPr>
        <w:tabs>
          <w:tab w:val="left" w:pos="426"/>
        </w:tabs>
      </w:pPr>
      <w:r>
        <w:t>Our forecasts incorporate the most up-to-date information from the Bureau of Meteorology and state water agencies.</w:t>
      </w:r>
    </w:p>
    <w:p w14:paraId="1178540D" w14:textId="77777777" w:rsidR="000435B8" w:rsidRDefault="003266B8" w:rsidP="00D01FF9">
      <w:pPr>
        <w:tabs>
          <w:tab w:val="left" w:pos="426"/>
        </w:tabs>
      </w:pPr>
      <w:r>
        <w:t>We provide forecasts under four different scenarios, which are: wet, average, dry and extreme dry conditions.</w:t>
      </w:r>
    </w:p>
    <w:p w14:paraId="4E497AF1" w14:textId="0EF96A86" w:rsidR="00D01FF9" w:rsidRDefault="003266B8" w:rsidP="00D01FF9">
      <w:pPr>
        <w:tabs>
          <w:tab w:val="left" w:pos="426"/>
        </w:tabs>
      </w:pPr>
      <w:r>
        <w:t>But for this presentation, I’ll be focusing on the average scenario which we think is the most likely.</w:t>
      </w:r>
    </w:p>
    <w:p w14:paraId="6E07B0AF" w14:textId="77777777" w:rsidR="00D01FF9" w:rsidRDefault="00D01FF9" w:rsidP="00D01FF9">
      <w:pPr>
        <w:tabs>
          <w:tab w:val="left" w:pos="426"/>
        </w:tabs>
      </w:pPr>
    </w:p>
    <w:p w14:paraId="26929154" w14:textId="07AB3629" w:rsidR="00D01FF9" w:rsidRDefault="003266B8" w:rsidP="00D01FF9">
      <w:pPr>
        <w:tabs>
          <w:tab w:val="left" w:pos="426"/>
        </w:tabs>
      </w:pPr>
      <w:r>
        <w:t>The key points that I’ll be covering in this presentation are that</w:t>
      </w:r>
      <w:r w:rsidR="00D01FF9">
        <w:t>:</w:t>
      </w:r>
    </w:p>
    <w:p w14:paraId="4AD71BB3" w14:textId="0B10D5A4" w:rsidR="003266B8" w:rsidRDefault="003266B8" w:rsidP="00D01FF9">
      <w:pPr>
        <w:tabs>
          <w:tab w:val="left" w:pos="426"/>
        </w:tabs>
      </w:pPr>
      <w:r>
        <w:t>There is a high level of certainty around the water that’s available to irrigators next year</w:t>
      </w:r>
      <w:r w:rsidR="00584A0D">
        <w:t>.</w:t>
      </w:r>
    </w:p>
    <w:p w14:paraId="11B3B3AE" w14:textId="0762A0DC" w:rsidR="003266B8" w:rsidRDefault="003266B8" w:rsidP="00D01FF9">
      <w:pPr>
        <w:tabs>
          <w:tab w:val="left" w:pos="426"/>
        </w:tabs>
      </w:pPr>
      <w:r>
        <w:t>Water allocation prices are forecast to remain low for a third consecutive year</w:t>
      </w:r>
      <w:r w:rsidR="00584A0D">
        <w:t>.</w:t>
      </w:r>
    </w:p>
    <w:p w14:paraId="575E506E" w14:textId="1DD9F824" w:rsidR="003266B8" w:rsidRDefault="003266B8" w:rsidP="00D01FF9">
      <w:pPr>
        <w:tabs>
          <w:tab w:val="left" w:pos="426"/>
        </w:tabs>
      </w:pPr>
      <w:r>
        <w:t>Inter-valley trade limits will continue to restrict trade and cause price gaps between regions</w:t>
      </w:r>
      <w:r w:rsidR="00584A0D">
        <w:t>.</w:t>
      </w:r>
    </w:p>
    <w:p w14:paraId="6D782FC7" w14:textId="1C803B78" w:rsidR="003266B8" w:rsidRDefault="00584A0D" w:rsidP="00D01FF9">
      <w:pPr>
        <w:tabs>
          <w:tab w:val="left" w:pos="426"/>
        </w:tabs>
      </w:pPr>
      <w:r>
        <w:t>And t</w:t>
      </w:r>
      <w:r w:rsidR="003266B8">
        <w:t>he production of irrigated crops will be supported by high water availability and low water prices</w:t>
      </w:r>
      <w:r w:rsidR="00D01FF9">
        <w:t>.</w:t>
      </w:r>
    </w:p>
    <w:p w14:paraId="7C8EDBCA" w14:textId="77777777" w:rsidR="00D01FF9" w:rsidRDefault="00D01FF9" w:rsidP="00D01FF9">
      <w:pPr>
        <w:tabs>
          <w:tab w:val="left" w:pos="426"/>
        </w:tabs>
      </w:pPr>
    </w:p>
    <w:p w14:paraId="36CDDE27" w14:textId="20637319" w:rsidR="003266B8" w:rsidRDefault="003266B8" w:rsidP="00D01FF9">
      <w:pPr>
        <w:tabs>
          <w:tab w:val="left" w:pos="426"/>
        </w:tabs>
      </w:pPr>
      <w:r>
        <w:t xml:space="preserve">This table shows water allocation percentages as provided by </w:t>
      </w:r>
      <w:r w:rsidR="00C00D6E">
        <w:t xml:space="preserve">the </w:t>
      </w:r>
      <w:r>
        <w:t>state water agencies for each of the major entitlements in the southern Basin.</w:t>
      </w:r>
    </w:p>
    <w:p w14:paraId="5DBBD72C" w14:textId="77777777" w:rsidR="003266B8" w:rsidRDefault="003266B8" w:rsidP="00D01FF9">
      <w:pPr>
        <w:tabs>
          <w:tab w:val="left" w:pos="426"/>
        </w:tabs>
      </w:pPr>
      <w:r>
        <w:t>On the left, we have the forecasts for next year under the average scenario.</w:t>
      </w:r>
    </w:p>
    <w:p w14:paraId="0A3AA51B" w14:textId="77777777" w:rsidR="003266B8" w:rsidRDefault="003266B8" w:rsidP="00D01FF9">
      <w:pPr>
        <w:tabs>
          <w:tab w:val="left" w:pos="426"/>
        </w:tabs>
      </w:pPr>
      <w:r>
        <w:t>In the middle, we have the current allocations for this year.</w:t>
      </w:r>
    </w:p>
    <w:p w14:paraId="06DCA26D" w14:textId="77777777" w:rsidR="003266B8" w:rsidRDefault="003266B8" w:rsidP="00D01FF9">
      <w:pPr>
        <w:tabs>
          <w:tab w:val="left" w:pos="426"/>
        </w:tabs>
      </w:pPr>
      <w:r>
        <w:t>And on the right, we have the 20-year average.</w:t>
      </w:r>
    </w:p>
    <w:p w14:paraId="69D5556A" w14:textId="77777777" w:rsidR="003266B8" w:rsidRDefault="003266B8" w:rsidP="00D01FF9">
      <w:pPr>
        <w:tabs>
          <w:tab w:val="left" w:pos="426"/>
        </w:tabs>
      </w:pPr>
      <w:r>
        <w:t>We can see that most of the major entitlements are forecast to reach 100% allocation next year, on the back of the exceptional year we’ve had in 21–22.</w:t>
      </w:r>
    </w:p>
    <w:p w14:paraId="40D1F608" w14:textId="77777777" w:rsidR="003266B8" w:rsidRDefault="003266B8" w:rsidP="00D01FF9">
      <w:pPr>
        <w:tabs>
          <w:tab w:val="left" w:pos="426"/>
        </w:tabs>
      </w:pPr>
      <w:r>
        <w:t>It’s quite unusual to have this much certainty about next year’s water availability this early in the year.</w:t>
      </w:r>
    </w:p>
    <w:p w14:paraId="51D86AE5" w14:textId="77777777" w:rsidR="003266B8" w:rsidRDefault="003266B8" w:rsidP="00D01FF9">
      <w:pPr>
        <w:tabs>
          <w:tab w:val="left" w:pos="426"/>
        </w:tabs>
      </w:pPr>
      <w:r>
        <w:t>The high allocation forecasts are mostly due to the large amount of water that’s currently sitting unused in dam storages, along with an expected return to average rainfall next year across much of the southern Basin.</w:t>
      </w:r>
    </w:p>
    <w:p w14:paraId="59C74925" w14:textId="77777777" w:rsidR="000435B8" w:rsidRDefault="003266B8" w:rsidP="00D01FF9">
      <w:pPr>
        <w:tabs>
          <w:tab w:val="left" w:pos="426"/>
        </w:tabs>
      </w:pPr>
      <w:r>
        <w:t>One thing to point out is that Murrumbidgee general security entitlements are forecast to receive 48% allocation in the average scenario</w:t>
      </w:r>
      <w:r w:rsidR="00C00D6E">
        <w:t>.</w:t>
      </w:r>
    </w:p>
    <w:p w14:paraId="1B9D339F" w14:textId="542CE7D9" w:rsidR="003266B8" w:rsidRDefault="00C00D6E" w:rsidP="00D01FF9">
      <w:pPr>
        <w:tabs>
          <w:tab w:val="left" w:pos="426"/>
        </w:tabs>
      </w:pPr>
      <w:r>
        <w:t>This</w:t>
      </w:r>
      <w:r w:rsidR="003266B8">
        <w:t xml:space="preserve"> is conservative and </w:t>
      </w:r>
      <w:r>
        <w:t xml:space="preserve">is </w:t>
      </w:r>
      <w:r w:rsidR="003266B8">
        <w:t>reflective of the dam management strategy used by NSW.</w:t>
      </w:r>
    </w:p>
    <w:p w14:paraId="17046C57" w14:textId="4D4DFE10" w:rsidR="00584A0D" w:rsidRDefault="00584A0D" w:rsidP="00D01FF9">
      <w:pPr>
        <w:tabs>
          <w:tab w:val="left" w:pos="426"/>
        </w:tabs>
      </w:pPr>
    </w:p>
    <w:p w14:paraId="44187BB0" w14:textId="77777777" w:rsidR="000435B8" w:rsidRDefault="000435B8" w:rsidP="00D01FF9">
      <w:pPr>
        <w:tabs>
          <w:tab w:val="left" w:pos="426"/>
        </w:tabs>
      </w:pPr>
    </w:p>
    <w:p w14:paraId="1CFFFBAF" w14:textId="7E762F60" w:rsidR="003266B8" w:rsidRDefault="003266B8" w:rsidP="00D01FF9">
      <w:pPr>
        <w:tabs>
          <w:tab w:val="left" w:pos="426"/>
        </w:tabs>
      </w:pPr>
      <w:r>
        <w:lastRenderedPageBreak/>
        <w:t>This figure shows ABARES forecasts for total water available for irrigation use in the southern Basin.</w:t>
      </w:r>
    </w:p>
    <w:p w14:paraId="4984D986" w14:textId="77777777" w:rsidR="00584A0D" w:rsidRDefault="003266B8" w:rsidP="00D01FF9">
      <w:pPr>
        <w:tabs>
          <w:tab w:val="left" w:pos="426"/>
        </w:tabs>
      </w:pPr>
      <w:r>
        <w:t>This includes water allocations and water carried over into next year.</w:t>
      </w:r>
    </w:p>
    <w:p w14:paraId="1B737F07" w14:textId="77777777" w:rsidR="00584A0D" w:rsidRDefault="003266B8" w:rsidP="00D01FF9">
      <w:pPr>
        <w:tabs>
          <w:tab w:val="left" w:pos="426"/>
        </w:tabs>
      </w:pPr>
      <w:r>
        <w:t>Total water availability is forecast to decrease next year.</w:t>
      </w:r>
    </w:p>
    <w:p w14:paraId="706544EC" w14:textId="2323160C" w:rsidR="003266B8" w:rsidRDefault="003266B8" w:rsidP="00D01FF9">
      <w:pPr>
        <w:tabs>
          <w:tab w:val="left" w:pos="426"/>
        </w:tabs>
      </w:pPr>
      <w:r>
        <w:t>However, this is coming from a very high base this year where all major entitlements have received 100% allocation, and even low reliability entitlements in the Victorian Murray have received 100%.</w:t>
      </w:r>
    </w:p>
    <w:p w14:paraId="6697C955" w14:textId="77777777" w:rsidR="003266B8" w:rsidRDefault="003266B8" w:rsidP="00D01FF9">
      <w:pPr>
        <w:tabs>
          <w:tab w:val="left" w:pos="426"/>
        </w:tabs>
      </w:pPr>
      <w:r>
        <w:t xml:space="preserve">We can see that the wet, </w:t>
      </w:r>
      <w:proofErr w:type="gramStart"/>
      <w:r>
        <w:t>average</w:t>
      </w:r>
      <w:proofErr w:type="gramEnd"/>
      <w:r>
        <w:t xml:space="preserve"> and dry scenarios are quite close together, and this is because, under these scenarios, allocations are forecast to reach 100% in Victoria.</w:t>
      </w:r>
    </w:p>
    <w:p w14:paraId="54ED60A2" w14:textId="77777777" w:rsidR="003266B8" w:rsidRDefault="003266B8" w:rsidP="00D01FF9">
      <w:pPr>
        <w:tabs>
          <w:tab w:val="left" w:pos="426"/>
        </w:tabs>
      </w:pPr>
      <w:r>
        <w:t>The variation between the scenarios is mostly due to the lower allocation outlooks for NSW.</w:t>
      </w:r>
    </w:p>
    <w:p w14:paraId="0A64C3CD" w14:textId="77777777" w:rsidR="003266B8" w:rsidRDefault="003266B8" w:rsidP="00D01FF9">
      <w:pPr>
        <w:tabs>
          <w:tab w:val="left" w:pos="426"/>
        </w:tabs>
      </w:pPr>
      <w:r>
        <w:t>We’re also expecting the amount of water carried over into next year to be at or near carryover limits.</w:t>
      </w:r>
    </w:p>
    <w:p w14:paraId="56B84BCA" w14:textId="77777777" w:rsidR="003266B8" w:rsidRDefault="003266B8" w:rsidP="00D01FF9">
      <w:pPr>
        <w:tabs>
          <w:tab w:val="left" w:pos="426"/>
        </w:tabs>
      </w:pPr>
      <w:r>
        <w:t>We’ve seen back-to-back years with high water availability and rainfall, which has led to reduced irrigation water demand in the current year, therefore allowing more water to be carried over into next year.</w:t>
      </w:r>
    </w:p>
    <w:p w14:paraId="7CB053C3" w14:textId="77777777" w:rsidR="003266B8" w:rsidRDefault="003266B8" w:rsidP="00D01FF9">
      <w:pPr>
        <w:tabs>
          <w:tab w:val="left" w:pos="426"/>
        </w:tabs>
      </w:pPr>
      <w:r>
        <w:t>Overall, the high certainty around total water availability next year will allow irrigators to make more informed planting decisions.</w:t>
      </w:r>
    </w:p>
    <w:p w14:paraId="138A5A5A" w14:textId="77777777" w:rsidR="003266B8" w:rsidRDefault="003266B8" w:rsidP="00D01FF9">
      <w:pPr>
        <w:tabs>
          <w:tab w:val="left" w:pos="426"/>
        </w:tabs>
      </w:pPr>
    </w:p>
    <w:p w14:paraId="3DB8E192" w14:textId="77777777" w:rsidR="003266B8" w:rsidRDefault="003266B8" w:rsidP="00D01FF9">
      <w:pPr>
        <w:tabs>
          <w:tab w:val="left" w:pos="426"/>
        </w:tabs>
      </w:pPr>
      <w:r>
        <w:t>This figure shows water allocation prices across southern Basin for the past three years, as well as the ABARES forecasts for annual prices for the year ahead.</w:t>
      </w:r>
    </w:p>
    <w:p w14:paraId="78B284B0" w14:textId="77777777" w:rsidR="003266B8" w:rsidRDefault="003266B8" w:rsidP="00D01FF9">
      <w:pPr>
        <w:tabs>
          <w:tab w:val="left" w:pos="426"/>
        </w:tabs>
      </w:pPr>
      <w:r>
        <w:t>It’s worth noting that, in practice, water prices will fluctuate around the annual price forecasts during the year.</w:t>
      </w:r>
    </w:p>
    <w:p w14:paraId="5B5D84E9" w14:textId="77777777" w:rsidR="003266B8" w:rsidRDefault="003266B8" w:rsidP="00D01FF9">
      <w:pPr>
        <w:tabs>
          <w:tab w:val="left" w:pos="426"/>
        </w:tabs>
      </w:pPr>
      <w:r>
        <w:t xml:space="preserve">If we </w:t>
      </w:r>
      <w:proofErr w:type="gramStart"/>
      <w:r>
        <w:t>take a look</w:t>
      </w:r>
      <w:proofErr w:type="gramEnd"/>
      <w:r>
        <w:t xml:space="preserve"> at the price forecasts for next year, we can see that prices are remaining low, similar to previous years.</w:t>
      </w:r>
    </w:p>
    <w:p w14:paraId="589CDA3F" w14:textId="222B6231" w:rsidR="003266B8" w:rsidRDefault="003266B8" w:rsidP="00D01FF9">
      <w:pPr>
        <w:tabs>
          <w:tab w:val="left" w:pos="426"/>
        </w:tabs>
      </w:pPr>
      <w:r>
        <w:t>In the average scenario, the price is forecast to remain at</w:t>
      </w:r>
      <w:r w:rsidR="00C00D6E">
        <w:t xml:space="preserve"> around</w:t>
      </w:r>
      <w:r>
        <w:t xml:space="preserve"> $80, only marginally above this year’s price of $77.</w:t>
      </w:r>
    </w:p>
    <w:p w14:paraId="4B560F34" w14:textId="7562C6FE" w:rsidR="003266B8" w:rsidRDefault="003266B8" w:rsidP="00D01FF9">
      <w:pPr>
        <w:tabs>
          <w:tab w:val="left" w:pos="426"/>
        </w:tabs>
      </w:pPr>
      <w:r>
        <w:t>We’re also seeing a relatively small difference between our forecast scenarios, with only a $93 difference between the wet and extreme dry scenarios.</w:t>
      </w:r>
    </w:p>
    <w:p w14:paraId="5F0CDF6B" w14:textId="77777777" w:rsidR="00C00D6E" w:rsidRDefault="00C00D6E" w:rsidP="00D01FF9">
      <w:pPr>
        <w:tabs>
          <w:tab w:val="left" w:pos="426"/>
        </w:tabs>
      </w:pPr>
    </w:p>
    <w:p w14:paraId="3F920DFD" w14:textId="6978EC44" w:rsidR="003266B8" w:rsidRDefault="003266B8" w:rsidP="00D01FF9">
      <w:pPr>
        <w:tabs>
          <w:tab w:val="left" w:pos="426"/>
        </w:tabs>
      </w:pPr>
      <w:r>
        <w:t>Inter-valley trade limits are expected to continue to play an important role in determining market outcomes next year.</w:t>
      </w:r>
    </w:p>
    <w:p w14:paraId="76D177E9" w14:textId="38DCF933" w:rsidR="003266B8" w:rsidRDefault="003266B8" w:rsidP="00D01FF9">
      <w:pPr>
        <w:tabs>
          <w:tab w:val="left" w:pos="426"/>
        </w:tabs>
      </w:pPr>
      <w:r>
        <w:t>This figure shows the difference in prices between two regions where trade is restricted: the Victorian Goulburn and the Victorian Murray below the Barmah Choke.</w:t>
      </w:r>
    </w:p>
    <w:p w14:paraId="4D588D8C" w14:textId="77777777" w:rsidR="003266B8" w:rsidRDefault="003266B8" w:rsidP="00D01FF9">
      <w:pPr>
        <w:tabs>
          <w:tab w:val="left" w:pos="426"/>
        </w:tabs>
      </w:pPr>
      <w:r>
        <w:t>As you can see, price gaps are forecast in all scenarios, with a $70 difference in the average scenario.</w:t>
      </w:r>
    </w:p>
    <w:p w14:paraId="417762B6" w14:textId="77777777" w:rsidR="00C00D6E" w:rsidRDefault="00C00D6E" w:rsidP="00D01FF9">
      <w:pPr>
        <w:tabs>
          <w:tab w:val="left" w:pos="426"/>
        </w:tabs>
      </w:pPr>
    </w:p>
    <w:p w14:paraId="48898936" w14:textId="0BE3E93C" w:rsidR="003266B8" w:rsidRDefault="003266B8" w:rsidP="00D01FF9">
      <w:pPr>
        <w:tabs>
          <w:tab w:val="left" w:pos="426"/>
        </w:tabs>
      </w:pPr>
      <w:r>
        <w:t>The production of irrigated crops next year will be supported by high water availability (particularly at the beginning of the year) and low water prices.</w:t>
      </w:r>
    </w:p>
    <w:p w14:paraId="4009760D" w14:textId="4AA7F9BF" w:rsidR="003266B8" w:rsidRDefault="003266B8" w:rsidP="00D01FF9">
      <w:pPr>
        <w:tabs>
          <w:tab w:val="left" w:pos="426"/>
        </w:tabs>
      </w:pPr>
      <w:r>
        <w:t xml:space="preserve">The value of irrigated production is forecast to remain around $6 </w:t>
      </w:r>
      <w:r w:rsidR="00584A0D">
        <w:t>billion</w:t>
      </w:r>
      <w:r>
        <w:t xml:space="preserve"> in the average scenario.</w:t>
      </w:r>
    </w:p>
    <w:p w14:paraId="6E33D50B" w14:textId="77777777" w:rsidR="003266B8" w:rsidRDefault="003266B8" w:rsidP="00D01FF9">
      <w:pPr>
        <w:tabs>
          <w:tab w:val="left" w:pos="426"/>
        </w:tabs>
      </w:pPr>
      <w:r>
        <w:t>It’s worth noting that commodity prices for most irrigated commodities have been higher than previously predicted, which has led to an increase in the value of the irrigation sector this year.</w:t>
      </w:r>
    </w:p>
    <w:p w14:paraId="510F6BEF" w14:textId="77777777" w:rsidR="003266B8" w:rsidRDefault="003266B8" w:rsidP="00D01FF9">
      <w:pPr>
        <w:tabs>
          <w:tab w:val="left" w:pos="426"/>
        </w:tabs>
      </w:pPr>
      <w:r>
        <w:t>There will be some regional differences in production.</w:t>
      </w:r>
    </w:p>
    <w:p w14:paraId="57AC85FE" w14:textId="77777777" w:rsidR="003266B8" w:rsidRDefault="003266B8" w:rsidP="00D01FF9">
      <w:pPr>
        <w:tabs>
          <w:tab w:val="left" w:pos="426"/>
        </w:tabs>
      </w:pPr>
      <w:r>
        <w:lastRenderedPageBreak/>
        <w:t>Lower water allocations and higher water prices in NSW, particularly in the Murrumbidgee, will affect the production of annual crops (such as cotton and rice), as this is where most of this production occurs in the southern Basin.</w:t>
      </w:r>
    </w:p>
    <w:p w14:paraId="7A4AE0B4" w14:textId="77777777" w:rsidR="003266B8" w:rsidRDefault="003266B8" w:rsidP="00D01FF9">
      <w:pPr>
        <w:tabs>
          <w:tab w:val="left" w:pos="426"/>
        </w:tabs>
      </w:pPr>
    </w:p>
    <w:p w14:paraId="259B61FD" w14:textId="77777777" w:rsidR="003266B8" w:rsidRDefault="003266B8" w:rsidP="00D01FF9">
      <w:pPr>
        <w:tabs>
          <w:tab w:val="left" w:pos="426"/>
        </w:tabs>
      </w:pPr>
      <w:r>
        <w:t>To summarise our outlook for the year ahead:</w:t>
      </w:r>
    </w:p>
    <w:p w14:paraId="1D2C50D8" w14:textId="173C7D03" w:rsidR="003266B8" w:rsidRDefault="003266B8" w:rsidP="00D01FF9">
      <w:pPr>
        <w:tabs>
          <w:tab w:val="left" w:pos="426"/>
        </w:tabs>
      </w:pPr>
      <w:r>
        <w:t>We’re expecting a high level of certainty around</w:t>
      </w:r>
      <w:r w:rsidR="00C00D6E">
        <w:t xml:space="preserve"> the water available to irrigators</w:t>
      </w:r>
      <w:r>
        <w:t>, which is unusual for this time of year</w:t>
      </w:r>
    </w:p>
    <w:p w14:paraId="7DDF2552" w14:textId="476AD2A4" w:rsidR="003266B8" w:rsidRDefault="003266B8" w:rsidP="00D01FF9">
      <w:pPr>
        <w:tabs>
          <w:tab w:val="left" w:pos="426"/>
        </w:tabs>
      </w:pPr>
      <w:r>
        <w:t xml:space="preserve">The high level </w:t>
      </w:r>
      <w:r w:rsidR="00C00D6E">
        <w:t xml:space="preserve">of </w:t>
      </w:r>
      <w:r>
        <w:t>certainty is helping to keep water prices low for a third consecutive year</w:t>
      </w:r>
    </w:p>
    <w:p w14:paraId="5E3C9C5E" w14:textId="77777777" w:rsidR="003266B8" w:rsidRDefault="003266B8" w:rsidP="00D01FF9">
      <w:pPr>
        <w:tabs>
          <w:tab w:val="left" w:pos="426"/>
        </w:tabs>
      </w:pPr>
      <w:r>
        <w:t xml:space="preserve">And </w:t>
      </w:r>
      <w:proofErr w:type="gramStart"/>
      <w:r>
        <w:t>high water</w:t>
      </w:r>
      <w:proofErr w:type="gramEnd"/>
      <w:r>
        <w:t xml:space="preserve"> supply and low water prices will support the production of irrigated crops next year</w:t>
      </w:r>
    </w:p>
    <w:p w14:paraId="6F70719A" w14:textId="77777777" w:rsidR="00584A0D" w:rsidRDefault="00584A0D" w:rsidP="00D01FF9">
      <w:pPr>
        <w:tabs>
          <w:tab w:val="left" w:pos="426"/>
        </w:tabs>
      </w:pPr>
    </w:p>
    <w:p w14:paraId="33D59523" w14:textId="013528F2" w:rsidR="003266B8" w:rsidRDefault="003266B8" w:rsidP="00D01FF9">
      <w:pPr>
        <w:tabs>
          <w:tab w:val="left" w:pos="426"/>
        </w:tabs>
      </w:pPr>
      <w:r>
        <w:t>Thank you very much.</w:t>
      </w:r>
    </w:p>
    <w:p w14:paraId="23C7295F" w14:textId="77777777" w:rsidR="003266B8" w:rsidRDefault="003266B8" w:rsidP="00D01FF9">
      <w:pPr>
        <w:tabs>
          <w:tab w:val="left" w:pos="426"/>
        </w:tabs>
      </w:pPr>
    </w:p>
    <w:p w14:paraId="36CCF142" w14:textId="612C863F" w:rsidR="00F66446" w:rsidRDefault="00F66446" w:rsidP="00D01FF9">
      <w:pPr>
        <w:tabs>
          <w:tab w:val="left" w:pos="426"/>
        </w:tabs>
        <w:rPr>
          <w:sz w:val="24"/>
        </w:rPr>
      </w:pPr>
    </w:p>
    <w:p w14:paraId="042711C1" w14:textId="69E0DE0C" w:rsidR="000953C9" w:rsidRDefault="000953C9" w:rsidP="00D01FF9">
      <w:pPr>
        <w:tabs>
          <w:tab w:val="left" w:pos="426"/>
        </w:tabs>
        <w:rPr>
          <w:sz w:val="24"/>
        </w:rPr>
      </w:pPr>
    </w:p>
    <w:p w14:paraId="72B35064" w14:textId="6F0C015B" w:rsidR="000953C9" w:rsidRDefault="000953C9" w:rsidP="00D01FF9">
      <w:pPr>
        <w:tabs>
          <w:tab w:val="left" w:pos="426"/>
        </w:tabs>
        <w:jc w:val="center"/>
        <w:rPr>
          <w:sz w:val="24"/>
        </w:rPr>
      </w:pPr>
      <w:r>
        <w:rPr>
          <w:sz w:val="24"/>
        </w:rPr>
        <w:t>---- End ---</w:t>
      </w:r>
    </w:p>
    <w:sectPr w:rsidR="000953C9">
      <w:headerReference w:type="default" r:id="rId7"/>
      <w:footerReference w:type="default" r:id="rId8"/>
      <w:headerReference w:type="first" r:id="rId9"/>
      <w:footerReference w:type="first" r:id="rId10"/>
      <w:pgSz w:w="11900" w:h="16840"/>
      <w:pgMar w:top="1418" w:right="1134" w:bottom="1134" w:left="1134" w:header="59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F93A" w14:textId="77777777" w:rsidR="00FE0175" w:rsidRDefault="00FE0175">
      <w:r>
        <w:separator/>
      </w:r>
    </w:p>
  </w:endnote>
  <w:endnote w:type="continuationSeparator" w:id="0">
    <w:p w14:paraId="060F6069" w14:textId="77777777" w:rsidR="00FE0175" w:rsidRDefault="00FE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2391"/>
      <w:docPartObj>
        <w:docPartGallery w:val="Page Numbers (Bottom of Page)"/>
        <w:docPartUnique/>
      </w:docPartObj>
    </w:sdtPr>
    <w:sdtEndPr/>
    <w:sdtContent>
      <w:p w14:paraId="7ACB03C7" w14:textId="77777777" w:rsidR="00F66446" w:rsidRDefault="00C86425">
        <w:pPr>
          <w:pStyle w:val="Footer"/>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595CD9AF" w14:textId="77777777" w:rsidR="00F66446" w:rsidRDefault="00F66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F66446" w14:paraId="77EA4277" w14:textId="77777777">
      <w:tc>
        <w:tcPr>
          <w:tcW w:w="1250" w:type="pct"/>
          <w:tcBorders>
            <w:left w:val="single" w:sz="4" w:space="0" w:color="auto"/>
            <w:right w:val="single" w:sz="4" w:space="0" w:color="auto"/>
          </w:tcBorders>
        </w:tcPr>
        <w:p w14:paraId="00125E08" w14:textId="77777777" w:rsidR="00F66446" w:rsidRDefault="00C86425">
          <w:pPr>
            <w:pStyle w:val="Footeraddress"/>
          </w:pPr>
          <w:r>
            <w:rPr>
              <w:b/>
            </w:rPr>
            <w:t>T</w:t>
          </w:r>
          <w:r>
            <w:t xml:space="preserve"> +61 2 6272 2000</w:t>
          </w:r>
        </w:p>
        <w:p w14:paraId="5BAE173F" w14:textId="77777777" w:rsidR="00F66446" w:rsidRDefault="00C86425">
          <w:pPr>
            <w:pStyle w:val="Footeraddress"/>
          </w:pPr>
          <w:r>
            <w:rPr>
              <w:b/>
            </w:rPr>
            <w:t>F</w:t>
          </w:r>
          <w:r>
            <w:t xml:space="preserve"> +61 2 6272 2104</w:t>
          </w:r>
        </w:p>
      </w:tc>
      <w:tc>
        <w:tcPr>
          <w:tcW w:w="1250" w:type="pct"/>
          <w:tcBorders>
            <w:left w:val="single" w:sz="4" w:space="0" w:color="auto"/>
            <w:right w:val="single" w:sz="4" w:space="0" w:color="auto"/>
          </w:tcBorders>
        </w:tcPr>
        <w:p w14:paraId="40BEAA86" w14:textId="2A9A1E99" w:rsidR="00F66446" w:rsidRDefault="000953C9">
          <w:pPr>
            <w:pStyle w:val="Footeraddress"/>
          </w:pPr>
          <w:r>
            <w:t>7 London Circuit</w:t>
          </w:r>
        </w:p>
        <w:p w14:paraId="6DA0A79A" w14:textId="77777777" w:rsidR="00F66446" w:rsidRDefault="00C86425">
          <w:pPr>
            <w:pStyle w:val="Footeraddress"/>
          </w:pPr>
          <w:r>
            <w:t>Canberra City ACT 2601</w:t>
          </w:r>
        </w:p>
      </w:tc>
      <w:tc>
        <w:tcPr>
          <w:tcW w:w="1250" w:type="pct"/>
          <w:tcBorders>
            <w:left w:val="single" w:sz="4" w:space="0" w:color="auto"/>
            <w:right w:val="single" w:sz="4" w:space="0" w:color="auto"/>
          </w:tcBorders>
        </w:tcPr>
        <w:p w14:paraId="474A9F61" w14:textId="77777777" w:rsidR="00F66446" w:rsidRDefault="00C86425">
          <w:pPr>
            <w:pStyle w:val="Footeraddress"/>
          </w:pPr>
          <w:r>
            <w:t>GPO Box 858</w:t>
          </w:r>
        </w:p>
        <w:p w14:paraId="14D11D63" w14:textId="77777777" w:rsidR="00F66446" w:rsidRDefault="00C86425">
          <w:pPr>
            <w:pStyle w:val="Footeraddress"/>
          </w:pPr>
          <w:r>
            <w:t>Canberra ACT 2601</w:t>
          </w:r>
        </w:p>
      </w:tc>
      <w:tc>
        <w:tcPr>
          <w:tcW w:w="1250" w:type="pct"/>
          <w:tcBorders>
            <w:left w:val="single" w:sz="4" w:space="0" w:color="auto"/>
          </w:tcBorders>
        </w:tcPr>
        <w:p w14:paraId="35612DF1" w14:textId="77777777" w:rsidR="00F66446" w:rsidRDefault="00A12C01">
          <w:pPr>
            <w:pStyle w:val="Footeraddress"/>
            <w:rPr>
              <w:b/>
            </w:rPr>
          </w:pPr>
          <w:r>
            <w:rPr>
              <w:b/>
            </w:rPr>
            <w:t>awe</w:t>
          </w:r>
          <w:r w:rsidR="00C86425">
            <w:rPr>
              <w:b/>
            </w:rPr>
            <w:t>.gov.au/</w:t>
          </w:r>
          <w:proofErr w:type="spellStart"/>
          <w:r w:rsidR="00C86425">
            <w:rPr>
              <w:b/>
            </w:rPr>
            <w:t>abares</w:t>
          </w:r>
          <w:proofErr w:type="spellEnd"/>
        </w:p>
        <w:p w14:paraId="6C2C3B42" w14:textId="77777777" w:rsidR="00F66446" w:rsidRDefault="00907052">
          <w:pPr>
            <w:pStyle w:val="Footeraddress"/>
          </w:pPr>
          <w:r w:rsidRPr="00907052">
            <w:t>ABN 34 190 894 983</w:t>
          </w:r>
        </w:p>
      </w:tc>
    </w:tr>
  </w:tbl>
  <w:p w14:paraId="7104DA38" w14:textId="77777777" w:rsidR="00F66446" w:rsidRDefault="00F6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DA7BF" w14:textId="77777777" w:rsidR="00FE0175" w:rsidRDefault="00FE0175">
      <w:r>
        <w:separator/>
      </w:r>
    </w:p>
  </w:footnote>
  <w:footnote w:type="continuationSeparator" w:id="0">
    <w:p w14:paraId="72E304A4" w14:textId="77777777" w:rsidR="00FE0175" w:rsidRDefault="00FE0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22E6" w14:textId="2181A404" w:rsidR="00F66446" w:rsidRDefault="00F66446">
    <w:pPr>
      <w:pStyle w:val="Header"/>
      <w:tabs>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5DA8" w14:textId="77777777" w:rsidR="00F66446" w:rsidRDefault="00C75C61">
    <w:pPr>
      <w:pStyle w:val="Header"/>
    </w:pPr>
    <w:r>
      <w:rPr>
        <w:noProof/>
        <w:lang w:eastAsia="en-AU"/>
      </w:rPr>
      <w:drawing>
        <wp:inline distT="0" distB="0" distL="0" distR="0" wp14:anchorId="770A4CDD" wp14:editId="6133AA9A">
          <wp:extent cx="2417064" cy="905256"/>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RES_Inline_BLACK-01.jpg"/>
                  <pic:cNvPicPr/>
                </pic:nvPicPr>
                <pic:blipFill>
                  <a:blip r:embed="rId1">
                    <a:extLst>
                      <a:ext uri="{28A0092B-C50C-407E-A947-70E740481C1C}">
                        <a14:useLocalDpi xmlns:a14="http://schemas.microsoft.com/office/drawing/2010/main" val="0"/>
                      </a:ext>
                    </a:extLst>
                  </a:blip>
                  <a:stretch>
                    <a:fillRect/>
                  </a:stretch>
                </pic:blipFill>
                <pic:spPr>
                  <a:xfrm>
                    <a:off x="0" y="0"/>
                    <a:ext cx="2417064" cy="905256"/>
                  </a:xfrm>
                  <a:prstGeom prst="rect">
                    <a:avLst/>
                  </a:prstGeom>
                </pic:spPr>
              </pic:pic>
            </a:graphicData>
          </a:graphic>
        </wp:inline>
      </w:drawing>
    </w:r>
  </w:p>
  <w:p w14:paraId="5B2FE84C" w14:textId="057E02CD" w:rsidR="00F66446" w:rsidRDefault="00F66446">
    <w:pPr>
      <w:pStyle w:val="Header"/>
    </w:pPr>
  </w:p>
  <w:p w14:paraId="57EF8586" w14:textId="77777777" w:rsidR="00C86425" w:rsidRDefault="00C86425">
    <w:pPr>
      <w:pStyle w:val="Header"/>
    </w:pPr>
  </w:p>
  <w:p w14:paraId="1AE23E53" w14:textId="06834F55" w:rsidR="00C86425" w:rsidRDefault="00C86425">
    <w:pPr>
      <w:pStyle w:val="Header"/>
    </w:pPr>
  </w:p>
  <w:p w14:paraId="7687290C" w14:textId="02249A8B" w:rsidR="000953C9" w:rsidRPr="00715CBF" w:rsidRDefault="000953C9" w:rsidP="00715CBF">
    <w:pPr>
      <w:pStyle w:val="Heading1"/>
    </w:pPr>
    <w:r w:rsidRPr="00715CBF">
      <w:t xml:space="preserve">ABARES Perspectives: Water Market Outlook </w:t>
    </w:r>
    <w:r w:rsidR="00D01FF9">
      <w:t>April 2022</w:t>
    </w:r>
    <w:r w:rsidRPr="00715CBF">
      <w:t xml:space="preserve">. Presentation by ABARES water analyst </w:t>
    </w:r>
    <w:r w:rsidR="00D01FF9">
      <w:t>Rhys Downham</w:t>
    </w:r>
    <w:r w:rsidRPr="00715CBF">
      <w:t xml:space="preserve"> </w:t>
    </w:r>
  </w:p>
  <w:p w14:paraId="747DA50E" w14:textId="77777777" w:rsidR="00F66446" w:rsidRDefault="00F664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hideSpellingErrors/>
  <w:hideGrammaticalErrors/>
  <w:activeWritingStyle w:appName="MSWord" w:lang="en-GB" w:vendorID="64" w:dllVersion="6" w:nlCheck="1" w:checkStyle="1"/>
  <w:activeWritingStyle w:appName="MSWord" w:lang="en-AU" w:vendorID="64" w:dllVersion="6" w:nlCheck="1" w:checkStyle="1"/>
  <w:activeWritingStyle w:appName="MSWord" w:lang="en-AU"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C9"/>
    <w:rsid w:val="000435B8"/>
    <w:rsid w:val="000953C9"/>
    <w:rsid w:val="002A0135"/>
    <w:rsid w:val="003266B8"/>
    <w:rsid w:val="003E00C9"/>
    <w:rsid w:val="0040348D"/>
    <w:rsid w:val="005056B6"/>
    <w:rsid w:val="00584A0D"/>
    <w:rsid w:val="005C0B2C"/>
    <w:rsid w:val="006059DD"/>
    <w:rsid w:val="00715CBF"/>
    <w:rsid w:val="007D042F"/>
    <w:rsid w:val="00907052"/>
    <w:rsid w:val="00A12C01"/>
    <w:rsid w:val="00AE34A2"/>
    <w:rsid w:val="00B572D4"/>
    <w:rsid w:val="00BF013C"/>
    <w:rsid w:val="00C00D6E"/>
    <w:rsid w:val="00C52FDF"/>
    <w:rsid w:val="00C75C61"/>
    <w:rsid w:val="00C86425"/>
    <w:rsid w:val="00D01FF9"/>
    <w:rsid w:val="00F66446"/>
    <w:rsid w:val="00FE01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7D1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3C9"/>
    <w:pPr>
      <w:spacing w:after="160" w:line="259" w:lineRule="auto"/>
    </w:pPr>
    <w:rPr>
      <w:rFonts w:eastAsiaTheme="minorHAnsi"/>
      <w:sz w:val="22"/>
      <w:szCs w:val="22"/>
    </w:rPr>
  </w:style>
  <w:style w:type="paragraph" w:styleId="Heading1">
    <w:name w:val="heading 1"/>
    <w:basedOn w:val="Header"/>
    <w:next w:val="Normal"/>
    <w:link w:val="Heading1Char"/>
    <w:uiPriority w:val="9"/>
    <w:qFormat/>
    <w:rsid w:val="00715CBF"/>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spacing w:after="0" w:line="240" w:lineRule="auto"/>
    </w:pPr>
    <w:rPr>
      <w:rFonts w:eastAsiaTheme="minorEastAsia"/>
      <w:sz w:val="19"/>
      <w:szCs w:val="24"/>
    </w:rPr>
  </w:style>
  <w:style w:type="character" w:customStyle="1" w:styleId="HeaderChar">
    <w:name w:val="Header Char"/>
    <w:basedOn w:val="DefaultParagraphFont"/>
    <w:link w:val="Header"/>
    <w:uiPriority w:val="99"/>
    <w:semiHidden/>
    <w:rPr>
      <w:sz w:val="19"/>
    </w:rPr>
  </w:style>
  <w:style w:type="paragraph" w:styleId="Footer">
    <w:name w:val="footer"/>
    <w:basedOn w:val="Normal"/>
    <w:link w:val="FooterChar"/>
    <w:uiPriority w:val="99"/>
    <w:semiHidden/>
    <w:pPr>
      <w:tabs>
        <w:tab w:val="center" w:pos="4320"/>
        <w:tab w:val="right" w:pos="8640"/>
      </w:tabs>
      <w:spacing w:after="0" w:line="240" w:lineRule="auto"/>
    </w:pPr>
    <w:rPr>
      <w:rFonts w:eastAsiaTheme="minorEastAsia"/>
      <w:sz w:val="19"/>
      <w:szCs w:val="24"/>
    </w:rPr>
  </w:style>
  <w:style w:type="character" w:customStyle="1" w:styleId="FooterChar">
    <w:name w:val="Footer Char"/>
    <w:basedOn w:val="DefaultParagraphFont"/>
    <w:link w:val="Footer"/>
    <w:uiPriority w:val="99"/>
    <w:semiHidden/>
    <w:rPr>
      <w:sz w:val="19"/>
    </w:rPr>
  </w:style>
  <w:style w:type="paragraph" w:styleId="BalloonText">
    <w:name w:val="Balloon Text"/>
    <w:basedOn w:val="Normal"/>
    <w:link w:val="BalloonTextChar"/>
    <w:uiPriority w:val="99"/>
    <w:semiHidden/>
    <w:unhideWhenUsed/>
    <w:pPr>
      <w:spacing w:after="0" w:line="240" w:lineRule="auto"/>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rFonts w:asciiTheme="majorHAnsi" w:hAnsiTheme="majorHAnsi"/>
      <w:sz w:val="16"/>
    </w:rPr>
  </w:style>
  <w:style w:type="character" w:customStyle="1" w:styleId="Heading1Char">
    <w:name w:val="Heading 1 Char"/>
    <w:basedOn w:val="DefaultParagraphFont"/>
    <w:link w:val="Heading1"/>
    <w:uiPriority w:val="9"/>
    <w:rsid w:val="00715CBF"/>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SharedWithUsers xmlns="425a5c30-4c2f-474f-aa2f-443e46b3d189">
      <UserInfo>
        <DisplayName/>
        <AccountId xsi:nil="true"/>
        <AccountType/>
      </UserInfo>
    </SharedWithUsers>
  </documentManagement>
</p:properties>
</file>

<file path=customXml/itemProps1.xml><?xml version="1.0" encoding="utf-8"?>
<ds:datastoreItem xmlns:ds="http://schemas.openxmlformats.org/officeDocument/2006/customXml" ds:itemID="{6CD372FC-4B2A-4C36-AFBF-CCA6F39E6D39}">
  <ds:schemaRefs>
    <ds:schemaRef ds:uri="http://schemas.openxmlformats.org/officeDocument/2006/bibliography"/>
  </ds:schemaRefs>
</ds:datastoreItem>
</file>

<file path=customXml/itemProps2.xml><?xml version="1.0" encoding="utf-8"?>
<ds:datastoreItem xmlns:ds="http://schemas.openxmlformats.org/officeDocument/2006/customXml" ds:itemID="{71109D7E-8647-488F-9AFC-5C1870706721}"/>
</file>

<file path=customXml/itemProps3.xml><?xml version="1.0" encoding="utf-8"?>
<ds:datastoreItem xmlns:ds="http://schemas.openxmlformats.org/officeDocument/2006/customXml" ds:itemID="{00932B65-AEF5-46F9-8CF9-BB224C5F2302}"/>
</file>

<file path=customXml/itemProps4.xml><?xml version="1.0" encoding="utf-8"?>
<ds:datastoreItem xmlns:ds="http://schemas.openxmlformats.org/officeDocument/2006/customXml" ds:itemID="{C58702DC-13F3-4571-9E51-4CBA48D2D702}"/>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4561</Characters>
  <DocSecurity>4</DocSecurity>
  <Lines>38</Lines>
  <Paragraphs>10</Paragraphs>
  <ScaleCrop>false</ScaleCrop>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ABARES Perspectives: Water Market Outlook April 2022</dc:title>
  <dc:creator>Department of Agriculture, Water and the Environment</dc:creator>
  <cp:lastModifiedBy/>
  <dcterms:created xsi:type="dcterms:W3CDTF">2022-04-19T23:53:00Z</dcterms:created>
  <dcterms:modified xsi:type="dcterms:W3CDTF">2022-04-19T23:53:00Z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