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CE2E" w14:textId="5F589576" w:rsidR="00E362EF" w:rsidRDefault="00F908F4">
      <w:pPr>
        <w:pStyle w:val="Heading1"/>
      </w:pPr>
      <w:r>
        <w:t xml:space="preserve">Traveller journey </w:t>
      </w:r>
      <w:r w:rsidR="00591C84">
        <w:t xml:space="preserve">biosecurity </w:t>
      </w:r>
      <w:r>
        <w:t>touchpoints</w:t>
      </w:r>
    </w:p>
    <w:p w14:paraId="37B66386" w14:textId="01D6E69B" w:rsidR="00F908F4" w:rsidRDefault="00F908F4" w:rsidP="000E0BE8">
      <w:pPr>
        <w:pStyle w:val="Subtitle"/>
      </w:pPr>
      <w:r>
        <w:t>Australian travellers to and from Bali</w:t>
      </w:r>
    </w:p>
    <w:p w14:paraId="192F2E17" w14:textId="183D8DA8" w:rsidR="00F908F4" w:rsidRPr="00BC42E9" w:rsidRDefault="00F908F4" w:rsidP="00BC42E9">
      <w:pPr>
        <w:pStyle w:val="Heading2"/>
        <w:numPr>
          <w:ilvl w:val="0"/>
          <w:numId w:val="0"/>
        </w:numPr>
        <w:ind w:left="720" w:hanging="720"/>
      </w:pPr>
      <w:r w:rsidRPr="00BC42E9">
        <w:t>Pre-departure</w:t>
      </w:r>
    </w:p>
    <w:p w14:paraId="00413250" w14:textId="22FB3467" w:rsidR="00F908F4" w:rsidRPr="00BC42E9" w:rsidRDefault="00F908F4" w:rsidP="00BC42E9">
      <w:pPr>
        <w:pStyle w:val="ListBullet"/>
      </w:pPr>
      <w:r w:rsidRPr="00BC42E9">
        <w:t>Agriculture.gov.au and Biosecurity.gov.au</w:t>
      </w:r>
    </w:p>
    <w:p w14:paraId="5D0E093B" w14:textId="588DAAF0" w:rsidR="00F908F4" w:rsidRPr="00BC42E9" w:rsidRDefault="00F908F4" w:rsidP="00BC42E9">
      <w:pPr>
        <w:pStyle w:val="ListBullet"/>
      </w:pPr>
      <w:r w:rsidRPr="00BC42E9">
        <w:t>Smartraveller</w:t>
      </w:r>
    </w:p>
    <w:p w14:paraId="4DE3AD07" w14:textId="1C97D8EA" w:rsidR="00F908F4" w:rsidRPr="00BC42E9" w:rsidRDefault="00F908F4" w:rsidP="00BC42E9">
      <w:pPr>
        <w:pStyle w:val="ListBullet"/>
      </w:pPr>
      <w:r w:rsidRPr="00BC42E9">
        <w:t>Social media (Australian Biosecurity and DAFF) Facebook and Instagram posts and sponsored posts</w:t>
      </w:r>
      <w:r w:rsidR="00BC42E9">
        <w:t xml:space="preserve"> </w:t>
      </w:r>
      <w:r w:rsidR="00747A76">
        <w:rPr>
          <w:lang w:eastAsia="en-AU"/>
        </w:rPr>
        <w:t>(may vary over time during campaign periods)</w:t>
      </w:r>
    </w:p>
    <w:p w14:paraId="4D903AAF" w14:textId="49A3899D" w:rsidR="00F908F4" w:rsidRPr="00BC42E9" w:rsidRDefault="00F908F4" w:rsidP="00BC42E9">
      <w:pPr>
        <w:pStyle w:val="ListBullet"/>
      </w:pPr>
      <w:r w:rsidRPr="00BC42E9">
        <w:t xml:space="preserve">Promotion via travel agents </w:t>
      </w:r>
    </w:p>
    <w:p w14:paraId="6F4A2887" w14:textId="2D504FF9" w:rsidR="00F908F4" w:rsidRDefault="00F908F4" w:rsidP="00F908F4">
      <w:pPr>
        <w:pStyle w:val="ListBullet"/>
      </w:pPr>
      <w:r w:rsidRPr="00BC42E9">
        <w:t>Digital advertising (including online and out-of-home)</w:t>
      </w:r>
      <w:r w:rsidR="00BC42E9">
        <w:t xml:space="preserve"> (</w:t>
      </w:r>
      <w:r w:rsidR="00747A76">
        <w:rPr>
          <w:lang w:eastAsia="en-AU"/>
        </w:rPr>
        <w:t>may vary over time during campaign periods)</w:t>
      </w:r>
    </w:p>
    <w:p w14:paraId="2CE8D364" w14:textId="31A42A5E" w:rsidR="00F908F4" w:rsidRPr="00BC42E9" w:rsidRDefault="00F908F4" w:rsidP="00BC42E9">
      <w:pPr>
        <w:pStyle w:val="Heading2"/>
        <w:numPr>
          <w:ilvl w:val="0"/>
          <w:numId w:val="0"/>
        </w:numPr>
        <w:ind w:left="720" w:hanging="720"/>
      </w:pPr>
      <w:r w:rsidRPr="00BC42E9">
        <w:t xml:space="preserve">Departure from Australia </w:t>
      </w:r>
    </w:p>
    <w:p w14:paraId="01FA1751" w14:textId="58D13ACD" w:rsidR="00F908F4" w:rsidRPr="00BC42E9" w:rsidRDefault="00F908F4" w:rsidP="00BC42E9">
      <w:pPr>
        <w:pStyle w:val="ListBullet"/>
      </w:pPr>
      <w:r w:rsidRPr="00BC42E9">
        <w:t>Departures flyers at check-in</w:t>
      </w:r>
    </w:p>
    <w:p w14:paraId="0709727C" w14:textId="5EFAEC7D" w:rsidR="00F908F4" w:rsidRDefault="00F908F4" w:rsidP="00F908F4">
      <w:pPr>
        <w:pStyle w:val="ListBullet"/>
      </w:pPr>
      <w:r w:rsidRPr="00BC42E9">
        <w:t xml:space="preserve">Digital signage and pull up </w:t>
      </w:r>
      <w:proofErr w:type="gramStart"/>
      <w:r w:rsidRPr="00BC42E9">
        <w:t>banners</w:t>
      </w:r>
      <w:proofErr w:type="gramEnd"/>
    </w:p>
    <w:p w14:paraId="5E189D99" w14:textId="353041A0" w:rsidR="00F908F4" w:rsidRPr="00BC42E9" w:rsidRDefault="00F908F4" w:rsidP="00BC42E9">
      <w:pPr>
        <w:pStyle w:val="Heading2"/>
        <w:numPr>
          <w:ilvl w:val="0"/>
          <w:numId w:val="0"/>
        </w:numPr>
        <w:ind w:left="720" w:hanging="720"/>
      </w:pPr>
      <w:r w:rsidRPr="00BC42E9">
        <w:t>Offshore</w:t>
      </w:r>
    </w:p>
    <w:p w14:paraId="175266C7" w14:textId="174823CE" w:rsidR="00F908F4" w:rsidRPr="00BC42E9" w:rsidRDefault="00F908F4" w:rsidP="00BC42E9">
      <w:pPr>
        <w:pStyle w:val="ListBullet"/>
      </w:pPr>
      <w:r w:rsidRPr="00BC42E9">
        <w:t>Facebook and Instagram posts and sponsored posts</w:t>
      </w:r>
      <w:r w:rsidR="00BC42E9">
        <w:t xml:space="preserve"> (</w:t>
      </w:r>
      <w:r w:rsidR="00747A76">
        <w:rPr>
          <w:lang w:eastAsia="en-AU"/>
        </w:rPr>
        <w:t>may vary over time during campaign periods)</w:t>
      </w:r>
    </w:p>
    <w:p w14:paraId="7104C20E" w14:textId="6D1BA638" w:rsidR="00F908F4" w:rsidRPr="00BC42E9" w:rsidRDefault="00F908F4" w:rsidP="00BC42E9">
      <w:pPr>
        <w:pStyle w:val="ListBullet"/>
      </w:pPr>
      <w:r w:rsidRPr="00BC42E9">
        <w:t>Information shared with resorts via Bali Hotels Association</w:t>
      </w:r>
    </w:p>
    <w:p w14:paraId="58C49B78" w14:textId="28050AA9" w:rsidR="00F908F4" w:rsidRPr="00BC42E9" w:rsidRDefault="00F908F4" w:rsidP="00BC42E9">
      <w:pPr>
        <w:pStyle w:val="ListBullet"/>
      </w:pPr>
      <w:r w:rsidRPr="00BC42E9">
        <w:t>Offshore flyers at check-in</w:t>
      </w:r>
    </w:p>
    <w:p w14:paraId="6476BBAD" w14:textId="60A3CB01" w:rsidR="00F908F4" w:rsidRPr="00BC42E9" w:rsidRDefault="00F908F4" w:rsidP="00BC42E9">
      <w:pPr>
        <w:pStyle w:val="ListBullet"/>
      </w:pPr>
      <w:r w:rsidRPr="00BC42E9">
        <w:t>Digital advertising (including online and out-of-</w:t>
      </w:r>
      <w:r w:rsidR="001D4CA7" w:rsidRPr="00BC42E9">
        <w:t>home)</w:t>
      </w:r>
      <w:r w:rsidR="00BC42E9">
        <w:t xml:space="preserve"> (</w:t>
      </w:r>
      <w:r w:rsidR="00747A76">
        <w:rPr>
          <w:lang w:eastAsia="en-AU"/>
        </w:rPr>
        <w:t>may vary over time during campaign periods)</w:t>
      </w:r>
      <w:r w:rsidRPr="00BC42E9">
        <w:t xml:space="preserve"> Bali and Jakarta </w:t>
      </w:r>
      <w:proofErr w:type="gramStart"/>
      <w:r w:rsidRPr="00BC42E9">
        <w:t>airports</w:t>
      </w:r>
      <w:proofErr w:type="gramEnd"/>
    </w:p>
    <w:p w14:paraId="15044BE4" w14:textId="1BF4A95C" w:rsidR="00F908F4" w:rsidRPr="000E0BE8" w:rsidRDefault="00F908F4" w:rsidP="00F908F4">
      <w:pPr>
        <w:pStyle w:val="ListBullet"/>
        <w:rPr>
          <w:rStyle w:val="Strong"/>
          <w:b w:val="0"/>
          <w:bCs w:val="0"/>
        </w:rPr>
      </w:pPr>
      <w:r w:rsidRPr="00BC42E9">
        <w:t>Digital signage (Jakarta)</w:t>
      </w:r>
      <w:r w:rsidR="00BC42E9">
        <w:t xml:space="preserve"> (</w:t>
      </w:r>
      <w:r w:rsidR="00747A76">
        <w:rPr>
          <w:lang w:eastAsia="en-AU"/>
        </w:rPr>
        <w:t>may vary over time during campaign periods</w:t>
      </w:r>
      <w:r w:rsidR="00BC42E9">
        <w:t>)</w:t>
      </w:r>
      <w:r w:rsidRPr="00BC42E9">
        <w:t xml:space="preserve"> and pull up banners (Bali) international </w:t>
      </w:r>
      <w:proofErr w:type="gramStart"/>
      <w:r w:rsidRPr="00BC42E9">
        <w:t>airports</w:t>
      </w:r>
      <w:proofErr w:type="gramEnd"/>
    </w:p>
    <w:p w14:paraId="0FA33897" w14:textId="2CCB38F1" w:rsidR="00F908F4" w:rsidRPr="00BC42E9" w:rsidRDefault="00F908F4" w:rsidP="00BC42E9">
      <w:pPr>
        <w:pStyle w:val="Heading2"/>
        <w:numPr>
          <w:ilvl w:val="0"/>
          <w:numId w:val="0"/>
        </w:numPr>
        <w:ind w:left="720" w:hanging="720"/>
      </w:pPr>
      <w:r w:rsidRPr="00BC42E9">
        <w:t>On-board</w:t>
      </w:r>
    </w:p>
    <w:p w14:paraId="0B543EFC" w14:textId="662C1377" w:rsidR="00F908F4" w:rsidRPr="00BC42E9" w:rsidRDefault="00F908F4" w:rsidP="00BC42E9">
      <w:pPr>
        <w:pStyle w:val="ListBullet"/>
      </w:pPr>
      <w:r w:rsidRPr="00BC42E9">
        <w:t>Incoming passenger message</w:t>
      </w:r>
    </w:p>
    <w:p w14:paraId="2FACDAA5" w14:textId="6D3A0CF0" w:rsidR="00F908F4" w:rsidRPr="000E0BE8" w:rsidRDefault="00F908F4" w:rsidP="00F908F4">
      <w:pPr>
        <w:pStyle w:val="ListBullet"/>
        <w:rPr>
          <w:rStyle w:val="Strong"/>
          <w:b w:val="0"/>
          <w:bCs w:val="0"/>
        </w:rPr>
      </w:pPr>
      <w:r w:rsidRPr="00BC42E9">
        <w:t>Incoming Passenger Card</w:t>
      </w:r>
    </w:p>
    <w:p w14:paraId="360AB02F" w14:textId="230B76B2" w:rsidR="00F908F4" w:rsidRPr="00BC42E9" w:rsidRDefault="00F908F4" w:rsidP="00BC42E9">
      <w:pPr>
        <w:pStyle w:val="Heading2"/>
        <w:numPr>
          <w:ilvl w:val="0"/>
          <w:numId w:val="0"/>
        </w:numPr>
        <w:ind w:left="720" w:hanging="720"/>
      </w:pPr>
      <w:r w:rsidRPr="00BC42E9">
        <w:t>Arrival in Australia</w:t>
      </w:r>
    </w:p>
    <w:p w14:paraId="09D54111" w14:textId="3757FB49" w:rsidR="00F908F4" w:rsidRPr="00BC42E9" w:rsidRDefault="00F908F4" w:rsidP="00BC42E9">
      <w:pPr>
        <w:pStyle w:val="ListBullet"/>
      </w:pPr>
      <w:r w:rsidRPr="00BC42E9">
        <w:t>Biosecurity officer delivers FMD message (before disembarkation)</w:t>
      </w:r>
    </w:p>
    <w:p w14:paraId="454FFD8E" w14:textId="1D4AAE1F" w:rsidR="00F908F4" w:rsidRPr="00BC42E9" w:rsidRDefault="00F908F4" w:rsidP="00BC42E9">
      <w:pPr>
        <w:pStyle w:val="ListBullet"/>
      </w:pPr>
      <w:r w:rsidRPr="00BC42E9">
        <w:t>Foot mats</w:t>
      </w:r>
    </w:p>
    <w:p w14:paraId="550692C9" w14:textId="1E884B32" w:rsidR="00F908F4" w:rsidRPr="00BC42E9" w:rsidRDefault="00F908F4" w:rsidP="00BC42E9">
      <w:pPr>
        <w:pStyle w:val="ListBullet"/>
      </w:pPr>
      <w:r w:rsidRPr="00BC42E9">
        <w:t>Arrivals flyer</w:t>
      </w:r>
    </w:p>
    <w:p w14:paraId="6DB987DD" w14:textId="73AEC441" w:rsidR="00F908F4" w:rsidRPr="00BC42E9" w:rsidRDefault="00F908F4" w:rsidP="00BC42E9">
      <w:pPr>
        <w:pStyle w:val="ListBullet"/>
      </w:pPr>
      <w:r w:rsidRPr="00BC42E9">
        <w:lastRenderedPageBreak/>
        <w:t>Digital advertising (including online and out-of-home)</w:t>
      </w:r>
      <w:r w:rsidR="00BC42E9">
        <w:t xml:space="preserve"> </w:t>
      </w:r>
      <w:r w:rsidR="00747A76">
        <w:rPr>
          <w:lang w:eastAsia="en-AU"/>
        </w:rPr>
        <w:t>(may vary over time during campaign periods)</w:t>
      </w:r>
    </w:p>
    <w:p w14:paraId="7F60E498" w14:textId="06102839" w:rsidR="00F908F4" w:rsidRPr="00BC42E9" w:rsidRDefault="00F908F4" w:rsidP="00BC42E9">
      <w:pPr>
        <w:pStyle w:val="ListBullet"/>
      </w:pPr>
      <w:r w:rsidRPr="00BC42E9">
        <w:t xml:space="preserve">Digital signage, tensa toppers and pull up </w:t>
      </w:r>
      <w:proofErr w:type="gramStart"/>
      <w:r w:rsidRPr="00BC42E9">
        <w:t>banners</w:t>
      </w:r>
      <w:proofErr w:type="gramEnd"/>
    </w:p>
    <w:p w14:paraId="34E3D578" w14:textId="6C6720EF" w:rsidR="00F908F4" w:rsidRPr="00BC42E9" w:rsidRDefault="00F908F4" w:rsidP="00BC42E9">
      <w:pPr>
        <w:pStyle w:val="ListBullet"/>
      </w:pPr>
      <w:r w:rsidRPr="00BC42E9">
        <w:t xml:space="preserve">Biosecurity officer pre-primary </w:t>
      </w:r>
      <w:r w:rsidR="001D4CA7" w:rsidRPr="00BC42E9">
        <w:t>questioning</w:t>
      </w:r>
    </w:p>
    <w:p w14:paraId="4B676869" w14:textId="7B715000" w:rsidR="001D4CA7" w:rsidRPr="00BC42E9" w:rsidRDefault="001D4CA7" w:rsidP="00BC42E9">
      <w:pPr>
        <w:pStyle w:val="ListBullet"/>
      </w:pPr>
      <w:r w:rsidRPr="00BC42E9">
        <w:t>Smartgate</w:t>
      </w:r>
    </w:p>
    <w:p w14:paraId="4516F707" w14:textId="70438400" w:rsidR="001D4CA7" w:rsidRPr="00BC42E9" w:rsidRDefault="001D4CA7" w:rsidP="00BC42E9">
      <w:pPr>
        <w:pStyle w:val="ListBullet"/>
      </w:pPr>
      <w:r w:rsidRPr="00BC42E9">
        <w:t>Roving biosecurity officers</w:t>
      </w:r>
    </w:p>
    <w:p w14:paraId="60A22043" w14:textId="755466FF" w:rsidR="001D4CA7" w:rsidRPr="000E0BE8" w:rsidRDefault="001D4CA7" w:rsidP="00F908F4">
      <w:pPr>
        <w:pStyle w:val="ListBullet"/>
        <w:rPr>
          <w:rStyle w:val="Strong"/>
          <w:b w:val="0"/>
          <w:bCs w:val="0"/>
        </w:rPr>
      </w:pPr>
      <w:r w:rsidRPr="00BC42E9">
        <w:t>Biosecurity screening</w:t>
      </w:r>
    </w:p>
    <w:p w14:paraId="4D1B7CDC" w14:textId="5096DC8F" w:rsidR="001D4CA7" w:rsidRPr="00747A76" w:rsidRDefault="001D4CA7" w:rsidP="00747A76">
      <w:r w:rsidRPr="00747A76">
        <w:t>This document illustrates opportunities for travellers to see and hear biosecurity information and may vary depending on the traveller’s actions.</w:t>
      </w:r>
    </w:p>
    <w:p w14:paraId="431AC7A0" w14:textId="3DB58354" w:rsidR="001D4CA7" w:rsidRPr="004B2B22" w:rsidRDefault="00E8236B" w:rsidP="001D4CA7">
      <w:pPr>
        <w:rPr>
          <w:rStyle w:val="Hyperlink"/>
        </w:rPr>
      </w:pPr>
      <w:hyperlink r:id="rId11" w:history="1">
        <w:r w:rsidR="001D4CA7" w:rsidRPr="004B2B22">
          <w:rPr>
            <w:rStyle w:val="Hyperlink"/>
          </w:rPr>
          <w:t>agriculture.gov.au/</w:t>
        </w:r>
        <w:proofErr w:type="spellStart"/>
        <w:r w:rsidR="001D4CA7" w:rsidRPr="004B2B22">
          <w:rPr>
            <w:rStyle w:val="Hyperlink"/>
          </w:rPr>
          <w:t>fmd</w:t>
        </w:r>
        <w:proofErr w:type="spellEnd"/>
        <w:r w:rsidR="001D4CA7" w:rsidRPr="004B2B22">
          <w:rPr>
            <w:rStyle w:val="Hyperlink"/>
          </w:rPr>
          <w:t>-traveller-advice</w:t>
        </w:r>
      </w:hyperlink>
    </w:p>
    <w:p w14:paraId="549404F6" w14:textId="77777777" w:rsidR="00F908F4" w:rsidRDefault="00F908F4" w:rsidP="00F908F4"/>
    <w:p w14:paraId="732064C4" w14:textId="77777777" w:rsidR="00F908F4" w:rsidRDefault="00F908F4" w:rsidP="00F908F4"/>
    <w:p w14:paraId="7CD68553" w14:textId="77777777" w:rsidR="00F908F4" w:rsidRPr="00F908F4" w:rsidRDefault="00F908F4" w:rsidP="00F908F4"/>
    <w:sectPr w:rsidR="00F908F4" w:rsidRPr="00F908F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5CF" w14:textId="77777777" w:rsidR="007124B4" w:rsidRDefault="007124B4">
      <w:r>
        <w:separator/>
      </w:r>
    </w:p>
    <w:p w14:paraId="4FFDBBA7" w14:textId="77777777" w:rsidR="007124B4" w:rsidRDefault="007124B4"/>
    <w:p w14:paraId="5414CD42" w14:textId="77777777" w:rsidR="007124B4" w:rsidRDefault="007124B4"/>
  </w:endnote>
  <w:endnote w:type="continuationSeparator" w:id="0">
    <w:p w14:paraId="271C0B3A" w14:textId="77777777" w:rsidR="007124B4" w:rsidRDefault="007124B4">
      <w:r>
        <w:continuationSeparator/>
      </w:r>
    </w:p>
    <w:p w14:paraId="79E7730E" w14:textId="77777777" w:rsidR="007124B4" w:rsidRDefault="007124B4"/>
    <w:p w14:paraId="3F35C8C3" w14:textId="77777777" w:rsidR="007124B4" w:rsidRDefault="007124B4"/>
  </w:endnote>
  <w:endnote w:type="continuationNotice" w:id="1">
    <w:p w14:paraId="4493472E" w14:textId="77777777" w:rsidR="007124B4" w:rsidRDefault="007124B4">
      <w:pPr>
        <w:pStyle w:val="Footer"/>
      </w:pPr>
    </w:p>
    <w:p w14:paraId="611E7744" w14:textId="77777777" w:rsidR="007124B4" w:rsidRDefault="007124B4"/>
    <w:p w14:paraId="68D25773" w14:textId="77777777" w:rsidR="007124B4" w:rsidRDefault="00712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A3FA" w14:textId="77777777" w:rsidR="002A193C" w:rsidRDefault="007B1F92">
    <w:pPr>
      <w:pStyle w:val="Footer"/>
    </w:pPr>
    <w:r w:rsidRPr="007B1F92">
      <w:t>Department of Agriculture, Fisheries and Forestry</w:t>
    </w:r>
  </w:p>
  <w:p w14:paraId="2D328351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4344" w14:textId="77777777" w:rsidR="002A193C" w:rsidRDefault="002A193C">
    <w:pPr>
      <w:pStyle w:val="Footer"/>
    </w:pPr>
    <w:r>
      <w:t xml:space="preserve">Department of Agriculture, </w:t>
    </w:r>
    <w:r w:rsidR="00A9002C">
      <w:t>Fisheries and Forestry</w:t>
    </w:r>
  </w:p>
  <w:p w14:paraId="07767FE4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C1F9" w14:textId="77777777" w:rsidR="007124B4" w:rsidRDefault="007124B4">
      <w:r>
        <w:separator/>
      </w:r>
    </w:p>
    <w:p w14:paraId="1DDD3DA2" w14:textId="77777777" w:rsidR="007124B4" w:rsidRDefault="007124B4"/>
    <w:p w14:paraId="4B9230F7" w14:textId="77777777" w:rsidR="007124B4" w:rsidRDefault="007124B4"/>
  </w:footnote>
  <w:footnote w:type="continuationSeparator" w:id="0">
    <w:p w14:paraId="756295ED" w14:textId="77777777" w:rsidR="007124B4" w:rsidRDefault="007124B4">
      <w:r>
        <w:continuationSeparator/>
      </w:r>
    </w:p>
    <w:p w14:paraId="621E9124" w14:textId="77777777" w:rsidR="007124B4" w:rsidRDefault="007124B4"/>
    <w:p w14:paraId="49B30F95" w14:textId="77777777" w:rsidR="007124B4" w:rsidRDefault="007124B4"/>
  </w:footnote>
  <w:footnote w:type="continuationNotice" w:id="1">
    <w:p w14:paraId="71BE2B57" w14:textId="77777777" w:rsidR="007124B4" w:rsidRDefault="007124B4">
      <w:pPr>
        <w:pStyle w:val="Footer"/>
      </w:pPr>
    </w:p>
    <w:p w14:paraId="27918FC9" w14:textId="77777777" w:rsidR="007124B4" w:rsidRDefault="007124B4"/>
    <w:p w14:paraId="1645CA25" w14:textId="77777777" w:rsidR="007124B4" w:rsidRDefault="00712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7D17" w14:textId="165AB145" w:rsidR="002A193C" w:rsidRDefault="00F908F4">
    <w:pPr>
      <w:pStyle w:val="Header"/>
    </w:pPr>
    <w:r>
      <w:t xml:space="preserve">Traveller journey </w:t>
    </w:r>
    <w:r w:rsidR="00591C84">
      <w:t xml:space="preserve">biosecurity </w:t>
    </w:r>
    <w:r>
      <w:t>touchpoints – Australian travellers to and from Bali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D7E9" w14:textId="2E90D9AA" w:rsidR="002A193C" w:rsidRDefault="00D36729">
    <w:pPr>
      <w:pStyle w:val="Header"/>
      <w:jc w:val="left"/>
    </w:pPr>
    <w:r>
      <w:rPr>
        <w:noProof/>
        <w:lang w:eastAsia="en-AU"/>
      </w:rPr>
      <w:drawing>
        <wp:inline distT="0" distB="0" distL="0" distR="0" wp14:anchorId="56D82FCC" wp14:editId="3EAE7D60">
          <wp:extent cx="2542599" cy="738943"/>
          <wp:effectExtent l="0" t="0" r="0" b="4445"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58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A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2FA9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FCE5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0CA0B57E"/>
    <w:lvl w:ilvl="0" w:tplc="38822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B95457A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ED2C481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A0241B28"/>
    <w:numStyleLink w:val="List1"/>
  </w:abstractNum>
  <w:num w:numId="1" w16cid:durableId="1171791816">
    <w:abstractNumId w:val="7"/>
  </w:num>
  <w:num w:numId="2" w16cid:durableId="1667321647">
    <w:abstractNumId w:val="17"/>
  </w:num>
  <w:num w:numId="3" w16cid:durableId="59796415">
    <w:abstractNumId w:val="18"/>
  </w:num>
  <w:num w:numId="4" w16cid:durableId="1913806772">
    <w:abstractNumId w:val="10"/>
  </w:num>
  <w:num w:numId="5" w16cid:durableId="2037268471">
    <w:abstractNumId w:val="23"/>
  </w:num>
  <w:num w:numId="6" w16cid:durableId="1355770275">
    <w:abstractNumId w:val="24"/>
  </w:num>
  <w:num w:numId="7" w16cid:durableId="2033527157">
    <w:abstractNumId w:val="8"/>
  </w:num>
  <w:num w:numId="8" w16cid:durableId="1882862685">
    <w:abstractNumId w:val="13"/>
  </w:num>
  <w:num w:numId="9" w16cid:durableId="179634464">
    <w:abstractNumId w:val="15"/>
  </w:num>
  <w:num w:numId="10" w16cid:durableId="19015584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057158">
    <w:abstractNumId w:val="6"/>
  </w:num>
  <w:num w:numId="12" w16cid:durableId="1162504366">
    <w:abstractNumId w:val="4"/>
  </w:num>
  <w:num w:numId="13" w16cid:durableId="306473293">
    <w:abstractNumId w:val="3"/>
  </w:num>
  <w:num w:numId="14" w16cid:durableId="1231303610">
    <w:abstractNumId w:val="2"/>
  </w:num>
  <w:num w:numId="15" w16cid:durableId="1486430518">
    <w:abstractNumId w:val="11"/>
  </w:num>
  <w:num w:numId="16" w16cid:durableId="52967123">
    <w:abstractNumId w:val="21"/>
  </w:num>
  <w:num w:numId="17" w16cid:durableId="64343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1328216">
    <w:abstractNumId w:val="26"/>
  </w:num>
  <w:num w:numId="19" w16cid:durableId="1707943211">
    <w:abstractNumId w:val="1"/>
  </w:num>
  <w:num w:numId="20" w16cid:durableId="570045979">
    <w:abstractNumId w:val="0"/>
  </w:num>
  <w:num w:numId="21" w16cid:durableId="1679841556">
    <w:abstractNumId w:val="14"/>
  </w:num>
  <w:num w:numId="22" w16cid:durableId="959340878">
    <w:abstractNumId w:val="19"/>
  </w:num>
  <w:num w:numId="23" w16cid:durableId="17239849">
    <w:abstractNumId w:val="27"/>
  </w:num>
  <w:num w:numId="24" w16cid:durableId="1609504699">
    <w:abstractNumId w:val="12"/>
  </w:num>
  <w:num w:numId="25" w16cid:durableId="121310739">
    <w:abstractNumId w:val="16"/>
  </w:num>
  <w:num w:numId="26" w16cid:durableId="36050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910102">
    <w:abstractNumId w:val="28"/>
  </w:num>
  <w:num w:numId="28" w16cid:durableId="286162399">
    <w:abstractNumId w:val="20"/>
  </w:num>
  <w:num w:numId="29" w16cid:durableId="1314989398">
    <w:abstractNumId w:val="22"/>
  </w:num>
  <w:num w:numId="30" w16cid:durableId="66652615">
    <w:abstractNumId w:val="9"/>
  </w:num>
  <w:num w:numId="31" w16cid:durableId="1990859383">
    <w:abstractNumId w:val="5"/>
  </w:num>
  <w:num w:numId="32" w16cid:durableId="951480071">
    <w:abstractNumId w:val="18"/>
  </w:num>
  <w:num w:numId="33" w16cid:durableId="2131590192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4" w16cid:durableId="21588965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5" w16cid:durableId="188571948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6" w16cid:durableId="844629787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7" w16cid:durableId="935332696">
    <w:abstractNumId w:val="23"/>
  </w:num>
  <w:num w:numId="38" w16cid:durableId="1594363265">
    <w:abstractNumId w:val="23"/>
  </w:num>
  <w:num w:numId="39" w16cid:durableId="934168278">
    <w:abstractNumId w:val="23"/>
  </w:num>
  <w:num w:numId="40" w16cid:durableId="1347173504">
    <w:abstractNumId w:val="24"/>
  </w:num>
  <w:num w:numId="41" w16cid:durableId="823355897">
    <w:abstractNumId w:val="24"/>
  </w:num>
  <w:num w:numId="42" w16cid:durableId="1100218817">
    <w:abstractNumId w:val="24"/>
  </w:num>
  <w:num w:numId="43" w16cid:durableId="1698308952">
    <w:abstractNumId w:val="23"/>
  </w:num>
  <w:num w:numId="44" w16cid:durableId="547035718">
    <w:abstractNumId w:val="24"/>
  </w:num>
  <w:num w:numId="45" w16cid:durableId="921455078">
    <w:abstractNumId w:val="10"/>
  </w:num>
  <w:num w:numId="46" w16cid:durableId="1145393031">
    <w:abstractNumId w:val="9"/>
  </w:num>
  <w:num w:numId="47" w16cid:durableId="776364836">
    <w:abstractNumId w:val="20"/>
  </w:num>
  <w:num w:numId="48" w16cid:durableId="919363984">
    <w:abstractNumId w:val="21"/>
  </w:num>
  <w:num w:numId="49" w16cid:durableId="64567168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F4"/>
    <w:rsid w:val="000D6DD8"/>
    <w:rsid w:val="000E0BE8"/>
    <w:rsid w:val="00112B86"/>
    <w:rsid w:val="001567E9"/>
    <w:rsid w:val="00183612"/>
    <w:rsid w:val="001A1F79"/>
    <w:rsid w:val="001B1009"/>
    <w:rsid w:val="001C3583"/>
    <w:rsid w:val="001D4CA7"/>
    <w:rsid w:val="001D77BC"/>
    <w:rsid w:val="001E1C4C"/>
    <w:rsid w:val="00201500"/>
    <w:rsid w:val="00262394"/>
    <w:rsid w:val="002A193C"/>
    <w:rsid w:val="00305911"/>
    <w:rsid w:val="00340820"/>
    <w:rsid w:val="00357095"/>
    <w:rsid w:val="00362353"/>
    <w:rsid w:val="00381D23"/>
    <w:rsid w:val="00396339"/>
    <w:rsid w:val="003A4B4A"/>
    <w:rsid w:val="003D3CE1"/>
    <w:rsid w:val="003D44DC"/>
    <w:rsid w:val="00402404"/>
    <w:rsid w:val="00406AC2"/>
    <w:rsid w:val="00460750"/>
    <w:rsid w:val="004705F2"/>
    <w:rsid w:val="00473964"/>
    <w:rsid w:val="004837B1"/>
    <w:rsid w:val="0048569E"/>
    <w:rsid w:val="00486C20"/>
    <w:rsid w:val="00490E7F"/>
    <w:rsid w:val="004B2B22"/>
    <w:rsid w:val="004C6362"/>
    <w:rsid w:val="004C6C47"/>
    <w:rsid w:val="00591C84"/>
    <w:rsid w:val="005F0E4D"/>
    <w:rsid w:val="00611DA7"/>
    <w:rsid w:val="006416D4"/>
    <w:rsid w:val="007124B4"/>
    <w:rsid w:val="007405CB"/>
    <w:rsid w:val="00747A76"/>
    <w:rsid w:val="007B1F92"/>
    <w:rsid w:val="007C5B94"/>
    <w:rsid w:val="008153FE"/>
    <w:rsid w:val="0082249A"/>
    <w:rsid w:val="00833933"/>
    <w:rsid w:val="008A3190"/>
    <w:rsid w:val="008D1B48"/>
    <w:rsid w:val="0090774C"/>
    <w:rsid w:val="009679F4"/>
    <w:rsid w:val="00991227"/>
    <w:rsid w:val="00A26D23"/>
    <w:rsid w:val="00A9002C"/>
    <w:rsid w:val="00AA70E3"/>
    <w:rsid w:val="00AB0FBE"/>
    <w:rsid w:val="00AF1EB9"/>
    <w:rsid w:val="00AF5211"/>
    <w:rsid w:val="00B01FB8"/>
    <w:rsid w:val="00B35721"/>
    <w:rsid w:val="00B43A41"/>
    <w:rsid w:val="00B5453F"/>
    <w:rsid w:val="00BA0AFF"/>
    <w:rsid w:val="00BB6ACE"/>
    <w:rsid w:val="00BC42E9"/>
    <w:rsid w:val="00BC6BA3"/>
    <w:rsid w:val="00BD2275"/>
    <w:rsid w:val="00C00AAC"/>
    <w:rsid w:val="00C05EA8"/>
    <w:rsid w:val="00C06619"/>
    <w:rsid w:val="00C51E35"/>
    <w:rsid w:val="00C759F8"/>
    <w:rsid w:val="00D06356"/>
    <w:rsid w:val="00D202FF"/>
    <w:rsid w:val="00D36729"/>
    <w:rsid w:val="00D45274"/>
    <w:rsid w:val="00D45E0E"/>
    <w:rsid w:val="00D666DC"/>
    <w:rsid w:val="00D912A7"/>
    <w:rsid w:val="00E05D92"/>
    <w:rsid w:val="00E362EF"/>
    <w:rsid w:val="00E732BE"/>
    <w:rsid w:val="00E8236B"/>
    <w:rsid w:val="00E96E54"/>
    <w:rsid w:val="00F35EE8"/>
    <w:rsid w:val="00F65DFD"/>
    <w:rsid w:val="00F908F4"/>
    <w:rsid w:val="00F90D42"/>
    <w:rsid w:val="00FB088E"/>
    <w:rsid w:val="00FB6115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A17"/>
  <w15:docId w15:val="{D381142F-C673-4F05-8DE2-D00D2CBE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B1009"/>
    <w:pPr>
      <w:keepNext/>
      <w:numPr>
        <w:numId w:val="3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3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3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rFonts w:ascii="Calibri" w:hAnsi="Calibr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BB6ACE"/>
    <w:pPr>
      <w:numPr>
        <w:numId w:val="4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BB6ACE"/>
    <w:pPr>
      <w:numPr>
        <w:ilvl w:val="1"/>
        <w:numId w:val="4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BB6ACE"/>
    <w:pPr>
      <w:numPr>
        <w:numId w:val="4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BB6ACE"/>
    <w:pPr>
      <w:numPr>
        <w:ilvl w:val="1"/>
        <w:numId w:val="4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BB6ACE"/>
    <w:pPr>
      <w:numPr>
        <w:ilvl w:val="2"/>
        <w:numId w:val="4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3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6"/>
      </w:numPr>
    </w:pPr>
  </w:style>
  <w:style w:type="numbering" w:customStyle="1" w:styleId="Headinglist">
    <w:name w:val="Heading list"/>
    <w:uiPriority w:val="99"/>
    <w:rsid w:val="00BB6ACE"/>
    <w:pPr>
      <w:numPr>
        <w:numId w:val="8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BB6ACE"/>
    <w:pPr>
      <w:numPr>
        <w:ilvl w:val="2"/>
        <w:numId w:val="4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E1C4C"/>
    <w:pPr>
      <w:numPr>
        <w:numId w:val="48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46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fmd-traveller-ad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813A1C67-3698-4C6E-ABAF-F0DA53B13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2b53c995-2120-4bc0-8922-c25044d37f65"/>
    <ds:schemaRef ds:uri="http://purl.org/dc/elements/1.1/"/>
    <ds:schemaRef ds:uri="http://schemas.microsoft.com/office/2006/documentManagement/types"/>
    <ds:schemaRef ds:uri="81c01dc6-2c49-4730-b140-874c95cac37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95b51c2-b2ac-4224-a5b5-069909057829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53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Traveller journey biosecurity touchpoints - Australian travellers to and from Bali</vt:lpstr>
    </vt:vector>
  </TitlesOfParts>
  <Company/>
  <LinksUpToDate>false</LinksUpToDate>
  <CharactersWithSpaces>1629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Traveller journey biosecurity touchpoints - Australian travellers to and from Bali</dc:title>
  <dc:creator>Department of Agriculture, Fisheries and Forestry </dc:creator>
  <cp:revision>2</cp:revision>
  <cp:lastPrinted>2019-02-13T02:42:00Z</cp:lastPrinted>
  <dcterms:created xsi:type="dcterms:W3CDTF">2023-03-16T21:09:00Z</dcterms:created>
  <dcterms:modified xsi:type="dcterms:W3CDTF">2023-03-21T22:28:00Z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_DocHome">
    <vt:i4>986778056</vt:i4>
  </property>
  <property fmtid="{D5CDD505-2E9C-101B-9397-08002B2CF9AE}" pid="4" name="MediaServiceImageTags">
    <vt:lpwstr/>
  </property>
</Properties>
</file>