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B5BE" w14:textId="77777777" w:rsidR="00764D6A" w:rsidRDefault="00F74FC6" w:rsidP="00580212">
      <w:pPr>
        <w:pStyle w:val="Heading1"/>
        <w:jc w:val="center"/>
      </w:pPr>
      <w:bookmarkStart w:id="0" w:name="_Toc93994479"/>
      <w:r w:rsidRPr="00233232">
        <w:t>Underwater Cultural Heritage Compliance Strategy</w:t>
      </w:r>
      <w:bookmarkEnd w:id="0"/>
    </w:p>
    <w:p w14:paraId="27962699" w14:textId="77777777" w:rsidR="00764D6A" w:rsidRPr="00580212" w:rsidRDefault="00F74FC6" w:rsidP="00580212">
      <w:pPr>
        <w:pStyle w:val="Author"/>
        <w:jc w:val="center"/>
      </w:pPr>
      <w:r>
        <w:t>Department of Agriculture Water and the Environment.</w:t>
      </w:r>
    </w:p>
    <w:p w14:paraId="465376A0" w14:textId="77777777" w:rsidR="00764D6A" w:rsidRDefault="00764D6A">
      <w:pPr>
        <w:pStyle w:val="Picture"/>
      </w:pPr>
    </w:p>
    <w:p w14:paraId="0AFAB710" w14:textId="77777777" w:rsidR="004F0DBD" w:rsidRDefault="004F0DBD">
      <w:pPr>
        <w:pStyle w:val="Picture"/>
      </w:pPr>
    </w:p>
    <w:p w14:paraId="4F4D999C" w14:textId="77777777" w:rsidR="004F0DBD" w:rsidRDefault="004F0DBD">
      <w:pPr>
        <w:pStyle w:val="Picture"/>
      </w:pPr>
    </w:p>
    <w:p w14:paraId="6F0AC35F" w14:textId="77777777" w:rsidR="004F0DBD" w:rsidRDefault="004F0DBD">
      <w:pPr>
        <w:pStyle w:val="Picture"/>
      </w:pPr>
    </w:p>
    <w:p w14:paraId="0AF5FB37" w14:textId="77777777" w:rsidR="00764D6A" w:rsidRDefault="00F74FC6">
      <w:pPr>
        <w:pStyle w:val="Normalsmall"/>
      </w:pPr>
      <w:r>
        <w:rPr>
          <w:noProof/>
        </w:rPr>
        <w:drawing>
          <wp:inline distT="0" distB="0" distL="0" distR="0" wp14:anchorId="0E649C23" wp14:editId="44C6A65C">
            <wp:extent cx="5759450" cy="4090035"/>
            <wp:effectExtent l="0" t="0" r="0" b="5715"/>
            <wp:docPr id="7" name="Picture 7" descr="Logo of the Australian Underwater Cultural Heritag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86881" name="Picture 7" descr="Logo of the Australian Underwater Cultural Heritage Program"/>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59450" cy="4090035"/>
                    </a:xfrm>
                    <a:prstGeom prst="rect">
                      <a:avLst/>
                    </a:prstGeom>
                    <a:noFill/>
                    <a:ln>
                      <a:noFill/>
                    </a:ln>
                  </pic:spPr>
                </pic:pic>
              </a:graphicData>
            </a:graphic>
          </wp:inline>
        </w:drawing>
      </w:r>
      <w:r>
        <w:t xml:space="preserve"> </w:t>
      </w:r>
      <w:r w:rsidR="00E91D72">
        <w:br w:type="page"/>
      </w:r>
      <w:r w:rsidR="00E91D72">
        <w:lastRenderedPageBreak/>
        <w:t xml:space="preserve">© Commonwealth of Australia </w:t>
      </w:r>
      <w:r w:rsidR="00B97E61">
        <w:t>202</w:t>
      </w:r>
      <w:r w:rsidR="005D3CF9">
        <w:t>2</w:t>
      </w:r>
    </w:p>
    <w:p w14:paraId="19B32F72" w14:textId="77777777" w:rsidR="00764D6A" w:rsidRDefault="00F74FC6">
      <w:pPr>
        <w:pStyle w:val="Normalsmall"/>
        <w:rPr>
          <w:rStyle w:val="Strong"/>
        </w:rPr>
      </w:pPr>
      <w:r>
        <w:rPr>
          <w:rStyle w:val="Strong"/>
        </w:rPr>
        <w:t>Ownership of intellectual property rights</w:t>
      </w:r>
    </w:p>
    <w:p w14:paraId="0A2FE050" w14:textId="77777777" w:rsidR="00764D6A" w:rsidRDefault="00F74FC6">
      <w:pPr>
        <w:pStyle w:val="Normalsmall"/>
      </w:pPr>
      <w:r>
        <w:t>Unless otherwise noted, copyright (and any other intellectual property rights) in this publication is owned by the Commonwealth of Australia (referred to as the Commonwealth).</w:t>
      </w:r>
    </w:p>
    <w:p w14:paraId="69BD23DE" w14:textId="77777777" w:rsidR="00764D6A" w:rsidRDefault="00F74FC6">
      <w:pPr>
        <w:pStyle w:val="Normalsmall"/>
        <w:rPr>
          <w:rStyle w:val="Strong"/>
        </w:rPr>
      </w:pPr>
      <w:r>
        <w:rPr>
          <w:rStyle w:val="Strong"/>
        </w:rPr>
        <w:t>Creative Commons licence</w:t>
      </w:r>
    </w:p>
    <w:p w14:paraId="1815EE71" w14:textId="77777777" w:rsidR="00764D6A" w:rsidRDefault="00F74FC6">
      <w:pPr>
        <w:pStyle w:val="Normalsmall"/>
      </w:pPr>
      <w:r>
        <w:t>All material in this publication is licensed under a Cr</w:t>
      </w:r>
      <w:r>
        <w:t xml:space="preserve">eative Commons Attribution 4.0 International Licence except content supplied by third parties, </w:t>
      </w:r>
      <w:proofErr w:type="gramStart"/>
      <w:r>
        <w:t>logos</w:t>
      </w:r>
      <w:proofErr w:type="gramEnd"/>
      <w:r>
        <w:t xml:space="preserve"> and the Commonwealth Coat of Arms.</w:t>
      </w:r>
    </w:p>
    <w:p w14:paraId="1C692305" w14:textId="77777777" w:rsidR="00764D6A" w:rsidRDefault="00F74FC6">
      <w:pPr>
        <w:pStyle w:val="Normalsmall"/>
      </w:pPr>
      <w:r>
        <w:t xml:space="preserve">Inquiries about the licence and any use of this document should be emailed to </w:t>
      </w:r>
      <w:r w:rsidR="00EF55CC" w:rsidRPr="00CD29E9">
        <w:t>copyright@awe.gov.au</w:t>
      </w:r>
      <w:r>
        <w:t>.</w:t>
      </w:r>
    </w:p>
    <w:p w14:paraId="0871329D" w14:textId="77777777" w:rsidR="00764D6A" w:rsidRDefault="00F74FC6">
      <w:pPr>
        <w:pStyle w:val="Normalsmall"/>
      </w:pPr>
      <w:r>
        <w:rPr>
          <w:noProof/>
          <w:lang w:eastAsia="en-AU"/>
        </w:rPr>
        <w:drawing>
          <wp:inline distT="0" distB="0" distL="0" distR="0" wp14:anchorId="13E8E161" wp14:editId="681B046D">
            <wp:extent cx="724535" cy="255270"/>
            <wp:effectExtent l="0" t="0" r="0" b="0"/>
            <wp:docPr id="2" name="Picture 1" descr="The copyright symbol for Attribution 4.0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87230" name="Picture 1" descr="The copyright symbol for Attribution 4.0 International."/>
                    <pic:cNvPicPr>
                      <a:picLocks noChangeAspect="1" noChangeArrowheads="1"/>
                    </pic:cNvPicPr>
                  </pic:nvPicPr>
                  <pic:blipFill>
                    <a:blip r:embed="rId14"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9AF628F" w14:textId="77777777" w:rsidR="00764D6A" w:rsidRDefault="00F74FC6">
      <w:pPr>
        <w:pStyle w:val="Normalsmall"/>
        <w:rPr>
          <w:rStyle w:val="Strong"/>
        </w:rPr>
      </w:pPr>
      <w:r>
        <w:rPr>
          <w:rStyle w:val="Strong"/>
        </w:rPr>
        <w:t>Cataloguing data</w:t>
      </w:r>
    </w:p>
    <w:p w14:paraId="58650A9F" w14:textId="299CBD53" w:rsidR="00764D6A" w:rsidRPr="00B54305" w:rsidRDefault="00F74FC6">
      <w:pPr>
        <w:pStyle w:val="Normalsmall"/>
      </w:pPr>
      <w:r w:rsidRPr="00B54305">
        <w:t>T</w:t>
      </w:r>
      <w:r w:rsidRPr="00B54305">
        <w:t xml:space="preserve">his publication (and any material sourced from it) should be attributed as: </w:t>
      </w:r>
      <w:r w:rsidR="009D5007" w:rsidRPr="00B54305">
        <w:t>DAWE</w:t>
      </w:r>
      <w:r w:rsidR="00B97E61" w:rsidRPr="00B54305">
        <w:t xml:space="preserve"> 202</w:t>
      </w:r>
      <w:r w:rsidR="005D3CF9" w:rsidRPr="00B54305">
        <w:t>2</w:t>
      </w:r>
      <w:r w:rsidRPr="00B54305">
        <w:t xml:space="preserve">, </w:t>
      </w:r>
      <w:r w:rsidR="00912F64" w:rsidRPr="00B54305">
        <w:rPr>
          <w:i/>
        </w:rPr>
        <w:t xml:space="preserve">Underwater Cultural Heritage </w:t>
      </w:r>
      <w:r w:rsidR="005D3CF9" w:rsidRPr="00B54305">
        <w:rPr>
          <w:i/>
        </w:rPr>
        <w:t>compliance strategy</w:t>
      </w:r>
      <w:r w:rsidRPr="00B54305">
        <w:t xml:space="preserve">, </w:t>
      </w:r>
      <w:r w:rsidR="00B5740E" w:rsidRPr="00B54305">
        <w:t>Department of Agriculture, Water and the Environment</w:t>
      </w:r>
      <w:r w:rsidRPr="00B54305">
        <w:t xml:space="preserve">, Canberra, </w:t>
      </w:r>
      <w:r w:rsidR="00286307" w:rsidRPr="00B54305">
        <w:t>February</w:t>
      </w:r>
      <w:r w:rsidRPr="00B54305">
        <w:t xml:space="preserve"> CC BY 4.0.</w:t>
      </w:r>
    </w:p>
    <w:p w14:paraId="37556D93" w14:textId="77777777" w:rsidR="00764D6A" w:rsidRDefault="00F74FC6">
      <w:pPr>
        <w:pStyle w:val="Normalsmall"/>
      </w:pPr>
      <w:r w:rsidRPr="00B54305">
        <w:t xml:space="preserve">This publication is available at </w:t>
      </w:r>
      <w:r w:rsidR="00E20810" w:rsidRPr="00B54305">
        <w:t>awe.gov.au/publications</w:t>
      </w:r>
      <w:r w:rsidRPr="00B54305">
        <w:t>.</w:t>
      </w:r>
    </w:p>
    <w:p w14:paraId="635964E3" w14:textId="77777777" w:rsidR="00764D6A" w:rsidRDefault="00F74FC6">
      <w:pPr>
        <w:pStyle w:val="Normalsmall"/>
        <w:spacing w:after="0"/>
      </w:pPr>
      <w:r>
        <w:t xml:space="preserve">Department of Agriculture, </w:t>
      </w:r>
      <w:proofErr w:type="gramStart"/>
      <w:r>
        <w:t>Water</w:t>
      </w:r>
      <w:proofErr w:type="gramEnd"/>
      <w:r>
        <w:t xml:space="preserve"> and the Environment</w:t>
      </w:r>
    </w:p>
    <w:p w14:paraId="7780330D" w14:textId="77777777" w:rsidR="00764D6A" w:rsidRDefault="00F74FC6">
      <w:pPr>
        <w:pStyle w:val="Normalsmall"/>
        <w:spacing w:after="0"/>
      </w:pPr>
      <w:r>
        <w:t>GPO Box 858 Canberra ACT 2601</w:t>
      </w:r>
    </w:p>
    <w:p w14:paraId="0C336AB8" w14:textId="77777777" w:rsidR="00764D6A" w:rsidRDefault="00F74FC6">
      <w:pPr>
        <w:pStyle w:val="Normalsmall"/>
        <w:spacing w:after="0"/>
      </w:pPr>
      <w:r>
        <w:t xml:space="preserve">Telephone </w:t>
      </w:r>
      <w:r w:rsidRPr="00773056">
        <w:t>1800 900 090</w:t>
      </w:r>
    </w:p>
    <w:p w14:paraId="2B91C506" w14:textId="77777777" w:rsidR="00764D6A" w:rsidRDefault="00F74FC6">
      <w:pPr>
        <w:pStyle w:val="Normalsmall"/>
      </w:pPr>
      <w:r w:rsidRPr="00E20810">
        <w:t xml:space="preserve">Web </w:t>
      </w:r>
      <w:r w:rsidR="00E20810" w:rsidRPr="00E20810">
        <w:t>awe.gov.au</w:t>
      </w:r>
    </w:p>
    <w:p w14:paraId="12404928" w14:textId="77777777" w:rsidR="007C358A" w:rsidRDefault="00F74FC6">
      <w:pPr>
        <w:pStyle w:val="Normalsmall"/>
      </w:pPr>
      <w:r>
        <w:rPr>
          <w:rStyle w:val="Strong"/>
        </w:rPr>
        <w:t>Disclaimer</w:t>
      </w:r>
    </w:p>
    <w:p w14:paraId="47432C11" w14:textId="77777777" w:rsidR="00764D6A" w:rsidRDefault="00F74FC6">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its employees and advisers disclaim all liability, including li</w:t>
      </w:r>
      <w:r>
        <w:t xml:space="preserve">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76FE6C47" w14:textId="77777777" w:rsidR="00764D6A" w:rsidRDefault="00F74FC6">
      <w:pPr>
        <w:spacing w:after="0" w:line="240" w:lineRule="auto"/>
      </w:pPr>
      <w:r>
        <w:br w:type="page"/>
      </w:r>
    </w:p>
    <w:sdt>
      <w:sdtPr>
        <w:rPr>
          <w:rFonts w:ascii="Cambria" w:eastAsiaTheme="minorHAnsi" w:hAnsi="Cambria"/>
          <w:bCs w:val="0"/>
          <w:color w:val="auto"/>
          <w:sz w:val="22"/>
          <w:szCs w:val="22"/>
          <w:lang w:eastAsia="en-US"/>
        </w:rPr>
        <w:id w:val="780227015"/>
        <w:docPartObj>
          <w:docPartGallery w:val="Table of Contents"/>
          <w:docPartUnique/>
        </w:docPartObj>
      </w:sdtPr>
      <w:sdtEndPr>
        <w:rPr>
          <w:b/>
          <w:noProof/>
        </w:rPr>
      </w:sdtEndPr>
      <w:sdtContent>
        <w:p w14:paraId="198CD369" w14:textId="77777777" w:rsidR="002C703A" w:rsidRDefault="00F74FC6">
          <w:pPr>
            <w:pStyle w:val="TOCHeading"/>
          </w:pPr>
          <w:r>
            <w:t>Contents</w:t>
          </w:r>
        </w:p>
        <w:p w14:paraId="4A97211C" w14:textId="77777777" w:rsidR="000B70C9" w:rsidRDefault="00F74FC6">
          <w:pPr>
            <w:pStyle w:val="TOC1"/>
            <w:rPr>
              <w:rFonts w:asciiTheme="minorHAnsi" w:eastAsiaTheme="minorEastAsia" w:hAnsiTheme="minorHAnsi"/>
              <w:b w:val="0"/>
              <w:lang w:eastAsia="en-AU"/>
            </w:rPr>
          </w:pPr>
          <w:r>
            <w:fldChar w:fldCharType="begin"/>
          </w:r>
          <w:r>
            <w:instrText xml:space="preserve"> TOC \o "1-3</w:instrText>
          </w:r>
          <w:r>
            <w:instrText xml:space="preserve">" \h \z \u </w:instrText>
          </w:r>
          <w:r>
            <w:fldChar w:fldCharType="separate"/>
          </w:r>
          <w:hyperlink w:anchor="_Toc93994479" w:history="1">
            <w:r w:rsidRPr="0065666F">
              <w:rPr>
                <w:rStyle w:val="Hyperlink"/>
              </w:rPr>
              <w:t>Underwater Cultural Heritage Compliance Strategy</w:t>
            </w:r>
            <w:r>
              <w:rPr>
                <w:webHidden/>
              </w:rPr>
              <w:tab/>
            </w:r>
            <w:r>
              <w:rPr>
                <w:webHidden/>
              </w:rPr>
              <w:fldChar w:fldCharType="begin"/>
            </w:r>
            <w:r>
              <w:rPr>
                <w:webHidden/>
              </w:rPr>
              <w:instrText xml:space="preserve"> PAGEREF _Toc93994479 \h </w:instrText>
            </w:r>
            <w:r>
              <w:rPr>
                <w:webHidden/>
              </w:rPr>
            </w:r>
            <w:r>
              <w:rPr>
                <w:webHidden/>
              </w:rPr>
              <w:fldChar w:fldCharType="separate"/>
            </w:r>
            <w:r>
              <w:rPr>
                <w:webHidden/>
              </w:rPr>
              <w:t>1</w:t>
            </w:r>
            <w:r>
              <w:rPr>
                <w:webHidden/>
              </w:rPr>
              <w:fldChar w:fldCharType="end"/>
            </w:r>
          </w:hyperlink>
        </w:p>
        <w:p w14:paraId="22DE1154" w14:textId="77777777" w:rsidR="000B70C9" w:rsidRDefault="00F74FC6">
          <w:pPr>
            <w:pStyle w:val="TOC1"/>
            <w:rPr>
              <w:rFonts w:asciiTheme="minorHAnsi" w:eastAsiaTheme="minorEastAsia" w:hAnsiTheme="minorHAnsi"/>
              <w:b w:val="0"/>
              <w:lang w:eastAsia="en-AU"/>
            </w:rPr>
          </w:pPr>
          <w:hyperlink w:anchor="_Toc93994480" w:history="1">
            <w:r w:rsidRPr="0065666F">
              <w:rPr>
                <w:rStyle w:val="Hyperlink"/>
              </w:rPr>
              <w:t>Introduction</w:t>
            </w:r>
            <w:r>
              <w:rPr>
                <w:webHidden/>
              </w:rPr>
              <w:tab/>
            </w:r>
            <w:r>
              <w:rPr>
                <w:webHidden/>
              </w:rPr>
              <w:fldChar w:fldCharType="begin"/>
            </w:r>
            <w:r>
              <w:rPr>
                <w:webHidden/>
              </w:rPr>
              <w:instrText xml:space="preserve"> PAGEREF _Toc93994480 \h </w:instrText>
            </w:r>
            <w:r>
              <w:rPr>
                <w:webHidden/>
              </w:rPr>
            </w:r>
            <w:r>
              <w:rPr>
                <w:webHidden/>
              </w:rPr>
              <w:fldChar w:fldCharType="separate"/>
            </w:r>
            <w:r>
              <w:rPr>
                <w:webHidden/>
              </w:rPr>
              <w:t>4</w:t>
            </w:r>
            <w:r>
              <w:rPr>
                <w:webHidden/>
              </w:rPr>
              <w:fldChar w:fldCharType="end"/>
            </w:r>
          </w:hyperlink>
        </w:p>
        <w:p w14:paraId="3C4B9B68" w14:textId="77777777" w:rsidR="000B70C9" w:rsidRDefault="00F74FC6">
          <w:pPr>
            <w:pStyle w:val="TOC3"/>
            <w:tabs>
              <w:tab w:val="left" w:pos="1540"/>
            </w:tabs>
            <w:rPr>
              <w:rFonts w:asciiTheme="minorHAnsi" w:eastAsiaTheme="minorEastAsia" w:hAnsiTheme="minorHAnsi"/>
              <w:lang w:eastAsia="en-AU"/>
            </w:rPr>
          </w:pPr>
          <w:hyperlink w:anchor="_Toc93994481" w:history="1">
            <w:r w:rsidRPr="0065666F">
              <w:rPr>
                <w:rStyle w:val="Hyperlink"/>
              </w:rPr>
              <w:t>1.1</w:t>
            </w:r>
            <w:r>
              <w:rPr>
                <w:rFonts w:asciiTheme="minorHAnsi" w:eastAsiaTheme="minorEastAsia" w:hAnsiTheme="minorHAnsi"/>
                <w:lang w:eastAsia="en-AU"/>
              </w:rPr>
              <w:tab/>
            </w:r>
            <w:r w:rsidRPr="0065666F">
              <w:rPr>
                <w:rStyle w:val="Hyperlink"/>
              </w:rPr>
              <w:t>Why are these sites at risk of non-compliance?</w:t>
            </w:r>
            <w:r>
              <w:rPr>
                <w:webHidden/>
              </w:rPr>
              <w:tab/>
            </w:r>
            <w:r>
              <w:rPr>
                <w:webHidden/>
              </w:rPr>
              <w:fldChar w:fldCharType="begin"/>
            </w:r>
            <w:r>
              <w:rPr>
                <w:webHidden/>
              </w:rPr>
              <w:instrText xml:space="preserve"> PAGEREF _Toc93994481 \h </w:instrText>
            </w:r>
            <w:r>
              <w:rPr>
                <w:webHidden/>
              </w:rPr>
            </w:r>
            <w:r>
              <w:rPr>
                <w:webHidden/>
              </w:rPr>
              <w:fldChar w:fldCharType="separate"/>
            </w:r>
            <w:r>
              <w:rPr>
                <w:webHidden/>
              </w:rPr>
              <w:t>4</w:t>
            </w:r>
            <w:r>
              <w:rPr>
                <w:webHidden/>
              </w:rPr>
              <w:fldChar w:fldCharType="end"/>
            </w:r>
          </w:hyperlink>
        </w:p>
        <w:p w14:paraId="3B95C118" w14:textId="77777777" w:rsidR="000B70C9" w:rsidRDefault="00F74FC6">
          <w:pPr>
            <w:pStyle w:val="TOC3"/>
            <w:tabs>
              <w:tab w:val="left" w:pos="1540"/>
            </w:tabs>
            <w:rPr>
              <w:rFonts w:asciiTheme="minorHAnsi" w:eastAsiaTheme="minorEastAsia" w:hAnsiTheme="minorHAnsi"/>
              <w:lang w:eastAsia="en-AU"/>
            </w:rPr>
          </w:pPr>
          <w:hyperlink w:anchor="_Toc93994482" w:history="1">
            <w:r w:rsidRPr="0065666F">
              <w:rPr>
                <w:rStyle w:val="Hyperlink"/>
              </w:rPr>
              <w:t>1.2</w:t>
            </w:r>
            <w:r>
              <w:rPr>
                <w:rFonts w:asciiTheme="minorHAnsi" w:eastAsiaTheme="minorEastAsia" w:hAnsiTheme="minorHAnsi"/>
                <w:lang w:eastAsia="en-AU"/>
              </w:rPr>
              <w:tab/>
            </w:r>
            <w:r w:rsidRPr="0065666F">
              <w:rPr>
                <w:rStyle w:val="Hyperlink"/>
              </w:rPr>
              <w:t>What does non-compliance look like?</w:t>
            </w:r>
            <w:r>
              <w:rPr>
                <w:webHidden/>
              </w:rPr>
              <w:tab/>
            </w:r>
            <w:r>
              <w:rPr>
                <w:webHidden/>
              </w:rPr>
              <w:fldChar w:fldCharType="begin"/>
            </w:r>
            <w:r>
              <w:rPr>
                <w:webHidden/>
              </w:rPr>
              <w:instrText xml:space="preserve"> PAGEREF _Toc93994482 \h </w:instrText>
            </w:r>
            <w:r>
              <w:rPr>
                <w:webHidden/>
              </w:rPr>
            </w:r>
            <w:r>
              <w:rPr>
                <w:webHidden/>
              </w:rPr>
              <w:fldChar w:fldCharType="separate"/>
            </w:r>
            <w:r>
              <w:rPr>
                <w:webHidden/>
              </w:rPr>
              <w:t>5</w:t>
            </w:r>
            <w:r>
              <w:rPr>
                <w:webHidden/>
              </w:rPr>
              <w:fldChar w:fldCharType="end"/>
            </w:r>
          </w:hyperlink>
        </w:p>
        <w:p w14:paraId="7B1D872A" w14:textId="77777777" w:rsidR="000B70C9" w:rsidRDefault="00F74FC6">
          <w:pPr>
            <w:pStyle w:val="TOC3"/>
            <w:tabs>
              <w:tab w:val="left" w:pos="1540"/>
            </w:tabs>
            <w:rPr>
              <w:rFonts w:asciiTheme="minorHAnsi" w:eastAsiaTheme="minorEastAsia" w:hAnsiTheme="minorHAnsi"/>
              <w:lang w:eastAsia="en-AU"/>
            </w:rPr>
          </w:pPr>
          <w:hyperlink w:anchor="_Toc93994483" w:history="1">
            <w:r w:rsidRPr="0065666F">
              <w:rPr>
                <w:rStyle w:val="Hyperlink"/>
              </w:rPr>
              <w:t>1.3</w:t>
            </w:r>
            <w:r>
              <w:rPr>
                <w:rFonts w:asciiTheme="minorHAnsi" w:eastAsiaTheme="minorEastAsia" w:hAnsiTheme="minorHAnsi"/>
                <w:lang w:eastAsia="en-AU"/>
              </w:rPr>
              <w:tab/>
            </w:r>
            <w:r w:rsidRPr="0065666F">
              <w:rPr>
                <w:rStyle w:val="Hyperlink"/>
              </w:rPr>
              <w:t>Compliance objectives</w:t>
            </w:r>
            <w:r>
              <w:rPr>
                <w:webHidden/>
              </w:rPr>
              <w:tab/>
            </w:r>
            <w:r>
              <w:rPr>
                <w:webHidden/>
              </w:rPr>
              <w:fldChar w:fldCharType="begin"/>
            </w:r>
            <w:r>
              <w:rPr>
                <w:webHidden/>
              </w:rPr>
              <w:instrText xml:space="preserve"> PAGEREF _Toc93994483 \h </w:instrText>
            </w:r>
            <w:r>
              <w:rPr>
                <w:webHidden/>
              </w:rPr>
            </w:r>
            <w:r>
              <w:rPr>
                <w:webHidden/>
              </w:rPr>
              <w:fldChar w:fldCharType="separate"/>
            </w:r>
            <w:r>
              <w:rPr>
                <w:webHidden/>
              </w:rPr>
              <w:t>5</w:t>
            </w:r>
            <w:r>
              <w:rPr>
                <w:webHidden/>
              </w:rPr>
              <w:fldChar w:fldCharType="end"/>
            </w:r>
          </w:hyperlink>
        </w:p>
        <w:p w14:paraId="36D7411B" w14:textId="77777777" w:rsidR="000B70C9" w:rsidRDefault="00F74FC6">
          <w:pPr>
            <w:pStyle w:val="TOC1"/>
            <w:rPr>
              <w:rFonts w:asciiTheme="minorHAnsi" w:eastAsiaTheme="minorEastAsia" w:hAnsiTheme="minorHAnsi"/>
              <w:b w:val="0"/>
              <w:lang w:eastAsia="en-AU"/>
            </w:rPr>
          </w:pPr>
          <w:hyperlink w:anchor="_Toc93994484" w:history="1">
            <w:r w:rsidRPr="0065666F">
              <w:rPr>
                <w:rStyle w:val="Hyperlink"/>
              </w:rPr>
              <w:t>Complian</w:t>
            </w:r>
            <w:r w:rsidRPr="0065666F">
              <w:rPr>
                <w:rStyle w:val="Hyperlink"/>
              </w:rPr>
              <w:t>ce approach</w:t>
            </w:r>
            <w:r>
              <w:rPr>
                <w:webHidden/>
              </w:rPr>
              <w:tab/>
            </w:r>
            <w:r>
              <w:rPr>
                <w:webHidden/>
              </w:rPr>
              <w:fldChar w:fldCharType="begin"/>
            </w:r>
            <w:r>
              <w:rPr>
                <w:webHidden/>
              </w:rPr>
              <w:instrText xml:space="preserve"> PAGEREF _Toc93994484 \h </w:instrText>
            </w:r>
            <w:r>
              <w:rPr>
                <w:webHidden/>
              </w:rPr>
            </w:r>
            <w:r>
              <w:rPr>
                <w:webHidden/>
              </w:rPr>
              <w:fldChar w:fldCharType="separate"/>
            </w:r>
            <w:r>
              <w:rPr>
                <w:webHidden/>
              </w:rPr>
              <w:t>5</w:t>
            </w:r>
            <w:r>
              <w:rPr>
                <w:webHidden/>
              </w:rPr>
              <w:fldChar w:fldCharType="end"/>
            </w:r>
          </w:hyperlink>
        </w:p>
        <w:p w14:paraId="7AE9838B" w14:textId="77777777" w:rsidR="000B70C9" w:rsidRDefault="00F74FC6">
          <w:pPr>
            <w:pStyle w:val="TOC3"/>
            <w:tabs>
              <w:tab w:val="left" w:pos="1540"/>
            </w:tabs>
            <w:rPr>
              <w:rFonts w:asciiTheme="minorHAnsi" w:eastAsiaTheme="minorEastAsia" w:hAnsiTheme="minorHAnsi"/>
              <w:lang w:eastAsia="en-AU"/>
            </w:rPr>
          </w:pPr>
          <w:hyperlink w:anchor="_Toc93994485" w:history="1">
            <w:r w:rsidRPr="0065666F">
              <w:rPr>
                <w:rStyle w:val="Hyperlink"/>
              </w:rPr>
              <w:t>1.4</w:t>
            </w:r>
            <w:r>
              <w:rPr>
                <w:rFonts w:asciiTheme="minorHAnsi" w:eastAsiaTheme="minorEastAsia" w:hAnsiTheme="minorHAnsi"/>
                <w:lang w:eastAsia="en-AU"/>
              </w:rPr>
              <w:tab/>
            </w:r>
            <w:r w:rsidRPr="0065666F">
              <w:rPr>
                <w:rStyle w:val="Hyperlink"/>
              </w:rPr>
              <w:t>Identifying and assessing compliance risks</w:t>
            </w:r>
            <w:r>
              <w:rPr>
                <w:webHidden/>
              </w:rPr>
              <w:tab/>
            </w:r>
            <w:r>
              <w:rPr>
                <w:webHidden/>
              </w:rPr>
              <w:fldChar w:fldCharType="begin"/>
            </w:r>
            <w:r>
              <w:rPr>
                <w:webHidden/>
              </w:rPr>
              <w:instrText xml:space="preserve"> PAGEREF _Toc93994485 \h </w:instrText>
            </w:r>
            <w:r>
              <w:rPr>
                <w:webHidden/>
              </w:rPr>
            </w:r>
            <w:r>
              <w:rPr>
                <w:webHidden/>
              </w:rPr>
              <w:fldChar w:fldCharType="separate"/>
            </w:r>
            <w:r>
              <w:rPr>
                <w:webHidden/>
              </w:rPr>
              <w:t>6</w:t>
            </w:r>
            <w:r>
              <w:rPr>
                <w:webHidden/>
              </w:rPr>
              <w:fldChar w:fldCharType="end"/>
            </w:r>
          </w:hyperlink>
        </w:p>
        <w:p w14:paraId="6B686A6C" w14:textId="77777777" w:rsidR="000B70C9" w:rsidRDefault="00F74FC6">
          <w:pPr>
            <w:pStyle w:val="TOC3"/>
            <w:tabs>
              <w:tab w:val="left" w:pos="1540"/>
            </w:tabs>
            <w:rPr>
              <w:rFonts w:asciiTheme="minorHAnsi" w:eastAsiaTheme="minorEastAsia" w:hAnsiTheme="minorHAnsi"/>
              <w:lang w:eastAsia="en-AU"/>
            </w:rPr>
          </w:pPr>
          <w:hyperlink w:anchor="_Toc93994486" w:history="1">
            <w:r w:rsidRPr="0065666F">
              <w:rPr>
                <w:rStyle w:val="Hyperlink"/>
              </w:rPr>
              <w:t>1.5</w:t>
            </w:r>
            <w:r>
              <w:rPr>
                <w:rFonts w:asciiTheme="minorHAnsi" w:eastAsiaTheme="minorEastAsia" w:hAnsiTheme="minorHAnsi"/>
                <w:lang w:eastAsia="en-AU"/>
              </w:rPr>
              <w:tab/>
            </w:r>
            <w:r w:rsidRPr="0065666F">
              <w:rPr>
                <w:rStyle w:val="Hyperlink"/>
              </w:rPr>
              <w:t>Education and raising awareness of the regulated community</w:t>
            </w:r>
            <w:r>
              <w:rPr>
                <w:webHidden/>
              </w:rPr>
              <w:tab/>
            </w:r>
            <w:r>
              <w:rPr>
                <w:webHidden/>
              </w:rPr>
              <w:fldChar w:fldCharType="begin"/>
            </w:r>
            <w:r>
              <w:rPr>
                <w:webHidden/>
              </w:rPr>
              <w:instrText xml:space="preserve"> PAGEREF _Toc93994486 \h </w:instrText>
            </w:r>
            <w:r>
              <w:rPr>
                <w:webHidden/>
              </w:rPr>
            </w:r>
            <w:r>
              <w:rPr>
                <w:webHidden/>
              </w:rPr>
              <w:fldChar w:fldCharType="separate"/>
            </w:r>
            <w:r>
              <w:rPr>
                <w:webHidden/>
              </w:rPr>
              <w:t>6</w:t>
            </w:r>
            <w:r>
              <w:rPr>
                <w:webHidden/>
              </w:rPr>
              <w:fldChar w:fldCharType="end"/>
            </w:r>
          </w:hyperlink>
        </w:p>
        <w:p w14:paraId="1FC7A60D" w14:textId="77777777" w:rsidR="000B70C9" w:rsidRDefault="00F74FC6">
          <w:pPr>
            <w:pStyle w:val="TOC3"/>
            <w:tabs>
              <w:tab w:val="left" w:pos="1540"/>
            </w:tabs>
            <w:rPr>
              <w:rFonts w:asciiTheme="minorHAnsi" w:eastAsiaTheme="minorEastAsia" w:hAnsiTheme="minorHAnsi"/>
              <w:lang w:eastAsia="en-AU"/>
            </w:rPr>
          </w:pPr>
          <w:hyperlink w:anchor="_Toc93994487" w:history="1">
            <w:r w:rsidRPr="0065666F">
              <w:rPr>
                <w:rStyle w:val="Hyperlink"/>
              </w:rPr>
              <w:t>1.6</w:t>
            </w:r>
            <w:r>
              <w:rPr>
                <w:rFonts w:asciiTheme="minorHAnsi" w:eastAsiaTheme="minorEastAsia" w:hAnsiTheme="minorHAnsi"/>
                <w:lang w:eastAsia="en-AU"/>
              </w:rPr>
              <w:tab/>
            </w:r>
            <w:r w:rsidRPr="0065666F">
              <w:rPr>
                <w:rStyle w:val="Hyperlink"/>
              </w:rPr>
              <w:t>Issuing pe</w:t>
            </w:r>
            <w:r w:rsidRPr="0065666F">
              <w:rPr>
                <w:rStyle w:val="Hyperlink"/>
              </w:rPr>
              <w:t>rmits with conditions to regulate some activities</w:t>
            </w:r>
            <w:r>
              <w:rPr>
                <w:webHidden/>
              </w:rPr>
              <w:tab/>
            </w:r>
            <w:r>
              <w:rPr>
                <w:webHidden/>
              </w:rPr>
              <w:fldChar w:fldCharType="begin"/>
            </w:r>
            <w:r>
              <w:rPr>
                <w:webHidden/>
              </w:rPr>
              <w:instrText xml:space="preserve"> PAGEREF _Toc93994487 \h </w:instrText>
            </w:r>
            <w:r>
              <w:rPr>
                <w:webHidden/>
              </w:rPr>
            </w:r>
            <w:r>
              <w:rPr>
                <w:webHidden/>
              </w:rPr>
              <w:fldChar w:fldCharType="separate"/>
            </w:r>
            <w:r>
              <w:rPr>
                <w:webHidden/>
              </w:rPr>
              <w:t>7</w:t>
            </w:r>
            <w:r>
              <w:rPr>
                <w:webHidden/>
              </w:rPr>
              <w:fldChar w:fldCharType="end"/>
            </w:r>
          </w:hyperlink>
        </w:p>
        <w:p w14:paraId="4939FB17" w14:textId="77777777" w:rsidR="000B70C9" w:rsidRDefault="00F74FC6">
          <w:pPr>
            <w:pStyle w:val="TOC3"/>
            <w:tabs>
              <w:tab w:val="left" w:pos="1540"/>
            </w:tabs>
            <w:rPr>
              <w:rFonts w:asciiTheme="minorHAnsi" w:eastAsiaTheme="minorEastAsia" w:hAnsiTheme="minorHAnsi"/>
              <w:lang w:eastAsia="en-AU"/>
            </w:rPr>
          </w:pPr>
          <w:hyperlink w:anchor="_Toc93994488" w:history="1">
            <w:r w:rsidRPr="0065666F">
              <w:rPr>
                <w:rStyle w:val="Hyperlink"/>
              </w:rPr>
              <w:t>1.7</w:t>
            </w:r>
            <w:r>
              <w:rPr>
                <w:rFonts w:asciiTheme="minorHAnsi" w:eastAsiaTheme="minorEastAsia" w:hAnsiTheme="minorHAnsi"/>
                <w:lang w:eastAsia="en-AU"/>
              </w:rPr>
              <w:tab/>
            </w:r>
            <w:r w:rsidRPr="0065666F">
              <w:rPr>
                <w:rStyle w:val="Hyperlink"/>
              </w:rPr>
              <w:t>Monitoring</w:t>
            </w:r>
            <w:r>
              <w:rPr>
                <w:webHidden/>
              </w:rPr>
              <w:tab/>
            </w:r>
            <w:r>
              <w:rPr>
                <w:webHidden/>
              </w:rPr>
              <w:fldChar w:fldCharType="begin"/>
            </w:r>
            <w:r>
              <w:rPr>
                <w:webHidden/>
              </w:rPr>
              <w:instrText xml:space="preserve"> PAGEREF _Toc93994488 \h </w:instrText>
            </w:r>
            <w:r>
              <w:rPr>
                <w:webHidden/>
              </w:rPr>
            </w:r>
            <w:r>
              <w:rPr>
                <w:webHidden/>
              </w:rPr>
              <w:fldChar w:fldCharType="separate"/>
            </w:r>
            <w:r>
              <w:rPr>
                <w:webHidden/>
              </w:rPr>
              <w:t>7</w:t>
            </w:r>
            <w:r>
              <w:rPr>
                <w:webHidden/>
              </w:rPr>
              <w:fldChar w:fldCharType="end"/>
            </w:r>
          </w:hyperlink>
        </w:p>
        <w:p w14:paraId="50628E4D" w14:textId="77777777" w:rsidR="000B70C9" w:rsidRDefault="00F74FC6">
          <w:pPr>
            <w:pStyle w:val="TOC3"/>
            <w:tabs>
              <w:tab w:val="left" w:pos="1540"/>
            </w:tabs>
            <w:rPr>
              <w:rFonts w:asciiTheme="minorHAnsi" w:eastAsiaTheme="minorEastAsia" w:hAnsiTheme="minorHAnsi"/>
              <w:lang w:eastAsia="en-AU"/>
            </w:rPr>
          </w:pPr>
          <w:hyperlink w:anchor="_Toc93994489" w:history="1">
            <w:r w:rsidRPr="0065666F">
              <w:rPr>
                <w:rStyle w:val="Hyperlink"/>
              </w:rPr>
              <w:t>1.8</w:t>
            </w:r>
            <w:r>
              <w:rPr>
                <w:rFonts w:asciiTheme="minorHAnsi" w:eastAsiaTheme="minorEastAsia" w:hAnsiTheme="minorHAnsi"/>
                <w:lang w:eastAsia="en-AU"/>
              </w:rPr>
              <w:tab/>
            </w:r>
            <w:r w:rsidRPr="0065666F">
              <w:rPr>
                <w:rStyle w:val="Hyperlink"/>
              </w:rPr>
              <w:t>Enforcement</w:t>
            </w:r>
            <w:r>
              <w:rPr>
                <w:webHidden/>
              </w:rPr>
              <w:tab/>
            </w:r>
            <w:r>
              <w:rPr>
                <w:webHidden/>
              </w:rPr>
              <w:fldChar w:fldCharType="begin"/>
            </w:r>
            <w:r>
              <w:rPr>
                <w:webHidden/>
              </w:rPr>
              <w:instrText xml:space="preserve"> PAGEREF _Toc93994489 \h </w:instrText>
            </w:r>
            <w:r>
              <w:rPr>
                <w:webHidden/>
              </w:rPr>
            </w:r>
            <w:r>
              <w:rPr>
                <w:webHidden/>
              </w:rPr>
              <w:fldChar w:fldCharType="separate"/>
            </w:r>
            <w:r>
              <w:rPr>
                <w:webHidden/>
              </w:rPr>
              <w:t>7</w:t>
            </w:r>
            <w:r>
              <w:rPr>
                <w:webHidden/>
              </w:rPr>
              <w:fldChar w:fldCharType="end"/>
            </w:r>
          </w:hyperlink>
        </w:p>
        <w:p w14:paraId="6FF9FDDB" w14:textId="77777777" w:rsidR="000B70C9" w:rsidRDefault="00F74FC6">
          <w:pPr>
            <w:pStyle w:val="TOC1"/>
            <w:rPr>
              <w:rFonts w:asciiTheme="minorHAnsi" w:eastAsiaTheme="minorEastAsia" w:hAnsiTheme="minorHAnsi"/>
              <w:b w:val="0"/>
              <w:lang w:eastAsia="en-AU"/>
            </w:rPr>
          </w:pPr>
          <w:hyperlink w:anchor="_Toc93994490" w:history="1">
            <w:r w:rsidRPr="0065666F">
              <w:rPr>
                <w:rStyle w:val="Hyperlink"/>
              </w:rPr>
              <w:t>Implementation and</w:t>
            </w:r>
            <w:r w:rsidRPr="0065666F">
              <w:rPr>
                <w:rStyle w:val="Hyperlink"/>
              </w:rPr>
              <w:t xml:space="preserve"> delivery</w:t>
            </w:r>
            <w:r>
              <w:rPr>
                <w:webHidden/>
              </w:rPr>
              <w:tab/>
            </w:r>
            <w:r>
              <w:rPr>
                <w:webHidden/>
              </w:rPr>
              <w:fldChar w:fldCharType="begin"/>
            </w:r>
            <w:r>
              <w:rPr>
                <w:webHidden/>
              </w:rPr>
              <w:instrText xml:space="preserve"> PAGEREF _Toc93994490 \h </w:instrText>
            </w:r>
            <w:r>
              <w:rPr>
                <w:webHidden/>
              </w:rPr>
            </w:r>
            <w:r>
              <w:rPr>
                <w:webHidden/>
              </w:rPr>
              <w:fldChar w:fldCharType="separate"/>
            </w:r>
            <w:r>
              <w:rPr>
                <w:webHidden/>
              </w:rPr>
              <w:t>8</w:t>
            </w:r>
            <w:r>
              <w:rPr>
                <w:webHidden/>
              </w:rPr>
              <w:fldChar w:fldCharType="end"/>
            </w:r>
          </w:hyperlink>
        </w:p>
        <w:p w14:paraId="648CAB40" w14:textId="77777777" w:rsidR="000B70C9" w:rsidRDefault="00F74FC6">
          <w:pPr>
            <w:pStyle w:val="TOC3"/>
            <w:tabs>
              <w:tab w:val="left" w:pos="1540"/>
            </w:tabs>
            <w:rPr>
              <w:rFonts w:asciiTheme="minorHAnsi" w:eastAsiaTheme="minorEastAsia" w:hAnsiTheme="minorHAnsi"/>
              <w:lang w:eastAsia="en-AU"/>
            </w:rPr>
          </w:pPr>
          <w:hyperlink w:anchor="_Toc93994491" w:history="1">
            <w:r w:rsidRPr="0065666F">
              <w:rPr>
                <w:rStyle w:val="Hyperlink"/>
              </w:rPr>
              <w:t>1.9</w:t>
            </w:r>
            <w:r>
              <w:rPr>
                <w:rFonts w:asciiTheme="minorHAnsi" w:eastAsiaTheme="minorEastAsia" w:hAnsiTheme="minorHAnsi"/>
                <w:lang w:eastAsia="en-AU"/>
              </w:rPr>
              <w:tab/>
            </w:r>
            <w:r w:rsidRPr="0065666F">
              <w:rPr>
                <w:rStyle w:val="Hyperlink"/>
              </w:rPr>
              <w:t>Roles and responsibilities:</w:t>
            </w:r>
            <w:r>
              <w:rPr>
                <w:webHidden/>
              </w:rPr>
              <w:tab/>
            </w:r>
            <w:r>
              <w:rPr>
                <w:webHidden/>
              </w:rPr>
              <w:fldChar w:fldCharType="begin"/>
            </w:r>
            <w:r>
              <w:rPr>
                <w:webHidden/>
              </w:rPr>
              <w:instrText xml:space="preserve"> PAGEREF _Toc93994491 \h </w:instrText>
            </w:r>
            <w:r>
              <w:rPr>
                <w:webHidden/>
              </w:rPr>
            </w:r>
            <w:r>
              <w:rPr>
                <w:webHidden/>
              </w:rPr>
              <w:fldChar w:fldCharType="separate"/>
            </w:r>
            <w:r>
              <w:rPr>
                <w:webHidden/>
              </w:rPr>
              <w:t>8</w:t>
            </w:r>
            <w:r>
              <w:rPr>
                <w:webHidden/>
              </w:rPr>
              <w:fldChar w:fldCharType="end"/>
            </w:r>
          </w:hyperlink>
        </w:p>
        <w:p w14:paraId="03929749" w14:textId="77777777" w:rsidR="000B70C9" w:rsidRDefault="00F74FC6">
          <w:pPr>
            <w:pStyle w:val="TOC1"/>
            <w:rPr>
              <w:rFonts w:asciiTheme="minorHAnsi" w:eastAsiaTheme="minorEastAsia" w:hAnsiTheme="minorHAnsi"/>
              <w:b w:val="0"/>
              <w:lang w:eastAsia="en-AU"/>
            </w:rPr>
          </w:pPr>
          <w:hyperlink w:anchor="_Toc93994492" w:history="1">
            <w:r w:rsidRPr="0065666F">
              <w:rPr>
                <w:rStyle w:val="Hyperlink"/>
              </w:rPr>
              <w:t>Responding to non-compliance</w:t>
            </w:r>
            <w:r>
              <w:rPr>
                <w:webHidden/>
              </w:rPr>
              <w:tab/>
            </w:r>
            <w:r>
              <w:rPr>
                <w:webHidden/>
              </w:rPr>
              <w:fldChar w:fldCharType="begin"/>
            </w:r>
            <w:r>
              <w:rPr>
                <w:webHidden/>
              </w:rPr>
              <w:instrText xml:space="preserve"> PAGEREF _Toc93994492 \h </w:instrText>
            </w:r>
            <w:r>
              <w:rPr>
                <w:webHidden/>
              </w:rPr>
            </w:r>
            <w:r>
              <w:rPr>
                <w:webHidden/>
              </w:rPr>
              <w:fldChar w:fldCharType="separate"/>
            </w:r>
            <w:r>
              <w:rPr>
                <w:webHidden/>
              </w:rPr>
              <w:t>9</w:t>
            </w:r>
            <w:r>
              <w:rPr>
                <w:webHidden/>
              </w:rPr>
              <w:fldChar w:fldCharType="end"/>
            </w:r>
          </w:hyperlink>
        </w:p>
        <w:p w14:paraId="29C2879D" w14:textId="77777777" w:rsidR="00D5760D" w:rsidRDefault="00F74FC6" w:rsidP="00304C8B">
          <w:r>
            <w:rPr>
              <w:b/>
              <w:bCs/>
              <w:noProof/>
            </w:rPr>
            <w:fldChar w:fldCharType="end"/>
          </w:r>
        </w:p>
      </w:sdtContent>
    </w:sdt>
    <w:p w14:paraId="26D95F70" w14:textId="77777777" w:rsidR="000A21A7" w:rsidRPr="000A21A7" w:rsidRDefault="00F74FC6" w:rsidP="000A21A7">
      <w:pPr>
        <w:pStyle w:val="TOCHeading"/>
      </w:pPr>
      <w:r>
        <w:t>Figures</w:t>
      </w:r>
    </w:p>
    <w:p w14:paraId="7C2F1783" w14:textId="77777777" w:rsidR="000B70C9" w:rsidRDefault="00F74FC6">
      <w:pPr>
        <w:pStyle w:val="TableofFigures"/>
        <w:tabs>
          <w:tab w:val="right" w:leader="dot" w:pos="9060"/>
        </w:tabs>
        <w:rPr>
          <w:rFonts w:asciiTheme="minorHAnsi" w:eastAsiaTheme="minorEastAsia" w:hAnsiTheme="minorHAnsi"/>
          <w:noProof/>
          <w:lang w:eastAsia="en-AU"/>
        </w:rPr>
      </w:pPr>
      <w:r>
        <w:fldChar w:fldCharType="begin"/>
      </w:r>
      <w:r>
        <w:instrText xml:space="preserve"> TOC \c "Figure" </w:instrText>
      </w:r>
      <w:r>
        <w:fldChar w:fldCharType="separate"/>
      </w:r>
      <w:r>
        <w:rPr>
          <w:noProof/>
        </w:rPr>
        <w:t>Figure 1: Non-compliance response continuum</w:t>
      </w:r>
      <w:r>
        <w:rPr>
          <w:noProof/>
        </w:rPr>
        <w:tab/>
      </w:r>
      <w:r>
        <w:rPr>
          <w:noProof/>
        </w:rPr>
        <w:fldChar w:fldCharType="begin"/>
      </w:r>
      <w:r>
        <w:rPr>
          <w:noProof/>
        </w:rPr>
        <w:instrText xml:space="preserve"> PAGEREF _Toc93994463 \h </w:instrText>
      </w:r>
      <w:r>
        <w:rPr>
          <w:noProof/>
        </w:rPr>
      </w:r>
      <w:r>
        <w:rPr>
          <w:noProof/>
        </w:rPr>
        <w:fldChar w:fldCharType="separate"/>
      </w:r>
      <w:r>
        <w:rPr>
          <w:noProof/>
        </w:rPr>
        <w:t>10</w:t>
      </w:r>
      <w:r>
        <w:rPr>
          <w:noProof/>
        </w:rPr>
        <w:fldChar w:fldCharType="end"/>
      </w:r>
    </w:p>
    <w:p w14:paraId="35A5F5E6" w14:textId="77777777" w:rsidR="000B70C9" w:rsidRDefault="00F74FC6">
      <w:pPr>
        <w:pStyle w:val="TableofFigures"/>
        <w:tabs>
          <w:tab w:val="right" w:leader="dot" w:pos="9060"/>
        </w:tabs>
        <w:rPr>
          <w:rFonts w:asciiTheme="minorHAnsi" w:eastAsiaTheme="minorEastAsia" w:hAnsiTheme="minorHAnsi"/>
          <w:noProof/>
          <w:lang w:eastAsia="en-AU"/>
        </w:rPr>
      </w:pPr>
      <w:r>
        <w:rPr>
          <w:noProof/>
        </w:rPr>
        <w:t>Figure 2: Table of offences and penalties under the UCH Act.</w:t>
      </w:r>
      <w:r>
        <w:rPr>
          <w:noProof/>
        </w:rPr>
        <w:tab/>
      </w:r>
      <w:r>
        <w:rPr>
          <w:noProof/>
        </w:rPr>
        <w:fldChar w:fldCharType="begin"/>
      </w:r>
      <w:r>
        <w:rPr>
          <w:noProof/>
        </w:rPr>
        <w:instrText xml:space="preserve"> PAGEREF _Toc93994464 \h </w:instrText>
      </w:r>
      <w:r>
        <w:rPr>
          <w:noProof/>
        </w:rPr>
      </w:r>
      <w:r>
        <w:rPr>
          <w:noProof/>
        </w:rPr>
        <w:fldChar w:fldCharType="separate"/>
      </w:r>
      <w:r>
        <w:rPr>
          <w:noProof/>
        </w:rPr>
        <w:t>11</w:t>
      </w:r>
      <w:r>
        <w:rPr>
          <w:noProof/>
        </w:rPr>
        <w:fldChar w:fldCharType="end"/>
      </w:r>
    </w:p>
    <w:p w14:paraId="3AD75564" w14:textId="77777777" w:rsidR="00226E64" w:rsidRPr="00226E64" w:rsidRDefault="00F74FC6" w:rsidP="00226E64">
      <w:r>
        <w:fldChar w:fldCharType="end"/>
      </w:r>
    </w:p>
    <w:p w14:paraId="71F3B930" w14:textId="77777777" w:rsidR="00240ECE" w:rsidRDefault="00F74FC6" w:rsidP="00D5760D">
      <w:pPr>
        <w:spacing w:after="0" w:line="240" w:lineRule="auto"/>
        <w:rPr>
          <w:noProof/>
        </w:rPr>
      </w:pPr>
      <w:r>
        <w:rPr>
          <w:noProof/>
        </w:rPr>
        <w:br w:type="page"/>
      </w:r>
    </w:p>
    <w:p w14:paraId="2E145ACD" w14:textId="77777777" w:rsidR="00764D6A" w:rsidRDefault="00F74FC6" w:rsidP="00BD664D">
      <w:pPr>
        <w:pStyle w:val="Heading1"/>
      </w:pPr>
      <w:bookmarkStart w:id="1" w:name="_Toc93994480"/>
      <w:r>
        <w:lastRenderedPageBreak/>
        <w:t>Introduction</w:t>
      </w:r>
      <w:bookmarkEnd w:id="1"/>
    </w:p>
    <w:p w14:paraId="5DEC47C2" w14:textId="77777777" w:rsidR="00CF1910" w:rsidRDefault="00F74FC6" w:rsidP="00CF1910">
      <w:r>
        <w:t>Individual shipwrecks and other underwater cultural heritage sites are each unique and their cultural values cannot be recovered once they are damaged or destroyed. This valuable and irreplaceable cultural resource belongs to all Australians a</w:t>
      </w:r>
      <w:r>
        <w:t>nd is protected for their current enjoyment and education as well as providing a cultural inheritance to future generations.</w:t>
      </w:r>
    </w:p>
    <w:p w14:paraId="4C89BCC9" w14:textId="77777777" w:rsidR="00CF1910" w:rsidRDefault="00F74FC6" w:rsidP="00CF1910">
      <w:r>
        <w:t xml:space="preserve">The </w:t>
      </w:r>
      <w:r w:rsidRPr="00677630">
        <w:rPr>
          <w:i/>
          <w:iCs/>
        </w:rPr>
        <w:t>Underwater Cultural Heritage Act 2018</w:t>
      </w:r>
      <w:r>
        <w:t xml:space="preserve"> (UCH Act) protects the integrity of Australia’s underwater cultural heritage sites in-sit</w:t>
      </w:r>
      <w:r>
        <w:t xml:space="preserve">u and individual artefacts associated with those sites. This includes our unique historic shipwrecks, sunken aircraft and military vessels and associated human remains, both in Australian waters and in waters outside Australian jurisdiction. </w:t>
      </w:r>
    </w:p>
    <w:p w14:paraId="5B1C46A8" w14:textId="77777777" w:rsidR="00CF1910" w:rsidRDefault="00F74FC6" w:rsidP="00CF1910">
      <w:r>
        <w:t>The protectio</w:t>
      </w:r>
      <w:r>
        <w:t xml:space="preserve">n of underwater cultural heritage sites includes the natural environment that immediately surrounds them and the archaeological context, such as the positions of artefacts located within the site. </w:t>
      </w:r>
      <w:proofErr w:type="gramStart"/>
      <w:r>
        <w:t>This is why</w:t>
      </w:r>
      <w:proofErr w:type="gramEnd"/>
      <w:r>
        <w:t xml:space="preserve"> the UCH Act protects underwater cultural herita</w:t>
      </w:r>
      <w:r>
        <w:t>ge sites against all direct or indirect adverse impacts</w:t>
      </w:r>
      <w:r w:rsidR="00580212">
        <w:t>, which includes unpermitted artefact recovery</w:t>
      </w:r>
      <w:r>
        <w:t xml:space="preserve">.  </w:t>
      </w:r>
    </w:p>
    <w:p w14:paraId="66CF7A7D" w14:textId="77777777" w:rsidR="00CF1910" w:rsidRDefault="00F74FC6" w:rsidP="00CF1910">
      <w:r>
        <w:t>The UCH Act came into effect</w:t>
      </w:r>
      <w:r w:rsidR="00677630">
        <w:t xml:space="preserve"> </w:t>
      </w:r>
      <w:r w:rsidR="00580212">
        <w:t>on 1 July</w:t>
      </w:r>
      <w:r>
        <w:t xml:space="preserve"> 2019 and its predecessor, the </w:t>
      </w:r>
      <w:r w:rsidRPr="00677630">
        <w:rPr>
          <w:i/>
          <w:iCs/>
        </w:rPr>
        <w:t>Historic Shipwrecks Act 1976</w:t>
      </w:r>
      <w:r>
        <w:t xml:space="preserve"> (the HS Act) was repealed. The UCH Act protects over </w:t>
      </w:r>
      <w:r>
        <w:t xml:space="preserve">8000 maritime sites and over 500,000 artefacts, many of which are in public possession and can be traded lawfully. The scope and modernisation of the UCH Act aligns with international best practice and the requirements of the UNESCO 2001 </w:t>
      </w:r>
      <w:r w:rsidRPr="00677630">
        <w:rPr>
          <w:i/>
          <w:iCs/>
        </w:rPr>
        <w:t xml:space="preserve">Convention on the </w:t>
      </w:r>
      <w:r w:rsidRPr="00677630">
        <w:rPr>
          <w:i/>
          <w:iCs/>
        </w:rPr>
        <w:t>Protection of the Underwater Cultural Heritage</w:t>
      </w:r>
      <w:r>
        <w:t xml:space="preserve"> (the UCH Convention).</w:t>
      </w:r>
    </w:p>
    <w:p w14:paraId="409AF6FC" w14:textId="77777777" w:rsidR="00CF1910" w:rsidRPr="00CF1910" w:rsidRDefault="00F74FC6" w:rsidP="00CF1910">
      <w:r>
        <w:t xml:space="preserve">This Compliance Strategy sets out the key elements of the Department of Agriculture, </w:t>
      </w:r>
      <w:proofErr w:type="gramStart"/>
      <w:r>
        <w:t>Water</w:t>
      </w:r>
      <w:proofErr w:type="gramEnd"/>
      <w:r>
        <w:t xml:space="preserve"> and the Environment’s (the </w:t>
      </w:r>
      <w:r w:rsidR="00FA2073">
        <w:t>d</w:t>
      </w:r>
      <w:r>
        <w:t xml:space="preserve">epartment) approach to achieving compliance objectives under the UCH Act. Further detail is provided in the operational guidelines which </w:t>
      </w:r>
      <w:r>
        <w:t xml:space="preserve">have been developed to inform the day-to-day operation of the </w:t>
      </w:r>
      <w:r w:rsidR="00580212">
        <w:t xml:space="preserve">Australian </w:t>
      </w:r>
      <w:r>
        <w:t xml:space="preserve">Underwater Cultural Heritage Program (the </w:t>
      </w:r>
      <w:r w:rsidR="00580212">
        <w:t>A</w:t>
      </w:r>
      <w:r>
        <w:t>UCH Program).</w:t>
      </w:r>
    </w:p>
    <w:p w14:paraId="1401F8C4" w14:textId="77777777" w:rsidR="00764D6A" w:rsidRDefault="00F74FC6" w:rsidP="00BD664D">
      <w:pPr>
        <w:pStyle w:val="Heading3"/>
      </w:pPr>
      <w:bookmarkStart w:id="2" w:name="_Toc93994481"/>
      <w:r>
        <w:t>Why are these sites at risk of non-compliance?</w:t>
      </w:r>
      <w:bookmarkEnd w:id="2"/>
    </w:p>
    <w:p w14:paraId="2AB13B2A" w14:textId="77777777" w:rsidR="00CF1910" w:rsidRDefault="00F74FC6" w:rsidP="00CF1910">
      <w:r>
        <w:t>Australia’s approximately 8000 protected underwater cultural heritage sites are</w:t>
      </w:r>
      <w:r>
        <w:t xml:space="preserve"> dispersed around our 25,760 km coastline, from near the shore to 200 nautical miles out from the coastline. Most sites are in remote </w:t>
      </w:r>
      <w:proofErr w:type="gramStart"/>
      <w:r>
        <w:t>areas</w:t>
      </w:r>
      <w:proofErr w:type="gramEnd"/>
      <w:r>
        <w:t xml:space="preserve"> and this presents significant challenges for the delivery of effective compliance activities. Of the total resource,</w:t>
      </w:r>
      <w:r>
        <w:t xml:space="preserve"> approximately 5000 sites have shared heritage values with other countries and this association is reflected in Australia’s Treaties, agreements, exchanges of letters or Memoranda of Understanding with those countries. </w:t>
      </w:r>
    </w:p>
    <w:p w14:paraId="6C378A6E" w14:textId="77777777" w:rsidR="00CF1910" w:rsidRDefault="00F74FC6" w:rsidP="00CF1910">
      <w:r>
        <w:t xml:space="preserve">Underwater cultural heritage sites, </w:t>
      </w:r>
      <w:r>
        <w:t>particularly shipwrecks, are made up of many thousands of small associated artefacts from the cargo, the possessions of crew and passengers. These artefacts, when looted, become collectable and or tradable commodities, individually worth from tens to hundr</w:t>
      </w:r>
      <w:r>
        <w:t xml:space="preserve">eds of thousands of dollars per item. Most shipwreck sites are also the final resting place for people. Our management response and international responsibilities vary based on the shared heritage and cultural values associated with human remains. Many of </w:t>
      </w:r>
      <w:r>
        <w:t xml:space="preserve">the artefacts removed from sites </w:t>
      </w:r>
      <w:r w:rsidR="00580212">
        <w:t xml:space="preserve">prior to their declaration as protected </w:t>
      </w:r>
      <w:proofErr w:type="spellStart"/>
      <w:r w:rsidR="00580212">
        <w:t>andwhich</w:t>
      </w:r>
      <w:proofErr w:type="spellEnd"/>
      <w:r w:rsidR="00580212">
        <w:t xml:space="preserve"> were subsequently notified to the Minister, have been</w:t>
      </w:r>
      <w:r>
        <w:t xml:space="preserve"> permitted to remain in the possession, custody or control of private </w:t>
      </w:r>
      <w:r>
        <w:lastRenderedPageBreak/>
        <w:t>individuals or institutions. The movements and cust</w:t>
      </w:r>
      <w:r>
        <w:t xml:space="preserve">odianship of these </w:t>
      </w:r>
      <w:r w:rsidR="00580212">
        <w:t xml:space="preserve">notified </w:t>
      </w:r>
      <w:r>
        <w:t xml:space="preserve">artefacts is monitored and controlled under the UCH Act so that the artefacts are preserved.  </w:t>
      </w:r>
    </w:p>
    <w:p w14:paraId="29C68570" w14:textId="77777777" w:rsidR="00CF1910" w:rsidRDefault="00F74FC6" w:rsidP="00CF1910">
      <w:r>
        <w:t>Operating on the water and protecting underwater cultural heritage has own complexities and requires a bespoke response. The remote a</w:t>
      </w:r>
      <w:r>
        <w:t>nd disbursed locations and underwater environment, where protected sites and objects are located, increases the chances of a breach not being detected or evidence being lost due to the time between a breach occurring and it being detected before the invest</w:t>
      </w:r>
      <w:r>
        <w:t xml:space="preserve">igation commences. The risk of non-compliance is further increased by the </w:t>
      </w:r>
      <w:r w:rsidR="00F16718">
        <w:t>ability of</w:t>
      </w:r>
      <w:r>
        <w:t xml:space="preserve"> people engaged in non-compliant activities to influence others to join in non</w:t>
      </w:r>
      <w:r w:rsidR="00F16718">
        <w:t>-</w:t>
      </w:r>
      <w:r>
        <w:t>compliant activity if the appropriate enforcement consequences are not applied in a timely ma</w:t>
      </w:r>
      <w:r>
        <w:t xml:space="preserve">nner. Additionally, the regulated community is emboldened by </w:t>
      </w:r>
      <w:r w:rsidR="00F16718">
        <w:t xml:space="preserve">a </w:t>
      </w:r>
      <w:r>
        <w:t xml:space="preserve">lack of consistency and rigour in monitoring on the water and on shore. The lack of compliance monitoring enables illegal activities to go undetected. Delays in compliance responses enable the </w:t>
      </w:r>
      <w:r>
        <w:t xml:space="preserve">non-compliant activities to continue even after being identified. </w:t>
      </w:r>
    </w:p>
    <w:p w14:paraId="3FF9EDAF" w14:textId="77777777" w:rsidR="00CF1910" w:rsidRPr="00CF1910" w:rsidRDefault="00F74FC6" w:rsidP="00CF1910">
      <w:r>
        <w:t>As such, the method of protecting UCH sites from the risk of non-compliance is necessarily bespoke and must include significant on-water compliance monitoring, with our State and Northern T</w:t>
      </w:r>
      <w:r>
        <w:t>erritory co-regulators, and face-to-face engagement with the regulated community, in addition to online messaging and dissemination of information.</w:t>
      </w:r>
      <w:r w:rsidR="00F16718">
        <w:t xml:space="preserve"> </w:t>
      </w:r>
    </w:p>
    <w:p w14:paraId="72201DCD" w14:textId="77777777" w:rsidR="00E1508F" w:rsidRDefault="00F74FC6" w:rsidP="00BD664D">
      <w:pPr>
        <w:pStyle w:val="Heading3"/>
      </w:pPr>
      <w:bookmarkStart w:id="3" w:name="_Toc93994482"/>
      <w:bookmarkStart w:id="4" w:name="_Toc430782151"/>
      <w:r>
        <w:t>What does non-compliance look like?</w:t>
      </w:r>
      <w:bookmarkEnd w:id="3"/>
      <w:r>
        <w:t xml:space="preserve"> </w:t>
      </w:r>
    </w:p>
    <w:p w14:paraId="55242966" w14:textId="77777777" w:rsidR="00E1508F" w:rsidRDefault="00F74FC6" w:rsidP="00E1508F">
      <w:r>
        <w:t>Some examples of activities that are in breach of the UCH Act include:</w:t>
      </w:r>
      <w:r>
        <w:t xml:space="preserve"> </w:t>
      </w:r>
    </w:p>
    <w:p w14:paraId="6755057E" w14:textId="77777777" w:rsidR="00E1508F" w:rsidRPr="00D9212B" w:rsidRDefault="00F74FC6" w:rsidP="00D9212B">
      <w:pPr>
        <w:pStyle w:val="ListBullet2"/>
      </w:pPr>
      <w:r w:rsidRPr="00D9212B">
        <w:t xml:space="preserve">Damage, disturbance and looting of underwater cultural heritage </w:t>
      </w:r>
      <w:proofErr w:type="gramStart"/>
      <w:r w:rsidRPr="00D9212B">
        <w:t>sites;</w:t>
      </w:r>
      <w:proofErr w:type="gramEnd"/>
      <w:r w:rsidRPr="00D9212B">
        <w:t xml:space="preserve"> </w:t>
      </w:r>
    </w:p>
    <w:p w14:paraId="43C0B200" w14:textId="77777777" w:rsidR="00E1508F" w:rsidRPr="00D9212B" w:rsidRDefault="00F74FC6" w:rsidP="00D9212B">
      <w:pPr>
        <w:pStyle w:val="ListBullet2"/>
      </w:pPr>
      <w:r w:rsidRPr="00D9212B">
        <w:t xml:space="preserve">un-authorised entry or activities in protected </w:t>
      </w:r>
      <w:proofErr w:type="gramStart"/>
      <w:r w:rsidRPr="00D9212B">
        <w:t>zones;</w:t>
      </w:r>
      <w:proofErr w:type="gramEnd"/>
    </w:p>
    <w:p w14:paraId="5279942C" w14:textId="77777777" w:rsidR="00E1508F" w:rsidRPr="00D9212B" w:rsidRDefault="00F74FC6" w:rsidP="00D9212B">
      <w:pPr>
        <w:pStyle w:val="ListBullet2"/>
      </w:pPr>
      <w:r w:rsidRPr="00D9212B">
        <w:t xml:space="preserve">breaches of permit </w:t>
      </w:r>
      <w:proofErr w:type="gramStart"/>
      <w:r w:rsidRPr="00D9212B">
        <w:t>conditions;</w:t>
      </w:r>
      <w:proofErr w:type="gramEnd"/>
      <w:r w:rsidRPr="00D9212B">
        <w:t xml:space="preserve"> </w:t>
      </w:r>
    </w:p>
    <w:p w14:paraId="1D364496" w14:textId="77777777" w:rsidR="00E1508F" w:rsidRPr="00D9212B" w:rsidRDefault="00F74FC6" w:rsidP="00D9212B">
      <w:pPr>
        <w:pStyle w:val="ListBullet2"/>
      </w:pPr>
      <w:r w:rsidRPr="00D9212B">
        <w:t xml:space="preserve">illegal possession of underwater cultural heritage </w:t>
      </w:r>
      <w:proofErr w:type="gramStart"/>
      <w:r w:rsidRPr="00D9212B">
        <w:t>artefacts;</w:t>
      </w:r>
      <w:proofErr w:type="gramEnd"/>
      <w:r w:rsidRPr="00D9212B">
        <w:t xml:space="preserve"> </w:t>
      </w:r>
    </w:p>
    <w:p w14:paraId="45F1F7D9" w14:textId="77777777" w:rsidR="00E1508F" w:rsidRPr="00D9212B" w:rsidRDefault="00F74FC6" w:rsidP="00D9212B">
      <w:pPr>
        <w:pStyle w:val="ListBullet2"/>
      </w:pPr>
      <w:r w:rsidRPr="00D9212B">
        <w:t>export or attempted export of und</w:t>
      </w:r>
      <w:r w:rsidRPr="00D9212B">
        <w:t xml:space="preserve">erwater cultural </w:t>
      </w:r>
      <w:proofErr w:type="gramStart"/>
      <w:r w:rsidRPr="00D9212B">
        <w:t>heritage;</w:t>
      </w:r>
      <w:proofErr w:type="gramEnd"/>
      <w:r w:rsidRPr="00D9212B">
        <w:t xml:space="preserve"> </w:t>
      </w:r>
    </w:p>
    <w:p w14:paraId="6EBE1300" w14:textId="77777777" w:rsidR="00E1508F" w:rsidRPr="00D9212B" w:rsidRDefault="00F74FC6" w:rsidP="00D9212B">
      <w:pPr>
        <w:pStyle w:val="ListBullet2"/>
      </w:pPr>
      <w:r w:rsidRPr="00D9212B">
        <w:t>transfer or sale of underwater cultural heritage artefacts without a permit; and</w:t>
      </w:r>
    </w:p>
    <w:p w14:paraId="0CEBD8AB" w14:textId="77777777" w:rsidR="00E1508F" w:rsidRPr="00D9212B" w:rsidRDefault="00F74FC6" w:rsidP="00D9212B">
      <w:pPr>
        <w:pStyle w:val="ListBullet2"/>
      </w:pPr>
      <w:r w:rsidRPr="00D9212B">
        <w:t>advertising underwater cultural heritage artefacts for sale without a permit.</w:t>
      </w:r>
    </w:p>
    <w:p w14:paraId="4EE3E0BA" w14:textId="77777777" w:rsidR="00E1508F" w:rsidRDefault="00F74FC6" w:rsidP="00BD664D">
      <w:pPr>
        <w:pStyle w:val="Heading3"/>
      </w:pPr>
      <w:bookmarkStart w:id="5" w:name="_Toc93994483"/>
      <w:r>
        <w:t>Compliance objectives</w:t>
      </w:r>
      <w:bookmarkEnd w:id="5"/>
    </w:p>
    <w:p w14:paraId="173119C9" w14:textId="77777777" w:rsidR="00E1508F" w:rsidRDefault="00F74FC6" w:rsidP="00E1508F">
      <w:r>
        <w:t xml:space="preserve">The </w:t>
      </w:r>
      <w:r w:rsidR="006122CE">
        <w:t>d</w:t>
      </w:r>
      <w:r>
        <w:t xml:space="preserve">epartment’ s objectives for compliance in </w:t>
      </w:r>
      <w:r>
        <w:t>relation to the UCH Act include:</w:t>
      </w:r>
    </w:p>
    <w:p w14:paraId="51B7022B" w14:textId="77777777" w:rsidR="00E1508F" w:rsidRPr="00E1508F" w:rsidRDefault="00F74FC6" w:rsidP="00E1508F">
      <w:pPr>
        <w:pStyle w:val="ListBullet2"/>
      </w:pPr>
      <w:r w:rsidRPr="00E1508F">
        <w:t xml:space="preserve">Australia’s underwater cultural heritage is identified, protected and conserved in a way that is consistent, efficient and proportionate to </w:t>
      </w:r>
      <w:proofErr w:type="gramStart"/>
      <w:r w:rsidRPr="00E1508F">
        <w:t>risk;</w:t>
      </w:r>
      <w:proofErr w:type="gramEnd"/>
      <w:r w:rsidRPr="00E1508F">
        <w:t xml:space="preserve"> </w:t>
      </w:r>
    </w:p>
    <w:p w14:paraId="74DB16C4" w14:textId="77777777" w:rsidR="00E1508F" w:rsidRPr="00E1508F" w:rsidRDefault="00F74FC6" w:rsidP="00E1508F">
      <w:pPr>
        <w:pStyle w:val="ListBullet2"/>
      </w:pPr>
      <w:r w:rsidRPr="00E1508F">
        <w:t>public awareness, understanding, appreciation and the appropriate use of Aus</w:t>
      </w:r>
      <w:r w:rsidRPr="00E1508F">
        <w:t>tralia’s underwater cultural heritage is promoted and enhanced to prevent and detect non-compliance; and</w:t>
      </w:r>
    </w:p>
    <w:p w14:paraId="140553AB" w14:textId="77777777" w:rsidR="00E1508F" w:rsidRPr="00E1508F" w:rsidRDefault="00F74FC6" w:rsidP="00E1508F">
      <w:pPr>
        <w:pStyle w:val="ListBullet2"/>
      </w:pPr>
      <w:r w:rsidRPr="00E1508F">
        <w:t>national and international stakeholders have confidence in the protection of Australia’s underwater cultural heritage and the cooperative implementatio</w:t>
      </w:r>
      <w:r w:rsidRPr="00E1508F">
        <w:t>n of maritime heritage responsibilities.</w:t>
      </w:r>
    </w:p>
    <w:p w14:paraId="2B678158" w14:textId="77777777" w:rsidR="00E1508F" w:rsidRPr="00BD664D" w:rsidRDefault="00F74FC6" w:rsidP="00BD664D">
      <w:pPr>
        <w:pStyle w:val="Heading1"/>
      </w:pPr>
      <w:bookmarkStart w:id="6" w:name="_Toc93994484"/>
      <w:r w:rsidRPr="00BD664D">
        <w:t>Compliance approach</w:t>
      </w:r>
      <w:bookmarkEnd w:id="6"/>
      <w:r w:rsidRPr="00BD664D">
        <w:t xml:space="preserve"> </w:t>
      </w:r>
    </w:p>
    <w:p w14:paraId="3CD9C59D" w14:textId="77777777" w:rsidR="00E1508F" w:rsidRDefault="00F74FC6" w:rsidP="00E1508F">
      <w:r>
        <w:t xml:space="preserve">This strategy outlines the </w:t>
      </w:r>
      <w:r w:rsidR="006122CE">
        <w:t>d</w:t>
      </w:r>
      <w:r>
        <w:t xml:space="preserve">epartment’s approach to aspects of regulatory activities under the UCH Act.  </w:t>
      </w:r>
      <w:r w:rsidR="006122CE">
        <w:t xml:space="preserve">The department uses this document in conjunction with its </w:t>
      </w:r>
      <w:r>
        <w:t xml:space="preserve">overarching Compliance </w:t>
      </w:r>
      <w:r>
        <w:lastRenderedPageBreak/>
        <w:t>Policy w</w:t>
      </w:r>
      <w:r>
        <w:t xml:space="preserve">hich outlines the range of tools the </w:t>
      </w:r>
      <w:r w:rsidR="006122CE">
        <w:t>d</w:t>
      </w:r>
      <w:r>
        <w:t xml:space="preserve">epartment applies to improve compliance with the laws it administers.  The </w:t>
      </w:r>
      <w:r w:rsidR="006122CE">
        <w:t>d</w:t>
      </w:r>
      <w:r>
        <w:t xml:space="preserve">epartment’s approach includes helping the public to understand how to comply with their obligations, educating those who want to do the right </w:t>
      </w:r>
      <w:r>
        <w:t>thing, and an overall approach to deter, detect and respond to non-compliance to ensure ongoing regulatory integrity.</w:t>
      </w:r>
    </w:p>
    <w:p w14:paraId="097EFE2B" w14:textId="77777777" w:rsidR="00E1508F" w:rsidRDefault="00F74FC6" w:rsidP="00BD664D">
      <w:pPr>
        <w:pStyle w:val="Heading3"/>
      </w:pPr>
      <w:bookmarkStart w:id="7" w:name="_Toc93994485"/>
      <w:r>
        <w:t>Identifying and assessing compliance risks</w:t>
      </w:r>
      <w:bookmarkEnd w:id="7"/>
    </w:p>
    <w:p w14:paraId="67E95AD6" w14:textId="77777777" w:rsidR="00E1508F" w:rsidRDefault="00F74FC6" w:rsidP="00E1508F">
      <w:r>
        <w:t xml:space="preserve">The </w:t>
      </w:r>
      <w:r w:rsidR="006122CE">
        <w:t>d</w:t>
      </w:r>
      <w:r>
        <w:t xml:space="preserve">epartment identifies and assesses compliance risks to inform the most appropriate responses and calculate where focussed efforts are required. In relation to the UCH Act, there are three separate but related major risks: </w:t>
      </w:r>
    </w:p>
    <w:p w14:paraId="7E4EABD0" w14:textId="77777777" w:rsidR="00E1508F" w:rsidRDefault="00F74FC6" w:rsidP="00E1508F">
      <w:pPr>
        <w:pStyle w:val="ListNumber"/>
      </w:pPr>
      <w:r>
        <w:t>Damage, disturbance and looting of</w:t>
      </w:r>
      <w:r>
        <w:t xml:space="preserve"> offshore underwater heritage sites.</w:t>
      </w:r>
    </w:p>
    <w:p w14:paraId="2B22563B" w14:textId="77777777" w:rsidR="00E1508F" w:rsidRDefault="00F74FC6" w:rsidP="00E1508F">
      <w:pPr>
        <w:pStyle w:val="ListNumber"/>
      </w:pPr>
      <w:r>
        <w:t>Damage, disturbance and looting of inter-tidal and shore</w:t>
      </w:r>
      <w:r w:rsidR="00F16718">
        <w:t>-</w:t>
      </w:r>
      <w:r>
        <w:t xml:space="preserve">based underwater heritage sites. </w:t>
      </w:r>
    </w:p>
    <w:p w14:paraId="5F52DF16" w14:textId="77777777" w:rsidR="00E1508F" w:rsidRDefault="00F74FC6" w:rsidP="00E1508F">
      <w:pPr>
        <w:pStyle w:val="ListNumber"/>
      </w:pPr>
      <w:r>
        <w:t xml:space="preserve">Illicit trade of protected artefacts includes: </w:t>
      </w:r>
    </w:p>
    <w:p w14:paraId="09453E0A" w14:textId="77777777" w:rsidR="00E1508F" w:rsidRDefault="00F74FC6" w:rsidP="00E1508F">
      <w:pPr>
        <w:pStyle w:val="ListNumber3"/>
      </w:pPr>
      <w:r>
        <w:t xml:space="preserve">artefacts that have been recovered without </w:t>
      </w:r>
      <w:proofErr w:type="gramStart"/>
      <w:r>
        <w:t>permit;</w:t>
      </w:r>
      <w:proofErr w:type="gramEnd"/>
      <w:r>
        <w:t xml:space="preserve"> </w:t>
      </w:r>
    </w:p>
    <w:p w14:paraId="4069C074" w14:textId="77777777" w:rsidR="00E1508F" w:rsidRDefault="00F74FC6" w:rsidP="00E1508F">
      <w:pPr>
        <w:pStyle w:val="ListNumber3"/>
      </w:pPr>
      <w:r>
        <w:t xml:space="preserve">possession of un-permitted artefacts not notified to the </w:t>
      </w:r>
      <w:proofErr w:type="gramStart"/>
      <w:r>
        <w:t>Minister;</w:t>
      </w:r>
      <w:proofErr w:type="gramEnd"/>
      <w:r>
        <w:t xml:space="preserve"> </w:t>
      </w:r>
    </w:p>
    <w:p w14:paraId="3408EC2C" w14:textId="77777777" w:rsidR="00E1508F" w:rsidRDefault="00F74FC6" w:rsidP="00E1508F">
      <w:pPr>
        <w:pStyle w:val="ListNumber3"/>
      </w:pPr>
      <w:r>
        <w:t xml:space="preserve">artefacts that were advertised for sale without disclosing a permit </w:t>
      </w:r>
      <w:proofErr w:type="gramStart"/>
      <w:r>
        <w:t>number;</w:t>
      </w:r>
      <w:proofErr w:type="gramEnd"/>
      <w:r>
        <w:t xml:space="preserve"> </w:t>
      </w:r>
    </w:p>
    <w:p w14:paraId="55591924" w14:textId="77777777" w:rsidR="00E1508F" w:rsidRDefault="00F74FC6" w:rsidP="00E1508F">
      <w:pPr>
        <w:pStyle w:val="ListNumber3"/>
      </w:pPr>
      <w:r>
        <w:t xml:space="preserve">the transfer of possession of an un-notified artefact; and </w:t>
      </w:r>
    </w:p>
    <w:p w14:paraId="56266D04" w14:textId="77777777" w:rsidR="00E1508F" w:rsidRDefault="00F74FC6" w:rsidP="00E1508F">
      <w:pPr>
        <w:pStyle w:val="ListNumber3"/>
      </w:pPr>
      <w:r>
        <w:t>the import or export of artefacts without permit.</w:t>
      </w:r>
    </w:p>
    <w:p w14:paraId="1B3124B9" w14:textId="77777777" w:rsidR="00E1508F" w:rsidRDefault="00F74FC6" w:rsidP="00E1508F">
      <w:r>
        <w:t xml:space="preserve">Factors associated with the risk of disturbance and looting to heritage sites vary across Australia and occur across a wide range of locations. The sources of risks include: </w:t>
      </w:r>
    </w:p>
    <w:p w14:paraId="475A80C2" w14:textId="77777777" w:rsidR="00E1508F" w:rsidRPr="00E1508F" w:rsidRDefault="00F74FC6" w:rsidP="00E1508F">
      <w:pPr>
        <w:pStyle w:val="ListBullet2"/>
      </w:pPr>
      <w:r w:rsidRPr="00E1508F">
        <w:t>remoteness or visibility (oppo</w:t>
      </w:r>
      <w:r w:rsidRPr="00E1508F">
        <w:t>rtunity to act without surveillance</w:t>
      </w:r>
      <w:proofErr w:type="gramStart"/>
      <w:r w:rsidRPr="00E1508F">
        <w:t>);</w:t>
      </w:r>
      <w:proofErr w:type="gramEnd"/>
      <w:r w:rsidRPr="00E1508F">
        <w:t xml:space="preserve"> </w:t>
      </w:r>
    </w:p>
    <w:p w14:paraId="760A6B1D" w14:textId="77777777" w:rsidR="00E1508F" w:rsidRPr="00E1508F" w:rsidRDefault="00F74FC6" w:rsidP="00E1508F">
      <w:pPr>
        <w:pStyle w:val="ListBullet2"/>
      </w:pPr>
      <w:r w:rsidRPr="00E1508F">
        <w:t>proximity (close to shore, on shore or easily accessed by boat</w:t>
      </w:r>
      <w:proofErr w:type="gramStart"/>
      <w:r w:rsidRPr="00E1508F">
        <w:t>);</w:t>
      </w:r>
      <w:proofErr w:type="gramEnd"/>
    </w:p>
    <w:p w14:paraId="08BC332C" w14:textId="77777777" w:rsidR="00E1508F" w:rsidRPr="00E1508F" w:rsidRDefault="00F74FC6" w:rsidP="00E1508F">
      <w:pPr>
        <w:pStyle w:val="ListBullet2"/>
      </w:pPr>
      <w:r w:rsidRPr="00E1508F">
        <w:t xml:space="preserve">the intrinsic and extrinsic value of the material culture to be looted (precious gems and metals as well as the collectability of the artefacts, with a </w:t>
      </w:r>
      <w:r w:rsidRPr="00E1508F">
        <w:t>potential profit from sale</w:t>
      </w:r>
      <w:proofErr w:type="gramStart"/>
      <w:r w:rsidRPr="00E1508F">
        <w:t>);</w:t>
      </w:r>
      <w:proofErr w:type="gramEnd"/>
      <w:r w:rsidRPr="00E1508F">
        <w:t xml:space="preserve"> </w:t>
      </w:r>
    </w:p>
    <w:p w14:paraId="3703C75F" w14:textId="77777777" w:rsidR="00E1508F" w:rsidRPr="00E1508F" w:rsidRDefault="00F74FC6" w:rsidP="00E1508F">
      <w:pPr>
        <w:pStyle w:val="ListBullet2"/>
      </w:pPr>
      <w:r w:rsidRPr="00E1508F">
        <w:t>depth (located in shallow waters or within depths accessible only by trained divers with specific equipment); and</w:t>
      </w:r>
    </w:p>
    <w:p w14:paraId="27045DAE" w14:textId="77777777" w:rsidR="00E1508F" w:rsidRPr="00E1508F" w:rsidRDefault="00F74FC6" w:rsidP="00E1508F">
      <w:pPr>
        <w:pStyle w:val="ListBullet2"/>
      </w:pPr>
      <w:r w:rsidRPr="00E1508F">
        <w:t>a combination of any or all the above.</w:t>
      </w:r>
    </w:p>
    <w:p w14:paraId="6D8AB1B4" w14:textId="77777777" w:rsidR="00E1508F" w:rsidRDefault="00F74FC6" w:rsidP="00BD664D">
      <w:pPr>
        <w:pStyle w:val="Heading3"/>
      </w:pPr>
      <w:bookmarkStart w:id="8" w:name="_Toc93994486"/>
      <w:r>
        <w:t>Education and raising awareness of the regulated community</w:t>
      </w:r>
      <w:bookmarkEnd w:id="8"/>
    </w:p>
    <w:p w14:paraId="7CD029E4" w14:textId="77777777" w:rsidR="00E1508F" w:rsidRDefault="00F74FC6" w:rsidP="00E1508F">
      <w:r>
        <w:t xml:space="preserve">The </w:t>
      </w:r>
      <w:r w:rsidR="006122CE">
        <w:t>d</w:t>
      </w:r>
      <w:r>
        <w:t>epartment</w:t>
      </w:r>
      <w:r>
        <w:t xml:space="preserve"> recognises that engagement, </w:t>
      </w:r>
      <w:proofErr w:type="gramStart"/>
      <w:r>
        <w:t>education</w:t>
      </w:r>
      <w:proofErr w:type="gramEnd"/>
      <w:r>
        <w:t xml:space="preserve"> and outreach are vital to ensuring the regulated community is equipped with the knowledge to meet their obligations and avoid inadvertent non-compliance. This is a preventive approach and is always preferred to any re</w:t>
      </w:r>
      <w:r>
        <w:t xml:space="preserve">mediation action after non-compliance has already occurred. Non-compliance resulting in destruction to </w:t>
      </w:r>
      <w:r w:rsidR="00F16718">
        <w:t xml:space="preserve">underwater cultural </w:t>
      </w:r>
      <w:r>
        <w:t xml:space="preserve">heritage sites and permanent loss of </w:t>
      </w:r>
      <w:r w:rsidR="00F16718">
        <w:t xml:space="preserve">associated </w:t>
      </w:r>
      <w:r>
        <w:t>artefacts cannot be remedied</w:t>
      </w:r>
      <w:r w:rsidR="00F16718">
        <w:t xml:space="preserve"> along with the loss of the archaeological context of artefacts within the site deposit and the </w:t>
      </w:r>
      <w:proofErr w:type="gramStart"/>
      <w:r w:rsidR="00F16718">
        <w:t>associated  potential</w:t>
      </w:r>
      <w:proofErr w:type="gramEnd"/>
      <w:r w:rsidR="00F16718">
        <w:t xml:space="preserve"> to better understand our history</w:t>
      </w:r>
      <w:r>
        <w:t>. To support prevention of non-compliance, we:</w:t>
      </w:r>
    </w:p>
    <w:p w14:paraId="58E4186C" w14:textId="77777777" w:rsidR="00E1508F" w:rsidRPr="00E1508F" w:rsidRDefault="00F74FC6" w:rsidP="00E1508F">
      <w:pPr>
        <w:pStyle w:val="ListBullet2"/>
      </w:pPr>
      <w:r w:rsidRPr="00E1508F">
        <w:t xml:space="preserve">develop guidance and guidelines to provide clarity on compliance </w:t>
      </w:r>
      <w:proofErr w:type="gramStart"/>
      <w:r w:rsidRPr="00E1508F">
        <w:t>expectations;</w:t>
      </w:r>
      <w:proofErr w:type="gramEnd"/>
    </w:p>
    <w:p w14:paraId="4189C62B" w14:textId="77777777" w:rsidR="00E1508F" w:rsidRPr="00E1508F" w:rsidRDefault="00F74FC6" w:rsidP="00E1508F">
      <w:pPr>
        <w:pStyle w:val="ListBullet2"/>
      </w:pPr>
      <w:r w:rsidRPr="00E1508F">
        <w:t>publish further information resources</w:t>
      </w:r>
      <w:r w:rsidRPr="00E1508F">
        <w:t xml:space="preserve"> such as factsheets, booklets, brochures and online </w:t>
      </w:r>
      <w:proofErr w:type="gramStart"/>
      <w:r w:rsidRPr="00E1508F">
        <w:t>resources;</w:t>
      </w:r>
      <w:proofErr w:type="gramEnd"/>
    </w:p>
    <w:p w14:paraId="5D843EC7" w14:textId="77777777" w:rsidR="00E1508F" w:rsidRPr="00E1508F" w:rsidRDefault="00F74FC6" w:rsidP="00E1508F">
      <w:pPr>
        <w:pStyle w:val="ListBullet2"/>
      </w:pPr>
      <w:r w:rsidRPr="00E1508F">
        <w:lastRenderedPageBreak/>
        <w:t>deliver a proactive and positive on</w:t>
      </w:r>
      <w:r w:rsidR="00F16718">
        <w:t>-</w:t>
      </w:r>
      <w:r w:rsidRPr="00E1508F">
        <w:t xml:space="preserve">water compliance message through Inspectors communicating respectfully to the boating and diving public and local </w:t>
      </w:r>
      <w:proofErr w:type="gramStart"/>
      <w:r w:rsidRPr="00E1508F">
        <w:t>communities;</w:t>
      </w:r>
      <w:proofErr w:type="gramEnd"/>
    </w:p>
    <w:p w14:paraId="35694C5C" w14:textId="77777777" w:rsidR="00E1508F" w:rsidRPr="00E1508F" w:rsidRDefault="00F74FC6" w:rsidP="00E1508F">
      <w:pPr>
        <w:pStyle w:val="ListBullet2"/>
      </w:pPr>
      <w:r w:rsidRPr="00E1508F">
        <w:t>utilise the Department’s and s</w:t>
      </w:r>
      <w:r w:rsidRPr="00E1508F">
        <w:t xml:space="preserve">tate and territory agencies’ websites and social media pages to inform and engage the </w:t>
      </w:r>
      <w:proofErr w:type="gramStart"/>
      <w:r w:rsidRPr="00E1508F">
        <w:t>public;</w:t>
      </w:r>
      <w:proofErr w:type="gramEnd"/>
    </w:p>
    <w:p w14:paraId="23A326C3" w14:textId="77777777" w:rsidR="00E1508F" w:rsidRPr="00E1508F" w:rsidRDefault="00F74FC6" w:rsidP="00E1508F">
      <w:pPr>
        <w:pStyle w:val="ListBullet2"/>
      </w:pPr>
      <w:r w:rsidRPr="00E1508F">
        <w:t xml:space="preserve">collaborate with the Australasian Institute of Maritime Archaeology and other </w:t>
      </w:r>
      <w:proofErr w:type="spellStart"/>
      <w:proofErr w:type="gramStart"/>
      <w:r w:rsidRPr="00E1508F">
        <w:t>Non Government</w:t>
      </w:r>
      <w:proofErr w:type="spellEnd"/>
      <w:proofErr w:type="gramEnd"/>
      <w:r w:rsidRPr="00E1508F">
        <w:t xml:space="preserve"> Organisations to communicate the objectives of the </w:t>
      </w:r>
      <w:r w:rsidR="0023636C">
        <w:t>A</w:t>
      </w:r>
      <w:r w:rsidRPr="00E1508F">
        <w:t>UCH Program to th</w:t>
      </w:r>
      <w:r w:rsidRPr="00E1508F">
        <w:t>e public through avocational maritime archaeology training, publications, lectures and conferences;</w:t>
      </w:r>
    </w:p>
    <w:p w14:paraId="4512C94D" w14:textId="77777777" w:rsidR="00E1508F" w:rsidRPr="00E1508F" w:rsidRDefault="00F74FC6" w:rsidP="00E1508F">
      <w:pPr>
        <w:pStyle w:val="ListBullet2"/>
      </w:pPr>
      <w:r w:rsidRPr="00E1508F">
        <w:t>invite local communities to participate in documenting and monitoring of protected underwater cultural heritage sites and the surrounding environment; and</w:t>
      </w:r>
    </w:p>
    <w:p w14:paraId="7CC16D3B" w14:textId="77777777" w:rsidR="00E1508F" w:rsidRPr="00E1508F" w:rsidRDefault="00F74FC6" w:rsidP="00E1508F">
      <w:pPr>
        <w:pStyle w:val="ListBullet2"/>
      </w:pPr>
      <w:r w:rsidRPr="00E1508F">
        <w:t>i</w:t>
      </w:r>
      <w:r w:rsidRPr="00E1508F">
        <w:t>ncorporate appropriate feedback from stakeholders to enhance our systems and processes.</w:t>
      </w:r>
    </w:p>
    <w:p w14:paraId="23885D9B" w14:textId="77777777" w:rsidR="00E1508F" w:rsidRDefault="00F74FC6" w:rsidP="00E1508F">
      <w:r>
        <w:t>Awareness raising also occurs through the Australasian Underwater Cultural Heritage Database (AUCHD) which is a register of known protected underwater cultural heritage</w:t>
      </w:r>
      <w:r w:rsidR="000805A4">
        <w:t xml:space="preserve">. In the AUCHD members of the public can </w:t>
      </w:r>
      <w:r w:rsidR="003F60B6">
        <w:t>do</w:t>
      </w:r>
      <w:r w:rsidR="000805A4">
        <w:t xml:space="preserve"> all statutory processes related to the UCH Act</w:t>
      </w:r>
      <w:r w:rsidR="00D9741F">
        <w:t>.</w:t>
      </w:r>
    </w:p>
    <w:p w14:paraId="417BCFD0" w14:textId="77777777" w:rsidR="00E1508F" w:rsidRDefault="00F74FC6" w:rsidP="00BD664D">
      <w:pPr>
        <w:pStyle w:val="Heading3"/>
      </w:pPr>
      <w:bookmarkStart w:id="9" w:name="_Toc93994487"/>
      <w:r>
        <w:t>Issuing permits with conditions to regulate some activities</w:t>
      </w:r>
      <w:bookmarkEnd w:id="9"/>
    </w:p>
    <w:p w14:paraId="45E0237F" w14:textId="77777777" w:rsidR="00E1508F" w:rsidRDefault="00F74FC6" w:rsidP="00E1508F">
      <w:r>
        <w:t>Actions approved under the UCH Act require a permit. All permits are issued with relevant conditions for</w:t>
      </w:r>
      <w:r>
        <w:t xml:space="preserve"> the proposed activity. All conditions are reviewed by the </w:t>
      </w:r>
      <w:r w:rsidR="00A0040E">
        <w:t>d</w:t>
      </w:r>
      <w:r>
        <w:t>epartment’s General Counsel Branch. Permitted actions include entering a protected zone; disturbance of a site; possession of protected underwater cultural heritage; transfer of a protected artefa</w:t>
      </w:r>
      <w:r>
        <w:t>ct by sale or trade; and import or export of protected underwater cultural heritage.</w:t>
      </w:r>
    </w:p>
    <w:p w14:paraId="42BE9D2C" w14:textId="77777777" w:rsidR="00E1508F" w:rsidRDefault="00F74FC6" w:rsidP="00BD664D">
      <w:pPr>
        <w:pStyle w:val="Heading3"/>
      </w:pPr>
      <w:bookmarkStart w:id="10" w:name="_Toc93994488"/>
      <w:r>
        <w:t>Monitoring</w:t>
      </w:r>
      <w:bookmarkEnd w:id="10"/>
    </w:p>
    <w:p w14:paraId="25A07940" w14:textId="77777777" w:rsidR="00E1508F" w:rsidRDefault="00F74FC6" w:rsidP="00E1508F">
      <w:r>
        <w:t xml:space="preserve">The monitoring of protected underwater cultural sites is undertaken through a combination of an informed public (including dive charter tourism </w:t>
      </w:r>
      <w:r>
        <w:t xml:space="preserve">operators), observation and reporting by UCH Practitioners, UCH Act Inspectors (Authorised Officers) or other regulatory network partners, and formal surveillance taskings undertaken by Maritime Border Command. The </w:t>
      </w:r>
      <w:r w:rsidR="00A0040E">
        <w:t>d</w:t>
      </w:r>
      <w:r>
        <w:t>epartment receives reports from the publ</w:t>
      </w:r>
      <w:r>
        <w:t>ic and marine businesses about suspicious or non-compliant activity and from divers concerning site disturbance of underwater sites. Maritime Border Command provides real time reports from coast watch aircraft and vessels from the Royal Australian Navy and</w:t>
      </w:r>
      <w:r>
        <w:t xml:space="preserve"> the Australian Border Force.  </w:t>
      </w:r>
    </w:p>
    <w:p w14:paraId="1858650B" w14:textId="77777777" w:rsidR="00E1508F" w:rsidRDefault="00F74FC6" w:rsidP="00E1508F">
      <w:r>
        <w:t>Monitoring of online sales of protected underwater cultural heritage artefacts is also undertaken, including working with major e-commerce platforms, such as eBay, on the detection of illegal or stolen protected underwater c</w:t>
      </w:r>
      <w:r>
        <w:t>ultural heritage artefacts. The Department also works with the Australian Border Force concerning the exportation and importation of underwater cultural heritage artefacts that have permits issued under the UCH Act or are being imported or exported illegal</w:t>
      </w:r>
      <w:r>
        <w:t>ly.</w:t>
      </w:r>
    </w:p>
    <w:p w14:paraId="122913D7" w14:textId="77777777" w:rsidR="00E1508F" w:rsidRDefault="00F74FC6" w:rsidP="00BD664D">
      <w:pPr>
        <w:pStyle w:val="Heading3"/>
      </w:pPr>
      <w:bookmarkStart w:id="11" w:name="_Toc93994489"/>
      <w:r>
        <w:t>Enforcement</w:t>
      </w:r>
      <w:bookmarkEnd w:id="11"/>
    </w:p>
    <w:p w14:paraId="4CEAE576" w14:textId="77777777" w:rsidR="00E1508F" w:rsidRDefault="00F74FC6" w:rsidP="00E1508F">
      <w:r>
        <w:t xml:space="preserve">The UCH Act provides for a suite of regulatory powers that can be applied appropriately, </w:t>
      </w:r>
      <w:proofErr w:type="gramStart"/>
      <w:r>
        <w:t>flexibly</w:t>
      </w:r>
      <w:proofErr w:type="gramEnd"/>
      <w:r>
        <w:t xml:space="preserve"> and fairly to protect and preserve Australia’s underwater cultural heritage. For example, the UCH Act:</w:t>
      </w:r>
    </w:p>
    <w:p w14:paraId="6A71CF35" w14:textId="77777777" w:rsidR="00E1508F" w:rsidRDefault="00F74FC6" w:rsidP="00D9212B">
      <w:pPr>
        <w:pStyle w:val="ListBullet2"/>
      </w:pPr>
      <w:r>
        <w:lastRenderedPageBreak/>
        <w:t xml:space="preserve">triggers parts of the </w:t>
      </w:r>
      <w:r>
        <w:t xml:space="preserve">Regulatory Powers (Standard Provisions) Act 2014 (Regulatory Powers Act) including monitoring and investigation powers and enforcement provisions such as civil penalties, infringement notices, enforceable </w:t>
      </w:r>
      <w:proofErr w:type="gramStart"/>
      <w:r>
        <w:t>undertakings</w:t>
      </w:r>
      <w:proofErr w:type="gramEnd"/>
      <w:r>
        <w:t xml:space="preserve"> and injunctions. </w:t>
      </w:r>
    </w:p>
    <w:p w14:paraId="2B272150" w14:textId="77777777" w:rsidR="00E1508F" w:rsidRDefault="00F74FC6" w:rsidP="00D9212B">
      <w:pPr>
        <w:pStyle w:val="ListBullet2"/>
      </w:pPr>
      <w:r>
        <w:t>utilises elements of</w:t>
      </w:r>
      <w:r>
        <w:t xml:space="preserve"> the Maritime Powers Act 2013 (Maritime Powers Act) through agreement with the Department of Home Affairs to undertake actions in the marine environment such as the pursuit, interdiction, </w:t>
      </w:r>
      <w:proofErr w:type="gramStart"/>
      <w:r>
        <w:t>search</w:t>
      </w:r>
      <w:proofErr w:type="gramEnd"/>
      <w:r>
        <w:t xml:space="preserve"> and seizure of vessels at sea.</w:t>
      </w:r>
    </w:p>
    <w:p w14:paraId="1735B39C" w14:textId="77777777" w:rsidR="00E1508F" w:rsidRDefault="00F74FC6" w:rsidP="00D9212B">
      <w:pPr>
        <w:pStyle w:val="ListBullet2"/>
      </w:pPr>
      <w:r>
        <w:t>interacts with the Customs Act</w:t>
      </w:r>
      <w:r>
        <w:t xml:space="preserve"> 1901 (Customs Act) concerning control, monitoring and seizure of underwater cultural heritage artefacts that are subject to the export and importation provisions of the UCH Act.</w:t>
      </w:r>
    </w:p>
    <w:p w14:paraId="02382E55" w14:textId="77777777" w:rsidR="00E1508F" w:rsidRDefault="00F74FC6" w:rsidP="00BD664D">
      <w:pPr>
        <w:pStyle w:val="Heading1"/>
      </w:pPr>
      <w:bookmarkStart w:id="12" w:name="_Toc93994490"/>
      <w:r>
        <w:t>Implementation and delivery</w:t>
      </w:r>
      <w:bookmarkEnd w:id="12"/>
      <w:r>
        <w:t xml:space="preserve"> </w:t>
      </w:r>
    </w:p>
    <w:p w14:paraId="4056315F" w14:textId="77777777" w:rsidR="00E1508F" w:rsidRDefault="00F74FC6" w:rsidP="00BD664D">
      <w:pPr>
        <w:pStyle w:val="Heading3"/>
      </w:pPr>
      <w:bookmarkStart w:id="13" w:name="_Toc93994491"/>
      <w:r>
        <w:t>Roles and responsibilities:</w:t>
      </w:r>
      <w:bookmarkEnd w:id="13"/>
    </w:p>
    <w:p w14:paraId="45B0CFB9" w14:textId="77777777" w:rsidR="00E1508F" w:rsidRPr="00D9212B" w:rsidRDefault="00F74FC6" w:rsidP="00BD664D">
      <w:pPr>
        <w:pStyle w:val="Heading4"/>
        <w:rPr>
          <w:rStyle w:val="Strong"/>
        </w:rPr>
      </w:pPr>
      <w:r w:rsidRPr="00D9212B">
        <w:rPr>
          <w:rStyle w:val="Strong"/>
        </w:rPr>
        <w:t>Departmental Officer</w:t>
      </w:r>
      <w:r w:rsidRPr="00D9212B">
        <w:rPr>
          <w:rStyle w:val="Strong"/>
        </w:rPr>
        <w:t>s</w:t>
      </w:r>
    </w:p>
    <w:p w14:paraId="2B1DBE41" w14:textId="77777777" w:rsidR="00E1508F" w:rsidRDefault="00F74FC6" w:rsidP="00E1508F">
      <w:r>
        <w:t xml:space="preserve">The UCH Act is administered from within the </w:t>
      </w:r>
      <w:r w:rsidR="00F76ED6">
        <w:t>Cultural</w:t>
      </w:r>
      <w:r>
        <w:t xml:space="preserve"> Heritage Section, where the technical expertise to lead the protection of underwater cultural heritage is based. All reports of non-compliance are initially reviewed by suitably qualified departmental </w:t>
      </w:r>
      <w:r>
        <w:t xml:space="preserve">officers in the </w:t>
      </w:r>
      <w:r w:rsidR="00F76ED6">
        <w:t>Cultural</w:t>
      </w:r>
      <w:r>
        <w:t xml:space="preserve"> Heritage Section with knowledge of the UCH Act and the </w:t>
      </w:r>
      <w:r w:rsidR="00C4234E">
        <w:t>A</w:t>
      </w:r>
      <w:r>
        <w:t>UCH Program’s objectives. For reported breaches of sites, the departmental officers may recommend no further action, administrative action, or further investigation. For repor</w:t>
      </w:r>
      <w:r>
        <w:t xml:space="preserve">ted breaches, the </w:t>
      </w:r>
      <w:r w:rsidR="00C4234E">
        <w:t xml:space="preserve">Cultural </w:t>
      </w:r>
      <w:r>
        <w:t>Heritage Section departmental officers will lead in most compliance matters, including the recovery of the protected artefacts, only referring major or complex breaches (serious non-compliance) to the Environment Compliance Branc</w:t>
      </w:r>
      <w:r>
        <w:t>h.</w:t>
      </w:r>
    </w:p>
    <w:p w14:paraId="2F18997C" w14:textId="77777777" w:rsidR="00E1508F" w:rsidRDefault="00F74FC6" w:rsidP="00E1508F">
      <w:r>
        <w:t>Serious non-compliance is defined as behaviour, action or omission that results in breach of permit condition, damage, disturbance, removal, lack of notification or unpermitted trade of protected underwater cultural heritage.  Serious non-compliance als</w:t>
      </w:r>
      <w:r>
        <w:t>o involves one or more of the following:</w:t>
      </w:r>
    </w:p>
    <w:p w14:paraId="5DC4E3AA" w14:textId="77777777" w:rsidR="00E1508F" w:rsidRDefault="00F74FC6" w:rsidP="00D9212B">
      <w:pPr>
        <w:pStyle w:val="ListBullet2"/>
      </w:pPr>
      <w:r>
        <w:t xml:space="preserve">wilful or knowing </w:t>
      </w:r>
      <w:proofErr w:type="gramStart"/>
      <w:r>
        <w:t>misconduct;</w:t>
      </w:r>
      <w:proofErr w:type="gramEnd"/>
    </w:p>
    <w:p w14:paraId="655EE4BF" w14:textId="77777777" w:rsidR="00E1508F" w:rsidRDefault="00F74FC6" w:rsidP="00D9212B">
      <w:pPr>
        <w:pStyle w:val="ListBullet2"/>
      </w:pPr>
      <w:r>
        <w:t xml:space="preserve">damage or loss of protected heritage through </w:t>
      </w:r>
      <w:proofErr w:type="gramStart"/>
      <w:r>
        <w:t>negligence;</w:t>
      </w:r>
      <w:proofErr w:type="gramEnd"/>
    </w:p>
    <w:p w14:paraId="047A5420" w14:textId="77777777" w:rsidR="00E1508F" w:rsidRDefault="00F74FC6" w:rsidP="00D9212B">
      <w:pPr>
        <w:pStyle w:val="ListBullet2"/>
      </w:pPr>
      <w:r>
        <w:t xml:space="preserve">repeated actions of </w:t>
      </w:r>
      <w:proofErr w:type="gramStart"/>
      <w:r>
        <w:t>non-compliance;</w:t>
      </w:r>
      <w:proofErr w:type="gramEnd"/>
    </w:p>
    <w:p w14:paraId="63F9EFD8" w14:textId="77777777" w:rsidR="00E1508F" w:rsidRDefault="00F74FC6" w:rsidP="00D9212B">
      <w:pPr>
        <w:pStyle w:val="ListBullet2"/>
      </w:pPr>
      <w:r>
        <w:t xml:space="preserve">damage to underwater cultural heritage sites covered by Treaty and or </w:t>
      </w:r>
      <w:proofErr w:type="gramStart"/>
      <w:r>
        <w:t>agreement;</w:t>
      </w:r>
      <w:proofErr w:type="gramEnd"/>
    </w:p>
    <w:p w14:paraId="06730F5C" w14:textId="77777777" w:rsidR="00E1508F" w:rsidRDefault="00F74FC6" w:rsidP="00D9212B">
      <w:pPr>
        <w:pStyle w:val="ListBullet2"/>
      </w:pPr>
      <w:r>
        <w:t>damage to t</w:t>
      </w:r>
      <w:r>
        <w:t xml:space="preserve">he reputation of the </w:t>
      </w:r>
      <w:r w:rsidR="00AB1E81">
        <w:t>d</w:t>
      </w:r>
      <w:r>
        <w:t>epartment or the Minister; and</w:t>
      </w:r>
    </w:p>
    <w:p w14:paraId="0720E064" w14:textId="77777777" w:rsidR="00E1508F" w:rsidRDefault="00F74FC6" w:rsidP="00D9212B">
      <w:pPr>
        <w:pStyle w:val="ListBullet2"/>
      </w:pPr>
      <w:r>
        <w:t xml:space="preserve">threatens the objectives of the </w:t>
      </w:r>
      <w:r w:rsidR="006E0828">
        <w:t>A</w:t>
      </w:r>
      <w:r>
        <w:t>UCH Program.</w:t>
      </w:r>
    </w:p>
    <w:p w14:paraId="134D1700" w14:textId="77777777" w:rsidR="00E1508F" w:rsidRDefault="00F74FC6" w:rsidP="00E1508F">
      <w:r>
        <w:t xml:space="preserve">The </w:t>
      </w:r>
      <w:r w:rsidR="007A1795">
        <w:t>Cultural</w:t>
      </w:r>
      <w:r>
        <w:t xml:space="preserve"> Heritage Section will capture all allegations and outcomes of actions taken and provide regular updates to the Environment Compliance Branch to </w:t>
      </w:r>
      <w:r>
        <w:t xml:space="preserve">identify trends and relating factors leading to non-compliance. All serious non-compliance matters reported to the </w:t>
      </w:r>
      <w:r w:rsidR="00AC696D">
        <w:t>d</w:t>
      </w:r>
      <w:r>
        <w:t>epartment will be discussed with the Environment Compliance Branch to determine the appropriate resourcing, roles in the investigation and a</w:t>
      </w:r>
      <w:r>
        <w:t>ny competing priorities.</w:t>
      </w:r>
    </w:p>
    <w:p w14:paraId="0F781719" w14:textId="77777777" w:rsidR="00E1508F" w:rsidRPr="00D9212B" w:rsidRDefault="00F74FC6" w:rsidP="00BD664D">
      <w:pPr>
        <w:pStyle w:val="Heading4"/>
        <w:rPr>
          <w:rStyle w:val="Strong"/>
        </w:rPr>
      </w:pPr>
      <w:r w:rsidRPr="00D9212B">
        <w:rPr>
          <w:rStyle w:val="Strong"/>
        </w:rPr>
        <w:t>Authorised Officers</w:t>
      </w:r>
    </w:p>
    <w:p w14:paraId="0D1AC120" w14:textId="77777777" w:rsidR="00E1508F" w:rsidRDefault="00F74FC6" w:rsidP="00E1508F">
      <w:r>
        <w:t xml:space="preserve">Through its long-standing collaboration with the States and Northern Territory, the </w:t>
      </w:r>
      <w:r w:rsidR="006E0828">
        <w:t>A</w:t>
      </w:r>
      <w:r>
        <w:t xml:space="preserve">UCH Program has access to state-based compliance officers who work daily on the water in their </w:t>
      </w:r>
      <w:r>
        <w:lastRenderedPageBreak/>
        <w:t>substantive roles. Once authori</w:t>
      </w:r>
      <w:r>
        <w:t xml:space="preserve">sed under the UCH Act, the State and Northern Territory officers can deliver activities to support compliance with the UCH Act. This arrangement enables the </w:t>
      </w:r>
      <w:r w:rsidR="00AC696D">
        <w:t>d</w:t>
      </w:r>
      <w:r>
        <w:t>epartment’s prompt response to reported and suspected breaches and non-compliance. In Commonwealth</w:t>
      </w:r>
      <w:r>
        <w:t xml:space="preserve"> waters the </w:t>
      </w:r>
      <w:r w:rsidR="00AC696D">
        <w:t>d</w:t>
      </w:r>
      <w:r>
        <w:t>epartment works primarily with Parks Australia officers to deliver a similar on water compliance role.</w:t>
      </w:r>
    </w:p>
    <w:p w14:paraId="566F8E17" w14:textId="77777777" w:rsidR="00E1508F" w:rsidRDefault="00F74FC6" w:rsidP="00E1508F">
      <w:r>
        <w:t xml:space="preserve">State-based </w:t>
      </w:r>
      <w:r w:rsidR="007B2C17">
        <w:t>a</w:t>
      </w:r>
      <w:r>
        <w:t xml:space="preserve">uthorised </w:t>
      </w:r>
      <w:r w:rsidR="007B2C17">
        <w:t>o</w:t>
      </w:r>
      <w:r>
        <w:t xml:space="preserve">fficers in each jurisdiction provide the </w:t>
      </w:r>
      <w:r w:rsidR="00AC696D">
        <w:t>d</w:t>
      </w:r>
      <w:r>
        <w:t xml:space="preserve">epartment with capacity to investigate reported incidents efficiently and </w:t>
      </w:r>
      <w:r>
        <w:t>economically. The authorised officers providing education and awareness have restricted powers under the UCH Act and provide proactive compliance monitoring, intelligence and reporting around Australia.  They deliver regular engagements with divers, fisher</w:t>
      </w:r>
      <w:r>
        <w:t xml:space="preserve">man, tourism operators and local communities, and share information regarding the objectives of the </w:t>
      </w:r>
      <w:r w:rsidR="007B2C17">
        <w:t>A</w:t>
      </w:r>
      <w:r>
        <w:t>UCH Program, specific site information and the rules in place to protect the underwater cultural heritage.  While these officers do not lead investigations</w:t>
      </w:r>
      <w:r>
        <w:t>, they are able to promptly collect evidence of suspected breaches at a local level and their presence and activity limits opportunity for non-compliance.</w:t>
      </w:r>
    </w:p>
    <w:p w14:paraId="10AADB4E" w14:textId="77777777" w:rsidR="00E1508F" w:rsidRDefault="00F74FC6" w:rsidP="00E1508F">
      <w:r>
        <w:t xml:space="preserve">The </w:t>
      </w:r>
      <w:r w:rsidR="00BE1940">
        <w:t>Cultural</w:t>
      </w:r>
      <w:r>
        <w:t xml:space="preserve"> Heritage Section will work with </w:t>
      </w:r>
      <w:r w:rsidR="007B2C17">
        <w:t xml:space="preserve">the </w:t>
      </w:r>
      <w:r>
        <w:t>Compliance Strategy and Risk Section on augmenting a</w:t>
      </w:r>
      <w:r>
        <w:t>rrangements with other relevant enforcement agencies to enable state-based officers to conduct compliance and enforcement activities in the relevant jurisdictions. The other enforcement agencies include Parks Australia, the Great Barrier Reef Marine Park A</w:t>
      </w:r>
      <w:r>
        <w:t>uthority and Maritime Border Command. These arrangements will enable partner agencies to deliver agreed compliance services from within their areas of operation and expertise, such as aerial surveillance and vessel monitoring, import or export controls and</w:t>
      </w:r>
      <w:r>
        <w:t xml:space="preserve"> further support the coordination of compliance effort and sharing of information. </w:t>
      </w:r>
    </w:p>
    <w:p w14:paraId="05ABF5BD" w14:textId="77777777" w:rsidR="00E1508F" w:rsidRDefault="00F74FC6" w:rsidP="00BD664D">
      <w:pPr>
        <w:pStyle w:val="Heading1"/>
      </w:pPr>
      <w:bookmarkStart w:id="14" w:name="_Toc93994492"/>
      <w:r>
        <w:t>Responding to non-compliance</w:t>
      </w:r>
      <w:bookmarkEnd w:id="14"/>
    </w:p>
    <w:p w14:paraId="30FF0231" w14:textId="77777777" w:rsidR="00E1508F" w:rsidRDefault="00F74FC6" w:rsidP="00E1508F">
      <w:r>
        <w:t>Reported incidents involving protected underwater cultural heritage are subject to an initial desktop assessment by a suitably qualified depart</w:t>
      </w:r>
      <w:r>
        <w:t xml:space="preserve">mental officer located in the </w:t>
      </w:r>
      <w:r w:rsidR="007B2C17">
        <w:t xml:space="preserve">Cultural </w:t>
      </w:r>
      <w:r>
        <w:t xml:space="preserve">Heritage Section. This assessment will consider the incident against </w:t>
      </w:r>
      <w:r w:rsidR="007B2C17">
        <w:t xml:space="preserve">an </w:t>
      </w:r>
      <w:r>
        <w:t xml:space="preserve">Incident Severity Matrix to determine a rating based on motivation and impact. </w:t>
      </w:r>
    </w:p>
    <w:p w14:paraId="4203E3EC" w14:textId="77777777" w:rsidR="00E1508F" w:rsidRDefault="00F74FC6" w:rsidP="00E1508F">
      <w:r>
        <w:t>The</w:t>
      </w:r>
      <w:r w:rsidR="000B2F9E">
        <w:t xml:space="preserve"> </w:t>
      </w:r>
      <w:r>
        <w:t>department also use</w:t>
      </w:r>
      <w:r w:rsidR="000B2F9E">
        <w:t>s</w:t>
      </w:r>
      <w:r>
        <w:t xml:space="preserve"> an intelligence-led risk-based approach that considers the behaviours and motivations of the regulated community. Figure 1 provides an overview of our compliance approach considering the motivations and behaviours of the regulated community. </w:t>
      </w:r>
      <w:r w:rsidR="004F34DA">
        <w:t>The department</w:t>
      </w:r>
      <w:r>
        <w:t xml:space="preserve"> prioritise</w:t>
      </w:r>
      <w:r w:rsidR="004F34DA">
        <w:t>s</w:t>
      </w:r>
      <w:r>
        <w:t xml:space="preserve"> actions aimed at stopping and preventing adverse impacts to protected underwater cultural heritage.</w:t>
      </w:r>
      <w:r w:rsidR="004F34DA">
        <w:t xml:space="preserve"> Figure 2 </w:t>
      </w:r>
      <w:r w:rsidR="00DF3FD7">
        <w:t>is a table of offences and penalties under the UCH Act</w:t>
      </w:r>
      <w:r w:rsidR="0084729C">
        <w:t xml:space="preserve">. </w:t>
      </w:r>
      <w:r w:rsidR="006A1751" w:rsidRPr="006A1751">
        <w:t xml:space="preserve">The value of a penalty unit is prescribed by the </w:t>
      </w:r>
      <w:r w:rsidR="006A1751" w:rsidRPr="00677630">
        <w:rPr>
          <w:i/>
          <w:iCs/>
        </w:rPr>
        <w:t>Crimes Act 1914</w:t>
      </w:r>
      <w:r w:rsidR="006A1751" w:rsidRPr="006A1751">
        <w:t xml:space="preserve"> and is currently $222 for offences committed on or after 1 July 2020.</w:t>
      </w:r>
    </w:p>
    <w:p w14:paraId="2A4BB192" w14:textId="77777777" w:rsidR="00E1508F" w:rsidRPr="007C20B0" w:rsidRDefault="00F74FC6" w:rsidP="00A16E0D">
      <w:pPr>
        <w:pStyle w:val="Caption"/>
        <w:rPr>
          <w:szCs w:val="24"/>
        </w:rPr>
      </w:pPr>
      <w:bookmarkStart w:id="15" w:name="_Toc93994463"/>
      <w:r>
        <w:lastRenderedPageBreak/>
        <w:t xml:space="preserve">Figure </w:t>
      </w:r>
      <w:r w:rsidR="007B07F8">
        <w:fldChar w:fldCharType="begin"/>
      </w:r>
      <w:r>
        <w:instrText xml:space="preserve"> SEQ Figure \* ARABIC </w:instrText>
      </w:r>
      <w:r w:rsidR="007B07F8">
        <w:fldChar w:fldCharType="separate"/>
      </w:r>
      <w:r w:rsidR="007B07F8">
        <w:t>1</w:t>
      </w:r>
      <w:r w:rsidR="007B07F8">
        <w:fldChar w:fldCharType="end"/>
      </w:r>
      <w:r w:rsidR="008D42D8">
        <w:t>:</w:t>
      </w:r>
      <w:r w:rsidRPr="007C20B0">
        <w:rPr>
          <w:szCs w:val="24"/>
        </w:rPr>
        <w:t xml:space="preserve"> Non-compliance response continuum</w:t>
      </w:r>
      <w:bookmarkEnd w:id="15"/>
    </w:p>
    <w:tbl>
      <w:tblPr>
        <w:tblStyle w:val="TableGrid"/>
        <w:tblW w:w="9209" w:type="dxa"/>
        <w:tblLayout w:type="fixed"/>
        <w:tblLook w:val="04A0" w:firstRow="1" w:lastRow="0" w:firstColumn="1" w:lastColumn="0" w:noHBand="0" w:noVBand="1"/>
      </w:tblPr>
      <w:tblGrid>
        <w:gridCol w:w="1838"/>
        <w:gridCol w:w="3260"/>
        <w:gridCol w:w="4111"/>
      </w:tblGrid>
      <w:tr w:rsidR="007830E5" w14:paraId="085CA079" w14:textId="77777777" w:rsidTr="006A7F7E">
        <w:tc>
          <w:tcPr>
            <w:tcW w:w="1838" w:type="dxa"/>
            <w:shd w:val="clear" w:color="auto" w:fill="C6D9F1" w:themeFill="text2" w:themeFillTint="33"/>
          </w:tcPr>
          <w:p w14:paraId="34E809E7" w14:textId="77777777" w:rsidR="00DB3D4D" w:rsidRPr="009F0DA9" w:rsidRDefault="00F74FC6" w:rsidP="00DB3D4D">
            <w:pPr>
              <w:pStyle w:val="TableHeading"/>
            </w:pPr>
            <w:r w:rsidRPr="00DB3D4D">
              <w:rPr>
                <w:sz w:val="24"/>
                <w:szCs w:val="32"/>
              </w:rPr>
              <w:t>Motivation</w:t>
            </w:r>
          </w:p>
        </w:tc>
        <w:tc>
          <w:tcPr>
            <w:tcW w:w="3260" w:type="dxa"/>
            <w:shd w:val="clear" w:color="auto" w:fill="C6D9F1" w:themeFill="text2" w:themeFillTint="33"/>
          </w:tcPr>
          <w:p w14:paraId="44D0B0EB" w14:textId="77777777" w:rsidR="00DB3D4D" w:rsidRPr="009F0DA9" w:rsidRDefault="00F74FC6" w:rsidP="00DB3D4D">
            <w:pPr>
              <w:pStyle w:val="TableHeading"/>
            </w:pPr>
            <w:r w:rsidRPr="00DB3D4D">
              <w:rPr>
                <w:sz w:val="24"/>
                <w:szCs w:val="32"/>
              </w:rPr>
              <w:t>Type of Behaviour</w:t>
            </w:r>
          </w:p>
        </w:tc>
        <w:tc>
          <w:tcPr>
            <w:tcW w:w="4111" w:type="dxa"/>
            <w:shd w:val="clear" w:color="auto" w:fill="C6D9F1" w:themeFill="text2" w:themeFillTint="33"/>
          </w:tcPr>
          <w:p w14:paraId="15200496" w14:textId="77777777" w:rsidR="00DB3D4D" w:rsidRPr="009F0DA9" w:rsidRDefault="00F74FC6" w:rsidP="00DB3D4D">
            <w:pPr>
              <w:pStyle w:val="TableHeading"/>
            </w:pPr>
            <w:r w:rsidRPr="00DB3D4D">
              <w:rPr>
                <w:sz w:val="24"/>
                <w:szCs w:val="32"/>
              </w:rPr>
              <w:t>Department’s Response</w:t>
            </w:r>
          </w:p>
        </w:tc>
      </w:tr>
      <w:tr w:rsidR="007830E5" w14:paraId="48EBED70" w14:textId="77777777" w:rsidTr="006A7122">
        <w:tc>
          <w:tcPr>
            <w:tcW w:w="1838" w:type="dxa"/>
          </w:tcPr>
          <w:p w14:paraId="6484FB5A" w14:textId="77777777" w:rsidR="00DB3D4D" w:rsidRPr="0047177A" w:rsidRDefault="00F74FC6" w:rsidP="00DB3D4D">
            <w:pPr>
              <w:pStyle w:val="TableText"/>
            </w:pPr>
            <w:r w:rsidRPr="00DB3D4D">
              <w:rPr>
                <w:sz w:val="24"/>
                <w:szCs w:val="32"/>
              </w:rPr>
              <w:t>“Committed to doing the right thing”</w:t>
            </w:r>
          </w:p>
        </w:tc>
        <w:tc>
          <w:tcPr>
            <w:tcW w:w="3260" w:type="dxa"/>
          </w:tcPr>
          <w:p w14:paraId="5CAB8AC7" w14:textId="77777777" w:rsidR="00DB3D4D" w:rsidRPr="00314EB6" w:rsidRDefault="00F74FC6" w:rsidP="00DB3D4D">
            <w:pPr>
              <w:pStyle w:val="TableText"/>
              <w:rPr>
                <w:sz w:val="24"/>
                <w:szCs w:val="24"/>
              </w:rPr>
            </w:pPr>
            <w:r w:rsidRPr="00314EB6">
              <w:rPr>
                <w:sz w:val="24"/>
                <w:szCs w:val="24"/>
              </w:rPr>
              <w:t>Voluntary compliance</w:t>
            </w:r>
          </w:p>
          <w:p w14:paraId="3BF7E164" w14:textId="77777777" w:rsidR="00DB3D4D" w:rsidRPr="00314EB6" w:rsidRDefault="00F74FC6" w:rsidP="00DB3D4D">
            <w:pPr>
              <w:pStyle w:val="TableBullet1"/>
              <w:rPr>
                <w:sz w:val="24"/>
                <w:szCs w:val="24"/>
              </w:rPr>
            </w:pPr>
            <w:r w:rsidRPr="00314EB6">
              <w:rPr>
                <w:sz w:val="24"/>
                <w:szCs w:val="24"/>
              </w:rPr>
              <w:t>Informed self- assessment.</w:t>
            </w:r>
          </w:p>
          <w:p w14:paraId="2F8E7ECA" w14:textId="77777777" w:rsidR="00DB3D4D" w:rsidRPr="00314EB6" w:rsidRDefault="00F74FC6" w:rsidP="00DB3D4D">
            <w:pPr>
              <w:pStyle w:val="TableBullet1"/>
              <w:rPr>
                <w:sz w:val="24"/>
                <w:szCs w:val="24"/>
              </w:rPr>
            </w:pPr>
            <w:r w:rsidRPr="00314EB6">
              <w:rPr>
                <w:sz w:val="24"/>
                <w:szCs w:val="24"/>
              </w:rPr>
              <w:t>Management is compliance oriented.</w:t>
            </w:r>
          </w:p>
        </w:tc>
        <w:tc>
          <w:tcPr>
            <w:tcW w:w="4111" w:type="dxa"/>
          </w:tcPr>
          <w:p w14:paraId="08A2CD79" w14:textId="77777777" w:rsidR="00DB3D4D" w:rsidRPr="00314EB6" w:rsidRDefault="00F74FC6" w:rsidP="00DB3D4D">
            <w:pPr>
              <w:pStyle w:val="TableText"/>
              <w:rPr>
                <w:sz w:val="24"/>
                <w:szCs w:val="24"/>
              </w:rPr>
            </w:pPr>
            <w:r w:rsidRPr="00314EB6">
              <w:rPr>
                <w:sz w:val="24"/>
                <w:szCs w:val="24"/>
              </w:rPr>
              <w:t>Help and support</w:t>
            </w:r>
          </w:p>
          <w:p w14:paraId="68B1565F" w14:textId="77777777" w:rsidR="00DB3D4D" w:rsidRPr="00314EB6" w:rsidRDefault="00F74FC6" w:rsidP="00DB3D4D">
            <w:pPr>
              <w:pStyle w:val="TableBullet1"/>
              <w:rPr>
                <w:sz w:val="24"/>
                <w:szCs w:val="24"/>
              </w:rPr>
            </w:pPr>
            <w:r w:rsidRPr="00314EB6">
              <w:rPr>
                <w:sz w:val="24"/>
                <w:szCs w:val="24"/>
              </w:rPr>
              <w:t>Make ongoing compliance easy (e.g., through releasing guidelines).</w:t>
            </w:r>
          </w:p>
          <w:p w14:paraId="764B7C49" w14:textId="77777777" w:rsidR="00DB3D4D" w:rsidRPr="00314EB6" w:rsidRDefault="00F74FC6" w:rsidP="00DB3D4D">
            <w:pPr>
              <w:pStyle w:val="TableBullet1"/>
              <w:rPr>
                <w:sz w:val="24"/>
                <w:szCs w:val="24"/>
              </w:rPr>
            </w:pPr>
            <w:r w:rsidRPr="00314EB6">
              <w:rPr>
                <w:sz w:val="24"/>
                <w:szCs w:val="24"/>
              </w:rPr>
              <w:t>Use proactive outreach to better understand capabilities to comply.</w:t>
            </w:r>
          </w:p>
        </w:tc>
      </w:tr>
      <w:tr w:rsidR="007830E5" w14:paraId="6860D6D4" w14:textId="77777777" w:rsidTr="006A7122">
        <w:tc>
          <w:tcPr>
            <w:tcW w:w="1838" w:type="dxa"/>
          </w:tcPr>
          <w:p w14:paraId="1E00B157" w14:textId="77777777" w:rsidR="00DB3D4D" w:rsidRPr="0047177A" w:rsidRDefault="00F74FC6" w:rsidP="00DB3D4D">
            <w:pPr>
              <w:pStyle w:val="TableText"/>
            </w:pPr>
            <w:r w:rsidRPr="00DB3D4D">
              <w:rPr>
                <w:sz w:val="24"/>
                <w:szCs w:val="32"/>
              </w:rPr>
              <w:t>“Trying to do the right thing, but not succeeding”</w:t>
            </w:r>
          </w:p>
        </w:tc>
        <w:tc>
          <w:tcPr>
            <w:tcW w:w="3260" w:type="dxa"/>
          </w:tcPr>
          <w:p w14:paraId="1BA00D4E" w14:textId="77777777" w:rsidR="00DB3D4D" w:rsidRPr="00314EB6" w:rsidRDefault="00F74FC6" w:rsidP="00DB3D4D">
            <w:pPr>
              <w:pStyle w:val="TableText"/>
              <w:rPr>
                <w:sz w:val="24"/>
                <w:szCs w:val="24"/>
              </w:rPr>
            </w:pPr>
            <w:r w:rsidRPr="00314EB6">
              <w:rPr>
                <w:sz w:val="24"/>
                <w:szCs w:val="24"/>
              </w:rPr>
              <w:t>Accidental non</w:t>
            </w:r>
            <w:r w:rsidRPr="00314EB6">
              <w:rPr>
                <w:sz w:val="24"/>
                <w:szCs w:val="24"/>
              </w:rPr>
              <w:noBreakHyphen/>
              <w:t>compliance</w:t>
            </w:r>
          </w:p>
          <w:p w14:paraId="662B33BD" w14:textId="77777777" w:rsidR="00DB3D4D" w:rsidRPr="00314EB6" w:rsidRDefault="00F74FC6" w:rsidP="00DB3D4D">
            <w:pPr>
              <w:pStyle w:val="TableBullet1"/>
              <w:rPr>
                <w:sz w:val="24"/>
                <w:szCs w:val="24"/>
              </w:rPr>
            </w:pPr>
            <w:r w:rsidRPr="00314EB6">
              <w:rPr>
                <w:sz w:val="24"/>
                <w:szCs w:val="24"/>
              </w:rPr>
              <w:t>Not yet</w:t>
            </w:r>
            <w:r w:rsidRPr="00314EB6">
              <w:rPr>
                <w:spacing w:val="-5"/>
                <w:sz w:val="24"/>
                <w:szCs w:val="24"/>
              </w:rPr>
              <w:t xml:space="preserve"> </w:t>
            </w:r>
            <w:r w:rsidRPr="00314EB6">
              <w:rPr>
                <w:sz w:val="24"/>
                <w:szCs w:val="24"/>
              </w:rPr>
              <w:t>compliant.</w:t>
            </w:r>
          </w:p>
          <w:p w14:paraId="226CC1AA" w14:textId="77777777" w:rsidR="00DB3D4D" w:rsidRPr="00314EB6" w:rsidRDefault="00F74FC6" w:rsidP="00DB3D4D">
            <w:pPr>
              <w:pStyle w:val="TableBullet1"/>
              <w:rPr>
                <w:sz w:val="24"/>
                <w:szCs w:val="24"/>
              </w:rPr>
            </w:pPr>
            <w:r w:rsidRPr="00314EB6">
              <w:rPr>
                <w:sz w:val="24"/>
                <w:szCs w:val="24"/>
              </w:rPr>
              <w:t>Attempting compliance (</w:t>
            </w:r>
            <w:proofErr w:type="gramStart"/>
            <w:r w:rsidRPr="00314EB6">
              <w:rPr>
                <w:sz w:val="24"/>
                <w:szCs w:val="24"/>
              </w:rPr>
              <w:t>e.g.</w:t>
            </w:r>
            <w:proofErr w:type="gramEnd"/>
            <w:r w:rsidRPr="00314EB6">
              <w:rPr>
                <w:sz w:val="24"/>
                <w:szCs w:val="24"/>
              </w:rPr>
              <w:t xml:space="preserve"> developing internal control systems </w:t>
            </w:r>
            <w:r w:rsidR="00282200" w:rsidRPr="00DB3D4D">
              <w:rPr>
                <w:sz w:val="24"/>
                <w:szCs w:val="32"/>
              </w:rPr>
              <w:t xml:space="preserve">always </w:t>
            </w:r>
            <w:r w:rsidRPr="00314EB6">
              <w:rPr>
                <w:sz w:val="24"/>
                <w:szCs w:val="24"/>
              </w:rPr>
              <w:t>to ensure</w:t>
            </w:r>
            <w:r w:rsidRPr="00314EB6">
              <w:rPr>
                <w:spacing w:val="-4"/>
                <w:sz w:val="24"/>
                <w:szCs w:val="24"/>
              </w:rPr>
              <w:t xml:space="preserve"> </w:t>
            </w:r>
            <w:r w:rsidRPr="00314EB6">
              <w:rPr>
                <w:sz w:val="24"/>
                <w:szCs w:val="24"/>
              </w:rPr>
              <w:t>compliance).</w:t>
            </w:r>
          </w:p>
          <w:p w14:paraId="414E4EBB" w14:textId="77777777" w:rsidR="00DB3D4D" w:rsidRPr="00314EB6" w:rsidRDefault="00F74FC6" w:rsidP="00DB3D4D">
            <w:pPr>
              <w:pStyle w:val="TableBullet1"/>
              <w:rPr>
                <w:sz w:val="24"/>
                <w:szCs w:val="24"/>
              </w:rPr>
            </w:pPr>
            <w:r w:rsidRPr="00314EB6">
              <w:rPr>
                <w:sz w:val="24"/>
                <w:szCs w:val="24"/>
              </w:rPr>
              <w:t>Impact is</w:t>
            </w:r>
            <w:r w:rsidRPr="00314EB6">
              <w:rPr>
                <w:spacing w:val="-3"/>
                <w:sz w:val="24"/>
                <w:szCs w:val="24"/>
              </w:rPr>
              <w:t xml:space="preserve"> </w:t>
            </w:r>
            <w:r w:rsidRPr="00314EB6">
              <w:rPr>
                <w:sz w:val="24"/>
                <w:szCs w:val="24"/>
              </w:rPr>
              <w:t>low.</w:t>
            </w:r>
          </w:p>
          <w:p w14:paraId="742F29B5" w14:textId="77777777" w:rsidR="00DB3D4D" w:rsidRPr="00314EB6" w:rsidRDefault="00F74FC6" w:rsidP="00DB3D4D">
            <w:pPr>
              <w:pStyle w:val="TableBullet1"/>
              <w:rPr>
                <w:sz w:val="24"/>
                <w:szCs w:val="24"/>
              </w:rPr>
            </w:pPr>
            <w:r w:rsidRPr="00314EB6">
              <w:rPr>
                <w:sz w:val="24"/>
                <w:szCs w:val="24"/>
              </w:rPr>
              <w:t>Non-systemic.</w:t>
            </w:r>
          </w:p>
        </w:tc>
        <w:tc>
          <w:tcPr>
            <w:tcW w:w="4111" w:type="dxa"/>
          </w:tcPr>
          <w:p w14:paraId="505FF36C" w14:textId="77777777" w:rsidR="00DB3D4D" w:rsidRPr="00314EB6" w:rsidRDefault="00F74FC6" w:rsidP="00DB3D4D">
            <w:pPr>
              <w:pStyle w:val="TableText"/>
              <w:rPr>
                <w:sz w:val="24"/>
                <w:szCs w:val="24"/>
              </w:rPr>
            </w:pPr>
            <w:r w:rsidRPr="00314EB6">
              <w:rPr>
                <w:sz w:val="24"/>
                <w:szCs w:val="24"/>
              </w:rPr>
              <w:t>Inform and advise</w:t>
            </w:r>
          </w:p>
          <w:p w14:paraId="0C0A5B04" w14:textId="77777777" w:rsidR="00DB3D4D" w:rsidRPr="00314EB6" w:rsidRDefault="00F74FC6" w:rsidP="00DB3D4D">
            <w:pPr>
              <w:pStyle w:val="TableBullet1"/>
              <w:rPr>
                <w:sz w:val="24"/>
                <w:szCs w:val="24"/>
              </w:rPr>
            </w:pPr>
            <w:r w:rsidRPr="00314EB6">
              <w:rPr>
                <w:sz w:val="24"/>
                <w:szCs w:val="24"/>
              </w:rPr>
              <w:t>Provide targeted gu</w:t>
            </w:r>
            <w:r w:rsidRPr="00314EB6">
              <w:rPr>
                <w:sz w:val="24"/>
                <w:szCs w:val="24"/>
              </w:rPr>
              <w:t>idance to the regulated community.</w:t>
            </w:r>
          </w:p>
          <w:p w14:paraId="045267B2" w14:textId="77777777" w:rsidR="00DB3D4D" w:rsidRPr="00314EB6" w:rsidRDefault="00F74FC6" w:rsidP="00DB3D4D">
            <w:pPr>
              <w:pStyle w:val="TableBullet1"/>
              <w:rPr>
                <w:sz w:val="24"/>
                <w:szCs w:val="24"/>
              </w:rPr>
            </w:pPr>
            <w:r w:rsidRPr="00314EB6">
              <w:rPr>
                <w:sz w:val="24"/>
                <w:szCs w:val="24"/>
              </w:rPr>
              <w:t>Provide feedback on adequacy of systems to ensure compliance.</w:t>
            </w:r>
          </w:p>
        </w:tc>
      </w:tr>
      <w:tr w:rsidR="007830E5" w14:paraId="117B7F6C" w14:textId="77777777" w:rsidTr="006A7122">
        <w:tc>
          <w:tcPr>
            <w:tcW w:w="1838" w:type="dxa"/>
          </w:tcPr>
          <w:p w14:paraId="661E6193" w14:textId="77777777" w:rsidR="00DB3D4D" w:rsidRPr="0047177A" w:rsidRDefault="00F74FC6" w:rsidP="00DB3D4D">
            <w:pPr>
              <w:pStyle w:val="TableText"/>
            </w:pPr>
            <w:r w:rsidRPr="00DB3D4D">
              <w:rPr>
                <w:sz w:val="24"/>
                <w:szCs w:val="32"/>
              </w:rPr>
              <w:t>“Do not want to comply, but will if made to comply”</w:t>
            </w:r>
          </w:p>
        </w:tc>
        <w:tc>
          <w:tcPr>
            <w:tcW w:w="3260" w:type="dxa"/>
          </w:tcPr>
          <w:p w14:paraId="36922715" w14:textId="77777777" w:rsidR="00DB3D4D" w:rsidRPr="00314EB6" w:rsidRDefault="00F74FC6" w:rsidP="00DB3D4D">
            <w:pPr>
              <w:pStyle w:val="TableText"/>
              <w:rPr>
                <w:sz w:val="24"/>
                <w:szCs w:val="24"/>
              </w:rPr>
            </w:pPr>
            <w:r w:rsidRPr="00314EB6">
              <w:rPr>
                <w:sz w:val="24"/>
                <w:szCs w:val="24"/>
              </w:rPr>
              <w:t>Opportunistic non</w:t>
            </w:r>
            <w:r w:rsidRPr="00314EB6">
              <w:rPr>
                <w:sz w:val="24"/>
                <w:szCs w:val="24"/>
              </w:rPr>
              <w:noBreakHyphen/>
              <w:t>compliance</w:t>
            </w:r>
          </w:p>
          <w:p w14:paraId="1FF232F0" w14:textId="77777777" w:rsidR="00DB3D4D" w:rsidRPr="00314EB6" w:rsidRDefault="00F74FC6" w:rsidP="00DB3D4D">
            <w:pPr>
              <w:pStyle w:val="TableBullet1"/>
              <w:rPr>
                <w:sz w:val="24"/>
                <w:szCs w:val="24"/>
              </w:rPr>
            </w:pPr>
            <w:r w:rsidRPr="00314EB6">
              <w:rPr>
                <w:sz w:val="24"/>
                <w:szCs w:val="24"/>
              </w:rPr>
              <w:t>Resistance to compliance.</w:t>
            </w:r>
          </w:p>
          <w:p w14:paraId="2998E0A7" w14:textId="77777777" w:rsidR="00DB3D4D" w:rsidRPr="00314EB6" w:rsidRDefault="00F74FC6" w:rsidP="00DB3D4D">
            <w:pPr>
              <w:pStyle w:val="TableBullet1"/>
              <w:rPr>
                <w:sz w:val="24"/>
                <w:szCs w:val="24"/>
              </w:rPr>
            </w:pPr>
            <w:r w:rsidRPr="00314EB6">
              <w:rPr>
                <w:sz w:val="24"/>
                <w:szCs w:val="24"/>
              </w:rPr>
              <w:t xml:space="preserve">Lack of indication of intention to comply </w:t>
            </w:r>
            <w:r w:rsidRPr="00314EB6">
              <w:rPr>
                <w:sz w:val="24"/>
                <w:szCs w:val="24"/>
              </w:rPr>
              <w:t>(</w:t>
            </w:r>
            <w:proofErr w:type="gramStart"/>
            <w:r w:rsidRPr="00314EB6">
              <w:rPr>
                <w:sz w:val="24"/>
                <w:szCs w:val="24"/>
              </w:rPr>
              <w:t>e.g.</w:t>
            </w:r>
            <w:proofErr w:type="gramEnd"/>
            <w:r w:rsidRPr="00314EB6">
              <w:rPr>
                <w:sz w:val="24"/>
                <w:szCs w:val="24"/>
              </w:rPr>
              <w:t xml:space="preserve"> no indication of systems in place to ensure</w:t>
            </w:r>
            <w:r w:rsidRPr="00314EB6">
              <w:rPr>
                <w:spacing w:val="-3"/>
                <w:sz w:val="24"/>
                <w:szCs w:val="24"/>
              </w:rPr>
              <w:t xml:space="preserve"> </w:t>
            </w:r>
            <w:r w:rsidRPr="00314EB6">
              <w:rPr>
                <w:sz w:val="24"/>
                <w:szCs w:val="24"/>
              </w:rPr>
              <w:t>compliance).</w:t>
            </w:r>
          </w:p>
          <w:p w14:paraId="68EF3ABC" w14:textId="77777777" w:rsidR="00DB3D4D" w:rsidRPr="00314EB6" w:rsidRDefault="00F74FC6" w:rsidP="00DB3D4D">
            <w:pPr>
              <w:pStyle w:val="TableBullet1"/>
              <w:rPr>
                <w:sz w:val="24"/>
                <w:szCs w:val="24"/>
              </w:rPr>
            </w:pPr>
            <w:r w:rsidRPr="00314EB6">
              <w:rPr>
                <w:sz w:val="24"/>
                <w:szCs w:val="24"/>
              </w:rPr>
              <w:t>Habitual lapses into non-compliance.</w:t>
            </w:r>
          </w:p>
        </w:tc>
        <w:tc>
          <w:tcPr>
            <w:tcW w:w="4111" w:type="dxa"/>
          </w:tcPr>
          <w:p w14:paraId="3CAD36DB" w14:textId="77777777" w:rsidR="00DB3D4D" w:rsidRPr="00314EB6" w:rsidRDefault="00F74FC6" w:rsidP="00DB3D4D">
            <w:pPr>
              <w:pStyle w:val="TableText"/>
              <w:rPr>
                <w:sz w:val="24"/>
                <w:szCs w:val="24"/>
              </w:rPr>
            </w:pPr>
            <w:r w:rsidRPr="00314EB6">
              <w:rPr>
                <w:sz w:val="24"/>
                <w:szCs w:val="24"/>
              </w:rPr>
              <w:t>Correct the behaviour</w:t>
            </w:r>
          </w:p>
          <w:p w14:paraId="5C1E535D" w14:textId="77777777" w:rsidR="00DB3D4D" w:rsidRPr="00314EB6" w:rsidRDefault="00F74FC6" w:rsidP="00DB3D4D">
            <w:pPr>
              <w:pStyle w:val="TableBullet1"/>
              <w:rPr>
                <w:sz w:val="24"/>
                <w:szCs w:val="24"/>
              </w:rPr>
            </w:pPr>
            <w:r w:rsidRPr="00314EB6">
              <w:rPr>
                <w:sz w:val="24"/>
                <w:szCs w:val="24"/>
              </w:rPr>
              <w:t>Respond to detected non- compliance according to the severity (</w:t>
            </w:r>
            <w:proofErr w:type="gramStart"/>
            <w:r w:rsidRPr="00314EB6">
              <w:rPr>
                <w:sz w:val="24"/>
                <w:szCs w:val="24"/>
              </w:rPr>
              <w:t>e.g.</w:t>
            </w:r>
            <w:proofErr w:type="gramEnd"/>
            <w:r w:rsidRPr="00314EB6">
              <w:rPr>
                <w:sz w:val="24"/>
                <w:szCs w:val="24"/>
              </w:rPr>
              <w:t xml:space="preserve"> accepting enforceable undertakings and infringement notices).</w:t>
            </w:r>
          </w:p>
          <w:p w14:paraId="1270EE87" w14:textId="77777777" w:rsidR="00DB3D4D" w:rsidRPr="00314EB6" w:rsidRDefault="00F74FC6" w:rsidP="00DB3D4D">
            <w:pPr>
              <w:pStyle w:val="TableBullet1"/>
              <w:rPr>
                <w:sz w:val="24"/>
                <w:szCs w:val="24"/>
              </w:rPr>
            </w:pPr>
            <w:r w:rsidRPr="00314EB6">
              <w:rPr>
                <w:sz w:val="24"/>
                <w:szCs w:val="24"/>
              </w:rPr>
              <w:t>Publ</w:t>
            </w:r>
            <w:r w:rsidRPr="00314EB6">
              <w:rPr>
                <w:sz w:val="24"/>
                <w:szCs w:val="24"/>
              </w:rPr>
              <w:t>ish information on enforcement activities.</w:t>
            </w:r>
          </w:p>
        </w:tc>
      </w:tr>
      <w:tr w:rsidR="007830E5" w14:paraId="51E9FF7B" w14:textId="77777777" w:rsidTr="006A7122">
        <w:tc>
          <w:tcPr>
            <w:tcW w:w="1838" w:type="dxa"/>
          </w:tcPr>
          <w:p w14:paraId="49D4058F" w14:textId="77777777" w:rsidR="00DB3D4D" w:rsidRPr="0047177A" w:rsidRDefault="00F74FC6" w:rsidP="00DB3D4D">
            <w:pPr>
              <w:pStyle w:val="TableText"/>
            </w:pPr>
            <w:r w:rsidRPr="00DB3D4D">
              <w:rPr>
                <w:sz w:val="24"/>
                <w:szCs w:val="32"/>
              </w:rPr>
              <w:t>“Decision to be non</w:t>
            </w:r>
            <w:r w:rsidRPr="00DB3D4D">
              <w:rPr>
                <w:sz w:val="24"/>
                <w:szCs w:val="32"/>
              </w:rPr>
              <w:noBreakHyphen/>
              <w:t>compliant”</w:t>
            </w:r>
          </w:p>
        </w:tc>
        <w:tc>
          <w:tcPr>
            <w:tcW w:w="3260" w:type="dxa"/>
          </w:tcPr>
          <w:p w14:paraId="65E6290C" w14:textId="77777777" w:rsidR="00DB3D4D" w:rsidRPr="00314EB6" w:rsidRDefault="00F74FC6" w:rsidP="00DB3D4D">
            <w:pPr>
              <w:pStyle w:val="TableText"/>
              <w:rPr>
                <w:sz w:val="24"/>
                <w:szCs w:val="24"/>
              </w:rPr>
            </w:pPr>
            <w:r w:rsidRPr="00314EB6">
              <w:rPr>
                <w:sz w:val="24"/>
                <w:szCs w:val="24"/>
              </w:rPr>
              <w:t>Intentional non</w:t>
            </w:r>
            <w:r w:rsidRPr="00314EB6">
              <w:rPr>
                <w:sz w:val="24"/>
                <w:szCs w:val="24"/>
              </w:rPr>
              <w:noBreakHyphen/>
              <w:t>compliance</w:t>
            </w:r>
          </w:p>
          <w:p w14:paraId="49C192FE" w14:textId="77777777" w:rsidR="00DB3D4D" w:rsidRPr="00314EB6" w:rsidRDefault="00F74FC6" w:rsidP="00DB3D4D">
            <w:pPr>
              <w:pStyle w:val="TableBullet1"/>
              <w:rPr>
                <w:sz w:val="24"/>
                <w:szCs w:val="24"/>
              </w:rPr>
            </w:pPr>
            <w:r w:rsidRPr="00314EB6">
              <w:rPr>
                <w:sz w:val="24"/>
                <w:szCs w:val="24"/>
              </w:rPr>
              <w:t>Deliberate non- compliance.</w:t>
            </w:r>
          </w:p>
          <w:p w14:paraId="2230E7C0" w14:textId="77777777" w:rsidR="00DB3D4D" w:rsidRPr="00314EB6" w:rsidRDefault="00F74FC6" w:rsidP="00DB3D4D">
            <w:pPr>
              <w:pStyle w:val="TableBullet1"/>
              <w:rPr>
                <w:sz w:val="24"/>
                <w:szCs w:val="24"/>
              </w:rPr>
            </w:pPr>
            <w:r w:rsidRPr="00314EB6">
              <w:rPr>
                <w:sz w:val="24"/>
                <w:szCs w:val="24"/>
              </w:rPr>
              <w:t>Criminal intent or fraud.</w:t>
            </w:r>
          </w:p>
          <w:p w14:paraId="4937838C" w14:textId="77777777" w:rsidR="00DB3D4D" w:rsidRPr="00314EB6" w:rsidRDefault="00F74FC6" w:rsidP="00DB3D4D">
            <w:pPr>
              <w:pStyle w:val="TableBullet1"/>
              <w:rPr>
                <w:sz w:val="24"/>
                <w:szCs w:val="24"/>
              </w:rPr>
            </w:pPr>
            <w:r w:rsidRPr="00314EB6">
              <w:rPr>
                <w:sz w:val="24"/>
                <w:szCs w:val="24"/>
              </w:rPr>
              <w:t>Other illegal</w:t>
            </w:r>
            <w:r w:rsidRPr="00314EB6">
              <w:rPr>
                <w:spacing w:val="-5"/>
                <w:sz w:val="24"/>
                <w:szCs w:val="24"/>
              </w:rPr>
              <w:t xml:space="preserve"> </w:t>
            </w:r>
            <w:r w:rsidRPr="00314EB6">
              <w:rPr>
                <w:sz w:val="24"/>
                <w:szCs w:val="24"/>
              </w:rPr>
              <w:t>activity.</w:t>
            </w:r>
          </w:p>
        </w:tc>
        <w:tc>
          <w:tcPr>
            <w:tcW w:w="4111" w:type="dxa"/>
          </w:tcPr>
          <w:p w14:paraId="71BE60AE" w14:textId="77777777" w:rsidR="00DB3D4D" w:rsidRPr="00314EB6" w:rsidRDefault="00F74FC6" w:rsidP="00DB3D4D">
            <w:pPr>
              <w:pStyle w:val="TableText"/>
              <w:rPr>
                <w:sz w:val="24"/>
                <w:szCs w:val="24"/>
              </w:rPr>
            </w:pPr>
            <w:r w:rsidRPr="00314EB6">
              <w:rPr>
                <w:sz w:val="24"/>
                <w:szCs w:val="24"/>
              </w:rPr>
              <w:t>Enforce</w:t>
            </w:r>
          </w:p>
          <w:p w14:paraId="2F8FF6B6" w14:textId="77777777" w:rsidR="00DB3D4D" w:rsidRPr="00314EB6" w:rsidRDefault="00F74FC6" w:rsidP="00DB3D4D">
            <w:pPr>
              <w:pStyle w:val="TableBullet1"/>
              <w:rPr>
                <w:sz w:val="24"/>
                <w:szCs w:val="24"/>
              </w:rPr>
            </w:pPr>
            <w:r w:rsidRPr="00314EB6">
              <w:rPr>
                <w:sz w:val="24"/>
                <w:szCs w:val="24"/>
              </w:rPr>
              <w:t>Revoke or suspend permits, initiate investigations, pursue civil action or refer any relevant cases for criminal prosecution.</w:t>
            </w:r>
          </w:p>
          <w:p w14:paraId="40F87591" w14:textId="77777777" w:rsidR="00DB3D4D" w:rsidRPr="00314EB6" w:rsidRDefault="00F74FC6" w:rsidP="00DB3D4D">
            <w:pPr>
              <w:pStyle w:val="TableBullet1"/>
              <w:rPr>
                <w:sz w:val="24"/>
                <w:szCs w:val="24"/>
              </w:rPr>
            </w:pPr>
            <w:r w:rsidRPr="00314EB6">
              <w:rPr>
                <w:sz w:val="24"/>
                <w:szCs w:val="24"/>
              </w:rPr>
              <w:t>Seizure of protected underwater cultural heritage.</w:t>
            </w:r>
          </w:p>
          <w:p w14:paraId="16C3002A" w14:textId="77777777" w:rsidR="00DB3D4D" w:rsidRPr="00314EB6" w:rsidRDefault="00F74FC6" w:rsidP="00DB3D4D">
            <w:pPr>
              <w:pStyle w:val="TableBullet1"/>
              <w:rPr>
                <w:sz w:val="24"/>
                <w:szCs w:val="24"/>
              </w:rPr>
            </w:pPr>
            <w:r w:rsidRPr="00314EB6">
              <w:rPr>
                <w:sz w:val="24"/>
                <w:szCs w:val="24"/>
              </w:rPr>
              <w:t>Publish information on enforcement activities.</w:t>
            </w:r>
          </w:p>
        </w:tc>
      </w:tr>
      <w:bookmarkEnd w:id="4"/>
    </w:tbl>
    <w:p w14:paraId="18FB02AE" w14:textId="77777777" w:rsidR="00F742B5" w:rsidRDefault="00F742B5" w:rsidP="00E1508F"/>
    <w:p w14:paraId="70A27D63" w14:textId="77777777" w:rsidR="00F742B5" w:rsidRDefault="00F74FC6" w:rsidP="00977175">
      <w:pPr>
        <w:spacing w:after="0" w:line="240" w:lineRule="auto"/>
      </w:pPr>
      <w:r>
        <w:br w:type="page"/>
      </w:r>
    </w:p>
    <w:p w14:paraId="24B1374D" w14:textId="77777777" w:rsidR="00977175" w:rsidRDefault="00F74FC6" w:rsidP="00977175">
      <w:pPr>
        <w:pStyle w:val="Caption"/>
      </w:pPr>
      <w:bookmarkStart w:id="16" w:name="_Toc93994464"/>
      <w:r>
        <w:lastRenderedPageBreak/>
        <w:t xml:space="preserve">Figure </w:t>
      </w:r>
      <w:r w:rsidR="00D87560">
        <w:fldChar w:fldCharType="begin"/>
      </w:r>
      <w:r>
        <w:instrText xml:space="preserve"> SEQ Figure \* ARABIC</w:instrText>
      </w:r>
      <w:r>
        <w:instrText xml:space="preserve"> </w:instrText>
      </w:r>
      <w:r w:rsidR="00D87560">
        <w:fldChar w:fldCharType="separate"/>
      </w:r>
      <w:r>
        <w:t>2</w:t>
      </w:r>
      <w:r w:rsidR="00D87560">
        <w:rPr>
          <w:noProof/>
        </w:rPr>
        <w:fldChar w:fldCharType="end"/>
      </w:r>
      <w:r>
        <w:t xml:space="preserve">: </w:t>
      </w:r>
      <w:r w:rsidRPr="00612831">
        <w:t>Table of offences and penalties under the UCH Act.</w:t>
      </w:r>
      <w:bookmarkEnd w:id="16"/>
    </w:p>
    <w:tbl>
      <w:tblPr>
        <w:tblStyle w:val="TableGrid"/>
        <w:tblW w:w="5000" w:type="pct"/>
        <w:tblLook w:val="0020" w:firstRow="1" w:lastRow="0" w:firstColumn="0" w:lastColumn="0" w:noHBand="0" w:noVBand="0"/>
      </w:tblPr>
      <w:tblGrid>
        <w:gridCol w:w="3484"/>
        <w:gridCol w:w="2374"/>
        <w:gridCol w:w="1537"/>
        <w:gridCol w:w="1665"/>
      </w:tblGrid>
      <w:tr w:rsidR="007830E5" w14:paraId="35614160" w14:textId="77777777" w:rsidTr="006A7F7E">
        <w:trPr>
          <w:trHeight w:val="276"/>
        </w:trPr>
        <w:tc>
          <w:tcPr>
            <w:tcW w:w="1923" w:type="pct"/>
            <w:shd w:val="clear" w:color="auto" w:fill="C6D9F1" w:themeFill="text2" w:themeFillTint="33"/>
          </w:tcPr>
          <w:p w14:paraId="3DA35406" w14:textId="77777777" w:rsidR="0082601D" w:rsidRPr="00574790" w:rsidRDefault="00F74FC6" w:rsidP="00282200">
            <w:pPr>
              <w:pStyle w:val="TOC1"/>
              <w:spacing w:before="60" w:after="60"/>
              <w:ind w:left="113" w:right="113"/>
              <w:rPr>
                <w:rFonts w:asciiTheme="majorHAnsi" w:hAnsiTheme="majorHAnsi"/>
                <w:sz w:val="24"/>
                <w:szCs w:val="24"/>
              </w:rPr>
            </w:pPr>
            <w:r w:rsidRPr="00574790">
              <w:rPr>
                <w:rFonts w:asciiTheme="majorHAnsi" w:hAnsiTheme="majorHAnsi"/>
                <w:sz w:val="24"/>
                <w:szCs w:val="24"/>
              </w:rPr>
              <w:t>UCH Act Section</w:t>
            </w:r>
          </w:p>
        </w:tc>
        <w:tc>
          <w:tcPr>
            <w:tcW w:w="1310" w:type="pct"/>
            <w:shd w:val="clear" w:color="auto" w:fill="C6D9F1" w:themeFill="text2" w:themeFillTint="33"/>
          </w:tcPr>
          <w:p w14:paraId="3DDB35DC" w14:textId="77777777" w:rsidR="0082601D" w:rsidRPr="00574790" w:rsidRDefault="00F74FC6" w:rsidP="00282200">
            <w:pPr>
              <w:pStyle w:val="TOC1"/>
              <w:spacing w:before="60" w:after="60"/>
              <w:ind w:left="113" w:right="113"/>
              <w:rPr>
                <w:rFonts w:asciiTheme="majorHAnsi" w:hAnsiTheme="majorHAnsi"/>
                <w:sz w:val="24"/>
                <w:szCs w:val="24"/>
              </w:rPr>
            </w:pPr>
            <w:r w:rsidRPr="00574790">
              <w:rPr>
                <w:rFonts w:asciiTheme="majorHAnsi" w:hAnsiTheme="majorHAnsi"/>
                <w:sz w:val="24"/>
                <w:szCs w:val="24"/>
              </w:rPr>
              <w:t>Criminal offence</w:t>
            </w:r>
          </w:p>
        </w:tc>
        <w:tc>
          <w:tcPr>
            <w:tcW w:w="848" w:type="pct"/>
            <w:shd w:val="clear" w:color="auto" w:fill="C6D9F1" w:themeFill="text2" w:themeFillTint="33"/>
          </w:tcPr>
          <w:p w14:paraId="1DADFDEF" w14:textId="77777777" w:rsidR="0082601D" w:rsidRPr="00574790" w:rsidRDefault="00F74FC6" w:rsidP="00282200">
            <w:pPr>
              <w:pStyle w:val="TOC1"/>
              <w:spacing w:before="60" w:after="60"/>
              <w:ind w:left="113" w:right="113"/>
              <w:rPr>
                <w:rFonts w:asciiTheme="majorHAnsi" w:hAnsiTheme="majorHAnsi"/>
                <w:sz w:val="24"/>
                <w:szCs w:val="24"/>
              </w:rPr>
            </w:pPr>
            <w:r w:rsidRPr="00574790">
              <w:rPr>
                <w:rFonts w:asciiTheme="majorHAnsi" w:hAnsiTheme="majorHAnsi"/>
                <w:sz w:val="24"/>
                <w:szCs w:val="24"/>
              </w:rPr>
              <w:t>Strict liability</w:t>
            </w:r>
          </w:p>
        </w:tc>
        <w:tc>
          <w:tcPr>
            <w:tcW w:w="919" w:type="pct"/>
            <w:shd w:val="clear" w:color="auto" w:fill="C6D9F1" w:themeFill="text2" w:themeFillTint="33"/>
          </w:tcPr>
          <w:p w14:paraId="36F37877" w14:textId="77777777" w:rsidR="0082601D" w:rsidRPr="00574790" w:rsidRDefault="00F74FC6" w:rsidP="00282200">
            <w:pPr>
              <w:pStyle w:val="TOC1"/>
              <w:spacing w:before="60" w:after="60"/>
              <w:ind w:left="113" w:right="113"/>
              <w:rPr>
                <w:rFonts w:asciiTheme="majorHAnsi" w:hAnsiTheme="majorHAnsi"/>
                <w:sz w:val="24"/>
                <w:szCs w:val="24"/>
              </w:rPr>
            </w:pPr>
            <w:r w:rsidRPr="00574790">
              <w:rPr>
                <w:rFonts w:asciiTheme="majorHAnsi" w:hAnsiTheme="majorHAnsi"/>
                <w:sz w:val="24"/>
                <w:szCs w:val="24"/>
              </w:rPr>
              <w:t>Civil penalty</w:t>
            </w:r>
          </w:p>
        </w:tc>
      </w:tr>
      <w:tr w:rsidR="007830E5" w14:paraId="08C285AC" w14:textId="77777777" w:rsidTr="006A7122">
        <w:trPr>
          <w:trHeight w:val="541"/>
        </w:trPr>
        <w:tc>
          <w:tcPr>
            <w:tcW w:w="1923" w:type="pct"/>
          </w:tcPr>
          <w:p w14:paraId="6F15D90A" w14:textId="77777777" w:rsidR="0082601D" w:rsidRPr="00574790" w:rsidRDefault="00F74FC6" w:rsidP="00282200">
            <w:pPr>
              <w:pStyle w:val="TableText"/>
              <w:ind w:left="113" w:right="113"/>
              <w:rPr>
                <w:sz w:val="24"/>
                <w:szCs w:val="24"/>
              </w:rPr>
            </w:pPr>
            <w:r w:rsidRPr="00574790">
              <w:rPr>
                <w:b/>
                <w:bCs/>
                <w:sz w:val="24"/>
                <w:szCs w:val="24"/>
              </w:rPr>
              <w:t xml:space="preserve">Section 27 </w:t>
            </w:r>
            <w:r w:rsidRPr="00574790">
              <w:rPr>
                <w:sz w:val="24"/>
                <w:szCs w:val="24"/>
              </w:rPr>
              <w:t>- Failure to notify Minister of transfer of permit</w:t>
            </w:r>
          </w:p>
        </w:tc>
        <w:tc>
          <w:tcPr>
            <w:tcW w:w="1310" w:type="pct"/>
          </w:tcPr>
          <w:p w14:paraId="34343451" w14:textId="77777777" w:rsidR="0082601D" w:rsidRPr="00574790" w:rsidRDefault="00F74FC6" w:rsidP="00282200">
            <w:pPr>
              <w:pStyle w:val="TableText"/>
              <w:ind w:left="113" w:right="113"/>
              <w:rPr>
                <w:sz w:val="24"/>
                <w:szCs w:val="24"/>
              </w:rPr>
            </w:pPr>
            <w:r w:rsidRPr="00574790">
              <w:rPr>
                <w:sz w:val="24"/>
                <w:szCs w:val="24"/>
              </w:rPr>
              <w:t>Imprisonment for 2 years or 120 penalty units, or both.</w:t>
            </w:r>
          </w:p>
        </w:tc>
        <w:tc>
          <w:tcPr>
            <w:tcW w:w="848" w:type="pct"/>
          </w:tcPr>
          <w:p w14:paraId="51C7DF9E" w14:textId="77777777" w:rsidR="0082601D" w:rsidRPr="00574790" w:rsidRDefault="00F74FC6" w:rsidP="00282200">
            <w:pPr>
              <w:pStyle w:val="TableText"/>
              <w:ind w:left="113" w:right="113"/>
              <w:rPr>
                <w:sz w:val="24"/>
                <w:szCs w:val="24"/>
              </w:rPr>
            </w:pPr>
            <w:r w:rsidRPr="00574790">
              <w:rPr>
                <w:sz w:val="24"/>
                <w:szCs w:val="24"/>
              </w:rPr>
              <w:t xml:space="preserve">60 </w:t>
            </w:r>
            <w:r w:rsidRPr="00574790">
              <w:rPr>
                <w:sz w:val="24"/>
                <w:szCs w:val="24"/>
              </w:rPr>
              <w:t>penalty units</w:t>
            </w:r>
          </w:p>
        </w:tc>
        <w:tc>
          <w:tcPr>
            <w:tcW w:w="919" w:type="pct"/>
          </w:tcPr>
          <w:p w14:paraId="7BDA8238" w14:textId="77777777" w:rsidR="0082601D" w:rsidRPr="00574790" w:rsidRDefault="00F74FC6" w:rsidP="00282200">
            <w:pPr>
              <w:pStyle w:val="TableText"/>
              <w:ind w:left="113" w:right="113"/>
              <w:rPr>
                <w:sz w:val="24"/>
                <w:szCs w:val="24"/>
              </w:rPr>
            </w:pPr>
            <w:r w:rsidRPr="00574790">
              <w:rPr>
                <w:sz w:val="24"/>
                <w:szCs w:val="24"/>
              </w:rPr>
              <w:t>120 penalty units</w:t>
            </w:r>
          </w:p>
        </w:tc>
      </w:tr>
      <w:tr w:rsidR="007830E5" w14:paraId="57219F0B" w14:textId="77777777" w:rsidTr="006A7122">
        <w:trPr>
          <w:trHeight w:val="832"/>
        </w:trPr>
        <w:tc>
          <w:tcPr>
            <w:tcW w:w="1923" w:type="pct"/>
          </w:tcPr>
          <w:p w14:paraId="298EDD8B" w14:textId="77777777" w:rsidR="0082601D" w:rsidRPr="00574790" w:rsidRDefault="00F74FC6" w:rsidP="00282200">
            <w:pPr>
              <w:pStyle w:val="TableText"/>
              <w:ind w:left="113" w:right="113"/>
              <w:rPr>
                <w:sz w:val="24"/>
                <w:szCs w:val="24"/>
              </w:rPr>
            </w:pPr>
            <w:r w:rsidRPr="00574790">
              <w:rPr>
                <w:b/>
                <w:bCs/>
                <w:sz w:val="24"/>
                <w:szCs w:val="24"/>
              </w:rPr>
              <w:t xml:space="preserve">Section 28 </w:t>
            </w:r>
            <w:r w:rsidRPr="00574790">
              <w:rPr>
                <w:sz w:val="24"/>
                <w:szCs w:val="24"/>
              </w:rPr>
              <w:t>- Breach of permit condition</w:t>
            </w:r>
          </w:p>
        </w:tc>
        <w:tc>
          <w:tcPr>
            <w:tcW w:w="1310" w:type="pct"/>
          </w:tcPr>
          <w:p w14:paraId="68D5F0F7" w14:textId="77777777" w:rsidR="0082601D" w:rsidRPr="00574790" w:rsidRDefault="00F74FC6" w:rsidP="00282200">
            <w:pPr>
              <w:pStyle w:val="TableText"/>
              <w:ind w:left="113" w:right="113"/>
              <w:rPr>
                <w:sz w:val="24"/>
                <w:szCs w:val="24"/>
              </w:rPr>
            </w:pPr>
            <w:r w:rsidRPr="00574790">
              <w:rPr>
                <w:sz w:val="24"/>
                <w:szCs w:val="24"/>
              </w:rPr>
              <w:t>Imprisonment for 2 years, or 120 penalty units, or both.</w:t>
            </w:r>
          </w:p>
        </w:tc>
        <w:tc>
          <w:tcPr>
            <w:tcW w:w="848" w:type="pct"/>
          </w:tcPr>
          <w:p w14:paraId="728A1AE7" w14:textId="77777777" w:rsidR="0082601D" w:rsidRPr="00574790" w:rsidRDefault="00F74FC6" w:rsidP="00282200">
            <w:pPr>
              <w:pStyle w:val="TableText"/>
              <w:ind w:left="113" w:right="113"/>
              <w:rPr>
                <w:sz w:val="24"/>
                <w:szCs w:val="24"/>
              </w:rPr>
            </w:pPr>
            <w:r w:rsidRPr="00574790">
              <w:rPr>
                <w:sz w:val="24"/>
                <w:szCs w:val="24"/>
              </w:rPr>
              <w:t>60 penalty units</w:t>
            </w:r>
          </w:p>
        </w:tc>
        <w:tc>
          <w:tcPr>
            <w:tcW w:w="919" w:type="pct"/>
          </w:tcPr>
          <w:p w14:paraId="373714B1" w14:textId="77777777" w:rsidR="0082601D" w:rsidRPr="00574790" w:rsidRDefault="00F74FC6" w:rsidP="00282200">
            <w:pPr>
              <w:pStyle w:val="TableText"/>
              <w:ind w:left="113" w:right="113"/>
              <w:rPr>
                <w:sz w:val="24"/>
                <w:szCs w:val="24"/>
              </w:rPr>
            </w:pPr>
            <w:r w:rsidRPr="00574790">
              <w:rPr>
                <w:sz w:val="24"/>
                <w:szCs w:val="24"/>
              </w:rPr>
              <w:t>120 penalty units</w:t>
            </w:r>
          </w:p>
        </w:tc>
      </w:tr>
      <w:tr w:rsidR="007830E5" w14:paraId="355994C5" w14:textId="77777777" w:rsidTr="006A7122">
        <w:trPr>
          <w:trHeight w:val="437"/>
        </w:trPr>
        <w:tc>
          <w:tcPr>
            <w:tcW w:w="1923" w:type="pct"/>
          </w:tcPr>
          <w:p w14:paraId="3FDF538B" w14:textId="77777777" w:rsidR="0082601D" w:rsidRPr="00574790" w:rsidRDefault="00F74FC6" w:rsidP="00282200">
            <w:pPr>
              <w:pStyle w:val="TableText"/>
              <w:ind w:left="113" w:right="113"/>
              <w:rPr>
                <w:sz w:val="24"/>
                <w:szCs w:val="24"/>
              </w:rPr>
            </w:pPr>
            <w:r w:rsidRPr="00574790">
              <w:rPr>
                <w:b/>
                <w:bCs/>
                <w:sz w:val="24"/>
                <w:szCs w:val="24"/>
              </w:rPr>
              <w:t xml:space="preserve">Section 29 </w:t>
            </w:r>
            <w:r w:rsidRPr="00574790">
              <w:rPr>
                <w:sz w:val="24"/>
                <w:szCs w:val="24"/>
              </w:rPr>
              <w:t>- Prohibited conduct within protected zone without a permit</w:t>
            </w:r>
          </w:p>
        </w:tc>
        <w:tc>
          <w:tcPr>
            <w:tcW w:w="1310" w:type="pct"/>
          </w:tcPr>
          <w:p w14:paraId="7594E092" w14:textId="77777777" w:rsidR="0082601D" w:rsidRPr="00574790" w:rsidRDefault="00F74FC6" w:rsidP="00282200">
            <w:pPr>
              <w:pStyle w:val="TableText"/>
              <w:ind w:left="113" w:right="113"/>
              <w:rPr>
                <w:sz w:val="24"/>
                <w:szCs w:val="24"/>
              </w:rPr>
            </w:pPr>
            <w:r w:rsidRPr="00574790">
              <w:rPr>
                <w:sz w:val="24"/>
                <w:szCs w:val="24"/>
              </w:rPr>
              <w:t>Imprisonment for 5 years or 300 penalty units, or both.</w:t>
            </w:r>
          </w:p>
        </w:tc>
        <w:tc>
          <w:tcPr>
            <w:tcW w:w="848" w:type="pct"/>
          </w:tcPr>
          <w:p w14:paraId="6B784283" w14:textId="77777777" w:rsidR="0082601D" w:rsidRPr="00574790" w:rsidRDefault="00F74FC6" w:rsidP="00282200">
            <w:pPr>
              <w:pStyle w:val="TableText"/>
              <w:ind w:left="113" w:right="113"/>
              <w:rPr>
                <w:sz w:val="24"/>
                <w:szCs w:val="24"/>
              </w:rPr>
            </w:pPr>
            <w:r w:rsidRPr="00574790">
              <w:rPr>
                <w:sz w:val="24"/>
                <w:szCs w:val="24"/>
              </w:rPr>
              <w:t>60 penalty units</w:t>
            </w:r>
          </w:p>
        </w:tc>
        <w:tc>
          <w:tcPr>
            <w:tcW w:w="919" w:type="pct"/>
          </w:tcPr>
          <w:p w14:paraId="7F9C96FE" w14:textId="77777777" w:rsidR="0082601D" w:rsidRPr="00574790" w:rsidRDefault="00F74FC6" w:rsidP="00282200">
            <w:pPr>
              <w:pStyle w:val="TableText"/>
              <w:ind w:left="113" w:right="113"/>
              <w:rPr>
                <w:sz w:val="24"/>
                <w:szCs w:val="24"/>
              </w:rPr>
            </w:pPr>
            <w:r w:rsidRPr="00574790">
              <w:rPr>
                <w:sz w:val="24"/>
                <w:szCs w:val="24"/>
              </w:rPr>
              <w:t>300 penalty units</w:t>
            </w:r>
          </w:p>
        </w:tc>
      </w:tr>
      <w:tr w:rsidR="007830E5" w14:paraId="1F013F77" w14:textId="77777777" w:rsidTr="006A7122">
        <w:trPr>
          <w:trHeight w:val="574"/>
        </w:trPr>
        <w:tc>
          <w:tcPr>
            <w:tcW w:w="1923" w:type="pct"/>
          </w:tcPr>
          <w:p w14:paraId="48AD2534" w14:textId="77777777" w:rsidR="0082601D" w:rsidRPr="00574790" w:rsidRDefault="00F74FC6" w:rsidP="00282200">
            <w:pPr>
              <w:pStyle w:val="TableText"/>
              <w:ind w:left="113" w:right="113"/>
              <w:rPr>
                <w:sz w:val="24"/>
                <w:szCs w:val="24"/>
              </w:rPr>
            </w:pPr>
            <w:r w:rsidRPr="00574790">
              <w:rPr>
                <w:b/>
                <w:bCs/>
                <w:sz w:val="24"/>
                <w:szCs w:val="24"/>
              </w:rPr>
              <w:t xml:space="preserve">Section 30 </w:t>
            </w:r>
            <w:r w:rsidRPr="00574790">
              <w:rPr>
                <w:sz w:val="24"/>
                <w:szCs w:val="24"/>
              </w:rPr>
              <w:t>- Conduct with an adverse impact on protected UCH without a permit</w:t>
            </w:r>
          </w:p>
        </w:tc>
        <w:tc>
          <w:tcPr>
            <w:tcW w:w="1310" w:type="pct"/>
          </w:tcPr>
          <w:p w14:paraId="35791B5A" w14:textId="77777777" w:rsidR="0082601D" w:rsidRPr="00574790" w:rsidRDefault="00F74FC6" w:rsidP="00282200">
            <w:pPr>
              <w:pStyle w:val="TableText"/>
              <w:ind w:left="113" w:right="113"/>
              <w:rPr>
                <w:sz w:val="24"/>
                <w:szCs w:val="24"/>
              </w:rPr>
            </w:pPr>
            <w:r w:rsidRPr="00574790">
              <w:rPr>
                <w:sz w:val="24"/>
                <w:szCs w:val="24"/>
              </w:rPr>
              <w:t>Imprisonment for 5 years or 300 penalty units, or both.</w:t>
            </w:r>
          </w:p>
        </w:tc>
        <w:tc>
          <w:tcPr>
            <w:tcW w:w="848" w:type="pct"/>
          </w:tcPr>
          <w:p w14:paraId="021B0EE9" w14:textId="77777777" w:rsidR="0082601D" w:rsidRPr="00574790" w:rsidRDefault="00F74FC6" w:rsidP="00282200">
            <w:pPr>
              <w:pStyle w:val="TableText"/>
              <w:ind w:left="113" w:right="113"/>
              <w:rPr>
                <w:sz w:val="24"/>
                <w:szCs w:val="24"/>
              </w:rPr>
            </w:pPr>
            <w:r w:rsidRPr="00574790">
              <w:rPr>
                <w:sz w:val="24"/>
                <w:szCs w:val="24"/>
              </w:rPr>
              <w:t>60 penalty units</w:t>
            </w:r>
          </w:p>
        </w:tc>
        <w:tc>
          <w:tcPr>
            <w:tcW w:w="919" w:type="pct"/>
          </w:tcPr>
          <w:p w14:paraId="6317B17F" w14:textId="77777777" w:rsidR="0082601D" w:rsidRPr="00574790" w:rsidRDefault="00F74FC6" w:rsidP="00282200">
            <w:pPr>
              <w:pStyle w:val="TableText"/>
              <w:ind w:left="113" w:right="113"/>
              <w:rPr>
                <w:sz w:val="24"/>
                <w:szCs w:val="24"/>
              </w:rPr>
            </w:pPr>
            <w:r w:rsidRPr="00574790">
              <w:rPr>
                <w:sz w:val="24"/>
                <w:szCs w:val="24"/>
              </w:rPr>
              <w:t>800 penalty u</w:t>
            </w:r>
            <w:r w:rsidRPr="00574790">
              <w:rPr>
                <w:sz w:val="24"/>
                <w:szCs w:val="24"/>
              </w:rPr>
              <w:t>nits</w:t>
            </w:r>
          </w:p>
        </w:tc>
      </w:tr>
      <w:tr w:rsidR="007830E5" w14:paraId="02A3D027" w14:textId="77777777" w:rsidTr="006A7122">
        <w:trPr>
          <w:trHeight w:val="509"/>
        </w:trPr>
        <w:tc>
          <w:tcPr>
            <w:tcW w:w="1923" w:type="pct"/>
          </w:tcPr>
          <w:p w14:paraId="0DEC790C" w14:textId="77777777" w:rsidR="0082601D" w:rsidRPr="00574790" w:rsidRDefault="00F74FC6" w:rsidP="00282200">
            <w:pPr>
              <w:pStyle w:val="TableText"/>
              <w:ind w:left="113" w:right="113"/>
              <w:rPr>
                <w:sz w:val="24"/>
                <w:szCs w:val="24"/>
              </w:rPr>
            </w:pPr>
            <w:r w:rsidRPr="00574790">
              <w:rPr>
                <w:b/>
                <w:bCs/>
                <w:sz w:val="24"/>
                <w:szCs w:val="24"/>
              </w:rPr>
              <w:t xml:space="preserve">Section 31 </w:t>
            </w:r>
            <w:r w:rsidRPr="00574790">
              <w:rPr>
                <w:sz w:val="24"/>
                <w:szCs w:val="24"/>
              </w:rPr>
              <w:t>- Possession of protected UCH without a permit</w:t>
            </w:r>
          </w:p>
        </w:tc>
        <w:tc>
          <w:tcPr>
            <w:tcW w:w="1310" w:type="pct"/>
          </w:tcPr>
          <w:p w14:paraId="43EC7968" w14:textId="77777777" w:rsidR="0082601D" w:rsidRPr="00574790" w:rsidRDefault="00F74FC6" w:rsidP="00282200">
            <w:pPr>
              <w:pStyle w:val="TableText"/>
              <w:ind w:left="113" w:right="113"/>
              <w:rPr>
                <w:sz w:val="24"/>
                <w:szCs w:val="24"/>
              </w:rPr>
            </w:pPr>
            <w:r w:rsidRPr="00574790">
              <w:rPr>
                <w:sz w:val="24"/>
                <w:szCs w:val="24"/>
              </w:rPr>
              <w:t>Imprisonment for 5 years or 300 penalty units, or both.</w:t>
            </w:r>
          </w:p>
        </w:tc>
        <w:tc>
          <w:tcPr>
            <w:tcW w:w="848" w:type="pct"/>
          </w:tcPr>
          <w:p w14:paraId="61FA5F86" w14:textId="77777777" w:rsidR="0082601D" w:rsidRPr="00574790" w:rsidRDefault="00F74FC6" w:rsidP="00282200">
            <w:pPr>
              <w:pStyle w:val="TableText"/>
              <w:ind w:left="113" w:right="113"/>
              <w:rPr>
                <w:sz w:val="24"/>
                <w:szCs w:val="24"/>
              </w:rPr>
            </w:pPr>
            <w:r w:rsidRPr="00574790">
              <w:rPr>
                <w:sz w:val="24"/>
                <w:szCs w:val="24"/>
              </w:rPr>
              <w:t>60 penalty units</w:t>
            </w:r>
          </w:p>
        </w:tc>
        <w:tc>
          <w:tcPr>
            <w:tcW w:w="919" w:type="pct"/>
          </w:tcPr>
          <w:p w14:paraId="5D2F823A" w14:textId="77777777" w:rsidR="0082601D" w:rsidRPr="00574790" w:rsidRDefault="00F74FC6" w:rsidP="00282200">
            <w:pPr>
              <w:pStyle w:val="TableText"/>
              <w:ind w:left="113" w:right="113"/>
              <w:rPr>
                <w:sz w:val="24"/>
                <w:szCs w:val="24"/>
              </w:rPr>
            </w:pPr>
            <w:r w:rsidRPr="00574790">
              <w:rPr>
                <w:sz w:val="24"/>
                <w:szCs w:val="24"/>
              </w:rPr>
              <w:t>300 penalty units</w:t>
            </w:r>
          </w:p>
        </w:tc>
      </w:tr>
      <w:tr w:rsidR="007830E5" w14:paraId="3D4E8D1D" w14:textId="77777777" w:rsidTr="006A7122">
        <w:trPr>
          <w:trHeight w:val="880"/>
        </w:trPr>
        <w:tc>
          <w:tcPr>
            <w:tcW w:w="1923" w:type="pct"/>
          </w:tcPr>
          <w:p w14:paraId="61751CEA" w14:textId="77777777" w:rsidR="0082601D" w:rsidRPr="00574790" w:rsidRDefault="00F74FC6" w:rsidP="00282200">
            <w:pPr>
              <w:pStyle w:val="TableText"/>
              <w:ind w:left="113" w:right="113"/>
              <w:rPr>
                <w:sz w:val="24"/>
                <w:szCs w:val="24"/>
              </w:rPr>
            </w:pPr>
            <w:r w:rsidRPr="00574790">
              <w:rPr>
                <w:b/>
                <w:bCs/>
                <w:sz w:val="24"/>
                <w:szCs w:val="24"/>
              </w:rPr>
              <w:t xml:space="preserve">Section 32 </w:t>
            </w:r>
            <w:r w:rsidRPr="00574790">
              <w:rPr>
                <w:sz w:val="24"/>
                <w:szCs w:val="24"/>
              </w:rPr>
              <w:t>- Supply and offers to supply protected UCH without a permit</w:t>
            </w:r>
          </w:p>
        </w:tc>
        <w:tc>
          <w:tcPr>
            <w:tcW w:w="1310" w:type="pct"/>
          </w:tcPr>
          <w:p w14:paraId="64E3386A" w14:textId="77777777" w:rsidR="0082601D" w:rsidRPr="00574790" w:rsidRDefault="00F74FC6" w:rsidP="00282200">
            <w:pPr>
              <w:pStyle w:val="TableText"/>
              <w:ind w:left="113" w:right="113"/>
              <w:rPr>
                <w:sz w:val="24"/>
                <w:szCs w:val="24"/>
              </w:rPr>
            </w:pPr>
            <w:r w:rsidRPr="00574790">
              <w:rPr>
                <w:sz w:val="24"/>
                <w:szCs w:val="24"/>
              </w:rPr>
              <w:t xml:space="preserve">Imprisonment for 2 </w:t>
            </w:r>
            <w:r w:rsidRPr="00574790">
              <w:rPr>
                <w:sz w:val="24"/>
                <w:szCs w:val="24"/>
              </w:rPr>
              <w:t>years, or 120 penalty units, or both.</w:t>
            </w:r>
          </w:p>
        </w:tc>
        <w:tc>
          <w:tcPr>
            <w:tcW w:w="848" w:type="pct"/>
          </w:tcPr>
          <w:p w14:paraId="7BF83191" w14:textId="77777777" w:rsidR="0082601D" w:rsidRPr="00574790" w:rsidRDefault="00F74FC6" w:rsidP="00282200">
            <w:pPr>
              <w:pStyle w:val="TableText"/>
              <w:ind w:left="113" w:right="113"/>
              <w:rPr>
                <w:sz w:val="24"/>
                <w:szCs w:val="24"/>
              </w:rPr>
            </w:pPr>
            <w:r w:rsidRPr="00574790">
              <w:rPr>
                <w:sz w:val="24"/>
                <w:szCs w:val="24"/>
              </w:rPr>
              <w:t>60 penalty units</w:t>
            </w:r>
          </w:p>
        </w:tc>
        <w:tc>
          <w:tcPr>
            <w:tcW w:w="919" w:type="pct"/>
          </w:tcPr>
          <w:p w14:paraId="7B927990" w14:textId="77777777" w:rsidR="0082601D" w:rsidRPr="00574790" w:rsidRDefault="00F74FC6" w:rsidP="00282200">
            <w:pPr>
              <w:pStyle w:val="TableText"/>
              <w:ind w:left="113" w:right="113"/>
              <w:rPr>
                <w:sz w:val="24"/>
                <w:szCs w:val="24"/>
              </w:rPr>
            </w:pPr>
            <w:r w:rsidRPr="00574790">
              <w:rPr>
                <w:sz w:val="24"/>
                <w:szCs w:val="24"/>
              </w:rPr>
              <w:t>120 penalty units</w:t>
            </w:r>
          </w:p>
        </w:tc>
      </w:tr>
      <w:tr w:rsidR="007830E5" w14:paraId="61939716" w14:textId="77777777" w:rsidTr="006A7122">
        <w:trPr>
          <w:trHeight w:val="667"/>
        </w:trPr>
        <w:tc>
          <w:tcPr>
            <w:tcW w:w="1923" w:type="pct"/>
          </w:tcPr>
          <w:p w14:paraId="0988587F" w14:textId="77777777" w:rsidR="0082601D" w:rsidRPr="00574790" w:rsidRDefault="00F74FC6" w:rsidP="00282200">
            <w:pPr>
              <w:pStyle w:val="TableText"/>
              <w:ind w:left="113" w:right="113"/>
              <w:rPr>
                <w:sz w:val="24"/>
                <w:szCs w:val="24"/>
              </w:rPr>
            </w:pPr>
            <w:r w:rsidRPr="00574790">
              <w:rPr>
                <w:b/>
                <w:bCs/>
                <w:sz w:val="24"/>
                <w:szCs w:val="24"/>
              </w:rPr>
              <w:t xml:space="preserve">Section 33 </w:t>
            </w:r>
            <w:r w:rsidRPr="00574790">
              <w:rPr>
                <w:sz w:val="24"/>
                <w:szCs w:val="24"/>
              </w:rPr>
              <w:t>- Advertising to sell UCH without including permit number</w:t>
            </w:r>
          </w:p>
        </w:tc>
        <w:tc>
          <w:tcPr>
            <w:tcW w:w="1310" w:type="pct"/>
          </w:tcPr>
          <w:p w14:paraId="4EB7B423" w14:textId="77777777" w:rsidR="0082601D" w:rsidRPr="00574790" w:rsidRDefault="00F74FC6" w:rsidP="00282200">
            <w:pPr>
              <w:pStyle w:val="TableText"/>
              <w:ind w:left="113" w:right="113"/>
              <w:rPr>
                <w:sz w:val="24"/>
                <w:szCs w:val="24"/>
              </w:rPr>
            </w:pPr>
            <w:r w:rsidRPr="00574790">
              <w:rPr>
                <w:sz w:val="24"/>
                <w:szCs w:val="24"/>
              </w:rPr>
              <w:t>Imprisonment for 2 years, or 120 penalty units, or both.</w:t>
            </w:r>
          </w:p>
        </w:tc>
        <w:tc>
          <w:tcPr>
            <w:tcW w:w="848" w:type="pct"/>
          </w:tcPr>
          <w:p w14:paraId="78867ECC" w14:textId="77777777" w:rsidR="0082601D" w:rsidRPr="00574790" w:rsidRDefault="00F74FC6" w:rsidP="00282200">
            <w:pPr>
              <w:pStyle w:val="TableText"/>
              <w:ind w:left="113" w:right="113"/>
              <w:rPr>
                <w:sz w:val="24"/>
                <w:szCs w:val="24"/>
              </w:rPr>
            </w:pPr>
            <w:r w:rsidRPr="00574790">
              <w:rPr>
                <w:sz w:val="24"/>
                <w:szCs w:val="24"/>
              </w:rPr>
              <w:t>60 penalty units</w:t>
            </w:r>
          </w:p>
        </w:tc>
        <w:tc>
          <w:tcPr>
            <w:tcW w:w="919" w:type="pct"/>
          </w:tcPr>
          <w:p w14:paraId="5ABB6160" w14:textId="77777777" w:rsidR="0082601D" w:rsidRPr="00574790" w:rsidRDefault="00F74FC6" w:rsidP="00282200">
            <w:pPr>
              <w:pStyle w:val="TableText"/>
              <w:ind w:left="113" w:right="113"/>
              <w:rPr>
                <w:sz w:val="24"/>
                <w:szCs w:val="24"/>
              </w:rPr>
            </w:pPr>
            <w:r w:rsidRPr="00574790">
              <w:rPr>
                <w:sz w:val="24"/>
                <w:szCs w:val="24"/>
              </w:rPr>
              <w:t>120 penalty units</w:t>
            </w:r>
          </w:p>
        </w:tc>
      </w:tr>
      <w:tr w:rsidR="007830E5" w14:paraId="7C84E4A2" w14:textId="77777777" w:rsidTr="006A7122">
        <w:trPr>
          <w:trHeight w:val="564"/>
        </w:trPr>
        <w:tc>
          <w:tcPr>
            <w:tcW w:w="1923" w:type="pct"/>
          </w:tcPr>
          <w:p w14:paraId="76180074" w14:textId="77777777" w:rsidR="0082601D" w:rsidRPr="00574790" w:rsidRDefault="00F74FC6" w:rsidP="00282200">
            <w:pPr>
              <w:pStyle w:val="TableText"/>
              <w:ind w:left="113" w:right="113"/>
              <w:rPr>
                <w:sz w:val="24"/>
                <w:szCs w:val="24"/>
              </w:rPr>
            </w:pPr>
            <w:r w:rsidRPr="00574790">
              <w:rPr>
                <w:b/>
                <w:bCs/>
                <w:sz w:val="24"/>
                <w:szCs w:val="24"/>
              </w:rPr>
              <w:t xml:space="preserve">Section 34 </w:t>
            </w:r>
            <w:r w:rsidRPr="00574790">
              <w:rPr>
                <w:sz w:val="24"/>
                <w:szCs w:val="24"/>
              </w:rPr>
              <w:t>- Importing protected UCH without a permit</w:t>
            </w:r>
          </w:p>
        </w:tc>
        <w:tc>
          <w:tcPr>
            <w:tcW w:w="1310" w:type="pct"/>
          </w:tcPr>
          <w:p w14:paraId="11D65DB3" w14:textId="77777777" w:rsidR="0082601D" w:rsidRPr="00574790" w:rsidRDefault="00F74FC6" w:rsidP="00282200">
            <w:pPr>
              <w:pStyle w:val="TableText"/>
              <w:ind w:left="113" w:right="113"/>
              <w:rPr>
                <w:sz w:val="24"/>
                <w:szCs w:val="24"/>
              </w:rPr>
            </w:pPr>
            <w:r w:rsidRPr="00574790">
              <w:rPr>
                <w:sz w:val="24"/>
                <w:szCs w:val="24"/>
              </w:rPr>
              <w:t>Imprisonment for 2 years, or 120 penalty units, or both.</w:t>
            </w:r>
          </w:p>
        </w:tc>
        <w:tc>
          <w:tcPr>
            <w:tcW w:w="848" w:type="pct"/>
          </w:tcPr>
          <w:p w14:paraId="67D563BB" w14:textId="77777777" w:rsidR="0082601D" w:rsidRPr="00574790" w:rsidRDefault="00F74FC6" w:rsidP="00282200">
            <w:pPr>
              <w:pStyle w:val="TableText"/>
              <w:ind w:left="113" w:right="113"/>
              <w:rPr>
                <w:sz w:val="24"/>
                <w:szCs w:val="24"/>
              </w:rPr>
            </w:pPr>
            <w:r w:rsidRPr="00574790">
              <w:rPr>
                <w:sz w:val="24"/>
                <w:szCs w:val="24"/>
              </w:rPr>
              <w:t>60 penalty units</w:t>
            </w:r>
          </w:p>
        </w:tc>
        <w:tc>
          <w:tcPr>
            <w:tcW w:w="919" w:type="pct"/>
          </w:tcPr>
          <w:p w14:paraId="005FF69F" w14:textId="77777777" w:rsidR="0082601D" w:rsidRPr="00574790" w:rsidRDefault="00F74FC6" w:rsidP="00282200">
            <w:pPr>
              <w:pStyle w:val="TableText"/>
              <w:ind w:left="113" w:right="113"/>
              <w:rPr>
                <w:sz w:val="24"/>
                <w:szCs w:val="24"/>
              </w:rPr>
            </w:pPr>
            <w:r w:rsidRPr="00574790">
              <w:rPr>
                <w:sz w:val="24"/>
                <w:szCs w:val="24"/>
              </w:rPr>
              <w:t>120 penalty units</w:t>
            </w:r>
          </w:p>
        </w:tc>
      </w:tr>
      <w:tr w:rsidR="007830E5" w14:paraId="3F3D0A28" w14:textId="77777777" w:rsidTr="006A7122">
        <w:trPr>
          <w:trHeight w:val="463"/>
        </w:trPr>
        <w:tc>
          <w:tcPr>
            <w:tcW w:w="1923" w:type="pct"/>
          </w:tcPr>
          <w:p w14:paraId="114427DF" w14:textId="77777777" w:rsidR="0082601D" w:rsidRPr="00574790" w:rsidRDefault="00F74FC6" w:rsidP="00282200">
            <w:pPr>
              <w:pStyle w:val="TableText"/>
              <w:ind w:left="113" w:right="113"/>
              <w:rPr>
                <w:sz w:val="24"/>
                <w:szCs w:val="24"/>
              </w:rPr>
            </w:pPr>
            <w:r w:rsidRPr="00574790">
              <w:rPr>
                <w:b/>
                <w:bCs/>
                <w:sz w:val="24"/>
                <w:szCs w:val="24"/>
              </w:rPr>
              <w:t xml:space="preserve">Section 35 </w:t>
            </w:r>
            <w:r w:rsidRPr="00574790">
              <w:rPr>
                <w:sz w:val="24"/>
                <w:szCs w:val="24"/>
              </w:rPr>
              <w:t>- Exporting UCH without a permit</w:t>
            </w:r>
          </w:p>
        </w:tc>
        <w:tc>
          <w:tcPr>
            <w:tcW w:w="1310" w:type="pct"/>
          </w:tcPr>
          <w:p w14:paraId="7EBA5207" w14:textId="77777777" w:rsidR="0082601D" w:rsidRPr="00574790" w:rsidRDefault="00F74FC6" w:rsidP="00282200">
            <w:pPr>
              <w:pStyle w:val="TableText"/>
              <w:ind w:left="113" w:right="113"/>
              <w:rPr>
                <w:sz w:val="24"/>
                <w:szCs w:val="24"/>
              </w:rPr>
            </w:pPr>
            <w:r w:rsidRPr="00574790">
              <w:rPr>
                <w:sz w:val="24"/>
                <w:szCs w:val="24"/>
              </w:rPr>
              <w:t>Imprisonment for 5 years or 300 penalty units, or both.</w:t>
            </w:r>
          </w:p>
        </w:tc>
        <w:tc>
          <w:tcPr>
            <w:tcW w:w="848" w:type="pct"/>
          </w:tcPr>
          <w:p w14:paraId="4CE9C357" w14:textId="77777777" w:rsidR="0082601D" w:rsidRPr="00574790" w:rsidRDefault="00F74FC6" w:rsidP="00282200">
            <w:pPr>
              <w:pStyle w:val="TableText"/>
              <w:ind w:left="113" w:right="113"/>
              <w:rPr>
                <w:sz w:val="24"/>
                <w:szCs w:val="24"/>
              </w:rPr>
            </w:pPr>
            <w:r w:rsidRPr="00574790">
              <w:rPr>
                <w:sz w:val="24"/>
                <w:szCs w:val="24"/>
              </w:rPr>
              <w:t xml:space="preserve">60 </w:t>
            </w:r>
            <w:r w:rsidRPr="00574790">
              <w:rPr>
                <w:sz w:val="24"/>
                <w:szCs w:val="24"/>
              </w:rPr>
              <w:t>penalty units</w:t>
            </w:r>
          </w:p>
        </w:tc>
        <w:tc>
          <w:tcPr>
            <w:tcW w:w="919" w:type="pct"/>
          </w:tcPr>
          <w:p w14:paraId="3EF7B08E" w14:textId="77777777" w:rsidR="0082601D" w:rsidRPr="00574790" w:rsidRDefault="00F74FC6" w:rsidP="00282200">
            <w:pPr>
              <w:pStyle w:val="TableText"/>
              <w:ind w:left="113" w:right="113"/>
              <w:rPr>
                <w:sz w:val="24"/>
                <w:szCs w:val="24"/>
              </w:rPr>
            </w:pPr>
            <w:r w:rsidRPr="00574790">
              <w:rPr>
                <w:sz w:val="24"/>
                <w:szCs w:val="24"/>
              </w:rPr>
              <w:t>300 penalty units</w:t>
            </w:r>
          </w:p>
        </w:tc>
      </w:tr>
      <w:tr w:rsidR="007830E5" w14:paraId="580AA8DC" w14:textId="77777777" w:rsidTr="006A7122">
        <w:trPr>
          <w:trHeight w:val="658"/>
        </w:trPr>
        <w:tc>
          <w:tcPr>
            <w:tcW w:w="1923" w:type="pct"/>
          </w:tcPr>
          <w:p w14:paraId="23BB80D1" w14:textId="77777777" w:rsidR="0082601D" w:rsidRPr="00574790" w:rsidRDefault="00F74FC6" w:rsidP="00282200">
            <w:pPr>
              <w:pStyle w:val="TableText"/>
              <w:ind w:left="113" w:right="113"/>
              <w:rPr>
                <w:sz w:val="24"/>
                <w:szCs w:val="24"/>
              </w:rPr>
            </w:pPr>
            <w:r w:rsidRPr="00574790">
              <w:rPr>
                <w:b/>
                <w:bCs/>
                <w:sz w:val="24"/>
                <w:szCs w:val="24"/>
              </w:rPr>
              <w:t xml:space="preserve">Section 36 </w:t>
            </w:r>
            <w:r w:rsidRPr="00574790">
              <w:rPr>
                <w:sz w:val="24"/>
                <w:szCs w:val="24"/>
              </w:rPr>
              <w:t>- Importing UCH of a foreign country without a permit</w:t>
            </w:r>
          </w:p>
        </w:tc>
        <w:tc>
          <w:tcPr>
            <w:tcW w:w="1310" w:type="pct"/>
          </w:tcPr>
          <w:p w14:paraId="6B49950F" w14:textId="77777777" w:rsidR="0082601D" w:rsidRPr="00574790" w:rsidRDefault="00F74FC6" w:rsidP="00282200">
            <w:pPr>
              <w:pStyle w:val="TableText"/>
              <w:ind w:left="113" w:right="113"/>
              <w:rPr>
                <w:sz w:val="24"/>
                <w:szCs w:val="24"/>
              </w:rPr>
            </w:pPr>
            <w:r w:rsidRPr="00574790">
              <w:rPr>
                <w:sz w:val="24"/>
                <w:szCs w:val="24"/>
              </w:rPr>
              <w:t>Imprisonment for 2 years, or 120 penalty units, or both.</w:t>
            </w:r>
          </w:p>
        </w:tc>
        <w:tc>
          <w:tcPr>
            <w:tcW w:w="848" w:type="pct"/>
          </w:tcPr>
          <w:p w14:paraId="00E85711" w14:textId="77777777" w:rsidR="0082601D" w:rsidRPr="00574790" w:rsidRDefault="00F74FC6" w:rsidP="00282200">
            <w:pPr>
              <w:pStyle w:val="TableText"/>
              <w:ind w:left="113" w:right="113"/>
              <w:rPr>
                <w:sz w:val="24"/>
                <w:szCs w:val="24"/>
              </w:rPr>
            </w:pPr>
            <w:r w:rsidRPr="00574790">
              <w:rPr>
                <w:sz w:val="24"/>
                <w:szCs w:val="24"/>
              </w:rPr>
              <w:t>60 penalty units</w:t>
            </w:r>
          </w:p>
        </w:tc>
        <w:tc>
          <w:tcPr>
            <w:tcW w:w="919" w:type="pct"/>
          </w:tcPr>
          <w:p w14:paraId="6C60C8F7" w14:textId="77777777" w:rsidR="0082601D" w:rsidRPr="00574790" w:rsidRDefault="00F74FC6" w:rsidP="00282200">
            <w:pPr>
              <w:pStyle w:val="TableText"/>
              <w:ind w:left="113" w:right="113"/>
              <w:rPr>
                <w:sz w:val="24"/>
                <w:szCs w:val="24"/>
              </w:rPr>
            </w:pPr>
            <w:r w:rsidRPr="00574790">
              <w:rPr>
                <w:sz w:val="24"/>
                <w:szCs w:val="24"/>
              </w:rPr>
              <w:t>120 penalty units</w:t>
            </w:r>
          </w:p>
        </w:tc>
      </w:tr>
      <w:tr w:rsidR="007830E5" w14:paraId="25537CEE" w14:textId="77777777" w:rsidTr="006A7122">
        <w:trPr>
          <w:trHeight w:val="283"/>
        </w:trPr>
        <w:tc>
          <w:tcPr>
            <w:tcW w:w="1923" w:type="pct"/>
          </w:tcPr>
          <w:p w14:paraId="2BFCF257" w14:textId="77777777" w:rsidR="0082601D" w:rsidRPr="00574790" w:rsidRDefault="00F74FC6" w:rsidP="00282200">
            <w:pPr>
              <w:pStyle w:val="TableText"/>
              <w:ind w:left="113" w:right="113"/>
              <w:rPr>
                <w:sz w:val="24"/>
                <w:szCs w:val="24"/>
              </w:rPr>
            </w:pPr>
            <w:r w:rsidRPr="00574790">
              <w:rPr>
                <w:b/>
                <w:bCs/>
                <w:sz w:val="24"/>
                <w:szCs w:val="24"/>
              </w:rPr>
              <w:lastRenderedPageBreak/>
              <w:t xml:space="preserve">Section 37 </w:t>
            </w:r>
            <w:r w:rsidRPr="00574790">
              <w:rPr>
                <w:sz w:val="24"/>
                <w:szCs w:val="24"/>
              </w:rPr>
              <w:t>- Failing to produce a permit</w:t>
            </w:r>
          </w:p>
        </w:tc>
        <w:tc>
          <w:tcPr>
            <w:tcW w:w="1310" w:type="pct"/>
          </w:tcPr>
          <w:p w14:paraId="21E9B518" w14:textId="77777777" w:rsidR="0082601D" w:rsidRPr="00574790" w:rsidRDefault="00F74FC6" w:rsidP="00282200">
            <w:pPr>
              <w:pStyle w:val="TableText"/>
              <w:ind w:left="113" w:right="113"/>
              <w:rPr>
                <w:sz w:val="24"/>
                <w:szCs w:val="24"/>
              </w:rPr>
            </w:pPr>
            <w:r w:rsidRPr="00574790">
              <w:rPr>
                <w:sz w:val="24"/>
                <w:szCs w:val="24"/>
              </w:rPr>
              <w:t>120 penalty units</w:t>
            </w:r>
          </w:p>
        </w:tc>
        <w:tc>
          <w:tcPr>
            <w:tcW w:w="848" w:type="pct"/>
          </w:tcPr>
          <w:p w14:paraId="1DD52A1F" w14:textId="77777777" w:rsidR="0082601D" w:rsidRPr="00574790" w:rsidRDefault="00F74FC6" w:rsidP="00282200">
            <w:pPr>
              <w:pStyle w:val="TableText"/>
              <w:ind w:left="113" w:right="113"/>
              <w:rPr>
                <w:sz w:val="24"/>
                <w:szCs w:val="24"/>
              </w:rPr>
            </w:pPr>
            <w:r w:rsidRPr="00574790">
              <w:rPr>
                <w:sz w:val="24"/>
                <w:szCs w:val="24"/>
              </w:rPr>
              <w:t xml:space="preserve">60 </w:t>
            </w:r>
            <w:r w:rsidRPr="00574790">
              <w:rPr>
                <w:sz w:val="24"/>
                <w:szCs w:val="24"/>
              </w:rPr>
              <w:t>penalty units</w:t>
            </w:r>
          </w:p>
        </w:tc>
        <w:tc>
          <w:tcPr>
            <w:tcW w:w="919" w:type="pct"/>
          </w:tcPr>
          <w:p w14:paraId="15BD96EB" w14:textId="77777777" w:rsidR="0082601D" w:rsidRPr="00574790" w:rsidRDefault="00F74FC6" w:rsidP="00282200">
            <w:pPr>
              <w:pStyle w:val="TableText"/>
              <w:ind w:left="113" w:right="113"/>
              <w:rPr>
                <w:sz w:val="24"/>
                <w:szCs w:val="24"/>
              </w:rPr>
            </w:pPr>
            <w:r w:rsidRPr="00574790">
              <w:rPr>
                <w:sz w:val="24"/>
                <w:szCs w:val="24"/>
              </w:rPr>
              <w:t>120 penalty units</w:t>
            </w:r>
          </w:p>
        </w:tc>
      </w:tr>
      <w:tr w:rsidR="007830E5" w14:paraId="541F6CD3" w14:textId="77777777" w:rsidTr="006A7122">
        <w:trPr>
          <w:trHeight w:val="623"/>
        </w:trPr>
        <w:tc>
          <w:tcPr>
            <w:tcW w:w="1923" w:type="pct"/>
          </w:tcPr>
          <w:p w14:paraId="0EEC7BD9" w14:textId="77777777" w:rsidR="0082601D" w:rsidRPr="00574790" w:rsidRDefault="00F74FC6" w:rsidP="00282200">
            <w:pPr>
              <w:pStyle w:val="TableText"/>
              <w:ind w:left="113" w:right="113"/>
              <w:rPr>
                <w:sz w:val="24"/>
                <w:szCs w:val="24"/>
              </w:rPr>
            </w:pPr>
            <w:r w:rsidRPr="00574790">
              <w:rPr>
                <w:b/>
                <w:bCs/>
                <w:sz w:val="24"/>
                <w:szCs w:val="24"/>
              </w:rPr>
              <w:t xml:space="preserve">Section 38 </w:t>
            </w:r>
            <w:r w:rsidRPr="00574790">
              <w:rPr>
                <w:sz w:val="24"/>
                <w:szCs w:val="24"/>
              </w:rPr>
              <w:t>- Failure to respond to notice from Minister</w:t>
            </w:r>
          </w:p>
        </w:tc>
        <w:tc>
          <w:tcPr>
            <w:tcW w:w="1310" w:type="pct"/>
          </w:tcPr>
          <w:p w14:paraId="2157EEF4" w14:textId="77777777" w:rsidR="0082601D" w:rsidRPr="00574790" w:rsidRDefault="00F74FC6" w:rsidP="00282200">
            <w:pPr>
              <w:pStyle w:val="TableText"/>
              <w:ind w:left="113" w:right="113"/>
              <w:rPr>
                <w:sz w:val="24"/>
                <w:szCs w:val="24"/>
              </w:rPr>
            </w:pPr>
            <w:r w:rsidRPr="00574790">
              <w:rPr>
                <w:sz w:val="24"/>
                <w:szCs w:val="24"/>
              </w:rPr>
              <w:t>120 penalty units</w:t>
            </w:r>
          </w:p>
        </w:tc>
        <w:tc>
          <w:tcPr>
            <w:tcW w:w="848" w:type="pct"/>
          </w:tcPr>
          <w:p w14:paraId="4576C62E" w14:textId="77777777" w:rsidR="0082601D" w:rsidRPr="00574790" w:rsidRDefault="00F74FC6" w:rsidP="00282200">
            <w:pPr>
              <w:pStyle w:val="TableText"/>
              <w:ind w:left="113" w:right="113"/>
              <w:rPr>
                <w:sz w:val="24"/>
                <w:szCs w:val="24"/>
              </w:rPr>
            </w:pPr>
            <w:r w:rsidRPr="00574790">
              <w:rPr>
                <w:sz w:val="24"/>
                <w:szCs w:val="24"/>
              </w:rPr>
              <w:t>60 penalty units</w:t>
            </w:r>
          </w:p>
        </w:tc>
        <w:tc>
          <w:tcPr>
            <w:tcW w:w="919" w:type="pct"/>
          </w:tcPr>
          <w:p w14:paraId="789DADBF" w14:textId="77777777" w:rsidR="0082601D" w:rsidRPr="00574790" w:rsidRDefault="00F74FC6" w:rsidP="00282200">
            <w:pPr>
              <w:pStyle w:val="TableText"/>
              <w:ind w:left="113" w:right="113"/>
              <w:rPr>
                <w:sz w:val="24"/>
                <w:szCs w:val="24"/>
              </w:rPr>
            </w:pPr>
            <w:r w:rsidRPr="00574790">
              <w:rPr>
                <w:sz w:val="24"/>
                <w:szCs w:val="24"/>
              </w:rPr>
              <w:t>120 penalty units</w:t>
            </w:r>
          </w:p>
        </w:tc>
      </w:tr>
      <w:tr w:rsidR="007830E5" w14:paraId="4F3A2339" w14:textId="77777777" w:rsidTr="006A7122">
        <w:trPr>
          <w:trHeight w:val="521"/>
        </w:trPr>
        <w:tc>
          <w:tcPr>
            <w:tcW w:w="1923" w:type="pct"/>
          </w:tcPr>
          <w:p w14:paraId="549EBEFB" w14:textId="77777777" w:rsidR="0082601D" w:rsidRPr="00574790" w:rsidRDefault="00F74FC6" w:rsidP="00282200">
            <w:pPr>
              <w:pStyle w:val="TableText"/>
              <w:ind w:left="113" w:right="113"/>
              <w:rPr>
                <w:sz w:val="24"/>
                <w:szCs w:val="24"/>
              </w:rPr>
            </w:pPr>
            <w:r w:rsidRPr="00574790">
              <w:rPr>
                <w:b/>
                <w:bCs/>
                <w:sz w:val="24"/>
                <w:szCs w:val="24"/>
              </w:rPr>
              <w:t xml:space="preserve">Section 39 </w:t>
            </w:r>
            <w:r w:rsidRPr="00574790">
              <w:rPr>
                <w:sz w:val="24"/>
                <w:szCs w:val="24"/>
              </w:rPr>
              <w:t>- Failure to comply with Ministerial direction</w:t>
            </w:r>
          </w:p>
        </w:tc>
        <w:tc>
          <w:tcPr>
            <w:tcW w:w="1310" w:type="pct"/>
          </w:tcPr>
          <w:p w14:paraId="69118556" w14:textId="77777777" w:rsidR="0082601D" w:rsidRPr="00574790" w:rsidRDefault="00F74FC6" w:rsidP="00282200">
            <w:pPr>
              <w:pStyle w:val="TableText"/>
              <w:ind w:left="113" w:right="113"/>
              <w:rPr>
                <w:sz w:val="24"/>
                <w:szCs w:val="24"/>
              </w:rPr>
            </w:pPr>
            <w:r w:rsidRPr="00574790">
              <w:rPr>
                <w:sz w:val="24"/>
                <w:szCs w:val="24"/>
              </w:rPr>
              <w:t>120 penalty units</w:t>
            </w:r>
          </w:p>
        </w:tc>
        <w:tc>
          <w:tcPr>
            <w:tcW w:w="848" w:type="pct"/>
          </w:tcPr>
          <w:p w14:paraId="6035327F" w14:textId="77777777" w:rsidR="0082601D" w:rsidRPr="00574790" w:rsidRDefault="00F74FC6" w:rsidP="00282200">
            <w:pPr>
              <w:pStyle w:val="TableText"/>
              <w:ind w:left="113" w:right="113"/>
              <w:rPr>
                <w:sz w:val="24"/>
                <w:szCs w:val="24"/>
              </w:rPr>
            </w:pPr>
            <w:r w:rsidRPr="00574790">
              <w:rPr>
                <w:sz w:val="24"/>
                <w:szCs w:val="24"/>
              </w:rPr>
              <w:t>60 penalty units</w:t>
            </w:r>
          </w:p>
        </w:tc>
        <w:tc>
          <w:tcPr>
            <w:tcW w:w="919" w:type="pct"/>
          </w:tcPr>
          <w:p w14:paraId="73DF0E72" w14:textId="77777777" w:rsidR="0082601D" w:rsidRPr="00574790" w:rsidRDefault="00F74FC6" w:rsidP="00282200">
            <w:pPr>
              <w:pStyle w:val="TableText"/>
              <w:ind w:left="113" w:right="113"/>
              <w:rPr>
                <w:sz w:val="24"/>
                <w:szCs w:val="24"/>
              </w:rPr>
            </w:pPr>
            <w:r w:rsidRPr="00574790">
              <w:rPr>
                <w:sz w:val="24"/>
                <w:szCs w:val="24"/>
              </w:rPr>
              <w:t xml:space="preserve">120 penalty </w:t>
            </w:r>
            <w:r w:rsidRPr="00574790">
              <w:rPr>
                <w:sz w:val="24"/>
                <w:szCs w:val="24"/>
              </w:rPr>
              <w:t>units</w:t>
            </w:r>
          </w:p>
        </w:tc>
      </w:tr>
      <w:tr w:rsidR="007830E5" w14:paraId="0B85F021" w14:textId="77777777" w:rsidTr="006A7122">
        <w:trPr>
          <w:trHeight w:val="327"/>
        </w:trPr>
        <w:tc>
          <w:tcPr>
            <w:tcW w:w="1923" w:type="pct"/>
          </w:tcPr>
          <w:p w14:paraId="04662CA2" w14:textId="77777777" w:rsidR="0082601D" w:rsidRPr="00574790" w:rsidRDefault="00F74FC6" w:rsidP="00282200">
            <w:pPr>
              <w:pStyle w:val="TableText"/>
              <w:ind w:left="113" w:right="113"/>
              <w:rPr>
                <w:sz w:val="24"/>
                <w:szCs w:val="24"/>
              </w:rPr>
            </w:pPr>
            <w:r w:rsidRPr="00574790">
              <w:rPr>
                <w:b/>
                <w:bCs/>
                <w:sz w:val="24"/>
                <w:szCs w:val="24"/>
              </w:rPr>
              <w:t xml:space="preserve">Section 40 </w:t>
            </w:r>
            <w:r w:rsidRPr="00574790">
              <w:rPr>
                <w:sz w:val="24"/>
                <w:szCs w:val="24"/>
              </w:rPr>
              <w:t>- Failure to advise Minister of discovery of UCH</w:t>
            </w:r>
          </w:p>
        </w:tc>
        <w:tc>
          <w:tcPr>
            <w:tcW w:w="1310" w:type="pct"/>
          </w:tcPr>
          <w:p w14:paraId="5ECAFE0B" w14:textId="77777777" w:rsidR="0082601D" w:rsidRPr="00574790" w:rsidRDefault="00F74FC6" w:rsidP="00282200">
            <w:pPr>
              <w:pStyle w:val="TableText"/>
              <w:ind w:left="113" w:right="113"/>
              <w:rPr>
                <w:sz w:val="24"/>
                <w:szCs w:val="24"/>
              </w:rPr>
            </w:pPr>
            <w:r w:rsidRPr="00574790">
              <w:rPr>
                <w:sz w:val="24"/>
                <w:szCs w:val="24"/>
              </w:rPr>
              <w:t>120 penalty units</w:t>
            </w:r>
          </w:p>
        </w:tc>
        <w:tc>
          <w:tcPr>
            <w:tcW w:w="848" w:type="pct"/>
          </w:tcPr>
          <w:p w14:paraId="2C80D8DE" w14:textId="77777777" w:rsidR="0082601D" w:rsidRPr="00574790" w:rsidRDefault="00F74FC6" w:rsidP="00282200">
            <w:pPr>
              <w:pStyle w:val="TableText"/>
              <w:ind w:left="113" w:right="113"/>
              <w:rPr>
                <w:sz w:val="24"/>
                <w:szCs w:val="24"/>
              </w:rPr>
            </w:pPr>
            <w:r w:rsidRPr="00574790">
              <w:rPr>
                <w:sz w:val="24"/>
                <w:szCs w:val="24"/>
              </w:rPr>
              <w:t>None</w:t>
            </w:r>
          </w:p>
        </w:tc>
        <w:tc>
          <w:tcPr>
            <w:tcW w:w="919" w:type="pct"/>
          </w:tcPr>
          <w:p w14:paraId="660C9390" w14:textId="77777777" w:rsidR="0082601D" w:rsidRPr="00574790" w:rsidRDefault="00F74FC6" w:rsidP="00282200">
            <w:pPr>
              <w:pStyle w:val="TableText"/>
              <w:ind w:left="113" w:right="113"/>
              <w:rPr>
                <w:sz w:val="24"/>
                <w:szCs w:val="24"/>
              </w:rPr>
            </w:pPr>
            <w:r w:rsidRPr="00574790">
              <w:rPr>
                <w:sz w:val="24"/>
                <w:szCs w:val="24"/>
              </w:rPr>
              <w:t>120 penalty units</w:t>
            </w:r>
          </w:p>
        </w:tc>
      </w:tr>
    </w:tbl>
    <w:p w14:paraId="2C59DC49" w14:textId="77777777" w:rsidR="0082601D" w:rsidRDefault="0082601D" w:rsidP="00E1508F"/>
    <w:sectPr w:rsidR="0082601D" w:rsidSect="00233232">
      <w:footerReference w:type="default" r:id="rId15"/>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C6EA" w14:textId="77777777" w:rsidR="00000000" w:rsidRDefault="00F74FC6">
      <w:pPr>
        <w:spacing w:after="0" w:line="240" w:lineRule="auto"/>
      </w:pPr>
      <w:r>
        <w:separator/>
      </w:r>
    </w:p>
  </w:endnote>
  <w:endnote w:type="continuationSeparator" w:id="0">
    <w:p w14:paraId="52C40AA0" w14:textId="77777777" w:rsidR="00000000" w:rsidRDefault="00F7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03683"/>
      <w:docPartObj>
        <w:docPartGallery w:val="Page Numbers (Bottom of Page)"/>
        <w:docPartUnique/>
      </w:docPartObj>
    </w:sdtPr>
    <w:sdtEndPr>
      <w:rPr>
        <w:noProof/>
      </w:rPr>
    </w:sdtEndPr>
    <w:sdtContent>
      <w:p w14:paraId="1AD9744F" w14:textId="77777777" w:rsidR="00574848" w:rsidRDefault="00F74FC6">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234FCB19" w14:textId="77777777" w:rsidR="00574848" w:rsidRDefault="0057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C0A8" w14:textId="77777777" w:rsidR="00000000" w:rsidRDefault="00F74FC6">
      <w:pPr>
        <w:spacing w:after="0" w:line="240" w:lineRule="auto"/>
      </w:pPr>
      <w:r>
        <w:separator/>
      </w:r>
    </w:p>
  </w:footnote>
  <w:footnote w:type="continuationSeparator" w:id="0">
    <w:p w14:paraId="2F40E12C" w14:textId="77777777" w:rsidR="00000000" w:rsidRDefault="00F74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8F22A53C">
      <w:start w:val="1"/>
      <w:numFmt w:val="bullet"/>
      <w:pStyle w:val="TableBullet2"/>
      <w:lvlText w:val=""/>
      <w:lvlJc w:val="left"/>
      <w:pPr>
        <w:ind w:left="1004" w:hanging="360"/>
      </w:pPr>
      <w:rPr>
        <w:rFonts w:ascii="Symbol" w:hAnsi="Symbol" w:hint="default"/>
      </w:rPr>
    </w:lvl>
    <w:lvl w:ilvl="1" w:tplc="8940EDE2" w:tentative="1">
      <w:start w:val="1"/>
      <w:numFmt w:val="bullet"/>
      <w:lvlText w:val="o"/>
      <w:lvlJc w:val="left"/>
      <w:pPr>
        <w:ind w:left="1724" w:hanging="360"/>
      </w:pPr>
      <w:rPr>
        <w:rFonts w:ascii="Courier New" w:hAnsi="Courier New" w:cs="Courier New" w:hint="default"/>
      </w:rPr>
    </w:lvl>
    <w:lvl w:ilvl="2" w:tplc="7B5E4F20" w:tentative="1">
      <w:start w:val="1"/>
      <w:numFmt w:val="bullet"/>
      <w:lvlText w:val=""/>
      <w:lvlJc w:val="left"/>
      <w:pPr>
        <w:ind w:left="2444" w:hanging="360"/>
      </w:pPr>
      <w:rPr>
        <w:rFonts w:ascii="Wingdings" w:hAnsi="Wingdings" w:hint="default"/>
      </w:rPr>
    </w:lvl>
    <w:lvl w:ilvl="3" w:tplc="EFAC42BE" w:tentative="1">
      <w:start w:val="1"/>
      <w:numFmt w:val="bullet"/>
      <w:lvlText w:val=""/>
      <w:lvlJc w:val="left"/>
      <w:pPr>
        <w:ind w:left="3164" w:hanging="360"/>
      </w:pPr>
      <w:rPr>
        <w:rFonts w:ascii="Symbol" w:hAnsi="Symbol" w:hint="default"/>
      </w:rPr>
    </w:lvl>
    <w:lvl w:ilvl="4" w:tplc="D072662E" w:tentative="1">
      <w:start w:val="1"/>
      <w:numFmt w:val="bullet"/>
      <w:lvlText w:val="o"/>
      <w:lvlJc w:val="left"/>
      <w:pPr>
        <w:ind w:left="3884" w:hanging="360"/>
      </w:pPr>
      <w:rPr>
        <w:rFonts w:ascii="Courier New" w:hAnsi="Courier New" w:cs="Courier New" w:hint="default"/>
      </w:rPr>
    </w:lvl>
    <w:lvl w:ilvl="5" w:tplc="8D3CBC84" w:tentative="1">
      <w:start w:val="1"/>
      <w:numFmt w:val="bullet"/>
      <w:lvlText w:val=""/>
      <w:lvlJc w:val="left"/>
      <w:pPr>
        <w:ind w:left="4604" w:hanging="360"/>
      </w:pPr>
      <w:rPr>
        <w:rFonts w:ascii="Wingdings" w:hAnsi="Wingdings" w:hint="default"/>
      </w:rPr>
    </w:lvl>
    <w:lvl w:ilvl="6" w:tplc="B3C4D530" w:tentative="1">
      <w:start w:val="1"/>
      <w:numFmt w:val="bullet"/>
      <w:lvlText w:val=""/>
      <w:lvlJc w:val="left"/>
      <w:pPr>
        <w:ind w:left="5324" w:hanging="360"/>
      </w:pPr>
      <w:rPr>
        <w:rFonts w:ascii="Symbol" w:hAnsi="Symbol" w:hint="default"/>
      </w:rPr>
    </w:lvl>
    <w:lvl w:ilvl="7" w:tplc="200A7FBE" w:tentative="1">
      <w:start w:val="1"/>
      <w:numFmt w:val="bullet"/>
      <w:lvlText w:val="o"/>
      <w:lvlJc w:val="left"/>
      <w:pPr>
        <w:ind w:left="6044" w:hanging="360"/>
      </w:pPr>
      <w:rPr>
        <w:rFonts w:ascii="Courier New" w:hAnsi="Courier New" w:cs="Courier New" w:hint="default"/>
      </w:rPr>
    </w:lvl>
    <w:lvl w:ilvl="8" w:tplc="FA08BA9A" w:tentative="1">
      <w:start w:val="1"/>
      <w:numFmt w:val="bullet"/>
      <w:lvlText w:val=""/>
      <w:lvlJc w:val="left"/>
      <w:pPr>
        <w:ind w:left="6764" w:hanging="360"/>
      </w:pPr>
      <w:rPr>
        <w:rFonts w:ascii="Wingdings" w:hAnsi="Wingdings" w:hint="default"/>
      </w:rPr>
    </w:lvl>
  </w:abstractNum>
  <w:abstractNum w:abstractNumId="9" w15:restartNumberingAfterBreak="0">
    <w:nsid w:val="16E46227"/>
    <w:multiLevelType w:val="hybridMultilevel"/>
    <w:tmpl w:val="64DA801A"/>
    <w:lvl w:ilvl="0" w:tplc="E7B46EC4">
      <w:numFmt w:val="bullet"/>
      <w:lvlText w:val=""/>
      <w:lvlJc w:val="left"/>
      <w:pPr>
        <w:ind w:left="474" w:hanging="361"/>
      </w:pPr>
      <w:rPr>
        <w:rFonts w:ascii="Symbol" w:eastAsia="Symbol" w:hAnsi="Symbol" w:cs="Symbol" w:hint="default"/>
        <w:color w:val="005774"/>
        <w:w w:val="100"/>
        <w:sz w:val="22"/>
        <w:szCs w:val="22"/>
        <w:lang w:val="en-AU" w:eastAsia="en-AU" w:bidi="en-AU"/>
      </w:rPr>
    </w:lvl>
    <w:lvl w:ilvl="1" w:tplc="C60AE554">
      <w:numFmt w:val="bullet"/>
      <w:lvlText w:val="•"/>
      <w:lvlJc w:val="left"/>
      <w:pPr>
        <w:ind w:left="674" w:hanging="361"/>
      </w:pPr>
      <w:rPr>
        <w:rFonts w:hint="default"/>
        <w:lang w:val="en-AU" w:eastAsia="en-AU" w:bidi="en-AU"/>
      </w:rPr>
    </w:lvl>
    <w:lvl w:ilvl="2" w:tplc="52587334">
      <w:numFmt w:val="bullet"/>
      <w:lvlText w:val="•"/>
      <w:lvlJc w:val="left"/>
      <w:pPr>
        <w:ind w:left="868" w:hanging="361"/>
      </w:pPr>
      <w:rPr>
        <w:rFonts w:hint="default"/>
        <w:lang w:val="en-AU" w:eastAsia="en-AU" w:bidi="en-AU"/>
      </w:rPr>
    </w:lvl>
    <w:lvl w:ilvl="3" w:tplc="35FA33CE">
      <w:numFmt w:val="bullet"/>
      <w:lvlText w:val="•"/>
      <w:lvlJc w:val="left"/>
      <w:pPr>
        <w:ind w:left="1062" w:hanging="361"/>
      </w:pPr>
      <w:rPr>
        <w:rFonts w:hint="default"/>
        <w:lang w:val="en-AU" w:eastAsia="en-AU" w:bidi="en-AU"/>
      </w:rPr>
    </w:lvl>
    <w:lvl w:ilvl="4" w:tplc="B712AE62">
      <w:numFmt w:val="bullet"/>
      <w:lvlText w:val="•"/>
      <w:lvlJc w:val="left"/>
      <w:pPr>
        <w:ind w:left="1256" w:hanging="361"/>
      </w:pPr>
      <w:rPr>
        <w:rFonts w:hint="default"/>
        <w:lang w:val="en-AU" w:eastAsia="en-AU" w:bidi="en-AU"/>
      </w:rPr>
    </w:lvl>
    <w:lvl w:ilvl="5" w:tplc="75D26808">
      <w:numFmt w:val="bullet"/>
      <w:lvlText w:val="•"/>
      <w:lvlJc w:val="left"/>
      <w:pPr>
        <w:ind w:left="1450" w:hanging="361"/>
      </w:pPr>
      <w:rPr>
        <w:rFonts w:hint="default"/>
        <w:lang w:val="en-AU" w:eastAsia="en-AU" w:bidi="en-AU"/>
      </w:rPr>
    </w:lvl>
    <w:lvl w:ilvl="6" w:tplc="99282DAA">
      <w:numFmt w:val="bullet"/>
      <w:lvlText w:val="•"/>
      <w:lvlJc w:val="left"/>
      <w:pPr>
        <w:ind w:left="1644" w:hanging="361"/>
      </w:pPr>
      <w:rPr>
        <w:rFonts w:hint="default"/>
        <w:lang w:val="en-AU" w:eastAsia="en-AU" w:bidi="en-AU"/>
      </w:rPr>
    </w:lvl>
    <w:lvl w:ilvl="7" w:tplc="1B947010">
      <w:numFmt w:val="bullet"/>
      <w:lvlText w:val="•"/>
      <w:lvlJc w:val="left"/>
      <w:pPr>
        <w:ind w:left="1838" w:hanging="361"/>
      </w:pPr>
      <w:rPr>
        <w:rFonts w:hint="default"/>
        <w:lang w:val="en-AU" w:eastAsia="en-AU" w:bidi="en-AU"/>
      </w:rPr>
    </w:lvl>
    <w:lvl w:ilvl="8" w:tplc="7BF84D5E">
      <w:numFmt w:val="bullet"/>
      <w:lvlText w:val="•"/>
      <w:lvlJc w:val="left"/>
      <w:pPr>
        <w:ind w:left="2032" w:hanging="361"/>
      </w:pPr>
      <w:rPr>
        <w:rFonts w:hint="default"/>
        <w:lang w:val="en-AU" w:eastAsia="en-AU" w:bidi="en-AU"/>
      </w:rPr>
    </w:lvl>
  </w:abstractNum>
  <w:abstractNum w:abstractNumId="10" w15:restartNumberingAfterBreak="0">
    <w:nsid w:val="196B606F"/>
    <w:multiLevelType w:val="hybridMultilevel"/>
    <w:tmpl w:val="E0560262"/>
    <w:lvl w:ilvl="0" w:tplc="F10E66D0">
      <w:start w:val="1"/>
      <w:numFmt w:val="bullet"/>
      <w:pStyle w:val="TableBullet1"/>
      <w:lvlText w:val=""/>
      <w:lvlJc w:val="left"/>
      <w:pPr>
        <w:ind w:left="720" w:hanging="360"/>
      </w:pPr>
      <w:rPr>
        <w:rFonts w:ascii="Symbol" w:hAnsi="Symbol" w:hint="default"/>
      </w:rPr>
    </w:lvl>
    <w:lvl w:ilvl="1" w:tplc="985A2ED6" w:tentative="1">
      <w:start w:val="1"/>
      <w:numFmt w:val="bullet"/>
      <w:lvlText w:val="o"/>
      <w:lvlJc w:val="left"/>
      <w:pPr>
        <w:ind w:left="1440" w:hanging="360"/>
      </w:pPr>
      <w:rPr>
        <w:rFonts w:ascii="Courier New" w:hAnsi="Courier New" w:cs="Courier New" w:hint="default"/>
      </w:rPr>
    </w:lvl>
    <w:lvl w:ilvl="2" w:tplc="3EF23FB2" w:tentative="1">
      <w:start w:val="1"/>
      <w:numFmt w:val="bullet"/>
      <w:lvlText w:val=""/>
      <w:lvlJc w:val="left"/>
      <w:pPr>
        <w:ind w:left="2160" w:hanging="360"/>
      </w:pPr>
      <w:rPr>
        <w:rFonts w:ascii="Wingdings" w:hAnsi="Wingdings" w:hint="default"/>
      </w:rPr>
    </w:lvl>
    <w:lvl w:ilvl="3" w:tplc="0F8496B8" w:tentative="1">
      <w:start w:val="1"/>
      <w:numFmt w:val="bullet"/>
      <w:lvlText w:val=""/>
      <w:lvlJc w:val="left"/>
      <w:pPr>
        <w:ind w:left="2880" w:hanging="360"/>
      </w:pPr>
      <w:rPr>
        <w:rFonts w:ascii="Symbol" w:hAnsi="Symbol" w:hint="default"/>
      </w:rPr>
    </w:lvl>
    <w:lvl w:ilvl="4" w:tplc="767C142A" w:tentative="1">
      <w:start w:val="1"/>
      <w:numFmt w:val="bullet"/>
      <w:lvlText w:val="o"/>
      <w:lvlJc w:val="left"/>
      <w:pPr>
        <w:ind w:left="3600" w:hanging="360"/>
      </w:pPr>
      <w:rPr>
        <w:rFonts w:ascii="Courier New" w:hAnsi="Courier New" w:cs="Courier New" w:hint="default"/>
      </w:rPr>
    </w:lvl>
    <w:lvl w:ilvl="5" w:tplc="ED8CC888" w:tentative="1">
      <w:start w:val="1"/>
      <w:numFmt w:val="bullet"/>
      <w:lvlText w:val=""/>
      <w:lvlJc w:val="left"/>
      <w:pPr>
        <w:ind w:left="4320" w:hanging="360"/>
      </w:pPr>
      <w:rPr>
        <w:rFonts w:ascii="Wingdings" w:hAnsi="Wingdings" w:hint="default"/>
      </w:rPr>
    </w:lvl>
    <w:lvl w:ilvl="6" w:tplc="8BE2001C" w:tentative="1">
      <w:start w:val="1"/>
      <w:numFmt w:val="bullet"/>
      <w:lvlText w:val=""/>
      <w:lvlJc w:val="left"/>
      <w:pPr>
        <w:ind w:left="5040" w:hanging="360"/>
      </w:pPr>
      <w:rPr>
        <w:rFonts w:ascii="Symbol" w:hAnsi="Symbol" w:hint="default"/>
      </w:rPr>
    </w:lvl>
    <w:lvl w:ilvl="7" w:tplc="81CCE1BA" w:tentative="1">
      <w:start w:val="1"/>
      <w:numFmt w:val="bullet"/>
      <w:lvlText w:val="o"/>
      <w:lvlJc w:val="left"/>
      <w:pPr>
        <w:ind w:left="5760" w:hanging="360"/>
      </w:pPr>
      <w:rPr>
        <w:rFonts w:ascii="Courier New" w:hAnsi="Courier New" w:cs="Courier New" w:hint="default"/>
      </w:rPr>
    </w:lvl>
    <w:lvl w:ilvl="8" w:tplc="5326629E"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FB824F28">
      <w:start w:val="1"/>
      <w:numFmt w:val="bullet"/>
      <w:lvlText w:val=""/>
      <w:lvlJc w:val="left"/>
      <w:pPr>
        <w:ind w:left="360" w:hanging="360"/>
      </w:pPr>
      <w:rPr>
        <w:rFonts w:ascii="Symbol" w:hAnsi="Symbol" w:hint="default"/>
        <w:color w:val="FF7900"/>
      </w:rPr>
    </w:lvl>
    <w:lvl w:ilvl="1" w:tplc="0E86AEEC">
      <w:start w:val="1"/>
      <w:numFmt w:val="bullet"/>
      <w:lvlText w:val="o"/>
      <w:lvlJc w:val="left"/>
      <w:pPr>
        <w:ind w:left="1440" w:hanging="360"/>
      </w:pPr>
      <w:rPr>
        <w:rFonts w:ascii="Courier New" w:hAnsi="Courier New" w:cs="Courier New" w:hint="default"/>
      </w:rPr>
    </w:lvl>
    <w:lvl w:ilvl="2" w:tplc="449A3D08" w:tentative="1">
      <w:start w:val="1"/>
      <w:numFmt w:val="bullet"/>
      <w:lvlText w:val=""/>
      <w:lvlJc w:val="left"/>
      <w:pPr>
        <w:ind w:left="2160" w:hanging="360"/>
      </w:pPr>
      <w:rPr>
        <w:rFonts w:ascii="Wingdings" w:hAnsi="Wingdings" w:hint="default"/>
      </w:rPr>
    </w:lvl>
    <w:lvl w:ilvl="3" w:tplc="B11E539A" w:tentative="1">
      <w:start w:val="1"/>
      <w:numFmt w:val="bullet"/>
      <w:lvlText w:val=""/>
      <w:lvlJc w:val="left"/>
      <w:pPr>
        <w:ind w:left="2880" w:hanging="360"/>
      </w:pPr>
      <w:rPr>
        <w:rFonts w:ascii="Symbol" w:hAnsi="Symbol" w:hint="default"/>
      </w:rPr>
    </w:lvl>
    <w:lvl w:ilvl="4" w:tplc="C67C2FA8" w:tentative="1">
      <w:start w:val="1"/>
      <w:numFmt w:val="bullet"/>
      <w:lvlText w:val="o"/>
      <w:lvlJc w:val="left"/>
      <w:pPr>
        <w:ind w:left="3600" w:hanging="360"/>
      </w:pPr>
      <w:rPr>
        <w:rFonts w:ascii="Courier New" w:hAnsi="Courier New" w:cs="Courier New" w:hint="default"/>
      </w:rPr>
    </w:lvl>
    <w:lvl w:ilvl="5" w:tplc="9996844A" w:tentative="1">
      <w:start w:val="1"/>
      <w:numFmt w:val="bullet"/>
      <w:lvlText w:val=""/>
      <w:lvlJc w:val="left"/>
      <w:pPr>
        <w:ind w:left="4320" w:hanging="360"/>
      </w:pPr>
      <w:rPr>
        <w:rFonts w:ascii="Wingdings" w:hAnsi="Wingdings" w:hint="default"/>
      </w:rPr>
    </w:lvl>
    <w:lvl w:ilvl="6" w:tplc="AB48911E" w:tentative="1">
      <w:start w:val="1"/>
      <w:numFmt w:val="bullet"/>
      <w:lvlText w:val=""/>
      <w:lvlJc w:val="left"/>
      <w:pPr>
        <w:ind w:left="5040" w:hanging="360"/>
      </w:pPr>
      <w:rPr>
        <w:rFonts w:ascii="Symbol" w:hAnsi="Symbol" w:hint="default"/>
      </w:rPr>
    </w:lvl>
    <w:lvl w:ilvl="7" w:tplc="94922398" w:tentative="1">
      <w:start w:val="1"/>
      <w:numFmt w:val="bullet"/>
      <w:lvlText w:val="o"/>
      <w:lvlJc w:val="left"/>
      <w:pPr>
        <w:ind w:left="5760" w:hanging="360"/>
      </w:pPr>
      <w:rPr>
        <w:rFonts w:ascii="Courier New" w:hAnsi="Courier New" w:cs="Courier New" w:hint="default"/>
      </w:rPr>
    </w:lvl>
    <w:lvl w:ilvl="8" w:tplc="F6B2963C"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5065E4"/>
    <w:multiLevelType w:val="hybridMultilevel"/>
    <w:tmpl w:val="60E4706E"/>
    <w:lvl w:ilvl="0" w:tplc="A532DDAE">
      <w:numFmt w:val="bullet"/>
      <w:lvlText w:val=""/>
      <w:lvlJc w:val="left"/>
      <w:pPr>
        <w:ind w:left="475" w:hanging="361"/>
      </w:pPr>
      <w:rPr>
        <w:rFonts w:ascii="Symbol" w:eastAsia="Symbol" w:hAnsi="Symbol" w:cs="Symbol" w:hint="default"/>
        <w:color w:val="005774"/>
        <w:w w:val="100"/>
        <w:sz w:val="22"/>
        <w:szCs w:val="22"/>
        <w:lang w:val="en-AU" w:eastAsia="en-AU" w:bidi="en-AU"/>
      </w:rPr>
    </w:lvl>
    <w:lvl w:ilvl="1" w:tplc="E4D2F320">
      <w:numFmt w:val="bullet"/>
      <w:lvlText w:val="•"/>
      <w:lvlJc w:val="left"/>
      <w:pPr>
        <w:ind w:left="674" w:hanging="361"/>
      </w:pPr>
      <w:rPr>
        <w:rFonts w:hint="default"/>
        <w:lang w:val="en-AU" w:eastAsia="en-AU" w:bidi="en-AU"/>
      </w:rPr>
    </w:lvl>
    <w:lvl w:ilvl="2" w:tplc="9C62FAB4">
      <w:numFmt w:val="bullet"/>
      <w:lvlText w:val="•"/>
      <w:lvlJc w:val="left"/>
      <w:pPr>
        <w:ind w:left="868" w:hanging="361"/>
      </w:pPr>
      <w:rPr>
        <w:rFonts w:hint="default"/>
        <w:lang w:val="en-AU" w:eastAsia="en-AU" w:bidi="en-AU"/>
      </w:rPr>
    </w:lvl>
    <w:lvl w:ilvl="3" w:tplc="77E067F2">
      <w:numFmt w:val="bullet"/>
      <w:lvlText w:val="•"/>
      <w:lvlJc w:val="left"/>
      <w:pPr>
        <w:ind w:left="1062" w:hanging="361"/>
      </w:pPr>
      <w:rPr>
        <w:rFonts w:hint="default"/>
        <w:lang w:val="en-AU" w:eastAsia="en-AU" w:bidi="en-AU"/>
      </w:rPr>
    </w:lvl>
    <w:lvl w:ilvl="4" w:tplc="1A940A18">
      <w:numFmt w:val="bullet"/>
      <w:lvlText w:val="•"/>
      <w:lvlJc w:val="left"/>
      <w:pPr>
        <w:ind w:left="1257" w:hanging="361"/>
      </w:pPr>
      <w:rPr>
        <w:rFonts w:hint="default"/>
        <w:lang w:val="en-AU" w:eastAsia="en-AU" w:bidi="en-AU"/>
      </w:rPr>
    </w:lvl>
    <w:lvl w:ilvl="5" w:tplc="7B7CE144">
      <w:numFmt w:val="bullet"/>
      <w:lvlText w:val="•"/>
      <w:lvlJc w:val="left"/>
      <w:pPr>
        <w:ind w:left="1451" w:hanging="361"/>
      </w:pPr>
      <w:rPr>
        <w:rFonts w:hint="default"/>
        <w:lang w:val="en-AU" w:eastAsia="en-AU" w:bidi="en-AU"/>
      </w:rPr>
    </w:lvl>
    <w:lvl w:ilvl="6" w:tplc="7EAC1B50">
      <w:numFmt w:val="bullet"/>
      <w:lvlText w:val="•"/>
      <w:lvlJc w:val="left"/>
      <w:pPr>
        <w:ind w:left="1645" w:hanging="361"/>
      </w:pPr>
      <w:rPr>
        <w:rFonts w:hint="default"/>
        <w:lang w:val="en-AU" w:eastAsia="en-AU" w:bidi="en-AU"/>
      </w:rPr>
    </w:lvl>
    <w:lvl w:ilvl="7" w:tplc="10D063DE">
      <w:numFmt w:val="bullet"/>
      <w:lvlText w:val="•"/>
      <w:lvlJc w:val="left"/>
      <w:pPr>
        <w:ind w:left="1840" w:hanging="361"/>
      </w:pPr>
      <w:rPr>
        <w:rFonts w:hint="default"/>
        <w:lang w:val="en-AU" w:eastAsia="en-AU" w:bidi="en-AU"/>
      </w:rPr>
    </w:lvl>
    <w:lvl w:ilvl="8" w:tplc="DAA20F6C">
      <w:numFmt w:val="bullet"/>
      <w:lvlText w:val="•"/>
      <w:lvlJc w:val="left"/>
      <w:pPr>
        <w:ind w:left="2034" w:hanging="361"/>
      </w:pPr>
      <w:rPr>
        <w:rFonts w:hint="default"/>
        <w:lang w:val="en-AU" w:eastAsia="en-AU" w:bidi="en-AU"/>
      </w:rPr>
    </w:lvl>
  </w:abstractNum>
  <w:abstractNum w:abstractNumId="15" w15:restartNumberingAfterBreak="0">
    <w:nsid w:val="24064330"/>
    <w:multiLevelType w:val="hybridMultilevel"/>
    <w:tmpl w:val="93BE49FC"/>
    <w:lvl w:ilvl="0" w:tplc="3FF031C4">
      <w:numFmt w:val="bullet"/>
      <w:lvlText w:val=""/>
      <w:lvlJc w:val="left"/>
      <w:pPr>
        <w:ind w:left="472" w:hanging="361"/>
      </w:pPr>
      <w:rPr>
        <w:rFonts w:ascii="Symbol" w:eastAsia="Symbol" w:hAnsi="Symbol" w:cs="Symbol" w:hint="default"/>
        <w:color w:val="005774"/>
        <w:w w:val="100"/>
        <w:sz w:val="22"/>
        <w:szCs w:val="22"/>
        <w:lang w:val="en-AU" w:eastAsia="en-AU" w:bidi="en-AU"/>
      </w:rPr>
    </w:lvl>
    <w:lvl w:ilvl="1" w:tplc="874A92BC">
      <w:numFmt w:val="bullet"/>
      <w:lvlText w:val="•"/>
      <w:lvlJc w:val="left"/>
      <w:pPr>
        <w:ind w:left="674" w:hanging="361"/>
      </w:pPr>
      <w:rPr>
        <w:rFonts w:hint="default"/>
        <w:lang w:val="en-AU" w:eastAsia="en-AU" w:bidi="en-AU"/>
      </w:rPr>
    </w:lvl>
    <w:lvl w:ilvl="2" w:tplc="DA0C9726">
      <w:numFmt w:val="bullet"/>
      <w:lvlText w:val="•"/>
      <w:lvlJc w:val="left"/>
      <w:pPr>
        <w:ind w:left="868" w:hanging="361"/>
      </w:pPr>
      <w:rPr>
        <w:rFonts w:hint="default"/>
        <w:lang w:val="en-AU" w:eastAsia="en-AU" w:bidi="en-AU"/>
      </w:rPr>
    </w:lvl>
    <w:lvl w:ilvl="3" w:tplc="002AC190">
      <w:numFmt w:val="bullet"/>
      <w:lvlText w:val="•"/>
      <w:lvlJc w:val="left"/>
      <w:pPr>
        <w:ind w:left="1062" w:hanging="361"/>
      </w:pPr>
      <w:rPr>
        <w:rFonts w:hint="default"/>
        <w:lang w:val="en-AU" w:eastAsia="en-AU" w:bidi="en-AU"/>
      </w:rPr>
    </w:lvl>
    <w:lvl w:ilvl="4" w:tplc="3ED01144">
      <w:numFmt w:val="bullet"/>
      <w:lvlText w:val="•"/>
      <w:lvlJc w:val="left"/>
      <w:pPr>
        <w:ind w:left="1256" w:hanging="361"/>
      </w:pPr>
      <w:rPr>
        <w:rFonts w:hint="default"/>
        <w:lang w:val="en-AU" w:eastAsia="en-AU" w:bidi="en-AU"/>
      </w:rPr>
    </w:lvl>
    <w:lvl w:ilvl="5" w:tplc="A89039A8">
      <w:numFmt w:val="bullet"/>
      <w:lvlText w:val="•"/>
      <w:lvlJc w:val="left"/>
      <w:pPr>
        <w:ind w:left="1450" w:hanging="361"/>
      </w:pPr>
      <w:rPr>
        <w:rFonts w:hint="default"/>
        <w:lang w:val="en-AU" w:eastAsia="en-AU" w:bidi="en-AU"/>
      </w:rPr>
    </w:lvl>
    <w:lvl w:ilvl="6" w:tplc="43EC0F40">
      <w:numFmt w:val="bullet"/>
      <w:lvlText w:val="•"/>
      <w:lvlJc w:val="left"/>
      <w:pPr>
        <w:ind w:left="1644" w:hanging="361"/>
      </w:pPr>
      <w:rPr>
        <w:rFonts w:hint="default"/>
        <w:lang w:val="en-AU" w:eastAsia="en-AU" w:bidi="en-AU"/>
      </w:rPr>
    </w:lvl>
    <w:lvl w:ilvl="7" w:tplc="6D9A4B0C">
      <w:numFmt w:val="bullet"/>
      <w:lvlText w:val="•"/>
      <w:lvlJc w:val="left"/>
      <w:pPr>
        <w:ind w:left="1838" w:hanging="361"/>
      </w:pPr>
      <w:rPr>
        <w:rFonts w:hint="default"/>
        <w:lang w:val="en-AU" w:eastAsia="en-AU" w:bidi="en-AU"/>
      </w:rPr>
    </w:lvl>
    <w:lvl w:ilvl="8" w:tplc="92A8A3B8">
      <w:numFmt w:val="bullet"/>
      <w:lvlText w:val="•"/>
      <w:lvlJc w:val="left"/>
      <w:pPr>
        <w:ind w:left="2032" w:hanging="361"/>
      </w:pPr>
      <w:rPr>
        <w:rFonts w:hint="default"/>
        <w:lang w:val="en-AU" w:eastAsia="en-AU" w:bidi="en-AU"/>
      </w:rPr>
    </w:lvl>
  </w:abstractNum>
  <w:abstractNum w:abstractNumId="16" w15:restartNumberingAfterBreak="0">
    <w:nsid w:val="24AC1FF8"/>
    <w:multiLevelType w:val="hybridMultilevel"/>
    <w:tmpl w:val="5E426630"/>
    <w:lvl w:ilvl="0" w:tplc="A4A607DC">
      <w:numFmt w:val="bullet"/>
      <w:lvlText w:val=""/>
      <w:lvlJc w:val="left"/>
      <w:pPr>
        <w:ind w:left="474" w:hanging="361"/>
      </w:pPr>
      <w:rPr>
        <w:rFonts w:ascii="Symbol" w:eastAsia="Symbol" w:hAnsi="Symbol" w:cs="Symbol" w:hint="default"/>
        <w:color w:val="005774"/>
        <w:w w:val="100"/>
        <w:sz w:val="22"/>
        <w:szCs w:val="22"/>
        <w:lang w:val="en-AU" w:eastAsia="en-AU" w:bidi="en-AU"/>
      </w:rPr>
    </w:lvl>
    <w:lvl w:ilvl="1" w:tplc="E53CEC16">
      <w:numFmt w:val="bullet"/>
      <w:lvlText w:val="•"/>
      <w:lvlJc w:val="left"/>
      <w:pPr>
        <w:ind w:left="674" w:hanging="361"/>
      </w:pPr>
      <w:rPr>
        <w:rFonts w:hint="default"/>
        <w:lang w:val="en-AU" w:eastAsia="en-AU" w:bidi="en-AU"/>
      </w:rPr>
    </w:lvl>
    <w:lvl w:ilvl="2" w:tplc="A0FEB444">
      <w:numFmt w:val="bullet"/>
      <w:lvlText w:val="•"/>
      <w:lvlJc w:val="left"/>
      <w:pPr>
        <w:ind w:left="868" w:hanging="361"/>
      </w:pPr>
      <w:rPr>
        <w:rFonts w:hint="default"/>
        <w:lang w:val="en-AU" w:eastAsia="en-AU" w:bidi="en-AU"/>
      </w:rPr>
    </w:lvl>
    <w:lvl w:ilvl="3" w:tplc="29A4D956">
      <w:numFmt w:val="bullet"/>
      <w:lvlText w:val="•"/>
      <w:lvlJc w:val="left"/>
      <w:pPr>
        <w:ind w:left="1062" w:hanging="361"/>
      </w:pPr>
      <w:rPr>
        <w:rFonts w:hint="default"/>
        <w:lang w:val="en-AU" w:eastAsia="en-AU" w:bidi="en-AU"/>
      </w:rPr>
    </w:lvl>
    <w:lvl w:ilvl="4" w:tplc="6E8A1730">
      <w:numFmt w:val="bullet"/>
      <w:lvlText w:val="•"/>
      <w:lvlJc w:val="left"/>
      <w:pPr>
        <w:ind w:left="1256" w:hanging="361"/>
      </w:pPr>
      <w:rPr>
        <w:rFonts w:hint="default"/>
        <w:lang w:val="en-AU" w:eastAsia="en-AU" w:bidi="en-AU"/>
      </w:rPr>
    </w:lvl>
    <w:lvl w:ilvl="5" w:tplc="100844D6">
      <w:numFmt w:val="bullet"/>
      <w:lvlText w:val="•"/>
      <w:lvlJc w:val="left"/>
      <w:pPr>
        <w:ind w:left="1450" w:hanging="361"/>
      </w:pPr>
      <w:rPr>
        <w:rFonts w:hint="default"/>
        <w:lang w:val="en-AU" w:eastAsia="en-AU" w:bidi="en-AU"/>
      </w:rPr>
    </w:lvl>
    <w:lvl w:ilvl="6" w:tplc="14B8182C">
      <w:numFmt w:val="bullet"/>
      <w:lvlText w:val="•"/>
      <w:lvlJc w:val="left"/>
      <w:pPr>
        <w:ind w:left="1644" w:hanging="361"/>
      </w:pPr>
      <w:rPr>
        <w:rFonts w:hint="default"/>
        <w:lang w:val="en-AU" w:eastAsia="en-AU" w:bidi="en-AU"/>
      </w:rPr>
    </w:lvl>
    <w:lvl w:ilvl="7" w:tplc="B930F934">
      <w:numFmt w:val="bullet"/>
      <w:lvlText w:val="•"/>
      <w:lvlJc w:val="left"/>
      <w:pPr>
        <w:ind w:left="1838" w:hanging="361"/>
      </w:pPr>
      <w:rPr>
        <w:rFonts w:hint="default"/>
        <w:lang w:val="en-AU" w:eastAsia="en-AU" w:bidi="en-AU"/>
      </w:rPr>
    </w:lvl>
    <w:lvl w:ilvl="8" w:tplc="E2C2F33A">
      <w:numFmt w:val="bullet"/>
      <w:lvlText w:val="•"/>
      <w:lvlJc w:val="left"/>
      <w:pPr>
        <w:ind w:left="2032" w:hanging="361"/>
      </w:pPr>
      <w:rPr>
        <w:rFonts w:hint="default"/>
        <w:lang w:val="en-AU" w:eastAsia="en-AU" w:bidi="en-AU"/>
      </w:rPr>
    </w:lvl>
  </w:abstractNum>
  <w:abstractNum w:abstractNumId="17" w15:restartNumberingAfterBreak="0">
    <w:nsid w:val="2B103637"/>
    <w:multiLevelType w:val="multilevel"/>
    <w:tmpl w:val="BE78A4F8"/>
    <w:numStyleLink w:val="Numberlist"/>
  </w:abstractNum>
  <w:abstractNum w:abstractNumId="18" w15:restartNumberingAfterBreak="0">
    <w:nsid w:val="34141030"/>
    <w:multiLevelType w:val="hybridMultilevel"/>
    <w:tmpl w:val="50DEBC5E"/>
    <w:lvl w:ilvl="0" w:tplc="19AA0912">
      <w:numFmt w:val="bullet"/>
      <w:lvlText w:val=""/>
      <w:lvlJc w:val="left"/>
      <w:pPr>
        <w:ind w:left="475" w:hanging="358"/>
      </w:pPr>
      <w:rPr>
        <w:rFonts w:ascii="Symbol" w:eastAsia="Symbol" w:hAnsi="Symbol" w:cs="Symbol" w:hint="default"/>
        <w:color w:val="005774"/>
        <w:w w:val="100"/>
        <w:sz w:val="22"/>
        <w:szCs w:val="22"/>
        <w:lang w:val="en-AU" w:eastAsia="en-AU" w:bidi="en-AU"/>
      </w:rPr>
    </w:lvl>
    <w:lvl w:ilvl="1" w:tplc="38FA3A10">
      <w:numFmt w:val="bullet"/>
      <w:lvlText w:val="•"/>
      <w:lvlJc w:val="left"/>
      <w:pPr>
        <w:ind w:left="674" w:hanging="358"/>
      </w:pPr>
      <w:rPr>
        <w:rFonts w:hint="default"/>
        <w:lang w:val="en-AU" w:eastAsia="en-AU" w:bidi="en-AU"/>
      </w:rPr>
    </w:lvl>
    <w:lvl w:ilvl="2" w:tplc="DDB863D2">
      <w:numFmt w:val="bullet"/>
      <w:lvlText w:val="•"/>
      <w:lvlJc w:val="left"/>
      <w:pPr>
        <w:ind w:left="868" w:hanging="358"/>
      </w:pPr>
      <w:rPr>
        <w:rFonts w:hint="default"/>
        <w:lang w:val="en-AU" w:eastAsia="en-AU" w:bidi="en-AU"/>
      </w:rPr>
    </w:lvl>
    <w:lvl w:ilvl="3" w:tplc="E146D6F2">
      <w:numFmt w:val="bullet"/>
      <w:lvlText w:val="•"/>
      <w:lvlJc w:val="left"/>
      <w:pPr>
        <w:ind w:left="1062" w:hanging="358"/>
      </w:pPr>
      <w:rPr>
        <w:rFonts w:hint="default"/>
        <w:lang w:val="en-AU" w:eastAsia="en-AU" w:bidi="en-AU"/>
      </w:rPr>
    </w:lvl>
    <w:lvl w:ilvl="4" w:tplc="AF4A51BA">
      <w:numFmt w:val="bullet"/>
      <w:lvlText w:val="•"/>
      <w:lvlJc w:val="left"/>
      <w:pPr>
        <w:ind w:left="1257" w:hanging="358"/>
      </w:pPr>
      <w:rPr>
        <w:rFonts w:hint="default"/>
        <w:lang w:val="en-AU" w:eastAsia="en-AU" w:bidi="en-AU"/>
      </w:rPr>
    </w:lvl>
    <w:lvl w:ilvl="5" w:tplc="BECE8D92">
      <w:numFmt w:val="bullet"/>
      <w:lvlText w:val="•"/>
      <w:lvlJc w:val="left"/>
      <w:pPr>
        <w:ind w:left="1451" w:hanging="358"/>
      </w:pPr>
      <w:rPr>
        <w:rFonts w:hint="default"/>
        <w:lang w:val="en-AU" w:eastAsia="en-AU" w:bidi="en-AU"/>
      </w:rPr>
    </w:lvl>
    <w:lvl w:ilvl="6" w:tplc="83C8F94C">
      <w:numFmt w:val="bullet"/>
      <w:lvlText w:val="•"/>
      <w:lvlJc w:val="left"/>
      <w:pPr>
        <w:ind w:left="1645" w:hanging="358"/>
      </w:pPr>
      <w:rPr>
        <w:rFonts w:hint="default"/>
        <w:lang w:val="en-AU" w:eastAsia="en-AU" w:bidi="en-AU"/>
      </w:rPr>
    </w:lvl>
    <w:lvl w:ilvl="7" w:tplc="5B60F476">
      <w:numFmt w:val="bullet"/>
      <w:lvlText w:val="•"/>
      <w:lvlJc w:val="left"/>
      <w:pPr>
        <w:ind w:left="1840" w:hanging="358"/>
      </w:pPr>
      <w:rPr>
        <w:rFonts w:hint="default"/>
        <w:lang w:val="en-AU" w:eastAsia="en-AU" w:bidi="en-AU"/>
      </w:rPr>
    </w:lvl>
    <w:lvl w:ilvl="8" w:tplc="15085442">
      <w:numFmt w:val="bullet"/>
      <w:lvlText w:val="•"/>
      <w:lvlJc w:val="left"/>
      <w:pPr>
        <w:ind w:left="2034" w:hanging="358"/>
      </w:pPr>
      <w:rPr>
        <w:rFonts w:hint="default"/>
        <w:lang w:val="en-AU" w:eastAsia="en-AU" w:bidi="en-AU"/>
      </w:rPr>
    </w:lvl>
  </w:abstractNum>
  <w:abstractNum w:abstractNumId="19" w15:restartNumberingAfterBreak="0">
    <w:nsid w:val="34F97F8C"/>
    <w:multiLevelType w:val="hybridMultilevel"/>
    <w:tmpl w:val="046E44B4"/>
    <w:lvl w:ilvl="0" w:tplc="1D824E96">
      <w:numFmt w:val="bullet"/>
      <w:lvlText w:val=""/>
      <w:lvlJc w:val="left"/>
      <w:pPr>
        <w:ind w:left="474" w:hanging="361"/>
      </w:pPr>
      <w:rPr>
        <w:rFonts w:ascii="Symbol" w:eastAsia="Symbol" w:hAnsi="Symbol" w:cs="Symbol" w:hint="default"/>
        <w:color w:val="005774"/>
        <w:w w:val="100"/>
        <w:sz w:val="22"/>
        <w:szCs w:val="22"/>
        <w:lang w:val="en-AU" w:eastAsia="en-AU" w:bidi="en-AU"/>
      </w:rPr>
    </w:lvl>
    <w:lvl w:ilvl="1" w:tplc="3DA2B8A8">
      <w:numFmt w:val="bullet"/>
      <w:lvlText w:val="•"/>
      <w:lvlJc w:val="left"/>
      <w:pPr>
        <w:ind w:left="674" w:hanging="361"/>
      </w:pPr>
      <w:rPr>
        <w:rFonts w:hint="default"/>
        <w:lang w:val="en-AU" w:eastAsia="en-AU" w:bidi="en-AU"/>
      </w:rPr>
    </w:lvl>
    <w:lvl w:ilvl="2" w:tplc="8C12087A">
      <w:numFmt w:val="bullet"/>
      <w:lvlText w:val="•"/>
      <w:lvlJc w:val="left"/>
      <w:pPr>
        <w:ind w:left="868" w:hanging="361"/>
      </w:pPr>
      <w:rPr>
        <w:rFonts w:hint="default"/>
        <w:lang w:val="en-AU" w:eastAsia="en-AU" w:bidi="en-AU"/>
      </w:rPr>
    </w:lvl>
    <w:lvl w:ilvl="3" w:tplc="B5143B7E">
      <w:numFmt w:val="bullet"/>
      <w:lvlText w:val="•"/>
      <w:lvlJc w:val="left"/>
      <w:pPr>
        <w:ind w:left="1062" w:hanging="361"/>
      </w:pPr>
      <w:rPr>
        <w:rFonts w:hint="default"/>
        <w:lang w:val="en-AU" w:eastAsia="en-AU" w:bidi="en-AU"/>
      </w:rPr>
    </w:lvl>
    <w:lvl w:ilvl="4" w:tplc="BF68972E">
      <w:numFmt w:val="bullet"/>
      <w:lvlText w:val="•"/>
      <w:lvlJc w:val="left"/>
      <w:pPr>
        <w:ind w:left="1257" w:hanging="361"/>
      </w:pPr>
      <w:rPr>
        <w:rFonts w:hint="default"/>
        <w:lang w:val="en-AU" w:eastAsia="en-AU" w:bidi="en-AU"/>
      </w:rPr>
    </w:lvl>
    <w:lvl w:ilvl="5" w:tplc="2CA06340">
      <w:numFmt w:val="bullet"/>
      <w:lvlText w:val="•"/>
      <w:lvlJc w:val="left"/>
      <w:pPr>
        <w:ind w:left="1451" w:hanging="361"/>
      </w:pPr>
      <w:rPr>
        <w:rFonts w:hint="default"/>
        <w:lang w:val="en-AU" w:eastAsia="en-AU" w:bidi="en-AU"/>
      </w:rPr>
    </w:lvl>
    <w:lvl w:ilvl="6" w:tplc="277628C6">
      <w:numFmt w:val="bullet"/>
      <w:lvlText w:val="•"/>
      <w:lvlJc w:val="left"/>
      <w:pPr>
        <w:ind w:left="1645" w:hanging="361"/>
      </w:pPr>
      <w:rPr>
        <w:rFonts w:hint="default"/>
        <w:lang w:val="en-AU" w:eastAsia="en-AU" w:bidi="en-AU"/>
      </w:rPr>
    </w:lvl>
    <w:lvl w:ilvl="7" w:tplc="833628B6">
      <w:numFmt w:val="bullet"/>
      <w:lvlText w:val="•"/>
      <w:lvlJc w:val="left"/>
      <w:pPr>
        <w:ind w:left="1840" w:hanging="361"/>
      </w:pPr>
      <w:rPr>
        <w:rFonts w:hint="default"/>
        <w:lang w:val="en-AU" w:eastAsia="en-AU" w:bidi="en-AU"/>
      </w:rPr>
    </w:lvl>
    <w:lvl w:ilvl="8" w:tplc="13980EE0">
      <w:numFmt w:val="bullet"/>
      <w:lvlText w:val="•"/>
      <w:lvlJc w:val="left"/>
      <w:pPr>
        <w:ind w:left="2034" w:hanging="361"/>
      </w:pPr>
      <w:rPr>
        <w:rFonts w:hint="default"/>
        <w:lang w:val="en-AU" w:eastAsia="en-AU" w:bidi="en-AU"/>
      </w:rPr>
    </w:lvl>
  </w:abstractNum>
  <w:abstractNum w:abstractNumId="20" w15:restartNumberingAfterBreak="0">
    <w:nsid w:val="394A15FE"/>
    <w:multiLevelType w:val="multilevel"/>
    <w:tmpl w:val="F36C17E8"/>
    <w:numStyleLink w:val="Headinglist"/>
  </w:abstractNum>
  <w:abstractNum w:abstractNumId="21" w15:restartNumberingAfterBreak="0">
    <w:nsid w:val="414F4729"/>
    <w:multiLevelType w:val="multilevel"/>
    <w:tmpl w:val="A0241B28"/>
    <w:numStyleLink w:val="List1"/>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1F0A0EC4">
      <w:start w:val="1"/>
      <w:numFmt w:val="bullet"/>
      <w:pStyle w:val="BoxTextBullet"/>
      <w:lvlText w:val=""/>
      <w:lvlJc w:val="left"/>
      <w:pPr>
        <w:ind w:left="720" w:hanging="360"/>
      </w:pPr>
      <w:rPr>
        <w:rFonts w:ascii="Symbol" w:hAnsi="Symbol" w:hint="default"/>
      </w:rPr>
    </w:lvl>
    <w:lvl w:ilvl="1" w:tplc="D42E92C4" w:tentative="1">
      <w:start w:val="1"/>
      <w:numFmt w:val="bullet"/>
      <w:lvlText w:val="o"/>
      <w:lvlJc w:val="left"/>
      <w:pPr>
        <w:ind w:left="1440" w:hanging="360"/>
      </w:pPr>
      <w:rPr>
        <w:rFonts w:ascii="Courier New" w:hAnsi="Courier New" w:cs="Courier New" w:hint="default"/>
      </w:rPr>
    </w:lvl>
    <w:lvl w:ilvl="2" w:tplc="E0445132" w:tentative="1">
      <w:start w:val="1"/>
      <w:numFmt w:val="bullet"/>
      <w:lvlText w:val=""/>
      <w:lvlJc w:val="left"/>
      <w:pPr>
        <w:ind w:left="2160" w:hanging="360"/>
      </w:pPr>
      <w:rPr>
        <w:rFonts w:ascii="Wingdings" w:hAnsi="Wingdings" w:hint="default"/>
      </w:rPr>
    </w:lvl>
    <w:lvl w:ilvl="3" w:tplc="625E0C10" w:tentative="1">
      <w:start w:val="1"/>
      <w:numFmt w:val="bullet"/>
      <w:lvlText w:val=""/>
      <w:lvlJc w:val="left"/>
      <w:pPr>
        <w:ind w:left="2880" w:hanging="360"/>
      </w:pPr>
      <w:rPr>
        <w:rFonts w:ascii="Symbol" w:hAnsi="Symbol" w:hint="default"/>
      </w:rPr>
    </w:lvl>
    <w:lvl w:ilvl="4" w:tplc="2196F900" w:tentative="1">
      <w:start w:val="1"/>
      <w:numFmt w:val="bullet"/>
      <w:lvlText w:val="o"/>
      <w:lvlJc w:val="left"/>
      <w:pPr>
        <w:ind w:left="3600" w:hanging="360"/>
      </w:pPr>
      <w:rPr>
        <w:rFonts w:ascii="Courier New" w:hAnsi="Courier New" w:cs="Courier New" w:hint="default"/>
      </w:rPr>
    </w:lvl>
    <w:lvl w:ilvl="5" w:tplc="2E1896CA" w:tentative="1">
      <w:start w:val="1"/>
      <w:numFmt w:val="bullet"/>
      <w:lvlText w:val=""/>
      <w:lvlJc w:val="left"/>
      <w:pPr>
        <w:ind w:left="4320" w:hanging="360"/>
      </w:pPr>
      <w:rPr>
        <w:rFonts w:ascii="Wingdings" w:hAnsi="Wingdings" w:hint="default"/>
      </w:rPr>
    </w:lvl>
    <w:lvl w:ilvl="6" w:tplc="685E53DC" w:tentative="1">
      <w:start w:val="1"/>
      <w:numFmt w:val="bullet"/>
      <w:lvlText w:val=""/>
      <w:lvlJc w:val="left"/>
      <w:pPr>
        <w:ind w:left="5040" w:hanging="360"/>
      </w:pPr>
      <w:rPr>
        <w:rFonts w:ascii="Symbol" w:hAnsi="Symbol" w:hint="default"/>
      </w:rPr>
    </w:lvl>
    <w:lvl w:ilvl="7" w:tplc="B552BEE8" w:tentative="1">
      <w:start w:val="1"/>
      <w:numFmt w:val="bullet"/>
      <w:lvlText w:val="o"/>
      <w:lvlJc w:val="left"/>
      <w:pPr>
        <w:ind w:left="5760" w:hanging="360"/>
      </w:pPr>
      <w:rPr>
        <w:rFonts w:ascii="Courier New" w:hAnsi="Courier New" w:cs="Courier New" w:hint="default"/>
      </w:rPr>
    </w:lvl>
    <w:lvl w:ilvl="8" w:tplc="4FC47066"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BE78A4F8"/>
    <w:numStyleLink w:val="Numberlist"/>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6F084E"/>
    <w:multiLevelType w:val="hybridMultilevel"/>
    <w:tmpl w:val="8B6C4A0C"/>
    <w:lvl w:ilvl="0" w:tplc="9B4EA264">
      <w:numFmt w:val="bullet"/>
      <w:lvlText w:val=""/>
      <w:lvlJc w:val="left"/>
      <w:pPr>
        <w:ind w:left="472" w:hanging="361"/>
      </w:pPr>
      <w:rPr>
        <w:rFonts w:ascii="Symbol" w:eastAsia="Symbol" w:hAnsi="Symbol" w:cs="Symbol" w:hint="default"/>
        <w:color w:val="005774"/>
        <w:w w:val="100"/>
        <w:sz w:val="22"/>
        <w:szCs w:val="22"/>
        <w:lang w:val="en-AU" w:eastAsia="en-AU" w:bidi="en-AU"/>
      </w:rPr>
    </w:lvl>
    <w:lvl w:ilvl="1" w:tplc="4700193C">
      <w:numFmt w:val="bullet"/>
      <w:lvlText w:val="•"/>
      <w:lvlJc w:val="left"/>
      <w:pPr>
        <w:ind w:left="674" w:hanging="361"/>
      </w:pPr>
      <w:rPr>
        <w:rFonts w:hint="default"/>
        <w:lang w:val="en-AU" w:eastAsia="en-AU" w:bidi="en-AU"/>
      </w:rPr>
    </w:lvl>
    <w:lvl w:ilvl="2" w:tplc="7B60B1AC">
      <w:numFmt w:val="bullet"/>
      <w:lvlText w:val="•"/>
      <w:lvlJc w:val="left"/>
      <w:pPr>
        <w:ind w:left="868" w:hanging="361"/>
      </w:pPr>
      <w:rPr>
        <w:rFonts w:hint="default"/>
        <w:lang w:val="en-AU" w:eastAsia="en-AU" w:bidi="en-AU"/>
      </w:rPr>
    </w:lvl>
    <w:lvl w:ilvl="3" w:tplc="7FA08598">
      <w:numFmt w:val="bullet"/>
      <w:lvlText w:val="•"/>
      <w:lvlJc w:val="left"/>
      <w:pPr>
        <w:ind w:left="1062" w:hanging="361"/>
      </w:pPr>
      <w:rPr>
        <w:rFonts w:hint="default"/>
        <w:lang w:val="en-AU" w:eastAsia="en-AU" w:bidi="en-AU"/>
      </w:rPr>
    </w:lvl>
    <w:lvl w:ilvl="4" w:tplc="7FD0D1F6">
      <w:numFmt w:val="bullet"/>
      <w:lvlText w:val="•"/>
      <w:lvlJc w:val="left"/>
      <w:pPr>
        <w:ind w:left="1256" w:hanging="361"/>
      </w:pPr>
      <w:rPr>
        <w:rFonts w:hint="default"/>
        <w:lang w:val="en-AU" w:eastAsia="en-AU" w:bidi="en-AU"/>
      </w:rPr>
    </w:lvl>
    <w:lvl w:ilvl="5" w:tplc="65A034D0">
      <w:numFmt w:val="bullet"/>
      <w:lvlText w:val="•"/>
      <w:lvlJc w:val="left"/>
      <w:pPr>
        <w:ind w:left="1450" w:hanging="361"/>
      </w:pPr>
      <w:rPr>
        <w:rFonts w:hint="default"/>
        <w:lang w:val="en-AU" w:eastAsia="en-AU" w:bidi="en-AU"/>
      </w:rPr>
    </w:lvl>
    <w:lvl w:ilvl="6" w:tplc="8C40FDD0">
      <w:numFmt w:val="bullet"/>
      <w:lvlText w:val="•"/>
      <w:lvlJc w:val="left"/>
      <w:pPr>
        <w:ind w:left="1644" w:hanging="361"/>
      </w:pPr>
      <w:rPr>
        <w:rFonts w:hint="default"/>
        <w:lang w:val="en-AU" w:eastAsia="en-AU" w:bidi="en-AU"/>
      </w:rPr>
    </w:lvl>
    <w:lvl w:ilvl="7" w:tplc="BB7067CE">
      <w:numFmt w:val="bullet"/>
      <w:lvlText w:val="•"/>
      <w:lvlJc w:val="left"/>
      <w:pPr>
        <w:ind w:left="1838" w:hanging="361"/>
      </w:pPr>
      <w:rPr>
        <w:rFonts w:hint="default"/>
        <w:lang w:val="en-AU" w:eastAsia="en-AU" w:bidi="en-AU"/>
      </w:rPr>
    </w:lvl>
    <w:lvl w:ilvl="8" w:tplc="CCB261D2">
      <w:numFmt w:val="bullet"/>
      <w:lvlText w:val="•"/>
      <w:lvlJc w:val="left"/>
      <w:pPr>
        <w:ind w:left="2032" w:hanging="361"/>
      </w:pPr>
      <w:rPr>
        <w:rFonts w:hint="default"/>
        <w:lang w:val="en-AU" w:eastAsia="en-AU" w:bidi="en-AU"/>
      </w:rPr>
    </w:lvl>
  </w:abstractNum>
  <w:abstractNum w:abstractNumId="2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8"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1"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8C10A1"/>
    <w:multiLevelType w:val="multilevel"/>
    <w:tmpl w:val="BE78A4F8"/>
    <w:numStyleLink w:val="Numberlist"/>
  </w:abstractNum>
  <w:abstractNum w:abstractNumId="33" w15:restartNumberingAfterBreak="0">
    <w:nsid w:val="733934B7"/>
    <w:multiLevelType w:val="multilevel"/>
    <w:tmpl w:val="A0241B28"/>
    <w:numStyleLink w:val="List1"/>
  </w:abstractNum>
  <w:num w:numId="1">
    <w:abstractNumId w:val="6"/>
  </w:num>
  <w:num w:numId="2">
    <w:abstractNumId w:val="22"/>
  </w:num>
  <w:num w:numId="3">
    <w:abstractNumId w:val="23"/>
  </w:num>
  <w:num w:numId="4">
    <w:abstractNumId w:val="10"/>
  </w:num>
  <w:num w:numId="5">
    <w:abstractNumId w:val="29"/>
  </w:num>
  <w:num w:numId="6">
    <w:abstractNumId w:val="30"/>
  </w:num>
  <w:num w:numId="7">
    <w:abstractNumId w:val="7"/>
  </w:num>
  <w:num w:numId="8">
    <w:abstractNumId w:val="13"/>
  </w:num>
  <w:num w:numId="9">
    <w:abstractNumId w:val="20"/>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1"/>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
  </w:num>
  <w:num w:numId="20">
    <w:abstractNumId w:val="0"/>
  </w:num>
  <w:num w:numId="21">
    <w:abstractNumId w:val="17"/>
  </w:num>
  <w:num w:numId="22">
    <w:abstractNumId w:val="24"/>
  </w:num>
  <w:num w:numId="23">
    <w:abstractNumId w:val="32"/>
  </w:num>
  <w:num w:numId="24">
    <w:abstractNumId w:val="12"/>
  </w:num>
  <w:num w:numId="25">
    <w:abstractNumId w:val="2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5"/>
  </w:num>
  <w:num w:numId="29">
    <w:abstractNumId w:val="28"/>
  </w:num>
  <w:num w:numId="30">
    <w:abstractNumId w:val="8"/>
  </w:num>
  <w:num w:numId="31">
    <w:abstractNumId w:val="16"/>
  </w:num>
  <w:num w:numId="32">
    <w:abstractNumId w:val="19"/>
  </w:num>
  <w:num w:numId="33">
    <w:abstractNumId w:val="14"/>
  </w:num>
  <w:num w:numId="34">
    <w:abstractNumId w:val="15"/>
  </w:num>
  <w:num w:numId="35">
    <w:abstractNumId w:val="9"/>
  </w:num>
  <w:num w:numId="36">
    <w:abstractNumId w:val="18"/>
  </w:num>
  <w:num w:numId="3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32"/>
    <w:rsid w:val="000159FE"/>
    <w:rsid w:val="00020627"/>
    <w:rsid w:val="00062C0F"/>
    <w:rsid w:val="000805A4"/>
    <w:rsid w:val="00097FA8"/>
    <w:rsid w:val="000A21A7"/>
    <w:rsid w:val="000A7AAF"/>
    <w:rsid w:val="000B2F9E"/>
    <w:rsid w:val="000B70C9"/>
    <w:rsid w:val="000F22BB"/>
    <w:rsid w:val="001101AC"/>
    <w:rsid w:val="00153D34"/>
    <w:rsid w:val="0017699C"/>
    <w:rsid w:val="00222137"/>
    <w:rsid w:val="00226E64"/>
    <w:rsid w:val="00233232"/>
    <w:rsid w:val="0023636C"/>
    <w:rsid w:val="00240ECE"/>
    <w:rsid w:val="0024730D"/>
    <w:rsid w:val="00281BB6"/>
    <w:rsid w:val="00282200"/>
    <w:rsid w:val="00284D14"/>
    <w:rsid w:val="00285050"/>
    <w:rsid w:val="00286307"/>
    <w:rsid w:val="002A680C"/>
    <w:rsid w:val="002C703A"/>
    <w:rsid w:val="002D1079"/>
    <w:rsid w:val="003024BD"/>
    <w:rsid w:val="00304C8B"/>
    <w:rsid w:val="00314EB6"/>
    <w:rsid w:val="003F60B6"/>
    <w:rsid w:val="00410B27"/>
    <w:rsid w:val="004119A5"/>
    <w:rsid w:val="00421D29"/>
    <w:rsid w:val="0047177A"/>
    <w:rsid w:val="00491E5F"/>
    <w:rsid w:val="004B1D54"/>
    <w:rsid w:val="004F0DBD"/>
    <w:rsid w:val="004F34DA"/>
    <w:rsid w:val="005043EB"/>
    <w:rsid w:val="005169E2"/>
    <w:rsid w:val="00574790"/>
    <w:rsid w:val="00574848"/>
    <w:rsid w:val="00580212"/>
    <w:rsid w:val="005D3CF9"/>
    <w:rsid w:val="005E03CF"/>
    <w:rsid w:val="005E25BD"/>
    <w:rsid w:val="005E410D"/>
    <w:rsid w:val="006122CE"/>
    <w:rsid w:val="00612831"/>
    <w:rsid w:val="006138D1"/>
    <w:rsid w:val="0063144C"/>
    <w:rsid w:val="0065666F"/>
    <w:rsid w:val="00677630"/>
    <w:rsid w:val="00684073"/>
    <w:rsid w:val="006A1751"/>
    <w:rsid w:val="006A7122"/>
    <w:rsid w:val="006A7F7E"/>
    <w:rsid w:val="006C16FF"/>
    <w:rsid w:val="006C5145"/>
    <w:rsid w:val="006E0828"/>
    <w:rsid w:val="00764D6A"/>
    <w:rsid w:val="00771CF8"/>
    <w:rsid w:val="00773056"/>
    <w:rsid w:val="00773468"/>
    <w:rsid w:val="007830E5"/>
    <w:rsid w:val="007A1795"/>
    <w:rsid w:val="007A6B46"/>
    <w:rsid w:val="007B07F8"/>
    <w:rsid w:val="007B2C17"/>
    <w:rsid w:val="007C20B0"/>
    <w:rsid w:val="007C358A"/>
    <w:rsid w:val="0082601D"/>
    <w:rsid w:val="0084729C"/>
    <w:rsid w:val="00855E60"/>
    <w:rsid w:val="0086768B"/>
    <w:rsid w:val="008D42D8"/>
    <w:rsid w:val="008D619B"/>
    <w:rsid w:val="0090083F"/>
    <w:rsid w:val="00912F64"/>
    <w:rsid w:val="00926E8C"/>
    <w:rsid w:val="00937DB2"/>
    <w:rsid w:val="00977175"/>
    <w:rsid w:val="009D5007"/>
    <w:rsid w:val="009F0DA9"/>
    <w:rsid w:val="009F61E2"/>
    <w:rsid w:val="00A0040E"/>
    <w:rsid w:val="00A04C2B"/>
    <w:rsid w:val="00A16E0D"/>
    <w:rsid w:val="00A872B5"/>
    <w:rsid w:val="00AB1E81"/>
    <w:rsid w:val="00AC35F5"/>
    <w:rsid w:val="00AC696D"/>
    <w:rsid w:val="00AE4237"/>
    <w:rsid w:val="00B12724"/>
    <w:rsid w:val="00B32509"/>
    <w:rsid w:val="00B54305"/>
    <w:rsid w:val="00B5740E"/>
    <w:rsid w:val="00B861B4"/>
    <w:rsid w:val="00B97E61"/>
    <w:rsid w:val="00BC1616"/>
    <w:rsid w:val="00BD664D"/>
    <w:rsid w:val="00BE1940"/>
    <w:rsid w:val="00BE561A"/>
    <w:rsid w:val="00C003C5"/>
    <w:rsid w:val="00C02519"/>
    <w:rsid w:val="00C12ACE"/>
    <w:rsid w:val="00C33358"/>
    <w:rsid w:val="00C416EC"/>
    <w:rsid w:val="00C4234E"/>
    <w:rsid w:val="00C85C62"/>
    <w:rsid w:val="00CD29E9"/>
    <w:rsid w:val="00CE14F6"/>
    <w:rsid w:val="00CF1910"/>
    <w:rsid w:val="00D17E62"/>
    <w:rsid w:val="00D47121"/>
    <w:rsid w:val="00D5760D"/>
    <w:rsid w:val="00D6626A"/>
    <w:rsid w:val="00D87560"/>
    <w:rsid w:val="00D9212B"/>
    <w:rsid w:val="00D9741F"/>
    <w:rsid w:val="00DA532D"/>
    <w:rsid w:val="00DB3D4D"/>
    <w:rsid w:val="00DB3E51"/>
    <w:rsid w:val="00DF3FD7"/>
    <w:rsid w:val="00DF6C0B"/>
    <w:rsid w:val="00E03AE0"/>
    <w:rsid w:val="00E1508F"/>
    <w:rsid w:val="00E20810"/>
    <w:rsid w:val="00E91D72"/>
    <w:rsid w:val="00EF55CC"/>
    <w:rsid w:val="00F04729"/>
    <w:rsid w:val="00F16718"/>
    <w:rsid w:val="00F45639"/>
    <w:rsid w:val="00F742B5"/>
    <w:rsid w:val="00F74FC6"/>
    <w:rsid w:val="00F76ED6"/>
    <w:rsid w:val="00FA0793"/>
    <w:rsid w:val="00FA2073"/>
    <w:rsid w:val="00FA2743"/>
    <w:rsid w:val="00FC1759"/>
    <w:rsid w:val="00FE2315"/>
    <w:rsid w:val="00FE274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5905"/>
  <w15:docId w15:val="{EB446B21-8960-4314-99D7-20D6D810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customStyle="1" w:styleId="TableParagraph">
    <w:name w:val="Table Paragraph"/>
    <w:basedOn w:val="Normal"/>
    <w:uiPriority w:val="1"/>
    <w:qFormat/>
    <w:rsid w:val="00DB3D4D"/>
    <w:pPr>
      <w:widowControl w:val="0"/>
      <w:autoSpaceDE w:val="0"/>
      <w:autoSpaceDN w:val="0"/>
      <w:spacing w:after="0" w:line="240" w:lineRule="auto"/>
    </w:pPr>
    <w:rPr>
      <w:rFonts w:ascii="Calibri" w:eastAsia="Calibri" w:hAnsi="Calibri" w:cs="Calibri"/>
      <w:lang w:eastAsia="en-AU" w:bidi="en-AU"/>
    </w:rPr>
  </w:style>
  <w:style w:type="paragraph" w:styleId="Revision">
    <w:name w:val="Revision"/>
    <w:hidden/>
    <w:uiPriority w:val="99"/>
    <w:semiHidden/>
    <w:rsid w:val="004F34DA"/>
    <w:rPr>
      <w:rFonts w:eastAsiaTheme="minorHAnsi" w:cstheme="minorBidi"/>
      <w:sz w:val="22"/>
      <w:szCs w:val="22"/>
      <w:lang w:eastAsia="en-US"/>
    </w:rPr>
  </w:style>
  <w:style w:type="table" w:styleId="TableGridLight">
    <w:name w:val="Grid Table Light"/>
    <w:basedOn w:val="TableNormal"/>
    <w:uiPriority w:val="40"/>
    <w:rsid w:val="006A71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6A712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Accent1">
    <w:name w:val="Grid Table 1 Light Accent 1"/>
    <w:basedOn w:val="TableNormal"/>
    <w:uiPriority w:val="46"/>
    <w:rsid w:val="006A712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C376D5C5-A7C3-46D3-B862-BD4717C997F4}">
  <ds:schemaRefs>
    <ds:schemaRef ds:uri="http://schemas.microsoft.com/sharepoint/events"/>
  </ds:schemaRefs>
</ds:datastoreItem>
</file>

<file path=customXml/itemProps2.xml><?xml version="1.0" encoding="utf-8"?>
<ds:datastoreItem xmlns:ds="http://schemas.openxmlformats.org/officeDocument/2006/customXml" ds:itemID="{99387724-D485-410E-8018-83F0C858CD39}"/>
</file>

<file path=customXml/itemProps3.xml><?xml version="1.0" encoding="utf-8"?>
<ds:datastoreItem xmlns:ds="http://schemas.openxmlformats.org/officeDocument/2006/customXml" ds:itemID="{9D1CAD33-3B39-4665-A5E6-666D035120E9}">
  <ds:schemaRefs>
    <ds:schemaRef ds:uri="http://schemas.microsoft.com/sharepoint/v4"/>
    <ds:schemaRef ds:uri="http://purl.org/dc/terms/"/>
    <ds:schemaRef ds:uri="344c6e69-c594-4ca4-b341-09ae9dfc142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5.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6.xml><?xml version="1.0" encoding="utf-8"?>
<ds:datastoreItem xmlns:ds="http://schemas.openxmlformats.org/officeDocument/2006/customXml" ds:itemID="{8A5415E3-2FF7-416E-AF6F-03DC037840D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3660</Words>
  <Characters>20862</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Underwater Cultural Heritage Compliance Strategy</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Underwater Cultural Heritage Compliance Strategy</dc:title>
  <dc:creator>Department of Agriculture Water and the Environment</dc:creator>
  <cp:lastModifiedBy>Bec Durack</cp:lastModifiedBy>
  <cp:revision>2</cp:revision>
  <cp:lastPrinted>1899-12-31T13:00:00Z</cp:lastPrinted>
  <dcterms:created xsi:type="dcterms:W3CDTF">2022-02-18T01:53:00Z</dcterms:created>
  <dcterms:modified xsi:type="dcterms:W3CDTF">2022-02-18T01:53:00Z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