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C4365C" w14:textId="0F4F4FD8" w:rsidR="00A97A30" w:rsidRDefault="00A97A30" w:rsidP="00A97A30">
      <w:pPr>
        <w:pStyle w:val="Heading1"/>
        <w:rPr>
          <w:rFonts w:asciiTheme="minorHAnsi" w:hAnsiTheme="minorHAnsi"/>
          <w:color w:val="auto"/>
          <w:szCs w:val="28"/>
          <w:u w:val="single"/>
          <w:lang w:val="en-US" w:eastAsia="ja-JP"/>
        </w:rPr>
      </w:pPr>
      <w:r>
        <w:rPr>
          <w:rFonts w:asciiTheme="minorHAnsi" w:hAnsiTheme="minorHAnsi"/>
          <w:color w:val="auto"/>
          <w:szCs w:val="28"/>
          <w:u w:val="single"/>
          <w:lang w:val="en-US" w:eastAsia="ja-JP"/>
        </w:rPr>
        <w:br/>
      </w:r>
      <w:bookmarkStart w:id="0" w:name="_GoBack"/>
      <w:r w:rsidRPr="00A97A30">
        <w:rPr>
          <w:rFonts w:asciiTheme="minorHAnsi" w:hAnsiTheme="minorHAnsi"/>
          <w:color w:val="auto"/>
          <w:szCs w:val="28"/>
          <w:u w:val="single"/>
          <w:lang w:val="en-US" w:eastAsia="ja-JP"/>
        </w:rPr>
        <w:t>Used Packaging Materials NEPM</w:t>
      </w:r>
      <w:r w:rsidR="00FE1F80">
        <w:rPr>
          <w:rFonts w:asciiTheme="minorHAnsi" w:hAnsiTheme="minorHAnsi"/>
          <w:color w:val="auto"/>
          <w:szCs w:val="28"/>
          <w:u w:val="single"/>
          <w:lang w:val="en-US" w:eastAsia="ja-JP"/>
        </w:rPr>
        <w:t xml:space="preserve"> – Audit Methodology</w:t>
      </w:r>
      <w:bookmarkEnd w:id="0"/>
    </w:p>
    <w:p w14:paraId="46F38B64" w14:textId="13C3CD38" w:rsidR="00FE1F80" w:rsidRDefault="00FE1F80" w:rsidP="00452497">
      <w:pPr>
        <w:spacing w:before="120" w:after="240" w:line="240" w:lineRule="auto"/>
        <w:rPr>
          <w:rFonts w:eastAsiaTheme="minorEastAsia"/>
          <w:sz w:val="24"/>
          <w:szCs w:val="24"/>
        </w:rPr>
      </w:pPr>
      <w:r>
        <w:rPr>
          <w:rFonts w:eastAsiaTheme="minorEastAsia"/>
          <w:sz w:val="24"/>
          <w:szCs w:val="24"/>
        </w:rPr>
        <w:t xml:space="preserve">The </w:t>
      </w:r>
      <w:r w:rsidR="00452497" w:rsidRPr="007315F8">
        <w:rPr>
          <w:rFonts w:eastAsiaTheme="minorEastAsia"/>
          <w:i/>
          <w:sz w:val="24"/>
          <w:szCs w:val="24"/>
        </w:rPr>
        <w:t>National Environment Protection (Used Packaging Materials) Measure 2011</w:t>
      </w:r>
      <w:r w:rsidR="00452497">
        <w:rPr>
          <w:rFonts w:eastAsiaTheme="minorEastAsia"/>
          <w:i/>
          <w:sz w:val="24"/>
          <w:szCs w:val="24"/>
        </w:rPr>
        <w:t xml:space="preserve"> </w:t>
      </w:r>
      <w:r w:rsidR="00452497">
        <w:rPr>
          <w:rFonts w:eastAsiaTheme="minorEastAsia"/>
          <w:sz w:val="24"/>
          <w:szCs w:val="24"/>
        </w:rPr>
        <w:t>(U</w:t>
      </w:r>
      <w:r>
        <w:rPr>
          <w:rFonts w:eastAsiaTheme="minorEastAsia"/>
          <w:sz w:val="24"/>
          <w:szCs w:val="24"/>
        </w:rPr>
        <w:t>sed Packaging Materials NEPM</w:t>
      </w:r>
      <w:r w:rsidR="00452497">
        <w:rPr>
          <w:rFonts w:eastAsiaTheme="minorEastAsia"/>
          <w:sz w:val="24"/>
          <w:szCs w:val="24"/>
        </w:rPr>
        <w:t>)</w:t>
      </w:r>
      <w:r>
        <w:rPr>
          <w:rFonts w:eastAsiaTheme="minorEastAsia"/>
          <w:sz w:val="24"/>
          <w:szCs w:val="24"/>
        </w:rPr>
        <w:t xml:space="preserve"> sets out the </w:t>
      </w:r>
      <w:r w:rsidRPr="00FE1F80">
        <w:rPr>
          <w:rFonts w:eastAsiaTheme="minorEastAsia"/>
          <w:sz w:val="24"/>
          <w:szCs w:val="24"/>
        </w:rPr>
        <w:t>protocols for the process to be followed to enable participating jurisdictions to assess the achievement of the desired environmental outcomes of the national environment protection measure and to report annually on progress against the goal of the national environment protection measure.</w:t>
      </w:r>
    </w:p>
    <w:p w14:paraId="57F26A18" w14:textId="505B66A8" w:rsidR="00BC3388" w:rsidRPr="00BC3388" w:rsidRDefault="00BC3388" w:rsidP="00452497">
      <w:pPr>
        <w:spacing w:before="120" w:after="240" w:line="240" w:lineRule="auto"/>
        <w:rPr>
          <w:rFonts w:eastAsiaTheme="minorEastAsia"/>
          <w:sz w:val="24"/>
          <w:szCs w:val="24"/>
        </w:rPr>
      </w:pPr>
      <w:r w:rsidRPr="00BC3388">
        <w:rPr>
          <w:rFonts w:eastAsiaTheme="minorEastAsia"/>
          <w:sz w:val="24"/>
          <w:szCs w:val="24"/>
        </w:rPr>
        <w:t xml:space="preserve">Under Clause 20 of the </w:t>
      </w:r>
      <w:r w:rsidR="00E42779" w:rsidRPr="00160AA9">
        <w:rPr>
          <w:rFonts w:eastAsiaTheme="minorEastAsia"/>
          <w:sz w:val="24"/>
          <w:szCs w:val="24"/>
        </w:rPr>
        <w:t>Used Packaging Materials NEPM</w:t>
      </w:r>
      <w:r w:rsidRPr="00BC3388">
        <w:rPr>
          <w:rFonts w:eastAsiaTheme="minorEastAsia"/>
          <w:sz w:val="24"/>
          <w:szCs w:val="24"/>
        </w:rPr>
        <w:t xml:space="preserve">, jurisdictions shall </w:t>
      </w:r>
      <w:r>
        <w:rPr>
          <w:rFonts w:eastAsiaTheme="minorEastAsia"/>
          <w:sz w:val="24"/>
          <w:szCs w:val="24"/>
        </w:rPr>
        <w:t>c</w:t>
      </w:r>
      <w:r w:rsidRPr="00BC3388">
        <w:rPr>
          <w:rFonts w:eastAsiaTheme="minorEastAsia"/>
          <w:sz w:val="24"/>
          <w:szCs w:val="24"/>
        </w:rPr>
        <w:t xml:space="preserve">arry out an audit of brand owners </w:t>
      </w:r>
      <w:r>
        <w:rPr>
          <w:rFonts w:eastAsiaTheme="minorEastAsia"/>
          <w:sz w:val="24"/>
          <w:szCs w:val="24"/>
        </w:rPr>
        <w:t>once</w:t>
      </w:r>
      <w:r w:rsidRPr="00BC3388">
        <w:rPr>
          <w:rFonts w:eastAsiaTheme="minorEastAsia"/>
          <w:sz w:val="24"/>
          <w:szCs w:val="24"/>
        </w:rPr>
        <w:t xml:space="preserve"> an audit methodology:</w:t>
      </w:r>
    </w:p>
    <w:p w14:paraId="09DD0558" w14:textId="77777777" w:rsidR="00BC3388" w:rsidRPr="00BC3388" w:rsidRDefault="00BC3388" w:rsidP="00452497">
      <w:pPr>
        <w:pStyle w:val="ListParagraph"/>
        <w:numPr>
          <w:ilvl w:val="0"/>
          <w:numId w:val="3"/>
        </w:numPr>
        <w:spacing w:before="120" w:after="240" w:line="240" w:lineRule="auto"/>
        <w:rPr>
          <w:rFonts w:eastAsiaTheme="minorEastAsia"/>
          <w:sz w:val="24"/>
          <w:szCs w:val="24"/>
        </w:rPr>
      </w:pPr>
      <w:r w:rsidRPr="00BC3388">
        <w:rPr>
          <w:rFonts w:eastAsiaTheme="minorEastAsia"/>
          <w:sz w:val="24"/>
          <w:szCs w:val="24"/>
        </w:rPr>
        <w:t>has been agreed between participating jurisdictions, and</w:t>
      </w:r>
    </w:p>
    <w:p w14:paraId="7F22C6A6" w14:textId="77777777" w:rsidR="00BC3388" w:rsidRPr="00BC3388" w:rsidRDefault="00BC3388" w:rsidP="00452497">
      <w:pPr>
        <w:pStyle w:val="ListParagraph"/>
        <w:numPr>
          <w:ilvl w:val="0"/>
          <w:numId w:val="3"/>
        </w:numPr>
        <w:spacing w:before="120" w:after="240" w:line="240" w:lineRule="auto"/>
        <w:rPr>
          <w:rFonts w:eastAsiaTheme="minorEastAsia"/>
          <w:sz w:val="24"/>
          <w:szCs w:val="24"/>
        </w:rPr>
      </w:pPr>
      <w:proofErr w:type="gramStart"/>
      <w:r w:rsidRPr="00BC3388">
        <w:rPr>
          <w:rFonts w:eastAsiaTheme="minorEastAsia"/>
          <w:sz w:val="24"/>
          <w:szCs w:val="24"/>
        </w:rPr>
        <w:t>has</w:t>
      </w:r>
      <w:proofErr w:type="gramEnd"/>
      <w:r w:rsidRPr="00BC3388">
        <w:rPr>
          <w:rFonts w:eastAsiaTheme="minorEastAsia"/>
          <w:sz w:val="24"/>
          <w:szCs w:val="24"/>
        </w:rPr>
        <w:t xml:space="preserve"> been published by the Commonwealth or participating states and territories.</w:t>
      </w:r>
    </w:p>
    <w:p w14:paraId="4F30E7E3" w14:textId="77777777" w:rsidR="00BC3388" w:rsidRPr="00BC3388" w:rsidRDefault="00BC3388" w:rsidP="00452497">
      <w:pPr>
        <w:spacing w:before="120" w:after="240" w:line="240" w:lineRule="auto"/>
        <w:rPr>
          <w:rFonts w:eastAsiaTheme="minorEastAsia"/>
          <w:sz w:val="24"/>
          <w:szCs w:val="24"/>
        </w:rPr>
      </w:pPr>
      <w:r w:rsidRPr="00BC3388">
        <w:rPr>
          <w:rFonts w:eastAsiaTheme="minorEastAsia"/>
          <w:sz w:val="24"/>
          <w:szCs w:val="24"/>
        </w:rPr>
        <w:t>The audit method that has been agreed to by participating jurisdictions is as follows:</w:t>
      </w:r>
    </w:p>
    <w:p w14:paraId="12793633" w14:textId="6BD3E9B1" w:rsidR="00BC3388" w:rsidRPr="00BC3388" w:rsidRDefault="00BC3388" w:rsidP="00452497">
      <w:pPr>
        <w:spacing w:before="120" w:after="240" w:line="240" w:lineRule="auto"/>
        <w:rPr>
          <w:rFonts w:eastAsiaTheme="minorEastAsia"/>
          <w:sz w:val="24"/>
          <w:szCs w:val="24"/>
        </w:rPr>
      </w:pPr>
      <w:r w:rsidRPr="00BC3388">
        <w:rPr>
          <w:rFonts w:eastAsiaTheme="minorEastAsia"/>
          <w:sz w:val="24"/>
          <w:szCs w:val="24"/>
        </w:rPr>
        <w:t>A brand owner must collect and retain information in accordance with state or ter</w:t>
      </w:r>
      <w:r w:rsidR="007608C5">
        <w:rPr>
          <w:rFonts w:eastAsiaTheme="minorEastAsia"/>
          <w:sz w:val="24"/>
          <w:szCs w:val="24"/>
        </w:rPr>
        <w:t xml:space="preserve">ritory requirements. </w:t>
      </w:r>
      <w:r w:rsidRPr="00BC3388">
        <w:rPr>
          <w:rFonts w:eastAsiaTheme="minorEastAsia"/>
          <w:sz w:val="24"/>
          <w:szCs w:val="24"/>
        </w:rPr>
        <w:t xml:space="preserve">Standard information requirements consistent with Clause 16 of the </w:t>
      </w:r>
      <w:r w:rsidR="00E42779" w:rsidRPr="00160AA9">
        <w:rPr>
          <w:rFonts w:eastAsiaTheme="minorEastAsia"/>
          <w:sz w:val="24"/>
          <w:szCs w:val="24"/>
        </w:rPr>
        <w:t>Used Packaging Materials NEPM</w:t>
      </w:r>
      <w:r w:rsidR="00E42779" w:rsidRPr="00BC3388">
        <w:rPr>
          <w:rFonts w:eastAsiaTheme="minorEastAsia"/>
          <w:sz w:val="24"/>
          <w:szCs w:val="24"/>
        </w:rPr>
        <w:t xml:space="preserve"> </w:t>
      </w:r>
      <w:r w:rsidRPr="00BC3388">
        <w:rPr>
          <w:rFonts w:eastAsiaTheme="minorEastAsia"/>
          <w:sz w:val="24"/>
          <w:szCs w:val="24"/>
        </w:rPr>
        <w:t xml:space="preserve">are defined as: </w:t>
      </w:r>
    </w:p>
    <w:p w14:paraId="4F20F6E7"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weight of material used by material type;</w:t>
      </w:r>
    </w:p>
    <w:p w14:paraId="3EACD47C"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number of units of packaging by unit and material type;</w:t>
      </w:r>
    </w:p>
    <w:p w14:paraId="0760675A"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weight of material recovered by material type;</w:t>
      </w:r>
    </w:p>
    <w:p w14:paraId="1869940E"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weight of recovered material re -used and recycled in Australia by material type;</w:t>
      </w:r>
    </w:p>
    <w:p w14:paraId="2561A4F2"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weight of recovered material re-used and recycled by material type through export;</w:t>
      </w:r>
    </w:p>
    <w:p w14:paraId="2E0192CF"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kilojoules of embedded energy recovered;</w:t>
      </w:r>
    </w:p>
    <w:p w14:paraId="0D69E033"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total weight of recovered material disposed of to landfill;</w:t>
      </w:r>
    </w:p>
    <w:p w14:paraId="31CAC591"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how consumers have been advised as to how packaging is to be recovered;</w:t>
      </w:r>
    </w:p>
    <w:p w14:paraId="4B0A18A0" w14:textId="77777777" w:rsidR="00BC3388" w:rsidRPr="00BC3388" w:rsidRDefault="00BC3388" w:rsidP="00452497">
      <w:pPr>
        <w:pStyle w:val="Body"/>
        <w:numPr>
          <w:ilvl w:val="0"/>
          <w:numId w:val="1"/>
        </w:numPr>
        <w:spacing w:before="120"/>
        <w:jc w:val="both"/>
        <w:rPr>
          <w:rFonts w:asciiTheme="minorHAnsi" w:hAnsiTheme="minorHAnsi"/>
          <w:sz w:val="24"/>
          <w:szCs w:val="24"/>
          <w:lang w:val="en-AU"/>
        </w:rPr>
      </w:pPr>
      <w:r w:rsidRPr="00BC3388">
        <w:rPr>
          <w:rFonts w:asciiTheme="minorHAnsi" w:hAnsiTheme="minorHAnsi"/>
          <w:sz w:val="24"/>
          <w:szCs w:val="24"/>
          <w:lang w:val="en-AU"/>
        </w:rPr>
        <w:t>demonstration of a recovery rate using the information in parts a) to g) by the formula</w:t>
      </w:r>
    </w:p>
    <w:p w14:paraId="5D5FA0DE" w14:textId="77777777" w:rsidR="00BC3388" w:rsidRPr="00BC3388" w:rsidRDefault="00BC3388" w:rsidP="00BC3388">
      <w:pPr>
        <w:pStyle w:val="Body"/>
        <w:jc w:val="both"/>
        <w:rPr>
          <w:rFonts w:asciiTheme="minorHAnsi" w:hAnsiTheme="minorHAnsi"/>
          <w:sz w:val="20"/>
          <w:szCs w:val="20"/>
          <w:lang w:val="en-AU"/>
        </w:rPr>
      </w:pPr>
      <m:oMathPara>
        <m:oMath>
          <m:r>
            <w:rPr>
              <w:rFonts w:ascii="Cambria Math" w:hAnsi="Cambria Math"/>
              <w:sz w:val="20"/>
              <w:szCs w:val="20"/>
              <w:lang w:val="en-AU"/>
            </w:rPr>
            <m:t xml:space="preserve"> (weight of material recovered from the post consumer waste stream)/(weight of material sold as packaing in Australia) x 100</m:t>
          </m:r>
        </m:oMath>
      </m:oMathPara>
    </w:p>
    <w:p w14:paraId="38AB5052" w14:textId="77777777" w:rsidR="00BC3388" w:rsidRPr="00BC3388" w:rsidRDefault="00BC3388" w:rsidP="00BC3388">
      <w:pPr>
        <w:pStyle w:val="Body"/>
        <w:jc w:val="both"/>
        <w:rPr>
          <w:rFonts w:asciiTheme="minorHAnsi" w:hAnsiTheme="minorHAnsi"/>
          <w:sz w:val="24"/>
          <w:szCs w:val="24"/>
          <w:lang w:val="en-AU"/>
        </w:rPr>
      </w:pPr>
      <w:r w:rsidRPr="00BC3388">
        <w:rPr>
          <w:rFonts w:asciiTheme="minorHAnsi" w:hAnsiTheme="minorHAnsi"/>
          <w:sz w:val="24"/>
          <w:szCs w:val="24"/>
          <w:lang w:val="en-AU"/>
        </w:rPr>
        <w:t>________________________________________________________________________________________________________</w:t>
      </w:r>
    </w:p>
    <w:p w14:paraId="1F35344E" w14:textId="3D86E325" w:rsidR="00BC3388" w:rsidRPr="00BC3388" w:rsidRDefault="00BC3388" w:rsidP="00BC3388">
      <w:pPr>
        <w:pStyle w:val="Body"/>
        <w:jc w:val="both"/>
        <w:rPr>
          <w:rFonts w:asciiTheme="minorHAnsi" w:hAnsiTheme="minorHAnsi"/>
          <w:sz w:val="20"/>
          <w:szCs w:val="20"/>
          <w:lang w:val="en-AU"/>
        </w:rPr>
      </w:pPr>
      <w:r w:rsidRPr="00BC3388">
        <w:rPr>
          <w:rFonts w:asciiTheme="minorHAnsi" w:hAnsiTheme="minorHAnsi"/>
          <w:sz w:val="20"/>
          <w:szCs w:val="20"/>
          <w:lang w:val="en-AU"/>
        </w:rPr>
        <w:t>Jurisdictions may use this information to establish that the recovery rate meets the criteria set out within their own polic</w:t>
      </w:r>
      <w:r w:rsidR="00AF739B">
        <w:rPr>
          <w:rFonts w:asciiTheme="minorHAnsi" w:hAnsiTheme="minorHAnsi"/>
          <w:sz w:val="20"/>
          <w:szCs w:val="20"/>
          <w:lang w:val="en-AU"/>
        </w:rPr>
        <w:t>i</w:t>
      </w:r>
      <w:r w:rsidRPr="00BC3388">
        <w:rPr>
          <w:rFonts w:asciiTheme="minorHAnsi" w:hAnsiTheme="minorHAnsi"/>
          <w:sz w:val="20"/>
          <w:szCs w:val="20"/>
          <w:lang w:val="en-AU"/>
        </w:rPr>
        <w:t xml:space="preserve">es. </w:t>
      </w:r>
      <w:r>
        <w:rPr>
          <w:rFonts w:asciiTheme="minorHAnsi" w:hAnsiTheme="minorHAnsi"/>
          <w:sz w:val="20"/>
          <w:szCs w:val="20"/>
          <w:lang w:val="en-AU"/>
        </w:rPr>
        <w:t xml:space="preserve">As </w:t>
      </w:r>
      <w:r w:rsidRPr="00BC3388">
        <w:rPr>
          <w:rFonts w:asciiTheme="minorHAnsi" w:hAnsiTheme="minorHAnsi"/>
          <w:sz w:val="20"/>
          <w:szCs w:val="20"/>
          <w:lang w:val="en-AU"/>
        </w:rPr>
        <w:t xml:space="preserve">this target recovery rate </w:t>
      </w:r>
      <w:r>
        <w:rPr>
          <w:rFonts w:asciiTheme="minorHAnsi" w:hAnsiTheme="minorHAnsi"/>
          <w:sz w:val="20"/>
          <w:szCs w:val="20"/>
          <w:lang w:val="en-AU"/>
        </w:rPr>
        <w:t xml:space="preserve">is set by individual states and territories, it </w:t>
      </w:r>
      <w:r w:rsidRPr="00BC3388">
        <w:rPr>
          <w:rFonts w:asciiTheme="minorHAnsi" w:hAnsiTheme="minorHAnsi"/>
          <w:sz w:val="20"/>
          <w:szCs w:val="20"/>
          <w:lang w:val="en-AU"/>
        </w:rPr>
        <w:t>cannot form part of the national methodology.</w:t>
      </w:r>
    </w:p>
    <w:p w14:paraId="572457FF" w14:textId="77777777" w:rsidR="00BC3388" w:rsidRPr="00BC3388" w:rsidRDefault="00BC3388" w:rsidP="00BC3388">
      <w:pPr>
        <w:pStyle w:val="Body"/>
        <w:rPr>
          <w:rFonts w:asciiTheme="minorHAnsi" w:hAnsiTheme="minorHAnsi"/>
          <w:sz w:val="20"/>
          <w:szCs w:val="20"/>
        </w:rPr>
      </w:pPr>
      <w:r w:rsidRPr="00BC3388">
        <w:rPr>
          <w:rFonts w:asciiTheme="minorHAnsi" w:hAnsiTheme="minorHAnsi"/>
          <w:sz w:val="20"/>
          <w:szCs w:val="20"/>
        </w:rPr>
        <w:t>Jurisdictions may request from the brand owner,</w:t>
      </w:r>
      <w:r w:rsidRPr="00BC3388" w:rsidDel="00F97929">
        <w:rPr>
          <w:rFonts w:asciiTheme="minorHAnsi" w:hAnsiTheme="minorHAnsi"/>
          <w:sz w:val="20"/>
          <w:szCs w:val="20"/>
        </w:rPr>
        <w:t xml:space="preserve"> </w:t>
      </w:r>
      <w:r w:rsidRPr="00BC3388">
        <w:rPr>
          <w:rFonts w:asciiTheme="minorHAnsi" w:hAnsiTheme="minorHAnsi"/>
          <w:sz w:val="20"/>
          <w:szCs w:val="20"/>
        </w:rPr>
        <w:t>a representative sample of invoices, receipts and other original documentation that supports evidence of compliance with the NEPM.</w:t>
      </w:r>
    </w:p>
    <w:p w14:paraId="2850AC4D" w14:textId="77777777" w:rsidR="00C76CBA" w:rsidRDefault="00C76CBA"/>
    <w:sectPr w:rsidR="00C76CBA" w:rsidSect="00FE1F8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09"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5E60AA" w14:textId="77777777" w:rsidR="00B03AF0" w:rsidRDefault="00B03AF0" w:rsidP="00B03AF0">
      <w:pPr>
        <w:spacing w:after="0" w:line="240" w:lineRule="auto"/>
      </w:pPr>
      <w:r>
        <w:separator/>
      </w:r>
    </w:p>
  </w:endnote>
  <w:endnote w:type="continuationSeparator" w:id="0">
    <w:p w14:paraId="313E5D2B" w14:textId="77777777" w:rsidR="00B03AF0" w:rsidRDefault="00B03AF0" w:rsidP="00B03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Interstate-Regular">
    <w:altName w:val="Times New Roman"/>
    <w:panose1 w:val="00000000000000000000"/>
    <w:charset w:val="00"/>
    <w:family w:val="auto"/>
    <w:notTrueType/>
    <w:pitch w:val="variable"/>
    <w:sig w:usb0="00000083" w:usb1="00000000" w:usb2="00000000" w:usb3="00000000" w:csb0="00000009"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50AA8" w14:textId="77777777" w:rsidR="003D731E" w:rsidRDefault="003D73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53C4B" w14:textId="77777777" w:rsidR="003D731E" w:rsidRDefault="003D731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CF6F6" w14:textId="77777777" w:rsidR="003D731E" w:rsidRDefault="003D73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E64F13" w14:textId="77777777" w:rsidR="00B03AF0" w:rsidRDefault="00B03AF0" w:rsidP="00B03AF0">
      <w:pPr>
        <w:spacing w:after="0" w:line="240" w:lineRule="auto"/>
      </w:pPr>
      <w:r>
        <w:separator/>
      </w:r>
    </w:p>
  </w:footnote>
  <w:footnote w:type="continuationSeparator" w:id="0">
    <w:p w14:paraId="23A3F2B5" w14:textId="77777777" w:rsidR="00B03AF0" w:rsidRDefault="00B03AF0" w:rsidP="00B03A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B500F" w14:textId="77777777" w:rsidR="003D731E" w:rsidRDefault="003D731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911CF" w14:textId="51CAF006" w:rsidR="00B03AF0" w:rsidRDefault="00B03AF0">
    <w:pPr>
      <w:pStyle w:val="Header"/>
    </w:pPr>
    <w:r>
      <w:rPr>
        <w:noProof/>
        <w:lang w:eastAsia="en-AU"/>
      </w:rPr>
      <w:drawing>
        <wp:inline distT="0" distB="0" distL="0" distR="0" wp14:anchorId="7166FB68" wp14:editId="16C7ADD5">
          <wp:extent cx="3172888" cy="540000"/>
          <wp:effectExtent l="19050" t="0" r="8462" b="0"/>
          <wp:docPr id="7" name="Picture 7" descr="H:\intranet tasks\templates\Word Templates\Dept the Environment in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ntranet tasks\templates\Word Templates\Dept the Environment inline.png"/>
                  <pic:cNvPicPr>
                    <a:picLocks noChangeAspect="1" noChangeArrowheads="1"/>
                  </pic:cNvPicPr>
                </pic:nvPicPr>
                <pic:blipFill>
                  <a:blip r:embed="rId1"/>
                  <a:stretch>
                    <a:fillRect/>
                  </a:stretch>
                </pic:blipFill>
                <pic:spPr bwMode="auto">
                  <a:xfrm>
                    <a:off x="0" y="0"/>
                    <a:ext cx="3172888" cy="5400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B143B" w14:textId="77777777" w:rsidR="003D731E" w:rsidRDefault="003D731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D5D93"/>
    <w:multiLevelType w:val="hybridMultilevel"/>
    <w:tmpl w:val="F68291A8"/>
    <w:lvl w:ilvl="0" w:tplc="C61839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AB03B85"/>
    <w:multiLevelType w:val="hybridMultilevel"/>
    <w:tmpl w:val="5818FE7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440A7520"/>
    <w:multiLevelType w:val="hybridMultilevel"/>
    <w:tmpl w:val="4504F9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124AAB"/>
    <w:multiLevelType w:val="hybridMultilevel"/>
    <w:tmpl w:val="7FE4C9FE"/>
    <w:lvl w:ilvl="0" w:tplc="8F4A9B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C522FF5"/>
    <w:multiLevelType w:val="hybridMultilevel"/>
    <w:tmpl w:val="F014DC84"/>
    <w:lvl w:ilvl="0" w:tplc="8F4A9BC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AB53BAD"/>
    <w:multiLevelType w:val="hybridMultilevel"/>
    <w:tmpl w:val="43BC0334"/>
    <w:lvl w:ilvl="0" w:tplc="C61839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388"/>
    <w:rsid w:val="00160AA9"/>
    <w:rsid w:val="003D731E"/>
    <w:rsid w:val="00452497"/>
    <w:rsid w:val="007315F8"/>
    <w:rsid w:val="007524E2"/>
    <w:rsid w:val="007608C5"/>
    <w:rsid w:val="00A97A30"/>
    <w:rsid w:val="00AF739B"/>
    <w:rsid w:val="00B03AF0"/>
    <w:rsid w:val="00BC3388"/>
    <w:rsid w:val="00C76CBA"/>
    <w:rsid w:val="00CB0ABB"/>
    <w:rsid w:val="00E42779"/>
    <w:rsid w:val="00FE1F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BE9D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BC3388"/>
    <w:pPr>
      <w:keepNext/>
      <w:keepLines/>
      <w:spacing w:before="120" w:after="120" w:line="240" w:lineRule="auto"/>
      <w:outlineLvl w:val="0"/>
    </w:pPr>
    <w:rPr>
      <w:rFonts w:ascii="Arial" w:eastAsia="MS Gothic" w:hAnsi="Arial" w:cs="Times New Roman"/>
      <w:b/>
      <w:bCs/>
      <w:color w:val="003F72"/>
      <w:sz w:val="28"/>
      <w:szCs w:val="32"/>
    </w:rPr>
  </w:style>
  <w:style w:type="paragraph" w:styleId="Heading2">
    <w:name w:val="heading 2"/>
    <w:basedOn w:val="Normal"/>
    <w:next w:val="Normal"/>
    <w:link w:val="Heading2Char"/>
    <w:qFormat/>
    <w:rsid w:val="00BC3388"/>
    <w:pPr>
      <w:widowControl w:val="0"/>
      <w:autoSpaceDE w:val="0"/>
      <w:autoSpaceDN w:val="0"/>
      <w:adjustRightInd w:val="0"/>
      <w:spacing w:after="120" w:line="240" w:lineRule="auto"/>
      <w:outlineLvl w:val="1"/>
    </w:pPr>
    <w:rPr>
      <w:rFonts w:ascii="Arial" w:eastAsia="MS Mincho" w:hAnsi="Arial" w:cs="Interstate-Regular"/>
      <w:b/>
      <w:bCs/>
      <w:color w:val="003F72"/>
      <w:sz w:val="20"/>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C3388"/>
    <w:rPr>
      <w:rFonts w:ascii="Arial" w:eastAsia="MS Gothic" w:hAnsi="Arial" w:cs="Times New Roman"/>
      <w:b/>
      <w:bCs/>
      <w:color w:val="003F72"/>
      <w:sz w:val="28"/>
      <w:szCs w:val="32"/>
    </w:rPr>
  </w:style>
  <w:style w:type="character" w:customStyle="1" w:styleId="Heading2Char">
    <w:name w:val="Heading 2 Char"/>
    <w:basedOn w:val="DefaultParagraphFont"/>
    <w:link w:val="Heading2"/>
    <w:rsid w:val="00BC3388"/>
    <w:rPr>
      <w:rFonts w:ascii="Arial" w:eastAsia="MS Mincho" w:hAnsi="Arial" w:cs="Interstate-Regular"/>
      <w:b/>
      <w:bCs/>
      <w:color w:val="003F72"/>
      <w:sz w:val="20"/>
      <w:szCs w:val="24"/>
      <w:lang w:val="en-US" w:eastAsia="ja-JP"/>
    </w:rPr>
  </w:style>
  <w:style w:type="paragraph" w:customStyle="1" w:styleId="Body">
    <w:name w:val="Body"/>
    <w:basedOn w:val="Normal"/>
    <w:rsid w:val="00BC3388"/>
    <w:pPr>
      <w:widowControl w:val="0"/>
      <w:autoSpaceDE w:val="0"/>
      <w:autoSpaceDN w:val="0"/>
      <w:adjustRightInd w:val="0"/>
      <w:spacing w:after="120" w:line="210" w:lineRule="exact"/>
    </w:pPr>
    <w:rPr>
      <w:rFonts w:ascii="Arial" w:eastAsia="MS Mincho" w:hAnsi="Arial" w:cs="Interstate-Regular"/>
      <w:color w:val="000000"/>
      <w:sz w:val="18"/>
      <w:szCs w:val="17"/>
      <w:lang w:val="en-US" w:eastAsia="ja-JP"/>
    </w:rPr>
  </w:style>
  <w:style w:type="paragraph" w:styleId="ListParagraph">
    <w:name w:val="List Paragraph"/>
    <w:basedOn w:val="Normal"/>
    <w:uiPriority w:val="34"/>
    <w:qFormat/>
    <w:rsid w:val="00BC3388"/>
    <w:pPr>
      <w:ind w:left="720"/>
      <w:contextualSpacing/>
    </w:pPr>
  </w:style>
  <w:style w:type="paragraph" w:styleId="Header">
    <w:name w:val="header"/>
    <w:basedOn w:val="Normal"/>
    <w:link w:val="HeaderChar"/>
    <w:uiPriority w:val="99"/>
    <w:unhideWhenUsed/>
    <w:rsid w:val="00B03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3AF0"/>
  </w:style>
  <w:style w:type="paragraph" w:styleId="Footer">
    <w:name w:val="footer"/>
    <w:basedOn w:val="Normal"/>
    <w:link w:val="FooterChar"/>
    <w:uiPriority w:val="99"/>
    <w:unhideWhenUsed/>
    <w:rsid w:val="00B03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3A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7009098">
      <w:bodyDiv w:val="1"/>
      <w:marLeft w:val="0"/>
      <w:marRight w:val="0"/>
      <w:marTop w:val="0"/>
      <w:marBottom w:val="0"/>
      <w:divBdr>
        <w:top w:val="none" w:sz="0" w:space="0" w:color="auto"/>
        <w:left w:val="none" w:sz="0" w:space="0" w:color="auto"/>
        <w:bottom w:val="none" w:sz="0" w:space="0" w:color="auto"/>
        <w:right w:val="none" w:sz="0" w:space="0" w:color="auto"/>
      </w:divBdr>
      <w:divsChild>
        <w:div w:id="1663046136">
          <w:marLeft w:val="0"/>
          <w:marRight w:val="0"/>
          <w:marTop w:val="0"/>
          <w:marBottom w:val="0"/>
          <w:divBdr>
            <w:top w:val="none" w:sz="0" w:space="0" w:color="auto"/>
            <w:left w:val="none" w:sz="0" w:space="0" w:color="auto"/>
            <w:bottom w:val="none" w:sz="0" w:space="0" w:color="auto"/>
            <w:right w:val="none" w:sz="0" w:space="0" w:color="auto"/>
          </w:divBdr>
          <w:divsChild>
            <w:div w:id="2140756317">
              <w:marLeft w:val="0"/>
              <w:marRight w:val="0"/>
              <w:marTop w:val="0"/>
              <w:marBottom w:val="0"/>
              <w:divBdr>
                <w:top w:val="none" w:sz="0" w:space="0" w:color="auto"/>
                <w:left w:val="none" w:sz="0" w:space="0" w:color="auto"/>
                <w:bottom w:val="none" w:sz="0" w:space="0" w:color="auto"/>
                <w:right w:val="none" w:sz="0" w:space="0" w:color="auto"/>
              </w:divBdr>
              <w:divsChild>
                <w:div w:id="233778416">
                  <w:marLeft w:val="0"/>
                  <w:marRight w:val="0"/>
                  <w:marTop w:val="0"/>
                  <w:marBottom w:val="0"/>
                  <w:divBdr>
                    <w:top w:val="none" w:sz="0" w:space="0" w:color="auto"/>
                    <w:left w:val="none" w:sz="0" w:space="0" w:color="auto"/>
                    <w:bottom w:val="none" w:sz="0" w:space="0" w:color="auto"/>
                    <w:right w:val="none" w:sz="0" w:space="0" w:color="auto"/>
                  </w:divBdr>
                  <w:divsChild>
                    <w:div w:id="1690062146">
                      <w:marLeft w:val="0"/>
                      <w:marRight w:val="0"/>
                      <w:marTop w:val="0"/>
                      <w:marBottom w:val="0"/>
                      <w:divBdr>
                        <w:top w:val="none" w:sz="0" w:space="0" w:color="auto"/>
                        <w:left w:val="none" w:sz="0" w:space="0" w:color="auto"/>
                        <w:bottom w:val="none" w:sz="0" w:space="0" w:color="auto"/>
                        <w:right w:val="none" w:sz="0" w:space="0" w:color="auto"/>
                      </w:divBdr>
                      <w:divsChild>
                        <w:div w:id="252327699">
                          <w:marLeft w:val="0"/>
                          <w:marRight w:val="0"/>
                          <w:marTop w:val="0"/>
                          <w:marBottom w:val="0"/>
                          <w:divBdr>
                            <w:top w:val="none" w:sz="0" w:space="0" w:color="auto"/>
                            <w:left w:val="none" w:sz="0" w:space="0" w:color="auto"/>
                            <w:bottom w:val="none" w:sz="0" w:space="0" w:color="auto"/>
                            <w:right w:val="none" w:sz="0" w:space="0" w:color="auto"/>
                          </w:divBdr>
                          <w:divsChild>
                            <w:div w:id="224730918">
                              <w:marLeft w:val="0"/>
                              <w:marRight w:val="0"/>
                              <w:marTop w:val="0"/>
                              <w:marBottom w:val="0"/>
                              <w:divBdr>
                                <w:top w:val="none" w:sz="0" w:space="0" w:color="auto"/>
                                <w:left w:val="none" w:sz="0" w:space="0" w:color="auto"/>
                                <w:bottom w:val="none" w:sz="0" w:space="0" w:color="auto"/>
                                <w:right w:val="none" w:sz="0" w:space="0" w:color="auto"/>
                              </w:divBdr>
                              <w:divsChild>
                                <w:div w:id="1596591432">
                                  <w:marLeft w:val="0"/>
                                  <w:marRight w:val="0"/>
                                  <w:marTop w:val="0"/>
                                  <w:marBottom w:val="0"/>
                                  <w:divBdr>
                                    <w:top w:val="none" w:sz="0" w:space="0" w:color="auto"/>
                                    <w:left w:val="none" w:sz="0" w:space="0" w:color="auto"/>
                                    <w:bottom w:val="none" w:sz="0" w:space="0" w:color="auto"/>
                                    <w:right w:val="none" w:sz="0" w:space="0" w:color="auto"/>
                                  </w:divBdr>
                                  <w:divsChild>
                                    <w:div w:id="584539025">
                                      <w:marLeft w:val="0"/>
                                      <w:marRight w:val="0"/>
                                      <w:marTop w:val="0"/>
                                      <w:marBottom w:val="0"/>
                                      <w:divBdr>
                                        <w:top w:val="none" w:sz="0" w:space="0" w:color="auto"/>
                                        <w:left w:val="none" w:sz="0" w:space="0" w:color="auto"/>
                                        <w:bottom w:val="none" w:sz="0" w:space="0" w:color="auto"/>
                                        <w:right w:val="none" w:sz="0" w:space="0" w:color="auto"/>
                                      </w:divBdr>
                                      <w:divsChild>
                                        <w:div w:id="447630512">
                                          <w:marLeft w:val="0"/>
                                          <w:marRight w:val="0"/>
                                          <w:marTop w:val="0"/>
                                          <w:marBottom w:val="0"/>
                                          <w:divBdr>
                                            <w:top w:val="none" w:sz="0" w:space="0" w:color="auto"/>
                                            <w:left w:val="none" w:sz="0" w:space="0" w:color="auto"/>
                                            <w:bottom w:val="none" w:sz="0" w:space="0" w:color="auto"/>
                                            <w:right w:val="none" w:sz="0" w:space="0" w:color="auto"/>
                                          </w:divBdr>
                                          <w:divsChild>
                                            <w:div w:id="1997033288">
                                              <w:marLeft w:val="0"/>
                                              <w:marRight w:val="0"/>
                                              <w:marTop w:val="0"/>
                                              <w:marBottom w:val="0"/>
                                              <w:divBdr>
                                                <w:top w:val="none" w:sz="0" w:space="0" w:color="auto"/>
                                                <w:left w:val="none" w:sz="0" w:space="0" w:color="auto"/>
                                                <w:bottom w:val="none" w:sz="0" w:space="0" w:color="auto"/>
                                                <w:right w:val="none" w:sz="0" w:space="0" w:color="auto"/>
                                              </w:divBdr>
                                              <w:divsChild>
                                                <w:div w:id="1645424533">
                                                  <w:marLeft w:val="0"/>
                                                  <w:marRight w:val="0"/>
                                                  <w:marTop w:val="0"/>
                                                  <w:marBottom w:val="0"/>
                                                  <w:divBdr>
                                                    <w:top w:val="none" w:sz="0" w:space="0" w:color="auto"/>
                                                    <w:left w:val="none" w:sz="0" w:space="0" w:color="auto"/>
                                                    <w:bottom w:val="none" w:sz="0" w:space="0" w:color="auto"/>
                                                    <w:right w:val="none" w:sz="0" w:space="0" w:color="auto"/>
                                                  </w:divBdr>
                                                  <w:divsChild>
                                                    <w:div w:id="9838023">
                                                      <w:marLeft w:val="0"/>
                                                      <w:marRight w:val="0"/>
                                                      <w:marTop w:val="0"/>
                                                      <w:marBottom w:val="0"/>
                                                      <w:divBdr>
                                                        <w:top w:val="none" w:sz="0" w:space="0" w:color="auto"/>
                                                        <w:left w:val="none" w:sz="0" w:space="0" w:color="auto"/>
                                                        <w:bottom w:val="none" w:sz="0" w:space="0" w:color="auto"/>
                                                        <w:right w:val="none" w:sz="0" w:space="0" w:color="auto"/>
                                                      </w:divBdr>
                                                      <w:divsChild>
                                                        <w:div w:id="44905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32241086.dotm</Template>
  <TotalTime>0</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Used Packaging Materials NEPM – Audit Methodology</vt:lpstr>
    </vt:vector>
  </TitlesOfParts>
  <Company/>
  <LinksUpToDate>false</LinksUpToDate>
  <CharactersWithSpaces>2391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Used Packaging Materials NEPM – Audit Methodology</dc:title>
  <dc:subject/>
  <dc:creator/>
  <cp:keywords/>
  <dc:description/>
  <cp:lastModifiedBy/>
  <cp:revision>1</cp:revision>
  <dcterms:created xsi:type="dcterms:W3CDTF">2018-11-23T01:16:00Z</dcterms:created>
  <dcterms:modified xsi:type="dcterms:W3CDTF">2018-11-23T01:17:00Z</dcterms:modified>
</cp:coreProperties>
</file>