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456DC" w14:textId="252B0E1D" w:rsidR="0078640C" w:rsidRPr="00BC7A12" w:rsidRDefault="00C7005B" w:rsidP="002376FF">
      <w:pPr>
        <w:pStyle w:val="TitlePageHeading"/>
        <w:jc w:val="center"/>
        <w:rPr>
          <w:rFonts w:cs="Calibri"/>
          <w:sz w:val="52"/>
          <w:szCs w:val="52"/>
        </w:rPr>
      </w:pPr>
      <w:bookmarkStart w:id="0" w:name="OLE_LINK1"/>
      <w:r w:rsidRPr="00BC7A12">
        <w:rPr>
          <w:rFonts w:cs="Calibri"/>
          <w:noProof/>
          <w:lang w:val="en-AU" w:eastAsia="en-AU"/>
        </w:rPr>
        <w:drawing>
          <wp:anchor distT="0" distB="0" distL="114300" distR="114300" simplePos="0" relativeHeight="251666432" behindDoc="1" locked="0" layoutInCell="1" allowOverlap="1" wp14:anchorId="1704269B" wp14:editId="5784C5CE">
            <wp:simplePos x="0" y="0"/>
            <wp:positionH relativeFrom="column">
              <wp:posOffset>0</wp:posOffset>
            </wp:positionH>
            <wp:positionV relativeFrom="paragraph">
              <wp:posOffset>370840</wp:posOffset>
            </wp:positionV>
            <wp:extent cx="5731510" cy="8110855"/>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10855"/>
                    </a:xfrm>
                    <a:prstGeom prst="rect">
                      <a:avLst/>
                    </a:prstGeom>
                    <a:noFill/>
                    <a:ln>
                      <a:noFill/>
                    </a:ln>
                  </pic:spPr>
                </pic:pic>
              </a:graphicData>
            </a:graphic>
            <wp14:sizeRelV relativeFrom="margin">
              <wp14:pctHeight>0</wp14:pctHeight>
            </wp14:sizeRelV>
          </wp:anchor>
        </w:drawing>
      </w:r>
      <w:r w:rsidR="00614466" w:rsidRPr="00BC7A12">
        <w:rPr>
          <w:rFonts w:cs="Calibri"/>
          <w:sz w:val="52"/>
          <w:szCs w:val="52"/>
        </w:rPr>
        <w:t>Valuation of disaster risk reduction ecosystem services</w:t>
      </w:r>
      <w:r w:rsidR="006F7CF5" w:rsidRPr="00BC7A12">
        <w:rPr>
          <w:rFonts w:cs="Calibri"/>
          <w:sz w:val="52"/>
          <w:szCs w:val="52"/>
        </w:rPr>
        <w:t xml:space="preserve"> of Australia’s coastal wetlands</w:t>
      </w:r>
      <w:r w:rsidR="00614466" w:rsidRPr="00BC7A12">
        <w:rPr>
          <w:rFonts w:cs="Calibri"/>
          <w:sz w:val="52"/>
          <w:szCs w:val="52"/>
        </w:rPr>
        <w:t xml:space="preserve">: review and recommendations </w:t>
      </w:r>
    </w:p>
    <w:p w14:paraId="15139B51" w14:textId="77777777" w:rsidR="00943DFC" w:rsidRPr="00BC7A12" w:rsidRDefault="00943DFC" w:rsidP="00454F49">
      <w:pPr>
        <w:pStyle w:val="Titlepageauthor"/>
        <w:rPr>
          <w:rFonts w:cs="Calibri"/>
        </w:rPr>
      </w:pPr>
      <w:r w:rsidRPr="00BC7A12">
        <w:rPr>
          <w:rFonts w:cs="Calibri"/>
        </w:rPr>
        <w:t>REPORT PREPARED BY IDEEA GROUP</w:t>
      </w:r>
    </w:p>
    <w:p w14:paraId="7768D3BA" w14:textId="6CC40027" w:rsidR="00581F26" w:rsidRPr="00BC7A12" w:rsidRDefault="00D02070" w:rsidP="00581F26">
      <w:pPr>
        <w:pStyle w:val="Titlepagedate"/>
        <w:rPr>
          <w:rFonts w:cs="Calibri"/>
        </w:rPr>
      </w:pPr>
      <w:r w:rsidRPr="00BC7A12">
        <w:rPr>
          <w:rFonts w:cs="Calibri"/>
        </w:rPr>
        <w:t>14 July</w:t>
      </w:r>
      <w:r w:rsidR="00386EA1" w:rsidRPr="00BC7A12">
        <w:rPr>
          <w:rFonts w:cs="Calibri"/>
        </w:rPr>
        <w:t xml:space="preserve"> 2020 </w:t>
      </w:r>
      <w:bookmarkEnd w:id="0"/>
      <w:r w:rsidR="00581F26" w:rsidRPr="00BC7A12">
        <w:rPr>
          <w:rFonts w:cs="Calibri"/>
        </w:rPr>
        <w:br w:type="page"/>
      </w:r>
    </w:p>
    <w:p w14:paraId="5A2653DB" w14:textId="77777777" w:rsidR="00A5568A" w:rsidRPr="00BC7A12" w:rsidRDefault="00A5568A" w:rsidP="009D41C0">
      <w:pPr>
        <w:rPr>
          <w:rFonts w:cs="Calibri"/>
        </w:rPr>
      </w:pPr>
    </w:p>
    <w:p w14:paraId="1DA4EB16" w14:textId="41AE4DC6" w:rsidR="0078640C" w:rsidRPr="00BC7A12" w:rsidRDefault="0078640C" w:rsidP="009D41C0">
      <w:pPr>
        <w:rPr>
          <w:rFonts w:cs="Calibri"/>
        </w:rPr>
      </w:pPr>
      <w:r w:rsidRPr="00BC7A12">
        <w:rPr>
          <w:rFonts w:cs="Calibri"/>
        </w:rPr>
        <w:t xml:space="preserve">Prepared for </w:t>
      </w:r>
      <w:r w:rsidR="00F5095D" w:rsidRPr="00BC7A12">
        <w:rPr>
          <w:rFonts w:cs="Calibri"/>
        </w:rPr>
        <w:t xml:space="preserve">Department of Agriculture, </w:t>
      </w:r>
      <w:proofErr w:type="gramStart"/>
      <w:r w:rsidR="00F5095D" w:rsidRPr="00BC7A12">
        <w:rPr>
          <w:rFonts w:cs="Calibri"/>
        </w:rPr>
        <w:t>Water</w:t>
      </w:r>
      <w:proofErr w:type="gramEnd"/>
      <w:r w:rsidR="00F5095D" w:rsidRPr="00BC7A12">
        <w:rPr>
          <w:rFonts w:cs="Calibri"/>
        </w:rPr>
        <w:t xml:space="preserve"> and the Environment (DAWE)</w:t>
      </w:r>
    </w:p>
    <w:p w14:paraId="56EA836A" w14:textId="3CDE1947" w:rsidR="008415F9" w:rsidRPr="00BC7A12" w:rsidRDefault="008415F9" w:rsidP="009D41C0">
      <w:pPr>
        <w:rPr>
          <w:rFonts w:cs="Calibri"/>
        </w:rPr>
      </w:pPr>
      <w:bookmarkStart w:id="1" w:name="_Hlk43812467"/>
      <w:r w:rsidRPr="00BC7A12">
        <w:rPr>
          <w:rFonts w:cs="Calibri"/>
        </w:rPr>
        <w:t>Reference ID: 3600004198</w:t>
      </w:r>
    </w:p>
    <w:bookmarkEnd w:id="1"/>
    <w:p w14:paraId="5ADB69C8" w14:textId="65A85C06" w:rsidR="0078640C" w:rsidRPr="00BC7A12" w:rsidRDefault="0078640C" w:rsidP="009D41C0">
      <w:pPr>
        <w:rPr>
          <w:rFonts w:cs="Calibri"/>
        </w:rPr>
      </w:pPr>
      <w:r w:rsidRPr="00BC7A12">
        <w:rPr>
          <w:rFonts w:cs="Calibri"/>
        </w:rPr>
        <w:t xml:space="preserve">Date </w:t>
      </w:r>
      <w:r w:rsidR="00513E47" w:rsidRPr="00BC7A12">
        <w:rPr>
          <w:rFonts w:cs="Calibri"/>
        </w:rPr>
        <w:t>14 July</w:t>
      </w:r>
      <w:r w:rsidR="003C209B" w:rsidRPr="00BC7A12">
        <w:rPr>
          <w:rFonts w:cs="Calibri"/>
        </w:rPr>
        <w:t xml:space="preserve"> 202</w:t>
      </w:r>
      <w:r w:rsidR="00A5568A" w:rsidRPr="00BC7A12">
        <w:rPr>
          <w:rFonts w:cs="Calibri"/>
        </w:rPr>
        <w:t>0</w:t>
      </w:r>
      <w:r w:rsidR="003C209B" w:rsidRPr="00BC7A12">
        <w:rPr>
          <w:rFonts w:cs="Calibri"/>
        </w:rPr>
        <w:t xml:space="preserve"> </w:t>
      </w:r>
    </w:p>
    <w:p w14:paraId="7FE0C694" w14:textId="652D10C0" w:rsidR="0078640C" w:rsidRPr="00BC7A12" w:rsidRDefault="0078640C" w:rsidP="009D41C0">
      <w:pPr>
        <w:rPr>
          <w:rFonts w:cs="Calibri"/>
        </w:rPr>
      </w:pPr>
    </w:p>
    <w:p w14:paraId="0CE8944F" w14:textId="77777777" w:rsidR="00A5568A" w:rsidRPr="00BC7A12" w:rsidRDefault="00A5568A" w:rsidP="009D41C0">
      <w:pPr>
        <w:rPr>
          <w:rFonts w:cs="Calibri"/>
        </w:rPr>
      </w:pPr>
    </w:p>
    <w:p w14:paraId="6D2F228F" w14:textId="77777777" w:rsidR="0078640C" w:rsidRPr="00BC7A12" w:rsidRDefault="0078640C" w:rsidP="009D41C0">
      <w:pPr>
        <w:rPr>
          <w:rFonts w:cs="Calibri"/>
        </w:rPr>
      </w:pPr>
      <w:r w:rsidRPr="00BC7A12">
        <w:rPr>
          <w:rFonts w:cs="Calibri"/>
        </w:rPr>
        <w:t>Institute for the Development of Environmental-Economic Accounting (IDEEA Group)</w:t>
      </w:r>
    </w:p>
    <w:p w14:paraId="444DBF76" w14:textId="77777777" w:rsidR="0078640C" w:rsidRPr="00BC7A12" w:rsidRDefault="0078640C" w:rsidP="009D41C0">
      <w:pPr>
        <w:rPr>
          <w:rFonts w:cs="Calibri"/>
        </w:rPr>
      </w:pPr>
      <w:r w:rsidRPr="00BC7A12">
        <w:rPr>
          <w:rFonts w:cs="Calibri"/>
        </w:rPr>
        <w:t>ABN 22 608 437 056</w:t>
      </w:r>
    </w:p>
    <w:p w14:paraId="75B6E0EA" w14:textId="687475D3" w:rsidR="0078640C" w:rsidRPr="00BC7A12" w:rsidRDefault="00535A67" w:rsidP="009D41C0">
      <w:pPr>
        <w:rPr>
          <w:rFonts w:cs="Calibri"/>
        </w:rPr>
      </w:pPr>
      <w:hyperlink r:id="rId14" w:history="1">
        <w:r w:rsidR="0078640C" w:rsidRPr="00BC7A12">
          <w:rPr>
            <w:rStyle w:val="Hyperlink"/>
            <w:rFonts w:cs="Calibri"/>
          </w:rPr>
          <w:t>support@ideeagroup.com</w:t>
        </w:r>
      </w:hyperlink>
      <w:r w:rsidR="0078640C" w:rsidRPr="00BC7A12">
        <w:rPr>
          <w:rFonts w:cs="Calibri"/>
        </w:rPr>
        <w:t xml:space="preserve"> </w:t>
      </w:r>
    </w:p>
    <w:p w14:paraId="03DF630D" w14:textId="56D91FEE" w:rsidR="0078640C" w:rsidRPr="00BC7A12" w:rsidRDefault="00535A67" w:rsidP="009D41C0">
      <w:pPr>
        <w:rPr>
          <w:rFonts w:cs="Calibri"/>
        </w:rPr>
      </w:pPr>
      <w:hyperlink r:id="rId15" w:history="1">
        <w:r w:rsidR="0078640C" w:rsidRPr="00BC7A12">
          <w:rPr>
            <w:rStyle w:val="Hyperlink"/>
            <w:rFonts w:cs="Calibri"/>
          </w:rPr>
          <w:t>www.ideeagroup.com</w:t>
        </w:r>
      </w:hyperlink>
      <w:r w:rsidR="0078640C" w:rsidRPr="00BC7A12">
        <w:rPr>
          <w:rFonts w:cs="Calibri"/>
        </w:rPr>
        <w:t xml:space="preserve"> </w:t>
      </w:r>
    </w:p>
    <w:p w14:paraId="2BE7AEE2" w14:textId="51FC3FC6" w:rsidR="0078640C" w:rsidRPr="00BC7A12" w:rsidRDefault="0078640C" w:rsidP="009D41C0">
      <w:pPr>
        <w:rPr>
          <w:rFonts w:cs="Calibri"/>
        </w:rPr>
      </w:pPr>
    </w:p>
    <w:p w14:paraId="55277129" w14:textId="77777777" w:rsidR="00A5568A" w:rsidRPr="00BC7A12" w:rsidRDefault="00A5568A" w:rsidP="009D41C0">
      <w:pPr>
        <w:rPr>
          <w:rFonts w:cs="Calibri"/>
        </w:rPr>
      </w:pPr>
    </w:p>
    <w:p w14:paraId="722CE0AD" w14:textId="77777777" w:rsidR="0078640C" w:rsidRPr="00BC7A12" w:rsidRDefault="0078640C" w:rsidP="009D41C0">
      <w:pPr>
        <w:rPr>
          <w:rFonts w:cs="Calibri"/>
        </w:rPr>
      </w:pPr>
    </w:p>
    <w:p w14:paraId="3EB43F1D" w14:textId="77777777" w:rsidR="0078640C" w:rsidRPr="00BC7A12" w:rsidRDefault="0078640C" w:rsidP="009D41C0">
      <w:pPr>
        <w:rPr>
          <w:rFonts w:cs="Calibri"/>
        </w:rPr>
      </w:pPr>
      <w:r w:rsidRPr="00BC7A12">
        <w:rPr>
          <w:rFonts w:cs="Calibri"/>
        </w:rPr>
        <w:t>Authors</w:t>
      </w:r>
    </w:p>
    <w:p w14:paraId="23E61587" w14:textId="1D1581B5" w:rsidR="0078640C" w:rsidRPr="00BC7A12" w:rsidRDefault="003C209B" w:rsidP="009D41C0">
      <w:pPr>
        <w:rPr>
          <w:rFonts w:cs="Calibri"/>
        </w:rPr>
      </w:pPr>
      <w:r w:rsidRPr="00BC7A12">
        <w:rPr>
          <w:rFonts w:cs="Calibri"/>
        </w:rPr>
        <w:t xml:space="preserve">John Finisdore, Dr. Nathan Waltham, </w:t>
      </w:r>
      <w:r w:rsidR="001E6578" w:rsidRPr="00BC7A12">
        <w:rPr>
          <w:rFonts w:cs="Calibri"/>
        </w:rPr>
        <w:t xml:space="preserve">Carl Obst, </w:t>
      </w:r>
      <w:r w:rsidRPr="00BC7A12">
        <w:rPr>
          <w:rFonts w:cs="Calibri"/>
        </w:rPr>
        <w:t>Ben Chipperfield</w:t>
      </w:r>
      <w:r w:rsidR="001E6578" w:rsidRPr="00BC7A12">
        <w:rPr>
          <w:rFonts w:cs="Calibri"/>
        </w:rPr>
        <w:t xml:space="preserve">, Reiss </w:t>
      </w:r>
      <w:proofErr w:type="spellStart"/>
      <w:r w:rsidR="001E6578" w:rsidRPr="00BC7A12">
        <w:rPr>
          <w:rFonts w:cs="Calibri"/>
        </w:rPr>
        <w:t>Mcleod</w:t>
      </w:r>
      <w:proofErr w:type="spellEnd"/>
      <w:r w:rsidR="001E6578" w:rsidRPr="00BC7A12">
        <w:rPr>
          <w:rFonts w:cs="Calibri"/>
        </w:rPr>
        <w:t>,</w:t>
      </w:r>
      <w:r w:rsidR="00E474C3" w:rsidRPr="00BC7A12">
        <w:rPr>
          <w:rFonts w:cs="Calibri"/>
        </w:rPr>
        <w:t xml:space="preserve"> and </w:t>
      </w:r>
      <w:r w:rsidR="00CC1246" w:rsidRPr="00BC7A12">
        <w:rPr>
          <w:rFonts w:cs="Calibri"/>
        </w:rPr>
        <w:t xml:space="preserve">Mark </w:t>
      </w:r>
      <w:proofErr w:type="spellStart"/>
      <w:r w:rsidR="00CC1246" w:rsidRPr="00BC7A12">
        <w:rPr>
          <w:rFonts w:cs="Calibri"/>
        </w:rPr>
        <w:t>Eigenraam</w:t>
      </w:r>
      <w:proofErr w:type="spellEnd"/>
      <w:r w:rsidRPr="00BC7A12">
        <w:rPr>
          <w:rFonts w:cs="Calibri"/>
        </w:rPr>
        <w:t xml:space="preserve"> </w:t>
      </w:r>
      <w:r w:rsidR="0078640C" w:rsidRPr="00BC7A12">
        <w:rPr>
          <w:rFonts w:cs="Calibri"/>
        </w:rPr>
        <w:t xml:space="preserve"> </w:t>
      </w:r>
    </w:p>
    <w:p w14:paraId="33128CDF" w14:textId="77777777" w:rsidR="00777C01" w:rsidRPr="00BC7A12" w:rsidRDefault="00777C01" w:rsidP="00777C01">
      <w:pPr>
        <w:rPr>
          <w:rFonts w:cs="Calibri"/>
        </w:rPr>
      </w:pPr>
      <w:r w:rsidRPr="00BC7A12">
        <w:rPr>
          <w:rFonts w:cs="Calibri"/>
        </w:rPr>
        <w:t xml:space="preserve">Dr. Roel Plant of UTS provided valuable insights when reviewing this report. </w:t>
      </w:r>
    </w:p>
    <w:p w14:paraId="2D5FDF0A" w14:textId="77777777" w:rsidR="00A5568A" w:rsidRPr="00BC7A12" w:rsidRDefault="00A5568A" w:rsidP="009D41C0">
      <w:pPr>
        <w:rPr>
          <w:rFonts w:cs="Calibri"/>
        </w:rPr>
      </w:pPr>
    </w:p>
    <w:p w14:paraId="12700909" w14:textId="77777777" w:rsidR="0078640C" w:rsidRPr="00BC7A12" w:rsidRDefault="0078640C" w:rsidP="009D41C0">
      <w:pPr>
        <w:rPr>
          <w:rFonts w:cs="Calibri"/>
        </w:rPr>
      </w:pPr>
      <w:r w:rsidRPr="00BC7A12">
        <w:rPr>
          <w:rFonts w:cs="Calibri"/>
        </w:rPr>
        <w:t>Suggested citation</w:t>
      </w:r>
    </w:p>
    <w:p w14:paraId="73089F9C" w14:textId="272BC397" w:rsidR="00A5568A" w:rsidRPr="00BC7A12" w:rsidRDefault="0078640C" w:rsidP="009D41C0">
      <w:pPr>
        <w:rPr>
          <w:rFonts w:cs="Calibri"/>
        </w:rPr>
      </w:pPr>
      <w:r w:rsidRPr="00BC7A12">
        <w:rPr>
          <w:rFonts w:cs="Calibri"/>
        </w:rPr>
        <w:t>IDEEA Group (20</w:t>
      </w:r>
      <w:r w:rsidR="005643D2" w:rsidRPr="00BC7A12">
        <w:rPr>
          <w:rFonts w:cs="Calibri"/>
        </w:rPr>
        <w:t>20</w:t>
      </w:r>
      <w:r w:rsidRPr="00BC7A12">
        <w:rPr>
          <w:rFonts w:cs="Calibri"/>
        </w:rPr>
        <w:t xml:space="preserve">) </w:t>
      </w:r>
      <w:r w:rsidR="005643D2" w:rsidRPr="00BC7A12">
        <w:rPr>
          <w:rFonts w:cs="Calibri"/>
        </w:rPr>
        <w:t>Valuation of disaster risk reduction ecosystem services</w:t>
      </w:r>
      <w:r w:rsidR="00E75142" w:rsidRPr="00BC7A12">
        <w:rPr>
          <w:rFonts w:cs="Calibri"/>
        </w:rPr>
        <w:t xml:space="preserve"> of Australia’s coastal wetlands</w:t>
      </w:r>
      <w:r w:rsidR="005643D2" w:rsidRPr="00BC7A12">
        <w:rPr>
          <w:rFonts w:cs="Calibri"/>
        </w:rPr>
        <w:t>: review and recommendations.</w:t>
      </w:r>
      <w:r w:rsidRPr="00BC7A12">
        <w:rPr>
          <w:rFonts w:cs="Calibri"/>
        </w:rPr>
        <w:t xml:space="preserve"> Prepared </w:t>
      </w:r>
      <w:r w:rsidR="00F86A35" w:rsidRPr="00BC7A12">
        <w:rPr>
          <w:rFonts w:cs="Calibri"/>
        </w:rPr>
        <w:t xml:space="preserve">for the </w:t>
      </w:r>
      <w:r w:rsidRPr="00BC7A12">
        <w:rPr>
          <w:rFonts w:cs="Calibri"/>
        </w:rPr>
        <w:t>Department of</w:t>
      </w:r>
      <w:r w:rsidR="005643D2" w:rsidRPr="00BC7A12">
        <w:rPr>
          <w:rFonts w:cs="Calibri"/>
        </w:rPr>
        <w:t xml:space="preserve"> Agriculture, </w:t>
      </w:r>
      <w:proofErr w:type="gramStart"/>
      <w:r w:rsidR="005643D2" w:rsidRPr="00BC7A12">
        <w:rPr>
          <w:rFonts w:cs="Calibri"/>
        </w:rPr>
        <w:t>Water</w:t>
      </w:r>
      <w:proofErr w:type="gramEnd"/>
      <w:r w:rsidR="005643D2" w:rsidRPr="00BC7A12">
        <w:rPr>
          <w:rFonts w:cs="Calibri"/>
        </w:rPr>
        <w:t xml:space="preserve"> and the Environment </w:t>
      </w:r>
      <w:r w:rsidRPr="00BC7A12">
        <w:rPr>
          <w:rFonts w:cs="Calibri"/>
        </w:rPr>
        <w:t>(D</w:t>
      </w:r>
      <w:r w:rsidR="005643D2" w:rsidRPr="00BC7A12">
        <w:rPr>
          <w:rFonts w:cs="Calibri"/>
        </w:rPr>
        <w:t>AWE)</w:t>
      </w:r>
      <w:r w:rsidR="00027D64" w:rsidRPr="00BC7A12">
        <w:rPr>
          <w:rFonts w:cs="Calibri"/>
        </w:rPr>
        <w:t>.</w:t>
      </w:r>
      <w:r w:rsidRPr="00BC7A12">
        <w:rPr>
          <w:rFonts w:cs="Calibri"/>
        </w:rPr>
        <w:t xml:space="preserve"> </w:t>
      </w:r>
      <w:r w:rsidR="005643D2" w:rsidRPr="00BC7A12">
        <w:rPr>
          <w:rFonts w:cs="Calibri"/>
        </w:rPr>
        <w:t>Canberra</w:t>
      </w:r>
      <w:r w:rsidRPr="00BC7A12">
        <w:rPr>
          <w:rFonts w:cs="Calibri"/>
        </w:rPr>
        <w:t>, Australia</w:t>
      </w:r>
      <w:r w:rsidR="005643D2" w:rsidRPr="00BC7A12">
        <w:rPr>
          <w:rFonts w:cs="Calibri"/>
        </w:rPr>
        <w:t xml:space="preserve">. </w:t>
      </w:r>
    </w:p>
    <w:p w14:paraId="08684FE9" w14:textId="77777777" w:rsidR="003C5D00" w:rsidRPr="00BC7A12" w:rsidRDefault="003C5D00" w:rsidP="009D41C0">
      <w:pPr>
        <w:rPr>
          <w:rFonts w:cs="Calibri"/>
        </w:rPr>
      </w:pPr>
    </w:p>
    <w:p w14:paraId="091CC4C5" w14:textId="77777777" w:rsidR="0078640C" w:rsidRPr="00BC7A12" w:rsidRDefault="0078640C" w:rsidP="009D41C0">
      <w:pPr>
        <w:rPr>
          <w:rFonts w:cs="Calibri"/>
        </w:rPr>
      </w:pPr>
      <w:r w:rsidRPr="00BC7A12">
        <w:rPr>
          <w:rFonts w:cs="Calibri"/>
        </w:rPr>
        <w:t xml:space="preserve">Disclaimer </w:t>
      </w:r>
    </w:p>
    <w:p w14:paraId="54584579" w14:textId="34B8E340" w:rsidR="0078640C" w:rsidRPr="00BC7A12" w:rsidRDefault="0078640C" w:rsidP="009D41C0">
      <w:pPr>
        <w:rPr>
          <w:rFonts w:cs="Calibri"/>
        </w:rPr>
      </w:pPr>
      <w:r w:rsidRPr="00BC7A12">
        <w:rPr>
          <w:rFonts w:cs="Calibri"/>
        </w:rPr>
        <w:t xml:space="preserve">This document has been prepared in accordance with the scope of services described in the contract or agreement between IDEEA Group and the </w:t>
      </w:r>
      <w:r w:rsidR="005E2475" w:rsidRPr="00BC7A12">
        <w:rPr>
          <w:rFonts w:cs="Calibri"/>
        </w:rPr>
        <w:t xml:space="preserve">Department of Agriculture, </w:t>
      </w:r>
      <w:proofErr w:type="gramStart"/>
      <w:r w:rsidR="005E2475" w:rsidRPr="00BC7A12">
        <w:rPr>
          <w:rFonts w:cs="Calibri"/>
        </w:rPr>
        <w:t>Water</w:t>
      </w:r>
      <w:proofErr w:type="gramEnd"/>
      <w:r w:rsidR="005E2475" w:rsidRPr="00BC7A12">
        <w:rPr>
          <w:rFonts w:cs="Calibri"/>
        </w:rPr>
        <w:t xml:space="preserve"> and the Environment (</w:t>
      </w:r>
      <w:r w:rsidR="00F5095D" w:rsidRPr="00BC7A12">
        <w:rPr>
          <w:rFonts w:cs="Calibri"/>
        </w:rPr>
        <w:t>DAWE</w:t>
      </w:r>
      <w:r w:rsidR="005E2475" w:rsidRPr="00BC7A12">
        <w:rPr>
          <w:rFonts w:cs="Calibri"/>
        </w:rPr>
        <w:t>)</w:t>
      </w:r>
      <w:r w:rsidRPr="00BC7A12">
        <w:rPr>
          <w:rFonts w:cs="Calibri"/>
        </w:rPr>
        <w:t xml:space="preserve">.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contract or agreement and no greater reliance should be assumed or drawn by the </w:t>
      </w:r>
      <w:r w:rsidR="00F5095D" w:rsidRPr="00BC7A12">
        <w:rPr>
          <w:rFonts w:cs="Calibri"/>
        </w:rPr>
        <w:t>DAWE</w:t>
      </w:r>
      <w:r w:rsidRPr="00BC7A12">
        <w:rPr>
          <w:rFonts w:cs="Calibri"/>
        </w:rPr>
        <w:t xml:space="preserve">. IDEEA Group accepts no responsibility whatsoever for any loss occasioned by any person acting or refraining from action because of reliance on this document. Furthermore, the document has been prepared solely for use by </w:t>
      </w:r>
      <w:r w:rsidR="00F5095D" w:rsidRPr="00BC7A12">
        <w:rPr>
          <w:rFonts w:cs="Calibri"/>
        </w:rPr>
        <w:t>DAWE</w:t>
      </w:r>
      <w:r w:rsidR="00D22686" w:rsidRPr="00BC7A12">
        <w:rPr>
          <w:rFonts w:cs="Calibri"/>
        </w:rPr>
        <w:t xml:space="preserve">. </w:t>
      </w:r>
      <w:r w:rsidRPr="00BC7A12">
        <w:rPr>
          <w:rFonts w:cs="Calibri"/>
        </w:rPr>
        <w:t>IDEEA Group accepts no responsibility for its use by other parties.</w:t>
      </w:r>
    </w:p>
    <w:p w14:paraId="2BCFD01F" w14:textId="63491EB2" w:rsidR="00DA46F1" w:rsidRPr="00BC7A12" w:rsidRDefault="00B93903" w:rsidP="009D41C0">
      <w:pPr>
        <w:pStyle w:val="PageHeading"/>
        <w:rPr>
          <w:rFonts w:ascii="Calibri" w:hAnsi="Calibri" w:cs="Calibri"/>
        </w:rPr>
      </w:pPr>
      <w:r w:rsidRPr="00BC7A12">
        <w:rPr>
          <w:rFonts w:ascii="Calibri" w:hAnsi="Calibri" w:cs="Calibri"/>
        </w:rPr>
        <w:lastRenderedPageBreak/>
        <w:t xml:space="preserve">Contents </w:t>
      </w:r>
    </w:p>
    <w:sdt>
      <w:sdtPr>
        <w:rPr>
          <w:rFonts w:cs="Calibri"/>
        </w:rPr>
        <w:id w:val="518985557"/>
        <w:docPartObj>
          <w:docPartGallery w:val="Table of Contents"/>
          <w:docPartUnique/>
        </w:docPartObj>
      </w:sdtPr>
      <w:sdtEndPr>
        <w:rPr>
          <w:noProof/>
        </w:rPr>
      </w:sdtEndPr>
      <w:sdtContent>
        <w:p w14:paraId="340A8501" w14:textId="19BE625C" w:rsidR="000438FA" w:rsidRDefault="00DB35E5">
          <w:pPr>
            <w:pStyle w:val="TOC1"/>
            <w:tabs>
              <w:tab w:val="left" w:pos="440"/>
              <w:tab w:val="right" w:leader="dot" w:pos="9016"/>
            </w:tabs>
            <w:rPr>
              <w:rFonts w:asciiTheme="minorHAnsi" w:eastAsiaTheme="minorEastAsia" w:hAnsiTheme="minorHAnsi"/>
              <w:noProof/>
              <w:lang w:eastAsia="en-AU"/>
            </w:rPr>
          </w:pPr>
          <w:r w:rsidRPr="00BC7A12">
            <w:rPr>
              <w:rFonts w:cs="Calibri"/>
            </w:rPr>
            <w:fldChar w:fldCharType="begin"/>
          </w:r>
          <w:r w:rsidRPr="00BC7A12">
            <w:rPr>
              <w:rFonts w:cs="Calibri"/>
            </w:rPr>
            <w:instrText xml:space="preserve"> TOC \o "1-4" \h \z \u </w:instrText>
          </w:r>
          <w:r w:rsidRPr="00BC7A12">
            <w:rPr>
              <w:rFonts w:cs="Calibri"/>
            </w:rPr>
            <w:fldChar w:fldCharType="separate"/>
          </w:r>
          <w:hyperlink w:anchor="_Toc46822287" w:history="1">
            <w:r w:rsidR="000438FA" w:rsidRPr="00315CA2">
              <w:rPr>
                <w:rStyle w:val="Hyperlink"/>
                <w:rFonts w:cs="Calibri"/>
                <w:noProof/>
              </w:rPr>
              <w:t>1</w:t>
            </w:r>
            <w:r w:rsidR="000438FA">
              <w:rPr>
                <w:rFonts w:asciiTheme="minorHAnsi" w:eastAsiaTheme="minorEastAsia" w:hAnsiTheme="minorHAnsi"/>
                <w:noProof/>
                <w:lang w:eastAsia="en-AU"/>
              </w:rPr>
              <w:tab/>
            </w:r>
            <w:r w:rsidR="000438FA" w:rsidRPr="00315CA2">
              <w:rPr>
                <w:rStyle w:val="Hyperlink"/>
                <w:rFonts w:cs="Calibri"/>
                <w:noProof/>
              </w:rPr>
              <w:t>Executive summary</w:t>
            </w:r>
            <w:r w:rsidR="000438FA">
              <w:rPr>
                <w:noProof/>
                <w:webHidden/>
              </w:rPr>
              <w:tab/>
            </w:r>
            <w:r w:rsidR="000438FA">
              <w:rPr>
                <w:noProof/>
                <w:webHidden/>
              </w:rPr>
              <w:fldChar w:fldCharType="begin"/>
            </w:r>
            <w:r w:rsidR="000438FA">
              <w:rPr>
                <w:noProof/>
                <w:webHidden/>
              </w:rPr>
              <w:instrText xml:space="preserve"> PAGEREF _Toc46822287 \h </w:instrText>
            </w:r>
            <w:r w:rsidR="000438FA">
              <w:rPr>
                <w:noProof/>
                <w:webHidden/>
              </w:rPr>
            </w:r>
            <w:r w:rsidR="000438FA">
              <w:rPr>
                <w:noProof/>
                <w:webHidden/>
              </w:rPr>
              <w:fldChar w:fldCharType="separate"/>
            </w:r>
            <w:r w:rsidR="00657E34">
              <w:rPr>
                <w:noProof/>
                <w:webHidden/>
              </w:rPr>
              <w:t>6</w:t>
            </w:r>
            <w:r w:rsidR="000438FA">
              <w:rPr>
                <w:noProof/>
                <w:webHidden/>
              </w:rPr>
              <w:fldChar w:fldCharType="end"/>
            </w:r>
          </w:hyperlink>
        </w:p>
        <w:p w14:paraId="129D3A81" w14:textId="26F8D2F6" w:rsidR="000438FA" w:rsidRDefault="00535A67">
          <w:pPr>
            <w:pStyle w:val="TOC1"/>
            <w:tabs>
              <w:tab w:val="left" w:pos="440"/>
              <w:tab w:val="right" w:leader="dot" w:pos="9016"/>
            </w:tabs>
            <w:rPr>
              <w:rFonts w:asciiTheme="minorHAnsi" w:eastAsiaTheme="minorEastAsia" w:hAnsiTheme="minorHAnsi"/>
              <w:noProof/>
              <w:lang w:eastAsia="en-AU"/>
            </w:rPr>
          </w:pPr>
          <w:hyperlink w:anchor="_Toc46822288" w:history="1">
            <w:r w:rsidR="000438FA" w:rsidRPr="00315CA2">
              <w:rPr>
                <w:rStyle w:val="Hyperlink"/>
                <w:rFonts w:cs="Calibri"/>
                <w:noProof/>
              </w:rPr>
              <w:t>2</w:t>
            </w:r>
            <w:r w:rsidR="000438FA">
              <w:rPr>
                <w:rFonts w:asciiTheme="minorHAnsi" w:eastAsiaTheme="minorEastAsia" w:hAnsiTheme="minorHAnsi"/>
                <w:noProof/>
                <w:lang w:eastAsia="en-AU"/>
              </w:rPr>
              <w:tab/>
            </w:r>
            <w:r w:rsidR="000438FA" w:rsidRPr="00315CA2">
              <w:rPr>
                <w:rStyle w:val="Hyperlink"/>
                <w:rFonts w:cs="Calibri"/>
                <w:noProof/>
              </w:rPr>
              <w:t>The role of coastal wetlands</w:t>
            </w:r>
            <w:r w:rsidR="000438FA">
              <w:rPr>
                <w:noProof/>
                <w:webHidden/>
              </w:rPr>
              <w:tab/>
            </w:r>
            <w:r w:rsidR="000438FA">
              <w:rPr>
                <w:noProof/>
                <w:webHidden/>
              </w:rPr>
              <w:fldChar w:fldCharType="begin"/>
            </w:r>
            <w:r w:rsidR="000438FA">
              <w:rPr>
                <w:noProof/>
                <w:webHidden/>
              </w:rPr>
              <w:instrText xml:space="preserve"> PAGEREF _Toc46822288 \h </w:instrText>
            </w:r>
            <w:r w:rsidR="000438FA">
              <w:rPr>
                <w:noProof/>
                <w:webHidden/>
              </w:rPr>
            </w:r>
            <w:r w:rsidR="000438FA">
              <w:rPr>
                <w:noProof/>
                <w:webHidden/>
              </w:rPr>
              <w:fldChar w:fldCharType="separate"/>
            </w:r>
            <w:r w:rsidR="00657E34">
              <w:rPr>
                <w:noProof/>
                <w:webHidden/>
              </w:rPr>
              <w:t>9</w:t>
            </w:r>
            <w:r w:rsidR="000438FA">
              <w:rPr>
                <w:noProof/>
                <w:webHidden/>
              </w:rPr>
              <w:fldChar w:fldCharType="end"/>
            </w:r>
          </w:hyperlink>
        </w:p>
        <w:p w14:paraId="34DA10C0" w14:textId="5270FC94" w:rsidR="000438FA" w:rsidRDefault="00535A67">
          <w:pPr>
            <w:pStyle w:val="TOC1"/>
            <w:tabs>
              <w:tab w:val="left" w:pos="440"/>
              <w:tab w:val="right" w:leader="dot" w:pos="9016"/>
            </w:tabs>
            <w:rPr>
              <w:rFonts w:asciiTheme="minorHAnsi" w:eastAsiaTheme="minorEastAsia" w:hAnsiTheme="minorHAnsi"/>
              <w:noProof/>
              <w:lang w:eastAsia="en-AU"/>
            </w:rPr>
          </w:pPr>
          <w:hyperlink w:anchor="_Toc46822289" w:history="1">
            <w:r w:rsidR="000438FA" w:rsidRPr="00315CA2">
              <w:rPr>
                <w:rStyle w:val="Hyperlink"/>
                <w:rFonts w:cs="Calibri"/>
                <w:noProof/>
              </w:rPr>
              <w:t>3</w:t>
            </w:r>
            <w:r w:rsidR="000438FA">
              <w:rPr>
                <w:rFonts w:asciiTheme="minorHAnsi" w:eastAsiaTheme="minorEastAsia" w:hAnsiTheme="minorHAnsi"/>
                <w:noProof/>
                <w:lang w:eastAsia="en-AU"/>
              </w:rPr>
              <w:tab/>
            </w:r>
            <w:r w:rsidR="000438FA" w:rsidRPr="00315CA2">
              <w:rPr>
                <w:rStyle w:val="Hyperlink"/>
                <w:rFonts w:cs="Calibri"/>
                <w:noProof/>
              </w:rPr>
              <w:t>Scope of the report</w:t>
            </w:r>
            <w:r w:rsidR="000438FA">
              <w:rPr>
                <w:noProof/>
                <w:webHidden/>
              </w:rPr>
              <w:tab/>
            </w:r>
            <w:r w:rsidR="000438FA">
              <w:rPr>
                <w:noProof/>
                <w:webHidden/>
              </w:rPr>
              <w:fldChar w:fldCharType="begin"/>
            </w:r>
            <w:r w:rsidR="000438FA">
              <w:rPr>
                <w:noProof/>
                <w:webHidden/>
              </w:rPr>
              <w:instrText xml:space="preserve"> PAGEREF _Toc46822289 \h </w:instrText>
            </w:r>
            <w:r w:rsidR="000438FA">
              <w:rPr>
                <w:noProof/>
                <w:webHidden/>
              </w:rPr>
            </w:r>
            <w:r w:rsidR="000438FA">
              <w:rPr>
                <w:noProof/>
                <w:webHidden/>
              </w:rPr>
              <w:fldChar w:fldCharType="separate"/>
            </w:r>
            <w:r w:rsidR="00657E34">
              <w:rPr>
                <w:noProof/>
                <w:webHidden/>
              </w:rPr>
              <w:t>10</w:t>
            </w:r>
            <w:r w:rsidR="000438FA">
              <w:rPr>
                <w:noProof/>
                <w:webHidden/>
              </w:rPr>
              <w:fldChar w:fldCharType="end"/>
            </w:r>
          </w:hyperlink>
        </w:p>
        <w:p w14:paraId="2CC15DD5" w14:textId="54C8BA89"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290" w:history="1">
            <w:r w:rsidR="000438FA" w:rsidRPr="00315CA2">
              <w:rPr>
                <w:rStyle w:val="Hyperlink"/>
                <w:rFonts w:cs="Calibri"/>
                <w:noProof/>
              </w:rPr>
              <w:t>3.1</w:t>
            </w:r>
            <w:r w:rsidR="000438FA">
              <w:rPr>
                <w:rFonts w:asciiTheme="minorHAnsi" w:eastAsiaTheme="minorEastAsia" w:hAnsiTheme="minorHAnsi"/>
                <w:noProof/>
                <w:lang w:eastAsia="en-AU"/>
              </w:rPr>
              <w:tab/>
            </w:r>
            <w:r w:rsidR="000438FA" w:rsidRPr="00315CA2">
              <w:rPr>
                <w:rStyle w:val="Hyperlink"/>
                <w:rFonts w:cs="Calibri"/>
                <w:noProof/>
              </w:rPr>
              <w:t>Process</w:t>
            </w:r>
            <w:r w:rsidR="000438FA">
              <w:rPr>
                <w:noProof/>
                <w:webHidden/>
              </w:rPr>
              <w:tab/>
            </w:r>
            <w:r w:rsidR="000438FA">
              <w:rPr>
                <w:noProof/>
                <w:webHidden/>
              </w:rPr>
              <w:fldChar w:fldCharType="begin"/>
            </w:r>
            <w:r w:rsidR="000438FA">
              <w:rPr>
                <w:noProof/>
                <w:webHidden/>
              </w:rPr>
              <w:instrText xml:space="preserve"> PAGEREF _Toc46822290 \h </w:instrText>
            </w:r>
            <w:r w:rsidR="000438FA">
              <w:rPr>
                <w:noProof/>
                <w:webHidden/>
              </w:rPr>
            </w:r>
            <w:r w:rsidR="000438FA">
              <w:rPr>
                <w:noProof/>
                <w:webHidden/>
              </w:rPr>
              <w:fldChar w:fldCharType="separate"/>
            </w:r>
            <w:r w:rsidR="00657E34">
              <w:rPr>
                <w:noProof/>
                <w:webHidden/>
              </w:rPr>
              <w:t>10</w:t>
            </w:r>
            <w:r w:rsidR="000438FA">
              <w:rPr>
                <w:noProof/>
                <w:webHidden/>
              </w:rPr>
              <w:fldChar w:fldCharType="end"/>
            </w:r>
          </w:hyperlink>
        </w:p>
        <w:p w14:paraId="1139842E" w14:textId="77876BF3"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291" w:history="1">
            <w:r w:rsidR="000438FA" w:rsidRPr="00315CA2">
              <w:rPr>
                <w:rStyle w:val="Hyperlink"/>
                <w:rFonts w:cs="Calibri"/>
                <w:noProof/>
              </w:rPr>
              <w:t>3.2</w:t>
            </w:r>
            <w:r w:rsidR="000438FA">
              <w:rPr>
                <w:rFonts w:asciiTheme="minorHAnsi" w:eastAsiaTheme="minorEastAsia" w:hAnsiTheme="minorHAnsi"/>
                <w:noProof/>
                <w:lang w:eastAsia="en-AU"/>
              </w:rPr>
              <w:tab/>
            </w:r>
            <w:r w:rsidR="000438FA" w:rsidRPr="00315CA2">
              <w:rPr>
                <w:rStyle w:val="Hyperlink"/>
                <w:rFonts w:cs="Calibri"/>
                <w:noProof/>
              </w:rPr>
              <w:t>Scope</w:t>
            </w:r>
            <w:r w:rsidR="000438FA">
              <w:rPr>
                <w:noProof/>
                <w:webHidden/>
              </w:rPr>
              <w:tab/>
            </w:r>
            <w:r w:rsidR="000438FA">
              <w:rPr>
                <w:noProof/>
                <w:webHidden/>
              </w:rPr>
              <w:fldChar w:fldCharType="begin"/>
            </w:r>
            <w:r w:rsidR="000438FA">
              <w:rPr>
                <w:noProof/>
                <w:webHidden/>
              </w:rPr>
              <w:instrText xml:space="preserve"> PAGEREF _Toc46822291 \h </w:instrText>
            </w:r>
            <w:r w:rsidR="000438FA">
              <w:rPr>
                <w:noProof/>
                <w:webHidden/>
              </w:rPr>
            </w:r>
            <w:r w:rsidR="000438FA">
              <w:rPr>
                <w:noProof/>
                <w:webHidden/>
              </w:rPr>
              <w:fldChar w:fldCharType="separate"/>
            </w:r>
            <w:r w:rsidR="00657E34">
              <w:rPr>
                <w:noProof/>
                <w:webHidden/>
              </w:rPr>
              <w:t>10</w:t>
            </w:r>
            <w:r w:rsidR="000438FA">
              <w:rPr>
                <w:noProof/>
                <w:webHidden/>
              </w:rPr>
              <w:fldChar w:fldCharType="end"/>
            </w:r>
          </w:hyperlink>
        </w:p>
        <w:p w14:paraId="66909D58" w14:textId="7601D4D1"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292" w:history="1">
            <w:r w:rsidR="000438FA" w:rsidRPr="00315CA2">
              <w:rPr>
                <w:rStyle w:val="Hyperlink"/>
                <w:rFonts w:cs="Calibri"/>
                <w:noProof/>
              </w:rPr>
              <w:t>3.3</w:t>
            </w:r>
            <w:r w:rsidR="000438FA">
              <w:rPr>
                <w:rFonts w:asciiTheme="minorHAnsi" w:eastAsiaTheme="minorEastAsia" w:hAnsiTheme="minorHAnsi"/>
                <w:noProof/>
                <w:lang w:eastAsia="en-AU"/>
              </w:rPr>
              <w:tab/>
            </w:r>
            <w:r w:rsidR="000438FA" w:rsidRPr="00315CA2">
              <w:rPr>
                <w:rStyle w:val="Hyperlink"/>
                <w:rFonts w:cs="Calibri"/>
                <w:noProof/>
              </w:rPr>
              <w:t>Measurement and valuation framework</w:t>
            </w:r>
            <w:r w:rsidR="000438FA">
              <w:rPr>
                <w:noProof/>
                <w:webHidden/>
              </w:rPr>
              <w:tab/>
            </w:r>
            <w:r w:rsidR="000438FA">
              <w:rPr>
                <w:noProof/>
                <w:webHidden/>
              </w:rPr>
              <w:fldChar w:fldCharType="begin"/>
            </w:r>
            <w:r w:rsidR="000438FA">
              <w:rPr>
                <w:noProof/>
                <w:webHidden/>
              </w:rPr>
              <w:instrText xml:space="preserve"> PAGEREF _Toc46822292 \h </w:instrText>
            </w:r>
            <w:r w:rsidR="000438FA">
              <w:rPr>
                <w:noProof/>
                <w:webHidden/>
              </w:rPr>
            </w:r>
            <w:r w:rsidR="000438FA">
              <w:rPr>
                <w:noProof/>
                <w:webHidden/>
              </w:rPr>
              <w:fldChar w:fldCharType="separate"/>
            </w:r>
            <w:r w:rsidR="00657E34">
              <w:rPr>
                <w:noProof/>
                <w:webHidden/>
              </w:rPr>
              <w:t>12</w:t>
            </w:r>
            <w:r w:rsidR="000438FA">
              <w:rPr>
                <w:noProof/>
                <w:webHidden/>
              </w:rPr>
              <w:fldChar w:fldCharType="end"/>
            </w:r>
          </w:hyperlink>
        </w:p>
        <w:p w14:paraId="54F1217E" w14:textId="37E9C8BD"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293" w:history="1">
            <w:r w:rsidR="000438FA" w:rsidRPr="00315CA2">
              <w:rPr>
                <w:rStyle w:val="Hyperlink"/>
                <w:rFonts w:cs="Calibri"/>
                <w:noProof/>
              </w:rPr>
              <w:t>3.3.1</w:t>
            </w:r>
            <w:r w:rsidR="000438FA">
              <w:rPr>
                <w:rFonts w:asciiTheme="minorHAnsi" w:eastAsiaTheme="minorEastAsia" w:hAnsiTheme="minorHAnsi"/>
                <w:noProof/>
                <w:lang w:eastAsia="en-AU"/>
              </w:rPr>
              <w:tab/>
            </w:r>
            <w:r w:rsidR="000438FA" w:rsidRPr="00315CA2">
              <w:rPr>
                <w:rStyle w:val="Hyperlink"/>
                <w:rFonts w:cs="Calibri"/>
                <w:noProof/>
              </w:rPr>
              <w:t>Classification of ecosystem services and related elements</w:t>
            </w:r>
            <w:r w:rsidR="000438FA">
              <w:rPr>
                <w:noProof/>
                <w:webHidden/>
              </w:rPr>
              <w:tab/>
            </w:r>
            <w:r w:rsidR="000438FA">
              <w:rPr>
                <w:noProof/>
                <w:webHidden/>
              </w:rPr>
              <w:fldChar w:fldCharType="begin"/>
            </w:r>
            <w:r w:rsidR="000438FA">
              <w:rPr>
                <w:noProof/>
                <w:webHidden/>
              </w:rPr>
              <w:instrText xml:space="preserve"> PAGEREF _Toc46822293 \h </w:instrText>
            </w:r>
            <w:r w:rsidR="000438FA">
              <w:rPr>
                <w:noProof/>
                <w:webHidden/>
              </w:rPr>
            </w:r>
            <w:r w:rsidR="000438FA">
              <w:rPr>
                <w:noProof/>
                <w:webHidden/>
              </w:rPr>
              <w:fldChar w:fldCharType="separate"/>
            </w:r>
            <w:r w:rsidR="00657E34">
              <w:rPr>
                <w:noProof/>
                <w:webHidden/>
              </w:rPr>
              <w:t>12</w:t>
            </w:r>
            <w:r w:rsidR="000438FA">
              <w:rPr>
                <w:noProof/>
                <w:webHidden/>
              </w:rPr>
              <w:fldChar w:fldCharType="end"/>
            </w:r>
          </w:hyperlink>
        </w:p>
        <w:p w14:paraId="419EC786" w14:textId="4B0438FE"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294" w:history="1">
            <w:r w:rsidR="000438FA" w:rsidRPr="00315CA2">
              <w:rPr>
                <w:rStyle w:val="Hyperlink"/>
                <w:rFonts w:cs="Calibri"/>
                <w:noProof/>
              </w:rPr>
              <w:t>3.3.2</w:t>
            </w:r>
            <w:r w:rsidR="000438FA">
              <w:rPr>
                <w:rFonts w:asciiTheme="minorHAnsi" w:eastAsiaTheme="minorEastAsia" w:hAnsiTheme="minorHAnsi"/>
                <w:noProof/>
                <w:lang w:eastAsia="en-AU"/>
              </w:rPr>
              <w:tab/>
            </w:r>
            <w:r w:rsidR="000438FA" w:rsidRPr="00315CA2">
              <w:rPr>
                <w:rStyle w:val="Hyperlink"/>
                <w:rFonts w:cs="Calibri"/>
                <w:noProof/>
              </w:rPr>
              <w:t>Connecting measurement and valuation concepts</w:t>
            </w:r>
            <w:r w:rsidR="000438FA">
              <w:rPr>
                <w:noProof/>
                <w:webHidden/>
              </w:rPr>
              <w:tab/>
            </w:r>
            <w:r w:rsidR="000438FA">
              <w:rPr>
                <w:noProof/>
                <w:webHidden/>
              </w:rPr>
              <w:fldChar w:fldCharType="begin"/>
            </w:r>
            <w:r w:rsidR="000438FA">
              <w:rPr>
                <w:noProof/>
                <w:webHidden/>
              </w:rPr>
              <w:instrText xml:space="preserve"> PAGEREF _Toc46822294 \h </w:instrText>
            </w:r>
            <w:r w:rsidR="000438FA">
              <w:rPr>
                <w:noProof/>
                <w:webHidden/>
              </w:rPr>
            </w:r>
            <w:r w:rsidR="000438FA">
              <w:rPr>
                <w:noProof/>
                <w:webHidden/>
              </w:rPr>
              <w:fldChar w:fldCharType="separate"/>
            </w:r>
            <w:r w:rsidR="00657E34">
              <w:rPr>
                <w:noProof/>
                <w:webHidden/>
              </w:rPr>
              <w:t>13</w:t>
            </w:r>
            <w:r w:rsidR="000438FA">
              <w:rPr>
                <w:noProof/>
                <w:webHidden/>
              </w:rPr>
              <w:fldChar w:fldCharType="end"/>
            </w:r>
          </w:hyperlink>
        </w:p>
        <w:p w14:paraId="035936FA" w14:textId="5894F174"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295" w:history="1">
            <w:r w:rsidR="000438FA" w:rsidRPr="00315CA2">
              <w:rPr>
                <w:rStyle w:val="Hyperlink"/>
                <w:rFonts w:cs="Calibri"/>
                <w:noProof/>
              </w:rPr>
              <w:t>3.3.3</w:t>
            </w:r>
            <w:r w:rsidR="000438FA">
              <w:rPr>
                <w:rFonts w:asciiTheme="minorHAnsi" w:eastAsiaTheme="minorEastAsia" w:hAnsiTheme="minorHAnsi"/>
                <w:noProof/>
                <w:lang w:eastAsia="en-AU"/>
              </w:rPr>
              <w:tab/>
            </w:r>
            <w:r w:rsidR="000438FA" w:rsidRPr="00315CA2">
              <w:rPr>
                <w:rStyle w:val="Hyperlink"/>
                <w:rFonts w:cs="Calibri"/>
                <w:noProof/>
              </w:rPr>
              <w:t>Coastal wetland types</w:t>
            </w:r>
            <w:r w:rsidR="000438FA">
              <w:rPr>
                <w:noProof/>
                <w:webHidden/>
              </w:rPr>
              <w:tab/>
            </w:r>
            <w:r w:rsidR="000438FA">
              <w:rPr>
                <w:noProof/>
                <w:webHidden/>
              </w:rPr>
              <w:fldChar w:fldCharType="begin"/>
            </w:r>
            <w:r w:rsidR="000438FA">
              <w:rPr>
                <w:noProof/>
                <w:webHidden/>
              </w:rPr>
              <w:instrText xml:space="preserve"> PAGEREF _Toc46822295 \h </w:instrText>
            </w:r>
            <w:r w:rsidR="000438FA">
              <w:rPr>
                <w:noProof/>
                <w:webHidden/>
              </w:rPr>
            </w:r>
            <w:r w:rsidR="000438FA">
              <w:rPr>
                <w:noProof/>
                <w:webHidden/>
              </w:rPr>
              <w:fldChar w:fldCharType="separate"/>
            </w:r>
            <w:r w:rsidR="00657E34">
              <w:rPr>
                <w:noProof/>
                <w:webHidden/>
              </w:rPr>
              <w:t>15</w:t>
            </w:r>
            <w:r w:rsidR="000438FA">
              <w:rPr>
                <w:noProof/>
                <w:webHidden/>
              </w:rPr>
              <w:fldChar w:fldCharType="end"/>
            </w:r>
          </w:hyperlink>
        </w:p>
        <w:p w14:paraId="109EB963" w14:textId="462F7B70"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296" w:history="1">
            <w:r w:rsidR="000438FA" w:rsidRPr="00315CA2">
              <w:rPr>
                <w:rStyle w:val="Hyperlink"/>
                <w:rFonts w:cs="Calibri"/>
                <w:noProof/>
              </w:rPr>
              <w:t>3.3.4</w:t>
            </w:r>
            <w:r w:rsidR="000438FA">
              <w:rPr>
                <w:rFonts w:asciiTheme="minorHAnsi" w:eastAsiaTheme="minorEastAsia" w:hAnsiTheme="minorHAnsi"/>
                <w:noProof/>
                <w:lang w:eastAsia="en-AU"/>
              </w:rPr>
              <w:tab/>
            </w:r>
            <w:r w:rsidR="000438FA" w:rsidRPr="00315CA2">
              <w:rPr>
                <w:rStyle w:val="Hyperlink"/>
                <w:rFonts w:cs="Calibri"/>
                <w:noProof/>
              </w:rPr>
              <w:t>Other considerations</w:t>
            </w:r>
            <w:r w:rsidR="000438FA">
              <w:rPr>
                <w:noProof/>
                <w:webHidden/>
              </w:rPr>
              <w:tab/>
            </w:r>
            <w:r w:rsidR="000438FA">
              <w:rPr>
                <w:noProof/>
                <w:webHidden/>
              </w:rPr>
              <w:fldChar w:fldCharType="begin"/>
            </w:r>
            <w:r w:rsidR="000438FA">
              <w:rPr>
                <w:noProof/>
                <w:webHidden/>
              </w:rPr>
              <w:instrText xml:space="preserve"> PAGEREF _Toc46822296 \h </w:instrText>
            </w:r>
            <w:r w:rsidR="000438FA">
              <w:rPr>
                <w:noProof/>
                <w:webHidden/>
              </w:rPr>
            </w:r>
            <w:r w:rsidR="000438FA">
              <w:rPr>
                <w:noProof/>
                <w:webHidden/>
              </w:rPr>
              <w:fldChar w:fldCharType="separate"/>
            </w:r>
            <w:r w:rsidR="00657E34">
              <w:rPr>
                <w:noProof/>
                <w:webHidden/>
              </w:rPr>
              <w:t>15</w:t>
            </w:r>
            <w:r w:rsidR="000438FA">
              <w:rPr>
                <w:noProof/>
                <w:webHidden/>
              </w:rPr>
              <w:fldChar w:fldCharType="end"/>
            </w:r>
          </w:hyperlink>
        </w:p>
        <w:p w14:paraId="343AD705" w14:textId="4A43AB7D" w:rsidR="000438FA" w:rsidRDefault="00535A67">
          <w:pPr>
            <w:pStyle w:val="TOC1"/>
            <w:tabs>
              <w:tab w:val="left" w:pos="440"/>
              <w:tab w:val="right" w:leader="dot" w:pos="9016"/>
            </w:tabs>
            <w:rPr>
              <w:rFonts w:asciiTheme="minorHAnsi" w:eastAsiaTheme="minorEastAsia" w:hAnsiTheme="minorHAnsi"/>
              <w:noProof/>
              <w:lang w:eastAsia="en-AU"/>
            </w:rPr>
          </w:pPr>
          <w:hyperlink w:anchor="_Toc46822297" w:history="1">
            <w:r w:rsidR="000438FA" w:rsidRPr="00315CA2">
              <w:rPr>
                <w:rStyle w:val="Hyperlink"/>
                <w:rFonts w:cs="Calibri"/>
                <w:noProof/>
              </w:rPr>
              <w:t>4</w:t>
            </w:r>
            <w:r w:rsidR="000438FA">
              <w:rPr>
                <w:rFonts w:asciiTheme="minorHAnsi" w:eastAsiaTheme="minorEastAsia" w:hAnsiTheme="minorHAnsi"/>
                <w:noProof/>
                <w:lang w:eastAsia="en-AU"/>
              </w:rPr>
              <w:tab/>
            </w:r>
            <w:r w:rsidR="000438FA" w:rsidRPr="00315CA2">
              <w:rPr>
                <w:rStyle w:val="Hyperlink"/>
                <w:rFonts w:cs="Calibri"/>
                <w:noProof/>
              </w:rPr>
              <w:t>Global best practices</w:t>
            </w:r>
            <w:r w:rsidR="000438FA">
              <w:rPr>
                <w:noProof/>
                <w:webHidden/>
              </w:rPr>
              <w:tab/>
            </w:r>
            <w:r w:rsidR="000438FA">
              <w:rPr>
                <w:noProof/>
                <w:webHidden/>
              </w:rPr>
              <w:fldChar w:fldCharType="begin"/>
            </w:r>
            <w:r w:rsidR="000438FA">
              <w:rPr>
                <w:noProof/>
                <w:webHidden/>
              </w:rPr>
              <w:instrText xml:space="preserve"> PAGEREF _Toc46822297 \h </w:instrText>
            </w:r>
            <w:r w:rsidR="000438FA">
              <w:rPr>
                <w:noProof/>
                <w:webHidden/>
              </w:rPr>
            </w:r>
            <w:r w:rsidR="000438FA">
              <w:rPr>
                <w:noProof/>
                <w:webHidden/>
              </w:rPr>
              <w:fldChar w:fldCharType="separate"/>
            </w:r>
            <w:r w:rsidR="00657E34">
              <w:rPr>
                <w:noProof/>
                <w:webHidden/>
              </w:rPr>
              <w:t>17</w:t>
            </w:r>
            <w:r w:rsidR="000438FA">
              <w:rPr>
                <w:noProof/>
                <w:webHidden/>
              </w:rPr>
              <w:fldChar w:fldCharType="end"/>
            </w:r>
          </w:hyperlink>
        </w:p>
        <w:p w14:paraId="50579C4E" w14:textId="000AC18C"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298" w:history="1">
            <w:r w:rsidR="000438FA" w:rsidRPr="00315CA2">
              <w:rPr>
                <w:rStyle w:val="Hyperlink"/>
                <w:rFonts w:cs="Calibri"/>
                <w:noProof/>
              </w:rPr>
              <w:t>4.1</w:t>
            </w:r>
            <w:r w:rsidR="000438FA">
              <w:rPr>
                <w:rFonts w:asciiTheme="minorHAnsi" w:eastAsiaTheme="minorEastAsia" w:hAnsiTheme="minorHAnsi"/>
                <w:noProof/>
                <w:lang w:eastAsia="en-AU"/>
              </w:rPr>
              <w:tab/>
            </w:r>
            <w:r w:rsidR="000438FA" w:rsidRPr="00315CA2">
              <w:rPr>
                <w:rStyle w:val="Hyperlink"/>
                <w:rFonts w:cs="Calibri"/>
                <w:noProof/>
              </w:rPr>
              <w:t>Summary of valuation techniques</w:t>
            </w:r>
            <w:r w:rsidR="000438FA">
              <w:rPr>
                <w:noProof/>
                <w:webHidden/>
              </w:rPr>
              <w:tab/>
            </w:r>
            <w:r w:rsidR="000438FA">
              <w:rPr>
                <w:noProof/>
                <w:webHidden/>
              </w:rPr>
              <w:fldChar w:fldCharType="begin"/>
            </w:r>
            <w:r w:rsidR="000438FA">
              <w:rPr>
                <w:noProof/>
                <w:webHidden/>
              </w:rPr>
              <w:instrText xml:space="preserve"> PAGEREF _Toc46822298 \h </w:instrText>
            </w:r>
            <w:r w:rsidR="000438FA">
              <w:rPr>
                <w:noProof/>
                <w:webHidden/>
              </w:rPr>
            </w:r>
            <w:r w:rsidR="000438FA">
              <w:rPr>
                <w:noProof/>
                <w:webHidden/>
              </w:rPr>
              <w:fldChar w:fldCharType="separate"/>
            </w:r>
            <w:r w:rsidR="00657E34">
              <w:rPr>
                <w:noProof/>
                <w:webHidden/>
              </w:rPr>
              <w:t>17</w:t>
            </w:r>
            <w:r w:rsidR="000438FA">
              <w:rPr>
                <w:noProof/>
                <w:webHidden/>
              </w:rPr>
              <w:fldChar w:fldCharType="end"/>
            </w:r>
          </w:hyperlink>
        </w:p>
        <w:p w14:paraId="4C142CBC" w14:textId="6B6C52B1"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299" w:history="1">
            <w:r w:rsidR="000438FA" w:rsidRPr="00315CA2">
              <w:rPr>
                <w:rStyle w:val="Hyperlink"/>
                <w:rFonts w:cs="Calibri"/>
                <w:noProof/>
              </w:rPr>
              <w:t>4.1.1</w:t>
            </w:r>
            <w:r w:rsidR="000438FA">
              <w:rPr>
                <w:rFonts w:asciiTheme="minorHAnsi" w:eastAsiaTheme="minorEastAsia" w:hAnsiTheme="minorHAnsi"/>
                <w:noProof/>
                <w:lang w:eastAsia="en-AU"/>
              </w:rPr>
              <w:tab/>
            </w:r>
            <w:r w:rsidR="000438FA" w:rsidRPr="00315CA2">
              <w:rPr>
                <w:rStyle w:val="Hyperlink"/>
                <w:rFonts w:cs="Calibri"/>
                <w:noProof/>
              </w:rPr>
              <w:t>Production function techniques</w:t>
            </w:r>
            <w:r w:rsidR="000438FA">
              <w:rPr>
                <w:noProof/>
                <w:webHidden/>
              </w:rPr>
              <w:tab/>
            </w:r>
            <w:r w:rsidR="000438FA">
              <w:rPr>
                <w:noProof/>
                <w:webHidden/>
              </w:rPr>
              <w:fldChar w:fldCharType="begin"/>
            </w:r>
            <w:r w:rsidR="000438FA">
              <w:rPr>
                <w:noProof/>
                <w:webHidden/>
              </w:rPr>
              <w:instrText xml:space="preserve"> PAGEREF _Toc46822299 \h </w:instrText>
            </w:r>
            <w:r w:rsidR="000438FA">
              <w:rPr>
                <w:noProof/>
                <w:webHidden/>
              </w:rPr>
            </w:r>
            <w:r w:rsidR="000438FA">
              <w:rPr>
                <w:noProof/>
                <w:webHidden/>
              </w:rPr>
              <w:fldChar w:fldCharType="separate"/>
            </w:r>
            <w:r w:rsidR="00657E34">
              <w:rPr>
                <w:noProof/>
                <w:webHidden/>
              </w:rPr>
              <w:t>18</w:t>
            </w:r>
            <w:r w:rsidR="000438FA">
              <w:rPr>
                <w:noProof/>
                <w:webHidden/>
              </w:rPr>
              <w:fldChar w:fldCharType="end"/>
            </w:r>
          </w:hyperlink>
        </w:p>
        <w:p w14:paraId="3D04FE51" w14:textId="5471FC8F"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300" w:history="1">
            <w:r w:rsidR="000438FA" w:rsidRPr="00315CA2">
              <w:rPr>
                <w:rStyle w:val="Hyperlink"/>
                <w:rFonts w:cs="Calibri"/>
                <w:noProof/>
              </w:rPr>
              <w:t>4.1.2</w:t>
            </w:r>
            <w:r w:rsidR="000438FA">
              <w:rPr>
                <w:rFonts w:asciiTheme="minorHAnsi" w:eastAsiaTheme="minorEastAsia" w:hAnsiTheme="minorHAnsi"/>
                <w:noProof/>
                <w:lang w:eastAsia="en-AU"/>
              </w:rPr>
              <w:tab/>
            </w:r>
            <w:r w:rsidR="000438FA" w:rsidRPr="00315CA2">
              <w:rPr>
                <w:rStyle w:val="Hyperlink"/>
                <w:rFonts w:cs="Calibri"/>
                <w:noProof/>
              </w:rPr>
              <w:t>Cost based techniques</w:t>
            </w:r>
            <w:r w:rsidR="000438FA">
              <w:rPr>
                <w:noProof/>
                <w:webHidden/>
              </w:rPr>
              <w:tab/>
            </w:r>
            <w:r w:rsidR="000438FA">
              <w:rPr>
                <w:noProof/>
                <w:webHidden/>
              </w:rPr>
              <w:fldChar w:fldCharType="begin"/>
            </w:r>
            <w:r w:rsidR="000438FA">
              <w:rPr>
                <w:noProof/>
                <w:webHidden/>
              </w:rPr>
              <w:instrText xml:space="preserve"> PAGEREF _Toc46822300 \h </w:instrText>
            </w:r>
            <w:r w:rsidR="000438FA">
              <w:rPr>
                <w:noProof/>
                <w:webHidden/>
              </w:rPr>
            </w:r>
            <w:r w:rsidR="000438FA">
              <w:rPr>
                <w:noProof/>
                <w:webHidden/>
              </w:rPr>
              <w:fldChar w:fldCharType="separate"/>
            </w:r>
            <w:r w:rsidR="00657E34">
              <w:rPr>
                <w:noProof/>
                <w:webHidden/>
              </w:rPr>
              <w:t>18</w:t>
            </w:r>
            <w:r w:rsidR="000438FA">
              <w:rPr>
                <w:noProof/>
                <w:webHidden/>
              </w:rPr>
              <w:fldChar w:fldCharType="end"/>
            </w:r>
          </w:hyperlink>
        </w:p>
        <w:p w14:paraId="039D30FC" w14:textId="065796B0" w:rsidR="000438FA" w:rsidRDefault="00535A67">
          <w:pPr>
            <w:pStyle w:val="TOC4"/>
            <w:tabs>
              <w:tab w:val="right" w:leader="dot" w:pos="9016"/>
            </w:tabs>
            <w:rPr>
              <w:rFonts w:asciiTheme="minorHAnsi" w:eastAsiaTheme="minorEastAsia" w:hAnsiTheme="minorHAnsi"/>
              <w:noProof/>
              <w:lang w:eastAsia="en-AU"/>
            </w:rPr>
          </w:pPr>
          <w:hyperlink w:anchor="_Toc46822301" w:history="1">
            <w:r w:rsidR="000438FA" w:rsidRPr="00315CA2">
              <w:rPr>
                <w:rStyle w:val="Hyperlink"/>
                <w:rFonts w:cs="Calibri"/>
                <w:noProof/>
              </w:rPr>
              <w:t>Expected damage function (avoided cost)</w:t>
            </w:r>
            <w:r w:rsidR="000438FA">
              <w:rPr>
                <w:noProof/>
                <w:webHidden/>
              </w:rPr>
              <w:tab/>
            </w:r>
            <w:r w:rsidR="000438FA">
              <w:rPr>
                <w:noProof/>
                <w:webHidden/>
              </w:rPr>
              <w:fldChar w:fldCharType="begin"/>
            </w:r>
            <w:r w:rsidR="000438FA">
              <w:rPr>
                <w:noProof/>
                <w:webHidden/>
              </w:rPr>
              <w:instrText xml:space="preserve"> PAGEREF _Toc46822301 \h </w:instrText>
            </w:r>
            <w:r w:rsidR="000438FA">
              <w:rPr>
                <w:noProof/>
                <w:webHidden/>
              </w:rPr>
            </w:r>
            <w:r w:rsidR="000438FA">
              <w:rPr>
                <w:noProof/>
                <w:webHidden/>
              </w:rPr>
              <w:fldChar w:fldCharType="separate"/>
            </w:r>
            <w:r w:rsidR="00657E34">
              <w:rPr>
                <w:noProof/>
                <w:webHidden/>
              </w:rPr>
              <w:t>18</w:t>
            </w:r>
            <w:r w:rsidR="000438FA">
              <w:rPr>
                <w:noProof/>
                <w:webHidden/>
              </w:rPr>
              <w:fldChar w:fldCharType="end"/>
            </w:r>
          </w:hyperlink>
        </w:p>
        <w:p w14:paraId="406CF8EE" w14:textId="52DD0A1A" w:rsidR="000438FA" w:rsidRDefault="00535A67">
          <w:pPr>
            <w:pStyle w:val="TOC4"/>
            <w:tabs>
              <w:tab w:val="right" w:leader="dot" w:pos="9016"/>
            </w:tabs>
            <w:rPr>
              <w:rFonts w:asciiTheme="minorHAnsi" w:eastAsiaTheme="minorEastAsia" w:hAnsiTheme="minorHAnsi"/>
              <w:noProof/>
              <w:lang w:eastAsia="en-AU"/>
            </w:rPr>
          </w:pPr>
          <w:hyperlink w:anchor="_Toc46822302" w:history="1">
            <w:r w:rsidR="000438FA" w:rsidRPr="00315CA2">
              <w:rPr>
                <w:rStyle w:val="Hyperlink"/>
                <w:rFonts w:cs="Calibri"/>
                <w:noProof/>
              </w:rPr>
              <w:t>Replacement costs</w:t>
            </w:r>
            <w:r w:rsidR="000438FA">
              <w:rPr>
                <w:noProof/>
                <w:webHidden/>
              </w:rPr>
              <w:tab/>
            </w:r>
            <w:r w:rsidR="000438FA">
              <w:rPr>
                <w:noProof/>
                <w:webHidden/>
              </w:rPr>
              <w:fldChar w:fldCharType="begin"/>
            </w:r>
            <w:r w:rsidR="000438FA">
              <w:rPr>
                <w:noProof/>
                <w:webHidden/>
              </w:rPr>
              <w:instrText xml:space="preserve"> PAGEREF _Toc46822302 \h </w:instrText>
            </w:r>
            <w:r w:rsidR="000438FA">
              <w:rPr>
                <w:noProof/>
                <w:webHidden/>
              </w:rPr>
            </w:r>
            <w:r w:rsidR="000438FA">
              <w:rPr>
                <w:noProof/>
                <w:webHidden/>
              </w:rPr>
              <w:fldChar w:fldCharType="separate"/>
            </w:r>
            <w:r w:rsidR="00657E34">
              <w:rPr>
                <w:noProof/>
                <w:webHidden/>
              </w:rPr>
              <w:t>18</w:t>
            </w:r>
            <w:r w:rsidR="000438FA">
              <w:rPr>
                <w:noProof/>
                <w:webHidden/>
              </w:rPr>
              <w:fldChar w:fldCharType="end"/>
            </w:r>
          </w:hyperlink>
        </w:p>
        <w:p w14:paraId="2F96A3F2" w14:textId="24C344AE"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303" w:history="1">
            <w:r w:rsidR="000438FA" w:rsidRPr="00315CA2">
              <w:rPr>
                <w:rStyle w:val="Hyperlink"/>
                <w:rFonts w:cs="Calibri"/>
                <w:noProof/>
              </w:rPr>
              <w:t>4.1.3</w:t>
            </w:r>
            <w:r w:rsidR="000438FA">
              <w:rPr>
                <w:rFonts w:asciiTheme="minorHAnsi" w:eastAsiaTheme="minorEastAsia" w:hAnsiTheme="minorHAnsi"/>
                <w:noProof/>
                <w:lang w:eastAsia="en-AU"/>
              </w:rPr>
              <w:tab/>
            </w:r>
            <w:r w:rsidR="000438FA" w:rsidRPr="00315CA2">
              <w:rPr>
                <w:rStyle w:val="Hyperlink"/>
                <w:rFonts w:cs="Calibri"/>
                <w:noProof/>
              </w:rPr>
              <w:t>Stated preference techniques</w:t>
            </w:r>
            <w:r w:rsidR="000438FA">
              <w:rPr>
                <w:noProof/>
                <w:webHidden/>
              </w:rPr>
              <w:tab/>
            </w:r>
            <w:r w:rsidR="000438FA">
              <w:rPr>
                <w:noProof/>
                <w:webHidden/>
              </w:rPr>
              <w:fldChar w:fldCharType="begin"/>
            </w:r>
            <w:r w:rsidR="000438FA">
              <w:rPr>
                <w:noProof/>
                <w:webHidden/>
              </w:rPr>
              <w:instrText xml:space="preserve"> PAGEREF _Toc46822303 \h </w:instrText>
            </w:r>
            <w:r w:rsidR="000438FA">
              <w:rPr>
                <w:noProof/>
                <w:webHidden/>
              </w:rPr>
            </w:r>
            <w:r w:rsidR="000438FA">
              <w:rPr>
                <w:noProof/>
                <w:webHidden/>
              </w:rPr>
              <w:fldChar w:fldCharType="separate"/>
            </w:r>
            <w:r w:rsidR="00657E34">
              <w:rPr>
                <w:noProof/>
                <w:webHidden/>
              </w:rPr>
              <w:t>18</w:t>
            </w:r>
            <w:r w:rsidR="000438FA">
              <w:rPr>
                <w:noProof/>
                <w:webHidden/>
              </w:rPr>
              <w:fldChar w:fldCharType="end"/>
            </w:r>
          </w:hyperlink>
        </w:p>
        <w:p w14:paraId="411C3A74" w14:textId="01B46399" w:rsidR="000438FA" w:rsidRDefault="00535A67">
          <w:pPr>
            <w:pStyle w:val="TOC4"/>
            <w:tabs>
              <w:tab w:val="right" w:leader="dot" w:pos="9016"/>
            </w:tabs>
            <w:rPr>
              <w:rFonts w:asciiTheme="minorHAnsi" w:eastAsiaTheme="minorEastAsia" w:hAnsiTheme="minorHAnsi"/>
              <w:noProof/>
              <w:lang w:eastAsia="en-AU"/>
            </w:rPr>
          </w:pPr>
          <w:hyperlink w:anchor="_Toc46822304" w:history="1">
            <w:r w:rsidR="000438FA" w:rsidRPr="00315CA2">
              <w:rPr>
                <w:rStyle w:val="Hyperlink"/>
                <w:rFonts w:cs="Calibri"/>
                <w:noProof/>
              </w:rPr>
              <w:t>Contingent valuation</w:t>
            </w:r>
            <w:r w:rsidR="000438FA">
              <w:rPr>
                <w:noProof/>
                <w:webHidden/>
              </w:rPr>
              <w:tab/>
            </w:r>
            <w:r w:rsidR="000438FA">
              <w:rPr>
                <w:noProof/>
                <w:webHidden/>
              </w:rPr>
              <w:fldChar w:fldCharType="begin"/>
            </w:r>
            <w:r w:rsidR="000438FA">
              <w:rPr>
                <w:noProof/>
                <w:webHidden/>
              </w:rPr>
              <w:instrText xml:space="preserve"> PAGEREF _Toc46822304 \h </w:instrText>
            </w:r>
            <w:r w:rsidR="000438FA">
              <w:rPr>
                <w:noProof/>
                <w:webHidden/>
              </w:rPr>
            </w:r>
            <w:r w:rsidR="000438FA">
              <w:rPr>
                <w:noProof/>
                <w:webHidden/>
              </w:rPr>
              <w:fldChar w:fldCharType="separate"/>
            </w:r>
            <w:r w:rsidR="00657E34">
              <w:rPr>
                <w:noProof/>
                <w:webHidden/>
              </w:rPr>
              <w:t>19</w:t>
            </w:r>
            <w:r w:rsidR="000438FA">
              <w:rPr>
                <w:noProof/>
                <w:webHidden/>
              </w:rPr>
              <w:fldChar w:fldCharType="end"/>
            </w:r>
          </w:hyperlink>
        </w:p>
        <w:p w14:paraId="72FB4F2D" w14:textId="20911548" w:rsidR="000438FA" w:rsidRDefault="00535A67">
          <w:pPr>
            <w:pStyle w:val="TOC4"/>
            <w:tabs>
              <w:tab w:val="right" w:leader="dot" w:pos="9016"/>
            </w:tabs>
            <w:rPr>
              <w:rFonts w:asciiTheme="minorHAnsi" w:eastAsiaTheme="minorEastAsia" w:hAnsiTheme="minorHAnsi"/>
              <w:noProof/>
              <w:lang w:eastAsia="en-AU"/>
            </w:rPr>
          </w:pPr>
          <w:hyperlink w:anchor="_Toc46822305" w:history="1">
            <w:r w:rsidR="000438FA" w:rsidRPr="00315CA2">
              <w:rPr>
                <w:rStyle w:val="Hyperlink"/>
                <w:rFonts w:cs="Calibri"/>
                <w:noProof/>
              </w:rPr>
              <w:t>Choice Modelling</w:t>
            </w:r>
            <w:r w:rsidR="000438FA">
              <w:rPr>
                <w:noProof/>
                <w:webHidden/>
              </w:rPr>
              <w:tab/>
            </w:r>
            <w:r w:rsidR="000438FA">
              <w:rPr>
                <w:noProof/>
                <w:webHidden/>
              </w:rPr>
              <w:fldChar w:fldCharType="begin"/>
            </w:r>
            <w:r w:rsidR="000438FA">
              <w:rPr>
                <w:noProof/>
                <w:webHidden/>
              </w:rPr>
              <w:instrText xml:space="preserve"> PAGEREF _Toc46822305 \h </w:instrText>
            </w:r>
            <w:r w:rsidR="000438FA">
              <w:rPr>
                <w:noProof/>
                <w:webHidden/>
              </w:rPr>
            </w:r>
            <w:r w:rsidR="000438FA">
              <w:rPr>
                <w:noProof/>
                <w:webHidden/>
              </w:rPr>
              <w:fldChar w:fldCharType="separate"/>
            </w:r>
            <w:r w:rsidR="00657E34">
              <w:rPr>
                <w:noProof/>
                <w:webHidden/>
              </w:rPr>
              <w:t>19</w:t>
            </w:r>
            <w:r w:rsidR="000438FA">
              <w:rPr>
                <w:noProof/>
                <w:webHidden/>
              </w:rPr>
              <w:fldChar w:fldCharType="end"/>
            </w:r>
          </w:hyperlink>
        </w:p>
        <w:p w14:paraId="2E1965CA" w14:textId="4C96BA82"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306" w:history="1">
            <w:r w:rsidR="000438FA" w:rsidRPr="00315CA2">
              <w:rPr>
                <w:rStyle w:val="Hyperlink"/>
                <w:rFonts w:cs="Calibri"/>
                <w:noProof/>
              </w:rPr>
              <w:t>4.1.4</w:t>
            </w:r>
            <w:r w:rsidR="000438FA">
              <w:rPr>
                <w:rFonts w:asciiTheme="minorHAnsi" w:eastAsiaTheme="minorEastAsia" w:hAnsiTheme="minorHAnsi"/>
                <w:noProof/>
                <w:lang w:eastAsia="en-AU"/>
              </w:rPr>
              <w:tab/>
            </w:r>
            <w:r w:rsidR="000438FA" w:rsidRPr="00315CA2">
              <w:rPr>
                <w:rStyle w:val="Hyperlink"/>
                <w:rFonts w:cs="Calibri"/>
                <w:noProof/>
              </w:rPr>
              <w:t>Benefit transfer techniques</w:t>
            </w:r>
            <w:r w:rsidR="000438FA">
              <w:rPr>
                <w:noProof/>
                <w:webHidden/>
              </w:rPr>
              <w:tab/>
            </w:r>
            <w:r w:rsidR="000438FA">
              <w:rPr>
                <w:noProof/>
                <w:webHidden/>
              </w:rPr>
              <w:fldChar w:fldCharType="begin"/>
            </w:r>
            <w:r w:rsidR="000438FA">
              <w:rPr>
                <w:noProof/>
                <w:webHidden/>
              </w:rPr>
              <w:instrText xml:space="preserve"> PAGEREF _Toc46822306 \h </w:instrText>
            </w:r>
            <w:r w:rsidR="000438FA">
              <w:rPr>
                <w:noProof/>
                <w:webHidden/>
              </w:rPr>
            </w:r>
            <w:r w:rsidR="000438FA">
              <w:rPr>
                <w:noProof/>
                <w:webHidden/>
              </w:rPr>
              <w:fldChar w:fldCharType="separate"/>
            </w:r>
            <w:r w:rsidR="00657E34">
              <w:rPr>
                <w:noProof/>
                <w:webHidden/>
              </w:rPr>
              <w:t>19</w:t>
            </w:r>
            <w:r w:rsidR="000438FA">
              <w:rPr>
                <w:noProof/>
                <w:webHidden/>
              </w:rPr>
              <w:fldChar w:fldCharType="end"/>
            </w:r>
          </w:hyperlink>
        </w:p>
        <w:p w14:paraId="1F62B45A" w14:textId="7152D1A4" w:rsidR="000438FA" w:rsidRDefault="00535A67">
          <w:pPr>
            <w:pStyle w:val="TOC4"/>
            <w:tabs>
              <w:tab w:val="right" w:leader="dot" w:pos="9016"/>
            </w:tabs>
            <w:rPr>
              <w:rFonts w:asciiTheme="minorHAnsi" w:eastAsiaTheme="minorEastAsia" w:hAnsiTheme="minorHAnsi"/>
              <w:noProof/>
              <w:lang w:eastAsia="en-AU"/>
            </w:rPr>
          </w:pPr>
          <w:hyperlink w:anchor="_Toc46822307" w:history="1">
            <w:r w:rsidR="000438FA" w:rsidRPr="00315CA2">
              <w:rPr>
                <w:rStyle w:val="Hyperlink"/>
                <w:rFonts w:cs="Calibri"/>
                <w:noProof/>
              </w:rPr>
              <w:t>Single and marginal point transfers, function and meta value analysis transfers</w:t>
            </w:r>
            <w:r w:rsidR="000438FA">
              <w:rPr>
                <w:noProof/>
                <w:webHidden/>
              </w:rPr>
              <w:tab/>
            </w:r>
            <w:r w:rsidR="000438FA">
              <w:rPr>
                <w:noProof/>
                <w:webHidden/>
              </w:rPr>
              <w:fldChar w:fldCharType="begin"/>
            </w:r>
            <w:r w:rsidR="000438FA">
              <w:rPr>
                <w:noProof/>
                <w:webHidden/>
              </w:rPr>
              <w:instrText xml:space="preserve"> PAGEREF _Toc46822307 \h </w:instrText>
            </w:r>
            <w:r w:rsidR="000438FA">
              <w:rPr>
                <w:noProof/>
                <w:webHidden/>
              </w:rPr>
            </w:r>
            <w:r w:rsidR="000438FA">
              <w:rPr>
                <w:noProof/>
                <w:webHidden/>
              </w:rPr>
              <w:fldChar w:fldCharType="separate"/>
            </w:r>
            <w:r w:rsidR="00657E34">
              <w:rPr>
                <w:noProof/>
                <w:webHidden/>
              </w:rPr>
              <w:t>19</w:t>
            </w:r>
            <w:r w:rsidR="000438FA">
              <w:rPr>
                <w:noProof/>
                <w:webHidden/>
              </w:rPr>
              <w:fldChar w:fldCharType="end"/>
            </w:r>
          </w:hyperlink>
        </w:p>
        <w:p w14:paraId="28AD9C7D" w14:textId="14E5B939"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308" w:history="1">
            <w:r w:rsidR="000438FA" w:rsidRPr="00315CA2">
              <w:rPr>
                <w:rStyle w:val="Hyperlink"/>
                <w:rFonts w:cs="Calibri"/>
                <w:noProof/>
              </w:rPr>
              <w:t>4.1.5</w:t>
            </w:r>
            <w:r w:rsidR="000438FA">
              <w:rPr>
                <w:rFonts w:asciiTheme="minorHAnsi" w:eastAsiaTheme="minorEastAsia" w:hAnsiTheme="minorHAnsi"/>
                <w:noProof/>
                <w:lang w:eastAsia="en-AU"/>
              </w:rPr>
              <w:tab/>
            </w:r>
            <w:r w:rsidR="000438FA" w:rsidRPr="00315CA2">
              <w:rPr>
                <w:rStyle w:val="Hyperlink"/>
                <w:rFonts w:cs="Calibri"/>
                <w:noProof/>
              </w:rPr>
              <w:t>Hedonic pricing techniques</w:t>
            </w:r>
            <w:r w:rsidR="000438FA">
              <w:rPr>
                <w:noProof/>
                <w:webHidden/>
              </w:rPr>
              <w:tab/>
            </w:r>
            <w:r w:rsidR="000438FA">
              <w:rPr>
                <w:noProof/>
                <w:webHidden/>
              </w:rPr>
              <w:fldChar w:fldCharType="begin"/>
            </w:r>
            <w:r w:rsidR="000438FA">
              <w:rPr>
                <w:noProof/>
                <w:webHidden/>
              </w:rPr>
              <w:instrText xml:space="preserve"> PAGEREF _Toc46822308 \h </w:instrText>
            </w:r>
            <w:r w:rsidR="000438FA">
              <w:rPr>
                <w:noProof/>
                <w:webHidden/>
              </w:rPr>
            </w:r>
            <w:r w:rsidR="000438FA">
              <w:rPr>
                <w:noProof/>
                <w:webHidden/>
              </w:rPr>
              <w:fldChar w:fldCharType="separate"/>
            </w:r>
            <w:r w:rsidR="00657E34">
              <w:rPr>
                <w:noProof/>
                <w:webHidden/>
              </w:rPr>
              <w:t>19</w:t>
            </w:r>
            <w:r w:rsidR="000438FA">
              <w:rPr>
                <w:noProof/>
                <w:webHidden/>
              </w:rPr>
              <w:fldChar w:fldCharType="end"/>
            </w:r>
          </w:hyperlink>
        </w:p>
        <w:p w14:paraId="27593F4E" w14:textId="2245FFFF"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309" w:history="1">
            <w:r w:rsidR="000438FA" w:rsidRPr="00315CA2">
              <w:rPr>
                <w:rStyle w:val="Hyperlink"/>
                <w:rFonts w:cs="Calibri"/>
                <w:noProof/>
              </w:rPr>
              <w:t>4.2</w:t>
            </w:r>
            <w:r w:rsidR="000438FA">
              <w:rPr>
                <w:rFonts w:asciiTheme="minorHAnsi" w:eastAsiaTheme="minorEastAsia" w:hAnsiTheme="minorHAnsi"/>
                <w:noProof/>
                <w:lang w:eastAsia="en-AU"/>
              </w:rPr>
              <w:tab/>
            </w:r>
            <w:r w:rsidR="000438FA" w:rsidRPr="00315CA2">
              <w:rPr>
                <w:rStyle w:val="Hyperlink"/>
                <w:rFonts w:cs="Calibri"/>
                <w:noProof/>
              </w:rPr>
              <w:t>Literature review and stakeholder interviews</w:t>
            </w:r>
            <w:r w:rsidR="000438FA">
              <w:rPr>
                <w:noProof/>
                <w:webHidden/>
              </w:rPr>
              <w:tab/>
            </w:r>
            <w:r w:rsidR="000438FA">
              <w:rPr>
                <w:noProof/>
                <w:webHidden/>
              </w:rPr>
              <w:fldChar w:fldCharType="begin"/>
            </w:r>
            <w:r w:rsidR="000438FA">
              <w:rPr>
                <w:noProof/>
                <w:webHidden/>
              </w:rPr>
              <w:instrText xml:space="preserve"> PAGEREF _Toc46822309 \h </w:instrText>
            </w:r>
            <w:r w:rsidR="000438FA">
              <w:rPr>
                <w:noProof/>
                <w:webHidden/>
              </w:rPr>
            </w:r>
            <w:r w:rsidR="000438FA">
              <w:rPr>
                <w:noProof/>
                <w:webHidden/>
              </w:rPr>
              <w:fldChar w:fldCharType="separate"/>
            </w:r>
            <w:r w:rsidR="00657E34">
              <w:rPr>
                <w:noProof/>
                <w:webHidden/>
              </w:rPr>
              <w:t>20</w:t>
            </w:r>
            <w:r w:rsidR="000438FA">
              <w:rPr>
                <w:noProof/>
                <w:webHidden/>
              </w:rPr>
              <w:fldChar w:fldCharType="end"/>
            </w:r>
          </w:hyperlink>
        </w:p>
        <w:p w14:paraId="25DE4949" w14:textId="67894965"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310" w:history="1">
            <w:r w:rsidR="000438FA" w:rsidRPr="00315CA2">
              <w:rPr>
                <w:rStyle w:val="Hyperlink"/>
                <w:rFonts w:cs="Calibri"/>
                <w:noProof/>
              </w:rPr>
              <w:t>4.3</w:t>
            </w:r>
            <w:r w:rsidR="000438FA">
              <w:rPr>
                <w:rFonts w:asciiTheme="minorHAnsi" w:eastAsiaTheme="minorEastAsia" w:hAnsiTheme="minorHAnsi"/>
                <w:noProof/>
                <w:lang w:eastAsia="en-AU"/>
              </w:rPr>
              <w:tab/>
            </w:r>
            <w:r w:rsidR="000438FA" w:rsidRPr="00315CA2">
              <w:rPr>
                <w:rStyle w:val="Hyperlink"/>
                <w:rFonts w:cs="Calibri"/>
                <w:noProof/>
              </w:rPr>
              <w:t>Approaches to using valuation techniques</w:t>
            </w:r>
            <w:r w:rsidR="000438FA">
              <w:rPr>
                <w:noProof/>
                <w:webHidden/>
              </w:rPr>
              <w:tab/>
            </w:r>
            <w:r w:rsidR="000438FA">
              <w:rPr>
                <w:noProof/>
                <w:webHidden/>
              </w:rPr>
              <w:fldChar w:fldCharType="begin"/>
            </w:r>
            <w:r w:rsidR="000438FA">
              <w:rPr>
                <w:noProof/>
                <w:webHidden/>
              </w:rPr>
              <w:instrText xml:space="preserve"> PAGEREF _Toc46822310 \h </w:instrText>
            </w:r>
            <w:r w:rsidR="000438FA">
              <w:rPr>
                <w:noProof/>
                <w:webHidden/>
              </w:rPr>
            </w:r>
            <w:r w:rsidR="000438FA">
              <w:rPr>
                <w:noProof/>
                <w:webHidden/>
              </w:rPr>
              <w:fldChar w:fldCharType="separate"/>
            </w:r>
            <w:r w:rsidR="00657E34">
              <w:rPr>
                <w:noProof/>
                <w:webHidden/>
              </w:rPr>
              <w:t>23</w:t>
            </w:r>
            <w:r w:rsidR="000438FA">
              <w:rPr>
                <w:noProof/>
                <w:webHidden/>
              </w:rPr>
              <w:fldChar w:fldCharType="end"/>
            </w:r>
          </w:hyperlink>
        </w:p>
        <w:p w14:paraId="5BAE46F7" w14:textId="3DFA8FAD"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311" w:history="1">
            <w:r w:rsidR="000438FA" w:rsidRPr="00315CA2">
              <w:rPr>
                <w:rStyle w:val="Hyperlink"/>
                <w:rFonts w:cs="Calibri"/>
                <w:noProof/>
              </w:rPr>
              <w:t>4.4</w:t>
            </w:r>
            <w:r w:rsidR="000438FA">
              <w:rPr>
                <w:rFonts w:asciiTheme="minorHAnsi" w:eastAsiaTheme="minorEastAsia" w:hAnsiTheme="minorHAnsi"/>
                <w:noProof/>
                <w:lang w:eastAsia="en-AU"/>
              </w:rPr>
              <w:tab/>
            </w:r>
            <w:r w:rsidR="000438FA" w:rsidRPr="00315CA2">
              <w:rPr>
                <w:rStyle w:val="Hyperlink"/>
                <w:rFonts w:cs="Calibri"/>
                <w:noProof/>
              </w:rPr>
              <w:t>Pacific island nations</w:t>
            </w:r>
            <w:r w:rsidR="000438FA">
              <w:rPr>
                <w:noProof/>
                <w:webHidden/>
              </w:rPr>
              <w:tab/>
            </w:r>
            <w:r w:rsidR="000438FA">
              <w:rPr>
                <w:noProof/>
                <w:webHidden/>
              </w:rPr>
              <w:fldChar w:fldCharType="begin"/>
            </w:r>
            <w:r w:rsidR="000438FA">
              <w:rPr>
                <w:noProof/>
                <w:webHidden/>
              </w:rPr>
              <w:instrText xml:space="preserve"> PAGEREF _Toc46822311 \h </w:instrText>
            </w:r>
            <w:r w:rsidR="000438FA">
              <w:rPr>
                <w:noProof/>
                <w:webHidden/>
              </w:rPr>
            </w:r>
            <w:r w:rsidR="000438FA">
              <w:rPr>
                <w:noProof/>
                <w:webHidden/>
              </w:rPr>
              <w:fldChar w:fldCharType="separate"/>
            </w:r>
            <w:r w:rsidR="00657E34">
              <w:rPr>
                <w:noProof/>
                <w:webHidden/>
              </w:rPr>
              <w:t>27</w:t>
            </w:r>
            <w:r w:rsidR="000438FA">
              <w:rPr>
                <w:noProof/>
                <w:webHidden/>
              </w:rPr>
              <w:fldChar w:fldCharType="end"/>
            </w:r>
          </w:hyperlink>
        </w:p>
        <w:p w14:paraId="47E55C94" w14:textId="0D03083D" w:rsidR="000438FA" w:rsidRDefault="00535A67">
          <w:pPr>
            <w:pStyle w:val="TOC1"/>
            <w:tabs>
              <w:tab w:val="left" w:pos="440"/>
              <w:tab w:val="right" w:leader="dot" w:pos="9016"/>
            </w:tabs>
            <w:rPr>
              <w:rFonts w:asciiTheme="minorHAnsi" w:eastAsiaTheme="minorEastAsia" w:hAnsiTheme="minorHAnsi"/>
              <w:noProof/>
              <w:lang w:eastAsia="en-AU"/>
            </w:rPr>
          </w:pPr>
          <w:hyperlink w:anchor="_Toc46822312" w:history="1">
            <w:r w:rsidR="000438FA" w:rsidRPr="00315CA2">
              <w:rPr>
                <w:rStyle w:val="Hyperlink"/>
                <w:rFonts w:cs="Calibri"/>
                <w:noProof/>
              </w:rPr>
              <w:t>5</w:t>
            </w:r>
            <w:r w:rsidR="000438FA">
              <w:rPr>
                <w:rFonts w:asciiTheme="minorHAnsi" w:eastAsiaTheme="minorEastAsia" w:hAnsiTheme="minorHAnsi"/>
                <w:noProof/>
                <w:lang w:eastAsia="en-AU"/>
              </w:rPr>
              <w:tab/>
            </w:r>
            <w:r w:rsidR="000438FA" w:rsidRPr="00315CA2">
              <w:rPr>
                <w:rStyle w:val="Hyperlink"/>
                <w:rFonts w:cs="Calibri"/>
                <w:noProof/>
              </w:rPr>
              <w:t>Valuation of Australia’s coastal wetlands</w:t>
            </w:r>
            <w:r w:rsidR="000438FA">
              <w:rPr>
                <w:noProof/>
                <w:webHidden/>
              </w:rPr>
              <w:tab/>
            </w:r>
            <w:r w:rsidR="000438FA">
              <w:rPr>
                <w:noProof/>
                <w:webHidden/>
              </w:rPr>
              <w:fldChar w:fldCharType="begin"/>
            </w:r>
            <w:r w:rsidR="000438FA">
              <w:rPr>
                <w:noProof/>
                <w:webHidden/>
              </w:rPr>
              <w:instrText xml:space="preserve"> PAGEREF _Toc46822312 \h </w:instrText>
            </w:r>
            <w:r w:rsidR="000438FA">
              <w:rPr>
                <w:noProof/>
                <w:webHidden/>
              </w:rPr>
            </w:r>
            <w:r w:rsidR="000438FA">
              <w:rPr>
                <w:noProof/>
                <w:webHidden/>
              </w:rPr>
              <w:fldChar w:fldCharType="separate"/>
            </w:r>
            <w:r w:rsidR="00657E34">
              <w:rPr>
                <w:noProof/>
                <w:webHidden/>
              </w:rPr>
              <w:t>29</w:t>
            </w:r>
            <w:r w:rsidR="000438FA">
              <w:rPr>
                <w:noProof/>
                <w:webHidden/>
              </w:rPr>
              <w:fldChar w:fldCharType="end"/>
            </w:r>
          </w:hyperlink>
        </w:p>
        <w:p w14:paraId="451D745B" w14:textId="1BCEE752" w:rsidR="000438FA" w:rsidRDefault="00535A67">
          <w:pPr>
            <w:pStyle w:val="TOC1"/>
            <w:tabs>
              <w:tab w:val="left" w:pos="440"/>
              <w:tab w:val="right" w:leader="dot" w:pos="9016"/>
            </w:tabs>
            <w:rPr>
              <w:rFonts w:asciiTheme="minorHAnsi" w:eastAsiaTheme="minorEastAsia" w:hAnsiTheme="minorHAnsi"/>
              <w:noProof/>
              <w:lang w:eastAsia="en-AU"/>
            </w:rPr>
          </w:pPr>
          <w:hyperlink w:anchor="_Toc46822313" w:history="1">
            <w:r w:rsidR="000438FA" w:rsidRPr="00315CA2">
              <w:rPr>
                <w:rStyle w:val="Hyperlink"/>
                <w:rFonts w:cs="Calibri"/>
                <w:noProof/>
              </w:rPr>
              <w:t>6</w:t>
            </w:r>
            <w:r w:rsidR="000438FA">
              <w:rPr>
                <w:rFonts w:asciiTheme="minorHAnsi" w:eastAsiaTheme="minorEastAsia" w:hAnsiTheme="minorHAnsi"/>
                <w:noProof/>
                <w:lang w:eastAsia="en-AU"/>
              </w:rPr>
              <w:tab/>
            </w:r>
            <w:r w:rsidR="000438FA" w:rsidRPr="00315CA2">
              <w:rPr>
                <w:rStyle w:val="Hyperlink"/>
                <w:rFonts w:cs="Calibri"/>
                <w:noProof/>
              </w:rPr>
              <w:t>Decision making contexts</w:t>
            </w:r>
            <w:r w:rsidR="000438FA">
              <w:rPr>
                <w:noProof/>
                <w:webHidden/>
              </w:rPr>
              <w:tab/>
            </w:r>
            <w:r w:rsidR="000438FA">
              <w:rPr>
                <w:noProof/>
                <w:webHidden/>
              </w:rPr>
              <w:fldChar w:fldCharType="begin"/>
            </w:r>
            <w:r w:rsidR="000438FA">
              <w:rPr>
                <w:noProof/>
                <w:webHidden/>
              </w:rPr>
              <w:instrText xml:space="preserve"> PAGEREF _Toc46822313 \h </w:instrText>
            </w:r>
            <w:r w:rsidR="000438FA">
              <w:rPr>
                <w:noProof/>
                <w:webHidden/>
              </w:rPr>
            </w:r>
            <w:r w:rsidR="000438FA">
              <w:rPr>
                <w:noProof/>
                <w:webHidden/>
              </w:rPr>
              <w:fldChar w:fldCharType="separate"/>
            </w:r>
            <w:r w:rsidR="00657E34">
              <w:rPr>
                <w:noProof/>
                <w:webHidden/>
              </w:rPr>
              <w:t>34</w:t>
            </w:r>
            <w:r w:rsidR="000438FA">
              <w:rPr>
                <w:noProof/>
                <w:webHidden/>
              </w:rPr>
              <w:fldChar w:fldCharType="end"/>
            </w:r>
          </w:hyperlink>
        </w:p>
        <w:p w14:paraId="160591B1" w14:textId="1A972945"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314" w:history="1">
            <w:r w:rsidR="000438FA" w:rsidRPr="00315CA2">
              <w:rPr>
                <w:rStyle w:val="Hyperlink"/>
                <w:rFonts w:cs="Calibri"/>
                <w:noProof/>
              </w:rPr>
              <w:t>6.1</w:t>
            </w:r>
            <w:r w:rsidR="000438FA">
              <w:rPr>
                <w:rFonts w:asciiTheme="minorHAnsi" w:eastAsiaTheme="minorEastAsia" w:hAnsiTheme="minorHAnsi"/>
                <w:noProof/>
                <w:lang w:eastAsia="en-AU"/>
              </w:rPr>
              <w:tab/>
            </w:r>
            <w:r w:rsidR="000438FA" w:rsidRPr="00315CA2">
              <w:rPr>
                <w:rStyle w:val="Hyperlink"/>
                <w:rFonts w:cs="Calibri"/>
                <w:noProof/>
              </w:rPr>
              <w:t>Regulatory actions</w:t>
            </w:r>
            <w:r w:rsidR="000438FA">
              <w:rPr>
                <w:noProof/>
                <w:webHidden/>
              </w:rPr>
              <w:tab/>
            </w:r>
            <w:r w:rsidR="000438FA">
              <w:rPr>
                <w:noProof/>
                <w:webHidden/>
              </w:rPr>
              <w:fldChar w:fldCharType="begin"/>
            </w:r>
            <w:r w:rsidR="000438FA">
              <w:rPr>
                <w:noProof/>
                <w:webHidden/>
              </w:rPr>
              <w:instrText xml:space="preserve"> PAGEREF _Toc46822314 \h </w:instrText>
            </w:r>
            <w:r w:rsidR="000438FA">
              <w:rPr>
                <w:noProof/>
                <w:webHidden/>
              </w:rPr>
            </w:r>
            <w:r w:rsidR="000438FA">
              <w:rPr>
                <w:noProof/>
                <w:webHidden/>
              </w:rPr>
              <w:fldChar w:fldCharType="separate"/>
            </w:r>
            <w:r w:rsidR="00657E34">
              <w:rPr>
                <w:noProof/>
                <w:webHidden/>
              </w:rPr>
              <w:t>34</w:t>
            </w:r>
            <w:r w:rsidR="000438FA">
              <w:rPr>
                <w:noProof/>
                <w:webHidden/>
              </w:rPr>
              <w:fldChar w:fldCharType="end"/>
            </w:r>
          </w:hyperlink>
        </w:p>
        <w:p w14:paraId="6EB2E37A" w14:textId="71C4D893"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315" w:history="1">
            <w:r w:rsidR="000438FA" w:rsidRPr="00315CA2">
              <w:rPr>
                <w:rStyle w:val="Hyperlink"/>
                <w:rFonts w:cs="Calibri"/>
                <w:noProof/>
              </w:rPr>
              <w:t>6.1.1</w:t>
            </w:r>
            <w:r w:rsidR="000438FA">
              <w:rPr>
                <w:rFonts w:asciiTheme="minorHAnsi" w:eastAsiaTheme="minorEastAsia" w:hAnsiTheme="minorHAnsi"/>
                <w:noProof/>
                <w:lang w:eastAsia="en-AU"/>
              </w:rPr>
              <w:tab/>
            </w:r>
            <w:r w:rsidR="000438FA" w:rsidRPr="00315CA2">
              <w:rPr>
                <w:rStyle w:val="Hyperlink"/>
                <w:rFonts w:cs="Calibri"/>
                <w:noProof/>
              </w:rPr>
              <w:t>Disaster Recovery Funding Arrangements</w:t>
            </w:r>
            <w:r w:rsidR="000438FA">
              <w:rPr>
                <w:noProof/>
                <w:webHidden/>
              </w:rPr>
              <w:tab/>
            </w:r>
            <w:r w:rsidR="000438FA">
              <w:rPr>
                <w:noProof/>
                <w:webHidden/>
              </w:rPr>
              <w:fldChar w:fldCharType="begin"/>
            </w:r>
            <w:r w:rsidR="000438FA">
              <w:rPr>
                <w:noProof/>
                <w:webHidden/>
              </w:rPr>
              <w:instrText xml:space="preserve"> PAGEREF _Toc46822315 \h </w:instrText>
            </w:r>
            <w:r w:rsidR="000438FA">
              <w:rPr>
                <w:noProof/>
                <w:webHidden/>
              </w:rPr>
            </w:r>
            <w:r w:rsidR="000438FA">
              <w:rPr>
                <w:noProof/>
                <w:webHidden/>
              </w:rPr>
              <w:fldChar w:fldCharType="separate"/>
            </w:r>
            <w:r w:rsidR="00657E34">
              <w:rPr>
                <w:noProof/>
                <w:webHidden/>
              </w:rPr>
              <w:t>34</w:t>
            </w:r>
            <w:r w:rsidR="000438FA">
              <w:rPr>
                <w:noProof/>
                <w:webHidden/>
              </w:rPr>
              <w:fldChar w:fldCharType="end"/>
            </w:r>
          </w:hyperlink>
        </w:p>
        <w:p w14:paraId="5FCDB7A7" w14:textId="7874747C"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316" w:history="1">
            <w:r w:rsidR="000438FA" w:rsidRPr="00315CA2">
              <w:rPr>
                <w:rStyle w:val="Hyperlink"/>
                <w:noProof/>
              </w:rPr>
              <w:t>6.1.2</w:t>
            </w:r>
            <w:r w:rsidR="000438FA">
              <w:rPr>
                <w:rFonts w:asciiTheme="minorHAnsi" w:eastAsiaTheme="minorEastAsia" w:hAnsiTheme="minorHAnsi"/>
                <w:noProof/>
                <w:lang w:eastAsia="en-AU"/>
              </w:rPr>
              <w:tab/>
            </w:r>
            <w:r w:rsidR="000438FA" w:rsidRPr="00315CA2">
              <w:rPr>
                <w:rStyle w:val="Hyperlink"/>
                <w:noProof/>
              </w:rPr>
              <w:t>Strategic environmental assessments</w:t>
            </w:r>
            <w:r w:rsidR="000438FA">
              <w:rPr>
                <w:noProof/>
                <w:webHidden/>
              </w:rPr>
              <w:tab/>
            </w:r>
            <w:r w:rsidR="000438FA">
              <w:rPr>
                <w:noProof/>
                <w:webHidden/>
              </w:rPr>
              <w:fldChar w:fldCharType="begin"/>
            </w:r>
            <w:r w:rsidR="000438FA">
              <w:rPr>
                <w:noProof/>
                <w:webHidden/>
              </w:rPr>
              <w:instrText xml:space="preserve"> PAGEREF _Toc46822316 \h </w:instrText>
            </w:r>
            <w:r w:rsidR="000438FA">
              <w:rPr>
                <w:noProof/>
                <w:webHidden/>
              </w:rPr>
            </w:r>
            <w:r w:rsidR="000438FA">
              <w:rPr>
                <w:noProof/>
                <w:webHidden/>
              </w:rPr>
              <w:fldChar w:fldCharType="separate"/>
            </w:r>
            <w:r w:rsidR="00657E34">
              <w:rPr>
                <w:noProof/>
                <w:webHidden/>
              </w:rPr>
              <w:t>35</w:t>
            </w:r>
            <w:r w:rsidR="000438FA">
              <w:rPr>
                <w:noProof/>
                <w:webHidden/>
              </w:rPr>
              <w:fldChar w:fldCharType="end"/>
            </w:r>
          </w:hyperlink>
        </w:p>
        <w:p w14:paraId="720B7714" w14:textId="3CEC1301"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317" w:history="1">
            <w:r w:rsidR="000438FA" w:rsidRPr="00315CA2">
              <w:rPr>
                <w:rStyle w:val="Hyperlink"/>
                <w:rFonts w:cs="Calibri"/>
                <w:noProof/>
              </w:rPr>
              <w:t>6.2</w:t>
            </w:r>
            <w:r w:rsidR="000438FA">
              <w:rPr>
                <w:rFonts w:asciiTheme="minorHAnsi" w:eastAsiaTheme="minorEastAsia" w:hAnsiTheme="minorHAnsi"/>
                <w:noProof/>
                <w:lang w:eastAsia="en-AU"/>
              </w:rPr>
              <w:tab/>
            </w:r>
            <w:r w:rsidR="000438FA" w:rsidRPr="00315CA2">
              <w:rPr>
                <w:rStyle w:val="Hyperlink"/>
                <w:rFonts w:cs="Calibri"/>
                <w:noProof/>
              </w:rPr>
              <w:t>Cost benefit analysis</w:t>
            </w:r>
            <w:r w:rsidR="000438FA">
              <w:rPr>
                <w:noProof/>
                <w:webHidden/>
              </w:rPr>
              <w:tab/>
            </w:r>
            <w:r w:rsidR="000438FA">
              <w:rPr>
                <w:noProof/>
                <w:webHidden/>
              </w:rPr>
              <w:fldChar w:fldCharType="begin"/>
            </w:r>
            <w:r w:rsidR="000438FA">
              <w:rPr>
                <w:noProof/>
                <w:webHidden/>
              </w:rPr>
              <w:instrText xml:space="preserve"> PAGEREF _Toc46822317 \h </w:instrText>
            </w:r>
            <w:r w:rsidR="000438FA">
              <w:rPr>
                <w:noProof/>
                <w:webHidden/>
              </w:rPr>
            </w:r>
            <w:r w:rsidR="000438FA">
              <w:rPr>
                <w:noProof/>
                <w:webHidden/>
              </w:rPr>
              <w:fldChar w:fldCharType="separate"/>
            </w:r>
            <w:r w:rsidR="00657E34">
              <w:rPr>
                <w:noProof/>
                <w:webHidden/>
              </w:rPr>
              <w:t>35</w:t>
            </w:r>
            <w:r w:rsidR="000438FA">
              <w:rPr>
                <w:noProof/>
                <w:webHidden/>
              </w:rPr>
              <w:fldChar w:fldCharType="end"/>
            </w:r>
          </w:hyperlink>
        </w:p>
        <w:p w14:paraId="3CE42C4F" w14:textId="264CC8CD"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318" w:history="1">
            <w:r w:rsidR="000438FA" w:rsidRPr="00315CA2">
              <w:rPr>
                <w:rStyle w:val="Hyperlink"/>
                <w:rFonts w:cs="Calibri"/>
                <w:noProof/>
                <w:lang w:val="en-US"/>
              </w:rPr>
              <w:t>6.2.1</w:t>
            </w:r>
            <w:r w:rsidR="000438FA">
              <w:rPr>
                <w:rFonts w:asciiTheme="minorHAnsi" w:eastAsiaTheme="minorEastAsia" w:hAnsiTheme="minorHAnsi"/>
                <w:noProof/>
                <w:lang w:eastAsia="en-AU"/>
              </w:rPr>
              <w:tab/>
            </w:r>
            <w:r w:rsidR="000438FA" w:rsidRPr="00315CA2">
              <w:rPr>
                <w:rStyle w:val="Hyperlink"/>
                <w:rFonts w:cs="Calibri"/>
                <w:noProof/>
                <w:lang w:val="en-US"/>
              </w:rPr>
              <w:t>Adaptation</w:t>
            </w:r>
            <w:r w:rsidR="000438FA" w:rsidRPr="00315CA2">
              <w:rPr>
                <w:rStyle w:val="Hyperlink"/>
                <w:rFonts w:cs="Calibri"/>
                <w:noProof/>
              </w:rPr>
              <w:t xml:space="preserve"> planning</w:t>
            </w:r>
            <w:r w:rsidR="000438FA">
              <w:rPr>
                <w:noProof/>
                <w:webHidden/>
              </w:rPr>
              <w:tab/>
            </w:r>
            <w:r w:rsidR="000438FA">
              <w:rPr>
                <w:noProof/>
                <w:webHidden/>
              </w:rPr>
              <w:fldChar w:fldCharType="begin"/>
            </w:r>
            <w:r w:rsidR="000438FA">
              <w:rPr>
                <w:noProof/>
                <w:webHidden/>
              </w:rPr>
              <w:instrText xml:space="preserve"> PAGEREF _Toc46822318 \h </w:instrText>
            </w:r>
            <w:r w:rsidR="000438FA">
              <w:rPr>
                <w:noProof/>
                <w:webHidden/>
              </w:rPr>
            </w:r>
            <w:r w:rsidR="000438FA">
              <w:rPr>
                <w:noProof/>
                <w:webHidden/>
              </w:rPr>
              <w:fldChar w:fldCharType="separate"/>
            </w:r>
            <w:r w:rsidR="00657E34">
              <w:rPr>
                <w:noProof/>
                <w:webHidden/>
              </w:rPr>
              <w:t>36</w:t>
            </w:r>
            <w:r w:rsidR="000438FA">
              <w:rPr>
                <w:noProof/>
                <w:webHidden/>
              </w:rPr>
              <w:fldChar w:fldCharType="end"/>
            </w:r>
          </w:hyperlink>
        </w:p>
        <w:p w14:paraId="188497DC" w14:textId="6936DB81" w:rsidR="000438FA" w:rsidRDefault="00535A67">
          <w:pPr>
            <w:pStyle w:val="TOC3"/>
            <w:tabs>
              <w:tab w:val="left" w:pos="1320"/>
              <w:tab w:val="right" w:leader="dot" w:pos="9016"/>
            </w:tabs>
            <w:rPr>
              <w:rFonts w:asciiTheme="minorHAnsi" w:eastAsiaTheme="minorEastAsia" w:hAnsiTheme="minorHAnsi"/>
              <w:noProof/>
              <w:lang w:eastAsia="en-AU"/>
            </w:rPr>
          </w:pPr>
          <w:hyperlink w:anchor="_Toc46822319" w:history="1">
            <w:r w:rsidR="000438FA" w:rsidRPr="00315CA2">
              <w:rPr>
                <w:rStyle w:val="Hyperlink"/>
                <w:rFonts w:cs="Calibri"/>
                <w:noProof/>
                <w:lang w:val="en-US"/>
              </w:rPr>
              <w:t>6.2.2</w:t>
            </w:r>
            <w:r w:rsidR="000438FA">
              <w:rPr>
                <w:rFonts w:asciiTheme="minorHAnsi" w:eastAsiaTheme="minorEastAsia" w:hAnsiTheme="minorHAnsi"/>
                <w:noProof/>
                <w:lang w:eastAsia="en-AU"/>
              </w:rPr>
              <w:tab/>
            </w:r>
            <w:r w:rsidR="000438FA" w:rsidRPr="00315CA2">
              <w:rPr>
                <w:rStyle w:val="Hyperlink"/>
                <w:rFonts w:cs="Calibri"/>
                <w:noProof/>
                <w:lang w:val="en-US"/>
              </w:rPr>
              <w:t>Coastal insurance, real estate and construction industry</w:t>
            </w:r>
            <w:r w:rsidR="000438FA">
              <w:rPr>
                <w:noProof/>
                <w:webHidden/>
              </w:rPr>
              <w:tab/>
            </w:r>
            <w:r w:rsidR="000438FA">
              <w:rPr>
                <w:noProof/>
                <w:webHidden/>
              </w:rPr>
              <w:fldChar w:fldCharType="begin"/>
            </w:r>
            <w:r w:rsidR="000438FA">
              <w:rPr>
                <w:noProof/>
                <w:webHidden/>
              </w:rPr>
              <w:instrText xml:space="preserve"> PAGEREF _Toc46822319 \h </w:instrText>
            </w:r>
            <w:r w:rsidR="000438FA">
              <w:rPr>
                <w:noProof/>
                <w:webHidden/>
              </w:rPr>
            </w:r>
            <w:r w:rsidR="000438FA">
              <w:rPr>
                <w:noProof/>
                <w:webHidden/>
              </w:rPr>
              <w:fldChar w:fldCharType="separate"/>
            </w:r>
            <w:r w:rsidR="00657E34">
              <w:rPr>
                <w:noProof/>
                <w:webHidden/>
              </w:rPr>
              <w:t>36</w:t>
            </w:r>
            <w:r w:rsidR="000438FA">
              <w:rPr>
                <w:noProof/>
                <w:webHidden/>
              </w:rPr>
              <w:fldChar w:fldCharType="end"/>
            </w:r>
          </w:hyperlink>
        </w:p>
        <w:p w14:paraId="31C29F80" w14:textId="3EB80531"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320" w:history="1">
            <w:r w:rsidR="000438FA" w:rsidRPr="00315CA2">
              <w:rPr>
                <w:rStyle w:val="Hyperlink"/>
                <w:rFonts w:cs="Calibri"/>
                <w:noProof/>
                <w:lang w:val="en-US"/>
              </w:rPr>
              <w:t>6.3</w:t>
            </w:r>
            <w:r w:rsidR="000438FA">
              <w:rPr>
                <w:rFonts w:asciiTheme="minorHAnsi" w:eastAsiaTheme="minorEastAsia" w:hAnsiTheme="minorHAnsi"/>
                <w:noProof/>
                <w:lang w:eastAsia="en-AU"/>
              </w:rPr>
              <w:tab/>
            </w:r>
            <w:r w:rsidR="000438FA" w:rsidRPr="00315CA2">
              <w:rPr>
                <w:rStyle w:val="Hyperlink"/>
                <w:rFonts w:cs="Calibri"/>
                <w:noProof/>
                <w:lang w:val="en-US"/>
              </w:rPr>
              <w:t>Non-monetary alternatives</w:t>
            </w:r>
            <w:r w:rsidR="000438FA">
              <w:rPr>
                <w:noProof/>
                <w:webHidden/>
              </w:rPr>
              <w:tab/>
            </w:r>
            <w:r w:rsidR="000438FA">
              <w:rPr>
                <w:noProof/>
                <w:webHidden/>
              </w:rPr>
              <w:fldChar w:fldCharType="begin"/>
            </w:r>
            <w:r w:rsidR="000438FA">
              <w:rPr>
                <w:noProof/>
                <w:webHidden/>
              </w:rPr>
              <w:instrText xml:space="preserve"> PAGEREF _Toc46822320 \h </w:instrText>
            </w:r>
            <w:r w:rsidR="000438FA">
              <w:rPr>
                <w:noProof/>
                <w:webHidden/>
              </w:rPr>
            </w:r>
            <w:r w:rsidR="000438FA">
              <w:rPr>
                <w:noProof/>
                <w:webHidden/>
              </w:rPr>
              <w:fldChar w:fldCharType="separate"/>
            </w:r>
            <w:r w:rsidR="00657E34">
              <w:rPr>
                <w:noProof/>
                <w:webHidden/>
              </w:rPr>
              <w:t>37</w:t>
            </w:r>
            <w:r w:rsidR="000438FA">
              <w:rPr>
                <w:noProof/>
                <w:webHidden/>
              </w:rPr>
              <w:fldChar w:fldCharType="end"/>
            </w:r>
          </w:hyperlink>
        </w:p>
        <w:p w14:paraId="126DBD68" w14:textId="43D7774E" w:rsidR="000438FA" w:rsidRDefault="00535A67">
          <w:pPr>
            <w:pStyle w:val="TOC1"/>
            <w:tabs>
              <w:tab w:val="left" w:pos="440"/>
              <w:tab w:val="right" w:leader="dot" w:pos="9016"/>
            </w:tabs>
            <w:rPr>
              <w:rFonts w:asciiTheme="minorHAnsi" w:eastAsiaTheme="minorEastAsia" w:hAnsiTheme="minorHAnsi"/>
              <w:noProof/>
              <w:lang w:eastAsia="en-AU"/>
            </w:rPr>
          </w:pPr>
          <w:hyperlink w:anchor="_Toc46822321" w:history="1">
            <w:r w:rsidR="000438FA" w:rsidRPr="00315CA2">
              <w:rPr>
                <w:rStyle w:val="Hyperlink"/>
                <w:rFonts w:cs="Calibri"/>
                <w:noProof/>
              </w:rPr>
              <w:t>7</w:t>
            </w:r>
            <w:r w:rsidR="000438FA">
              <w:rPr>
                <w:rFonts w:asciiTheme="minorHAnsi" w:eastAsiaTheme="minorEastAsia" w:hAnsiTheme="minorHAnsi"/>
                <w:noProof/>
                <w:lang w:eastAsia="en-AU"/>
              </w:rPr>
              <w:tab/>
            </w:r>
            <w:r w:rsidR="000438FA" w:rsidRPr="00315CA2">
              <w:rPr>
                <w:rStyle w:val="Hyperlink"/>
                <w:rFonts w:cs="Calibri"/>
                <w:noProof/>
              </w:rPr>
              <w:t>Gap analysis</w:t>
            </w:r>
            <w:r w:rsidR="000438FA">
              <w:rPr>
                <w:noProof/>
                <w:webHidden/>
              </w:rPr>
              <w:tab/>
            </w:r>
            <w:r w:rsidR="000438FA">
              <w:rPr>
                <w:noProof/>
                <w:webHidden/>
              </w:rPr>
              <w:fldChar w:fldCharType="begin"/>
            </w:r>
            <w:r w:rsidR="000438FA">
              <w:rPr>
                <w:noProof/>
                <w:webHidden/>
              </w:rPr>
              <w:instrText xml:space="preserve"> PAGEREF _Toc46822321 \h </w:instrText>
            </w:r>
            <w:r w:rsidR="000438FA">
              <w:rPr>
                <w:noProof/>
                <w:webHidden/>
              </w:rPr>
            </w:r>
            <w:r w:rsidR="000438FA">
              <w:rPr>
                <w:noProof/>
                <w:webHidden/>
              </w:rPr>
              <w:fldChar w:fldCharType="separate"/>
            </w:r>
            <w:r w:rsidR="00657E34">
              <w:rPr>
                <w:noProof/>
                <w:webHidden/>
              </w:rPr>
              <w:t>37</w:t>
            </w:r>
            <w:r w:rsidR="000438FA">
              <w:rPr>
                <w:noProof/>
                <w:webHidden/>
              </w:rPr>
              <w:fldChar w:fldCharType="end"/>
            </w:r>
          </w:hyperlink>
        </w:p>
        <w:p w14:paraId="1707F256" w14:textId="37532317"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322" w:history="1">
            <w:r w:rsidR="000438FA" w:rsidRPr="00315CA2">
              <w:rPr>
                <w:rStyle w:val="Hyperlink"/>
                <w:rFonts w:cs="Calibri"/>
                <w:noProof/>
              </w:rPr>
              <w:t>7.1</w:t>
            </w:r>
            <w:r w:rsidR="000438FA">
              <w:rPr>
                <w:rFonts w:asciiTheme="minorHAnsi" w:eastAsiaTheme="minorEastAsia" w:hAnsiTheme="minorHAnsi"/>
                <w:noProof/>
                <w:lang w:eastAsia="en-AU"/>
              </w:rPr>
              <w:tab/>
            </w:r>
            <w:r w:rsidR="000438FA" w:rsidRPr="00315CA2">
              <w:rPr>
                <w:rStyle w:val="Hyperlink"/>
                <w:rFonts w:cs="Calibri"/>
                <w:noProof/>
              </w:rPr>
              <w:t>Research partnerships</w:t>
            </w:r>
            <w:r w:rsidR="000438FA">
              <w:rPr>
                <w:noProof/>
                <w:webHidden/>
              </w:rPr>
              <w:tab/>
            </w:r>
            <w:r w:rsidR="000438FA">
              <w:rPr>
                <w:noProof/>
                <w:webHidden/>
              </w:rPr>
              <w:fldChar w:fldCharType="begin"/>
            </w:r>
            <w:r w:rsidR="000438FA">
              <w:rPr>
                <w:noProof/>
                <w:webHidden/>
              </w:rPr>
              <w:instrText xml:space="preserve"> PAGEREF _Toc46822322 \h </w:instrText>
            </w:r>
            <w:r w:rsidR="000438FA">
              <w:rPr>
                <w:noProof/>
                <w:webHidden/>
              </w:rPr>
            </w:r>
            <w:r w:rsidR="000438FA">
              <w:rPr>
                <w:noProof/>
                <w:webHidden/>
              </w:rPr>
              <w:fldChar w:fldCharType="separate"/>
            </w:r>
            <w:r w:rsidR="00657E34">
              <w:rPr>
                <w:noProof/>
                <w:webHidden/>
              </w:rPr>
              <w:t>37</w:t>
            </w:r>
            <w:r w:rsidR="000438FA">
              <w:rPr>
                <w:noProof/>
                <w:webHidden/>
              </w:rPr>
              <w:fldChar w:fldCharType="end"/>
            </w:r>
          </w:hyperlink>
        </w:p>
        <w:p w14:paraId="26E87F85" w14:textId="47B63A3C"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323" w:history="1">
            <w:r w:rsidR="000438FA" w:rsidRPr="00315CA2">
              <w:rPr>
                <w:rStyle w:val="Hyperlink"/>
                <w:rFonts w:cs="Calibri"/>
                <w:noProof/>
              </w:rPr>
              <w:t>7.2</w:t>
            </w:r>
            <w:r w:rsidR="000438FA">
              <w:rPr>
                <w:rFonts w:asciiTheme="minorHAnsi" w:eastAsiaTheme="minorEastAsia" w:hAnsiTheme="minorHAnsi"/>
                <w:noProof/>
                <w:lang w:eastAsia="en-AU"/>
              </w:rPr>
              <w:tab/>
            </w:r>
            <w:r w:rsidR="000438FA" w:rsidRPr="00315CA2">
              <w:rPr>
                <w:rStyle w:val="Hyperlink"/>
                <w:rFonts w:cs="Calibri"/>
                <w:noProof/>
              </w:rPr>
              <w:t>Advancing the use of ecosystem typologies</w:t>
            </w:r>
            <w:r w:rsidR="000438FA">
              <w:rPr>
                <w:noProof/>
                <w:webHidden/>
              </w:rPr>
              <w:tab/>
            </w:r>
            <w:r w:rsidR="000438FA">
              <w:rPr>
                <w:noProof/>
                <w:webHidden/>
              </w:rPr>
              <w:fldChar w:fldCharType="begin"/>
            </w:r>
            <w:r w:rsidR="000438FA">
              <w:rPr>
                <w:noProof/>
                <w:webHidden/>
              </w:rPr>
              <w:instrText xml:space="preserve"> PAGEREF _Toc46822323 \h </w:instrText>
            </w:r>
            <w:r w:rsidR="000438FA">
              <w:rPr>
                <w:noProof/>
                <w:webHidden/>
              </w:rPr>
            </w:r>
            <w:r w:rsidR="000438FA">
              <w:rPr>
                <w:noProof/>
                <w:webHidden/>
              </w:rPr>
              <w:fldChar w:fldCharType="separate"/>
            </w:r>
            <w:r w:rsidR="00657E34">
              <w:rPr>
                <w:noProof/>
                <w:webHidden/>
              </w:rPr>
              <w:t>38</w:t>
            </w:r>
            <w:r w:rsidR="000438FA">
              <w:rPr>
                <w:noProof/>
                <w:webHidden/>
              </w:rPr>
              <w:fldChar w:fldCharType="end"/>
            </w:r>
          </w:hyperlink>
        </w:p>
        <w:p w14:paraId="4070E696" w14:textId="4D795D29" w:rsidR="000438FA" w:rsidRDefault="00535A67">
          <w:pPr>
            <w:pStyle w:val="TOC2"/>
            <w:tabs>
              <w:tab w:val="left" w:pos="880"/>
              <w:tab w:val="right" w:leader="dot" w:pos="9016"/>
            </w:tabs>
            <w:rPr>
              <w:rFonts w:asciiTheme="minorHAnsi" w:eastAsiaTheme="minorEastAsia" w:hAnsiTheme="minorHAnsi"/>
              <w:noProof/>
              <w:lang w:eastAsia="en-AU"/>
            </w:rPr>
          </w:pPr>
          <w:hyperlink w:anchor="_Toc46822324" w:history="1">
            <w:r w:rsidR="000438FA" w:rsidRPr="00315CA2">
              <w:rPr>
                <w:rStyle w:val="Hyperlink"/>
                <w:rFonts w:cs="Calibri"/>
                <w:noProof/>
              </w:rPr>
              <w:t>7.3</w:t>
            </w:r>
            <w:r w:rsidR="000438FA">
              <w:rPr>
                <w:rFonts w:asciiTheme="minorHAnsi" w:eastAsiaTheme="minorEastAsia" w:hAnsiTheme="minorHAnsi"/>
                <w:noProof/>
                <w:lang w:eastAsia="en-AU"/>
              </w:rPr>
              <w:tab/>
            </w:r>
            <w:r w:rsidR="000438FA" w:rsidRPr="00315CA2">
              <w:rPr>
                <w:rStyle w:val="Hyperlink"/>
                <w:rFonts w:cs="Calibri"/>
                <w:noProof/>
              </w:rPr>
              <w:t>Improving the collection and classification of data</w:t>
            </w:r>
            <w:r w:rsidR="000438FA">
              <w:rPr>
                <w:noProof/>
                <w:webHidden/>
              </w:rPr>
              <w:tab/>
            </w:r>
            <w:r w:rsidR="000438FA">
              <w:rPr>
                <w:noProof/>
                <w:webHidden/>
              </w:rPr>
              <w:fldChar w:fldCharType="begin"/>
            </w:r>
            <w:r w:rsidR="000438FA">
              <w:rPr>
                <w:noProof/>
                <w:webHidden/>
              </w:rPr>
              <w:instrText xml:space="preserve"> PAGEREF _Toc46822324 \h </w:instrText>
            </w:r>
            <w:r w:rsidR="000438FA">
              <w:rPr>
                <w:noProof/>
                <w:webHidden/>
              </w:rPr>
            </w:r>
            <w:r w:rsidR="000438FA">
              <w:rPr>
                <w:noProof/>
                <w:webHidden/>
              </w:rPr>
              <w:fldChar w:fldCharType="separate"/>
            </w:r>
            <w:r w:rsidR="00657E34">
              <w:rPr>
                <w:noProof/>
                <w:webHidden/>
              </w:rPr>
              <w:t>39</w:t>
            </w:r>
            <w:r w:rsidR="000438FA">
              <w:rPr>
                <w:noProof/>
                <w:webHidden/>
              </w:rPr>
              <w:fldChar w:fldCharType="end"/>
            </w:r>
          </w:hyperlink>
        </w:p>
        <w:p w14:paraId="464AD718" w14:textId="16066E55" w:rsidR="000438FA" w:rsidRDefault="00535A67">
          <w:pPr>
            <w:pStyle w:val="TOC1"/>
            <w:tabs>
              <w:tab w:val="left" w:pos="440"/>
              <w:tab w:val="right" w:leader="dot" w:pos="9016"/>
            </w:tabs>
            <w:rPr>
              <w:rFonts w:asciiTheme="minorHAnsi" w:eastAsiaTheme="minorEastAsia" w:hAnsiTheme="minorHAnsi"/>
              <w:noProof/>
              <w:lang w:eastAsia="en-AU"/>
            </w:rPr>
          </w:pPr>
          <w:hyperlink w:anchor="_Toc46822325" w:history="1">
            <w:r w:rsidR="000438FA" w:rsidRPr="00315CA2">
              <w:rPr>
                <w:rStyle w:val="Hyperlink"/>
                <w:rFonts w:cs="Calibri"/>
                <w:noProof/>
              </w:rPr>
              <w:t>8</w:t>
            </w:r>
            <w:r w:rsidR="000438FA">
              <w:rPr>
                <w:rFonts w:asciiTheme="minorHAnsi" w:eastAsiaTheme="minorEastAsia" w:hAnsiTheme="minorHAnsi"/>
                <w:noProof/>
                <w:lang w:eastAsia="en-AU"/>
              </w:rPr>
              <w:tab/>
            </w:r>
            <w:r w:rsidR="000438FA" w:rsidRPr="00315CA2">
              <w:rPr>
                <w:rStyle w:val="Hyperlink"/>
                <w:rFonts w:cs="Calibri"/>
                <w:noProof/>
              </w:rPr>
              <w:t>Prioritising wetlands for future valuations</w:t>
            </w:r>
            <w:r w:rsidR="000438FA">
              <w:rPr>
                <w:noProof/>
                <w:webHidden/>
              </w:rPr>
              <w:tab/>
            </w:r>
            <w:r w:rsidR="000438FA">
              <w:rPr>
                <w:noProof/>
                <w:webHidden/>
              </w:rPr>
              <w:fldChar w:fldCharType="begin"/>
            </w:r>
            <w:r w:rsidR="000438FA">
              <w:rPr>
                <w:noProof/>
                <w:webHidden/>
              </w:rPr>
              <w:instrText xml:space="preserve"> PAGEREF _Toc46822325 \h </w:instrText>
            </w:r>
            <w:r w:rsidR="000438FA">
              <w:rPr>
                <w:noProof/>
                <w:webHidden/>
              </w:rPr>
            </w:r>
            <w:r w:rsidR="000438FA">
              <w:rPr>
                <w:noProof/>
                <w:webHidden/>
              </w:rPr>
              <w:fldChar w:fldCharType="separate"/>
            </w:r>
            <w:r w:rsidR="00657E34">
              <w:rPr>
                <w:noProof/>
                <w:webHidden/>
              </w:rPr>
              <w:t>42</w:t>
            </w:r>
            <w:r w:rsidR="000438FA">
              <w:rPr>
                <w:noProof/>
                <w:webHidden/>
              </w:rPr>
              <w:fldChar w:fldCharType="end"/>
            </w:r>
          </w:hyperlink>
        </w:p>
        <w:p w14:paraId="402A7BF3" w14:textId="556B8C0A" w:rsidR="000438FA" w:rsidRDefault="00535A67">
          <w:pPr>
            <w:pStyle w:val="TOC1"/>
            <w:tabs>
              <w:tab w:val="left" w:pos="440"/>
              <w:tab w:val="right" w:leader="dot" w:pos="9016"/>
            </w:tabs>
            <w:rPr>
              <w:rFonts w:asciiTheme="minorHAnsi" w:eastAsiaTheme="minorEastAsia" w:hAnsiTheme="minorHAnsi"/>
              <w:noProof/>
              <w:lang w:eastAsia="en-AU"/>
            </w:rPr>
          </w:pPr>
          <w:hyperlink w:anchor="_Toc46822326" w:history="1">
            <w:r w:rsidR="000438FA" w:rsidRPr="00315CA2">
              <w:rPr>
                <w:rStyle w:val="Hyperlink"/>
                <w:rFonts w:cs="Calibri"/>
                <w:noProof/>
              </w:rPr>
              <w:t>9</w:t>
            </w:r>
            <w:r w:rsidR="000438FA">
              <w:rPr>
                <w:rFonts w:asciiTheme="minorHAnsi" w:eastAsiaTheme="minorEastAsia" w:hAnsiTheme="minorHAnsi"/>
                <w:noProof/>
                <w:lang w:eastAsia="en-AU"/>
              </w:rPr>
              <w:tab/>
            </w:r>
            <w:r w:rsidR="000438FA" w:rsidRPr="00315CA2">
              <w:rPr>
                <w:rStyle w:val="Hyperlink"/>
                <w:rFonts w:cs="Calibri"/>
                <w:noProof/>
              </w:rPr>
              <w:t>Conclusions and Recommendations</w:t>
            </w:r>
            <w:r w:rsidR="000438FA">
              <w:rPr>
                <w:noProof/>
                <w:webHidden/>
              </w:rPr>
              <w:tab/>
            </w:r>
            <w:r w:rsidR="000438FA">
              <w:rPr>
                <w:noProof/>
                <w:webHidden/>
              </w:rPr>
              <w:fldChar w:fldCharType="begin"/>
            </w:r>
            <w:r w:rsidR="000438FA">
              <w:rPr>
                <w:noProof/>
                <w:webHidden/>
              </w:rPr>
              <w:instrText xml:space="preserve"> PAGEREF _Toc46822326 \h </w:instrText>
            </w:r>
            <w:r w:rsidR="000438FA">
              <w:rPr>
                <w:noProof/>
                <w:webHidden/>
              </w:rPr>
            </w:r>
            <w:r w:rsidR="000438FA">
              <w:rPr>
                <w:noProof/>
                <w:webHidden/>
              </w:rPr>
              <w:fldChar w:fldCharType="separate"/>
            </w:r>
            <w:r w:rsidR="00657E34">
              <w:rPr>
                <w:noProof/>
                <w:webHidden/>
              </w:rPr>
              <w:t>44</w:t>
            </w:r>
            <w:r w:rsidR="000438FA">
              <w:rPr>
                <w:noProof/>
                <w:webHidden/>
              </w:rPr>
              <w:fldChar w:fldCharType="end"/>
            </w:r>
          </w:hyperlink>
        </w:p>
        <w:p w14:paraId="38E1F703" w14:textId="007FC4C8" w:rsidR="000438FA" w:rsidRDefault="00535A67">
          <w:pPr>
            <w:pStyle w:val="TOC1"/>
            <w:tabs>
              <w:tab w:val="left" w:pos="660"/>
              <w:tab w:val="right" w:leader="dot" w:pos="9016"/>
            </w:tabs>
            <w:rPr>
              <w:rFonts w:asciiTheme="minorHAnsi" w:eastAsiaTheme="minorEastAsia" w:hAnsiTheme="minorHAnsi"/>
              <w:noProof/>
              <w:lang w:eastAsia="en-AU"/>
            </w:rPr>
          </w:pPr>
          <w:hyperlink w:anchor="_Toc46822327" w:history="1">
            <w:r w:rsidR="000438FA" w:rsidRPr="00315CA2">
              <w:rPr>
                <w:rStyle w:val="Hyperlink"/>
                <w:rFonts w:cs="Calibri"/>
                <w:noProof/>
              </w:rPr>
              <w:t>10</w:t>
            </w:r>
            <w:r w:rsidR="000438FA">
              <w:rPr>
                <w:rFonts w:asciiTheme="minorHAnsi" w:eastAsiaTheme="minorEastAsia" w:hAnsiTheme="minorHAnsi"/>
                <w:noProof/>
                <w:lang w:eastAsia="en-AU"/>
              </w:rPr>
              <w:tab/>
            </w:r>
            <w:r w:rsidR="000438FA" w:rsidRPr="00315CA2">
              <w:rPr>
                <w:rStyle w:val="Hyperlink"/>
                <w:rFonts w:cs="Calibri"/>
                <w:noProof/>
              </w:rPr>
              <w:t>Appendix 1 List of valuation studies</w:t>
            </w:r>
            <w:r w:rsidR="000438FA">
              <w:rPr>
                <w:noProof/>
                <w:webHidden/>
              </w:rPr>
              <w:tab/>
            </w:r>
            <w:r w:rsidR="000438FA">
              <w:rPr>
                <w:noProof/>
                <w:webHidden/>
              </w:rPr>
              <w:fldChar w:fldCharType="begin"/>
            </w:r>
            <w:r w:rsidR="000438FA">
              <w:rPr>
                <w:noProof/>
                <w:webHidden/>
              </w:rPr>
              <w:instrText xml:space="preserve"> PAGEREF _Toc46822327 \h </w:instrText>
            </w:r>
            <w:r w:rsidR="000438FA">
              <w:rPr>
                <w:noProof/>
                <w:webHidden/>
              </w:rPr>
            </w:r>
            <w:r w:rsidR="000438FA">
              <w:rPr>
                <w:noProof/>
                <w:webHidden/>
              </w:rPr>
              <w:fldChar w:fldCharType="separate"/>
            </w:r>
            <w:r w:rsidR="00657E34">
              <w:rPr>
                <w:noProof/>
                <w:webHidden/>
              </w:rPr>
              <w:t>48</w:t>
            </w:r>
            <w:r w:rsidR="000438FA">
              <w:rPr>
                <w:noProof/>
                <w:webHidden/>
              </w:rPr>
              <w:fldChar w:fldCharType="end"/>
            </w:r>
          </w:hyperlink>
        </w:p>
        <w:p w14:paraId="4FCE10D8" w14:textId="4483B9FD" w:rsidR="000438FA" w:rsidRDefault="00535A67">
          <w:pPr>
            <w:pStyle w:val="TOC1"/>
            <w:tabs>
              <w:tab w:val="left" w:pos="660"/>
              <w:tab w:val="right" w:leader="dot" w:pos="9016"/>
            </w:tabs>
            <w:rPr>
              <w:rFonts w:asciiTheme="minorHAnsi" w:eastAsiaTheme="minorEastAsia" w:hAnsiTheme="minorHAnsi"/>
              <w:noProof/>
              <w:lang w:eastAsia="en-AU"/>
            </w:rPr>
          </w:pPr>
          <w:hyperlink w:anchor="_Toc46822328" w:history="1">
            <w:r w:rsidR="000438FA" w:rsidRPr="00315CA2">
              <w:rPr>
                <w:rStyle w:val="Hyperlink"/>
                <w:rFonts w:cs="Calibri"/>
                <w:noProof/>
              </w:rPr>
              <w:t>11</w:t>
            </w:r>
            <w:r w:rsidR="000438FA">
              <w:rPr>
                <w:rFonts w:asciiTheme="minorHAnsi" w:eastAsiaTheme="minorEastAsia" w:hAnsiTheme="minorHAnsi"/>
                <w:noProof/>
                <w:lang w:eastAsia="en-AU"/>
              </w:rPr>
              <w:tab/>
            </w:r>
            <w:r w:rsidR="000438FA" w:rsidRPr="00315CA2">
              <w:rPr>
                <w:rStyle w:val="Hyperlink"/>
                <w:rFonts w:cs="Calibri"/>
                <w:noProof/>
              </w:rPr>
              <w:t>Appendix 2 List of experts interviewed</w:t>
            </w:r>
            <w:r w:rsidR="000438FA">
              <w:rPr>
                <w:noProof/>
                <w:webHidden/>
              </w:rPr>
              <w:tab/>
            </w:r>
            <w:r w:rsidR="000438FA">
              <w:rPr>
                <w:noProof/>
                <w:webHidden/>
              </w:rPr>
              <w:fldChar w:fldCharType="begin"/>
            </w:r>
            <w:r w:rsidR="000438FA">
              <w:rPr>
                <w:noProof/>
                <w:webHidden/>
              </w:rPr>
              <w:instrText xml:space="preserve"> PAGEREF _Toc46822328 \h </w:instrText>
            </w:r>
            <w:r w:rsidR="000438FA">
              <w:rPr>
                <w:noProof/>
                <w:webHidden/>
              </w:rPr>
            </w:r>
            <w:r w:rsidR="000438FA">
              <w:rPr>
                <w:noProof/>
                <w:webHidden/>
              </w:rPr>
              <w:fldChar w:fldCharType="separate"/>
            </w:r>
            <w:r w:rsidR="00657E34">
              <w:rPr>
                <w:noProof/>
                <w:webHidden/>
              </w:rPr>
              <w:t>51</w:t>
            </w:r>
            <w:r w:rsidR="000438FA">
              <w:rPr>
                <w:noProof/>
                <w:webHidden/>
              </w:rPr>
              <w:fldChar w:fldCharType="end"/>
            </w:r>
          </w:hyperlink>
        </w:p>
        <w:p w14:paraId="2F6917BF" w14:textId="175CD1A0" w:rsidR="000438FA" w:rsidRDefault="00535A67">
          <w:pPr>
            <w:pStyle w:val="TOC1"/>
            <w:tabs>
              <w:tab w:val="left" w:pos="660"/>
              <w:tab w:val="right" w:leader="dot" w:pos="9016"/>
            </w:tabs>
            <w:rPr>
              <w:rFonts w:asciiTheme="minorHAnsi" w:eastAsiaTheme="minorEastAsia" w:hAnsiTheme="minorHAnsi"/>
              <w:noProof/>
              <w:lang w:eastAsia="en-AU"/>
            </w:rPr>
          </w:pPr>
          <w:hyperlink w:anchor="_Toc46822329" w:history="1">
            <w:r w:rsidR="000438FA" w:rsidRPr="00315CA2">
              <w:rPr>
                <w:rStyle w:val="Hyperlink"/>
                <w:rFonts w:cs="Calibri"/>
                <w:noProof/>
              </w:rPr>
              <w:t>12</w:t>
            </w:r>
            <w:r w:rsidR="000438FA">
              <w:rPr>
                <w:rFonts w:asciiTheme="minorHAnsi" w:eastAsiaTheme="minorEastAsia" w:hAnsiTheme="minorHAnsi"/>
                <w:noProof/>
                <w:lang w:eastAsia="en-AU"/>
              </w:rPr>
              <w:tab/>
            </w:r>
            <w:r w:rsidR="000438FA" w:rsidRPr="00315CA2">
              <w:rPr>
                <w:rStyle w:val="Hyperlink"/>
                <w:rFonts w:cs="Calibri"/>
                <w:noProof/>
              </w:rPr>
              <w:t>Appendix 3 DRR coastal wetland models</w:t>
            </w:r>
            <w:r w:rsidR="000438FA">
              <w:rPr>
                <w:noProof/>
                <w:webHidden/>
              </w:rPr>
              <w:tab/>
            </w:r>
            <w:r w:rsidR="000438FA">
              <w:rPr>
                <w:noProof/>
                <w:webHidden/>
              </w:rPr>
              <w:fldChar w:fldCharType="begin"/>
            </w:r>
            <w:r w:rsidR="000438FA">
              <w:rPr>
                <w:noProof/>
                <w:webHidden/>
              </w:rPr>
              <w:instrText xml:space="preserve"> PAGEREF _Toc46822329 \h </w:instrText>
            </w:r>
            <w:r w:rsidR="000438FA">
              <w:rPr>
                <w:noProof/>
                <w:webHidden/>
              </w:rPr>
            </w:r>
            <w:r w:rsidR="000438FA">
              <w:rPr>
                <w:noProof/>
                <w:webHidden/>
              </w:rPr>
              <w:fldChar w:fldCharType="separate"/>
            </w:r>
            <w:r w:rsidR="00657E34">
              <w:rPr>
                <w:noProof/>
                <w:webHidden/>
              </w:rPr>
              <w:t>52</w:t>
            </w:r>
            <w:r w:rsidR="000438FA">
              <w:rPr>
                <w:noProof/>
                <w:webHidden/>
              </w:rPr>
              <w:fldChar w:fldCharType="end"/>
            </w:r>
          </w:hyperlink>
        </w:p>
        <w:p w14:paraId="6DC0B5BA" w14:textId="3540C3E7" w:rsidR="000438FA" w:rsidRDefault="00535A67">
          <w:pPr>
            <w:pStyle w:val="TOC1"/>
            <w:tabs>
              <w:tab w:val="left" w:pos="660"/>
              <w:tab w:val="right" w:leader="dot" w:pos="9016"/>
            </w:tabs>
            <w:rPr>
              <w:rFonts w:asciiTheme="minorHAnsi" w:eastAsiaTheme="minorEastAsia" w:hAnsiTheme="minorHAnsi"/>
              <w:noProof/>
              <w:lang w:eastAsia="en-AU"/>
            </w:rPr>
          </w:pPr>
          <w:hyperlink w:anchor="_Toc46822330" w:history="1">
            <w:r w:rsidR="000438FA" w:rsidRPr="00315CA2">
              <w:rPr>
                <w:rStyle w:val="Hyperlink"/>
                <w:rFonts w:cs="Calibri"/>
                <w:noProof/>
              </w:rPr>
              <w:t>13</w:t>
            </w:r>
            <w:r w:rsidR="000438FA">
              <w:rPr>
                <w:rFonts w:asciiTheme="minorHAnsi" w:eastAsiaTheme="minorEastAsia" w:hAnsiTheme="minorHAnsi"/>
                <w:noProof/>
                <w:lang w:eastAsia="en-AU"/>
              </w:rPr>
              <w:tab/>
            </w:r>
            <w:r w:rsidR="000438FA" w:rsidRPr="00315CA2">
              <w:rPr>
                <w:rStyle w:val="Hyperlink"/>
                <w:rFonts w:cs="Calibri"/>
                <w:noProof/>
              </w:rPr>
              <w:t>Appendix 4 Natural capital accounting data structure</w:t>
            </w:r>
            <w:r w:rsidR="000438FA">
              <w:rPr>
                <w:noProof/>
                <w:webHidden/>
              </w:rPr>
              <w:tab/>
            </w:r>
            <w:r w:rsidR="000438FA">
              <w:rPr>
                <w:noProof/>
                <w:webHidden/>
              </w:rPr>
              <w:fldChar w:fldCharType="begin"/>
            </w:r>
            <w:r w:rsidR="000438FA">
              <w:rPr>
                <w:noProof/>
                <w:webHidden/>
              </w:rPr>
              <w:instrText xml:space="preserve"> PAGEREF _Toc46822330 \h </w:instrText>
            </w:r>
            <w:r w:rsidR="000438FA">
              <w:rPr>
                <w:noProof/>
                <w:webHidden/>
              </w:rPr>
            </w:r>
            <w:r w:rsidR="000438FA">
              <w:rPr>
                <w:noProof/>
                <w:webHidden/>
              </w:rPr>
              <w:fldChar w:fldCharType="separate"/>
            </w:r>
            <w:r w:rsidR="00657E34">
              <w:rPr>
                <w:noProof/>
                <w:webHidden/>
              </w:rPr>
              <w:t>57</w:t>
            </w:r>
            <w:r w:rsidR="000438FA">
              <w:rPr>
                <w:noProof/>
                <w:webHidden/>
              </w:rPr>
              <w:fldChar w:fldCharType="end"/>
            </w:r>
          </w:hyperlink>
        </w:p>
        <w:p w14:paraId="15089B61" w14:textId="24FECD59" w:rsidR="000438FA" w:rsidRDefault="00535A67">
          <w:pPr>
            <w:pStyle w:val="TOC1"/>
            <w:tabs>
              <w:tab w:val="left" w:pos="660"/>
              <w:tab w:val="right" w:leader="dot" w:pos="9016"/>
            </w:tabs>
            <w:rPr>
              <w:rFonts w:asciiTheme="minorHAnsi" w:eastAsiaTheme="minorEastAsia" w:hAnsiTheme="minorHAnsi"/>
              <w:noProof/>
              <w:lang w:eastAsia="en-AU"/>
            </w:rPr>
          </w:pPr>
          <w:hyperlink w:anchor="_Toc46822331" w:history="1">
            <w:r w:rsidR="000438FA" w:rsidRPr="00315CA2">
              <w:rPr>
                <w:rStyle w:val="Hyperlink"/>
                <w:rFonts w:cs="Calibri"/>
                <w:noProof/>
              </w:rPr>
              <w:t>14</w:t>
            </w:r>
            <w:r w:rsidR="000438FA">
              <w:rPr>
                <w:rFonts w:asciiTheme="minorHAnsi" w:eastAsiaTheme="minorEastAsia" w:hAnsiTheme="minorHAnsi"/>
                <w:noProof/>
                <w:lang w:eastAsia="en-AU"/>
              </w:rPr>
              <w:tab/>
            </w:r>
            <w:r w:rsidR="000438FA" w:rsidRPr="00315CA2">
              <w:rPr>
                <w:rStyle w:val="Hyperlink"/>
                <w:rFonts w:cs="Calibri"/>
                <w:noProof/>
              </w:rPr>
              <w:t>Appendix 5 History of ecosystem services classification</w:t>
            </w:r>
            <w:r w:rsidR="000438FA">
              <w:rPr>
                <w:noProof/>
                <w:webHidden/>
              </w:rPr>
              <w:tab/>
            </w:r>
            <w:r w:rsidR="000438FA">
              <w:rPr>
                <w:noProof/>
                <w:webHidden/>
              </w:rPr>
              <w:fldChar w:fldCharType="begin"/>
            </w:r>
            <w:r w:rsidR="000438FA">
              <w:rPr>
                <w:noProof/>
                <w:webHidden/>
              </w:rPr>
              <w:instrText xml:space="preserve"> PAGEREF _Toc46822331 \h </w:instrText>
            </w:r>
            <w:r w:rsidR="000438FA">
              <w:rPr>
                <w:noProof/>
                <w:webHidden/>
              </w:rPr>
            </w:r>
            <w:r w:rsidR="000438FA">
              <w:rPr>
                <w:noProof/>
                <w:webHidden/>
              </w:rPr>
              <w:fldChar w:fldCharType="separate"/>
            </w:r>
            <w:r w:rsidR="00657E34">
              <w:rPr>
                <w:noProof/>
                <w:webHidden/>
              </w:rPr>
              <w:t>58</w:t>
            </w:r>
            <w:r w:rsidR="000438FA">
              <w:rPr>
                <w:noProof/>
                <w:webHidden/>
              </w:rPr>
              <w:fldChar w:fldCharType="end"/>
            </w:r>
          </w:hyperlink>
        </w:p>
        <w:p w14:paraId="063DA6FE" w14:textId="6F675976" w:rsidR="000438FA" w:rsidRDefault="00535A67">
          <w:pPr>
            <w:pStyle w:val="TOC1"/>
            <w:tabs>
              <w:tab w:val="left" w:pos="660"/>
              <w:tab w:val="right" w:leader="dot" w:pos="9016"/>
            </w:tabs>
            <w:rPr>
              <w:rFonts w:asciiTheme="minorHAnsi" w:eastAsiaTheme="minorEastAsia" w:hAnsiTheme="minorHAnsi"/>
              <w:noProof/>
              <w:lang w:eastAsia="en-AU"/>
            </w:rPr>
          </w:pPr>
          <w:hyperlink w:anchor="_Toc46822332" w:history="1">
            <w:r w:rsidR="000438FA" w:rsidRPr="00315CA2">
              <w:rPr>
                <w:rStyle w:val="Hyperlink"/>
                <w:rFonts w:cs="Calibri"/>
                <w:noProof/>
              </w:rPr>
              <w:t>15</w:t>
            </w:r>
            <w:r w:rsidR="000438FA">
              <w:rPr>
                <w:rFonts w:asciiTheme="minorHAnsi" w:eastAsiaTheme="minorEastAsia" w:hAnsiTheme="minorHAnsi"/>
                <w:noProof/>
                <w:lang w:eastAsia="en-AU"/>
              </w:rPr>
              <w:tab/>
            </w:r>
            <w:r w:rsidR="000438FA" w:rsidRPr="00315CA2">
              <w:rPr>
                <w:rStyle w:val="Hyperlink"/>
                <w:rFonts w:cs="Calibri"/>
                <w:noProof/>
              </w:rPr>
              <w:t>References</w:t>
            </w:r>
            <w:r w:rsidR="000438FA">
              <w:rPr>
                <w:noProof/>
                <w:webHidden/>
              </w:rPr>
              <w:tab/>
            </w:r>
            <w:r w:rsidR="000438FA">
              <w:rPr>
                <w:noProof/>
                <w:webHidden/>
              </w:rPr>
              <w:fldChar w:fldCharType="begin"/>
            </w:r>
            <w:r w:rsidR="000438FA">
              <w:rPr>
                <w:noProof/>
                <w:webHidden/>
              </w:rPr>
              <w:instrText xml:space="preserve"> PAGEREF _Toc46822332 \h </w:instrText>
            </w:r>
            <w:r w:rsidR="000438FA">
              <w:rPr>
                <w:noProof/>
                <w:webHidden/>
              </w:rPr>
            </w:r>
            <w:r w:rsidR="000438FA">
              <w:rPr>
                <w:noProof/>
                <w:webHidden/>
              </w:rPr>
              <w:fldChar w:fldCharType="separate"/>
            </w:r>
            <w:r w:rsidR="00657E34">
              <w:rPr>
                <w:noProof/>
                <w:webHidden/>
              </w:rPr>
              <w:t>68</w:t>
            </w:r>
            <w:r w:rsidR="000438FA">
              <w:rPr>
                <w:noProof/>
                <w:webHidden/>
              </w:rPr>
              <w:fldChar w:fldCharType="end"/>
            </w:r>
          </w:hyperlink>
        </w:p>
        <w:p w14:paraId="2021E2E9" w14:textId="063C0E15" w:rsidR="00CE3B13" w:rsidRPr="00BC7A12" w:rsidRDefault="00DB35E5" w:rsidP="00DB35E5">
          <w:pPr>
            <w:pStyle w:val="TOC1"/>
            <w:tabs>
              <w:tab w:val="left" w:pos="440"/>
              <w:tab w:val="right" w:leader="dot" w:pos="9016"/>
            </w:tabs>
            <w:rPr>
              <w:rFonts w:cs="Calibri"/>
              <w:noProof/>
            </w:rPr>
          </w:pPr>
          <w:r w:rsidRPr="00BC7A12">
            <w:rPr>
              <w:rFonts w:cs="Calibri"/>
            </w:rPr>
            <w:fldChar w:fldCharType="end"/>
          </w:r>
        </w:p>
      </w:sdtContent>
    </w:sdt>
    <w:p w14:paraId="49C5034B" w14:textId="4107D59F" w:rsidR="00975934" w:rsidRPr="00BC7A12" w:rsidRDefault="00F87F31" w:rsidP="00F87F31">
      <w:pPr>
        <w:rPr>
          <w:rFonts w:cs="Calibri"/>
          <w:b/>
          <w:bCs/>
          <w:sz w:val="30"/>
          <w:szCs w:val="30"/>
        </w:rPr>
      </w:pPr>
      <w:r w:rsidRPr="00BC7A12">
        <w:rPr>
          <w:rFonts w:cs="Calibri"/>
          <w:b/>
          <w:bCs/>
          <w:sz w:val="30"/>
          <w:szCs w:val="30"/>
        </w:rPr>
        <w:t>FIGURES</w:t>
      </w:r>
    </w:p>
    <w:p w14:paraId="0616DCAB" w14:textId="53740B7C" w:rsidR="000438FA" w:rsidRDefault="00975934">
      <w:pPr>
        <w:pStyle w:val="TableofFigures"/>
        <w:tabs>
          <w:tab w:val="right" w:leader="dot" w:pos="9016"/>
        </w:tabs>
        <w:rPr>
          <w:rFonts w:asciiTheme="minorHAnsi" w:eastAsiaTheme="minorEastAsia" w:hAnsiTheme="minorHAnsi"/>
          <w:noProof/>
          <w:lang w:eastAsia="en-AU"/>
        </w:rPr>
      </w:pPr>
      <w:r w:rsidRPr="00BC7A12">
        <w:rPr>
          <w:rFonts w:cs="Calibri"/>
        </w:rPr>
        <w:fldChar w:fldCharType="begin"/>
      </w:r>
      <w:r w:rsidRPr="00BC7A12">
        <w:rPr>
          <w:rFonts w:cs="Calibri"/>
        </w:rPr>
        <w:instrText xml:space="preserve"> TOC \h \z \c "Figure" </w:instrText>
      </w:r>
      <w:r w:rsidRPr="00BC7A12">
        <w:rPr>
          <w:rFonts w:cs="Calibri"/>
        </w:rPr>
        <w:fldChar w:fldCharType="separate"/>
      </w:r>
      <w:hyperlink w:anchor="_Toc46822333" w:history="1">
        <w:r w:rsidR="000438FA" w:rsidRPr="00387CD5">
          <w:rPr>
            <w:rStyle w:val="Hyperlink"/>
            <w:rFonts w:cs="Calibri"/>
            <w:noProof/>
          </w:rPr>
          <w:t>Figure 1 Disasters, damages, protection and impacts of coastal wetlands</w:t>
        </w:r>
        <w:r w:rsidR="000438FA">
          <w:rPr>
            <w:noProof/>
            <w:webHidden/>
          </w:rPr>
          <w:tab/>
        </w:r>
        <w:r w:rsidR="000438FA">
          <w:rPr>
            <w:noProof/>
            <w:webHidden/>
          </w:rPr>
          <w:fldChar w:fldCharType="begin"/>
        </w:r>
        <w:r w:rsidR="000438FA">
          <w:rPr>
            <w:noProof/>
            <w:webHidden/>
          </w:rPr>
          <w:instrText xml:space="preserve"> PAGEREF _Toc46822333 \h </w:instrText>
        </w:r>
        <w:r w:rsidR="000438FA">
          <w:rPr>
            <w:noProof/>
            <w:webHidden/>
          </w:rPr>
        </w:r>
        <w:r w:rsidR="000438FA">
          <w:rPr>
            <w:noProof/>
            <w:webHidden/>
          </w:rPr>
          <w:fldChar w:fldCharType="separate"/>
        </w:r>
        <w:r w:rsidR="00657E34">
          <w:rPr>
            <w:noProof/>
            <w:webHidden/>
          </w:rPr>
          <w:t>11</w:t>
        </w:r>
        <w:r w:rsidR="000438FA">
          <w:rPr>
            <w:noProof/>
            <w:webHidden/>
          </w:rPr>
          <w:fldChar w:fldCharType="end"/>
        </w:r>
      </w:hyperlink>
    </w:p>
    <w:p w14:paraId="361C2DD7" w14:textId="0623DAE9" w:rsidR="000438FA" w:rsidRDefault="00535A67">
      <w:pPr>
        <w:pStyle w:val="TableofFigures"/>
        <w:tabs>
          <w:tab w:val="right" w:leader="dot" w:pos="9016"/>
        </w:tabs>
        <w:rPr>
          <w:rFonts w:asciiTheme="minorHAnsi" w:eastAsiaTheme="minorEastAsia" w:hAnsiTheme="minorHAnsi"/>
          <w:noProof/>
          <w:lang w:eastAsia="en-AU"/>
        </w:rPr>
      </w:pPr>
      <w:hyperlink w:anchor="_Toc46822334" w:history="1">
        <w:r w:rsidR="000438FA" w:rsidRPr="00387CD5">
          <w:rPr>
            <w:rStyle w:val="Hyperlink"/>
            <w:rFonts w:cs="Calibri"/>
            <w:noProof/>
          </w:rPr>
          <w:t>Figure 2 Study framework (adapted from United Nations Statistics Division 2018)</w:t>
        </w:r>
        <w:r w:rsidR="000438FA">
          <w:rPr>
            <w:noProof/>
            <w:webHidden/>
          </w:rPr>
          <w:tab/>
        </w:r>
        <w:r w:rsidR="000438FA">
          <w:rPr>
            <w:noProof/>
            <w:webHidden/>
          </w:rPr>
          <w:fldChar w:fldCharType="begin"/>
        </w:r>
        <w:r w:rsidR="000438FA">
          <w:rPr>
            <w:noProof/>
            <w:webHidden/>
          </w:rPr>
          <w:instrText xml:space="preserve"> PAGEREF _Toc46822334 \h </w:instrText>
        </w:r>
        <w:r w:rsidR="000438FA">
          <w:rPr>
            <w:noProof/>
            <w:webHidden/>
          </w:rPr>
        </w:r>
        <w:r w:rsidR="000438FA">
          <w:rPr>
            <w:noProof/>
            <w:webHidden/>
          </w:rPr>
          <w:fldChar w:fldCharType="separate"/>
        </w:r>
        <w:r w:rsidR="00657E34">
          <w:rPr>
            <w:noProof/>
            <w:webHidden/>
          </w:rPr>
          <w:t>14</w:t>
        </w:r>
        <w:r w:rsidR="000438FA">
          <w:rPr>
            <w:noProof/>
            <w:webHidden/>
          </w:rPr>
          <w:fldChar w:fldCharType="end"/>
        </w:r>
      </w:hyperlink>
    </w:p>
    <w:p w14:paraId="721760E7" w14:textId="7B8E3694" w:rsidR="000438FA" w:rsidRDefault="00535A67">
      <w:pPr>
        <w:pStyle w:val="TableofFigures"/>
        <w:tabs>
          <w:tab w:val="right" w:leader="dot" w:pos="9016"/>
        </w:tabs>
        <w:rPr>
          <w:rFonts w:asciiTheme="minorHAnsi" w:eastAsiaTheme="minorEastAsia" w:hAnsiTheme="minorHAnsi"/>
          <w:noProof/>
          <w:lang w:eastAsia="en-AU"/>
        </w:rPr>
      </w:pPr>
      <w:hyperlink w:anchor="_Toc46822335" w:history="1">
        <w:r w:rsidR="000438FA" w:rsidRPr="00387CD5">
          <w:rPr>
            <w:rStyle w:val="Hyperlink"/>
            <w:rFonts w:cs="Calibri"/>
            <w:noProof/>
          </w:rPr>
          <w:t>Figure 3 Number of wetlands valuations captured</w:t>
        </w:r>
        <w:r w:rsidR="000438FA">
          <w:rPr>
            <w:noProof/>
            <w:webHidden/>
          </w:rPr>
          <w:tab/>
        </w:r>
        <w:r w:rsidR="000438FA">
          <w:rPr>
            <w:noProof/>
            <w:webHidden/>
          </w:rPr>
          <w:fldChar w:fldCharType="begin"/>
        </w:r>
        <w:r w:rsidR="000438FA">
          <w:rPr>
            <w:noProof/>
            <w:webHidden/>
          </w:rPr>
          <w:instrText xml:space="preserve"> PAGEREF _Toc46822335 \h </w:instrText>
        </w:r>
        <w:r w:rsidR="000438FA">
          <w:rPr>
            <w:noProof/>
            <w:webHidden/>
          </w:rPr>
        </w:r>
        <w:r w:rsidR="000438FA">
          <w:rPr>
            <w:noProof/>
            <w:webHidden/>
          </w:rPr>
          <w:fldChar w:fldCharType="separate"/>
        </w:r>
        <w:r w:rsidR="00657E34">
          <w:rPr>
            <w:noProof/>
            <w:webHidden/>
          </w:rPr>
          <w:t>21</w:t>
        </w:r>
        <w:r w:rsidR="000438FA">
          <w:rPr>
            <w:noProof/>
            <w:webHidden/>
          </w:rPr>
          <w:fldChar w:fldCharType="end"/>
        </w:r>
      </w:hyperlink>
    </w:p>
    <w:p w14:paraId="05ED68EB" w14:textId="7A199BAB" w:rsidR="000438FA" w:rsidRDefault="00535A67">
      <w:pPr>
        <w:pStyle w:val="TableofFigures"/>
        <w:tabs>
          <w:tab w:val="right" w:leader="dot" w:pos="9016"/>
        </w:tabs>
        <w:rPr>
          <w:rFonts w:asciiTheme="minorHAnsi" w:eastAsiaTheme="minorEastAsia" w:hAnsiTheme="minorHAnsi"/>
          <w:noProof/>
          <w:lang w:eastAsia="en-AU"/>
        </w:rPr>
      </w:pPr>
      <w:hyperlink w:anchor="_Toc46822336" w:history="1">
        <w:r w:rsidR="000438FA" w:rsidRPr="00387CD5">
          <w:rPr>
            <w:rStyle w:val="Hyperlink"/>
            <w:rFonts w:cs="Calibri"/>
            <w:noProof/>
          </w:rPr>
          <w:t>Figure 4 Valuation technique frequency of use</w:t>
        </w:r>
        <w:r w:rsidR="000438FA">
          <w:rPr>
            <w:noProof/>
            <w:webHidden/>
          </w:rPr>
          <w:tab/>
        </w:r>
        <w:r w:rsidR="000438FA">
          <w:rPr>
            <w:noProof/>
            <w:webHidden/>
          </w:rPr>
          <w:fldChar w:fldCharType="begin"/>
        </w:r>
        <w:r w:rsidR="000438FA">
          <w:rPr>
            <w:noProof/>
            <w:webHidden/>
          </w:rPr>
          <w:instrText xml:space="preserve"> PAGEREF _Toc46822336 \h </w:instrText>
        </w:r>
        <w:r w:rsidR="000438FA">
          <w:rPr>
            <w:noProof/>
            <w:webHidden/>
          </w:rPr>
        </w:r>
        <w:r w:rsidR="000438FA">
          <w:rPr>
            <w:noProof/>
            <w:webHidden/>
          </w:rPr>
          <w:fldChar w:fldCharType="separate"/>
        </w:r>
        <w:r w:rsidR="00657E34">
          <w:rPr>
            <w:noProof/>
            <w:webHidden/>
          </w:rPr>
          <w:t>23</w:t>
        </w:r>
        <w:r w:rsidR="000438FA">
          <w:rPr>
            <w:noProof/>
            <w:webHidden/>
          </w:rPr>
          <w:fldChar w:fldCharType="end"/>
        </w:r>
      </w:hyperlink>
    </w:p>
    <w:p w14:paraId="394CB3EC" w14:textId="7FDEC187" w:rsidR="005335B3" w:rsidRPr="00BC7A12" w:rsidRDefault="00975934" w:rsidP="00FA5023">
      <w:pPr>
        <w:pStyle w:val="Titlepagedate"/>
        <w:jc w:val="both"/>
        <w:rPr>
          <w:rFonts w:cs="Calibri"/>
          <w:sz w:val="20"/>
          <w:szCs w:val="20"/>
        </w:rPr>
      </w:pPr>
      <w:r w:rsidRPr="00BC7A12">
        <w:rPr>
          <w:rFonts w:cs="Calibri"/>
        </w:rPr>
        <w:fldChar w:fldCharType="end"/>
      </w:r>
    </w:p>
    <w:p w14:paraId="41611FC1" w14:textId="615C9F00" w:rsidR="005335B3" w:rsidRPr="00BC7A12" w:rsidRDefault="005335B3" w:rsidP="00FA5023">
      <w:pPr>
        <w:pStyle w:val="Titlepagedate"/>
        <w:jc w:val="both"/>
        <w:rPr>
          <w:rFonts w:cs="Calibri"/>
          <w:b/>
          <w:bCs/>
          <w:color w:val="auto"/>
          <w:sz w:val="30"/>
          <w:szCs w:val="30"/>
          <w:lang w:val="en-AU"/>
        </w:rPr>
      </w:pPr>
      <w:r w:rsidRPr="00BC7A12">
        <w:rPr>
          <w:rFonts w:cs="Calibri"/>
          <w:b/>
          <w:bCs/>
          <w:color w:val="auto"/>
          <w:sz w:val="30"/>
          <w:szCs w:val="30"/>
          <w:lang w:val="en-AU"/>
        </w:rPr>
        <w:t xml:space="preserve">Tables </w:t>
      </w:r>
    </w:p>
    <w:p w14:paraId="3DAF2E3A" w14:textId="1CECC62D" w:rsidR="004C440B" w:rsidRDefault="005335B3">
      <w:pPr>
        <w:pStyle w:val="TableofFigures"/>
        <w:tabs>
          <w:tab w:val="right" w:leader="dot" w:pos="9016"/>
        </w:tabs>
        <w:rPr>
          <w:rFonts w:asciiTheme="minorHAnsi" w:eastAsiaTheme="minorEastAsia" w:hAnsiTheme="minorHAnsi"/>
          <w:noProof/>
          <w:lang w:eastAsia="en-AU"/>
        </w:rPr>
      </w:pPr>
      <w:r w:rsidRPr="00BC7A12">
        <w:rPr>
          <w:rFonts w:cs="Calibri"/>
        </w:rPr>
        <w:fldChar w:fldCharType="begin"/>
      </w:r>
      <w:r w:rsidRPr="00BC7A12">
        <w:rPr>
          <w:rFonts w:cs="Calibri"/>
        </w:rPr>
        <w:instrText xml:space="preserve"> TOC \h \z \c "Table" </w:instrText>
      </w:r>
      <w:r w:rsidRPr="00BC7A12">
        <w:rPr>
          <w:rFonts w:cs="Calibri"/>
        </w:rPr>
        <w:fldChar w:fldCharType="separate"/>
      </w:r>
      <w:hyperlink w:anchor="_Toc46821740" w:history="1">
        <w:r w:rsidR="004C440B" w:rsidRPr="00FF4B05">
          <w:rPr>
            <w:rStyle w:val="Hyperlink"/>
            <w:rFonts w:cs="Calibri"/>
            <w:noProof/>
          </w:rPr>
          <w:t>Table 1 Descriptions of DRR ecosystem services</w:t>
        </w:r>
        <w:r w:rsidR="004C440B">
          <w:rPr>
            <w:noProof/>
            <w:webHidden/>
          </w:rPr>
          <w:tab/>
        </w:r>
        <w:r w:rsidR="004C440B">
          <w:rPr>
            <w:noProof/>
            <w:webHidden/>
          </w:rPr>
          <w:fldChar w:fldCharType="begin"/>
        </w:r>
        <w:r w:rsidR="004C440B">
          <w:rPr>
            <w:noProof/>
            <w:webHidden/>
          </w:rPr>
          <w:instrText xml:space="preserve"> PAGEREF _Toc46821740 \h </w:instrText>
        </w:r>
        <w:r w:rsidR="004C440B">
          <w:rPr>
            <w:noProof/>
            <w:webHidden/>
          </w:rPr>
        </w:r>
        <w:r w:rsidR="004C440B">
          <w:rPr>
            <w:noProof/>
            <w:webHidden/>
          </w:rPr>
          <w:fldChar w:fldCharType="separate"/>
        </w:r>
        <w:r w:rsidR="00657E34">
          <w:rPr>
            <w:noProof/>
            <w:webHidden/>
          </w:rPr>
          <w:t>12</w:t>
        </w:r>
        <w:r w:rsidR="004C440B">
          <w:rPr>
            <w:noProof/>
            <w:webHidden/>
          </w:rPr>
          <w:fldChar w:fldCharType="end"/>
        </w:r>
      </w:hyperlink>
    </w:p>
    <w:p w14:paraId="048D3B12" w14:textId="15C3E90A" w:rsidR="004C440B" w:rsidRDefault="00535A67">
      <w:pPr>
        <w:pStyle w:val="TableofFigures"/>
        <w:tabs>
          <w:tab w:val="right" w:leader="dot" w:pos="9016"/>
        </w:tabs>
        <w:rPr>
          <w:rFonts w:asciiTheme="minorHAnsi" w:eastAsiaTheme="minorEastAsia" w:hAnsiTheme="minorHAnsi"/>
          <w:noProof/>
          <w:lang w:eastAsia="en-AU"/>
        </w:rPr>
      </w:pPr>
      <w:hyperlink w:anchor="_Toc46821741" w:history="1">
        <w:r w:rsidR="004C440B" w:rsidRPr="00FF4B05">
          <w:rPr>
            <w:rStyle w:val="Hyperlink"/>
            <w:rFonts w:cs="Calibri"/>
            <w:noProof/>
          </w:rPr>
          <w:t>Table 2 Summary of DRR valuation techniques</w:t>
        </w:r>
        <w:r w:rsidR="004C440B">
          <w:rPr>
            <w:noProof/>
            <w:webHidden/>
          </w:rPr>
          <w:tab/>
        </w:r>
        <w:r w:rsidR="004C440B">
          <w:rPr>
            <w:noProof/>
            <w:webHidden/>
          </w:rPr>
          <w:fldChar w:fldCharType="begin"/>
        </w:r>
        <w:r w:rsidR="004C440B">
          <w:rPr>
            <w:noProof/>
            <w:webHidden/>
          </w:rPr>
          <w:instrText xml:space="preserve"> PAGEREF _Toc46821741 \h </w:instrText>
        </w:r>
        <w:r w:rsidR="004C440B">
          <w:rPr>
            <w:noProof/>
            <w:webHidden/>
          </w:rPr>
        </w:r>
        <w:r w:rsidR="004C440B">
          <w:rPr>
            <w:noProof/>
            <w:webHidden/>
          </w:rPr>
          <w:fldChar w:fldCharType="separate"/>
        </w:r>
        <w:r w:rsidR="00657E34">
          <w:rPr>
            <w:noProof/>
            <w:webHidden/>
          </w:rPr>
          <w:t>20</w:t>
        </w:r>
        <w:r w:rsidR="004C440B">
          <w:rPr>
            <w:noProof/>
            <w:webHidden/>
          </w:rPr>
          <w:fldChar w:fldCharType="end"/>
        </w:r>
      </w:hyperlink>
    </w:p>
    <w:p w14:paraId="391FC668" w14:textId="1AD66507" w:rsidR="004C440B" w:rsidRDefault="00535A67">
      <w:pPr>
        <w:pStyle w:val="TableofFigures"/>
        <w:tabs>
          <w:tab w:val="right" w:leader="dot" w:pos="9016"/>
        </w:tabs>
        <w:rPr>
          <w:rFonts w:asciiTheme="minorHAnsi" w:eastAsiaTheme="minorEastAsia" w:hAnsiTheme="minorHAnsi"/>
          <w:noProof/>
          <w:lang w:eastAsia="en-AU"/>
        </w:rPr>
      </w:pPr>
      <w:hyperlink w:anchor="_Toc46821742" w:history="1">
        <w:r w:rsidR="004C440B" w:rsidRPr="00FF4B05">
          <w:rPr>
            <w:rStyle w:val="Hyperlink"/>
            <w:rFonts w:cs="Calibri"/>
            <w:noProof/>
          </w:rPr>
          <w:t>Table 3 Classification of techniques from literature to Table 2</w:t>
        </w:r>
        <w:r w:rsidR="004C440B">
          <w:rPr>
            <w:noProof/>
            <w:webHidden/>
          </w:rPr>
          <w:tab/>
        </w:r>
        <w:r w:rsidR="004C440B">
          <w:rPr>
            <w:noProof/>
            <w:webHidden/>
          </w:rPr>
          <w:fldChar w:fldCharType="begin"/>
        </w:r>
        <w:r w:rsidR="004C440B">
          <w:rPr>
            <w:noProof/>
            <w:webHidden/>
          </w:rPr>
          <w:instrText xml:space="preserve"> PAGEREF _Toc46821742 \h </w:instrText>
        </w:r>
        <w:r w:rsidR="004C440B">
          <w:rPr>
            <w:noProof/>
            <w:webHidden/>
          </w:rPr>
        </w:r>
        <w:r w:rsidR="004C440B">
          <w:rPr>
            <w:noProof/>
            <w:webHidden/>
          </w:rPr>
          <w:fldChar w:fldCharType="separate"/>
        </w:r>
        <w:r w:rsidR="00657E34">
          <w:rPr>
            <w:noProof/>
            <w:webHidden/>
          </w:rPr>
          <w:t>21</w:t>
        </w:r>
        <w:r w:rsidR="004C440B">
          <w:rPr>
            <w:noProof/>
            <w:webHidden/>
          </w:rPr>
          <w:fldChar w:fldCharType="end"/>
        </w:r>
      </w:hyperlink>
    </w:p>
    <w:p w14:paraId="130B4559" w14:textId="32FC15C0" w:rsidR="004C440B" w:rsidRDefault="00535A67">
      <w:pPr>
        <w:pStyle w:val="TableofFigures"/>
        <w:tabs>
          <w:tab w:val="right" w:leader="dot" w:pos="9016"/>
        </w:tabs>
        <w:rPr>
          <w:rFonts w:asciiTheme="minorHAnsi" w:eastAsiaTheme="minorEastAsia" w:hAnsiTheme="minorHAnsi"/>
          <w:noProof/>
          <w:lang w:eastAsia="en-AU"/>
        </w:rPr>
      </w:pPr>
      <w:hyperlink w:anchor="_Toc46821743" w:history="1">
        <w:r w:rsidR="004C440B" w:rsidRPr="00FF4B05">
          <w:rPr>
            <w:rStyle w:val="Hyperlink"/>
            <w:rFonts w:cs="Calibri"/>
            <w:noProof/>
          </w:rPr>
          <w:t>Table 4 Calculation of the coastal protection index based on characteristics of the coastline</w:t>
        </w:r>
        <w:r w:rsidR="004C440B">
          <w:rPr>
            <w:noProof/>
            <w:webHidden/>
          </w:rPr>
          <w:tab/>
        </w:r>
        <w:r w:rsidR="004C440B">
          <w:rPr>
            <w:noProof/>
            <w:webHidden/>
          </w:rPr>
          <w:fldChar w:fldCharType="begin"/>
        </w:r>
        <w:r w:rsidR="004C440B">
          <w:rPr>
            <w:noProof/>
            <w:webHidden/>
          </w:rPr>
          <w:instrText xml:space="preserve"> PAGEREF _Toc46821743 \h </w:instrText>
        </w:r>
        <w:r w:rsidR="004C440B">
          <w:rPr>
            <w:noProof/>
            <w:webHidden/>
          </w:rPr>
        </w:r>
        <w:r w:rsidR="004C440B">
          <w:rPr>
            <w:noProof/>
            <w:webHidden/>
          </w:rPr>
          <w:fldChar w:fldCharType="separate"/>
        </w:r>
        <w:r w:rsidR="00657E34">
          <w:rPr>
            <w:noProof/>
            <w:webHidden/>
          </w:rPr>
          <w:t>25</w:t>
        </w:r>
        <w:r w:rsidR="004C440B">
          <w:rPr>
            <w:noProof/>
            <w:webHidden/>
          </w:rPr>
          <w:fldChar w:fldCharType="end"/>
        </w:r>
      </w:hyperlink>
    </w:p>
    <w:p w14:paraId="32701856" w14:textId="76270891" w:rsidR="004C440B" w:rsidRDefault="00535A67">
      <w:pPr>
        <w:pStyle w:val="TableofFigures"/>
        <w:tabs>
          <w:tab w:val="right" w:leader="dot" w:pos="9016"/>
        </w:tabs>
        <w:rPr>
          <w:rFonts w:asciiTheme="minorHAnsi" w:eastAsiaTheme="minorEastAsia" w:hAnsiTheme="minorHAnsi"/>
          <w:noProof/>
          <w:lang w:eastAsia="en-AU"/>
        </w:rPr>
      </w:pPr>
      <w:hyperlink w:anchor="_Toc46821744" w:history="1">
        <w:r w:rsidR="004C440B" w:rsidRPr="00FF4B05">
          <w:rPr>
            <w:rStyle w:val="Hyperlink"/>
            <w:rFonts w:cs="Calibri"/>
            <w:noProof/>
          </w:rPr>
          <w:t>Table 5 Valuation studies from the Pacific</w:t>
        </w:r>
        <w:r w:rsidR="004C440B">
          <w:rPr>
            <w:noProof/>
            <w:webHidden/>
          </w:rPr>
          <w:tab/>
        </w:r>
        <w:r w:rsidR="004C440B">
          <w:rPr>
            <w:noProof/>
            <w:webHidden/>
          </w:rPr>
          <w:fldChar w:fldCharType="begin"/>
        </w:r>
        <w:r w:rsidR="004C440B">
          <w:rPr>
            <w:noProof/>
            <w:webHidden/>
          </w:rPr>
          <w:instrText xml:space="preserve"> PAGEREF _Toc46821744 \h </w:instrText>
        </w:r>
        <w:r w:rsidR="004C440B">
          <w:rPr>
            <w:noProof/>
            <w:webHidden/>
          </w:rPr>
        </w:r>
        <w:r w:rsidR="004C440B">
          <w:rPr>
            <w:noProof/>
            <w:webHidden/>
          </w:rPr>
          <w:fldChar w:fldCharType="separate"/>
        </w:r>
        <w:r w:rsidR="00657E34">
          <w:rPr>
            <w:noProof/>
            <w:webHidden/>
          </w:rPr>
          <w:t>27</w:t>
        </w:r>
        <w:r w:rsidR="004C440B">
          <w:rPr>
            <w:noProof/>
            <w:webHidden/>
          </w:rPr>
          <w:fldChar w:fldCharType="end"/>
        </w:r>
      </w:hyperlink>
    </w:p>
    <w:p w14:paraId="11626D24" w14:textId="2A549650" w:rsidR="004C440B" w:rsidRDefault="00535A67">
      <w:pPr>
        <w:pStyle w:val="TableofFigures"/>
        <w:tabs>
          <w:tab w:val="right" w:leader="dot" w:pos="9016"/>
        </w:tabs>
        <w:rPr>
          <w:rFonts w:asciiTheme="minorHAnsi" w:eastAsiaTheme="minorEastAsia" w:hAnsiTheme="minorHAnsi"/>
          <w:noProof/>
          <w:lang w:eastAsia="en-AU"/>
        </w:rPr>
      </w:pPr>
      <w:hyperlink w:anchor="_Toc46821745" w:history="1">
        <w:r w:rsidR="004C440B" w:rsidRPr="00FF4B05">
          <w:rPr>
            <w:rStyle w:val="Hyperlink"/>
            <w:rFonts w:cs="Calibri"/>
            <w:noProof/>
          </w:rPr>
          <w:t>Table 6 Australian valuation studies</w:t>
        </w:r>
        <w:r w:rsidR="004C440B">
          <w:rPr>
            <w:noProof/>
            <w:webHidden/>
          </w:rPr>
          <w:tab/>
        </w:r>
        <w:r w:rsidR="004C440B">
          <w:rPr>
            <w:noProof/>
            <w:webHidden/>
          </w:rPr>
          <w:fldChar w:fldCharType="begin"/>
        </w:r>
        <w:r w:rsidR="004C440B">
          <w:rPr>
            <w:noProof/>
            <w:webHidden/>
          </w:rPr>
          <w:instrText xml:space="preserve"> PAGEREF _Toc46821745 \h </w:instrText>
        </w:r>
        <w:r w:rsidR="004C440B">
          <w:rPr>
            <w:noProof/>
            <w:webHidden/>
          </w:rPr>
        </w:r>
        <w:r w:rsidR="004C440B">
          <w:rPr>
            <w:noProof/>
            <w:webHidden/>
          </w:rPr>
          <w:fldChar w:fldCharType="separate"/>
        </w:r>
        <w:r w:rsidR="00657E34">
          <w:rPr>
            <w:noProof/>
            <w:webHidden/>
          </w:rPr>
          <w:t>31</w:t>
        </w:r>
        <w:r w:rsidR="004C440B">
          <w:rPr>
            <w:noProof/>
            <w:webHidden/>
          </w:rPr>
          <w:fldChar w:fldCharType="end"/>
        </w:r>
      </w:hyperlink>
    </w:p>
    <w:p w14:paraId="0801C603" w14:textId="3BB69860" w:rsidR="004C440B" w:rsidRDefault="00535A67">
      <w:pPr>
        <w:pStyle w:val="TableofFigures"/>
        <w:tabs>
          <w:tab w:val="right" w:leader="dot" w:pos="9016"/>
        </w:tabs>
        <w:rPr>
          <w:rFonts w:asciiTheme="minorHAnsi" w:eastAsiaTheme="minorEastAsia" w:hAnsiTheme="minorHAnsi"/>
          <w:noProof/>
          <w:lang w:eastAsia="en-AU"/>
        </w:rPr>
      </w:pPr>
      <w:hyperlink w:anchor="_Toc46821746" w:history="1">
        <w:r w:rsidR="004C440B" w:rsidRPr="00FF4B05">
          <w:rPr>
            <w:rStyle w:val="Hyperlink"/>
            <w:rFonts w:cs="Calibri"/>
            <w:noProof/>
          </w:rPr>
          <w:t>Table 7 Valuation studies at Ramsar wetlands</w:t>
        </w:r>
        <w:r w:rsidR="004C440B">
          <w:rPr>
            <w:noProof/>
            <w:webHidden/>
          </w:rPr>
          <w:tab/>
        </w:r>
        <w:r w:rsidR="004C440B">
          <w:rPr>
            <w:noProof/>
            <w:webHidden/>
          </w:rPr>
          <w:fldChar w:fldCharType="begin"/>
        </w:r>
        <w:r w:rsidR="004C440B">
          <w:rPr>
            <w:noProof/>
            <w:webHidden/>
          </w:rPr>
          <w:instrText xml:space="preserve"> PAGEREF _Toc46821746 \h </w:instrText>
        </w:r>
        <w:r w:rsidR="004C440B">
          <w:rPr>
            <w:noProof/>
            <w:webHidden/>
          </w:rPr>
        </w:r>
        <w:r w:rsidR="004C440B">
          <w:rPr>
            <w:noProof/>
            <w:webHidden/>
          </w:rPr>
          <w:fldChar w:fldCharType="separate"/>
        </w:r>
        <w:r w:rsidR="00657E34">
          <w:rPr>
            <w:noProof/>
            <w:webHidden/>
          </w:rPr>
          <w:t>33</w:t>
        </w:r>
        <w:r w:rsidR="004C440B">
          <w:rPr>
            <w:noProof/>
            <w:webHidden/>
          </w:rPr>
          <w:fldChar w:fldCharType="end"/>
        </w:r>
      </w:hyperlink>
    </w:p>
    <w:p w14:paraId="471622F4" w14:textId="1753C49D" w:rsidR="004C440B" w:rsidRDefault="00535A67">
      <w:pPr>
        <w:pStyle w:val="TableofFigures"/>
        <w:tabs>
          <w:tab w:val="right" w:leader="dot" w:pos="9016"/>
        </w:tabs>
        <w:rPr>
          <w:rFonts w:asciiTheme="minorHAnsi" w:eastAsiaTheme="minorEastAsia" w:hAnsiTheme="minorHAnsi"/>
          <w:noProof/>
          <w:lang w:eastAsia="en-AU"/>
        </w:rPr>
      </w:pPr>
      <w:hyperlink w:anchor="_Toc46821747" w:history="1">
        <w:r w:rsidR="004C440B" w:rsidRPr="00FF4B05">
          <w:rPr>
            <w:rStyle w:val="Hyperlink"/>
            <w:rFonts w:cs="Calibri"/>
            <w:noProof/>
          </w:rPr>
          <w:t>Table 8 Comparison of AquaBAMM criteria, indicators and measures from Burnett River catchment  with data needed for InVEST Coastal Vulnerability Model</w:t>
        </w:r>
        <w:r w:rsidR="004C440B">
          <w:rPr>
            <w:noProof/>
            <w:webHidden/>
          </w:rPr>
          <w:tab/>
        </w:r>
        <w:r w:rsidR="004C440B">
          <w:rPr>
            <w:noProof/>
            <w:webHidden/>
          </w:rPr>
          <w:fldChar w:fldCharType="begin"/>
        </w:r>
        <w:r w:rsidR="004C440B">
          <w:rPr>
            <w:noProof/>
            <w:webHidden/>
          </w:rPr>
          <w:instrText xml:space="preserve"> PAGEREF _Toc46821747 \h </w:instrText>
        </w:r>
        <w:r w:rsidR="004C440B">
          <w:rPr>
            <w:noProof/>
            <w:webHidden/>
          </w:rPr>
        </w:r>
        <w:r w:rsidR="004C440B">
          <w:rPr>
            <w:noProof/>
            <w:webHidden/>
          </w:rPr>
          <w:fldChar w:fldCharType="separate"/>
        </w:r>
        <w:r w:rsidR="00657E34">
          <w:rPr>
            <w:noProof/>
            <w:webHidden/>
          </w:rPr>
          <w:t>40</w:t>
        </w:r>
        <w:r w:rsidR="004C440B">
          <w:rPr>
            <w:noProof/>
            <w:webHidden/>
          </w:rPr>
          <w:fldChar w:fldCharType="end"/>
        </w:r>
      </w:hyperlink>
    </w:p>
    <w:p w14:paraId="3747B785" w14:textId="3C898753" w:rsidR="004C440B" w:rsidRDefault="00535A67">
      <w:pPr>
        <w:pStyle w:val="TableofFigures"/>
        <w:tabs>
          <w:tab w:val="right" w:leader="dot" w:pos="9016"/>
        </w:tabs>
        <w:rPr>
          <w:rFonts w:asciiTheme="minorHAnsi" w:eastAsiaTheme="minorEastAsia" w:hAnsiTheme="minorHAnsi"/>
          <w:noProof/>
          <w:lang w:eastAsia="en-AU"/>
        </w:rPr>
      </w:pPr>
      <w:hyperlink w:anchor="_Toc46821748" w:history="1">
        <w:r w:rsidR="004C440B" w:rsidRPr="00FF4B05">
          <w:rPr>
            <w:rStyle w:val="Hyperlink"/>
            <w:rFonts w:cs="Calibri"/>
            <w:noProof/>
          </w:rPr>
          <w:t>Table 9 Cities, populations, asset risk and coastal ecosystem in flood path</w:t>
        </w:r>
        <w:r w:rsidR="004C440B">
          <w:rPr>
            <w:noProof/>
            <w:webHidden/>
          </w:rPr>
          <w:tab/>
        </w:r>
        <w:r w:rsidR="004C440B">
          <w:rPr>
            <w:noProof/>
            <w:webHidden/>
          </w:rPr>
          <w:fldChar w:fldCharType="begin"/>
        </w:r>
        <w:r w:rsidR="004C440B">
          <w:rPr>
            <w:noProof/>
            <w:webHidden/>
          </w:rPr>
          <w:instrText xml:space="preserve"> PAGEREF _Toc46821748 \h </w:instrText>
        </w:r>
        <w:r w:rsidR="004C440B">
          <w:rPr>
            <w:noProof/>
            <w:webHidden/>
          </w:rPr>
        </w:r>
        <w:r w:rsidR="004C440B">
          <w:rPr>
            <w:noProof/>
            <w:webHidden/>
          </w:rPr>
          <w:fldChar w:fldCharType="separate"/>
        </w:r>
        <w:r w:rsidR="00657E34">
          <w:rPr>
            <w:noProof/>
            <w:webHidden/>
          </w:rPr>
          <w:t>43</w:t>
        </w:r>
        <w:r w:rsidR="004C440B">
          <w:rPr>
            <w:noProof/>
            <w:webHidden/>
          </w:rPr>
          <w:fldChar w:fldCharType="end"/>
        </w:r>
      </w:hyperlink>
    </w:p>
    <w:p w14:paraId="55582ABA" w14:textId="7A496F32" w:rsidR="004C440B" w:rsidRDefault="00535A67">
      <w:pPr>
        <w:pStyle w:val="TableofFigures"/>
        <w:tabs>
          <w:tab w:val="right" w:leader="dot" w:pos="9016"/>
        </w:tabs>
        <w:rPr>
          <w:rFonts w:asciiTheme="minorHAnsi" w:eastAsiaTheme="minorEastAsia" w:hAnsiTheme="minorHAnsi"/>
          <w:noProof/>
          <w:lang w:eastAsia="en-AU"/>
        </w:rPr>
      </w:pPr>
      <w:hyperlink w:anchor="_Toc46821749" w:history="1">
        <w:r w:rsidR="004C440B" w:rsidRPr="00FF4B05">
          <w:rPr>
            <w:rStyle w:val="Hyperlink"/>
            <w:rFonts w:cs="Calibri"/>
            <w:noProof/>
          </w:rPr>
          <w:t>Table 10 Dependence of techniques and approaches on biophysical modelling</w:t>
        </w:r>
        <w:r w:rsidR="004C440B">
          <w:rPr>
            <w:noProof/>
            <w:webHidden/>
          </w:rPr>
          <w:tab/>
        </w:r>
        <w:r w:rsidR="004C440B">
          <w:rPr>
            <w:noProof/>
            <w:webHidden/>
          </w:rPr>
          <w:fldChar w:fldCharType="begin"/>
        </w:r>
        <w:r w:rsidR="004C440B">
          <w:rPr>
            <w:noProof/>
            <w:webHidden/>
          </w:rPr>
          <w:instrText xml:space="preserve"> PAGEREF _Toc46821749 \h </w:instrText>
        </w:r>
        <w:r w:rsidR="004C440B">
          <w:rPr>
            <w:noProof/>
            <w:webHidden/>
          </w:rPr>
        </w:r>
        <w:r w:rsidR="004C440B">
          <w:rPr>
            <w:noProof/>
            <w:webHidden/>
          </w:rPr>
          <w:fldChar w:fldCharType="separate"/>
        </w:r>
        <w:r w:rsidR="00657E34">
          <w:rPr>
            <w:noProof/>
            <w:webHidden/>
          </w:rPr>
          <w:t>45</w:t>
        </w:r>
        <w:r w:rsidR="004C440B">
          <w:rPr>
            <w:noProof/>
            <w:webHidden/>
          </w:rPr>
          <w:fldChar w:fldCharType="end"/>
        </w:r>
      </w:hyperlink>
    </w:p>
    <w:p w14:paraId="326C115D" w14:textId="09547AF6" w:rsidR="004C440B" w:rsidRDefault="00535A67">
      <w:pPr>
        <w:pStyle w:val="TableofFigures"/>
        <w:tabs>
          <w:tab w:val="right" w:leader="dot" w:pos="9016"/>
        </w:tabs>
        <w:rPr>
          <w:rFonts w:asciiTheme="minorHAnsi" w:eastAsiaTheme="minorEastAsia" w:hAnsiTheme="minorHAnsi"/>
          <w:noProof/>
          <w:lang w:eastAsia="en-AU"/>
        </w:rPr>
      </w:pPr>
      <w:hyperlink w:anchor="_Toc46821750" w:history="1">
        <w:r w:rsidR="004C440B" w:rsidRPr="00FF4B05">
          <w:rPr>
            <w:rStyle w:val="Hyperlink"/>
            <w:rFonts w:cs="Calibri"/>
            <w:noProof/>
          </w:rPr>
          <w:t>Table 11 SEEA data classification structure</w:t>
        </w:r>
        <w:r w:rsidR="004C440B">
          <w:rPr>
            <w:noProof/>
            <w:webHidden/>
          </w:rPr>
          <w:tab/>
        </w:r>
        <w:r w:rsidR="004C440B">
          <w:rPr>
            <w:noProof/>
            <w:webHidden/>
          </w:rPr>
          <w:fldChar w:fldCharType="begin"/>
        </w:r>
        <w:r w:rsidR="004C440B">
          <w:rPr>
            <w:noProof/>
            <w:webHidden/>
          </w:rPr>
          <w:instrText xml:space="preserve"> PAGEREF _Toc46821750 \h </w:instrText>
        </w:r>
        <w:r w:rsidR="004C440B">
          <w:rPr>
            <w:noProof/>
            <w:webHidden/>
          </w:rPr>
        </w:r>
        <w:r w:rsidR="004C440B">
          <w:rPr>
            <w:noProof/>
            <w:webHidden/>
          </w:rPr>
          <w:fldChar w:fldCharType="separate"/>
        </w:r>
        <w:r w:rsidR="00657E34">
          <w:rPr>
            <w:noProof/>
            <w:webHidden/>
          </w:rPr>
          <w:t>57</w:t>
        </w:r>
        <w:r w:rsidR="004C440B">
          <w:rPr>
            <w:noProof/>
            <w:webHidden/>
          </w:rPr>
          <w:fldChar w:fldCharType="end"/>
        </w:r>
      </w:hyperlink>
    </w:p>
    <w:p w14:paraId="323DF081" w14:textId="76E2F6EC" w:rsidR="00502315" w:rsidRDefault="005335B3" w:rsidP="00F0367C">
      <w:pPr>
        <w:pStyle w:val="Titlepagedate"/>
        <w:jc w:val="both"/>
        <w:rPr>
          <w:rFonts w:cs="Calibri"/>
        </w:rPr>
      </w:pPr>
      <w:r w:rsidRPr="00BC7A12">
        <w:rPr>
          <w:rFonts w:cs="Calibri"/>
        </w:rPr>
        <w:fldChar w:fldCharType="end"/>
      </w:r>
    </w:p>
    <w:p w14:paraId="7CFCA0CB" w14:textId="77777777" w:rsidR="008C3AAA" w:rsidRPr="00BC7A12" w:rsidRDefault="008C3AAA" w:rsidP="00F0367C">
      <w:pPr>
        <w:pStyle w:val="Titlepagedate"/>
        <w:jc w:val="both"/>
        <w:rPr>
          <w:rFonts w:cs="Calibri"/>
          <w:sz w:val="16"/>
          <w:szCs w:val="16"/>
        </w:rPr>
      </w:pPr>
    </w:p>
    <w:p w14:paraId="525B3E1D" w14:textId="28CE020B" w:rsidR="00975934" w:rsidRPr="00BC7A12" w:rsidRDefault="00F87F31" w:rsidP="00F0367C">
      <w:pPr>
        <w:pStyle w:val="Titlepagedate"/>
        <w:jc w:val="both"/>
        <w:rPr>
          <w:rFonts w:cs="Calibri"/>
          <w:b/>
          <w:bCs/>
          <w:sz w:val="30"/>
          <w:szCs w:val="30"/>
        </w:rPr>
      </w:pPr>
      <w:r w:rsidRPr="00BC7A12">
        <w:rPr>
          <w:rFonts w:cs="Calibri"/>
          <w:b/>
          <w:bCs/>
          <w:sz w:val="30"/>
          <w:szCs w:val="30"/>
        </w:rPr>
        <w:t xml:space="preserve">ABBREVIATIONS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6241"/>
      </w:tblGrid>
      <w:tr w:rsidR="001C4961" w:rsidRPr="00BC7A12" w14:paraId="2CF27162" w14:textId="77777777" w:rsidTr="00F55110">
        <w:trPr>
          <w:trHeight w:val="341"/>
        </w:trPr>
        <w:tc>
          <w:tcPr>
            <w:tcW w:w="0" w:type="auto"/>
            <w:vAlign w:val="center"/>
          </w:tcPr>
          <w:p w14:paraId="79451277" w14:textId="0B441843" w:rsidR="001C4961" w:rsidRPr="00BC7A12" w:rsidRDefault="001C4961" w:rsidP="00502315">
            <w:pPr>
              <w:spacing w:after="60"/>
              <w:rPr>
                <w:rFonts w:cs="Calibri"/>
              </w:rPr>
            </w:pPr>
            <w:r w:rsidRPr="00BC7A12">
              <w:rPr>
                <w:rFonts w:cs="Calibri"/>
                <w:color w:val="000000"/>
              </w:rPr>
              <w:t>ACES</w:t>
            </w:r>
          </w:p>
        </w:tc>
        <w:tc>
          <w:tcPr>
            <w:tcW w:w="0" w:type="auto"/>
            <w:vAlign w:val="center"/>
          </w:tcPr>
          <w:p w14:paraId="69E262BA" w14:textId="56899429" w:rsidR="001C4961" w:rsidRPr="00BC7A12" w:rsidRDefault="001C4961" w:rsidP="00502315">
            <w:pPr>
              <w:spacing w:after="60"/>
              <w:rPr>
                <w:rFonts w:cs="Calibri"/>
              </w:rPr>
            </w:pPr>
            <w:r w:rsidRPr="00BC7A12">
              <w:rPr>
                <w:rFonts w:cs="Calibri"/>
                <w:color w:val="000000"/>
              </w:rPr>
              <w:t>A Community on Ecosystem Services</w:t>
            </w:r>
          </w:p>
        </w:tc>
      </w:tr>
      <w:tr w:rsidR="009A5B65" w:rsidRPr="00BC7A12" w14:paraId="44C831CA" w14:textId="77777777" w:rsidTr="00F55110">
        <w:tc>
          <w:tcPr>
            <w:tcW w:w="0" w:type="auto"/>
            <w:vAlign w:val="center"/>
          </w:tcPr>
          <w:p w14:paraId="4E5718A5" w14:textId="4FC68AE3" w:rsidR="009A5B65" w:rsidRPr="00BC7A12" w:rsidRDefault="009A5B65" w:rsidP="00502315">
            <w:pPr>
              <w:spacing w:after="60"/>
              <w:rPr>
                <w:rFonts w:cs="Calibri"/>
                <w:color w:val="000000"/>
              </w:rPr>
            </w:pPr>
            <w:r w:rsidRPr="00BC7A12">
              <w:rPr>
                <w:rFonts w:cs="Calibri"/>
                <w:color w:val="000000"/>
              </w:rPr>
              <w:t>ANAE</w:t>
            </w:r>
          </w:p>
        </w:tc>
        <w:tc>
          <w:tcPr>
            <w:tcW w:w="0" w:type="auto"/>
            <w:vAlign w:val="center"/>
          </w:tcPr>
          <w:p w14:paraId="7E59596A" w14:textId="6317646E" w:rsidR="009A5B65" w:rsidRPr="00BC7A12" w:rsidRDefault="009A5B65" w:rsidP="00502315">
            <w:pPr>
              <w:spacing w:after="60"/>
              <w:rPr>
                <w:rFonts w:cs="Calibri"/>
                <w:color w:val="000000"/>
              </w:rPr>
            </w:pPr>
            <w:r w:rsidRPr="00BC7A12">
              <w:rPr>
                <w:rFonts w:cs="Calibri"/>
              </w:rPr>
              <w:t>Australia National Aquatic Ecosystem</w:t>
            </w:r>
            <w:r w:rsidR="00384DD0" w:rsidRPr="00BC7A12">
              <w:rPr>
                <w:rFonts w:cs="Calibri"/>
              </w:rPr>
              <w:t xml:space="preserve"> classification </w:t>
            </w:r>
          </w:p>
        </w:tc>
      </w:tr>
      <w:tr w:rsidR="001C4961" w:rsidRPr="00BC7A12" w14:paraId="5ADB35D5" w14:textId="77777777" w:rsidTr="00F55110">
        <w:tc>
          <w:tcPr>
            <w:tcW w:w="0" w:type="auto"/>
            <w:vAlign w:val="center"/>
          </w:tcPr>
          <w:p w14:paraId="6BF48115" w14:textId="37706567" w:rsidR="001C4961" w:rsidRPr="00BC7A12" w:rsidRDefault="001C4961" w:rsidP="00502315">
            <w:pPr>
              <w:spacing w:after="60"/>
              <w:rPr>
                <w:rFonts w:cs="Calibri"/>
              </w:rPr>
            </w:pPr>
            <w:r w:rsidRPr="00BC7A12">
              <w:rPr>
                <w:rFonts w:cs="Calibri"/>
                <w:color w:val="000000"/>
              </w:rPr>
              <w:t>BRI</w:t>
            </w:r>
          </w:p>
        </w:tc>
        <w:tc>
          <w:tcPr>
            <w:tcW w:w="0" w:type="auto"/>
            <w:vAlign w:val="center"/>
          </w:tcPr>
          <w:p w14:paraId="1E090395" w14:textId="03F2486E" w:rsidR="001C4961" w:rsidRPr="00BC7A12" w:rsidRDefault="001C4961" w:rsidP="00502315">
            <w:pPr>
              <w:spacing w:after="60"/>
              <w:rPr>
                <w:rFonts w:cs="Calibri"/>
              </w:rPr>
            </w:pPr>
            <w:r w:rsidRPr="00BC7A12">
              <w:rPr>
                <w:rFonts w:cs="Calibri"/>
                <w:color w:val="000000"/>
              </w:rPr>
              <w:t>Benefit Relevant Indicators</w:t>
            </w:r>
          </w:p>
        </w:tc>
      </w:tr>
      <w:tr w:rsidR="001C4961" w:rsidRPr="00BC7A12" w14:paraId="48880B7C" w14:textId="77777777" w:rsidTr="00F55110">
        <w:tc>
          <w:tcPr>
            <w:tcW w:w="0" w:type="auto"/>
            <w:vAlign w:val="center"/>
          </w:tcPr>
          <w:p w14:paraId="26AD09E4" w14:textId="77F7CDAB" w:rsidR="001C4961" w:rsidRPr="00BC7A12" w:rsidRDefault="001C4961" w:rsidP="00502315">
            <w:pPr>
              <w:spacing w:after="60"/>
              <w:rPr>
                <w:rFonts w:cs="Calibri"/>
              </w:rPr>
            </w:pPr>
            <w:r w:rsidRPr="00BC7A12">
              <w:rPr>
                <w:rFonts w:cs="Calibri"/>
                <w:color w:val="000000"/>
              </w:rPr>
              <w:t>CBA</w:t>
            </w:r>
          </w:p>
        </w:tc>
        <w:tc>
          <w:tcPr>
            <w:tcW w:w="0" w:type="auto"/>
            <w:vAlign w:val="center"/>
          </w:tcPr>
          <w:p w14:paraId="57613DAD" w14:textId="4BD89648" w:rsidR="001C4961" w:rsidRPr="00BC7A12" w:rsidRDefault="001C4961" w:rsidP="00502315">
            <w:pPr>
              <w:spacing w:after="60"/>
              <w:rPr>
                <w:rFonts w:cs="Calibri"/>
              </w:rPr>
            </w:pPr>
            <w:r w:rsidRPr="00BC7A12">
              <w:rPr>
                <w:rFonts w:cs="Calibri"/>
                <w:color w:val="000000"/>
              </w:rPr>
              <w:t>Cost benefit analysis</w:t>
            </w:r>
          </w:p>
        </w:tc>
      </w:tr>
      <w:tr w:rsidR="001C4961" w:rsidRPr="00BC7A12" w14:paraId="09BEA545" w14:textId="77777777" w:rsidTr="00F55110">
        <w:tc>
          <w:tcPr>
            <w:tcW w:w="0" w:type="auto"/>
            <w:vAlign w:val="center"/>
          </w:tcPr>
          <w:p w14:paraId="262D74A2" w14:textId="530C0234" w:rsidR="001C4961" w:rsidRPr="00BC7A12" w:rsidRDefault="001C4961" w:rsidP="00502315">
            <w:pPr>
              <w:spacing w:after="60"/>
              <w:rPr>
                <w:rFonts w:cs="Calibri"/>
              </w:rPr>
            </w:pPr>
            <w:r w:rsidRPr="00BC7A12">
              <w:rPr>
                <w:rFonts w:cs="Calibri"/>
                <w:color w:val="000000"/>
              </w:rPr>
              <w:t>CICES</w:t>
            </w:r>
          </w:p>
        </w:tc>
        <w:tc>
          <w:tcPr>
            <w:tcW w:w="0" w:type="auto"/>
            <w:vAlign w:val="center"/>
          </w:tcPr>
          <w:p w14:paraId="38E02380" w14:textId="1443A273" w:rsidR="001C4961" w:rsidRPr="00BC7A12" w:rsidRDefault="001C4961" w:rsidP="00502315">
            <w:pPr>
              <w:spacing w:after="60"/>
              <w:rPr>
                <w:rFonts w:cs="Calibri"/>
              </w:rPr>
            </w:pPr>
            <w:r w:rsidRPr="00BC7A12">
              <w:rPr>
                <w:rFonts w:cs="Calibri"/>
                <w:color w:val="000000"/>
              </w:rPr>
              <w:t>Common International Classification System for Ecosystem Services</w:t>
            </w:r>
          </w:p>
        </w:tc>
      </w:tr>
      <w:tr w:rsidR="001C4961" w:rsidRPr="00BC7A12" w14:paraId="595AE9CF" w14:textId="77777777" w:rsidTr="00F55110">
        <w:tc>
          <w:tcPr>
            <w:tcW w:w="0" w:type="auto"/>
            <w:vAlign w:val="center"/>
          </w:tcPr>
          <w:p w14:paraId="71D6EB48" w14:textId="1E9CF7D6" w:rsidR="001C4961" w:rsidRPr="00BC7A12" w:rsidRDefault="001C4961" w:rsidP="00502315">
            <w:pPr>
              <w:spacing w:after="60"/>
              <w:rPr>
                <w:rFonts w:cs="Calibri"/>
              </w:rPr>
            </w:pPr>
            <w:r w:rsidRPr="00BC7A12">
              <w:rPr>
                <w:rFonts w:cs="Calibri"/>
                <w:color w:val="000000"/>
              </w:rPr>
              <w:t>CS</w:t>
            </w:r>
          </w:p>
        </w:tc>
        <w:tc>
          <w:tcPr>
            <w:tcW w:w="0" w:type="auto"/>
            <w:vAlign w:val="center"/>
          </w:tcPr>
          <w:p w14:paraId="5D0D113B" w14:textId="563AF57B" w:rsidR="001C4961" w:rsidRPr="00BC7A12" w:rsidRDefault="001C4961" w:rsidP="00502315">
            <w:pPr>
              <w:spacing w:after="60"/>
              <w:rPr>
                <w:rFonts w:cs="Calibri"/>
              </w:rPr>
            </w:pPr>
            <w:r w:rsidRPr="00BC7A12">
              <w:rPr>
                <w:rFonts w:cs="Calibri"/>
                <w:color w:val="000000"/>
              </w:rPr>
              <w:t>Classification system</w:t>
            </w:r>
          </w:p>
        </w:tc>
      </w:tr>
      <w:tr w:rsidR="000B307B" w:rsidRPr="00BC7A12" w14:paraId="0A348232" w14:textId="77777777" w:rsidTr="00F55110">
        <w:tc>
          <w:tcPr>
            <w:tcW w:w="0" w:type="auto"/>
            <w:vAlign w:val="center"/>
          </w:tcPr>
          <w:p w14:paraId="0FC8A130" w14:textId="65FAF937" w:rsidR="000B307B" w:rsidRPr="00BC7A12" w:rsidRDefault="000B307B" w:rsidP="00502315">
            <w:pPr>
              <w:spacing w:after="60"/>
              <w:rPr>
                <w:rFonts w:cs="Calibri"/>
                <w:highlight w:val="yellow"/>
              </w:rPr>
            </w:pPr>
            <w:r w:rsidRPr="00BC7A12">
              <w:rPr>
                <w:rFonts w:cs="Calibri"/>
                <w:color w:val="000000"/>
              </w:rPr>
              <w:t>DAWE</w:t>
            </w:r>
          </w:p>
        </w:tc>
        <w:tc>
          <w:tcPr>
            <w:tcW w:w="0" w:type="auto"/>
            <w:vAlign w:val="center"/>
          </w:tcPr>
          <w:p w14:paraId="1EDC7300" w14:textId="37B1B3FC" w:rsidR="000B307B" w:rsidRPr="00BC7A12" w:rsidRDefault="000B307B" w:rsidP="00502315">
            <w:pPr>
              <w:spacing w:after="60"/>
              <w:rPr>
                <w:rFonts w:cs="Calibri"/>
                <w:highlight w:val="yellow"/>
              </w:rPr>
            </w:pPr>
            <w:r w:rsidRPr="00BC7A12">
              <w:rPr>
                <w:rFonts w:cs="Calibri"/>
                <w:color w:val="000000"/>
              </w:rPr>
              <w:t>Department of Agriculture, Water and Environment</w:t>
            </w:r>
          </w:p>
        </w:tc>
      </w:tr>
      <w:tr w:rsidR="000B307B" w:rsidRPr="00BC7A12" w14:paraId="072534DF" w14:textId="77777777" w:rsidTr="00F55110">
        <w:tc>
          <w:tcPr>
            <w:tcW w:w="0" w:type="auto"/>
            <w:vAlign w:val="center"/>
          </w:tcPr>
          <w:p w14:paraId="1B737EAD" w14:textId="78CC97E2" w:rsidR="000B307B" w:rsidRPr="00BC7A12" w:rsidRDefault="000B307B" w:rsidP="00502315">
            <w:pPr>
              <w:spacing w:after="60"/>
              <w:rPr>
                <w:rFonts w:cs="Calibri"/>
              </w:rPr>
            </w:pPr>
            <w:r w:rsidRPr="00BC7A12">
              <w:rPr>
                <w:rFonts w:cs="Calibri"/>
                <w:color w:val="000000"/>
              </w:rPr>
              <w:t>DRFA</w:t>
            </w:r>
          </w:p>
        </w:tc>
        <w:tc>
          <w:tcPr>
            <w:tcW w:w="0" w:type="auto"/>
            <w:vAlign w:val="center"/>
          </w:tcPr>
          <w:p w14:paraId="38CF6367" w14:textId="7C75DF8F" w:rsidR="000B307B" w:rsidRPr="00BC7A12" w:rsidRDefault="000B307B" w:rsidP="00502315">
            <w:pPr>
              <w:spacing w:after="60"/>
              <w:rPr>
                <w:rFonts w:cs="Calibri"/>
              </w:rPr>
            </w:pPr>
            <w:r w:rsidRPr="00BC7A12">
              <w:rPr>
                <w:rFonts w:cs="Calibri"/>
                <w:color w:val="000000"/>
              </w:rPr>
              <w:t>Disaster Recovery Funding Arrangements</w:t>
            </w:r>
          </w:p>
        </w:tc>
      </w:tr>
      <w:tr w:rsidR="000B307B" w:rsidRPr="00BC7A12" w14:paraId="781AA522" w14:textId="77777777" w:rsidTr="00F55110">
        <w:tc>
          <w:tcPr>
            <w:tcW w:w="0" w:type="auto"/>
            <w:vAlign w:val="center"/>
          </w:tcPr>
          <w:p w14:paraId="4A22E566" w14:textId="340340E0" w:rsidR="000B307B" w:rsidRPr="00BC7A12" w:rsidRDefault="000B307B" w:rsidP="00502315">
            <w:pPr>
              <w:spacing w:after="60"/>
              <w:rPr>
                <w:rFonts w:cs="Calibri"/>
              </w:rPr>
            </w:pPr>
            <w:r w:rsidRPr="00BC7A12">
              <w:rPr>
                <w:rFonts w:cs="Calibri"/>
                <w:color w:val="000000"/>
              </w:rPr>
              <w:t>DRR</w:t>
            </w:r>
          </w:p>
        </w:tc>
        <w:tc>
          <w:tcPr>
            <w:tcW w:w="0" w:type="auto"/>
            <w:vAlign w:val="center"/>
          </w:tcPr>
          <w:p w14:paraId="37C7692D" w14:textId="5B874FD1" w:rsidR="000B307B" w:rsidRPr="00BC7A12" w:rsidRDefault="000B307B" w:rsidP="00502315">
            <w:pPr>
              <w:spacing w:after="60"/>
              <w:rPr>
                <w:rFonts w:cs="Calibri"/>
              </w:rPr>
            </w:pPr>
            <w:r w:rsidRPr="00BC7A12">
              <w:rPr>
                <w:rFonts w:cs="Calibri"/>
                <w:color w:val="000000"/>
              </w:rPr>
              <w:t>Disaster risk reduction</w:t>
            </w:r>
          </w:p>
        </w:tc>
      </w:tr>
      <w:tr w:rsidR="000B307B" w:rsidRPr="00BC7A12" w14:paraId="1E62BC53" w14:textId="77777777" w:rsidTr="00F55110">
        <w:tc>
          <w:tcPr>
            <w:tcW w:w="0" w:type="auto"/>
            <w:vAlign w:val="center"/>
          </w:tcPr>
          <w:p w14:paraId="313DF5A0" w14:textId="3BE899B9" w:rsidR="000B307B" w:rsidRPr="00BC7A12" w:rsidRDefault="000B307B" w:rsidP="00502315">
            <w:pPr>
              <w:spacing w:after="60"/>
              <w:rPr>
                <w:rFonts w:cs="Calibri"/>
              </w:rPr>
            </w:pPr>
            <w:r w:rsidRPr="00BC7A12">
              <w:rPr>
                <w:rFonts w:cs="Calibri"/>
                <w:color w:val="000000"/>
              </w:rPr>
              <w:t>EDF</w:t>
            </w:r>
          </w:p>
        </w:tc>
        <w:tc>
          <w:tcPr>
            <w:tcW w:w="0" w:type="auto"/>
            <w:vAlign w:val="center"/>
          </w:tcPr>
          <w:p w14:paraId="3104C0BC" w14:textId="6478D0F7" w:rsidR="000B307B" w:rsidRPr="00BC7A12" w:rsidRDefault="000B307B" w:rsidP="00502315">
            <w:pPr>
              <w:spacing w:after="60"/>
              <w:rPr>
                <w:rFonts w:cs="Calibri"/>
              </w:rPr>
            </w:pPr>
            <w:r w:rsidRPr="00BC7A12">
              <w:rPr>
                <w:rFonts w:cs="Calibri"/>
                <w:color w:val="000000"/>
              </w:rPr>
              <w:t xml:space="preserve">Expected damage function </w:t>
            </w:r>
          </w:p>
        </w:tc>
      </w:tr>
      <w:tr w:rsidR="000B307B" w:rsidRPr="00BC7A12" w14:paraId="71C964E6" w14:textId="77777777" w:rsidTr="00F55110">
        <w:tc>
          <w:tcPr>
            <w:tcW w:w="0" w:type="auto"/>
            <w:vAlign w:val="center"/>
          </w:tcPr>
          <w:p w14:paraId="6F07F9A7" w14:textId="2B396085" w:rsidR="000B307B" w:rsidRPr="00BC7A12" w:rsidRDefault="000B307B" w:rsidP="00502315">
            <w:pPr>
              <w:spacing w:after="60"/>
              <w:rPr>
                <w:rFonts w:cs="Calibri"/>
                <w:color w:val="000000"/>
              </w:rPr>
            </w:pPr>
            <w:r w:rsidRPr="00BC7A12">
              <w:rPr>
                <w:rFonts w:cs="Calibri"/>
                <w:color w:val="000000"/>
              </w:rPr>
              <w:t>EEA</w:t>
            </w:r>
          </w:p>
        </w:tc>
        <w:tc>
          <w:tcPr>
            <w:tcW w:w="0" w:type="auto"/>
            <w:vAlign w:val="center"/>
          </w:tcPr>
          <w:p w14:paraId="20016D43" w14:textId="3A79132D" w:rsidR="000B307B" w:rsidRPr="00BC7A12" w:rsidRDefault="000B307B" w:rsidP="00502315">
            <w:pPr>
              <w:spacing w:after="60"/>
              <w:rPr>
                <w:rFonts w:cs="Calibri"/>
                <w:color w:val="000000"/>
              </w:rPr>
            </w:pPr>
            <w:r w:rsidRPr="00BC7A12">
              <w:rPr>
                <w:rFonts w:cs="Calibri"/>
                <w:color w:val="000000"/>
              </w:rPr>
              <w:t>European Environment Agency</w:t>
            </w:r>
          </w:p>
        </w:tc>
      </w:tr>
      <w:tr w:rsidR="000B307B" w:rsidRPr="00BC7A12" w14:paraId="3D057D6E" w14:textId="77777777" w:rsidTr="00F55110">
        <w:tc>
          <w:tcPr>
            <w:tcW w:w="0" w:type="auto"/>
            <w:vAlign w:val="center"/>
          </w:tcPr>
          <w:p w14:paraId="6641F0EE" w14:textId="718E4BC0" w:rsidR="000B307B" w:rsidRPr="00BC7A12" w:rsidRDefault="000B307B" w:rsidP="00502315">
            <w:pPr>
              <w:spacing w:after="60"/>
              <w:rPr>
                <w:rFonts w:cs="Calibri"/>
                <w:highlight w:val="yellow"/>
              </w:rPr>
            </w:pPr>
            <w:r w:rsidRPr="00BC7A12">
              <w:rPr>
                <w:rFonts w:cs="Calibri"/>
                <w:color w:val="000000"/>
              </w:rPr>
              <w:t>ES-CS</w:t>
            </w:r>
          </w:p>
        </w:tc>
        <w:tc>
          <w:tcPr>
            <w:tcW w:w="0" w:type="auto"/>
            <w:vAlign w:val="center"/>
          </w:tcPr>
          <w:p w14:paraId="0AC4DAAB" w14:textId="568BC3A2" w:rsidR="000B307B" w:rsidRPr="00BC7A12" w:rsidRDefault="000B307B" w:rsidP="00502315">
            <w:pPr>
              <w:spacing w:after="60"/>
              <w:rPr>
                <w:rFonts w:cs="Calibri"/>
                <w:highlight w:val="yellow"/>
              </w:rPr>
            </w:pPr>
            <w:r w:rsidRPr="00BC7A12">
              <w:rPr>
                <w:rFonts w:cs="Calibri"/>
                <w:color w:val="000000"/>
              </w:rPr>
              <w:t>Ecosystem services classification system</w:t>
            </w:r>
          </w:p>
        </w:tc>
      </w:tr>
      <w:tr w:rsidR="000B307B" w:rsidRPr="00BC7A12" w14:paraId="0A90935B" w14:textId="77777777" w:rsidTr="00F55110">
        <w:tc>
          <w:tcPr>
            <w:tcW w:w="0" w:type="auto"/>
            <w:vAlign w:val="center"/>
          </w:tcPr>
          <w:p w14:paraId="2FBB3C64" w14:textId="28509140" w:rsidR="000B307B" w:rsidRPr="00BC7A12" w:rsidRDefault="000B307B" w:rsidP="00502315">
            <w:pPr>
              <w:spacing w:after="60"/>
              <w:rPr>
                <w:rFonts w:cs="Calibri"/>
                <w:highlight w:val="yellow"/>
              </w:rPr>
            </w:pPr>
            <w:r w:rsidRPr="00BC7A12">
              <w:rPr>
                <w:rFonts w:cs="Calibri"/>
                <w:color w:val="000000"/>
              </w:rPr>
              <w:t>FEGS-CS</w:t>
            </w:r>
          </w:p>
        </w:tc>
        <w:tc>
          <w:tcPr>
            <w:tcW w:w="0" w:type="auto"/>
            <w:vAlign w:val="center"/>
          </w:tcPr>
          <w:p w14:paraId="3D0882D9" w14:textId="15B707C6" w:rsidR="000B307B" w:rsidRPr="00BC7A12" w:rsidRDefault="000B307B" w:rsidP="00502315">
            <w:pPr>
              <w:spacing w:after="60"/>
              <w:rPr>
                <w:rFonts w:cs="Calibri"/>
                <w:highlight w:val="yellow"/>
              </w:rPr>
            </w:pPr>
            <w:r w:rsidRPr="00BC7A12">
              <w:rPr>
                <w:rFonts w:cs="Calibri"/>
                <w:color w:val="000000"/>
              </w:rPr>
              <w:t>Final Ecosystem Services Classification System</w:t>
            </w:r>
          </w:p>
        </w:tc>
      </w:tr>
      <w:tr w:rsidR="000B307B" w:rsidRPr="00BC7A12" w14:paraId="7DE0588F" w14:textId="77777777" w:rsidTr="00F55110">
        <w:tc>
          <w:tcPr>
            <w:tcW w:w="0" w:type="auto"/>
            <w:vAlign w:val="center"/>
          </w:tcPr>
          <w:p w14:paraId="6771B956" w14:textId="2D79BB6A" w:rsidR="000B307B" w:rsidRPr="00BC7A12" w:rsidRDefault="000B307B" w:rsidP="00502315">
            <w:pPr>
              <w:spacing w:after="60"/>
              <w:rPr>
                <w:rFonts w:cs="Calibri"/>
              </w:rPr>
            </w:pPr>
            <w:r w:rsidRPr="00BC7A12">
              <w:rPr>
                <w:rFonts w:cs="Calibri"/>
                <w:color w:val="000000"/>
              </w:rPr>
              <w:t>FES</w:t>
            </w:r>
          </w:p>
        </w:tc>
        <w:tc>
          <w:tcPr>
            <w:tcW w:w="0" w:type="auto"/>
            <w:vAlign w:val="center"/>
          </w:tcPr>
          <w:p w14:paraId="10E009B0" w14:textId="4F9F97D1" w:rsidR="000B307B" w:rsidRPr="00BC7A12" w:rsidRDefault="000B307B" w:rsidP="00502315">
            <w:pPr>
              <w:spacing w:after="60"/>
              <w:rPr>
                <w:rFonts w:cs="Calibri"/>
              </w:rPr>
            </w:pPr>
            <w:r w:rsidRPr="00BC7A12">
              <w:rPr>
                <w:rFonts w:cs="Calibri"/>
                <w:color w:val="000000"/>
              </w:rPr>
              <w:t>Final ecosystem services</w:t>
            </w:r>
          </w:p>
        </w:tc>
      </w:tr>
      <w:tr w:rsidR="00807297" w:rsidRPr="00BC7A12" w14:paraId="39B7098D" w14:textId="77777777" w:rsidTr="00F55110">
        <w:tc>
          <w:tcPr>
            <w:tcW w:w="0" w:type="auto"/>
            <w:vAlign w:val="center"/>
          </w:tcPr>
          <w:p w14:paraId="3F46CCD3" w14:textId="6D4273E7" w:rsidR="00807297" w:rsidRPr="00BC7A12" w:rsidRDefault="00807297" w:rsidP="00502315">
            <w:pPr>
              <w:spacing w:after="60"/>
              <w:rPr>
                <w:rFonts w:cs="Calibri"/>
                <w:color w:val="000000"/>
              </w:rPr>
            </w:pPr>
            <w:r w:rsidRPr="00BC7A12">
              <w:rPr>
                <w:rFonts w:cs="Calibri"/>
                <w:color w:val="000000"/>
              </w:rPr>
              <w:t>GET</w:t>
            </w:r>
          </w:p>
        </w:tc>
        <w:tc>
          <w:tcPr>
            <w:tcW w:w="0" w:type="auto"/>
            <w:vAlign w:val="center"/>
          </w:tcPr>
          <w:p w14:paraId="1A2C8A01" w14:textId="26BACCDC" w:rsidR="00807297" w:rsidRPr="00BC7A12" w:rsidRDefault="00807297" w:rsidP="00502315">
            <w:pPr>
              <w:spacing w:after="60"/>
              <w:rPr>
                <w:rFonts w:cs="Calibri"/>
                <w:color w:val="000000"/>
              </w:rPr>
            </w:pPr>
            <w:r w:rsidRPr="00BC7A12">
              <w:rPr>
                <w:rFonts w:cs="Calibri"/>
                <w:color w:val="000000"/>
              </w:rPr>
              <w:t xml:space="preserve">Global Ecosystem Typology </w:t>
            </w:r>
          </w:p>
        </w:tc>
      </w:tr>
      <w:tr w:rsidR="000B307B" w:rsidRPr="00BC7A12" w14:paraId="3CABE576" w14:textId="77777777" w:rsidTr="00F55110">
        <w:tc>
          <w:tcPr>
            <w:tcW w:w="0" w:type="auto"/>
            <w:vAlign w:val="center"/>
          </w:tcPr>
          <w:p w14:paraId="48F57B5E" w14:textId="081B61FC" w:rsidR="000B307B" w:rsidRPr="00BC7A12" w:rsidRDefault="000B307B" w:rsidP="00502315">
            <w:pPr>
              <w:spacing w:after="60"/>
              <w:rPr>
                <w:rFonts w:cs="Calibri"/>
              </w:rPr>
            </w:pPr>
            <w:r w:rsidRPr="00BC7A12">
              <w:rPr>
                <w:rFonts w:cs="Calibri"/>
                <w:color w:val="000000"/>
              </w:rPr>
              <w:t>GDP</w:t>
            </w:r>
          </w:p>
        </w:tc>
        <w:tc>
          <w:tcPr>
            <w:tcW w:w="0" w:type="auto"/>
            <w:vAlign w:val="center"/>
          </w:tcPr>
          <w:p w14:paraId="0C8A9CBE" w14:textId="6AAAF88F" w:rsidR="000B307B" w:rsidRPr="00BC7A12" w:rsidRDefault="000B307B" w:rsidP="00502315">
            <w:pPr>
              <w:spacing w:after="60"/>
              <w:rPr>
                <w:rFonts w:cs="Calibri"/>
              </w:rPr>
            </w:pPr>
            <w:r w:rsidRPr="00BC7A12">
              <w:rPr>
                <w:rFonts w:cs="Calibri"/>
                <w:color w:val="000000"/>
              </w:rPr>
              <w:t xml:space="preserve">Gross Domestic Product </w:t>
            </w:r>
          </w:p>
        </w:tc>
      </w:tr>
      <w:tr w:rsidR="000B307B" w:rsidRPr="00BC7A12" w14:paraId="5AF09172" w14:textId="77777777" w:rsidTr="00F55110">
        <w:tc>
          <w:tcPr>
            <w:tcW w:w="0" w:type="auto"/>
            <w:vAlign w:val="center"/>
          </w:tcPr>
          <w:p w14:paraId="5AC7A86F" w14:textId="134BE2B5" w:rsidR="000B307B" w:rsidRPr="00BC7A12" w:rsidRDefault="000B307B" w:rsidP="00502315">
            <w:pPr>
              <w:spacing w:after="60"/>
              <w:rPr>
                <w:rFonts w:cs="Calibri"/>
                <w:color w:val="000000"/>
              </w:rPr>
            </w:pPr>
            <w:r w:rsidRPr="00BC7A12">
              <w:rPr>
                <w:rFonts w:cs="Calibri"/>
                <w:color w:val="000000"/>
              </w:rPr>
              <w:t>IPBES</w:t>
            </w:r>
          </w:p>
        </w:tc>
        <w:tc>
          <w:tcPr>
            <w:tcW w:w="0" w:type="auto"/>
            <w:vAlign w:val="center"/>
          </w:tcPr>
          <w:p w14:paraId="389583DD" w14:textId="2C5F0155" w:rsidR="000B307B" w:rsidRPr="00BC7A12" w:rsidRDefault="000B307B" w:rsidP="00502315">
            <w:pPr>
              <w:spacing w:after="60"/>
              <w:rPr>
                <w:rFonts w:cs="Calibri"/>
                <w:color w:val="000000"/>
              </w:rPr>
            </w:pPr>
            <w:r w:rsidRPr="00BC7A12">
              <w:rPr>
                <w:rFonts w:cs="Calibri"/>
                <w:color w:val="000000"/>
              </w:rPr>
              <w:t>International Platform on Biodiversity and Ecosystem Services</w:t>
            </w:r>
          </w:p>
        </w:tc>
      </w:tr>
      <w:tr w:rsidR="00F0367C" w:rsidRPr="00BC7A12" w14:paraId="5E9F63C8" w14:textId="77777777" w:rsidTr="00F55110">
        <w:tc>
          <w:tcPr>
            <w:tcW w:w="0" w:type="auto"/>
            <w:vAlign w:val="center"/>
          </w:tcPr>
          <w:p w14:paraId="341B49B3" w14:textId="3638B95A" w:rsidR="00F0367C" w:rsidRPr="00BC7A12" w:rsidRDefault="00F0367C" w:rsidP="00502315">
            <w:pPr>
              <w:spacing w:after="60"/>
              <w:rPr>
                <w:rFonts w:cs="Calibri"/>
                <w:color w:val="000000"/>
              </w:rPr>
            </w:pPr>
            <w:r w:rsidRPr="00BC7A12">
              <w:rPr>
                <w:rFonts w:cs="Calibri"/>
                <w:color w:val="000000"/>
              </w:rPr>
              <w:t>INT$</w:t>
            </w:r>
          </w:p>
        </w:tc>
        <w:tc>
          <w:tcPr>
            <w:tcW w:w="0" w:type="auto"/>
            <w:vAlign w:val="center"/>
          </w:tcPr>
          <w:p w14:paraId="15E71F10" w14:textId="6828D746" w:rsidR="00F0367C" w:rsidRPr="00BC7A12" w:rsidRDefault="00F0367C" w:rsidP="00502315">
            <w:pPr>
              <w:spacing w:after="60"/>
              <w:rPr>
                <w:rFonts w:cs="Calibri"/>
                <w:color w:val="000000"/>
              </w:rPr>
            </w:pPr>
            <w:r w:rsidRPr="00BC7A12">
              <w:rPr>
                <w:rFonts w:cs="Calibri"/>
                <w:color w:val="000000"/>
              </w:rPr>
              <w:t xml:space="preserve">International dollar  </w:t>
            </w:r>
          </w:p>
        </w:tc>
      </w:tr>
      <w:tr w:rsidR="000B307B" w:rsidRPr="00BC7A12" w14:paraId="72BEA92D" w14:textId="77777777" w:rsidTr="00F55110">
        <w:tc>
          <w:tcPr>
            <w:tcW w:w="0" w:type="auto"/>
            <w:vAlign w:val="center"/>
          </w:tcPr>
          <w:p w14:paraId="298EC1CD" w14:textId="7546D6F7" w:rsidR="000B307B" w:rsidRPr="00BC7A12" w:rsidRDefault="000B307B" w:rsidP="00502315">
            <w:pPr>
              <w:spacing w:after="60"/>
              <w:rPr>
                <w:rFonts w:cs="Calibri"/>
              </w:rPr>
            </w:pPr>
            <w:r w:rsidRPr="00BC7A12">
              <w:rPr>
                <w:rFonts w:cs="Calibri"/>
                <w:color w:val="000000"/>
              </w:rPr>
              <w:t>MS</w:t>
            </w:r>
          </w:p>
        </w:tc>
        <w:tc>
          <w:tcPr>
            <w:tcW w:w="0" w:type="auto"/>
            <w:vAlign w:val="center"/>
          </w:tcPr>
          <w:p w14:paraId="64AD9875" w14:textId="73E27A23" w:rsidR="000B307B" w:rsidRPr="00BC7A12" w:rsidRDefault="000B307B" w:rsidP="00502315">
            <w:pPr>
              <w:spacing w:after="60"/>
              <w:rPr>
                <w:rFonts w:cs="Calibri"/>
              </w:rPr>
            </w:pPr>
            <w:r w:rsidRPr="00BC7A12">
              <w:rPr>
                <w:rFonts w:cs="Calibri"/>
                <w:color w:val="000000"/>
              </w:rPr>
              <w:t>Microsoft</w:t>
            </w:r>
          </w:p>
        </w:tc>
      </w:tr>
      <w:tr w:rsidR="000B307B" w:rsidRPr="00BC7A12" w14:paraId="60090777" w14:textId="77777777" w:rsidTr="00F55110">
        <w:tc>
          <w:tcPr>
            <w:tcW w:w="0" w:type="auto"/>
            <w:vAlign w:val="center"/>
          </w:tcPr>
          <w:p w14:paraId="176D1A09" w14:textId="5AF14FAC" w:rsidR="000B307B" w:rsidRPr="00BC7A12" w:rsidRDefault="000B307B" w:rsidP="00502315">
            <w:pPr>
              <w:spacing w:after="60"/>
              <w:rPr>
                <w:rFonts w:cs="Calibri"/>
              </w:rPr>
            </w:pPr>
            <w:r w:rsidRPr="00BC7A12">
              <w:rPr>
                <w:rFonts w:cs="Calibri"/>
                <w:color w:val="000000"/>
              </w:rPr>
              <w:t>NESCS Plus</w:t>
            </w:r>
          </w:p>
        </w:tc>
        <w:tc>
          <w:tcPr>
            <w:tcW w:w="0" w:type="auto"/>
            <w:vAlign w:val="center"/>
          </w:tcPr>
          <w:p w14:paraId="4F8C9A51" w14:textId="3831D4B5" w:rsidR="000B307B" w:rsidRPr="00BC7A12" w:rsidRDefault="000B307B" w:rsidP="00502315">
            <w:pPr>
              <w:spacing w:after="60"/>
              <w:rPr>
                <w:rFonts w:cs="Calibri"/>
              </w:rPr>
            </w:pPr>
            <w:r w:rsidRPr="00BC7A12">
              <w:rPr>
                <w:rFonts w:cs="Calibri"/>
                <w:color w:val="000000"/>
              </w:rPr>
              <w:t>National Ecosystem Services Classification System Plus</w:t>
            </w:r>
          </w:p>
        </w:tc>
      </w:tr>
      <w:tr w:rsidR="000B307B" w:rsidRPr="00BC7A12" w14:paraId="3F9C396C" w14:textId="77777777" w:rsidTr="00F55110">
        <w:tc>
          <w:tcPr>
            <w:tcW w:w="0" w:type="auto"/>
            <w:vAlign w:val="center"/>
          </w:tcPr>
          <w:p w14:paraId="55704B9A" w14:textId="70EBBFF3" w:rsidR="000B307B" w:rsidRPr="00BC7A12" w:rsidRDefault="000B307B" w:rsidP="00502315">
            <w:pPr>
              <w:spacing w:after="60"/>
              <w:rPr>
                <w:rFonts w:cs="Calibri"/>
              </w:rPr>
            </w:pPr>
            <w:r w:rsidRPr="00BC7A12">
              <w:rPr>
                <w:rFonts w:cs="Calibri"/>
                <w:color w:val="000000"/>
              </w:rPr>
              <w:t>SEE</w:t>
            </w:r>
            <w:r w:rsidR="00F317CE" w:rsidRPr="00BC7A12">
              <w:rPr>
                <w:rFonts w:cs="Calibri"/>
                <w:color w:val="000000"/>
              </w:rPr>
              <w:t>A</w:t>
            </w:r>
          </w:p>
        </w:tc>
        <w:tc>
          <w:tcPr>
            <w:tcW w:w="0" w:type="auto"/>
            <w:vAlign w:val="center"/>
          </w:tcPr>
          <w:p w14:paraId="501137F3" w14:textId="624DB06B" w:rsidR="000B307B" w:rsidRPr="00BC7A12" w:rsidRDefault="000B307B" w:rsidP="00502315">
            <w:pPr>
              <w:spacing w:after="60"/>
              <w:rPr>
                <w:rFonts w:cs="Calibri"/>
              </w:rPr>
            </w:pPr>
            <w:r w:rsidRPr="00BC7A12">
              <w:rPr>
                <w:rFonts w:cs="Calibri"/>
                <w:color w:val="000000"/>
              </w:rPr>
              <w:t>System of Environmental-Economic Accounting</w:t>
            </w:r>
          </w:p>
        </w:tc>
      </w:tr>
      <w:tr w:rsidR="000B307B" w:rsidRPr="00BC7A12" w14:paraId="189C17C7" w14:textId="77777777" w:rsidTr="00F55110">
        <w:tc>
          <w:tcPr>
            <w:tcW w:w="0" w:type="auto"/>
            <w:vAlign w:val="center"/>
          </w:tcPr>
          <w:p w14:paraId="6753BD66" w14:textId="17D98506" w:rsidR="000B307B" w:rsidRPr="00BC7A12" w:rsidRDefault="000B307B" w:rsidP="00502315">
            <w:pPr>
              <w:spacing w:after="60"/>
              <w:rPr>
                <w:rFonts w:cs="Calibri"/>
              </w:rPr>
            </w:pPr>
            <w:r w:rsidRPr="00BC7A12">
              <w:rPr>
                <w:rFonts w:cs="Calibri"/>
                <w:color w:val="000000"/>
              </w:rPr>
              <w:t>TEEB</w:t>
            </w:r>
          </w:p>
        </w:tc>
        <w:tc>
          <w:tcPr>
            <w:tcW w:w="0" w:type="auto"/>
            <w:vAlign w:val="center"/>
          </w:tcPr>
          <w:p w14:paraId="1295D1BE" w14:textId="03A6B417" w:rsidR="000B307B" w:rsidRPr="00BC7A12" w:rsidRDefault="000B307B" w:rsidP="00502315">
            <w:pPr>
              <w:spacing w:after="60"/>
              <w:rPr>
                <w:rFonts w:cs="Calibri"/>
              </w:rPr>
            </w:pPr>
            <w:r w:rsidRPr="00BC7A12">
              <w:rPr>
                <w:rFonts w:cs="Calibri"/>
                <w:color w:val="000000"/>
              </w:rPr>
              <w:t>The Economic of Ecosystems and Biodiversity</w:t>
            </w:r>
          </w:p>
        </w:tc>
      </w:tr>
      <w:tr w:rsidR="000B307B" w:rsidRPr="00BC7A12" w14:paraId="7DCA866F" w14:textId="77777777" w:rsidTr="00F55110">
        <w:tc>
          <w:tcPr>
            <w:tcW w:w="0" w:type="auto"/>
            <w:vAlign w:val="center"/>
          </w:tcPr>
          <w:p w14:paraId="3748F826" w14:textId="11E526D7" w:rsidR="000B307B" w:rsidRPr="00BC7A12" w:rsidRDefault="000B307B" w:rsidP="00502315">
            <w:pPr>
              <w:spacing w:after="60"/>
              <w:rPr>
                <w:rFonts w:cs="Calibri"/>
              </w:rPr>
            </w:pPr>
            <w:r w:rsidRPr="00BC7A12">
              <w:rPr>
                <w:rFonts w:cs="Calibri"/>
                <w:color w:val="000000"/>
              </w:rPr>
              <w:t>UNSD</w:t>
            </w:r>
          </w:p>
        </w:tc>
        <w:tc>
          <w:tcPr>
            <w:tcW w:w="0" w:type="auto"/>
            <w:vAlign w:val="center"/>
          </w:tcPr>
          <w:p w14:paraId="05648EE4" w14:textId="3918BD42" w:rsidR="000B307B" w:rsidRPr="00BC7A12" w:rsidRDefault="000B307B" w:rsidP="00502315">
            <w:pPr>
              <w:spacing w:after="60"/>
              <w:rPr>
                <w:rFonts w:cs="Calibri"/>
              </w:rPr>
            </w:pPr>
            <w:r w:rsidRPr="00BC7A12">
              <w:rPr>
                <w:rFonts w:cs="Calibri"/>
                <w:color w:val="000000"/>
              </w:rPr>
              <w:t>United Nations Statistics Department</w:t>
            </w:r>
          </w:p>
        </w:tc>
      </w:tr>
      <w:tr w:rsidR="000B307B" w:rsidRPr="00BC7A12" w14:paraId="186C4232" w14:textId="77777777" w:rsidTr="00F55110">
        <w:trPr>
          <w:trHeight w:val="90"/>
        </w:trPr>
        <w:tc>
          <w:tcPr>
            <w:tcW w:w="0" w:type="auto"/>
            <w:vAlign w:val="center"/>
          </w:tcPr>
          <w:p w14:paraId="5D9446B6" w14:textId="6D9D4FA8" w:rsidR="000B307B" w:rsidRPr="00BC7A12" w:rsidRDefault="000B307B" w:rsidP="00502315">
            <w:pPr>
              <w:spacing w:after="60"/>
              <w:rPr>
                <w:rFonts w:cs="Calibri"/>
              </w:rPr>
            </w:pPr>
            <w:r w:rsidRPr="00BC7A12">
              <w:rPr>
                <w:rFonts w:cs="Calibri"/>
                <w:color w:val="000000"/>
              </w:rPr>
              <w:t>US EPA</w:t>
            </w:r>
          </w:p>
        </w:tc>
        <w:tc>
          <w:tcPr>
            <w:tcW w:w="0" w:type="auto"/>
            <w:vAlign w:val="center"/>
          </w:tcPr>
          <w:p w14:paraId="1C698DA9" w14:textId="43E338B9" w:rsidR="000B307B" w:rsidRPr="00BC7A12" w:rsidRDefault="000B307B" w:rsidP="00502315">
            <w:pPr>
              <w:spacing w:after="60"/>
              <w:rPr>
                <w:rFonts w:cs="Calibri"/>
              </w:rPr>
            </w:pPr>
            <w:r w:rsidRPr="00BC7A12">
              <w:rPr>
                <w:rFonts w:cs="Calibri"/>
                <w:color w:val="000000"/>
              </w:rPr>
              <w:t>United States Environmental Protection Agency</w:t>
            </w:r>
          </w:p>
        </w:tc>
      </w:tr>
    </w:tbl>
    <w:p w14:paraId="06B0C6DC" w14:textId="77777777" w:rsidR="00502315" w:rsidRPr="00BC7A12" w:rsidRDefault="00502315">
      <w:pPr>
        <w:rPr>
          <w:rFonts w:cs="Calibri"/>
        </w:rPr>
      </w:pPr>
      <w:r w:rsidRPr="00BC7A12">
        <w:rPr>
          <w:rFonts w:cs="Calibri"/>
        </w:rPr>
        <w:br w:type="page"/>
      </w:r>
    </w:p>
    <w:p w14:paraId="49CFB2AC" w14:textId="1C4FC72B" w:rsidR="00CE3B13" w:rsidRPr="00BC7A12" w:rsidRDefault="002F470B" w:rsidP="009D41C0">
      <w:pPr>
        <w:pStyle w:val="Heading1"/>
        <w:rPr>
          <w:rFonts w:ascii="Calibri" w:hAnsi="Calibri" w:cs="Calibri"/>
        </w:rPr>
      </w:pPr>
      <w:bookmarkStart w:id="2" w:name="_Ref44229726"/>
      <w:bookmarkStart w:id="3" w:name="_Toc46822287"/>
      <w:r w:rsidRPr="00BC7A12">
        <w:rPr>
          <w:rFonts w:ascii="Calibri" w:hAnsi="Calibri" w:cs="Calibri"/>
        </w:rPr>
        <w:lastRenderedPageBreak/>
        <w:t>Executive summary</w:t>
      </w:r>
      <w:bookmarkEnd w:id="2"/>
      <w:bookmarkEnd w:id="3"/>
      <w:r w:rsidRPr="00BC7A12">
        <w:rPr>
          <w:rFonts w:ascii="Calibri" w:hAnsi="Calibri" w:cs="Calibri"/>
        </w:rPr>
        <w:t xml:space="preserve"> </w:t>
      </w:r>
    </w:p>
    <w:p w14:paraId="6F41DB6A" w14:textId="10E1B738" w:rsidR="00384DD0" w:rsidRPr="00BC7A12" w:rsidRDefault="00384DD0" w:rsidP="009D41C0">
      <w:pPr>
        <w:rPr>
          <w:rFonts w:cs="Calibri"/>
        </w:rPr>
      </w:pPr>
      <w:bookmarkStart w:id="4" w:name="_Hlk43122138"/>
      <w:r w:rsidRPr="00BC7A12">
        <w:rPr>
          <w:rFonts w:cs="Calibri"/>
        </w:rPr>
        <w:t xml:space="preserve">Coastal wetlands enable </w:t>
      </w:r>
      <w:r w:rsidR="00165F68" w:rsidRPr="00BC7A12">
        <w:rPr>
          <w:rFonts w:cs="Calibri"/>
        </w:rPr>
        <w:t xml:space="preserve">a </w:t>
      </w:r>
      <w:r w:rsidRPr="00BC7A12">
        <w:rPr>
          <w:rFonts w:cs="Calibri"/>
        </w:rPr>
        <w:t xml:space="preserve">wide range of benefits through the provision of ecosystem </w:t>
      </w:r>
      <w:r w:rsidR="00F81A5A" w:rsidRPr="00BC7A12">
        <w:rPr>
          <w:rFonts w:cs="Calibri"/>
        </w:rPr>
        <w:t xml:space="preserve">services. These include cultural and </w:t>
      </w:r>
      <w:r w:rsidR="00165F68" w:rsidRPr="00BC7A12">
        <w:rPr>
          <w:rFonts w:cs="Calibri"/>
        </w:rPr>
        <w:t xml:space="preserve">intrinsic </w:t>
      </w:r>
      <w:r w:rsidR="00E500C5">
        <w:rPr>
          <w:rFonts w:cs="Calibri"/>
        </w:rPr>
        <w:t>benefits</w:t>
      </w:r>
      <w:r w:rsidRPr="00BC7A12">
        <w:rPr>
          <w:rFonts w:cs="Calibri"/>
        </w:rPr>
        <w:t xml:space="preserve"> related to the existence of </w:t>
      </w:r>
      <w:r w:rsidR="00BC7A12" w:rsidRPr="00BC7A12">
        <w:rPr>
          <w:rFonts w:cs="Calibri"/>
        </w:rPr>
        <w:t xml:space="preserve">biodiversity and </w:t>
      </w:r>
      <w:r w:rsidR="00165F68" w:rsidRPr="00BC7A12">
        <w:rPr>
          <w:rFonts w:cs="Calibri"/>
        </w:rPr>
        <w:t>wetlands themselves</w:t>
      </w:r>
      <w:r w:rsidR="00CC2A9E" w:rsidRPr="00BC7A12">
        <w:rPr>
          <w:rFonts w:cs="Calibri"/>
        </w:rPr>
        <w:t xml:space="preserve">. </w:t>
      </w:r>
      <w:r w:rsidR="00E500C5">
        <w:rPr>
          <w:rFonts w:cs="Calibri"/>
        </w:rPr>
        <w:t xml:space="preserve">Wetlands </w:t>
      </w:r>
      <w:r w:rsidR="005C2E7C" w:rsidRPr="00BC7A12">
        <w:rPr>
          <w:rFonts w:cs="Calibri"/>
        </w:rPr>
        <w:t xml:space="preserve">provide food (fish and seafood) and mitigate climate change by sequestering and storing carbon. </w:t>
      </w:r>
      <w:r w:rsidRPr="00BC7A12">
        <w:rPr>
          <w:rFonts w:cs="Calibri"/>
        </w:rPr>
        <w:t>In addition, coastal w</w:t>
      </w:r>
      <w:r w:rsidR="00CC2A9E" w:rsidRPr="00BC7A12">
        <w:rPr>
          <w:rFonts w:cs="Calibri"/>
        </w:rPr>
        <w:t xml:space="preserve">etlands </w:t>
      </w:r>
      <w:r w:rsidR="00E500C5">
        <w:rPr>
          <w:rFonts w:cs="Calibri"/>
        </w:rPr>
        <w:t xml:space="preserve">contribute to </w:t>
      </w:r>
      <w:r w:rsidR="00CC2A9E" w:rsidRPr="00BC7A12">
        <w:rPr>
          <w:rFonts w:cs="Calibri"/>
        </w:rPr>
        <w:t>improve</w:t>
      </w:r>
      <w:r w:rsidR="00E500C5">
        <w:rPr>
          <w:rFonts w:cs="Calibri"/>
        </w:rPr>
        <w:t>d</w:t>
      </w:r>
      <w:r w:rsidR="00CC2A9E" w:rsidRPr="00BC7A12">
        <w:rPr>
          <w:rFonts w:cs="Calibri"/>
        </w:rPr>
        <w:t xml:space="preserve"> health by </w:t>
      </w:r>
      <w:r w:rsidR="00165F68" w:rsidRPr="00BC7A12">
        <w:rPr>
          <w:rFonts w:cs="Calibri"/>
        </w:rPr>
        <w:t>providing recreational opportunities</w:t>
      </w:r>
      <w:r w:rsidR="00CC2A9E" w:rsidRPr="00BC7A12">
        <w:rPr>
          <w:rFonts w:cs="Calibri"/>
        </w:rPr>
        <w:t xml:space="preserve"> and filtering pollutants </w:t>
      </w:r>
      <w:r w:rsidRPr="00BC7A12">
        <w:rPr>
          <w:rFonts w:cs="Calibri"/>
        </w:rPr>
        <w:t xml:space="preserve">from </w:t>
      </w:r>
      <w:r w:rsidR="00CC2A9E" w:rsidRPr="00BC7A12">
        <w:rPr>
          <w:rFonts w:cs="Calibri"/>
        </w:rPr>
        <w:t>water</w:t>
      </w:r>
      <w:r w:rsidR="00165F68" w:rsidRPr="00BC7A12">
        <w:rPr>
          <w:rFonts w:cs="Calibri"/>
        </w:rPr>
        <w:t>. They can also protect human property from coastal storms,</w:t>
      </w:r>
      <w:r w:rsidR="005C2E7C" w:rsidRPr="00BC7A12">
        <w:rPr>
          <w:rFonts w:cs="Calibri"/>
        </w:rPr>
        <w:t xml:space="preserve"> floods,</w:t>
      </w:r>
      <w:r w:rsidR="00165F68" w:rsidRPr="00BC7A12">
        <w:rPr>
          <w:rFonts w:cs="Calibri"/>
        </w:rPr>
        <w:t xml:space="preserve"> sea level rise and subsidence. </w:t>
      </w:r>
    </w:p>
    <w:p w14:paraId="27D8F105" w14:textId="2991BE1A" w:rsidR="00B129B9" w:rsidRPr="00BC7A12" w:rsidRDefault="005B0F4F" w:rsidP="009D41C0">
      <w:pPr>
        <w:rPr>
          <w:rFonts w:cs="Calibri"/>
        </w:rPr>
      </w:pPr>
      <w:r w:rsidRPr="00BC7A12">
        <w:rPr>
          <w:rFonts w:cs="Calibri"/>
        </w:rPr>
        <w:t xml:space="preserve">The </w:t>
      </w:r>
      <w:bookmarkStart w:id="5" w:name="_Hlk50451145"/>
      <w:r w:rsidRPr="00BC7A12">
        <w:rPr>
          <w:rFonts w:cs="Calibri"/>
        </w:rPr>
        <w:t>v</w:t>
      </w:r>
      <w:r w:rsidR="00165F68" w:rsidRPr="00BC7A12">
        <w:rPr>
          <w:rFonts w:cs="Calibri"/>
        </w:rPr>
        <w:t xml:space="preserve">aluation of disaster risk reduction ecosystem services </w:t>
      </w:r>
      <w:r w:rsidR="00384DD0" w:rsidRPr="00BC7A12">
        <w:rPr>
          <w:rFonts w:cs="Calibri"/>
        </w:rPr>
        <w:t xml:space="preserve">that protect human property </w:t>
      </w:r>
      <w:r w:rsidR="00BC726B" w:rsidRPr="00BC7A12">
        <w:rPr>
          <w:rFonts w:cs="Calibri"/>
        </w:rPr>
        <w:t xml:space="preserve">has been identified </w:t>
      </w:r>
      <w:r w:rsidR="00165F68" w:rsidRPr="00BC7A12">
        <w:rPr>
          <w:rFonts w:cs="Calibri"/>
        </w:rPr>
        <w:t>as a useful approach</w:t>
      </w:r>
      <w:r w:rsidR="00384DD0" w:rsidRPr="00BC7A12">
        <w:rPr>
          <w:rFonts w:cs="Calibri"/>
        </w:rPr>
        <w:t xml:space="preserve"> </w:t>
      </w:r>
      <w:r w:rsidR="00E500C5">
        <w:rPr>
          <w:rFonts w:cs="Calibri"/>
        </w:rPr>
        <w:t xml:space="preserve">to improve </w:t>
      </w:r>
      <w:r w:rsidR="00BC726B" w:rsidRPr="00BC7A12">
        <w:rPr>
          <w:rFonts w:cs="Calibri"/>
        </w:rPr>
        <w:t>coastal planning.</w:t>
      </w:r>
      <w:r w:rsidR="00384DD0" w:rsidRPr="00BC7A12">
        <w:rPr>
          <w:rFonts w:cs="Calibri"/>
        </w:rPr>
        <w:t xml:space="preserve"> </w:t>
      </w:r>
      <w:r w:rsidR="00384DD0" w:rsidRPr="00760777">
        <w:rPr>
          <w:rFonts w:cs="Calibri"/>
        </w:rPr>
        <w:t xml:space="preserve">However, </w:t>
      </w:r>
      <w:r w:rsidR="00A11A49" w:rsidRPr="00760777">
        <w:rPr>
          <w:rFonts w:cs="Calibri"/>
        </w:rPr>
        <w:t>valuation</w:t>
      </w:r>
      <w:r w:rsidRPr="00760777">
        <w:rPr>
          <w:rFonts w:cs="Calibri"/>
        </w:rPr>
        <w:t>s</w:t>
      </w:r>
      <w:r w:rsidR="00A11A49" w:rsidRPr="00760777">
        <w:rPr>
          <w:rFonts w:cs="Calibri"/>
        </w:rPr>
        <w:t xml:space="preserve"> </w:t>
      </w:r>
      <w:r w:rsidR="005C2E7C" w:rsidRPr="00760777">
        <w:rPr>
          <w:rFonts w:cs="Calibri"/>
        </w:rPr>
        <w:t>have often</w:t>
      </w:r>
      <w:r w:rsidR="00384DD0" w:rsidRPr="00760777">
        <w:rPr>
          <w:rFonts w:cs="Calibri"/>
        </w:rPr>
        <w:t xml:space="preserve"> failed to be adequately considered by </w:t>
      </w:r>
      <w:r w:rsidR="00165F68" w:rsidRPr="00760777">
        <w:rPr>
          <w:rFonts w:cs="Calibri"/>
        </w:rPr>
        <w:t xml:space="preserve">decision </w:t>
      </w:r>
      <w:r w:rsidR="00384DD0" w:rsidRPr="00760777">
        <w:rPr>
          <w:rFonts w:cs="Calibri"/>
        </w:rPr>
        <w:t>makers</w:t>
      </w:r>
      <w:r w:rsidR="00165F68" w:rsidRPr="00760777">
        <w:rPr>
          <w:rFonts w:cs="Calibri"/>
        </w:rPr>
        <w:t>.</w:t>
      </w:r>
      <w:r w:rsidR="00165F68" w:rsidRPr="00BC7A12">
        <w:rPr>
          <w:rFonts w:cs="Calibri"/>
        </w:rPr>
        <w:t xml:space="preserve"> </w:t>
      </w:r>
      <w:r w:rsidR="00BC7A12">
        <w:rPr>
          <w:rFonts w:cs="Calibri"/>
        </w:rPr>
        <w:t xml:space="preserve"> </w:t>
      </w:r>
      <w:bookmarkEnd w:id="5"/>
    </w:p>
    <w:p w14:paraId="08F8F461" w14:textId="0703B370" w:rsidR="007E11AF" w:rsidRDefault="009C5CC9" w:rsidP="009D41C0">
      <w:pPr>
        <w:rPr>
          <w:rFonts w:cs="Calibri"/>
        </w:rPr>
      </w:pPr>
      <w:r w:rsidRPr="00BC7A12">
        <w:rPr>
          <w:rFonts w:cs="Calibri"/>
        </w:rPr>
        <w:t xml:space="preserve">To </w:t>
      </w:r>
      <w:r w:rsidR="00384DD0" w:rsidRPr="00BC7A12">
        <w:rPr>
          <w:rFonts w:cs="Calibri"/>
        </w:rPr>
        <w:t xml:space="preserve">help </w:t>
      </w:r>
      <w:r w:rsidR="00BC7A12">
        <w:rPr>
          <w:rFonts w:cs="Calibri"/>
        </w:rPr>
        <w:t xml:space="preserve">understand and </w:t>
      </w:r>
      <w:r w:rsidR="00384DD0" w:rsidRPr="00BC7A12">
        <w:rPr>
          <w:rFonts w:cs="Calibri"/>
        </w:rPr>
        <w:t>address</w:t>
      </w:r>
      <w:r w:rsidRPr="00BC7A12">
        <w:rPr>
          <w:rFonts w:cs="Calibri"/>
        </w:rPr>
        <w:t xml:space="preserve"> </w:t>
      </w:r>
      <w:r w:rsidR="00E07F00">
        <w:rPr>
          <w:rFonts w:cs="Calibri"/>
        </w:rPr>
        <w:t>this</w:t>
      </w:r>
      <w:r w:rsidRPr="00BC7A12">
        <w:rPr>
          <w:rFonts w:cs="Calibri"/>
        </w:rPr>
        <w:t xml:space="preserve"> gap, a literature review</w:t>
      </w:r>
      <w:r w:rsidR="0059152A">
        <w:rPr>
          <w:rFonts w:cs="Calibri"/>
        </w:rPr>
        <w:t>,</w:t>
      </w:r>
      <w:r w:rsidRPr="00BC7A12">
        <w:rPr>
          <w:rFonts w:cs="Calibri"/>
        </w:rPr>
        <w:t xml:space="preserve"> expert </w:t>
      </w:r>
      <w:proofErr w:type="gramStart"/>
      <w:r w:rsidRPr="00BC7A12">
        <w:rPr>
          <w:rFonts w:cs="Calibri"/>
        </w:rPr>
        <w:t>consultation</w:t>
      </w:r>
      <w:proofErr w:type="gramEnd"/>
      <w:r w:rsidRPr="00BC7A12">
        <w:rPr>
          <w:rFonts w:cs="Calibri"/>
        </w:rPr>
        <w:t xml:space="preserve"> </w:t>
      </w:r>
      <w:r w:rsidR="0059152A">
        <w:rPr>
          <w:rFonts w:cs="Calibri"/>
        </w:rPr>
        <w:t xml:space="preserve">and analysis </w:t>
      </w:r>
      <w:r w:rsidRPr="00BC7A12">
        <w:rPr>
          <w:rFonts w:cs="Calibri"/>
        </w:rPr>
        <w:t>was undertaken.</w:t>
      </w:r>
      <w:r w:rsidR="00384DD0" w:rsidRPr="00BC7A12">
        <w:rPr>
          <w:rFonts w:cs="Calibri"/>
        </w:rPr>
        <w:t xml:space="preserve"> </w:t>
      </w:r>
      <w:r w:rsidR="007E11AF">
        <w:rPr>
          <w:rFonts w:cs="Calibri"/>
        </w:rPr>
        <w:t>The review</w:t>
      </w:r>
      <w:r w:rsidR="002C3361" w:rsidRPr="00BC7A12">
        <w:rPr>
          <w:rFonts w:cs="Calibri"/>
        </w:rPr>
        <w:t xml:space="preserve"> captured valuation studies</w:t>
      </w:r>
      <w:r w:rsidR="007E11AF">
        <w:rPr>
          <w:rFonts w:cs="Calibri"/>
        </w:rPr>
        <w:t>—primarily from the past decade—that were identified through online searches using over 20 terms related to coastal wetlands and disaster risk reduction</w:t>
      </w:r>
      <w:r w:rsidR="000438FA">
        <w:rPr>
          <w:rFonts w:cs="Calibri"/>
        </w:rPr>
        <w:t xml:space="preserve"> </w:t>
      </w:r>
      <w:r w:rsidR="000438FA">
        <w:rPr>
          <w:rFonts w:cs="Calibri"/>
        </w:rPr>
        <w:fldChar w:fldCharType="begin" w:fldLock="1"/>
      </w:r>
      <w:r w:rsidR="000438FA">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2020a)","plainTextFormattedCitation":"(IDEEA Group 2020a)"},"properties":{"noteIndex":0},"schema":"https://github.com/citation-style-language/schema/raw/master/csl-citation.json"}</w:instrText>
      </w:r>
      <w:r w:rsidR="000438FA">
        <w:rPr>
          <w:rFonts w:cs="Calibri"/>
        </w:rPr>
        <w:fldChar w:fldCharType="separate"/>
      </w:r>
      <w:r w:rsidR="000438FA" w:rsidRPr="000438FA">
        <w:rPr>
          <w:rFonts w:cs="Calibri"/>
          <w:noProof/>
        </w:rPr>
        <w:t>(IDEEA Group 2020a)</w:t>
      </w:r>
      <w:r w:rsidR="000438FA">
        <w:rPr>
          <w:rFonts w:cs="Calibri"/>
        </w:rPr>
        <w:fldChar w:fldCharType="end"/>
      </w:r>
      <w:r w:rsidR="007E11AF">
        <w:rPr>
          <w:rFonts w:cs="Calibri"/>
        </w:rPr>
        <w:t xml:space="preserve">. The studies included values of the </w:t>
      </w:r>
      <w:r w:rsidR="003B2A57" w:rsidRPr="00BC7A12">
        <w:rPr>
          <w:rFonts w:cs="Calibri"/>
        </w:rPr>
        <w:t xml:space="preserve">disaster risk reduction ecosystem services </w:t>
      </w:r>
      <w:r w:rsidR="005B0F4F" w:rsidRPr="00BC7A12">
        <w:rPr>
          <w:rFonts w:cs="Calibri"/>
        </w:rPr>
        <w:t xml:space="preserve">provided by </w:t>
      </w:r>
      <w:r w:rsidR="003B2A57" w:rsidRPr="00BC7A12">
        <w:rPr>
          <w:rFonts w:cs="Calibri"/>
        </w:rPr>
        <w:t>148 coastal wetlands global</w:t>
      </w:r>
      <w:r w:rsidR="002C3361" w:rsidRPr="00BC7A12">
        <w:rPr>
          <w:rFonts w:cs="Calibri"/>
        </w:rPr>
        <w:t>ly</w:t>
      </w:r>
      <w:r w:rsidR="003B2A57" w:rsidRPr="00BC7A12">
        <w:rPr>
          <w:rFonts w:cs="Calibri"/>
        </w:rPr>
        <w:t>.</w:t>
      </w:r>
      <w:r w:rsidR="009D7EC5" w:rsidRPr="009D7EC5">
        <w:rPr>
          <w:rFonts w:cs="Calibri"/>
        </w:rPr>
        <w:t xml:space="preserve"> </w:t>
      </w:r>
      <w:r w:rsidR="009D7EC5" w:rsidRPr="00BC7A12">
        <w:rPr>
          <w:rFonts w:cs="Calibri"/>
        </w:rPr>
        <w:t xml:space="preserve">In addition, </w:t>
      </w:r>
      <w:r w:rsidR="009D7EC5">
        <w:rPr>
          <w:rFonts w:cs="Calibri"/>
        </w:rPr>
        <w:t xml:space="preserve">fifteen </w:t>
      </w:r>
      <w:r w:rsidR="009D7EC5" w:rsidRPr="00BC7A12">
        <w:rPr>
          <w:rFonts w:cs="Calibri"/>
        </w:rPr>
        <w:t xml:space="preserve">experts </w:t>
      </w:r>
      <w:r w:rsidR="009D7EC5">
        <w:rPr>
          <w:rFonts w:cs="Calibri"/>
        </w:rPr>
        <w:t>were</w:t>
      </w:r>
      <w:r w:rsidR="009D7EC5" w:rsidRPr="00BC7A12">
        <w:rPr>
          <w:rFonts w:cs="Calibri"/>
        </w:rPr>
        <w:t xml:space="preserve"> interviewed</w:t>
      </w:r>
      <w:r w:rsidR="007E11AF">
        <w:rPr>
          <w:rFonts w:cs="Calibri"/>
        </w:rPr>
        <w:t xml:space="preserve"> using both structured and </w:t>
      </w:r>
      <w:proofErr w:type="gramStart"/>
      <w:r w:rsidR="007E11AF">
        <w:rPr>
          <w:rFonts w:cs="Calibri"/>
        </w:rPr>
        <w:t>open ended</w:t>
      </w:r>
      <w:proofErr w:type="gramEnd"/>
      <w:r w:rsidR="007E11AF">
        <w:rPr>
          <w:rFonts w:cs="Calibri"/>
        </w:rPr>
        <w:t xml:space="preserve"> questions. Finally, the results of the literature review and consultations were analysed. </w:t>
      </w:r>
      <w:r w:rsidR="003B2A57" w:rsidRPr="00BC7A12">
        <w:rPr>
          <w:rFonts w:cs="Calibri"/>
        </w:rPr>
        <w:t xml:space="preserve"> </w:t>
      </w:r>
    </w:p>
    <w:p w14:paraId="31F130FB" w14:textId="0C393027" w:rsidR="0095217E" w:rsidRDefault="0095217E" w:rsidP="009D41C0">
      <w:pPr>
        <w:rPr>
          <w:rFonts w:cs="Calibri"/>
        </w:rPr>
      </w:pPr>
      <w:r>
        <w:rPr>
          <w:rFonts w:cs="Calibri"/>
        </w:rPr>
        <w:t xml:space="preserve">In these studies, </w:t>
      </w:r>
      <w:r w:rsidRPr="00BC7A12">
        <w:rPr>
          <w:rFonts w:cs="Calibri"/>
        </w:rPr>
        <w:t xml:space="preserve">disaster risk reduction ecosystem services provided by coastal wetlands are described with a variety of terms from wave attenuation to natural hazard mitigation. But they can all be understood as the role </w:t>
      </w:r>
      <w:r w:rsidR="00E07F00">
        <w:rPr>
          <w:rFonts w:cs="Calibri"/>
        </w:rPr>
        <w:t xml:space="preserve">coastal </w:t>
      </w:r>
      <w:r w:rsidRPr="00BC7A12">
        <w:rPr>
          <w:rFonts w:cs="Calibri"/>
        </w:rPr>
        <w:t>wetlands play in the “protection of human property.” This description is consistent with Ramsar and major ecosystem services classification categories and systems, such as the Millennium Ecosystem Assessment</w:t>
      </w:r>
      <w:r w:rsidR="008C3AAA">
        <w:rPr>
          <w:rFonts w:cs="Calibri"/>
        </w:rPr>
        <w:t>.</w:t>
      </w:r>
    </w:p>
    <w:p w14:paraId="10490F50" w14:textId="07F4457B" w:rsidR="00082B15" w:rsidRPr="00BC7A12" w:rsidRDefault="00082B15" w:rsidP="00082B15">
      <w:pPr>
        <w:rPr>
          <w:rFonts w:cs="Calibri"/>
        </w:rPr>
      </w:pPr>
      <w:r w:rsidRPr="00BC7A12">
        <w:rPr>
          <w:rFonts w:cs="Calibri"/>
        </w:rPr>
        <w:t>The major factors influencing the value of a coastal wetland</w:t>
      </w:r>
      <w:r>
        <w:rPr>
          <w:rFonts w:cs="Calibri"/>
        </w:rPr>
        <w:t xml:space="preserve"> disaster risk reduction ecosystem </w:t>
      </w:r>
      <w:proofErr w:type="gramStart"/>
      <w:r>
        <w:rPr>
          <w:rFonts w:cs="Calibri"/>
        </w:rPr>
        <w:t xml:space="preserve">services </w:t>
      </w:r>
      <w:r w:rsidRPr="00BC7A12">
        <w:rPr>
          <w:rFonts w:cs="Calibri"/>
        </w:rPr>
        <w:t xml:space="preserve"> are</w:t>
      </w:r>
      <w:proofErr w:type="gramEnd"/>
      <w:r w:rsidRPr="00BC7A12">
        <w:rPr>
          <w:rFonts w:cs="Calibri"/>
        </w:rPr>
        <w:t xml:space="preserve"> </w:t>
      </w:r>
      <w:r>
        <w:rPr>
          <w:rFonts w:cs="Calibri"/>
        </w:rPr>
        <w:t xml:space="preserve">frequency and severity of hazards, </w:t>
      </w:r>
      <w:r w:rsidRPr="00BC7A12">
        <w:rPr>
          <w:rFonts w:cs="Calibri"/>
        </w:rPr>
        <w:t xml:space="preserve">property values, wetland extent, wetland condition and wetland ecosystem type. The greater the property values and wetland extent and better the condition, the more valuable the wetland. In addition, some ecosystem types have biophysical properties that better protect human property than others. For example, a saltmarsh will protect property better than a coral reef of comparable size, </w:t>
      </w:r>
      <w:proofErr w:type="gramStart"/>
      <w:r w:rsidRPr="00BC7A12">
        <w:rPr>
          <w:rFonts w:cs="Calibri"/>
        </w:rPr>
        <w:t>quality</w:t>
      </w:r>
      <w:proofErr w:type="gramEnd"/>
      <w:r w:rsidRPr="00BC7A12">
        <w:rPr>
          <w:rFonts w:cs="Calibri"/>
        </w:rPr>
        <w:t xml:space="preserve"> and location.  </w:t>
      </w:r>
    </w:p>
    <w:p w14:paraId="6F32A8F9" w14:textId="1F052343" w:rsidR="009D7EC5" w:rsidRDefault="0095217E" w:rsidP="00472870">
      <w:pPr>
        <w:rPr>
          <w:rFonts w:cs="Calibri"/>
        </w:rPr>
      </w:pPr>
      <w:r>
        <w:rPr>
          <w:rFonts w:cs="Calibri"/>
        </w:rPr>
        <w:t xml:space="preserve">In Australia, </w:t>
      </w:r>
      <w:r w:rsidR="008F7FDB" w:rsidRPr="00BC7A12">
        <w:rPr>
          <w:rFonts w:cs="Calibri"/>
        </w:rPr>
        <w:t>t</w:t>
      </w:r>
      <w:r w:rsidR="003B2A57" w:rsidRPr="00BC7A12">
        <w:rPr>
          <w:rFonts w:cs="Calibri"/>
        </w:rPr>
        <w:t>wenty</w:t>
      </w:r>
      <w:r w:rsidR="008F7FDB" w:rsidRPr="00BC7A12">
        <w:rPr>
          <w:rFonts w:cs="Calibri"/>
        </w:rPr>
        <w:t>-eight wetlands</w:t>
      </w:r>
      <w:r w:rsidR="00BC7A12">
        <w:rPr>
          <w:rFonts w:cs="Calibri"/>
        </w:rPr>
        <w:t>, or wetland groups,</w:t>
      </w:r>
      <w:r w:rsidR="008F7FDB" w:rsidRPr="00BC7A12">
        <w:rPr>
          <w:rFonts w:cs="Calibri"/>
        </w:rPr>
        <w:t xml:space="preserve"> were </w:t>
      </w:r>
      <w:r>
        <w:rPr>
          <w:rFonts w:cs="Calibri"/>
        </w:rPr>
        <w:t>valued.</w:t>
      </w:r>
      <w:r w:rsidR="003B2A57" w:rsidRPr="00BC7A12">
        <w:rPr>
          <w:rFonts w:cs="Calibri"/>
        </w:rPr>
        <w:t xml:space="preserve"> </w:t>
      </w:r>
      <w:r w:rsidR="00330558">
        <w:rPr>
          <w:rFonts w:cs="Calibri"/>
        </w:rPr>
        <w:t>Because of the grouping</w:t>
      </w:r>
      <w:r w:rsidR="004E1963">
        <w:rPr>
          <w:rFonts w:cs="Calibri"/>
        </w:rPr>
        <w:t xml:space="preserve"> of wetlands </w:t>
      </w:r>
      <w:r w:rsidR="00C7242D">
        <w:rPr>
          <w:rFonts w:cs="Calibri"/>
        </w:rPr>
        <w:t>into large geographic areas (e.g. salt marshes of temperate Australia)</w:t>
      </w:r>
      <w:r w:rsidR="00330558">
        <w:rPr>
          <w:rFonts w:cs="Calibri"/>
        </w:rPr>
        <w:t xml:space="preserve">, </w:t>
      </w:r>
      <w:r>
        <w:rPr>
          <w:rFonts w:cs="Calibri"/>
        </w:rPr>
        <w:t>the</w:t>
      </w:r>
      <w:r w:rsidR="008C3AAA">
        <w:rPr>
          <w:rFonts w:cs="Calibri"/>
        </w:rPr>
        <w:t>se</w:t>
      </w:r>
      <w:r>
        <w:rPr>
          <w:rFonts w:cs="Calibri"/>
        </w:rPr>
        <w:t xml:space="preserve"> studies cover the full extent of </w:t>
      </w:r>
      <w:r w:rsidR="00330558">
        <w:rPr>
          <w:rFonts w:cs="Calibri"/>
        </w:rPr>
        <w:t xml:space="preserve">Australia’s coastal wetlands. </w:t>
      </w:r>
      <w:r w:rsidR="00E07F00">
        <w:rPr>
          <w:rFonts w:cs="Calibri"/>
        </w:rPr>
        <w:t xml:space="preserve">However, </w:t>
      </w:r>
      <w:r w:rsidR="0059152A">
        <w:rPr>
          <w:rFonts w:cs="Calibri"/>
        </w:rPr>
        <w:t xml:space="preserve">in these cases, </w:t>
      </w:r>
      <w:r w:rsidR="008C3AAA">
        <w:rPr>
          <w:rFonts w:cs="Calibri"/>
        </w:rPr>
        <w:t xml:space="preserve">the large </w:t>
      </w:r>
      <w:r w:rsidRPr="00BC7A12">
        <w:rPr>
          <w:rFonts w:cs="Calibri"/>
        </w:rPr>
        <w:t xml:space="preserve">geographic </w:t>
      </w:r>
      <w:r w:rsidR="009D7EC5">
        <w:rPr>
          <w:rFonts w:cs="Calibri"/>
        </w:rPr>
        <w:t xml:space="preserve">scales </w:t>
      </w:r>
      <w:r w:rsidRPr="00BC7A12">
        <w:rPr>
          <w:rFonts w:cs="Calibri"/>
        </w:rPr>
        <w:t xml:space="preserve">or </w:t>
      </w:r>
      <w:r w:rsidR="00E07F00">
        <w:rPr>
          <w:rFonts w:cs="Calibri"/>
        </w:rPr>
        <w:t xml:space="preserve">the </w:t>
      </w:r>
      <w:r w:rsidR="009D7EC5">
        <w:rPr>
          <w:rFonts w:cs="Calibri"/>
        </w:rPr>
        <w:t>valuation techniques used</w:t>
      </w:r>
      <w:r w:rsidR="008C3AAA">
        <w:rPr>
          <w:rFonts w:cs="Calibri"/>
        </w:rPr>
        <w:t xml:space="preserve"> yielded </w:t>
      </w:r>
      <w:r w:rsidRPr="00BC7A12">
        <w:rPr>
          <w:rFonts w:cs="Calibri"/>
        </w:rPr>
        <w:t>values</w:t>
      </w:r>
      <w:r w:rsidR="009D7EC5">
        <w:rPr>
          <w:rFonts w:cs="Calibri"/>
        </w:rPr>
        <w:t xml:space="preserve"> </w:t>
      </w:r>
      <w:r w:rsidR="0059152A">
        <w:rPr>
          <w:rFonts w:cs="Calibri"/>
        </w:rPr>
        <w:t xml:space="preserve">which </w:t>
      </w:r>
      <w:r w:rsidR="009D7EC5">
        <w:rPr>
          <w:rFonts w:cs="Calibri"/>
        </w:rPr>
        <w:t>were often broad ranges</w:t>
      </w:r>
      <w:r w:rsidRPr="00BC7A12">
        <w:rPr>
          <w:rFonts w:cs="Calibri"/>
        </w:rPr>
        <w:t>. For example, one study noted the value of a hectare of wetlands ranging fr</w:t>
      </w:r>
      <w:r w:rsidRPr="008B3383">
        <w:rPr>
          <w:rFonts w:cs="Calibri"/>
        </w:rPr>
        <w:t>om INT$</w:t>
      </w:r>
      <w:r w:rsidR="008B3383" w:rsidRPr="008B3383">
        <w:rPr>
          <w:rStyle w:val="FootnoteReference"/>
          <w:rFonts w:cs="Calibri"/>
        </w:rPr>
        <w:footnoteReference w:id="1"/>
      </w:r>
      <w:r w:rsidRPr="008B3383">
        <w:rPr>
          <w:rFonts w:cs="Calibri"/>
        </w:rPr>
        <w:t>(2019</w:t>
      </w:r>
      <w:r w:rsidRPr="00BC7A12">
        <w:rPr>
          <w:rFonts w:cs="Calibri"/>
        </w:rPr>
        <w:t>) 2.57</w:t>
      </w:r>
      <w:r w:rsidR="00C657B1">
        <w:rPr>
          <w:rFonts w:cs="Calibri"/>
        </w:rPr>
        <w:t xml:space="preserve"> to </w:t>
      </w:r>
      <w:r w:rsidRPr="00BC7A12">
        <w:rPr>
          <w:rFonts w:cs="Calibri"/>
        </w:rPr>
        <w:t xml:space="preserve">11,477 </w:t>
      </w:r>
      <w:r w:rsidRPr="00BC7A12">
        <w:rPr>
          <w:rFonts w:cs="Calibri"/>
        </w:rPr>
        <w:fldChar w:fldCharType="begin" w:fldLock="1"/>
      </w:r>
      <w:r w:rsidRPr="00BC7A12">
        <w:rPr>
          <w:rFonts w:cs="Calibri"/>
        </w:rPr>
        <w:instrText>ADDIN CSL_CITATION {"citationItems":[{"id":"ITEM-1","itemData":{"DOI":"10.3389/fmars.2020.00453","abstract":"Temperate Australia has extensive and diverse coast and marine habitats throughout its inshore and offshore waters. The region includes the southernmost extent of mangroves, over 500 estuaries and coastal embayments, home to extensive meadows of seagrasses and tidal saltmarsh. In areas of hard substrate, rocky reefs are abundant and productive with large forests of macroalgae. Coastal regions can be densely populated by humans and often habitats can be degraded, polluted or lost, while some remain relatively isolated and pristine. These habitats provide services to society including provision of food, regulate our climate through sequestration of carbon, treating our waste and protecting our shorelines from damage from storms. Coastal areas are culturally importantly hubs for recreation and tourism. Habitat mapping demonstrates diverse habitats throughout temperate Australia, but a formal investigation of services provided by these habitats has been lacking. This review of ecosystem services provided by coast and marine environments throughout temperate Australia reveals vast and productive ecosystems that provide multiple ecosystem services, substantial value to the Australian economy and contribute to the health and well-being of people who live in, visit of benefit from services or products from these regions. Some of these are considered within traditional economic metrics such as provision of wild catch fisheries, but this review demonstrates that regulation and maintenance services including waste treatment and protecting shorelines from extreme events are under recognized, and their value is substantial. However, consistent with many locations globally, coast and marine habitats are under threat from increasing development, sewage, agricultural, industrial discharges, urban runoff and climate chang sewage, agricultural, industrial discharges, urban runoff and climate change. Resultantly, temperate Australian coast and marine habitat extent and condition is generally declining in many regions, putting the provision of services and benefits to the community at risk. Continued degraded or lost habitats indicate current management frameworks are not capturing the full risk from development and there are winners and losers in trade off decision making. Incorporating ecosystem services in decision making may allow an integrated approach to management, and acknowledgment of services provided could prevent habitats from being undervalued against economic…","author":[{"dropping-particle":"","family":"Gaylard","given":"Sam","non-dropping-particle":"","parse-names":false,"suffix":""},{"dropping-particle":"","family":"Waycott","given":"Michelle","non-dropping-particle":"","parse-names":false,"suffix":""},{"dropping-particle":"","family":"Lavery","given":"Paul","non-dropping-particle":"","parse-names":false,"suffix":""},{"dropping-particle":"","family":"Guthrie","given":"Amanda G","non-dropping-particle":"","parse-names":false,"suffix":""}],"container-title":"Frontiers in Marine Science","id":"ITEM-1","issue":"June","issued":{"date-parts":[["2020"]]},"page":"1-15","title":"Review of Coast and Marine Ecosystems in Temperate Australia Demonstrates a Wealth of Ecosystem Services","type":"article-journal","volume":"7"},"uris":["http://www.mendeley.com/documents/?uuid=9c8f459b-619e-4bf6-805b-926253cffbe3"]}],"mendeley":{"formattedCitation":"(Gaylard et al. 2020)","plainTextFormattedCitation":"(Gaylard et al. 2020)","previouslyFormattedCitation":"(Gaylard et al. 2020)"},"properties":{"noteIndex":0},"schema":"https://github.com/citation-style-language/schema/raw/master/csl-citation.json"}</w:instrText>
      </w:r>
      <w:r w:rsidRPr="00BC7A12">
        <w:rPr>
          <w:rFonts w:cs="Calibri"/>
        </w:rPr>
        <w:fldChar w:fldCharType="separate"/>
      </w:r>
      <w:r w:rsidRPr="00BC7A12">
        <w:rPr>
          <w:rFonts w:cs="Calibri"/>
          <w:noProof/>
        </w:rPr>
        <w:t>(Gaylard et al. 2020)</w:t>
      </w:r>
      <w:r w:rsidRPr="00BC7A12">
        <w:rPr>
          <w:rFonts w:cs="Calibri"/>
        </w:rPr>
        <w:fldChar w:fldCharType="end"/>
      </w:r>
      <w:r w:rsidRPr="00BC7A12">
        <w:rPr>
          <w:rFonts w:cs="Calibri"/>
        </w:rPr>
        <w:t>. Studies such as these can raise awareness but do not guide coastal planning decision</w:t>
      </w:r>
      <w:r w:rsidR="009D7EC5">
        <w:rPr>
          <w:rFonts w:cs="Calibri"/>
        </w:rPr>
        <w:t>s</w:t>
      </w:r>
      <w:r w:rsidR="00E07F00">
        <w:rPr>
          <w:rFonts w:cs="Calibri"/>
        </w:rPr>
        <w:t xml:space="preserve">. </w:t>
      </w:r>
      <w:r w:rsidR="009D7EC5">
        <w:rPr>
          <w:rFonts w:cs="Calibri"/>
        </w:rPr>
        <w:t xml:space="preserve"> </w:t>
      </w:r>
    </w:p>
    <w:p w14:paraId="157655A2" w14:textId="331DB095" w:rsidR="00F732DA" w:rsidRDefault="00F732DA" w:rsidP="00472870">
      <w:pPr>
        <w:rPr>
          <w:rFonts w:cs="Calibri"/>
        </w:rPr>
      </w:pPr>
      <w:r w:rsidRPr="00BC7A12">
        <w:rPr>
          <w:rFonts w:cs="Calibri"/>
        </w:rPr>
        <w:lastRenderedPageBreak/>
        <w:t>V</w:t>
      </w:r>
      <w:r w:rsidR="006C6819" w:rsidRPr="00BC7A12">
        <w:rPr>
          <w:rFonts w:cs="Calibri"/>
        </w:rPr>
        <w:t xml:space="preserve">aluations that </w:t>
      </w:r>
      <w:r w:rsidR="0071452F" w:rsidRPr="00BC7A12">
        <w:rPr>
          <w:rFonts w:cs="Calibri"/>
        </w:rPr>
        <w:t xml:space="preserve">had the </w:t>
      </w:r>
      <w:r w:rsidR="00482682" w:rsidRPr="00BC7A12">
        <w:rPr>
          <w:rFonts w:cs="Calibri"/>
        </w:rPr>
        <w:t xml:space="preserve">most </w:t>
      </w:r>
      <w:r w:rsidR="0071452F" w:rsidRPr="00BC7A12">
        <w:rPr>
          <w:rFonts w:cs="Calibri"/>
        </w:rPr>
        <w:t xml:space="preserve">influence on coastal planning used explicit local valuation </w:t>
      </w:r>
      <w:r w:rsidR="005D7D1C" w:rsidRPr="00BC7A12">
        <w:rPr>
          <w:rFonts w:cs="Calibri"/>
        </w:rPr>
        <w:t>approaches</w:t>
      </w:r>
      <w:r w:rsidR="0087533E">
        <w:rPr>
          <w:rFonts w:cs="Calibri"/>
        </w:rPr>
        <w:t>.</w:t>
      </w:r>
      <w:r w:rsidR="009D7EC5">
        <w:rPr>
          <w:rFonts w:cs="Calibri"/>
        </w:rPr>
        <w:t xml:space="preserve"> </w:t>
      </w:r>
      <w:r w:rsidR="00E07F00">
        <w:rPr>
          <w:rFonts w:cs="Calibri"/>
        </w:rPr>
        <w:t xml:space="preserve">One example is the </w:t>
      </w:r>
      <w:r w:rsidR="009D7EC5">
        <w:rPr>
          <w:rFonts w:cs="Calibri"/>
        </w:rPr>
        <w:t xml:space="preserve">ongoing valuation </w:t>
      </w:r>
      <w:r w:rsidR="00E07F00">
        <w:rPr>
          <w:rFonts w:cs="Calibri"/>
        </w:rPr>
        <w:t xml:space="preserve">of </w:t>
      </w:r>
      <w:r w:rsidR="009D7EC5" w:rsidRPr="00BC7A12">
        <w:rPr>
          <w:rFonts w:cs="Calibri"/>
        </w:rPr>
        <w:t>Port Phillip Bay &amp; Bellarine Peninsula</w:t>
      </w:r>
      <w:r w:rsidR="00E07F00">
        <w:rPr>
          <w:rFonts w:cs="Calibri"/>
        </w:rPr>
        <w:t>. Its initial reports</w:t>
      </w:r>
      <w:r w:rsidR="009D7EC5" w:rsidRPr="00BC7A12">
        <w:rPr>
          <w:rFonts w:cs="Calibri"/>
        </w:rPr>
        <w:t xml:space="preserve"> </w:t>
      </w:r>
      <w:r w:rsidR="009D7EC5">
        <w:rPr>
          <w:rFonts w:cs="Calibri"/>
        </w:rPr>
        <w:t xml:space="preserve">valued </w:t>
      </w:r>
      <w:r w:rsidR="0059152A">
        <w:rPr>
          <w:rFonts w:cs="Calibri"/>
        </w:rPr>
        <w:t xml:space="preserve">the </w:t>
      </w:r>
      <w:r w:rsidR="009D7EC5">
        <w:rPr>
          <w:rFonts w:cs="Calibri"/>
        </w:rPr>
        <w:t xml:space="preserve">salt marshes </w:t>
      </w:r>
      <w:r w:rsidR="0059152A">
        <w:rPr>
          <w:rFonts w:cs="Calibri"/>
        </w:rPr>
        <w:t xml:space="preserve">of the region </w:t>
      </w:r>
      <w:r w:rsidR="009D7EC5" w:rsidRPr="00BC7A12">
        <w:rPr>
          <w:rFonts w:cs="Calibri"/>
        </w:rPr>
        <w:t xml:space="preserve">at AUD$(2019) 29,888,000 </w:t>
      </w:r>
      <w:r w:rsidR="009D7EC5" w:rsidRPr="00BC7A12">
        <w:rPr>
          <w:rFonts w:cs="Calibri"/>
        </w:rPr>
        <w:fldChar w:fldCharType="begin" w:fldLock="1"/>
      </w:r>
      <w:r w:rsidR="009D7EC5" w:rsidRPr="00BC7A12">
        <w:rPr>
          <w:rFonts w:cs="Calibri"/>
        </w:rPr>
        <w:instrText>ADDIN CSL_CITATION {"citationItems":[{"id":"ITEM-1","itemData":{"ISBN":"9780648567721","author":[{"dropping-particle":"","family":"Carnell, P.E, Reeves, S.E, Nicholson, E.","given":"Macreadie","non-dropping-particle":"","parse-names":false,"suffix":""},{"dropping-particle":"","family":"P. Ierodiaconou, D., Young, M., Kelvin, J.","given":"Janes","non-dropping-particle":"","parse-names":false,"suffix":""},{"dropping-particle":"","family":"H., Navarro, A., Fitzsimons, J., Gillies","given":"C.L.","non-dropping-particle":"","parse-names":false,"suffix":""}],"id":"ITEM-1","issued":{"date-parts":[["2019"]]},"number-of-pages":"1-14","title":"Mapping Ocean Wealth Australia: The value of coastal wetlands to people and nature","type":"book"},"uris":["http://www.mendeley.com/documents/?uuid=adffe741-eb52-4ce7-bac4-8dbd9bf8040f"]}],"mendeley":{"formattedCitation":"(Carnell, P.E, Reeves, S.E, Nicholson, E. et al. 2019)","plainTextFormattedCitation":"(Carnell, P.E, Reeves, S.E, Nicholson, E. et al. 2019)","previouslyFormattedCitation":"(Carnell, P.E, Reeves, S.E, Nicholson, E. et al. 2019)"},"properties":{"noteIndex":0},"schema":"https://github.com/citation-style-language/schema/raw/master/csl-citation.json"}</w:instrText>
      </w:r>
      <w:r w:rsidR="009D7EC5" w:rsidRPr="00BC7A12">
        <w:rPr>
          <w:rFonts w:cs="Calibri"/>
        </w:rPr>
        <w:fldChar w:fldCharType="separate"/>
      </w:r>
      <w:r w:rsidR="009D7EC5" w:rsidRPr="00BC7A12">
        <w:rPr>
          <w:rFonts w:cs="Calibri"/>
          <w:noProof/>
        </w:rPr>
        <w:t>(Carnell, P.E, Reeves, S.E, Nicholson, E. et al. 2019)</w:t>
      </w:r>
      <w:r w:rsidR="009D7EC5" w:rsidRPr="00BC7A12">
        <w:rPr>
          <w:rFonts w:cs="Calibri"/>
        </w:rPr>
        <w:fldChar w:fldCharType="end"/>
      </w:r>
      <w:r w:rsidR="0059152A">
        <w:rPr>
          <w:rFonts w:cs="Calibri"/>
        </w:rPr>
        <w:t xml:space="preserve"> in terms of the disaster risk reduction services they provide</w:t>
      </w:r>
      <w:r w:rsidR="009D7EC5" w:rsidRPr="00BC7A12">
        <w:rPr>
          <w:rFonts w:cs="Calibri"/>
        </w:rPr>
        <w:t xml:space="preserve">. This study was conducted at small spatial resolution, providing coastal planners with clear options about </w:t>
      </w:r>
      <w:r w:rsidR="00840160" w:rsidRPr="00BC7A12">
        <w:rPr>
          <w:rFonts w:cs="Calibri"/>
        </w:rPr>
        <w:t>th</w:t>
      </w:r>
      <w:r w:rsidR="00840160">
        <w:rPr>
          <w:rFonts w:cs="Calibri"/>
        </w:rPr>
        <w:t>e</w:t>
      </w:r>
      <w:r w:rsidR="00840160" w:rsidRPr="00BC7A12">
        <w:rPr>
          <w:rFonts w:cs="Calibri"/>
        </w:rPr>
        <w:t xml:space="preserve"> </w:t>
      </w:r>
      <w:r w:rsidR="00840160">
        <w:rPr>
          <w:rFonts w:cs="Calibri"/>
        </w:rPr>
        <w:t xml:space="preserve">disaster risk reduction </w:t>
      </w:r>
      <w:r w:rsidR="009D7EC5" w:rsidRPr="00BC7A12">
        <w:rPr>
          <w:rFonts w:cs="Calibri"/>
        </w:rPr>
        <w:t xml:space="preserve">implications of </w:t>
      </w:r>
      <w:r w:rsidR="0059152A">
        <w:rPr>
          <w:rFonts w:cs="Calibri"/>
        </w:rPr>
        <w:t xml:space="preserve">decisions relating to </w:t>
      </w:r>
      <w:r w:rsidR="009D7EC5" w:rsidRPr="00BC7A12">
        <w:rPr>
          <w:rFonts w:cs="Calibri"/>
        </w:rPr>
        <w:t xml:space="preserve">every section of the coast’s coastal </w:t>
      </w:r>
      <w:proofErr w:type="gramStart"/>
      <w:r w:rsidR="009D7EC5" w:rsidRPr="00BC7A12">
        <w:rPr>
          <w:rFonts w:cs="Calibri"/>
        </w:rPr>
        <w:t>marshes</w:t>
      </w:r>
      <w:proofErr w:type="gramEnd"/>
      <w:r w:rsidR="009D7EC5" w:rsidRPr="00BC7A12">
        <w:rPr>
          <w:rFonts w:cs="Calibri"/>
        </w:rPr>
        <w:t xml:space="preserve">. </w:t>
      </w:r>
      <w:r w:rsidR="0087533E">
        <w:rPr>
          <w:rFonts w:cs="Calibri"/>
        </w:rPr>
        <w:t>This is critical because</w:t>
      </w:r>
      <w:r w:rsidR="00AF01BA" w:rsidRPr="00BC7A12">
        <w:rPr>
          <w:rFonts w:cs="Calibri"/>
        </w:rPr>
        <w:t xml:space="preserve"> most coastal planning decisions are made </w:t>
      </w:r>
      <w:r w:rsidR="00840160">
        <w:rPr>
          <w:rFonts w:cs="Calibri"/>
        </w:rPr>
        <w:t>with reference to specific locations</w:t>
      </w:r>
      <w:r w:rsidR="00AF01BA" w:rsidRPr="00BC7A12">
        <w:rPr>
          <w:rFonts w:cs="Calibri"/>
        </w:rPr>
        <w:t>. The</w:t>
      </w:r>
      <w:r w:rsidRPr="00BC7A12">
        <w:rPr>
          <w:rFonts w:cs="Calibri"/>
        </w:rPr>
        <w:t>se</w:t>
      </w:r>
      <w:r w:rsidR="00AF01BA" w:rsidRPr="00BC7A12">
        <w:rPr>
          <w:rFonts w:cs="Calibri"/>
        </w:rPr>
        <w:t xml:space="preserve"> </w:t>
      </w:r>
      <w:r w:rsidR="005D7D1C" w:rsidRPr="00BC7A12">
        <w:rPr>
          <w:rFonts w:cs="Calibri"/>
        </w:rPr>
        <w:t xml:space="preserve">approaches </w:t>
      </w:r>
      <w:r w:rsidR="00AF01BA" w:rsidRPr="00BC7A12">
        <w:rPr>
          <w:rFonts w:cs="Calibri"/>
        </w:rPr>
        <w:t xml:space="preserve">also </w:t>
      </w:r>
      <w:r w:rsidR="00482682" w:rsidRPr="00BC7A12">
        <w:rPr>
          <w:rFonts w:cs="Calibri"/>
        </w:rPr>
        <w:t xml:space="preserve">rely on quality data and modelling of the biophysical and economic </w:t>
      </w:r>
      <w:r w:rsidR="005C2E7C" w:rsidRPr="00BC7A12">
        <w:rPr>
          <w:rFonts w:cs="Calibri"/>
        </w:rPr>
        <w:t xml:space="preserve">benefits </w:t>
      </w:r>
      <w:r w:rsidR="00482682" w:rsidRPr="00BC7A12">
        <w:rPr>
          <w:rFonts w:cs="Calibri"/>
        </w:rPr>
        <w:t xml:space="preserve">that coastal wetlands </w:t>
      </w:r>
      <w:r w:rsidR="000D47C2" w:rsidRPr="00BC7A12">
        <w:rPr>
          <w:rFonts w:cs="Calibri"/>
        </w:rPr>
        <w:t>provide</w:t>
      </w:r>
      <w:r w:rsidR="00482682" w:rsidRPr="00BC7A12">
        <w:rPr>
          <w:rFonts w:cs="Calibri"/>
        </w:rPr>
        <w:t xml:space="preserve">. </w:t>
      </w:r>
    </w:p>
    <w:p w14:paraId="47BBA457" w14:textId="516CC60E" w:rsidR="007B141E" w:rsidRPr="00BC7A12" w:rsidRDefault="00F732DA" w:rsidP="001F74B0">
      <w:pPr>
        <w:rPr>
          <w:rFonts w:cs="Calibri"/>
        </w:rPr>
      </w:pPr>
      <w:r w:rsidRPr="00BC7A12">
        <w:rPr>
          <w:rFonts w:cs="Calibri"/>
        </w:rPr>
        <w:t>There is extensive modelling expertise in Australia and around the globe. However,</w:t>
      </w:r>
      <w:r w:rsidR="00C03339" w:rsidRPr="00BC7A12">
        <w:rPr>
          <w:rFonts w:cs="Calibri"/>
        </w:rPr>
        <w:t xml:space="preserve"> </w:t>
      </w:r>
      <w:r w:rsidRPr="00BC7A12">
        <w:rPr>
          <w:rFonts w:cs="Calibri"/>
        </w:rPr>
        <w:t xml:space="preserve">modelling specialists (e.g. wave, wind, ecosystem functions, structural integrity) </w:t>
      </w:r>
      <w:r w:rsidR="00C03339" w:rsidRPr="00BC7A12">
        <w:rPr>
          <w:rFonts w:cs="Calibri"/>
        </w:rPr>
        <w:t>could collaborate more effectively</w:t>
      </w:r>
      <w:r w:rsidR="00626AE3">
        <w:rPr>
          <w:rFonts w:cs="Calibri"/>
        </w:rPr>
        <w:t xml:space="preserve"> in building interoperable models</w:t>
      </w:r>
      <w:r w:rsidR="0059152A">
        <w:rPr>
          <w:rFonts w:cs="Calibri"/>
        </w:rPr>
        <w:t>, t</w:t>
      </w:r>
      <w:r w:rsidR="00E07F00">
        <w:rPr>
          <w:rFonts w:cs="Calibri"/>
        </w:rPr>
        <w:t>hat is</w:t>
      </w:r>
      <w:r w:rsidR="00840160">
        <w:rPr>
          <w:rFonts w:cs="Calibri"/>
        </w:rPr>
        <w:t>,</w:t>
      </w:r>
      <w:r w:rsidR="00E07F00">
        <w:rPr>
          <w:rFonts w:cs="Calibri"/>
        </w:rPr>
        <w:t xml:space="preserve"> models that integrate storm, wind, wave and other components of hazards</w:t>
      </w:r>
      <w:r w:rsidR="0059152A">
        <w:rPr>
          <w:rFonts w:cs="Calibri"/>
        </w:rPr>
        <w:t>,</w:t>
      </w:r>
      <w:r w:rsidR="00840160">
        <w:rPr>
          <w:rFonts w:cs="Calibri"/>
        </w:rPr>
        <w:t xml:space="preserve"> such that decision makers are provided integrated rather than discrete pieces of information</w:t>
      </w:r>
      <w:r w:rsidR="00E07F00">
        <w:rPr>
          <w:rFonts w:cs="Calibri"/>
        </w:rPr>
        <w:t xml:space="preserve">. </w:t>
      </w:r>
      <w:r w:rsidR="00C03339" w:rsidRPr="00BC7A12">
        <w:rPr>
          <w:rFonts w:cs="Calibri"/>
        </w:rPr>
        <w:t>Moreover</w:t>
      </w:r>
      <w:r w:rsidR="00E634A8" w:rsidRPr="00BC7A12">
        <w:rPr>
          <w:rFonts w:cs="Calibri"/>
        </w:rPr>
        <w:t xml:space="preserve">, modellers are </w:t>
      </w:r>
      <w:r w:rsidR="005B0F4F" w:rsidRPr="00BC7A12">
        <w:rPr>
          <w:rFonts w:cs="Calibri"/>
        </w:rPr>
        <w:t>e</w:t>
      </w:r>
      <w:r w:rsidR="00E634A8" w:rsidRPr="00BC7A12">
        <w:rPr>
          <w:rFonts w:cs="Calibri"/>
        </w:rPr>
        <w:t xml:space="preserve">ncumbered by the </w:t>
      </w:r>
      <w:r w:rsidR="001F74B0" w:rsidRPr="00BC7A12">
        <w:rPr>
          <w:rFonts w:cs="Calibri"/>
        </w:rPr>
        <w:t xml:space="preserve">poor adoption of standards for ecosystem types, ecosystem services and </w:t>
      </w:r>
      <w:r w:rsidR="00146E72" w:rsidRPr="00BC7A12">
        <w:rPr>
          <w:rFonts w:cs="Calibri"/>
        </w:rPr>
        <w:t xml:space="preserve">general </w:t>
      </w:r>
      <w:r w:rsidR="001F74B0" w:rsidRPr="00BC7A12">
        <w:rPr>
          <w:rFonts w:cs="Calibri"/>
        </w:rPr>
        <w:t xml:space="preserve">biophysical and economic data. </w:t>
      </w:r>
      <w:r w:rsidR="005B0F4F" w:rsidRPr="00BC7A12">
        <w:rPr>
          <w:rFonts w:cs="Calibri"/>
        </w:rPr>
        <w:t>Finally</w:t>
      </w:r>
      <w:r w:rsidR="001F74B0" w:rsidRPr="00BC7A12">
        <w:rPr>
          <w:rFonts w:cs="Calibri"/>
        </w:rPr>
        <w:t xml:space="preserve">, most </w:t>
      </w:r>
      <w:r w:rsidR="007B141E" w:rsidRPr="00BC7A12">
        <w:rPr>
          <w:rFonts w:cs="Calibri"/>
        </w:rPr>
        <w:t>valuation</w:t>
      </w:r>
      <w:r w:rsidR="001F74B0" w:rsidRPr="00BC7A12">
        <w:rPr>
          <w:rFonts w:cs="Calibri"/>
        </w:rPr>
        <w:t xml:space="preserve"> processes </w:t>
      </w:r>
      <w:r w:rsidR="007B141E" w:rsidRPr="00BC7A12">
        <w:rPr>
          <w:rFonts w:cs="Calibri"/>
        </w:rPr>
        <w:t>fail to effectively engage decision makers</w:t>
      </w:r>
      <w:r w:rsidR="00146E72" w:rsidRPr="00BC7A12">
        <w:rPr>
          <w:rFonts w:cs="Calibri"/>
        </w:rPr>
        <w:t xml:space="preserve"> </w:t>
      </w:r>
      <w:r w:rsidR="0059152A">
        <w:rPr>
          <w:rFonts w:cs="Calibri"/>
        </w:rPr>
        <w:t>to</w:t>
      </w:r>
      <w:r w:rsidR="0059152A" w:rsidRPr="00BC7A12">
        <w:rPr>
          <w:rFonts w:cs="Calibri"/>
        </w:rPr>
        <w:t xml:space="preserve"> </w:t>
      </w:r>
      <w:r w:rsidR="007B141E" w:rsidRPr="00BC7A12">
        <w:rPr>
          <w:rFonts w:cs="Calibri"/>
        </w:rPr>
        <w:t xml:space="preserve">help ensure acceptance of </w:t>
      </w:r>
      <w:r w:rsidR="001F74B0" w:rsidRPr="00BC7A12">
        <w:rPr>
          <w:rFonts w:cs="Calibri"/>
        </w:rPr>
        <w:t>results.</w:t>
      </w:r>
      <w:r w:rsidR="007B141E" w:rsidRPr="00BC7A12">
        <w:rPr>
          <w:rFonts w:cs="Calibri"/>
        </w:rPr>
        <w:t xml:space="preserve">   </w:t>
      </w:r>
    </w:p>
    <w:p w14:paraId="5CF58102" w14:textId="0FD787AA" w:rsidR="00683745" w:rsidRPr="00BC7A12" w:rsidRDefault="006C3FA2" w:rsidP="006C3FA2">
      <w:pPr>
        <w:rPr>
          <w:rFonts w:cs="Calibri"/>
        </w:rPr>
      </w:pPr>
      <w:r w:rsidRPr="00BC7A12">
        <w:rPr>
          <w:rFonts w:cs="Calibri"/>
        </w:rPr>
        <w:t xml:space="preserve">The following steps are recommended to address </w:t>
      </w:r>
      <w:r w:rsidR="00D77AAC" w:rsidRPr="00BC7A12">
        <w:rPr>
          <w:rFonts w:cs="Calibri"/>
        </w:rPr>
        <w:t>these gaps:</w:t>
      </w:r>
      <w:r w:rsidRPr="00BC7A12">
        <w:rPr>
          <w:rFonts w:cs="Calibri"/>
        </w:rPr>
        <w:t xml:space="preserve"> </w:t>
      </w:r>
    </w:p>
    <w:p w14:paraId="2F5E91A8" w14:textId="62BB6C8F" w:rsidR="006C3FA2" w:rsidRPr="00BC7A12" w:rsidRDefault="006C3FA2" w:rsidP="006C3FA2">
      <w:pPr>
        <w:pStyle w:val="ListParagraph"/>
        <w:numPr>
          <w:ilvl w:val="0"/>
          <w:numId w:val="45"/>
        </w:numPr>
        <w:rPr>
          <w:rFonts w:cs="Calibri"/>
        </w:rPr>
      </w:pPr>
      <w:bookmarkStart w:id="6" w:name="_Hlk50451017"/>
      <w:r w:rsidRPr="00BC7A12">
        <w:rPr>
          <w:rFonts w:cs="Calibri"/>
          <w:i/>
          <w:iCs/>
        </w:rPr>
        <w:t xml:space="preserve">Promote explicit local valuation </w:t>
      </w:r>
      <w:r w:rsidR="00880D68" w:rsidRPr="00BC7A12">
        <w:rPr>
          <w:rFonts w:cs="Calibri"/>
          <w:i/>
          <w:iCs/>
        </w:rPr>
        <w:t xml:space="preserve">approaches </w:t>
      </w:r>
      <w:r w:rsidRPr="00BC7A12">
        <w:rPr>
          <w:rFonts w:cs="Calibri"/>
        </w:rPr>
        <w:t xml:space="preserve">over </w:t>
      </w:r>
      <w:r w:rsidR="00D77AAC" w:rsidRPr="00BC7A12">
        <w:rPr>
          <w:rFonts w:cs="Calibri"/>
        </w:rPr>
        <w:t xml:space="preserve">those </w:t>
      </w:r>
      <w:r w:rsidRPr="00BC7A12">
        <w:rPr>
          <w:rFonts w:cs="Calibri"/>
        </w:rPr>
        <w:t xml:space="preserve">focused on raising awareness or </w:t>
      </w:r>
      <w:r w:rsidR="00D77AAC" w:rsidRPr="00BC7A12">
        <w:rPr>
          <w:rFonts w:cs="Calibri"/>
        </w:rPr>
        <w:t xml:space="preserve">determining the opinions of stakeholders </w:t>
      </w:r>
    </w:p>
    <w:p w14:paraId="48763629" w14:textId="509020DC" w:rsidR="00D77AAC" w:rsidRPr="00BC7A12" w:rsidRDefault="00D77AAC" w:rsidP="006C3FA2">
      <w:pPr>
        <w:pStyle w:val="ListParagraph"/>
        <w:numPr>
          <w:ilvl w:val="0"/>
          <w:numId w:val="45"/>
        </w:numPr>
        <w:rPr>
          <w:rFonts w:cs="Calibri"/>
        </w:rPr>
      </w:pPr>
      <w:r w:rsidRPr="00BC7A12">
        <w:rPr>
          <w:rFonts w:cs="Calibri"/>
          <w:i/>
          <w:iCs/>
        </w:rPr>
        <w:t xml:space="preserve">Encourage </w:t>
      </w:r>
      <w:r w:rsidR="007B141E" w:rsidRPr="00BC7A12">
        <w:rPr>
          <w:rFonts w:cs="Calibri"/>
          <w:i/>
          <w:iCs/>
        </w:rPr>
        <w:t xml:space="preserve">the use of standards for </w:t>
      </w:r>
      <w:r w:rsidR="00FE5884" w:rsidRPr="00BC7A12">
        <w:rPr>
          <w:rFonts w:cs="Calibri"/>
          <w:i/>
          <w:iCs/>
        </w:rPr>
        <w:t xml:space="preserve">identifying </w:t>
      </w:r>
      <w:r w:rsidRPr="00BC7A12">
        <w:rPr>
          <w:rFonts w:cs="Calibri"/>
          <w:i/>
          <w:iCs/>
        </w:rPr>
        <w:t>ecosystem types</w:t>
      </w:r>
      <w:r w:rsidR="005B0F4F" w:rsidRPr="00BC7A12">
        <w:rPr>
          <w:rFonts w:cs="Calibri"/>
          <w:i/>
          <w:iCs/>
        </w:rPr>
        <w:t xml:space="preserve"> and </w:t>
      </w:r>
      <w:r w:rsidRPr="00BC7A12">
        <w:rPr>
          <w:rFonts w:cs="Calibri"/>
          <w:i/>
          <w:iCs/>
        </w:rPr>
        <w:t>ecosystem services and</w:t>
      </w:r>
      <w:r w:rsidR="005B0F4F" w:rsidRPr="00BC7A12">
        <w:rPr>
          <w:rFonts w:cs="Calibri"/>
          <w:i/>
          <w:iCs/>
        </w:rPr>
        <w:t xml:space="preserve"> collecting</w:t>
      </w:r>
      <w:r w:rsidRPr="00BC7A12">
        <w:rPr>
          <w:rFonts w:cs="Calibri"/>
          <w:i/>
          <w:iCs/>
        </w:rPr>
        <w:t xml:space="preserve"> data</w:t>
      </w:r>
      <w:r w:rsidRPr="00BC7A12">
        <w:rPr>
          <w:rFonts w:cs="Calibri"/>
        </w:rPr>
        <w:t xml:space="preserve"> so that researchers can more efficiently define, </w:t>
      </w:r>
      <w:proofErr w:type="gramStart"/>
      <w:r w:rsidRPr="00BC7A12">
        <w:rPr>
          <w:rFonts w:cs="Calibri"/>
        </w:rPr>
        <w:t>discover</w:t>
      </w:r>
      <w:proofErr w:type="gramEnd"/>
      <w:r w:rsidRPr="00BC7A12">
        <w:rPr>
          <w:rFonts w:cs="Calibri"/>
        </w:rPr>
        <w:t xml:space="preserve"> and utilize data</w:t>
      </w:r>
      <w:r w:rsidR="00840160">
        <w:rPr>
          <w:rFonts w:cs="Calibri"/>
        </w:rPr>
        <w:t xml:space="preserve"> about the relationships among key attributes of different ecosystem types</w:t>
      </w:r>
      <w:r w:rsidRPr="00BC7A12">
        <w:rPr>
          <w:rFonts w:cs="Calibri"/>
        </w:rPr>
        <w:t xml:space="preserve"> </w:t>
      </w:r>
    </w:p>
    <w:p w14:paraId="2E15FCE2" w14:textId="5B56020D" w:rsidR="00D77AAC" w:rsidRPr="00BC7A12" w:rsidRDefault="00A165BC" w:rsidP="006C3FA2">
      <w:pPr>
        <w:pStyle w:val="ListParagraph"/>
        <w:numPr>
          <w:ilvl w:val="0"/>
          <w:numId w:val="45"/>
        </w:numPr>
        <w:rPr>
          <w:rFonts w:cs="Calibri"/>
        </w:rPr>
      </w:pPr>
      <w:r w:rsidRPr="00BC7A12">
        <w:rPr>
          <w:rFonts w:cs="Calibri"/>
          <w:i/>
          <w:iCs/>
        </w:rPr>
        <w:t xml:space="preserve">Advance the use of </w:t>
      </w:r>
      <w:r w:rsidR="00D77AAC" w:rsidRPr="00BC7A12">
        <w:rPr>
          <w:rFonts w:cs="Calibri"/>
          <w:i/>
          <w:iCs/>
        </w:rPr>
        <w:t xml:space="preserve">best practices in stakeholder engagement </w:t>
      </w:r>
      <w:r w:rsidR="00D77AAC" w:rsidRPr="00BC7A12">
        <w:rPr>
          <w:rFonts w:cs="Calibri"/>
        </w:rPr>
        <w:t>so that valuations are fully embedded in coastal planning decision making processes</w:t>
      </w:r>
    </w:p>
    <w:p w14:paraId="73469CCE" w14:textId="402345D3" w:rsidR="00D77AAC" w:rsidRPr="00BC7A12" w:rsidRDefault="00D77AAC" w:rsidP="006C3FA2">
      <w:pPr>
        <w:pStyle w:val="ListParagraph"/>
        <w:numPr>
          <w:ilvl w:val="0"/>
          <w:numId w:val="45"/>
        </w:numPr>
        <w:rPr>
          <w:rFonts w:cs="Calibri"/>
        </w:rPr>
      </w:pPr>
      <w:r w:rsidRPr="00BC7A12">
        <w:rPr>
          <w:rFonts w:cs="Calibri"/>
          <w:i/>
          <w:iCs/>
        </w:rPr>
        <w:t xml:space="preserve">Build partnerships among </w:t>
      </w:r>
      <w:r w:rsidR="000D47C2" w:rsidRPr="00BC7A12">
        <w:rPr>
          <w:rFonts w:cs="Calibri"/>
          <w:i/>
          <w:iCs/>
        </w:rPr>
        <w:t>environmental</w:t>
      </w:r>
      <w:r w:rsidRPr="00BC7A12">
        <w:rPr>
          <w:rFonts w:cs="Calibri"/>
          <w:i/>
          <w:iCs/>
        </w:rPr>
        <w:t xml:space="preserve">, engineering and insurance modelers </w:t>
      </w:r>
      <w:r w:rsidRPr="00BC7A12">
        <w:rPr>
          <w:rFonts w:cs="Calibri"/>
        </w:rPr>
        <w:t xml:space="preserve">to advance the accuracy </w:t>
      </w:r>
      <w:r w:rsidR="005B0F4F" w:rsidRPr="00BC7A12">
        <w:rPr>
          <w:rFonts w:cs="Calibri"/>
        </w:rPr>
        <w:t xml:space="preserve">of </w:t>
      </w:r>
      <w:r w:rsidR="002E61E6">
        <w:rPr>
          <w:rFonts w:cs="Calibri"/>
        </w:rPr>
        <w:t xml:space="preserve">models and </w:t>
      </w:r>
      <w:r w:rsidRPr="00BC7A12">
        <w:rPr>
          <w:rFonts w:cs="Calibri"/>
        </w:rPr>
        <w:t>valuations</w:t>
      </w:r>
    </w:p>
    <w:p w14:paraId="1FF30B5C" w14:textId="54F6D83B" w:rsidR="00D77AAC" w:rsidRPr="00BC7A12" w:rsidRDefault="00D77AAC" w:rsidP="006C3FA2">
      <w:pPr>
        <w:pStyle w:val="ListParagraph"/>
        <w:numPr>
          <w:ilvl w:val="0"/>
          <w:numId w:val="45"/>
        </w:numPr>
        <w:rPr>
          <w:rFonts w:cs="Calibri"/>
        </w:rPr>
      </w:pPr>
      <w:r w:rsidRPr="00BC7A12">
        <w:rPr>
          <w:rFonts w:cs="Calibri"/>
          <w:i/>
          <w:iCs/>
        </w:rPr>
        <w:t>Explore opportunities for hedonic pricing studies</w:t>
      </w:r>
      <w:r w:rsidRPr="00BC7A12">
        <w:rPr>
          <w:rFonts w:cs="Calibri"/>
        </w:rPr>
        <w:t xml:space="preserve"> </w:t>
      </w:r>
      <w:r w:rsidR="001B38CB" w:rsidRPr="00BC7A12">
        <w:rPr>
          <w:rFonts w:cs="Calibri"/>
        </w:rPr>
        <w:t xml:space="preserve">(which isolate the impact of specific variables on property pricing) </w:t>
      </w:r>
      <w:r w:rsidR="00A165BC" w:rsidRPr="00BC7A12">
        <w:rPr>
          <w:rFonts w:cs="Calibri"/>
        </w:rPr>
        <w:t xml:space="preserve">as the coastal real estate market </w:t>
      </w:r>
      <w:r w:rsidR="002E61E6">
        <w:rPr>
          <w:rFonts w:cs="Calibri"/>
        </w:rPr>
        <w:t xml:space="preserve">appears to have started </w:t>
      </w:r>
      <w:r w:rsidRPr="00BC7A12">
        <w:rPr>
          <w:rFonts w:cs="Calibri"/>
        </w:rPr>
        <w:t>incorporat</w:t>
      </w:r>
      <w:r w:rsidR="002E61E6">
        <w:rPr>
          <w:rFonts w:cs="Calibri"/>
        </w:rPr>
        <w:t xml:space="preserve">ing </w:t>
      </w:r>
      <w:r w:rsidRPr="00BC7A12">
        <w:rPr>
          <w:rFonts w:cs="Calibri"/>
        </w:rPr>
        <w:t xml:space="preserve">the risks from </w:t>
      </w:r>
      <w:r w:rsidR="002E61E6">
        <w:rPr>
          <w:rFonts w:cs="Calibri"/>
        </w:rPr>
        <w:t xml:space="preserve">coastal hazards </w:t>
      </w:r>
    </w:p>
    <w:p w14:paraId="358DE967" w14:textId="42C8426A" w:rsidR="00D77AAC" w:rsidRPr="00BC7A12" w:rsidRDefault="00D77AAC" w:rsidP="00D77AAC">
      <w:pPr>
        <w:pStyle w:val="ListParagraph"/>
        <w:numPr>
          <w:ilvl w:val="0"/>
          <w:numId w:val="45"/>
        </w:numPr>
        <w:rPr>
          <w:rFonts w:cs="Calibri"/>
        </w:rPr>
      </w:pPr>
      <w:r w:rsidRPr="00BC7A12">
        <w:rPr>
          <w:rFonts w:cs="Calibri"/>
          <w:i/>
          <w:iCs/>
        </w:rPr>
        <w:t xml:space="preserve">Support Pacific island nations’ use of explicit local valuation </w:t>
      </w:r>
      <w:r w:rsidR="00880D68" w:rsidRPr="00BC7A12">
        <w:rPr>
          <w:rFonts w:cs="Calibri"/>
          <w:i/>
          <w:iCs/>
        </w:rPr>
        <w:t>approaches</w:t>
      </w:r>
      <w:r w:rsidRPr="00BC7A12">
        <w:rPr>
          <w:rFonts w:cs="Calibri"/>
          <w:i/>
          <w:iCs/>
        </w:rPr>
        <w:t xml:space="preserve"> </w:t>
      </w:r>
      <w:r w:rsidRPr="00BC7A12">
        <w:rPr>
          <w:rFonts w:cs="Calibri"/>
        </w:rPr>
        <w:t>so they may improve their coastal planning</w:t>
      </w:r>
      <w:r w:rsidR="00390A50" w:rsidRPr="00BC7A12">
        <w:rPr>
          <w:rFonts w:cs="Calibri"/>
        </w:rPr>
        <w:t xml:space="preserve"> in the face of significant hazard</w:t>
      </w:r>
      <w:r w:rsidR="002E61E6">
        <w:rPr>
          <w:rFonts w:cs="Calibri"/>
        </w:rPr>
        <w:t>s</w:t>
      </w:r>
    </w:p>
    <w:bookmarkEnd w:id="6"/>
    <w:p w14:paraId="41C7359A" w14:textId="4AD89CDC" w:rsidR="00D77AAC" w:rsidRDefault="00513A34" w:rsidP="00D77AAC">
      <w:pPr>
        <w:rPr>
          <w:rFonts w:cs="Calibri"/>
        </w:rPr>
      </w:pPr>
      <w:r w:rsidRPr="00BC7A12">
        <w:rPr>
          <w:rFonts w:cs="Calibri"/>
        </w:rPr>
        <w:t xml:space="preserve">The recent increase in studies applying </w:t>
      </w:r>
      <w:r w:rsidR="00B947C2" w:rsidRPr="00BC7A12">
        <w:rPr>
          <w:rFonts w:cs="Calibri"/>
        </w:rPr>
        <w:t xml:space="preserve">explicit </w:t>
      </w:r>
      <w:r w:rsidRPr="00BC7A12">
        <w:rPr>
          <w:rFonts w:cs="Calibri"/>
        </w:rPr>
        <w:t xml:space="preserve">local valuation </w:t>
      </w:r>
      <w:r w:rsidR="00880D68" w:rsidRPr="00BC7A12">
        <w:rPr>
          <w:rFonts w:cs="Calibri"/>
        </w:rPr>
        <w:t>approaches</w:t>
      </w:r>
      <w:r w:rsidR="00D77AAC" w:rsidRPr="00BC7A12">
        <w:rPr>
          <w:rFonts w:cs="Calibri"/>
        </w:rPr>
        <w:t xml:space="preserve"> </w:t>
      </w:r>
      <w:r w:rsidRPr="00BC7A12">
        <w:rPr>
          <w:rFonts w:cs="Calibri"/>
        </w:rPr>
        <w:t xml:space="preserve">in Australia </w:t>
      </w:r>
      <w:r w:rsidR="005B0F4F" w:rsidRPr="00BC7A12">
        <w:rPr>
          <w:rFonts w:cs="Calibri"/>
        </w:rPr>
        <w:t xml:space="preserve">is </w:t>
      </w:r>
      <w:r w:rsidR="00D77AAC" w:rsidRPr="00BC7A12">
        <w:rPr>
          <w:rFonts w:cs="Calibri"/>
        </w:rPr>
        <w:t>encouraging</w:t>
      </w:r>
      <w:r w:rsidR="00731EF3" w:rsidRPr="00BC7A12">
        <w:rPr>
          <w:rFonts w:cs="Calibri"/>
        </w:rPr>
        <w:t xml:space="preserve">. </w:t>
      </w:r>
      <w:r w:rsidR="00A165BC" w:rsidRPr="00BC7A12">
        <w:rPr>
          <w:rFonts w:cs="Calibri"/>
        </w:rPr>
        <w:t xml:space="preserve">The ongoing </w:t>
      </w:r>
      <w:r w:rsidR="00D77AAC" w:rsidRPr="00BC7A12">
        <w:rPr>
          <w:rFonts w:cs="Calibri"/>
        </w:rPr>
        <w:t xml:space="preserve">Mapping Ocean Wealth valuation studies </w:t>
      </w:r>
      <w:r w:rsidR="00731EF3" w:rsidRPr="00BC7A12">
        <w:rPr>
          <w:rFonts w:cs="Calibri"/>
        </w:rPr>
        <w:t xml:space="preserve">in Port Phillip Bay </w:t>
      </w:r>
      <w:r w:rsidR="00A165BC" w:rsidRPr="00BC7A12">
        <w:rPr>
          <w:rFonts w:cs="Calibri"/>
        </w:rPr>
        <w:t>and Western Port</w:t>
      </w:r>
      <w:r w:rsidR="00146E72" w:rsidRPr="00BC7A12">
        <w:rPr>
          <w:rFonts w:cs="Calibri"/>
        </w:rPr>
        <w:t xml:space="preserve"> is </w:t>
      </w:r>
      <w:r w:rsidR="001B38CB" w:rsidRPr="00BC7A12">
        <w:rPr>
          <w:rFonts w:cs="Calibri"/>
        </w:rPr>
        <w:t>an example of good practice</w:t>
      </w:r>
      <w:r w:rsidR="00A165BC" w:rsidRPr="00BC7A12">
        <w:rPr>
          <w:rFonts w:cs="Calibri"/>
        </w:rPr>
        <w:t xml:space="preserve">. </w:t>
      </w:r>
      <w:r w:rsidRPr="00BC7A12">
        <w:rPr>
          <w:rFonts w:cs="Calibri"/>
        </w:rPr>
        <w:t xml:space="preserve">This project </w:t>
      </w:r>
      <w:r w:rsidR="006E0132" w:rsidRPr="00BC7A12">
        <w:rPr>
          <w:rFonts w:cs="Calibri"/>
        </w:rPr>
        <w:t xml:space="preserve">will not only </w:t>
      </w:r>
      <w:r w:rsidR="00D77AAC" w:rsidRPr="00BC7A12">
        <w:rPr>
          <w:rFonts w:cs="Calibri"/>
        </w:rPr>
        <w:t>demonstrate the efficacy of the</w:t>
      </w:r>
      <w:r w:rsidR="00880D68" w:rsidRPr="00BC7A12">
        <w:rPr>
          <w:rFonts w:cs="Calibri"/>
        </w:rPr>
        <w:t xml:space="preserve"> approach</w:t>
      </w:r>
      <w:r w:rsidR="00A165BC" w:rsidRPr="00BC7A12">
        <w:rPr>
          <w:rFonts w:cs="Calibri"/>
        </w:rPr>
        <w:t xml:space="preserve"> but </w:t>
      </w:r>
      <w:r w:rsidR="001B38CB" w:rsidRPr="00BC7A12">
        <w:rPr>
          <w:rFonts w:cs="Calibri"/>
        </w:rPr>
        <w:t xml:space="preserve">is </w:t>
      </w:r>
      <w:r w:rsidR="0048351F">
        <w:rPr>
          <w:rFonts w:cs="Calibri"/>
        </w:rPr>
        <w:t xml:space="preserve">also </w:t>
      </w:r>
      <w:r w:rsidR="00146E72" w:rsidRPr="00BC7A12">
        <w:rPr>
          <w:rFonts w:cs="Calibri"/>
        </w:rPr>
        <w:t xml:space="preserve">likely </w:t>
      </w:r>
      <w:r w:rsidR="001B38CB" w:rsidRPr="00BC7A12">
        <w:rPr>
          <w:rFonts w:cs="Calibri"/>
        </w:rPr>
        <w:t xml:space="preserve">to </w:t>
      </w:r>
      <w:r w:rsidR="00A165BC" w:rsidRPr="00BC7A12">
        <w:rPr>
          <w:rFonts w:cs="Calibri"/>
        </w:rPr>
        <w:t xml:space="preserve">spur other coastal planners </w:t>
      </w:r>
      <w:r w:rsidR="001B38CB" w:rsidRPr="00BC7A12">
        <w:rPr>
          <w:rFonts w:cs="Calibri"/>
        </w:rPr>
        <w:t xml:space="preserve">to </w:t>
      </w:r>
      <w:r w:rsidRPr="00BC7A12">
        <w:rPr>
          <w:rFonts w:cs="Calibri"/>
        </w:rPr>
        <w:t xml:space="preserve">take </w:t>
      </w:r>
      <w:r w:rsidR="00A165BC" w:rsidRPr="00BC7A12">
        <w:rPr>
          <w:rFonts w:cs="Calibri"/>
        </w:rPr>
        <w:t xml:space="preserve">similar </w:t>
      </w:r>
      <w:r w:rsidR="005B7A8D" w:rsidRPr="00BC7A12">
        <w:rPr>
          <w:rFonts w:cs="Calibri"/>
        </w:rPr>
        <w:t xml:space="preserve">steps. In turn, the costs and quality of the next round of </w:t>
      </w:r>
      <w:r w:rsidR="006E0132" w:rsidRPr="00BC7A12">
        <w:rPr>
          <w:rFonts w:cs="Calibri"/>
        </w:rPr>
        <w:t>valuations will be influenced by</w:t>
      </w:r>
      <w:r w:rsidR="005B7A8D" w:rsidRPr="00BC7A12">
        <w:rPr>
          <w:rFonts w:cs="Calibri"/>
        </w:rPr>
        <w:t xml:space="preserve"> adoption of best practices in classification and decision maker engagement.</w:t>
      </w:r>
      <w:r w:rsidR="006E0132" w:rsidRPr="00BC7A12">
        <w:rPr>
          <w:rFonts w:cs="Calibri"/>
        </w:rPr>
        <w:t xml:space="preserve"> </w:t>
      </w:r>
    </w:p>
    <w:p w14:paraId="20FEF249" w14:textId="47D00545" w:rsidR="005B7A8D" w:rsidRPr="00BC7A12" w:rsidRDefault="000438FA" w:rsidP="00E1588F">
      <w:pPr>
        <w:rPr>
          <w:rFonts w:cs="Calibri"/>
        </w:rPr>
      </w:pPr>
      <w:r>
        <w:rPr>
          <w:rFonts w:cs="Calibri"/>
        </w:rPr>
        <w:t xml:space="preserve">Resource constraints suggest the need for a </w:t>
      </w:r>
      <w:r w:rsidR="00E1588F">
        <w:rPr>
          <w:rFonts w:cs="Calibri"/>
        </w:rPr>
        <w:t xml:space="preserve">prioritization of candidate wetlands </w:t>
      </w:r>
      <w:r>
        <w:rPr>
          <w:rFonts w:cs="Calibri"/>
        </w:rPr>
        <w:t>to be valued.</w:t>
      </w:r>
      <w:r w:rsidR="00E1588F">
        <w:rPr>
          <w:rFonts w:cs="Calibri"/>
        </w:rPr>
        <w:t xml:space="preserve"> Such an exercise could be conducted at the national or</w:t>
      </w:r>
      <w:r>
        <w:rPr>
          <w:rFonts w:cs="Calibri"/>
        </w:rPr>
        <w:t xml:space="preserve"> state</w:t>
      </w:r>
      <w:r w:rsidR="00E1588F">
        <w:rPr>
          <w:rFonts w:cs="Calibri"/>
        </w:rPr>
        <w:t xml:space="preserve"> level and include factors such as the threat of </w:t>
      </w:r>
      <w:r w:rsidR="00E1588F">
        <w:rPr>
          <w:rFonts w:cs="Calibri"/>
        </w:rPr>
        <w:lastRenderedPageBreak/>
        <w:t>conversion of the wetland, the risk of natural hazards, the existence of an ongoing coastal planning effort</w:t>
      </w:r>
      <w:r w:rsidR="00734B97">
        <w:rPr>
          <w:rFonts w:cs="Calibri"/>
        </w:rPr>
        <w:t>s</w:t>
      </w:r>
      <w:r w:rsidR="00E1588F">
        <w:rPr>
          <w:rFonts w:cs="Calibri"/>
        </w:rPr>
        <w:t xml:space="preserve"> and the value of human property</w:t>
      </w:r>
      <w:r w:rsidR="00734B97">
        <w:rPr>
          <w:rFonts w:cs="Calibri"/>
        </w:rPr>
        <w:t xml:space="preserve"> </w:t>
      </w:r>
      <w:r>
        <w:rPr>
          <w:rFonts w:cs="Calibri"/>
        </w:rPr>
        <w:t xml:space="preserve">protected by </w:t>
      </w:r>
      <w:r w:rsidR="00734B97">
        <w:rPr>
          <w:rFonts w:cs="Calibri"/>
        </w:rPr>
        <w:t>the wetlands</w:t>
      </w:r>
      <w:r w:rsidR="00E1588F">
        <w:rPr>
          <w:rFonts w:cs="Calibri"/>
        </w:rPr>
        <w:t xml:space="preserve">. </w:t>
      </w:r>
      <w:bookmarkEnd w:id="4"/>
      <w:r w:rsidR="00E1588F">
        <w:rPr>
          <w:rFonts w:cs="Calibri"/>
        </w:rPr>
        <w:t xml:space="preserve">Consideration should also be given to building data standards and datasets for later use by coastal planners, the insurance industry and other stakeholders in modelling and valuation. </w:t>
      </w:r>
      <w:r w:rsidR="00734B97">
        <w:rPr>
          <w:rFonts w:cs="Calibri"/>
        </w:rPr>
        <w:t>The same prioritization criteria could be used</w:t>
      </w:r>
      <w:r>
        <w:rPr>
          <w:rFonts w:cs="Calibri"/>
        </w:rPr>
        <w:t xml:space="preserve"> for a data prioritization effort</w:t>
      </w:r>
      <w:r w:rsidR="00734B97">
        <w:rPr>
          <w:rFonts w:cs="Calibri"/>
        </w:rPr>
        <w:t xml:space="preserve">. </w:t>
      </w:r>
      <w:r w:rsidR="005B7A8D" w:rsidRPr="00BC7A12">
        <w:rPr>
          <w:rFonts w:cs="Calibri"/>
        </w:rPr>
        <w:br w:type="page"/>
      </w:r>
    </w:p>
    <w:p w14:paraId="6A5ED05E" w14:textId="7A8FF4EA" w:rsidR="0074317D" w:rsidRPr="00BC7A12" w:rsidRDefault="0074317D" w:rsidP="004C5A16">
      <w:pPr>
        <w:pStyle w:val="Heading1"/>
        <w:rPr>
          <w:rFonts w:ascii="Calibri" w:hAnsi="Calibri" w:cs="Calibri"/>
        </w:rPr>
      </w:pPr>
      <w:bookmarkStart w:id="7" w:name="_Toc46822288"/>
      <w:r w:rsidRPr="00BC7A12">
        <w:rPr>
          <w:rFonts w:ascii="Calibri" w:hAnsi="Calibri" w:cs="Calibri"/>
        </w:rPr>
        <w:lastRenderedPageBreak/>
        <w:t>The role of coastal wetl</w:t>
      </w:r>
      <w:r w:rsidR="005C3EA6" w:rsidRPr="00BC7A12">
        <w:rPr>
          <w:rFonts w:ascii="Calibri" w:hAnsi="Calibri" w:cs="Calibri"/>
        </w:rPr>
        <w:t>a</w:t>
      </w:r>
      <w:r w:rsidRPr="00BC7A12">
        <w:rPr>
          <w:rFonts w:ascii="Calibri" w:hAnsi="Calibri" w:cs="Calibri"/>
        </w:rPr>
        <w:t>nds</w:t>
      </w:r>
      <w:bookmarkEnd w:id="7"/>
    </w:p>
    <w:p w14:paraId="38CFFCAF" w14:textId="74FA4692" w:rsidR="00C5079C" w:rsidRPr="00BC7A12" w:rsidRDefault="00C5079C" w:rsidP="005B4820">
      <w:pPr>
        <w:rPr>
          <w:rFonts w:cs="Calibri"/>
        </w:rPr>
      </w:pPr>
      <w:r w:rsidRPr="00BC7A12">
        <w:rPr>
          <w:rFonts w:cs="Calibri"/>
        </w:rPr>
        <w:t xml:space="preserve">Australia’s coastal </w:t>
      </w:r>
      <w:r w:rsidR="005D3EA2" w:rsidRPr="00BC7A12">
        <w:rPr>
          <w:rFonts w:cs="Calibri"/>
        </w:rPr>
        <w:t>wetlands</w:t>
      </w:r>
      <w:r w:rsidR="00134999" w:rsidRPr="00BC7A12">
        <w:rPr>
          <w:rFonts w:cs="Calibri"/>
        </w:rPr>
        <w:t xml:space="preserve"> </w:t>
      </w:r>
      <w:r w:rsidR="006436EB" w:rsidRPr="00BC7A12">
        <w:rPr>
          <w:rFonts w:cs="Calibri"/>
        </w:rPr>
        <w:t>provide vital services including coastal protection, fisheries production, blue carbon capture</w:t>
      </w:r>
      <w:r w:rsidR="00847A5A" w:rsidRPr="00BC7A12">
        <w:rPr>
          <w:rFonts w:cs="Calibri"/>
        </w:rPr>
        <w:t xml:space="preserve"> and</w:t>
      </w:r>
      <w:r w:rsidR="006436EB" w:rsidRPr="00BC7A12">
        <w:rPr>
          <w:rFonts w:cs="Calibri"/>
        </w:rPr>
        <w:t xml:space="preserve"> pollutant removal. </w:t>
      </w:r>
      <w:r w:rsidR="006D1A1F" w:rsidRPr="00BC7A12">
        <w:rPr>
          <w:rFonts w:cs="Calibri"/>
        </w:rPr>
        <w:t>M</w:t>
      </w:r>
      <w:r w:rsidR="006436EB" w:rsidRPr="00BC7A12">
        <w:rPr>
          <w:rFonts w:cs="Calibri"/>
        </w:rPr>
        <w:t xml:space="preserve">arine </w:t>
      </w:r>
      <w:proofErr w:type="gramStart"/>
      <w:r w:rsidR="006436EB" w:rsidRPr="00BC7A12">
        <w:rPr>
          <w:rFonts w:cs="Calibri"/>
        </w:rPr>
        <w:t>fauna</w:t>
      </w:r>
      <w:proofErr w:type="gramEnd"/>
      <w:r w:rsidR="006436EB" w:rsidRPr="00BC7A12">
        <w:rPr>
          <w:rFonts w:cs="Calibri"/>
        </w:rPr>
        <w:t xml:space="preserve"> utilise coastal habitats as nursery areas</w:t>
      </w:r>
      <w:r w:rsidR="00010B74" w:rsidRPr="00BC7A12">
        <w:rPr>
          <w:rFonts w:cs="Calibri"/>
        </w:rPr>
        <w:t xml:space="preserve"> as well as</w:t>
      </w:r>
      <w:r w:rsidR="006436EB" w:rsidRPr="00BC7A12">
        <w:rPr>
          <w:rFonts w:cs="Calibri"/>
        </w:rPr>
        <w:t xml:space="preserve"> </w:t>
      </w:r>
      <w:r w:rsidR="00010B74" w:rsidRPr="00BC7A12">
        <w:rPr>
          <w:rFonts w:cs="Calibri"/>
        </w:rPr>
        <w:t xml:space="preserve">for </w:t>
      </w:r>
      <w:r w:rsidR="006436EB" w:rsidRPr="00BC7A12">
        <w:rPr>
          <w:rFonts w:cs="Calibri"/>
        </w:rPr>
        <w:t>shelter and feeding</w:t>
      </w:r>
      <w:r w:rsidR="00DF016A" w:rsidRPr="00BC7A12">
        <w:rPr>
          <w:rFonts w:cs="Calibri"/>
        </w:rPr>
        <w:t xml:space="preserve">. </w:t>
      </w:r>
      <w:r w:rsidR="00660375" w:rsidRPr="00BC7A12">
        <w:rPr>
          <w:rFonts w:cs="Calibri"/>
        </w:rPr>
        <w:t xml:space="preserve">Despite these </w:t>
      </w:r>
      <w:r w:rsidRPr="00BC7A12">
        <w:rPr>
          <w:rFonts w:cs="Calibri"/>
        </w:rPr>
        <w:t>benefits</w:t>
      </w:r>
      <w:r w:rsidR="00660375" w:rsidRPr="00BC7A12">
        <w:rPr>
          <w:rFonts w:cs="Calibri"/>
        </w:rPr>
        <w:t xml:space="preserve">, </w:t>
      </w:r>
      <w:r w:rsidR="00DF016A" w:rsidRPr="00BC7A12">
        <w:rPr>
          <w:rFonts w:cs="Calibri"/>
        </w:rPr>
        <w:t xml:space="preserve">pressures from </w:t>
      </w:r>
      <w:proofErr w:type="spellStart"/>
      <w:r w:rsidR="00DF016A" w:rsidRPr="00BC7A12">
        <w:rPr>
          <w:rFonts w:cs="Calibri"/>
        </w:rPr>
        <w:t>agri</w:t>
      </w:r>
      <w:proofErr w:type="spellEnd"/>
      <w:r w:rsidR="00DF016A" w:rsidRPr="00BC7A12">
        <w:rPr>
          <w:rFonts w:cs="Calibri"/>
        </w:rPr>
        <w:t>- and aquaculture, industry and urban expansion</w:t>
      </w:r>
      <w:r w:rsidR="00B8316C" w:rsidRPr="00BC7A12">
        <w:rPr>
          <w:rFonts w:cs="Calibri"/>
        </w:rPr>
        <w:t xml:space="preserve"> </w:t>
      </w:r>
      <w:r w:rsidR="00B8316C" w:rsidRPr="00BC7A12">
        <w:rPr>
          <w:rFonts w:cs="Calibri"/>
        </w:rPr>
        <w:fldChar w:fldCharType="begin" w:fldLock="1"/>
      </w:r>
      <w:r w:rsidR="00B8316C" w:rsidRPr="00BC7A12">
        <w:rPr>
          <w:rFonts w:cs="Calibri"/>
        </w:rPr>
        <w:instrText>ADDIN CSL_CITATION {"citationItems":[{"id":"ITEM-1","itemData":{"DOI":"10.1371/journal.pone.0023777","abstract":"The conversion of Earth's land surface to urban uses is one of the most irreversible human impacts on the global biosphere. It drives the loss of farmland, affects local climate, fragments habitats, and threatens biodiversity. Here we present a meta-analysis of 326 studies that have used remotely sensed images to map urban land conversion. We report a worldwide observed increase in urban land area of 58,000 km2 from 1970 to 2000. India, China, and Africa have experienced the highest rates of urban land expansion, and the largest change in total urban extent has occurred in North America. Across all regions and for all three decades, urban land expansion rates are higher than or equal to urban population growth rates, suggesting that urban growth is becoming more expansive than compact. Annual growth in GDP per capita drives approximately half of the observed urban land expansion in China but only moderately affects urban expansion in India and Africa, where urban land expansion is driven more by urban population growth. In high income countries, rates of urban land expansion are slower and increasingly related to GDP growth. However, in North America, population growth contributes more to urban expansion than it does in Europe. Much of the observed variation in urban expansion was not captured by either population, GDP, or other variables in the model. This suggests that contemporary urban expansion is related to a variety of factors difficult to observe comprehensively at the global level, including international capital flows, the informal economy, land use policy, and generalized transport costs. Using the results from the global model, we develop forecasts for new urban land cover using SRES Scenarios. Our results show that by 2030, global urban land cover will increase between 430,000 km2 and 12,568,000 km2, with an estimate of 1,527,000 km2 more likely.","author":[{"dropping-particle":"","family":"Seto","given":"Karen C","non-dropping-particle":"","parse-names":false,"suffix":""},{"dropping-particle":"","family":"Fragkias","given":"Michail","non-dropping-particle":"","parse-names":false,"suffix":""},{"dropping-particle":"","family":"Güneralp","given":"Burak","non-dropping-particle":"","parse-names":false,"suffix":""},{"dropping-particle":"","family":"Reilly","given":"Michael K","non-dropping-particle":"","parse-names":false,"suffix":""}],"container-title":"PLOS ONE","id":"ITEM-1","issue":"8","issued":{"date-parts":[["2011"]]},"page":"1-9","publisher":"Public Library of Science","title":"A Meta-Analysis of Global Urban Land Expansion","type":"article-journal","volume":"6"},"uris":["http://www.mendeley.com/documents/?uuid=17573527-f00b-4bc0-b90f-36ec09cc5b26"]}],"mendeley":{"formattedCitation":"(Seto et al. 2011)","plainTextFormattedCitation":"(Seto et al. 2011)","previouslyFormattedCitation":"(Seto et al. 2011)"},"properties":{"noteIndex":0},"schema":"https://github.com/citation-style-language/schema/raw/master/csl-citation.json"}</w:instrText>
      </w:r>
      <w:r w:rsidR="00B8316C" w:rsidRPr="00BC7A12">
        <w:rPr>
          <w:rFonts w:cs="Calibri"/>
        </w:rPr>
        <w:fldChar w:fldCharType="separate"/>
      </w:r>
      <w:r w:rsidR="00B8316C" w:rsidRPr="00BC7A12">
        <w:rPr>
          <w:rFonts w:cs="Calibri"/>
          <w:noProof/>
        </w:rPr>
        <w:t>(Seto et al. 2011)</w:t>
      </w:r>
      <w:r w:rsidR="00B8316C" w:rsidRPr="00BC7A12">
        <w:rPr>
          <w:rFonts w:cs="Calibri"/>
        </w:rPr>
        <w:fldChar w:fldCharType="end"/>
      </w:r>
      <w:r w:rsidR="00DF016A" w:rsidRPr="00BC7A12">
        <w:rPr>
          <w:rFonts w:cs="Calibri"/>
        </w:rPr>
        <w:t xml:space="preserve"> have been driving loss of extent and condition of coastal wetlands and the services they provide. </w:t>
      </w:r>
      <w:r w:rsidR="00847A5A" w:rsidRPr="00BC7A12">
        <w:rPr>
          <w:rFonts w:cs="Calibri"/>
        </w:rPr>
        <w:t>Wetland and other coastal h</w:t>
      </w:r>
      <w:r w:rsidR="006436EB" w:rsidRPr="00BC7A12">
        <w:rPr>
          <w:rFonts w:cs="Calibri"/>
        </w:rPr>
        <w:t xml:space="preserve">abitats </w:t>
      </w:r>
      <w:r w:rsidR="00DF016A" w:rsidRPr="00BC7A12">
        <w:rPr>
          <w:rFonts w:cs="Calibri"/>
        </w:rPr>
        <w:t>are increasingly at ri</w:t>
      </w:r>
      <w:r w:rsidR="00660375" w:rsidRPr="00BC7A12">
        <w:rPr>
          <w:rFonts w:cs="Calibri"/>
        </w:rPr>
        <w:t>s</w:t>
      </w:r>
      <w:r w:rsidR="00DF016A" w:rsidRPr="00BC7A12">
        <w:rPr>
          <w:rFonts w:cs="Calibri"/>
        </w:rPr>
        <w:t xml:space="preserve">k </w:t>
      </w:r>
      <w:r w:rsidR="006436EB" w:rsidRPr="00BC7A12">
        <w:rPr>
          <w:rFonts w:cs="Calibri"/>
        </w:rPr>
        <w:t xml:space="preserve">from </w:t>
      </w:r>
      <w:r w:rsidR="00DF016A" w:rsidRPr="00BC7A12">
        <w:rPr>
          <w:rFonts w:cs="Calibri"/>
        </w:rPr>
        <w:t xml:space="preserve">losses </w:t>
      </w:r>
      <w:r w:rsidR="006436EB" w:rsidRPr="00BC7A12">
        <w:rPr>
          <w:rFonts w:cs="Calibri"/>
        </w:rPr>
        <w:t>of biological and physical resources (</w:t>
      </w:r>
      <w:r w:rsidR="005B4820" w:rsidRPr="00BC7A12">
        <w:rPr>
          <w:rFonts w:cs="Calibri"/>
        </w:rPr>
        <w:t xml:space="preserve">e.g. </w:t>
      </w:r>
      <w:r w:rsidR="006436EB" w:rsidRPr="00BC7A12">
        <w:rPr>
          <w:rFonts w:cs="Calibri"/>
        </w:rPr>
        <w:t>fish, water, energy, space) and the consequences of a warming climate and sea level rise</w:t>
      </w:r>
      <w:r w:rsidR="005D3EA2" w:rsidRPr="00BC7A12">
        <w:rPr>
          <w:rFonts w:cs="Calibri"/>
        </w:rPr>
        <w:t xml:space="preserve"> </w:t>
      </w:r>
      <w:r w:rsidR="004F312F" w:rsidRPr="00BC7A12">
        <w:rPr>
          <w:rFonts w:cs="Calibri"/>
        </w:rPr>
        <w:fldChar w:fldCharType="begin" w:fldLock="1"/>
      </w:r>
      <w:r w:rsidR="00A77A26">
        <w:rPr>
          <w:rFonts w:cs="Calibri"/>
        </w:rPr>
        <w:instrText>ADDIN CSL_CITATION {"citationItems":[{"id":"ITEM-1","itemData":{"DOI":"10.1016/j.ecss.2016.04.003","ISSN":"02727714","abstract":"Ecological Engineering (or Ecoengineering) is increasingly used in estuaries to re-create and restore ecosystems degraded by human activities, including reduced water flow or land poldered for agricultural use. Here we focus on ecosystem recolonization by the biota and their functioning and we separate Type A Ecoengineering where the physico-chemical structure is modified on the basis that ecological structure and functioning will then follow, and Type B Ecoengineering where the biota are engineered directly such as through restocking or replanting. Modifying the physical system to create and restore natural processes and habitats relies on successfully applying Ecohydrology, where suitable physical conditions, especially hydrography and sedimentology, are created to recover estuarine ecology by natural or human-mediated colonisation of primary producers and consumers, or habitat creation. This successional process then allows wading birds and fish to reoccupy the rehabilitated areas, thus restoring the natural food web and recreating nursery areas for aquatic biota. We describe Ecohydrology principles applied during Ecoengineering restoration projects in Europe, Australia, Asia, South Africa and North America. These show some successful and sustainable approaches but also others that were less than successful and not sustainable despite the best of intentions (and which may even have harmed the ecology). Some schemes may be ‘good for the ecologists’, as conservationists consider it successful that at least some habitat was created, albeit in the short-term, but arguably did little for the overall ecology of the area in space or time. We indicate the trade-offs between the short- and long-term value of restored and created ecosystems, the success at developing natural structure and functioning in disturbed estuaries, the role of this in estuarine and wetland management, and the costs and benefits of Ecoengineering to the socio-ecological system. These global case studies provide important lessons for both the science and management of estuaries, including that successful estuarine restoration is a complex and often difficult process, and that Ecoengineering with Ecohydrology aims to control and/or simulate natural ecosystem processes.","author":[{"dropping-particle":"","family":"Elliott","given":"Michael","non-dropping-particle":"","parse-names":false,"suffix":""},{"dropping-particle":"","family":"Mander","given":"Lucas","non-dropping-particle":"","parse-names":false,"suffix":""},{"dropping-particle":"","family":"Mazik","given":"Krysia","non-dropping-particle":"","parse-names":false,"suffix":""},{"dropping-particle":"","family":"Simenstad","given":"Charles","non-dropping-particle":"","parse-names":false,"suffix":""},{"dropping-particle":"","family":"Valesini","given":"Fiona","non-dropping-particle":"","parse-names":false,"suffix":""},{"dropping-particle":"","family":"Whitfield","given":"Alan","non-dropping-particle":"","parse-names":false,"suffix":""},{"dropping-particle":"","family":"Wolanski","given":"Eric","non-dropping-particle":"","parse-names":false,"suffix":""}],"container-title":"Estuarine, Coastal and Shelf Science","id":"ITEM-1","issued":{"date-parts":[["2016","7"]]},"page":"12-35","title":"Ecoengineering with Ecohydrology: Successes and failures in estuarine restoration","type":"article-journal","volume":"176"},"uris":["http://www.mendeley.com/documents/?uuid=62e58270-e25d-4560-8ec7-cec9a1de4515"]},{"id":"ITEM-2","itemData":{"DOI":"10.1007/s10021-015-9925-2","ISSN":"1432-9840","author":[{"dropping-particle":"","family":"Creighton","given":"C.","non-dropping-particle":"","parse-names":false,"suffix":""},{"dropping-particle":"","family":"Hobday","given":"Alistair J.","non-dropping-particle":"","parse-names":false,"suffix":""},{"dropping-particle":"","family":"Lockwood","given":"Michael","non-dropping-particle":"","parse-names":false,"suffix":""},{"dropping-particle":"","family":"Pecl","given":"Gretta T.","non-dropping-particle":"","parse-names":false,"suffix":""}],"container-title":"Ecosystems","id":"ITEM-2","issue":"2","issued":{"date-parts":[["2016","3","19"]]},"page":"187-219","title":"Adapting Management of Marine Environments to a Changing Climate: A Checklist to Guide Reform and Assess Progress","type":"article-journal","volume":"19"},"uris":["http://www.mendeley.com/documents/?uuid=5fae2b67-9fe7-4e97-a9a3-b6ebf5441562"]}],"mendeley":{"formattedCitation":"(Elliott et al. 2016, Creighton et al. 2016)","plainTextFormattedCitation":"(Elliott et al. 2016, Creighton et al. 2016)","previouslyFormattedCitation":"(Elliott et al. 2016, Creighton et al. 2016)"},"properties":{"noteIndex":0},"schema":"https://github.com/citation-style-language/schema/raw/master/csl-citation.json"}</w:instrText>
      </w:r>
      <w:r w:rsidR="004F312F" w:rsidRPr="00BC7A12">
        <w:rPr>
          <w:rFonts w:cs="Calibri"/>
        </w:rPr>
        <w:fldChar w:fldCharType="separate"/>
      </w:r>
      <w:r w:rsidR="005B4820" w:rsidRPr="00BC7A12">
        <w:rPr>
          <w:rFonts w:cs="Calibri"/>
          <w:noProof/>
        </w:rPr>
        <w:t>(Elliott et al. 2016, Creighton et al. 2016)</w:t>
      </w:r>
      <w:r w:rsidR="004F312F" w:rsidRPr="00BC7A12">
        <w:rPr>
          <w:rFonts w:cs="Calibri"/>
        </w:rPr>
        <w:fldChar w:fldCharType="end"/>
      </w:r>
      <w:r w:rsidR="00FE1707" w:rsidRPr="00BC7A12">
        <w:rPr>
          <w:rFonts w:cs="Calibri"/>
        </w:rPr>
        <w:t>.</w:t>
      </w:r>
      <w:r w:rsidR="006436EB" w:rsidRPr="00BC7A12">
        <w:rPr>
          <w:rFonts w:cs="Calibri"/>
        </w:rPr>
        <w:t xml:space="preserve"> </w:t>
      </w:r>
      <w:r w:rsidR="005B4820" w:rsidRPr="00BC7A12">
        <w:rPr>
          <w:rFonts w:cs="Calibri"/>
        </w:rPr>
        <w:t xml:space="preserve">As a result, management of these coastal resources has </w:t>
      </w:r>
      <w:r w:rsidR="006436EB" w:rsidRPr="00BC7A12">
        <w:rPr>
          <w:rFonts w:cs="Calibri"/>
        </w:rPr>
        <w:t xml:space="preserve">come into </w:t>
      </w:r>
      <w:r w:rsidR="00660375" w:rsidRPr="00BC7A12">
        <w:rPr>
          <w:rFonts w:cs="Calibri"/>
        </w:rPr>
        <w:t>prominence</w:t>
      </w:r>
      <w:r w:rsidR="00847A5A" w:rsidRPr="00BC7A12">
        <w:rPr>
          <w:rFonts w:cs="Calibri"/>
        </w:rPr>
        <w:t xml:space="preserve"> </w:t>
      </w:r>
      <w:r w:rsidR="00B9371C" w:rsidRPr="00BC7A12">
        <w:rPr>
          <w:rFonts w:cs="Calibri"/>
        </w:rPr>
        <w:fldChar w:fldCharType="begin" w:fldLock="1"/>
      </w:r>
      <w:r w:rsidR="005D3EA2" w:rsidRPr="00BC7A12">
        <w:rPr>
          <w:rFonts w:cs="Calibri"/>
        </w:rPr>
        <w:instrText>ADDIN CSL_CITATION {"citationItems":[{"id":"ITEM-1","itemData":{"author":[{"dropping-particle":"","family":"Waltham","given":"N.J.","non-dropping-particle":"","parse-names":false,"suffix":""},{"dropping-particle":"","family":"Burrows","given":"J.D.","non-dropping-particle":"","parse-names":false,"suffix":""},{"dropping-particle":"","family":"Wegscheidl","given":"J.C.","non-dropping-particle":"","parse-names":false,"suffix":""},{"dropping-particle":"","family":"Buelow","given":"C.","non-dropping-particle":"","parse-names":false,"suffix":""},{"dropping-particle":"","family":"Ronan","given":"M.","non-dropping-particle":"","parse-names":false,"suffix":""},{"dropping-particle":"","family":"Connolly","given":"N.","non-dropping-particle":"","parse-names":false,"suffix":""},{"dropping-particle":"","family":"Groves","given":"P.","non-dropping-particle":"","parse-names":false,"suffix":""},{"dropping-particle":"","family":"Audas","given":"D-M","non-dropping-particle":"","parse-names":false,"suffix":""},{"dropping-particle":"","family":"Creighton","given":"C.","non-dropping-particle":"","parse-names":false,"suffix":""},{"dropping-particle":"","family":"Sheaves","given":"M.","non-dropping-particle":"","parse-names":false,"suffix":""}],"container-title":"Frontiers in Marine Science","id":"ITEM-1","issued":{"date-parts":[["2019"]]},"page":"71","title":"Lost floodplain wetland environments and efforts to restore connectivity, habitat and water quality settings on the Great Barrier Reef","type":"article-journal","volume":"6"},"uris":["http://www.mendeley.com/documents/?uuid=e6b5cbd7-e949-4b75-b0a0-3eb14e9dfa6b"]}],"mendeley":{"formattedCitation":"(Waltham et al. 2019)","plainTextFormattedCitation":"(Waltham et al. 2019)","previouslyFormattedCitation":"(Waltham et al. 2019)"},"properties":{"noteIndex":0},"schema":"https://github.com/citation-style-language/schema/raw/master/csl-citation.json"}</w:instrText>
      </w:r>
      <w:r w:rsidR="00B9371C" w:rsidRPr="00BC7A12">
        <w:rPr>
          <w:rFonts w:cs="Calibri"/>
        </w:rPr>
        <w:fldChar w:fldCharType="separate"/>
      </w:r>
      <w:r w:rsidR="00B9371C" w:rsidRPr="00BC7A12">
        <w:rPr>
          <w:rFonts w:cs="Calibri"/>
          <w:noProof/>
        </w:rPr>
        <w:t>(Waltham et al. 2019)</w:t>
      </w:r>
      <w:r w:rsidR="00B9371C" w:rsidRPr="00BC7A12">
        <w:rPr>
          <w:rFonts w:cs="Calibri"/>
        </w:rPr>
        <w:fldChar w:fldCharType="end"/>
      </w:r>
      <w:r w:rsidRPr="00BC7A12">
        <w:rPr>
          <w:rFonts w:cs="Calibri"/>
        </w:rPr>
        <w:t>.</w:t>
      </w:r>
      <w:r w:rsidR="006436EB" w:rsidRPr="00BC7A12">
        <w:rPr>
          <w:rFonts w:cs="Calibri"/>
        </w:rPr>
        <w:t xml:space="preserve"> </w:t>
      </w:r>
    </w:p>
    <w:p w14:paraId="29042BA1" w14:textId="381957DD" w:rsidR="006436EB" w:rsidRPr="00BC7A12" w:rsidRDefault="00206783" w:rsidP="00F90678">
      <w:pPr>
        <w:rPr>
          <w:rFonts w:cs="Calibri"/>
        </w:rPr>
      </w:pPr>
      <w:r w:rsidRPr="00BC7A12">
        <w:rPr>
          <w:rFonts w:cs="Calibri"/>
        </w:rPr>
        <w:t>E</w:t>
      </w:r>
      <w:r w:rsidR="006436EB" w:rsidRPr="00BC7A12">
        <w:rPr>
          <w:rFonts w:cs="Calibri"/>
        </w:rPr>
        <w:t>cosystem protection and restoration has been recognised as key to coastal wetland resilience in Australia</w:t>
      </w:r>
      <w:r w:rsidR="00847A5A" w:rsidRPr="00BC7A12">
        <w:rPr>
          <w:rFonts w:cs="Calibri"/>
        </w:rPr>
        <w:t xml:space="preserve"> </w:t>
      </w:r>
      <w:r w:rsidR="00847A5A" w:rsidRPr="00BC7A12">
        <w:rPr>
          <w:rFonts w:cs="Calibri"/>
        </w:rPr>
        <w:fldChar w:fldCharType="begin" w:fldLock="1"/>
      </w:r>
      <w:r w:rsidR="00031DEB">
        <w:rPr>
          <w:rFonts w:cs="Calibri"/>
        </w:rPr>
        <w:instrText>ADDIN CSL_CITATION {"citationItems":[{"id":"ITEM-1","itemData":{"author":[{"dropping-particle":"","family":"Clark","given":"G.F.","non-dropping-particle":"","parse-names":false,"suffix":""},{"dropping-particle":"","family":"Johnston","given":"E.L.","non-dropping-particle":"","parse-names":false,"suffix":""}],"id":"ITEM-1","issued":{"date-parts":[["2017"]]},"publisher-place":"Canberra","title":"Australia state of the environment 2016: coasts, independent report to the Australian Government Minister for Environment and Energy","type":"report"},"uris":["http://www.mendeley.com/documents/?uuid=05d5dfc1-cd1b-45b9-b529-42373925a6c9"]},{"id":"ITEM-2","itemData":{"author":[{"dropping-particle":"","family":"Waltham","given":"N.J.","non-dropping-particle":"","parse-names":false,"suffix":""},{"dropping-particle":"","family":"Burrows","given":"J.D.","non-dropping-particle":"","parse-names":false,"suffix":""},{"dropping-particle":"","family":"Wegscheidl","given":"J.C.","non-dropping-particle":"","parse-names":false,"suffix":""},{"dropping-particle":"","family":"Buelow","given":"C.","non-dropping-particle":"","parse-names":false,"suffix":""},{"dropping-particle":"","family":"Ronan","given":"M.","non-dropping-particle":"","parse-names":false,"suffix":""},{"dropping-particle":"","family":"Connolly","given":"N.","non-dropping-particle":"","parse-names":false,"suffix":""},{"dropping-particle":"","family":"Groves","given":"P.","non-dropping-particle":"","parse-names":false,"suffix":""},{"dropping-particle":"","family":"Audas","given":"D-M","non-dropping-particle":"","parse-names":false,"suffix":""},{"dropping-particle":"","family":"Creighton","given":"C.","non-dropping-particle":"","parse-names":false,"suffix":""},{"dropping-particle":"","family":"Sheaves","given":"M.","non-dropping-particle":"","parse-names":false,"suffix":""}],"container-title":"Frontiers in Marine Science","id":"ITEM-2","issued":{"date-parts":[["2019"]]},"page":"71","title":"Lost floodplain wetland environments and efforts to restore connectivity, habitat and water quality settings on the Great Barrier Reef","type":"article-journal","volume":"6"},"uris":["http://www.mendeley.com/documents/?uuid=e6b5cbd7-e949-4b75-b0a0-3eb14e9dfa6b"]},{"id":"ITEM-3","itemData":{"author":[{"dropping-particle":"","family":"Creighton","given":"C.","non-dropping-particle":"","parse-names":false,"suffix":""},{"dropping-particle":"","family":"Boon","given":"P.I.","non-dropping-particle":"","parse-names":false,"suffix":""},{"dropping-particle":"","family":"Brookes","given":"J.D.","non-dropping-particle":"","parse-names":false,"suffix":""},{"dropping-particle":"","family":"Sheaves","given":"M.","non-dropping-particle":"","parse-names":false,"suffix":""}],"container-title":"Marine and Freshwater Research","id":"ITEM-3","issue":"6","issued":{"date-parts":[["2015"]]},"page":"493-507","title":"Repairing Australia's estuaries for improved fisheries production–what benefits, at what cost?","type":"article-journal","volume":"66"},"uris":["http://www.mendeley.com/documents/?uuid=af95e02e-31e5-49dd-9c02-07ca0cc26349"]},{"id":"ITEM-4","itemData":{"author":[{"dropping-particle":"","family":"Taylor","given":"Matthew D.","non-dropping-particle":"","parse-names":false,"suffix":""},{"dropping-particle":"","family":"Creighton","given":"C.","non-dropping-particle":"","parse-names":false,"suffix":""}],"container-title":"Wetlands","id":"ITEM-4","issue":"6","issued":{"date-parts":[["2018"]]},"page":"1199-1209","title":"Estimating the potential fishery benefits from targeted habitat repair: a case study of school prawn (Metapenaeus macleayi) in the lower Clarence River estuary","type":"article-journal","volume":"38"},"uris":["http://www.mendeley.com/documents/?uuid=ca61cd88-0c2d-419b-a1c4-8a6168fdf72a"]}],"mendeley":{"formattedCitation":"(Clark &amp; Johnston 2017, Waltham et al. 2019, Creighton et al. 2015, Taylor &amp; Creighton 2018)","plainTextFormattedCitation":"(Clark &amp; Johnston 2017, Waltham et al. 2019, Creighton et al. 2015, Taylor &amp; Creighton 2018)","previouslyFormattedCitation":"(Clark &amp; Johnston 2017, Waltham et al. 2019, Creighton et al. 2015, Taylor &amp; Creighton 2018)"},"properties":{"noteIndex":0},"schema":"https://github.com/citation-style-language/schema/raw/master/csl-citation.json"}</w:instrText>
      </w:r>
      <w:r w:rsidR="00847A5A" w:rsidRPr="00BC7A12">
        <w:rPr>
          <w:rFonts w:cs="Calibri"/>
        </w:rPr>
        <w:fldChar w:fldCharType="separate"/>
      </w:r>
      <w:r w:rsidR="00A77A26" w:rsidRPr="00A77A26">
        <w:rPr>
          <w:rFonts w:cs="Calibri"/>
          <w:noProof/>
        </w:rPr>
        <w:t>(Clark &amp; Johnston 2017, Waltham et al. 2019, Creighton et al. 2015, Taylor &amp; Creighton 2018)</w:t>
      </w:r>
      <w:r w:rsidR="00847A5A" w:rsidRPr="00BC7A12">
        <w:rPr>
          <w:rFonts w:cs="Calibri"/>
        </w:rPr>
        <w:fldChar w:fldCharType="end"/>
      </w:r>
      <w:r w:rsidR="006436EB" w:rsidRPr="00BC7A12">
        <w:rPr>
          <w:rFonts w:cs="Calibri"/>
        </w:rPr>
        <w:t xml:space="preserve">. Efforts to restore </w:t>
      </w:r>
      <w:r w:rsidR="00C5079C" w:rsidRPr="00BC7A12">
        <w:rPr>
          <w:rFonts w:cs="Calibri"/>
        </w:rPr>
        <w:t xml:space="preserve">these wetlands and hence recapture their </w:t>
      </w:r>
      <w:r w:rsidR="006436EB" w:rsidRPr="00BC7A12">
        <w:rPr>
          <w:rFonts w:cs="Calibri"/>
        </w:rPr>
        <w:t xml:space="preserve">natural values and </w:t>
      </w:r>
      <w:r w:rsidRPr="00BC7A12">
        <w:rPr>
          <w:rFonts w:cs="Calibri"/>
        </w:rPr>
        <w:t xml:space="preserve">ecosystem </w:t>
      </w:r>
      <w:r w:rsidR="006436EB" w:rsidRPr="00BC7A12">
        <w:rPr>
          <w:rFonts w:cs="Calibri"/>
        </w:rPr>
        <w:t xml:space="preserve">services has </w:t>
      </w:r>
      <w:r w:rsidR="006A51A8" w:rsidRPr="00BC7A12">
        <w:rPr>
          <w:rFonts w:cs="Calibri"/>
        </w:rPr>
        <w:t>expanded</w:t>
      </w:r>
      <w:r w:rsidRPr="00BC7A12">
        <w:rPr>
          <w:rFonts w:cs="Calibri"/>
        </w:rPr>
        <w:t xml:space="preserve">. It </w:t>
      </w:r>
      <w:r w:rsidR="00025F46" w:rsidRPr="00BC7A12">
        <w:rPr>
          <w:rFonts w:cs="Calibri"/>
        </w:rPr>
        <w:t xml:space="preserve">has </w:t>
      </w:r>
      <w:r w:rsidRPr="00BC7A12">
        <w:rPr>
          <w:rFonts w:cs="Calibri"/>
        </w:rPr>
        <w:t xml:space="preserve">also been </w:t>
      </w:r>
      <w:r w:rsidR="00C5079C" w:rsidRPr="00BC7A12">
        <w:rPr>
          <w:rFonts w:cs="Calibri"/>
        </w:rPr>
        <w:t>recognis</w:t>
      </w:r>
      <w:r w:rsidRPr="00BC7A12">
        <w:rPr>
          <w:rFonts w:cs="Calibri"/>
        </w:rPr>
        <w:t xml:space="preserve">ed </w:t>
      </w:r>
      <w:r w:rsidR="00F01DA6" w:rsidRPr="00BC7A12">
        <w:rPr>
          <w:rFonts w:cs="Calibri"/>
        </w:rPr>
        <w:t xml:space="preserve">that </w:t>
      </w:r>
      <w:r w:rsidRPr="00BC7A12">
        <w:rPr>
          <w:rFonts w:cs="Calibri"/>
        </w:rPr>
        <w:t xml:space="preserve">this </w:t>
      </w:r>
      <w:r w:rsidR="006436EB" w:rsidRPr="00BC7A12">
        <w:rPr>
          <w:rFonts w:cs="Calibri"/>
        </w:rPr>
        <w:t>will require a coordinated approach</w:t>
      </w:r>
      <w:r w:rsidR="001B38CB" w:rsidRPr="00BC7A12">
        <w:rPr>
          <w:rFonts w:cs="Calibri"/>
        </w:rPr>
        <w:t>, involving elements such as prioritisation, monitoring and evaluation, and the engagement of government</w:t>
      </w:r>
      <w:r w:rsidR="00567B3A" w:rsidRPr="00BC7A12">
        <w:rPr>
          <w:rFonts w:cs="Calibri"/>
        </w:rPr>
        <w:t>s</w:t>
      </w:r>
      <w:r w:rsidR="001B38CB" w:rsidRPr="00BC7A12">
        <w:rPr>
          <w:rFonts w:cs="Calibri"/>
        </w:rPr>
        <w:t xml:space="preserve">, </w:t>
      </w:r>
      <w:proofErr w:type="gramStart"/>
      <w:r w:rsidR="001B38CB" w:rsidRPr="00BC7A12">
        <w:rPr>
          <w:rFonts w:cs="Calibri"/>
        </w:rPr>
        <w:t>communit</w:t>
      </w:r>
      <w:r w:rsidR="00567B3A" w:rsidRPr="00BC7A12">
        <w:rPr>
          <w:rFonts w:cs="Calibri"/>
        </w:rPr>
        <w:t>ies</w:t>
      </w:r>
      <w:proofErr w:type="gramEnd"/>
      <w:r w:rsidR="001B38CB" w:rsidRPr="00BC7A12">
        <w:rPr>
          <w:rFonts w:cs="Calibri"/>
        </w:rPr>
        <w:t xml:space="preserve"> and industr</w:t>
      </w:r>
      <w:r w:rsidR="00567B3A" w:rsidRPr="00BC7A12">
        <w:rPr>
          <w:rFonts w:cs="Calibri"/>
        </w:rPr>
        <w:t>ies.</w:t>
      </w:r>
    </w:p>
    <w:p w14:paraId="4381E9EF" w14:textId="00697D7A" w:rsidR="005D3EA2" w:rsidRPr="00BC7A12" w:rsidRDefault="006436EB" w:rsidP="00F90678">
      <w:pPr>
        <w:rPr>
          <w:rFonts w:cs="Calibri"/>
        </w:rPr>
      </w:pPr>
      <w:r w:rsidRPr="00BC7A12">
        <w:rPr>
          <w:rFonts w:cs="Calibri"/>
        </w:rPr>
        <w:t>A total of 28 coastal or estuarine wetland</w:t>
      </w:r>
      <w:r w:rsidR="00C5079C" w:rsidRPr="00BC7A12">
        <w:rPr>
          <w:rFonts w:cs="Calibri"/>
        </w:rPr>
        <w:t>s</w:t>
      </w:r>
      <w:r w:rsidRPr="00BC7A12">
        <w:rPr>
          <w:rFonts w:cs="Calibri"/>
        </w:rPr>
        <w:t xml:space="preserve"> as well as 6 islands/reef</w:t>
      </w:r>
      <w:r w:rsidR="00C5079C" w:rsidRPr="00BC7A12">
        <w:rPr>
          <w:rFonts w:cs="Calibri"/>
        </w:rPr>
        <w:t>s</w:t>
      </w:r>
      <w:r w:rsidRPr="00BC7A12">
        <w:rPr>
          <w:rFonts w:cs="Calibri"/>
        </w:rPr>
        <w:t xml:space="preserve"> are listed </w:t>
      </w:r>
      <w:r w:rsidR="002E702E">
        <w:rPr>
          <w:rFonts w:cs="Calibri"/>
        </w:rPr>
        <w:t>under the</w:t>
      </w:r>
      <w:r w:rsidR="002E702E" w:rsidRPr="00BC7A12">
        <w:rPr>
          <w:rFonts w:cs="Calibri"/>
        </w:rPr>
        <w:t xml:space="preserve"> </w:t>
      </w:r>
      <w:r w:rsidRPr="00BC7A12">
        <w:rPr>
          <w:rFonts w:cs="Calibri"/>
        </w:rPr>
        <w:t xml:space="preserve">Ramsar </w:t>
      </w:r>
      <w:r w:rsidR="002E702E">
        <w:rPr>
          <w:rFonts w:cs="Calibri"/>
        </w:rPr>
        <w:t xml:space="preserve">Convention as </w:t>
      </w:r>
      <w:r w:rsidRPr="00BC7A12">
        <w:rPr>
          <w:rFonts w:cs="Calibri"/>
        </w:rPr>
        <w:t xml:space="preserve">wetlands of international importance in Australia. An integral </w:t>
      </w:r>
      <w:r w:rsidR="00C5079C" w:rsidRPr="00BC7A12">
        <w:rPr>
          <w:rFonts w:cs="Calibri"/>
        </w:rPr>
        <w:t xml:space="preserve">objective in </w:t>
      </w:r>
      <w:r w:rsidRPr="00BC7A12">
        <w:rPr>
          <w:rFonts w:cs="Calibri"/>
        </w:rPr>
        <w:t xml:space="preserve">the management of these wetlands is protection of the </w:t>
      </w:r>
      <w:r w:rsidR="00C5079C" w:rsidRPr="00BC7A12">
        <w:rPr>
          <w:rFonts w:cs="Calibri"/>
        </w:rPr>
        <w:t xml:space="preserve">various </w:t>
      </w:r>
      <w:r w:rsidRPr="00BC7A12">
        <w:rPr>
          <w:rFonts w:cs="Calibri"/>
        </w:rPr>
        <w:t xml:space="preserve">environmental, biodiversity, economic and cultural services they provide.  </w:t>
      </w:r>
      <w:r w:rsidR="00C5079C" w:rsidRPr="00BC7A12">
        <w:rPr>
          <w:rFonts w:cs="Calibri"/>
        </w:rPr>
        <w:t>R</w:t>
      </w:r>
      <w:r w:rsidRPr="00BC7A12">
        <w:rPr>
          <w:rFonts w:cs="Calibri"/>
        </w:rPr>
        <w:t>ecently</w:t>
      </w:r>
      <w:r w:rsidR="00F01DA6" w:rsidRPr="00BC7A12">
        <w:rPr>
          <w:rFonts w:cs="Calibri"/>
        </w:rPr>
        <w:t>,</w:t>
      </w:r>
      <w:r w:rsidRPr="00BC7A12">
        <w:rPr>
          <w:rFonts w:cs="Calibri"/>
        </w:rPr>
        <w:t xml:space="preserve"> there has </w:t>
      </w:r>
      <w:r w:rsidR="002E702E">
        <w:rPr>
          <w:rFonts w:cs="Calibri"/>
        </w:rPr>
        <w:t>bee</w:t>
      </w:r>
      <w:r w:rsidR="001B5CD7">
        <w:rPr>
          <w:rFonts w:cs="Calibri"/>
        </w:rPr>
        <w:t>n</w:t>
      </w:r>
      <w:r w:rsidR="002E702E">
        <w:rPr>
          <w:rFonts w:cs="Calibri"/>
        </w:rPr>
        <w:t xml:space="preserve"> </w:t>
      </w:r>
      <w:r w:rsidRPr="00BC7A12">
        <w:rPr>
          <w:rFonts w:cs="Calibri"/>
        </w:rPr>
        <w:t xml:space="preserve">interest in protecting and restoring coastal wetlands for the </w:t>
      </w:r>
      <w:r w:rsidR="006A51A8" w:rsidRPr="00BC7A12">
        <w:rPr>
          <w:rFonts w:cs="Calibri"/>
        </w:rPr>
        <w:t xml:space="preserve">disaster </w:t>
      </w:r>
      <w:r w:rsidRPr="00BC7A12">
        <w:rPr>
          <w:rFonts w:cs="Calibri"/>
        </w:rPr>
        <w:t xml:space="preserve">risk </w:t>
      </w:r>
      <w:r w:rsidR="006A51A8" w:rsidRPr="00BC7A12">
        <w:rPr>
          <w:rFonts w:cs="Calibri"/>
        </w:rPr>
        <w:t xml:space="preserve">reduction </w:t>
      </w:r>
      <w:r w:rsidRPr="00BC7A12">
        <w:rPr>
          <w:rFonts w:cs="Calibri"/>
        </w:rPr>
        <w:t xml:space="preserve">services they provide </w:t>
      </w:r>
      <w:r w:rsidR="0018661F" w:rsidRPr="00BC7A12">
        <w:rPr>
          <w:rFonts w:cs="Calibri"/>
        </w:rPr>
        <w:t xml:space="preserve">to human </w:t>
      </w:r>
      <w:r w:rsidR="00F01DA6" w:rsidRPr="00BC7A12">
        <w:rPr>
          <w:rFonts w:cs="Calibri"/>
        </w:rPr>
        <w:t xml:space="preserve">property from </w:t>
      </w:r>
      <w:r w:rsidR="0018661F" w:rsidRPr="00BC7A12">
        <w:rPr>
          <w:rFonts w:cs="Calibri"/>
        </w:rPr>
        <w:t xml:space="preserve">natural </w:t>
      </w:r>
      <w:r w:rsidR="00646D13" w:rsidRPr="00BC7A12">
        <w:rPr>
          <w:rFonts w:cs="Calibri"/>
        </w:rPr>
        <w:t>hazards</w:t>
      </w:r>
      <w:r w:rsidRPr="00BC7A12">
        <w:rPr>
          <w:rFonts w:cs="Calibri"/>
        </w:rPr>
        <w:t xml:space="preserve"> </w:t>
      </w:r>
      <w:r w:rsidR="0044636D" w:rsidRPr="00BC7A12">
        <w:rPr>
          <w:rFonts w:cs="Calibri"/>
        </w:rPr>
        <w:t xml:space="preserve">such as storms </w:t>
      </w:r>
      <w:r w:rsidRPr="00BC7A12">
        <w:rPr>
          <w:rFonts w:cs="Calibri"/>
        </w:rPr>
        <w:t xml:space="preserve">(e.g. cyclones, </w:t>
      </w:r>
      <w:r w:rsidR="0018661F" w:rsidRPr="00BC7A12">
        <w:rPr>
          <w:rFonts w:cs="Calibri"/>
        </w:rPr>
        <w:t>storm surge)</w:t>
      </w:r>
      <w:r w:rsidR="002E702E">
        <w:rPr>
          <w:rFonts w:cs="Calibri"/>
        </w:rPr>
        <w:t>, including</w:t>
      </w:r>
      <w:r w:rsidR="006E1243">
        <w:rPr>
          <w:rFonts w:cs="Calibri"/>
        </w:rPr>
        <w:t xml:space="preserve"> </w:t>
      </w:r>
      <w:r w:rsidR="0044636D" w:rsidRPr="00BC7A12">
        <w:rPr>
          <w:rFonts w:cs="Calibri"/>
        </w:rPr>
        <w:t xml:space="preserve">long term hazards </w:t>
      </w:r>
      <w:r w:rsidR="00F01DA6" w:rsidRPr="00BC7A12">
        <w:rPr>
          <w:rFonts w:cs="Calibri"/>
        </w:rPr>
        <w:t xml:space="preserve">(e.g. sea </w:t>
      </w:r>
      <w:r w:rsidR="006A51A8" w:rsidRPr="00BC7A12">
        <w:rPr>
          <w:rFonts w:cs="Calibri"/>
        </w:rPr>
        <w:t>level rise</w:t>
      </w:r>
      <w:r w:rsidR="006E1243">
        <w:rPr>
          <w:rFonts w:cs="Calibri"/>
        </w:rPr>
        <w:t xml:space="preserve"> </w:t>
      </w:r>
      <w:r w:rsidR="002E702E">
        <w:rPr>
          <w:rFonts w:cs="Calibri"/>
        </w:rPr>
        <w:t>subsidence</w:t>
      </w:r>
      <w:r w:rsidR="00F01DA6" w:rsidRPr="00BC7A12">
        <w:rPr>
          <w:rFonts w:cs="Calibri"/>
        </w:rPr>
        <w:t>)</w:t>
      </w:r>
      <w:r w:rsidR="00A77A26">
        <w:rPr>
          <w:rFonts w:cs="Calibri"/>
        </w:rPr>
        <w:t xml:space="preserve"> </w:t>
      </w:r>
      <w:r w:rsidR="00A77A26" w:rsidRPr="00BC7A12">
        <w:rPr>
          <w:rFonts w:cs="Calibri"/>
        </w:rPr>
        <w:fldChar w:fldCharType="begin" w:fldLock="1"/>
      </w:r>
      <w:r w:rsidR="00031DEB">
        <w:rPr>
          <w:rFonts w:cs="Calibri"/>
        </w:rPr>
        <w:instrText>ADDIN CSL_CITATION {"citationItems":[{"id":"ITEM-1","itemData":{"abstract":"Flying Fish Point is located north of the Johnstone River mouth in Queensland, downstream of Innisfail in the Cassowary Coast Regional Council area, and has a well-documented history of shoreline erosion/recession. In response, Council has undertaken a variety of mitigation measures over time, including the construction of rock revetments. In early 2017, Council resolved to remediate the existing rock revetment from William to Ruby Street at Flying Fish Point due to poor structure condition. While the design and construction of conventional rock revetments is relatively established, the project became more unique based on requirements from Council to incorporate 'green engineering' design through the application of fish friendly features and other innovative measures. In response, Council and SMEC collaborated with James Cook University's TropWATER division during the revetment design process, with the view to increasing marine habitat and improving aesthetic and environmental values for the community. Council's designer, SMEC, faced a number of challenges throughout the project, ensuring enhanced environmental outcomes did not compromise structural function, performance and statutory tidal works requirements. This paper summarises the 'green engineering', fish friendly features and other innovative measures adopted during this project.","author":[{"dropping-particle":"","family":"Folan","given":"Anthony","non-dropping-particle":"","parse-names":false,"suffix":""},{"dropping-particle":"","family":"Fischer","given":"Justin","non-dropping-particle":"","parse-names":false,"suffix":""},{"dropping-particle":"","family":"Waltham","given":"N.J.","non-dropping-particle":"","parse-names":false,"suffix":""},{"dropping-particle":"","family":"Horton","given":"Peter","non-dropping-particle":"","parse-names":false,"suffix":""}],"container-title":"Australasian Coasts and Ports 2019 Conference","id":"ITEM-1","issue":"September","issued":{"date-parts":[["2019"]]},"page":"411-417","title":"Flying fish point rock revetment upgrade: Application of 'green engineering', fish friendly features and other innovative measures","type":"article-journal"},"uris":["http://www.mendeley.com/documents/?uuid=e28a9c51-9132-4bc2-bfc2-95164f57c76f"]},{"id":"ITEM-2","itemData":{"author":[{"dropping-particle":"","family":"Taylor","given":"Matthew D.","non-dropping-particle":"","parse-names":false,"suffix":""},{"dropping-particle":"","family":"Creighton","given":"C.","non-dropping-particle":"","parse-names":false,"suffix":""}],"container-title":"Wetlands","id":"ITEM-2","issue":"6","issued":{"date-parts":[["2018"]]},"page":"1199-1209","title":"Estimating the potential fishery benefits from targeted habitat repair: a case study of school prawn (Metapenaeus macleayi) in the lower Clarence River estuary","type":"article-journal","volume":"38"},"uris":["http://www.mendeley.com/documents/?uuid=ca61cd88-0c2d-419b-a1c4-8a6168fdf72a"]}],"mendeley":{"formattedCitation":"(Folan et al. 2019, Taylor &amp; Creighton 2018)","plainTextFormattedCitation":"(Folan et al. 2019, Taylor &amp; Creighton 2018)","previouslyFormattedCitation":"(Folan et al. 2019, Taylor &amp; Creighton 2018)"},"properties":{"noteIndex":0},"schema":"https://github.com/citation-style-language/schema/raw/master/csl-citation.json"}</w:instrText>
      </w:r>
      <w:r w:rsidR="00A77A26" w:rsidRPr="00BC7A12">
        <w:rPr>
          <w:rFonts w:cs="Calibri"/>
        </w:rPr>
        <w:fldChar w:fldCharType="separate"/>
      </w:r>
      <w:r w:rsidR="00A77A26" w:rsidRPr="00A77A26">
        <w:rPr>
          <w:rFonts w:cs="Calibri"/>
          <w:noProof/>
        </w:rPr>
        <w:t>(Folan et al. 2019, Taylor &amp; Creighton 2018)</w:t>
      </w:r>
      <w:r w:rsidR="00A77A26" w:rsidRPr="00BC7A12">
        <w:rPr>
          <w:rFonts w:cs="Calibri"/>
        </w:rPr>
        <w:fldChar w:fldCharType="end"/>
      </w:r>
      <w:r w:rsidR="00A77A26">
        <w:rPr>
          <w:rFonts w:cs="Calibri"/>
        </w:rPr>
        <w:t xml:space="preserve"> </w:t>
      </w:r>
      <w:r w:rsidR="0018661F" w:rsidRPr="00BC7A12">
        <w:rPr>
          <w:rFonts w:cs="Calibri"/>
        </w:rPr>
        <w:t>.</w:t>
      </w:r>
      <w:r w:rsidRPr="00BC7A12">
        <w:rPr>
          <w:rFonts w:cs="Calibri"/>
        </w:rPr>
        <w:t xml:space="preserve"> </w:t>
      </w:r>
    </w:p>
    <w:p w14:paraId="36EE11D2" w14:textId="0B7DCF77" w:rsidR="00BD7F8B" w:rsidRPr="00BC7A12" w:rsidRDefault="006A51A8" w:rsidP="00F90678">
      <w:pPr>
        <w:rPr>
          <w:rFonts w:cs="Calibri"/>
        </w:rPr>
      </w:pPr>
      <w:r w:rsidRPr="00BC7A12">
        <w:rPr>
          <w:rFonts w:cs="Calibri"/>
        </w:rPr>
        <w:t>M</w:t>
      </w:r>
      <w:r w:rsidR="00BD7F8B" w:rsidRPr="00BC7A12">
        <w:rPr>
          <w:rFonts w:cs="Calibri"/>
        </w:rPr>
        <w:t xml:space="preserve">anaging </w:t>
      </w:r>
      <w:r w:rsidR="0025569A" w:rsidRPr="00BC7A12">
        <w:rPr>
          <w:rFonts w:cs="Calibri"/>
        </w:rPr>
        <w:t>and</w:t>
      </w:r>
      <w:r w:rsidR="00F01DA6" w:rsidRPr="00BC7A12">
        <w:rPr>
          <w:rFonts w:cs="Calibri"/>
        </w:rPr>
        <w:t xml:space="preserve"> restoring coastal wetlands</w:t>
      </w:r>
      <w:r w:rsidR="0025569A" w:rsidRPr="00BC7A12">
        <w:rPr>
          <w:rFonts w:cs="Calibri"/>
        </w:rPr>
        <w:t xml:space="preserve"> is </w:t>
      </w:r>
      <w:r w:rsidR="00BD7F8B" w:rsidRPr="00BC7A12">
        <w:rPr>
          <w:rFonts w:cs="Calibri"/>
        </w:rPr>
        <w:t>primarily done at the local leve</w:t>
      </w:r>
      <w:r w:rsidR="0018661F" w:rsidRPr="00BC7A12">
        <w:rPr>
          <w:rFonts w:cs="Calibri"/>
        </w:rPr>
        <w:t>l through zoning</w:t>
      </w:r>
      <w:r w:rsidRPr="00BC7A12">
        <w:rPr>
          <w:rFonts w:cs="Calibri"/>
        </w:rPr>
        <w:t xml:space="preserve">, </w:t>
      </w:r>
      <w:proofErr w:type="gramStart"/>
      <w:r w:rsidRPr="00BC7A12">
        <w:rPr>
          <w:rFonts w:cs="Calibri"/>
        </w:rPr>
        <w:t>management</w:t>
      </w:r>
      <w:proofErr w:type="gramEnd"/>
      <w:r w:rsidRPr="00BC7A12">
        <w:rPr>
          <w:rFonts w:cs="Calibri"/>
        </w:rPr>
        <w:t xml:space="preserve"> </w:t>
      </w:r>
      <w:r w:rsidR="0018661F" w:rsidRPr="00BC7A12">
        <w:rPr>
          <w:rFonts w:cs="Calibri"/>
        </w:rPr>
        <w:t>and related</w:t>
      </w:r>
      <w:r w:rsidR="0025569A" w:rsidRPr="00BC7A12">
        <w:rPr>
          <w:rFonts w:cs="Calibri"/>
        </w:rPr>
        <w:t xml:space="preserve"> regulatory steps</w:t>
      </w:r>
      <w:r w:rsidR="00A77A26">
        <w:rPr>
          <w:rFonts w:cs="Calibri"/>
        </w:rPr>
        <w:t xml:space="preserve">, with state and </w:t>
      </w:r>
      <w:r w:rsidR="00567B3A" w:rsidRPr="00BC7A12">
        <w:rPr>
          <w:rFonts w:cs="Calibri"/>
        </w:rPr>
        <w:t xml:space="preserve">federal coordination. </w:t>
      </w:r>
      <w:r w:rsidR="0025569A" w:rsidRPr="00BC7A12">
        <w:rPr>
          <w:rFonts w:cs="Calibri"/>
        </w:rPr>
        <w:t xml:space="preserve">One approach that can support this </w:t>
      </w:r>
      <w:r w:rsidR="00C5079C" w:rsidRPr="00BC7A12">
        <w:rPr>
          <w:rFonts w:cs="Calibri"/>
        </w:rPr>
        <w:t xml:space="preserve">local scale </w:t>
      </w:r>
      <w:r w:rsidR="0018661F" w:rsidRPr="00BC7A12">
        <w:rPr>
          <w:rFonts w:cs="Calibri"/>
        </w:rPr>
        <w:t xml:space="preserve">management is </w:t>
      </w:r>
      <w:r w:rsidR="0025569A" w:rsidRPr="00BC7A12">
        <w:rPr>
          <w:rFonts w:cs="Calibri"/>
        </w:rPr>
        <w:t xml:space="preserve">economic </w:t>
      </w:r>
      <w:r w:rsidR="0018661F" w:rsidRPr="00BC7A12">
        <w:rPr>
          <w:rFonts w:cs="Calibri"/>
        </w:rPr>
        <w:t xml:space="preserve">valuation. Accurate valuation </w:t>
      </w:r>
      <w:r w:rsidR="00F44CE4" w:rsidRPr="00BC7A12">
        <w:rPr>
          <w:rFonts w:cs="Calibri"/>
        </w:rPr>
        <w:t xml:space="preserve">of the ecosystem services coastal wetland provide can </w:t>
      </w:r>
      <w:r w:rsidR="0018661F" w:rsidRPr="00BC7A12">
        <w:rPr>
          <w:rFonts w:cs="Calibri"/>
        </w:rPr>
        <w:t>help decision makers manage the trade</w:t>
      </w:r>
      <w:r w:rsidR="0025569A" w:rsidRPr="00BC7A12">
        <w:rPr>
          <w:rFonts w:cs="Calibri"/>
        </w:rPr>
        <w:t>-</w:t>
      </w:r>
      <w:r w:rsidR="0018661F" w:rsidRPr="00BC7A12">
        <w:rPr>
          <w:rFonts w:cs="Calibri"/>
        </w:rPr>
        <w:t xml:space="preserve">offs among development options. For example, converting a coastal wetland into real estate development </w:t>
      </w:r>
      <w:r w:rsidR="00C5079C" w:rsidRPr="00BC7A12">
        <w:rPr>
          <w:rFonts w:cs="Calibri"/>
        </w:rPr>
        <w:t xml:space="preserve">may </w:t>
      </w:r>
      <w:r w:rsidR="0018661F" w:rsidRPr="00BC7A12">
        <w:rPr>
          <w:rFonts w:cs="Calibri"/>
        </w:rPr>
        <w:t xml:space="preserve">increase economic opportunities for the construction and retail sectors, </w:t>
      </w:r>
      <w:r w:rsidR="00C5079C" w:rsidRPr="00BC7A12">
        <w:rPr>
          <w:rFonts w:cs="Calibri"/>
        </w:rPr>
        <w:t xml:space="preserve">but </w:t>
      </w:r>
      <w:r w:rsidR="0018661F" w:rsidRPr="00BC7A12">
        <w:rPr>
          <w:rFonts w:cs="Calibri"/>
        </w:rPr>
        <w:t>harm the fishing industry</w:t>
      </w:r>
      <w:r w:rsidR="00C5079C" w:rsidRPr="00BC7A12">
        <w:rPr>
          <w:rFonts w:cs="Calibri"/>
        </w:rPr>
        <w:t xml:space="preserve"> through loss of nursery services</w:t>
      </w:r>
      <w:r w:rsidR="0018661F" w:rsidRPr="00BC7A12">
        <w:rPr>
          <w:rFonts w:cs="Calibri"/>
        </w:rPr>
        <w:t xml:space="preserve"> and </w:t>
      </w:r>
      <w:r w:rsidR="00C5079C" w:rsidRPr="00BC7A12">
        <w:rPr>
          <w:rFonts w:cs="Calibri"/>
        </w:rPr>
        <w:t xml:space="preserve">affect </w:t>
      </w:r>
      <w:r w:rsidR="0025569A" w:rsidRPr="00BC7A12">
        <w:rPr>
          <w:rFonts w:cs="Calibri"/>
        </w:rPr>
        <w:t xml:space="preserve">home </w:t>
      </w:r>
      <w:r w:rsidR="00C5079C" w:rsidRPr="00BC7A12">
        <w:rPr>
          <w:rFonts w:cs="Calibri"/>
        </w:rPr>
        <w:t xml:space="preserve">values by </w:t>
      </w:r>
      <w:r w:rsidR="0018661F" w:rsidRPr="00BC7A12">
        <w:rPr>
          <w:rFonts w:cs="Calibri"/>
        </w:rPr>
        <w:t xml:space="preserve">making the area more vulnerable to coastal storms. </w:t>
      </w:r>
      <w:r w:rsidR="0025569A" w:rsidRPr="00BC7A12">
        <w:rPr>
          <w:rFonts w:cs="Calibri"/>
        </w:rPr>
        <w:t>Valuation of impacts of competing development</w:t>
      </w:r>
      <w:r w:rsidR="002E702E">
        <w:rPr>
          <w:rFonts w:cs="Calibri"/>
        </w:rPr>
        <w:t xml:space="preserve"> or retention/restoration</w:t>
      </w:r>
      <w:r w:rsidR="0025569A" w:rsidRPr="00BC7A12">
        <w:rPr>
          <w:rFonts w:cs="Calibri"/>
        </w:rPr>
        <w:t xml:space="preserve"> options </w:t>
      </w:r>
      <w:r w:rsidR="009F797A" w:rsidRPr="00BC7A12">
        <w:rPr>
          <w:rFonts w:cs="Calibri"/>
        </w:rPr>
        <w:t xml:space="preserve">should </w:t>
      </w:r>
      <w:r w:rsidRPr="00BC7A12">
        <w:rPr>
          <w:rFonts w:cs="Calibri"/>
        </w:rPr>
        <w:t xml:space="preserve">deepen </w:t>
      </w:r>
      <w:r w:rsidR="001B5CD7">
        <w:rPr>
          <w:rFonts w:cs="Calibri"/>
        </w:rPr>
        <w:t xml:space="preserve">the </w:t>
      </w:r>
      <w:r w:rsidR="00F90678" w:rsidRPr="00BC7A12">
        <w:rPr>
          <w:rFonts w:cs="Calibri"/>
        </w:rPr>
        <w:t xml:space="preserve">understanding </w:t>
      </w:r>
      <w:r w:rsidR="009F797A" w:rsidRPr="00BC7A12">
        <w:rPr>
          <w:rFonts w:cs="Calibri"/>
        </w:rPr>
        <w:t xml:space="preserve">of the economic advantages and disadvantages </w:t>
      </w:r>
      <w:r w:rsidR="0025569A" w:rsidRPr="00BC7A12">
        <w:rPr>
          <w:rFonts w:cs="Calibri"/>
        </w:rPr>
        <w:t>of each option.</w:t>
      </w:r>
    </w:p>
    <w:p w14:paraId="1D438F88" w14:textId="1F232AB4" w:rsidR="00BD7F8B" w:rsidRPr="00BC7A12" w:rsidRDefault="0025569A" w:rsidP="006436EB">
      <w:pPr>
        <w:spacing w:after="0" w:line="240" w:lineRule="auto"/>
        <w:rPr>
          <w:rFonts w:cs="Calibri"/>
        </w:rPr>
      </w:pPr>
      <w:r w:rsidRPr="00BC7A12">
        <w:rPr>
          <w:rFonts w:cs="Calibri"/>
        </w:rPr>
        <w:t xml:space="preserve">A </w:t>
      </w:r>
      <w:r w:rsidR="00471BC6" w:rsidRPr="00BC7A12">
        <w:rPr>
          <w:rFonts w:cs="Calibri"/>
        </w:rPr>
        <w:t>review</w:t>
      </w:r>
      <w:r w:rsidRPr="00BC7A12">
        <w:rPr>
          <w:rFonts w:cs="Calibri"/>
        </w:rPr>
        <w:t xml:space="preserve"> of the effectiveness of </w:t>
      </w:r>
      <w:r w:rsidR="00F428B6">
        <w:rPr>
          <w:rFonts w:cs="Calibri"/>
        </w:rPr>
        <w:t xml:space="preserve">disaster risk reduction </w:t>
      </w:r>
      <w:r w:rsidRPr="00BC7A12">
        <w:rPr>
          <w:rFonts w:cs="Calibri"/>
        </w:rPr>
        <w:t>valuation approach</w:t>
      </w:r>
      <w:r w:rsidR="002E702E">
        <w:rPr>
          <w:rFonts w:cs="Calibri"/>
        </w:rPr>
        <w:t>es</w:t>
      </w:r>
      <w:r w:rsidRPr="00BC7A12">
        <w:rPr>
          <w:rFonts w:cs="Calibri"/>
        </w:rPr>
        <w:t xml:space="preserve"> </w:t>
      </w:r>
      <w:r w:rsidR="000D3DF6" w:rsidRPr="00BC7A12">
        <w:rPr>
          <w:rFonts w:cs="Calibri"/>
        </w:rPr>
        <w:t xml:space="preserve">in influencing decision making </w:t>
      </w:r>
      <w:r w:rsidRPr="00BC7A12">
        <w:rPr>
          <w:rFonts w:cs="Calibri"/>
        </w:rPr>
        <w:t xml:space="preserve">is warranted. </w:t>
      </w:r>
    </w:p>
    <w:p w14:paraId="75DF4FF5" w14:textId="77777777" w:rsidR="009F797A" w:rsidRPr="00BC7A12" w:rsidRDefault="009F797A">
      <w:pPr>
        <w:spacing w:after="200" w:line="276" w:lineRule="auto"/>
        <w:jc w:val="left"/>
        <w:rPr>
          <w:rFonts w:cs="Calibri"/>
          <w:b/>
          <w:caps/>
          <w:color w:val="156471" w:themeColor="text2"/>
          <w:sz w:val="30"/>
          <w:szCs w:val="30"/>
        </w:rPr>
      </w:pPr>
      <w:r w:rsidRPr="00BC7A12">
        <w:rPr>
          <w:rFonts w:cs="Calibri"/>
        </w:rPr>
        <w:br w:type="page"/>
      </w:r>
    </w:p>
    <w:p w14:paraId="504748C6" w14:textId="2ABAB0B4" w:rsidR="00CE3B13" w:rsidRPr="00BC7A12" w:rsidRDefault="00320DDC" w:rsidP="0074317D">
      <w:pPr>
        <w:pStyle w:val="Heading1"/>
        <w:rPr>
          <w:rFonts w:ascii="Calibri" w:hAnsi="Calibri" w:cs="Calibri"/>
        </w:rPr>
      </w:pPr>
      <w:bookmarkStart w:id="8" w:name="_Toc46822289"/>
      <w:r w:rsidRPr="00BC7A12">
        <w:rPr>
          <w:rFonts w:ascii="Calibri" w:hAnsi="Calibri" w:cs="Calibri"/>
        </w:rPr>
        <w:lastRenderedPageBreak/>
        <w:t>S</w:t>
      </w:r>
      <w:r w:rsidR="0074317D" w:rsidRPr="00BC7A12">
        <w:rPr>
          <w:rFonts w:ascii="Calibri" w:hAnsi="Calibri" w:cs="Calibri"/>
        </w:rPr>
        <w:t>cope of the report</w:t>
      </w:r>
      <w:bookmarkEnd w:id="8"/>
      <w:r w:rsidR="00C97AD1" w:rsidRPr="00BC7A12">
        <w:rPr>
          <w:rFonts w:ascii="Calibri" w:hAnsi="Calibri" w:cs="Calibri"/>
        </w:rPr>
        <w:t xml:space="preserve"> </w:t>
      </w:r>
    </w:p>
    <w:p w14:paraId="1B6035B0" w14:textId="68E44DDD" w:rsidR="0074317D" w:rsidRPr="00BC7A12" w:rsidRDefault="0074317D" w:rsidP="0074317D">
      <w:pPr>
        <w:pStyle w:val="Heading2"/>
        <w:rPr>
          <w:rFonts w:cs="Calibri"/>
        </w:rPr>
      </w:pPr>
      <w:bookmarkStart w:id="9" w:name="_Toc46822290"/>
      <w:r w:rsidRPr="00BC7A12">
        <w:rPr>
          <w:rFonts w:cs="Calibri"/>
        </w:rPr>
        <w:t>Process</w:t>
      </w:r>
      <w:bookmarkEnd w:id="9"/>
    </w:p>
    <w:p w14:paraId="02FCA6C3" w14:textId="7A5F6906" w:rsidR="0074317D" w:rsidRPr="00BC7A12" w:rsidRDefault="001B38CB" w:rsidP="009B7047">
      <w:pPr>
        <w:rPr>
          <w:rFonts w:cs="Calibri"/>
        </w:rPr>
      </w:pPr>
      <w:r w:rsidRPr="00BC7A12">
        <w:rPr>
          <w:rFonts w:cs="Calibri"/>
        </w:rPr>
        <w:t>The Australian Ramsar Administrative Authority (the Authority) within the Department of Agriculture, Water and Environment (DAWE) commissioned this report t</w:t>
      </w:r>
      <w:r w:rsidR="00385995" w:rsidRPr="00BC7A12">
        <w:rPr>
          <w:rFonts w:cs="Calibri"/>
        </w:rPr>
        <w:t xml:space="preserve">o explore the </w:t>
      </w:r>
      <w:r w:rsidR="000D3DF6" w:rsidRPr="00BC7A12">
        <w:rPr>
          <w:rFonts w:cs="Calibri"/>
        </w:rPr>
        <w:t xml:space="preserve">techniques, </w:t>
      </w:r>
      <w:r w:rsidRPr="00BC7A12">
        <w:rPr>
          <w:rFonts w:cs="Calibri"/>
        </w:rPr>
        <w:t xml:space="preserve">approaches, </w:t>
      </w:r>
      <w:proofErr w:type="gramStart"/>
      <w:r w:rsidRPr="00BC7A12">
        <w:rPr>
          <w:rFonts w:cs="Calibri"/>
        </w:rPr>
        <w:t>results</w:t>
      </w:r>
      <w:proofErr w:type="gramEnd"/>
      <w:r w:rsidRPr="00BC7A12">
        <w:rPr>
          <w:rFonts w:cs="Calibri"/>
        </w:rPr>
        <w:t xml:space="preserve"> and </w:t>
      </w:r>
      <w:r w:rsidR="00385995" w:rsidRPr="00BC7A12">
        <w:rPr>
          <w:rFonts w:cs="Calibri"/>
        </w:rPr>
        <w:t xml:space="preserve">utility of </w:t>
      </w:r>
      <w:r w:rsidR="00691590" w:rsidRPr="00BC7A12">
        <w:rPr>
          <w:rFonts w:cs="Calibri"/>
        </w:rPr>
        <w:t xml:space="preserve">valuation of disaster risk reduction services </w:t>
      </w:r>
      <w:r w:rsidR="000D3DF6" w:rsidRPr="00BC7A12">
        <w:rPr>
          <w:rFonts w:cs="Calibri"/>
        </w:rPr>
        <w:t xml:space="preserve">ecosystem services provide </w:t>
      </w:r>
      <w:r w:rsidRPr="00BC7A12">
        <w:rPr>
          <w:rFonts w:cs="Calibri"/>
        </w:rPr>
        <w:t>by</w:t>
      </w:r>
      <w:r w:rsidR="00EA20B6" w:rsidRPr="00BC7A12">
        <w:rPr>
          <w:rFonts w:cs="Calibri"/>
        </w:rPr>
        <w:t xml:space="preserve"> </w:t>
      </w:r>
      <w:r w:rsidR="00691590" w:rsidRPr="00BC7A12">
        <w:rPr>
          <w:rFonts w:cs="Calibri"/>
        </w:rPr>
        <w:t>coastal wetlands. The Authority</w:t>
      </w:r>
      <w:r w:rsidR="00D46ED3" w:rsidRPr="00BC7A12">
        <w:rPr>
          <w:rFonts w:cs="Calibri"/>
        </w:rPr>
        <w:t xml:space="preserve"> coordinates implementation of the Ramsar Convention</w:t>
      </w:r>
      <w:r w:rsidRPr="00BC7A12">
        <w:rPr>
          <w:rFonts w:cs="Calibri"/>
        </w:rPr>
        <w:t xml:space="preserve"> on</w:t>
      </w:r>
      <w:r w:rsidR="00D46ED3" w:rsidRPr="00BC7A12">
        <w:rPr>
          <w:rFonts w:cs="Calibri"/>
        </w:rPr>
        <w:t xml:space="preserve"> Wetlands in Australia</w:t>
      </w:r>
      <w:r w:rsidR="000D3DF6" w:rsidRPr="00BC7A12">
        <w:rPr>
          <w:rFonts w:cs="Calibri"/>
        </w:rPr>
        <w:t xml:space="preserve"> and supports Ramsar </w:t>
      </w:r>
      <w:r w:rsidR="00390B03" w:rsidRPr="00BC7A12">
        <w:rPr>
          <w:rFonts w:cs="Calibri"/>
        </w:rPr>
        <w:t>Oceania Region members</w:t>
      </w:r>
      <w:r w:rsidR="000D3DF6" w:rsidRPr="00BC7A12">
        <w:rPr>
          <w:rFonts w:cs="Calibri"/>
        </w:rPr>
        <w:t xml:space="preserve"> from Pacific island nations. </w:t>
      </w:r>
    </w:p>
    <w:p w14:paraId="7B12E879" w14:textId="27CA6824" w:rsidR="009B7047" w:rsidRPr="00BC7A12" w:rsidRDefault="00471BC6" w:rsidP="009B7047">
      <w:pPr>
        <w:rPr>
          <w:rFonts w:cs="Calibri"/>
        </w:rPr>
      </w:pPr>
      <w:r w:rsidRPr="00BC7A12">
        <w:rPr>
          <w:rFonts w:cs="Calibri"/>
        </w:rPr>
        <w:t xml:space="preserve">The report provides </w:t>
      </w:r>
      <w:r w:rsidR="00385995" w:rsidRPr="00BC7A12">
        <w:rPr>
          <w:rFonts w:cs="Calibri"/>
        </w:rPr>
        <w:t>guidance</w:t>
      </w:r>
      <w:r w:rsidR="00691590" w:rsidRPr="00BC7A12">
        <w:rPr>
          <w:rFonts w:cs="Calibri"/>
        </w:rPr>
        <w:t xml:space="preserve"> to DAWE</w:t>
      </w:r>
      <w:r w:rsidR="00385995" w:rsidRPr="00BC7A12">
        <w:rPr>
          <w:rFonts w:cs="Calibri"/>
        </w:rPr>
        <w:t xml:space="preserve"> in advancing </w:t>
      </w:r>
      <w:r w:rsidR="009B7047" w:rsidRPr="00BC7A12">
        <w:rPr>
          <w:rFonts w:cs="Calibri"/>
        </w:rPr>
        <w:t xml:space="preserve">valuation and </w:t>
      </w:r>
      <w:r w:rsidR="00385995" w:rsidRPr="00BC7A12">
        <w:rPr>
          <w:rFonts w:cs="Calibri"/>
        </w:rPr>
        <w:t xml:space="preserve">related </w:t>
      </w:r>
      <w:r w:rsidR="009B7047" w:rsidRPr="00BC7A12">
        <w:rPr>
          <w:rFonts w:cs="Calibri"/>
        </w:rPr>
        <w:t>data</w:t>
      </w:r>
      <w:r w:rsidRPr="00BC7A12">
        <w:rPr>
          <w:rFonts w:cs="Calibri"/>
        </w:rPr>
        <w:t xml:space="preserve"> management so that </w:t>
      </w:r>
      <w:r w:rsidR="00385995" w:rsidRPr="00BC7A12">
        <w:rPr>
          <w:rFonts w:cs="Calibri"/>
        </w:rPr>
        <w:t xml:space="preserve">the </w:t>
      </w:r>
      <w:r w:rsidR="009B7047" w:rsidRPr="00BC7A12">
        <w:rPr>
          <w:rFonts w:cs="Calibri"/>
        </w:rPr>
        <w:t xml:space="preserve">full value of Australia’s coastal wetlands in providing disaster risk reduction services </w:t>
      </w:r>
      <w:r w:rsidR="00385995" w:rsidRPr="00BC7A12">
        <w:rPr>
          <w:rFonts w:cs="Calibri"/>
        </w:rPr>
        <w:t>can be realised</w:t>
      </w:r>
      <w:r w:rsidR="007C59AD" w:rsidRPr="00BC7A12">
        <w:rPr>
          <w:rFonts w:cs="Calibri"/>
        </w:rPr>
        <w:t xml:space="preserve"> in decision making</w:t>
      </w:r>
      <w:r w:rsidR="009B7047" w:rsidRPr="00BC7A12">
        <w:rPr>
          <w:rFonts w:cs="Calibri"/>
        </w:rPr>
        <w:t>. Th</w:t>
      </w:r>
      <w:r w:rsidR="0074317D" w:rsidRPr="00BC7A12">
        <w:rPr>
          <w:rFonts w:cs="Calibri"/>
        </w:rPr>
        <w:t>e</w:t>
      </w:r>
      <w:r w:rsidR="009B7047" w:rsidRPr="00BC7A12">
        <w:rPr>
          <w:rFonts w:cs="Calibri"/>
        </w:rPr>
        <w:t xml:space="preserve"> </w:t>
      </w:r>
      <w:r w:rsidR="00FE2C07" w:rsidRPr="00BC7A12">
        <w:rPr>
          <w:rFonts w:cs="Calibri"/>
        </w:rPr>
        <w:t xml:space="preserve">report </w:t>
      </w:r>
      <w:r w:rsidR="00BE6072" w:rsidRPr="00BC7A12">
        <w:rPr>
          <w:rFonts w:cs="Calibri"/>
        </w:rPr>
        <w:t>was developed in four phases.</w:t>
      </w:r>
      <w:r w:rsidR="00DF233E" w:rsidRPr="00BC7A12">
        <w:rPr>
          <w:rFonts w:cs="Calibri"/>
        </w:rPr>
        <w:t xml:space="preserve"> </w:t>
      </w:r>
      <w:r w:rsidR="00385995" w:rsidRPr="00BC7A12">
        <w:rPr>
          <w:rFonts w:cs="Calibri"/>
        </w:rPr>
        <w:t xml:space="preserve">They </w:t>
      </w:r>
      <w:r w:rsidR="0074317D" w:rsidRPr="00BC7A12">
        <w:rPr>
          <w:rFonts w:cs="Calibri"/>
        </w:rPr>
        <w:t>we</w:t>
      </w:r>
      <w:r w:rsidR="00385995" w:rsidRPr="00BC7A12">
        <w:rPr>
          <w:rFonts w:cs="Calibri"/>
        </w:rPr>
        <w:t>re:</w:t>
      </w:r>
    </w:p>
    <w:p w14:paraId="1F6D6F08" w14:textId="43936E77" w:rsidR="009B7047" w:rsidRPr="00BC7A12" w:rsidRDefault="009B7047" w:rsidP="00413DAD">
      <w:pPr>
        <w:pStyle w:val="ListParagraph"/>
        <w:numPr>
          <w:ilvl w:val="0"/>
          <w:numId w:val="16"/>
        </w:numPr>
        <w:rPr>
          <w:rFonts w:cs="Calibri"/>
        </w:rPr>
      </w:pPr>
      <w:r w:rsidRPr="00BC7A12">
        <w:rPr>
          <w:rFonts w:cs="Calibri"/>
        </w:rPr>
        <w:t xml:space="preserve">In phase 1, global best practices on coastal wetlands ecosystem services identification, measurement and valuation </w:t>
      </w:r>
      <w:r w:rsidR="00C97AD1" w:rsidRPr="00BC7A12">
        <w:rPr>
          <w:rFonts w:cs="Calibri"/>
        </w:rPr>
        <w:t xml:space="preserve">were </w:t>
      </w:r>
      <w:r w:rsidRPr="00BC7A12">
        <w:rPr>
          <w:rFonts w:cs="Calibri"/>
        </w:rPr>
        <w:t xml:space="preserve">captured, as well as the needs of institutions that make decisions regarding this natural capital. </w:t>
      </w:r>
    </w:p>
    <w:p w14:paraId="44495029" w14:textId="7B947DA0" w:rsidR="009B7047" w:rsidRPr="00BC7A12" w:rsidRDefault="009B7047" w:rsidP="00413DAD">
      <w:pPr>
        <w:pStyle w:val="ListParagraph"/>
        <w:numPr>
          <w:ilvl w:val="0"/>
          <w:numId w:val="16"/>
        </w:numPr>
        <w:rPr>
          <w:rFonts w:cs="Calibri"/>
        </w:rPr>
      </w:pPr>
      <w:r w:rsidRPr="00BC7A12">
        <w:rPr>
          <w:rFonts w:cs="Calibri"/>
        </w:rPr>
        <w:t xml:space="preserve">In phase 2, Australia’s </w:t>
      </w:r>
      <w:r w:rsidR="00385995" w:rsidRPr="00BC7A12">
        <w:rPr>
          <w:rFonts w:cs="Calibri"/>
        </w:rPr>
        <w:t xml:space="preserve">experience with valuation of </w:t>
      </w:r>
      <w:r w:rsidR="00840160">
        <w:rPr>
          <w:rFonts w:cs="Calibri"/>
        </w:rPr>
        <w:t>disaster risk reduction services</w:t>
      </w:r>
      <w:r w:rsidR="00385995" w:rsidRPr="00BC7A12">
        <w:rPr>
          <w:rFonts w:cs="Calibri"/>
        </w:rPr>
        <w:t xml:space="preserve"> for </w:t>
      </w:r>
      <w:r w:rsidRPr="00BC7A12">
        <w:rPr>
          <w:rFonts w:cs="Calibri"/>
        </w:rPr>
        <w:t xml:space="preserve">coastal wetlands </w:t>
      </w:r>
      <w:r w:rsidR="007C59AD" w:rsidRPr="00BC7A12">
        <w:rPr>
          <w:rFonts w:cs="Calibri"/>
        </w:rPr>
        <w:t>was</w:t>
      </w:r>
      <w:r w:rsidR="00B83123" w:rsidRPr="00BC7A12">
        <w:rPr>
          <w:rFonts w:cs="Calibri"/>
        </w:rPr>
        <w:t xml:space="preserve"> </w:t>
      </w:r>
      <w:r w:rsidR="00385995" w:rsidRPr="00BC7A12">
        <w:rPr>
          <w:rFonts w:cs="Calibri"/>
        </w:rPr>
        <w:t>captured.</w:t>
      </w:r>
      <w:r w:rsidRPr="00BC7A12">
        <w:rPr>
          <w:rFonts w:cs="Calibri"/>
        </w:rPr>
        <w:t xml:space="preserve"> </w:t>
      </w:r>
      <w:r w:rsidR="00385995" w:rsidRPr="00BC7A12">
        <w:rPr>
          <w:rFonts w:cs="Calibri"/>
        </w:rPr>
        <w:t>V</w:t>
      </w:r>
      <w:r w:rsidRPr="00BC7A12">
        <w:rPr>
          <w:rFonts w:cs="Calibri"/>
        </w:rPr>
        <w:t xml:space="preserve">aluation methods used </w:t>
      </w:r>
      <w:r w:rsidR="00DF233E" w:rsidRPr="00BC7A12">
        <w:rPr>
          <w:rFonts w:cs="Calibri"/>
        </w:rPr>
        <w:t xml:space="preserve">were </w:t>
      </w:r>
      <w:r w:rsidRPr="00BC7A12">
        <w:rPr>
          <w:rFonts w:cs="Calibri"/>
        </w:rPr>
        <w:t xml:space="preserve">reviewed for their quality and their </w:t>
      </w:r>
      <w:r w:rsidR="000D3DF6" w:rsidRPr="00BC7A12">
        <w:rPr>
          <w:rFonts w:cs="Calibri"/>
        </w:rPr>
        <w:t xml:space="preserve">ability to influence </w:t>
      </w:r>
      <w:r w:rsidR="00C97AD1" w:rsidRPr="00BC7A12">
        <w:rPr>
          <w:rFonts w:cs="Calibri"/>
        </w:rPr>
        <w:t>decision making.</w:t>
      </w:r>
      <w:r w:rsidRPr="00BC7A12">
        <w:rPr>
          <w:rFonts w:cs="Calibri"/>
        </w:rPr>
        <w:t xml:space="preserve"> </w:t>
      </w:r>
    </w:p>
    <w:p w14:paraId="4900FDB7" w14:textId="0F7FF224" w:rsidR="00341FA2" w:rsidRPr="00BC7A12" w:rsidRDefault="009B7047" w:rsidP="00413DAD">
      <w:pPr>
        <w:pStyle w:val="ListParagraph"/>
        <w:numPr>
          <w:ilvl w:val="0"/>
          <w:numId w:val="16"/>
        </w:numPr>
        <w:rPr>
          <w:rFonts w:cs="Calibri"/>
        </w:rPr>
      </w:pPr>
      <w:r w:rsidRPr="00BC7A12">
        <w:rPr>
          <w:rFonts w:cs="Calibri"/>
        </w:rPr>
        <w:t xml:space="preserve">In phase 3, the relevant knowledge gaps for Australia </w:t>
      </w:r>
      <w:r w:rsidR="00B83123" w:rsidRPr="00BC7A12">
        <w:rPr>
          <w:rFonts w:cs="Calibri"/>
        </w:rPr>
        <w:t xml:space="preserve">were </w:t>
      </w:r>
      <w:r w:rsidRPr="00BC7A12">
        <w:rPr>
          <w:rFonts w:cs="Calibri"/>
        </w:rPr>
        <w:t xml:space="preserve">identified along with the needs for data and improved valuation methods. This </w:t>
      </w:r>
      <w:r w:rsidR="00457DD5" w:rsidRPr="00BC7A12">
        <w:rPr>
          <w:rFonts w:cs="Calibri"/>
        </w:rPr>
        <w:t xml:space="preserve">included </w:t>
      </w:r>
      <w:r w:rsidRPr="00BC7A12">
        <w:rPr>
          <w:rFonts w:cs="Calibri"/>
        </w:rPr>
        <w:t>a review of possible solutions to filling these gaps, including the potential links to</w:t>
      </w:r>
      <w:r w:rsidR="002F7066" w:rsidRPr="00BC7A12">
        <w:rPr>
          <w:rFonts w:cs="Calibri"/>
        </w:rPr>
        <w:t xml:space="preserve"> supporting standards and best practices</w:t>
      </w:r>
      <w:r w:rsidRPr="00BC7A12">
        <w:rPr>
          <w:rFonts w:cs="Calibri"/>
        </w:rPr>
        <w:t xml:space="preserve">. Recommendations </w:t>
      </w:r>
      <w:r w:rsidR="00341FA2" w:rsidRPr="00BC7A12">
        <w:rPr>
          <w:rFonts w:cs="Calibri"/>
        </w:rPr>
        <w:t xml:space="preserve">were </w:t>
      </w:r>
      <w:r w:rsidRPr="00BC7A12">
        <w:rPr>
          <w:rFonts w:cs="Calibri"/>
        </w:rPr>
        <w:t xml:space="preserve">made based on this gap analysis. </w:t>
      </w:r>
    </w:p>
    <w:p w14:paraId="6CB1A2C2" w14:textId="198C0642" w:rsidR="00EF2774" w:rsidRPr="00BC7A12" w:rsidRDefault="009B7047" w:rsidP="00F90678">
      <w:pPr>
        <w:pStyle w:val="ListParagraph"/>
        <w:numPr>
          <w:ilvl w:val="0"/>
          <w:numId w:val="16"/>
        </w:numPr>
        <w:rPr>
          <w:rFonts w:cs="Calibri"/>
        </w:rPr>
      </w:pPr>
      <w:r w:rsidRPr="00BC7A12">
        <w:rPr>
          <w:rFonts w:cs="Calibri"/>
        </w:rPr>
        <w:t xml:space="preserve">In phase 4, the totality of this research and analysis </w:t>
      </w:r>
      <w:r w:rsidR="0078453A" w:rsidRPr="00BC7A12">
        <w:rPr>
          <w:rFonts w:cs="Calibri"/>
        </w:rPr>
        <w:t xml:space="preserve">was captured in this </w:t>
      </w:r>
      <w:r w:rsidRPr="00BC7A12">
        <w:rPr>
          <w:rFonts w:cs="Calibri"/>
        </w:rPr>
        <w:t>report</w:t>
      </w:r>
      <w:r w:rsidR="0078453A" w:rsidRPr="00BC7A12">
        <w:rPr>
          <w:rFonts w:cs="Calibri"/>
        </w:rPr>
        <w:t xml:space="preserve">, two </w:t>
      </w:r>
      <w:r w:rsidR="007E6ACE" w:rsidRPr="00BC7A12">
        <w:rPr>
          <w:rFonts w:cs="Calibri"/>
        </w:rPr>
        <w:t>MS Excel workboo</w:t>
      </w:r>
      <w:r w:rsidR="0078453A" w:rsidRPr="00BC7A12">
        <w:rPr>
          <w:rFonts w:cs="Calibri"/>
        </w:rPr>
        <w:t xml:space="preserve">ks </w:t>
      </w:r>
      <w:r w:rsidR="007E6ACE" w:rsidRPr="00BC7A12">
        <w:rPr>
          <w:rFonts w:cs="Calibri"/>
        </w:rPr>
        <w:t xml:space="preserve">and a bibliography </w:t>
      </w:r>
      <w:r w:rsidR="00F90678" w:rsidRPr="00BC7A12">
        <w:rPr>
          <w:rFonts w:cs="Calibri"/>
        </w:rPr>
        <w:t xml:space="preserve">of valuation </w:t>
      </w:r>
      <w:r w:rsidR="007E6ACE" w:rsidRPr="00BC7A12">
        <w:rPr>
          <w:rFonts w:cs="Calibri"/>
        </w:rPr>
        <w:t xml:space="preserve">studies. </w:t>
      </w:r>
    </w:p>
    <w:p w14:paraId="2BD8C5D4" w14:textId="77777777" w:rsidR="0074317D" w:rsidRPr="00BC7A12" w:rsidRDefault="0074317D" w:rsidP="00485F8C">
      <w:pPr>
        <w:rPr>
          <w:rFonts w:cs="Calibri"/>
        </w:rPr>
      </w:pPr>
    </w:p>
    <w:p w14:paraId="78AF4DEF" w14:textId="7834A5EE" w:rsidR="00341FA2" w:rsidRPr="00BC7A12" w:rsidRDefault="00341FA2" w:rsidP="00485F8C">
      <w:pPr>
        <w:pStyle w:val="Heading2"/>
        <w:rPr>
          <w:rFonts w:cs="Calibri"/>
        </w:rPr>
      </w:pPr>
      <w:bookmarkStart w:id="10" w:name="_Toc46822291"/>
      <w:r w:rsidRPr="00BC7A12">
        <w:rPr>
          <w:rFonts w:cs="Calibri"/>
        </w:rPr>
        <w:t>Scope</w:t>
      </w:r>
      <w:bookmarkEnd w:id="10"/>
      <w:r w:rsidRPr="00BC7A12">
        <w:rPr>
          <w:rFonts w:cs="Calibri"/>
        </w:rPr>
        <w:t xml:space="preserve"> </w:t>
      </w:r>
    </w:p>
    <w:p w14:paraId="1A832606" w14:textId="77777777" w:rsidR="00657E34" w:rsidRDefault="00A31B07" w:rsidP="00657E34">
      <w:pPr>
        <w:rPr>
          <w:rFonts w:cs="Calibri"/>
        </w:rPr>
      </w:pPr>
      <w:r w:rsidRPr="00BC7A12">
        <w:rPr>
          <w:rFonts w:cs="Calibri"/>
        </w:rPr>
        <w:t xml:space="preserve">This report focuses on the valuation of </w:t>
      </w:r>
      <w:r w:rsidR="008D136B" w:rsidRPr="00BC7A12">
        <w:rPr>
          <w:rFonts w:cs="Calibri"/>
        </w:rPr>
        <w:t xml:space="preserve">disaster risk reduction </w:t>
      </w:r>
      <w:r w:rsidR="00341FA2" w:rsidRPr="00BC7A12">
        <w:rPr>
          <w:rFonts w:cs="Calibri"/>
        </w:rPr>
        <w:t xml:space="preserve">(DRR) ecosystem </w:t>
      </w:r>
      <w:r w:rsidR="00645F9C" w:rsidRPr="00BC7A12">
        <w:rPr>
          <w:rFonts w:cs="Calibri"/>
        </w:rPr>
        <w:t xml:space="preserve">services </w:t>
      </w:r>
      <w:r w:rsidR="00341FA2" w:rsidRPr="00BC7A12">
        <w:rPr>
          <w:rFonts w:cs="Calibri"/>
        </w:rPr>
        <w:t xml:space="preserve">provided by coastal wetlands. </w:t>
      </w:r>
      <w:r w:rsidR="000E5120" w:rsidRPr="00BC7A12">
        <w:rPr>
          <w:rFonts w:cs="Calibri"/>
        </w:rPr>
        <w:t xml:space="preserve">Disasters risks include those caused by natural </w:t>
      </w:r>
      <w:r w:rsidR="00297E0B" w:rsidRPr="00BC7A12">
        <w:rPr>
          <w:rFonts w:cs="Calibri"/>
        </w:rPr>
        <w:t>hazards</w:t>
      </w:r>
      <w:r w:rsidR="000E5120" w:rsidRPr="00BC7A12">
        <w:rPr>
          <w:rFonts w:cs="Calibri"/>
        </w:rPr>
        <w:t xml:space="preserve"> </w:t>
      </w:r>
      <w:r w:rsidR="00297E0B" w:rsidRPr="00BC7A12">
        <w:rPr>
          <w:rFonts w:cs="Calibri"/>
        </w:rPr>
        <w:t xml:space="preserve">from storms </w:t>
      </w:r>
      <w:r w:rsidR="000E5120" w:rsidRPr="00BC7A12">
        <w:rPr>
          <w:rFonts w:cs="Calibri"/>
        </w:rPr>
        <w:t xml:space="preserve">(e.g. cyclone, tsunami) and </w:t>
      </w:r>
      <w:r w:rsidR="00297E0B" w:rsidRPr="00BC7A12">
        <w:rPr>
          <w:rFonts w:cs="Calibri"/>
        </w:rPr>
        <w:t xml:space="preserve">long term </w:t>
      </w:r>
      <w:r w:rsidR="000E5120" w:rsidRPr="00BC7A12">
        <w:rPr>
          <w:rFonts w:cs="Calibri"/>
        </w:rPr>
        <w:t>hazards whose impacts generally occur or build over several years or decades (e.g. sea level rise, subsidence)</w:t>
      </w:r>
      <w:r w:rsidR="00E34082" w:rsidRPr="00BC7A12">
        <w:rPr>
          <w:rFonts w:cs="Calibri"/>
        </w:rPr>
        <w:t xml:space="preserve"> (</w:t>
      </w:r>
      <w:r w:rsidR="008C4F8D" w:rsidRPr="00BC7A12">
        <w:rPr>
          <w:rFonts w:cs="Calibri"/>
        </w:rPr>
        <w:fldChar w:fldCharType="begin"/>
      </w:r>
      <w:r w:rsidR="008C4F8D" w:rsidRPr="00BC7A12">
        <w:rPr>
          <w:rFonts w:cs="Calibri"/>
        </w:rPr>
        <w:instrText xml:space="preserve"> REF _Ref43571994 \h </w:instrText>
      </w:r>
      <w:r w:rsidR="00BC7A12">
        <w:rPr>
          <w:rFonts w:cs="Calibri"/>
        </w:rPr>
        <w:instrText xml:space="preserve"> \* MERGEFORMAT </w:instrText>
      </w:r>
      <w:r w:rsidR="008C4F8D" w:rsidRPr="00BC7A12">
        <w:rPr>
          <w:rFonts w:cs="Calibri"/>
        </w:rPr>
      </w:r>
      <w:r w:rsidR="008C4F8D" w:rsidRPr="00BC7A12">
        <w:rPr>
          <w:rFonts w:cs="Calibri"/>
        </w:rPr>
        <w:fldChar w:fldCharType="separate"/>
      </w:r>
    </w:p>
    <w:p w14:paraId="2B958519" w14:textId="766DF4AD" w:rsidR="001F678D" w:rsidRPr="00BC7A12" w:rsidRDefault="00657E34" w:rsidP="009D41C0">
      <w:pPr>
        <w:rPr>
          <w:rFonts w:cs="Calibri"/>
        </w:rPr>
      </w:pPr>
      <w:r w:rsidRPr="00BC7A12">
        <w:rPr>
          <w:rFonts w:cs="Calibri"/>
        </w:rPr>
        <w:t>Figure</w:t>
      </w:r>
      <w:r w:rsidRPr="00BC7A12">
        <w:rPr>
          <w:rFonts w:cs="Calibri"/>
          <w:noProof/>
        </w:rPr>
        <w:t xml:space="preserve"> </w:t>
      </w:r>
      <w:r>
        <w:rPr>
          <w:rFonts w:cs="Calibri"/>
          <w:noProof/>
        </w:rPr>
        <w:t>1</w:t>
      </w:r>
      <w:r w:rsidR="008C4F8D" w:rsidRPr="00BC7A12">
        <w:rPr>
          <w:rFonts w:cs="Calibri"/>
        </w:rPr>
        <w:fldChar w:fldCharType="end"/>
      </w:r>
      <w:r w:rsidR="00E34082" w:rsidRPr="00BC7A12">
        <w:rPr>
          <w:rFonts w:cs="Calibri"/>
        </w:rPr>
        <w:t>)</w:t>
      </w:r>
      <w:r w:rsidR="004605DA" w:rsidRPr="00BC7A12">
        <w:rPr>
          <w:rFonts w:cs="Calibri"/>
        </w:rPr>
        <w:t xml:space="preserve">. </w:t>
      </w:r>
      <w:r w:rsidR="00CF28C9" w:rsidRPr="00BC7A12">
        <w:rPr>
          <w:rFonts w:cs="Calibri"/>
        </w:rPr>
        <w:t xml:space="preserve">The physical </w:t>
      </w:r>
      <w:r w:rsidR="001F678D" w:rsidRPr="00BC7A12">
        <w:rPr>
          <w:rFonts w:cs="Calibri"/>
        </w:rPr>
        <w:t xml:space="preserve">characteristics, </w:t>
      </w:r>
      <w:proofErr w:type="gramStart"/>
      <w:r w:rsidR="001F678D" w:rsidRPr="00BC7A12">
        <w:rPr>
          <w:rFonts w:cs="Calibri"/>
        </w:rPr>
        <w:t>structures</w:t>
      </w:r>
      <w:proofErr w:type="gramEnd"/>
      <w:r w:rsidR="001F678D" w:rsidRPr="00BC7A12">
        <w:rPr>
          <w:rFonts w:cs="Calibri"/>
        </w:rPr>
        <w:t xml:space="preserve"> and ecosystem functions (e.g. wave attenuation) </w:t>
      </w:r>
      <w:r w:rsidR="004605DA" w:rsidRPr="00BC7A12">
        <w:rPr>
          <w:rFonts w:cs="Calibri"/>
        </w:rPr>
        <w:t xml:space="preserve">allow </w:t>
      </w:r>
      <w:r w:rsidR="00DC2B47" w:rsidRPr="00BC7A12">
        <w:rPr>
          <w:rFonts w:cs="Calibri"/>
        </w:rPr>
        <w:t xml:space="preserve">wetlands to </w:t>
      </w:r>
      <w:r w:rsidR="00CF28C9" w:rsidRPr="00BC7A12">
        <w:rPr>
          <w:rFonts w:cs="Calibri"/>
        </w:rPr>
        <w:t>assist in the protection of human property.</w:t>
      </w:r>
      <w:r w:rsidR="00DC2B47" w:rsidRPr="00BC7A12">
        <w:rPr>
          <w:rFonts w:cs="Calibri"/>
        </w:rPr>
        <w:t xml:space="preserve"> Because of these </w:t>
      </w:r>
      <w:r w:rsidR="00CF28C9" w:rsidRPr="00BC7A12">
        <w:rPr>
          <w:rFonts w:cs="Calibri"/>
        </w:rPr>
        <w:t xml:space="preserve">disaster risk reduction ecosystem </w:t>
      </w:r>
      <w:r w:rsidR="00DC2B47" w:rsidRPr="00BC7A12">
        <w:rPr>
          <w:rFonts w:cs="Calibri"/>
        </w:rPr>
        <w:t xml:space="preserve">services, the impacts of </w:t>
      </w:r>
      <w:r w:rsidR="001F678D" w:rsidRPr="00BC7A12">
        <w:rPr>
          <w:rFonts w:cs="Calibri"/>
        </w:rPr>
        <w:t xml:space="preserve">hazards </w:t>
      </w:r>
      <w:r w:rsidR="00CF28C9" w:rsidRPr="00BC7A12">
        <w:rPr>
          <w:rFonts w:cs="Calibri"/>
        </w:rPr>
        <w:t>such as building damage can be mitigated.</w:t>
      </w:r>
      <w:r w:rsidR="001F678D" w:rsidRPr="00BC7A12">
        <w:rPr>
          <w:rFonts w:cs="Calibri"/>
        </w:rPr>
        <w:t xml:space="preserve"> </w:t>
      </w:r>
    </w:p>
    <w:p w14:paraId="2D65BDAF" w14:textId="51E216D6" w:rsidR="00000852" w:rsidRPr="00BC7A12" w:rsidRDefault="00DC2B47" w:rsidP="009D41C0">
      <w:pPr>
        <w:rPr>
          <w:rFonts w:cs="Calibri"/>
        </w:rPr>
      </w:pPr>
      <w:r w:rsidRPr="00BC7A12">
        <w:rPr>
          <w:rFonts w:cs="Calibri"/>
        </w:rPr>
        <w:t xml:space="preserve">Beyond the scope of this report are other </w:t>
      </w:r>
      <w:r w:rsidR="000E5120" w:rsidRPr="00BC7A12">
        <w:rPr>
          <w:rFonts w:cs="Calibri"/>
        </w:rPr>
        <w:t>ecosystem functions and services</w:t>
      </w:r>
      <w:r w:rsidR="00A31B07" w:rsidRPr="00BC7A12">
        <w:rPr>
          <w:rFonts w:cs="Calibri"/>
        </w:rPr>
        <w:t xml:space="preserve"> </w:t>
      </w:r>
      <w:r w:rsidRPr="00BC7A12">
        <w:rPr>
          <w:rFonts w:cs="Calibri"/>
        </w:rPr>
        <w:t xml:space="preserve">that coastal wetlands provide. These range from </w:t>
      </w:r>
      <w:r w:rsidR="000E5120" w:rsidRPr="00BC7A12">
        <w:rPr>
          <w:rFonts w:cs="Calibri"/>
        </w:rPr>
        <w:t>nursery habitats for fish to recreational opportunities</w:t>
      </w:r>
      <w:r w:rsidRPr="00BC7A12">
        <w:rPr>
          <w:rFonts w:cs="Calibri"/>
        </w:rPr>
        <w:t xml:space="preserve"> </w:t>
      </w:r>
      <w:r w:rsidR="000C3D9C">
        <w:rPr>
          <w:rFonts w:cs="Calibri"/>
        </w:rPr>
        <w:t>and</w:t>
      </w:r>
      <w:r w:rsidRPr="00BC7A12">
        <w:rPr>
          <w:rFonts w:cs="Calibri"/>
        </w:rPr>
        <w:t xml:space="preserve"> being a source of building materials</w:t>
      </w:r>
      <w:r w:rsidR="000E5120" w:rsidRPr="00BC7A12">
        <w:rPr>
          <w:rFonts w:cs="Calibri"/>
        </w:rPr>
        <w:t>.</w:t>
      </w:r>
      <w:r w:rsidRPr="00BC7A12">
        <w:rPr>
          <w:rFonts w:cs="Calibri"/>
        </w:rPr>
        <w:t xml:space="preserve"> </w:t>
      </w:r>
      <w:r w:rsidR="002E702E">
        <w:rPr>
          <w:rFonts w:cs="Calibri"/>
        </w:rPr>
        <w:t>The</w:t>
      </w:r>
      <w:r w:rsidR="00EA70BB" w:rsidRPr="00BC7A12">
        <w:rPr>
          <w:rFonts w:cs="Calibri"/>
        </w:rPr>
        <w:t xml:space="preserve"> provision of these services </w:t>
      </w:r>
      <w:r w:rsidR="002E702E">
        <w:rPr>
          <w:rFonts w:cs="Calibri"/>
        </w:rPr>
        <w:t xml:space="preserve">by coastal wetlands </w:t>
      </w:r>
      <w:r w:rsidR="00EA70BB" w:rsidRPr="00BC7A12">
        <w:rPr>
          <w:rFonts w:cs="Calibri"/>
        </w:rPr>
        <w:t>is also impacted by n</w:t>
      </w:r>
      <w:r w:rsidRPr="00BC7A12">
        <w:rPr>
          <w:rFonts w:cs="Calibri"/>
        </w:rPr>
        <w:t>atural hazards</w:t>
      </w:r>
      <w:r w:rsidR="00EA70BB" w:rsidRPr="00BC7A12">
        <w:rPr>
          <w:rFonts w:cs="Calibri"/>
        </w:rPr>
        <w:t>.</w:t>
      </w:r>
      <w:r w:rsidR="00CF28C9" w:rsidRPr="00BC7A12">
        <w:rPr>
          <w:rFonts w:cs="Calibri"/>
        </w:rPr>
        <w:t xml:space="preserve"> For example, a cyclone may </w:t>
      </w:r>
      <w:r w:rsidR="00DF3B95" w:rsidRPr="00BC7A12">
        <w:rPr>
          <w:rFonts w:cs="Calibri"/>
        </w:rPr>
        <w:t xml:space="preserve">kill hatchlings and </w:t>
      </w:r>
      <w:r w:rsidR="00CF28C9" w:rsidRPr="00BC7A12">
        <w:rPr>
          <w:rFonts w:cs="Calibri"/>
        </w:rPr>
        <w:t xml:space="preserve">eliminate </w:t>
      </w:r>
      <w:r w:rsidR="00DF3B95" w:rsidRPr="00BC7A12">
        <w:rPr>
          <w:rFonts w:cs="Calibri"/>
        </w:rPr>
        <w:t xml:space="preserve">a mangrove’s poles and thatching. This will impact fishers and those that use wood materials from mangroves. This report </w:t>
      </w:r>
      <w:r w:rsidR="00D34C7F" w:rsidRPr="00BC7A12">
        <w:rPr>
          <w:rFonts w:cs="Calibri"/>
        </w:rPr>
        <w:t xml:space="preserve">focuses only </w:t>
      </w:r>
      <w:r w:rsidR="00DF3B95" w:rsidRPr="00BC7A12">
        <w:rPr>
          <w:rFonts w:cs="Calibri"/>
        </w:rPr>
        <w:lastRenderedPageBreak/>
        <w:t>on the impacts to human property.</w:t>
      </w:r>
      <w:r w:rsidR="00317734" w:rsidRPr="00BC7A12">
        <w:rPr>
          <w:rFonts w:cs="Calibri"/>
        </w:rPr>
        <w:t xml:space="preserve"> The</w:t>
      </w:r>
      <w:r w:rsidR="00EA70BB" w:rsidRPr="00BC7A12">
        <w:rPr>
          <w:rFonts w:cs="Calibri"/>
        </w:rPr>
        <w:t xml:space="preserve"> long-term socioeconomic impact</w:t>
      </w:r>
      <w:r w:rsidR="00317734" w:rsidRPr="00BC7A12">
        <w:rPr>
          <w:rFonts w:cs="Calibri"/>
        </w:rPr>
        <w:t>s</w:t>
      </w:r>
      <w:r w:rsidR="00EA70BB" w:rsidRPr="00BC7A12">
        <w:rPr>
          <w:rFonts w:cs="Calibri"/>
        </w:rPr>
        <w:t xml:space="preserve"> of natural disaster</w:t>
      </w:r>
      <w:r w:rsidR="00317734" w:rsidRPr="00BC7A12">
        <w:rPr>
          <w:rFonts w:cs="Calibri"/>
        </w:rPr>
        <w:t xml:space="preserve">s are </w:t>
      </w:r>
      <w:r w:rsidR="00EA70BB" w:rsidRPr="00BC7A12">
        <w:rPr>
          <w:rFonts w:cs="Calibri"/>
        </w:rPr>
        <w:t xml:space="preserve">greater than the economic damage </w:t>
      </w:r>
      <w:r w:rsidR="00C35DE3">
        <w:rPr>
          <w:rFonts w:cs="Calibri"/>
        </w:rPr>
        <w:t xml:space="preserve">attenuated by </w:t>
      </w:r>
      <w:r w:rsidR="00EA70BB" w:rsidRPr="00BC7A12">
        <w:rPr>
          <w:rFonts w:cs="Calibri"/>
        </w:rPr>
        <w:t xml:space="preserve">disaster </w:t>
      </w:r>
      <w:r w:rsidR="00BC4227" w:rsidRPr="00BC7A12">
        <w:rPr>
          <w:rFonts w:cs="Calibri"/>
        </w:rPr>
        <w:t>risk reduction ecosystem services.</w:t>
      </w:r>
      <w:r w:rsidR="00EA70BB" w:rsidRPr="00BC7A12">
        <w:rPr>
          <w:rFonts w:cs="Calibri"/>
        </w:rPr>
        <w:t xml:space="preserve"> </w:t>
      </w:r>
    </w:p>
    <w:p w14:paraId="19E6A8AA" w14:textId="40D53616" w:rsidR="008C4F8D" w:rsidRPr="00BC7A12" w:rsidRDefault="00775232" w:rsidP="008C4F8D">
      <w:pPr>
        <w:keepNext/>
        <w:rPr>
          <w:rFonts w:cs="Calibri"/>
        </w:rPr>
      </w:pPr>
      <w:r w:rsidRPr="00775232">
        <w:rPr>
          <w:rFonts w:cs="Calibri"/>
          <w:noProof/>
        </w:rPr>
        <w:drawing>
          <wp:inline distT="0" distB="0" distL="0" distR="0" wp14:anchorId="4E88C627" wp14:editId="7026B00A">
            <wp:extent cx="5499100" cy="3975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9100" cy="3975100"/>
                    </a:xfrm>
                    <a:prstGeom prst="rect">
                      <a:avLst/>
                    </a:prstGeom>
                  </pic:spPr>
                </pic:pic>
              </a:graphicData>
            </a:graphic>
          </wp:inline>
        </w:drawing>
      </w:r>
    </w:p>
    <w:p w14:paraId="14E93125" w14:textId="77777777" w:rsidR="000438FA" w:rsidRDefault="000438FA" w:rsidP="008C4F8D">
      <w:pPr>
        <w:pStyle w:val="Caption"/>
        <w:rPr>
          <w:rFonts w:cs="Calibri"/>
        </w:rPr>
      </w:pPr>
      <w:bookmarkStart w:id="11" w:name="_Ref43571994"/>
    </w:p>
    <w:p w14:paraId="52198213" w14:textId="71C55E31" w:rsidR="00000852" w:rsidRPr="00BC7A12" w:rsidRDefault="008C4F8D" w:rsidP="008C4F8D">
      <w:pPr>
        <w:pStyle w:val="Caption"/>
        <w:rPr>
          <w:rFonts w:cs="Calibri"/>
        </w:rPr>
      </w:pPr>
      <w:bookmarkStart w:id="12" w:name="_Toc46822333"/>
      <w:r w:rsidRPr="00BC7A12">
        <w:rPr>
          <w:rFonts w:cs="Calibri"/>
        </w:rPr>
        <w:t xml:space="preserve">Figure </w:t>
      </w:r>
      <w:r w:rsidR="005C2E7C" w:rsidRPr="00BC7A12">
        <w:rPr>
          <w:rFonts w:cs="Calibri"/>
          <w:noProof/>
        </w:rPr>
        <w:fldChar w:fldCharType="begin"/>
      </w:r>
      <w:r w:rsidR="005C2E7C" w:rsidRPr="00BC7A12">
        <w:rPr>
          <w:rFonts w:cs="Calibri"/>
          <w:noProof/>
        </w:rPr>
        <w:instrText xml:space="preserve"> SEQ Figure \* ARABIC </w:instrText>
      </w:r>
      <w:r w:rsidR="005C2E7C" w:rsidRPr="00BC7A12">
        <w:rPr>
          <w:rFonts w:cs="Calibri"/>
          <w:noProof/>
        </w:rPr>
        <w:fldChar w:fldCharType="separate"/>
      </w:r>
      <w:r w:rsidR="00657E34">
        <w:rPr>
          <w:rFonts w:cs="Calibri"/>
          <w:noProof/>
        </w:rPr>
        <w:t>1</w:t>
      </w:r>
      <w:r w:rsidR="005C2E7C" w:rsidRPr="00BC7A12">
        <w:rPr>
          <w:rFonts w:cs="Calibri"/>
          <w:noProof/>
        </w:rPr>
        <w:fldChar w:fldCharType="end"/>
      </w:r>
      <w:bookmarkEnd w:id="11"/>
      <w:r w:rsidRPr="00BC7A12">
        <w:rPr>
          <w:rFonts w:cs="Calibri"/>
        </w:rPr>
        <w:t xml:space="preserve"> Disasters, damages, protection and impacts of coastal wetlands</w:t>
      </w:r>
      <w:bookmarkEnd w:id="12"/>
    </w:p>
    <w:p w14:paraId="5243FFC7" w14:textId="77777777" w:rsidR="00657E34" w:rsidRPr="00BC7A12" w:rsidRDefault="000C3D9C" w:rsidP="00657E34">
      <w:pPr>
        <w:rPr>
          <w:rFonts w:cs="Calibri"/>
        </w:rPr>
      </w:pPr>
      <w:r>
        <w:rPr>
          <w:rFonts w:cs="Calibri"/>
        </w:rPr>
        <w:t>The d</w:t>
      </w:r>
      <w:r w:rsidR="006D3DBC" w:rsidRPr="00BC7A12">
        <w:rPr>
          <w:rFonts w:cs="Calibri"/>
        </w:rPr>
        <w:t xml:space="preserve">escription </w:t>
      </w:r>
      <w:r w:rsidR="003279F7" w:rsidRPr="00BC7A12">
        <w:rPr>
          <w:rFonts w:cs="Calibri"/>
        </w:rPr>
        <w:t xml:space="preserve">of the relationships among hazards, ecosystems and impacts </w:t>
      </w:r>
      <w:r>
        <w:rPr>
          <w:rFonts w:cs="Calibri"/>
        </w:rPr>
        <w:t xml:space="preserve">in </w:t>
      </w:r>
      <w:r w:rsidRPr="000C3D9C">
        <w:rPr>
          <w:rFonts w:cs="Calibri"/>
        </w:rPr>
        <w:t xml:space="preserve">Figure 1 </w:t>
      </w:r>
      <w:r w:rsidR="00840160">
        <w:rPr>
          <w:rFonts w:cs="Calibri"/>
        </w:rPr>
        <w:t>provides a general narrative.</w:t>
      </w:r>
      <w:r w:rsidR="003279F7" w:rsidRPr="00BC7A12">
        <w:rPr>
          <w:rFonts w:cs="Calibri"/>
        </w:rPr>
        <w:t xml:space="preserve"> However, </w:t>
      </w:r>
      <w:r w:rsidR="00EA70BB" w:rsidRPr="00BC7A12">
        <w:rPr>
          <w:rFonts w:cs="Calibri"/>
        </w:rPr>
        <w:t xml:space="preserve">recent advances </w:t>
      </w:r>
      <w:r w:rsidR="003279F7" w:rsidRPr="00BC7A12">
        <w:rPr>
          <w:rFonts w:cs="Calibri"/>
        </w:rPr>
        <w:t xml:space="preserve">in </w:t>
      </w:r>
      <w:r w:rsidR="00A31E49">
        <w:rPr>
          <w:rFonts w:cs="Calibri"/>
        </w:rPr>
        <w:t xml:space="preserve">the application of </w:t>
      </w:r>
      <w:r w:rsidR="003279F7" w:rsidRPr="00BC7A12">
        <w:rPr>
          <w:rFonts w:cs="Calibri"/>
        </w:rPr>
        <w:t>valuation techniques demand greater precision</w:t>
      </w:r>
      <w:r w:rsidR="007C59AD" w:rsidRPr="00BC7A12">
        <w:rPr>
          <w:rFonts w:cs="Calibri"/>
        </w:rPr>
        <w:t xml:space="preserve"> in the distinctions </w:t>
      </w:r>
      <w:r w:rsidR="00C56E70" w:rsidRPr="00BC7A12">
        <w:rPr>
          <w:rFonts w:cs="Calibri"/>
        </w:rPr>
        <w:t xml:space="preserve">among functions, ecosystem services and benefits. The research detailed in </w:t>
      </w:r>
      <w:r w:rsidR="003279F7" w:rsidRPr="00BC7A12">
        <w:rPr>
          <w:rFonts w:cs="Calibri"/>
        </w:rPr>
        <w:fldChar w:fldCharType="begin"/>
      </w:r>
      <w:r w:rsidR="003279F7" w:rsidRPr="00BC7A12">
        <w:rPr>
          <w:rFonts w:cs="Calibri"/>
        </w:rPr>
        <w:instrText xml:space="preserve"> REF _Ref43147341 \h </w:instrText>
      </w:r>
      <w:r w:rsidR="00BC7A12">
        <w:rPr>
          <w:rFonts w:cs="Calibri"/>
        </w:rPr>
        <w:instrText xml:space="preserve"> \* MERGEFORMAT </w:instrText>
      </w:r>
      <w:r w:rsidR="003279F7" w:rsidRPr="00BC7A12">
        <w:rPr>
          <w:rFonts w:cs="Calibri"/>
        </w:rPr>
      </w:r>
      <w:r w:rsidR="003279F7" w:rsidRPr="00BC7A12">
        <w:rPr>
          <w:rFonts w:cs="Calibri"/>
        </w:rPr>
        <w:fldChar w:fldCharType="separate"/>
      </w:r>
      <w:r w:rsidR="00657E34" w:rsidRPr="00BC7A12">
        <w:rPr>
          <w:rFonts w:cs="Calibri"/>
        </w:rPr>
        <w:t xml:space="preserve">Appendix 4 Natural capital accounting data structure  </w:t>
      </w:r>
    </w:p>
    <w:p w14:paraId="15B85607" w14:textId="77777777" w:rsidR="00657E34" w:rsidRPr="00BC7A12" w:rsidRDefault="00657E34" w:rsidP="00CD762C">
      <w:pPr>
        <w:rPr>
          <w:rFonts w:cs="Calibri"/>
        </w:rPr>
      </w:pPr>
      <w:r w:rsidRPr="00BC7A12">
        <w:rPr>
          <w:rFonts w:cs="Calibri"/>
        </w:rPr>
        <w:t xml:space="preserve">The System of Environmental-Economic Accounting (SEEA) </w:t>
      </w:r>
      <w:r w:rsidRPr="00BC7A12">
        <w:rPr>
          <w:rFonts w:cs="Calibri"/>
          <w:noProof/>
        </w:rPr>
        <w:t>(United Nations et al. 2014b)</w:t>
      </w:r>
      <w:r w:rsidRPr="00BC7A12">
        <w:rPr>
          <w:rFonts w:cs="Calibri"/>
        </w:rPr>
        <w:t xml:space="preserve"> is the global standard for natural capital accounting. One component of SEEA, is that provides uniform classification of data for improved speed and accuracy in defining and discovering data.  </w:t>
      </w:r>
      <w:r>
        <w:rPr>
          <w:rFonts w:cs="Calibri"/>
          <w:b/>
          <w:bCs/>
          <w:lang w:val="en-US"/>
        </w:rPr>
        <w:t>Error! Reference source not found.</w:t>
      </w:r>
      <w:r w:rsidRPr="00BC7A12">
        <w:rPr>
          <w:rFonts w:cs="Calibri"/>
        </w:rPr>
        <w:t xml:space="preserve"> demonstrated how SEEA organized different social and economic data. </w:t>
      </w:r>
    </w:p>
    <w:p w14:paraId="5BC91120" w14:textId="77777777" w:rsidR="00657E34" w:rsidRPr="00BC7A12" w:rsidRDefault="00657E34" w:rsidP="00F0367C">
      <w:pPr>
        <w:pStyle w:val="Caption"/>
        <w:keepNext/>
        <w:rPr>
          <w:rFonts w:cs="Calibri"/>
        </w:rPr>
      </w:pPr>
      <w:r w:rsidRPr="00BC7A12">
        <w:rPr>
          <w:rFonts w:cs="Calibri"/>
        </w:rPr>
        <w:t xml:space="preserve">Table </w:t>
      </w:r>
      <w:r>
        <w:rPr>
          <w:rFonts w:cs="Calibri"/>
          <w:noProof/>
        </w:rPr>
        <w:t>11</w:t>
      </w:r>
      <w:r w:rsidRPr="00BC7A12">
        <w:rPr>
          <w:rFonts w:cs="Calibri"/>
        </w:rPr>
        <w:t xml:space="preserve"> SEEA data classification structure</w:t>
      </w:r>
    </w:p>
    <w:tbl>
      <w:tblPr>
        <w:tblStyle w:val="TableGrid"/>
        <w:tblW w:w="0" w:type="auto"/>
        <w:tblLook w:val="04A0" w:firstRow="1" w:lastRow="0" w:firstColumn="1" w:lastColumn="0" w:noHBand="0" w:noVBand="1"/>
      </w:tblPr>
      <w:tblGrid>
        <w:gridCol w:w="1417"/>
        <w:gridCol w:w="2487"/>
        <w:gridCol w:w="5112"/>
      </w:tblGrid>
      <w:tr w:rsidR="00657E34" w:rsidRPr="00BC7A12" w14:paraId="410C29EB" w14:textId="77777777" w:rsidTr="007A0C04">
        <w:trPr>
          <w:trHeight w:val="206"/>
          <w:tblHeader/>
        </w:trPr>
        <w:tc>
          <w:tcPr>
            <w:tcW w:w="0" w:type="auto"/>
            <w:gridSpan w:val="3"/>
          </w:tcPr>
          <w:p w14:paraId="4BA2D682" w14:textId="77777777" w:rsidR="00657E34" w:rsidRPr="00BC7A12" w:rsidRDefault="00657E34" w:rsidP="007A0C04">
            <w:pPr>
              <w:spacing w:after="0" w:line="240" w:lineRule="auto"/>
              <w:jc w:val="center"/>
              <w:rPr>
                <w:rFonts w:cs="Calibri"/>
                <w:b/>
                <w:bCs/>
                <w:sz w:val="18"/>
                <w:szCs w:val="18"/>
              </w:rPr>
            </w:pPr>
            <w:r w:rsidRPr="00BC7A12">
              <w:rPr>
                <w:rFonts w:cs="Calibri"/>
                <w:b/>
                <w:bCs/>
                <w:sz w:val="18"/>
                <w:szCs w:val="18"/>
              </w:rPr>
              <w:t xml:space="preserve">Generic SEEA data classification </w:t>
            </w:r>
            <w:proofErr w:type="gramStart"/>
            <w:r w:rsidRPr="00BC7A12">
              <w:rPr>
                <w:rFonts w:cs="Calibri"/>
                <w:b/>
                <w:bCs/>
                <w:sz w:val="18"/>
                <w:szCs w:val="18"/>
              </w:rPr>
              <w:t xml:space="preserve">structure  </w:t>
            </w:r>
            <w:r w:rsidRPr="00BC7A12">
              <w:rPr>
                <w:rFonts w:cs="Calibri"/>
                <w:bCs/>
                <w:noProof/>
                <w:sz w:val="18"/>
                <w:szCs w:val="18"/>
              </w:rPr>
              <w:t>(</w:t>
            </w:r>
            <w:proofErr w:type="gramEnd"/>
            <w:r w:rsidRPr="00BC7A12">
              <w:rPr>
                <w:rFonts w:cs="Calibri"/>
                <w:bCs/>
                <w:noProof/>
                <w:sz w:val="18"/>
                <w:szCs w:val="18"/>
              </w:rPr>
              <w:t>adopted from United Nations Statistics Division 2018)</w:t>
            </w:r>
          </w:p>
        </w:tc>
      </w:tr>
      <w:tr w:rsidR="00657E34" w:rsidRPr="00BC7A12" w14:paraId="7F1C4E1E" w14:textId="77777777" w:rsidTr="007A0C04">
        <w:trPr>
          <w:tblHeader/>
        </w:trPr>
        <w:tc>
          <w:tcPr>
            <w:tcW w:w="0" w:type="auto"/>
          </w:tcPr>
          <w:p w14:paraId="0AB0FD68"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Subcomponent</w:t>
            </w:r>
          </w:p>
        </w:tc>
        <w:tc>
          <w:tcPr>
            <w:tcW w:w="0" w:type="auto"/>
          </w:tcPr>
          <w:p w14:paraId="42F63AE0"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Definition</w:t>
            </w:r>
          </w:p>
        </w:tc>
        <w:tc>
          <w:tcPr>
            <w:tcW w:w="0" w:type="auto"/>
          </w:tcPr>
          <w:p w14:paraId="7B3D70C6"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Example</w:t>
            </w:r>
          </w:p>
        </w:tc>
      </w:tr>
      <w:tr w:rsidR="00657E34" w:rsidRPr="00BC7A12" w14:paraId="2B992C4B" w14:textId="77777777" w:rsidTr="007A0C04">
        <w:tc>
          <w:tcPr>
            <w:tcW w:w="0" w:type="auto"/>
          </w:tcPr>
          <w:p w14:paraId="7BEDCE34" w14:textId="77777777" w:rsidR="00657E34" w:rsidRPr="00BC7A12" w:rsidRDefault="00657E34" w:rsidP="007A0C04">
            <w:pPr>
              <w:spacing w:after="0" w:line="240" w:lineRule="auto"/>
              <w:rPr>
                <w:rFonts w:cs="Calibri"/>
                <w:sz w:val="12"/>
                <w:szCs w:val="12"/>
              </w:rPr>
            </w:pPr>
            <w:r w:rsidRPr="00BC7A12">
              <w:rPr>
                <w:rFonts w:cs="Calibri"/>
                <w:sz w:val="12"/>
                <w:szCs w:val="12"/>
              </w:rPr>
              <w:t>Physical extent</w:t>
            </w:r>
          </w:p>
        </w:tc>
        <w:tc>
          <w:tcPr>
            <w:tcW w:w="0" w:type="auto"/>
          </w:tcPr>
          <w:p w14:paraId="6D0CA416" w14:textId="77777777" w:rsidR="00657E34" w:rsidRPr="00BC7A12" w:rsidRDefault="00657E34" w:rsidP="007A0C04">
            <w:pPr>
              <w:spacing w:after="0" w:line="240" w:lineRule="auto"/>
              <w:rPr>
                <w:rFonts w:cs="Calibri"/>
                <w:sz w:val="12"/>
                <w:szCs w:val="12"/>
              </w:rPr>
            </w:pPr>
            <w:r w:rsidRPr="00BC7A12">
              <w:rPr>
                <w:rFonts w:cs="Calibri"/>
                <w:sz w:val="12"/>
                <w:szCs w:val="12"/>
              </w:rPr>
              <w:t>Area in terms of coverage and arrangement</w:t>
            </w:r>
          </w:p>
        </w:tc>
        <w:tc>
          <w:tcPr>
            <w:tcW w:w="0" w:type="auto"/>
          </w:tcPr>
          <w:p w14:paraId="18FFE24C"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Topography, geography </w:t>
            </w:r>
          </w:p>
        </w:tc>
      </w:tr>
      <w:tr w:rsidR="00657E34" w:rsidRPr="00BC7A12" w14:paraId="70AF640A" w14:textId="77777777" w:rsidTr="007A0C04">
        <w:tc>
          <w:tcPr>
            <w:tcW w:w="0" w:type="auto"/>
          </w:tcPr>
          <w:p w14:paraId="2E44F2F1" w14:textId="77777777" w:rsidR="00657E34" w:rsidRPr="00BC7A12" w:rsidRDefault="00657E34" w:rsidP="007A0C04">
            <w:pPr>
              <w:spacing w:after="0" w:line="240" w:lineRule="auto"/>
              <w:rPr>
                <w:rFonts w:cs="Calibri"/>
                <w:sz w:val="12"/>
                <w:szCs w:val="12"/>
              </w:rPr>
            </w:pPr>
            <w:r w:rsidRPr="00BC7A12">
              <w:rPr>
                <w:rFonts w:cs="Calibri"/>
                <w:sz w:val="12"/>
                <w:szCs w:val="12"/>
              </w:rPr>
              <w:t>Institutional extent</w:t>
            </w:r>
          </w:p>
        </w:tc>
        <w:tc>
          <w:tcPr>
            <w:tcW w:w="0" w:type="auto"/>
          </w:tcPr>
          <w:p w14:paraId="2628DC26" w14:textId="77777777" w:rsidR="00657E34" w:rsidRPr="00BC7A12" w:rsidRDefault="00657E34" w:rsidP="007A0C04">
            <w:pPr>
              <w:spacing w:after="0" w:line="240" w:lineRule="auto"/>
              <w:rPr>
                <w:rFonts w:cs="Calibri"/>
                <w:sz w:val="12"/>
                <w:szCs w:val="12"/>
              </w:rPr>
            </w:pPr>
            <w:r w:rsidRPr="00BC7A12">
              <w:rPr>
                <w:rFonts w:cs="Calibri"/>
                <w:sz w:val="12"/>
                <w:szCs w:val="12"/>
              </w:rPr>
              <w:t>Zoning such as regulatory and planning areas</w:t>
            </w:r>
          </w:p>
        </w:tc>
        <w:tc>
          <w:tcPr>
            <w:tcW w:w="0" w:type="auto"/>
          </w:tcPr>
          <w:p w14:paraId="0892540E"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State and Council Zones, Ramsar boundaries </w:t>
            </w:r>
          </w:p>
        </w:tc>
      </w:tr>
      <w:tr w:rsidR="00657E34" w:rsidRPr="00BC7A12" w14:paraId="1AC693FC" w14:textId="77777777" w:rsidTr="007A0C04">
        <w:tc>
          <w:tcPr>
            <w:tcW w:w="0" w:type="auto"/>
          </w:tcPr>
          <w:p w14:paraId="139DD45D" w14:textId="77777777" w:rsidR="00657E34" w:rsidRPr="00BC7A12" w:rsidRDefault="00657E34" w:rsidP="007A0C04">
            <w:pPr>
              <w:spacing w:after="0" w:line="240" w:lineRule="auto"/>
              <w:rPr>
                <w:rFonts w:cs="Calibri"/>
                <w:sz w:val="12"/>
                <w:szCs w:val="12"/>
              </w:rPr>
            </w:pPr>
            <w:r w:rsidRPr="00BC7A12">
              <w:rPr>
                <w:rFonts w:cs="Calibri"/>
                <w:sz w:val="12"/>
                <w:szCs w:val="12"/>
              </w:rPr>
              <w:t>Ecosystem extent</w:t>
            </w:r>
          </w:p>
        </w:tc>
        <w:tc>
          <w:tcPr>
            <w:tcW w:w="0" w:type="auto"/>
          </w:tcPr>
          <w:p w14:paraId="28E8A9A9" w14:textId="77777777" w:rsidR="00657E34" w:rsidRPr="00BC7A12" w:rsidRDefault="00657E34" w:rsidP="007A0C04">
            <w:pPr>
              <w:spacing w:after="0" w:line="240" w:lineRule="auto"/>
              <w:rPr>
                <w:rFonts w:cs="Calibri"/>
                <w:sz w:val="12"/>
                <w:szCs w:val="12"/>
              </w:rPr>
            </w:pPr>
            <w:r w:rsidRPr="00BC7A12">
              <w:rPr>
                <w:rFonts w:cs="Calibri"/>
                <w:sz w:val="12"/>
                <w:szCs w:val="12"/>
              </w:rPr>
              <w:t>Extent and composition of the ecosystem types</w:t>
            </w:r>
          </w:p>
        </w:tc>
        <w:tc>
          <w:tcPr>
            <w:tcW w:w="0" w:type="auto"/>
          </w:tcPr>
          <w:p w14:paraId="00C182E1"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Seagrass, rocky reef, </w:t>
            </w:r>
            <w:proofErr w:type="gramStart"/>
            <w:r w:rsidRPr="00BC7A12">
              <w:rPr>
                <w:rFonts w:cs="Calibri"/>
                <w:sz w:val="12"/>
                <w:szCs w:val="12"/>
              </w:rPr>
              <w:t>mangrove</w:t>
            </w:r>
            <w:proofErr w:type="gramEnd"/>
            <w:r w:rsidRPr="00BC7A12">
              <w:rPr>
                <w:rFonts w:cs="Calibri"/>
                <w:sz w:val="12"/>
                <w:szCs w:val="12"/>
              </w:rPr>
              <w:t xml:space="preserve"> and salt</w:t>
            </w:r>
            <w:r>
              <w:rPr>
                <w:rFonts w:cs="Calibri"/>
                <w:sz w:val="12"/>
                <w:szCs w:val="12"/>
              </w:rPr>
              <w:t xml:space="preserve"> </w:t>
            </w:r>
            <w:r w:rsidRPr="00BC7A12">
              <w:rPr>
                <w:rFonts w:cs="Calibri"/>
                <w:sz w:val="12"/>
                <w:szCs w:val="12"/>
              </w:rPr>
              <w:t xml:space="preserve">marshes </w:t>
            </w:r>
          </w:p>
        </w:tc>
      </w:tr>
      <w:tr w:rsidR="00657E34" w:rsidRPr="00BC7A12" w14:paraId="7E12C0E1" w14:textId="77777777" w:rsidTr="007A0C04">
        <w:tc>
          <w:tcPr>
            <w:tcW w:w="0" w:type="auto"/>
          </w:tcPr>
          <w:p w14:paraId="4F27DE66" w14:textId="77777777" w:rsidR="00657E34" w:rsidRPr="00BC7A12" w:rsidRDefault="00657E34" w:rsidP="007A0C04">
            <w:pPr>
              <w:spacing w:after="0" w:line="240" w:lineRule="auto"/>
              <w:rPr>
                <w:rFonts w:cs="Calibri"/>
                <w:sz w:val="12"/>
                <w:szCs w:val="12"/>
              </w:rPr>
            </w:pPr>
            <w:r w:rsidRPr="00BC7A12">
              <w:rPr>
                <w:rFonts w:cs="Calibri"/>
                <w:sz w:val="12"/>
                <w:szCs w:val="12"/>
              </w:rPr>
              <w:t>Context</w:t>
            </w:r>
          </w:p>
        </w:tc>
        <w:tc>
          <w:tcPr>
            <w:tcW w:w="0" w:type="auto"/>
          </w:tcPr>
          <w:p w14:paraId="478BC8B5" w14:textId="77777777" w:rsidR="00657E34" w:rsidRPr="00BC7A12" w:rsidRDefault="00657E34" w:rsidP="007A0C04">
            <w:pPr>
              <w:spacing w:after="0" w:line="240" w:lineRule="auto"/>
              <w:rPr>
                <w:rFonts w:cs="Calibri"/>
                <w:sz w:val="12"/>
                <w:szCs w:val="12"/>
              </w:rPr>
            </w:pPr>
            <w:r w:rsidRPr="00BC7A12">
              <w:rPr>
                <w:rFonts w:cs="Calibri"/>
                <w:sz w:val="12"/>
                <w:szCs w:val="12"/>
              </w:rPr>
              <w:t>Contextual information that makes up the broader socio-ecological system</w:t>
            </w:r>
          </w:p>
        </w:tc>
        <w:tc>
          <w:tcPr>
            <w:tcW w:w="0" w:type="auto"/>
          </w:tcPr>
          <w:p w14:paraId="589F9B39"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Cities, agricultural land, river connections </w:t>
            </w:r>
          </w:p>
        </w:tc>
      </w:tr>
      <w:tr w:rsidR="00657E34" w:rsidRPr="00BC7A12" w14:paraId="072BF7D4" w14:textId="77777777" w:rsidTr="007A0C04">
        <w:tc>
          <w:tcPr>
            <w:tcW w:w="0" w:type="auto"/>
          </w:tcPr>
          <w:p w14:paraId="307E7C83" w14:textId="77777777" w:rsidR="00657E34" w:rsidRPr="00BC7A12" w:rsidRDefault="00657E34" w:rsidP="007A0C04">
            <w:pPr>
              <w:spacing w:after="0" w:line="240" w:lineRule="auto"/>
              <w:rPr>
                <w:rFonts w:cs="Calibri"/>
                <w:sz w:val="12"/>
                <w:szCs w:val="12"/>
              </w:rPr>
            </w:pPr>
            <w:r w:rsidRPr="00BC7A12">
              <w:rPr>
                <w:rFonts w:cs="Calibri"/>
                <w:sz w:val="12"/>
                <w:szCs w:val="12"/>
              </w:rPr>
              <w:t>Coastal use</w:t>
            </w:r>
          </w:p>
        </w:tc>
        <w:tc>
          <w:tcPr>
            <w:tcW w:w="0" w:type="auto"/>
          </w:tcPr>
          <w:p w14:paraId="7F7B8255" w14:textId="77777777" w:rsidR="00657E34" w:rsidRPr="00BC7A12" w:rsidRDefault="00657E34" w:rsidP="007A0C04">
            <w:pPr>
              <w:spacing w:after="0" w:line="240" w:lineRule="auto"/>
              <w:rPr>
                <w:rFonts w:cs="Calibri"/>
                <w:sz w:val="12"/>
                <w:szCs w:val="12"/>
              </w:rPr>
            </w:pPr>
            <w:r w:rsidRPr="00BC7A12">
              <w:rPr>
                <w:rFonts w:cs="Calibri"/>
                <w:sz w:val="12"/>
                <w:szCs w:val="12"/>
              </w:rPr>
              <w:t>Terrestrial areas designated for use relating to the marine environment</w:t>
            </w:r>
          </w:p>
        </w:tc>
        <w:tc>
          <w:tcPr>
            <w:tcW w:w="0" w:type="auto"/>
          </w:tcPr>
          <w:p w14:paraId="4043E16D" w14:textId="77777777" w:rsidR="00657E34" w:rsidRPr="00BC7A12" w:rsidRDefault="00657E34" w:rsidP="007A0C04">
            <w:pPr>
              <w:spacing w:after="0" w:line="240" w:lineRule="auto"/>
              <w:rPr>
                <w:rFonts w:cs="Calibri"/>
                <w:sz w:val="12"/>
                <w:szCs w:val="12"/>
              </w:rPr>
            </w:pPr>
            <w:r w:rsidRPr="00BC7A12">
              <w:rPr>
                <w:rFonts w:cs="Calibri"/>
                <w:sz w:val="12"/>
                <w:szCs w:val="12"/>
              </w:rPr>
              <w:t>Homes, ports, piers</w:t>
            </w:r>
          </w:p>
        </w:tc>
      </w:tr>
      <w:tr w:rsidR="00657E34" w:rsidRPr="00BC7A12" w14:paraId="5CD14639" w14:textId="77777777" w:rsidTr="007A0C04">
        <w:tc>
          <w:tcPr>
            <w:tcW w:w="0" w:type="auto"/>
          </w:tcPr>
          <w:p w14:paraId="3CCF42B4" w14:textId="77777777" w:rsidR="00657E34" w:rsidRPr="00BC7A12" w:rsidRDefault="00657E34" w:rsidP="007A0C04">
            <w:pPr>
              <w:spacing w:after="0" w:line="240" w:lineRule="auto"/>
              <w:rPr>
                <w:rFonts w:cs="Calibri"/>
                <w:sz w:val="12"/>
                <w:szCs w:val="12"/>
              </w:rPr>
            </w:pPr>
            <w:r w:rsidRPr="00BC7A12">
              <w:rPr>
                <w:rFonts w:cs="Calibri"/>
                <w:sz w:val="12"/>
                <w:szCs w:val="12"/>
              </w:rPr>
              <w:t>Use</w:t>
            </w:r>
          </w:p>
        </w:tc>
        <w:tc>
          <w:tcPr>
            <w:tcW w:w="0" w:type="auto"/>
          </w:tcPr>
          <w:p w14:paraId="763EC030" w14:textId="77777777" w:rsidR="00657E34" w:rsidRPr="00BC7A12" w:rsidRDefault="00657E34" w:rsidP="007A0C04">
            <w:pPr>
              <w:spacing w:after="0" w:line="240" w:lineRule="auto"/>
              <w:rPr>
                <w:rFonts w:cs="Calibri"/>
                <w:sz w:val="12"/>
                <w:szCs w:val="12"/>
              </w:rPr>
            </w:pPr>
            <w:r w:rsidRPr="00BC7A12">
              <w:rPr>
                <w:rFonts w:cs="Calibri"/>
                <w:sz w:val="12"/>
                <w:szCs w:val="12"/>
              </w:rPr>
              <w:t>Uses of the wetland environment</w:t>
            </w:r>
          </w:p>
        </w:tc>
        <w:tc>
          <w:tcPr>
            <w:tcW w:w="0" w:type="auto"/>
          </w:tcPr>
          <w:p w14:paraId="605FF89B" w14:textId="77777777" w:rsidR="00657E34" w:rsidRPr="00BC7A12" w:rsidRDefault="00657E34" w:rsidP="007A0C04">
            <w:pPr>
              <w:spacing w:after="0" w:line="240" w:lineRule="auto"/>
              <w:rPr>
                <w:rFonts w:cs="Calibri"/>
                <w:sz w:val="12"/>
                <w:szCs w:val="12"/>
              </w:rPr>
            </w:pPr>
            <w:r w:rsidRPr="00BC7A12">
              <w:rPr>
                <w:rFonts w:cs="Calibri"/>
                <w:sz w:val="12"/>
                <w:szCs w:val="12"/>
              </w:rPr>
              <w:t>Disaster risk reduction, tourism, fishing</w:t>
            </w:r>
          </w:p>
        </w:tc>
      </w:tr>
      <w:tr w:rsidR="00657E34" w:rsidRPr="00BC7A12" w14:paraId="3A416822" w14:textId="77777777" w:rsidTr="007A0C04">
        <w:tc>
          <w:tcPr>
            <w:tcW w:w="0" w:type="auto"/>
          </w:tcPr>
          <w:p w14:paraId="637FD278" w14:textId="77777777" w:rsidR="00657E34" w:rsidRPr="00BC7A12" w:rsidRDefault="00657E34" w:rsidP="007A0C04">
            <w:pPr>
              <w:spacing w:after="0" w:line="240" w:lineRule="auto"/>
              <w:rPr>
                <w:rFonts w:cs="Calibri"/>
                <w:sz w:val="12"/>
                <w:szCs w:val="12"/>
              </w:rPr>
            </w:pPr>
            <w:r w:rsidRPr="00BC7A12">
              <w:rPr>
                <w:rFonts w:cs="Calibri"/>
                <w:sz w:val="12"/>
                <w:szCs w:val="12"/>
              </w:rPr>
              <w:t>Physical characteristics</w:t>
            </w:r>
          </w:p>
        </w:tc>
        <w:tc>
          <w:tcPr>
            <w:tcW w:w="0" w:type="auto"/>
          </w:tcPr>
          <w:p w14:paraId="39BA36A9"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Physical attributes system quality </w:t>
            </w:r>
          </w:p>
        </w:tc>
        <w:tc>
          <w:tcPr>
            <w:tcW w:w="0" w:type="auto"/>
          </w:tcPr>
          <w:p w14:paraId="37CFCEE8" w14:textId="77777777" w:rsidR="00657E34" w:rsidRPr="00BC7A12" w:rsidRDefault="00657E34" w:rsidP="007A0C04">
            <w:pPr>
              <w:spacing w:after="0" w:line="240" w:lineRule="auto"/>
              <w:rPr>
                <w:rFonts w:cs="Calibri"/>
                <w:sz w:val="12"/>
                <w:szCs w:val="12"/>
              </w:rPr>
            </w:pPr>
            <w:r w:rsidRPr="00BC7A12">
              <w:rPr>
                <w:rFonts w:cs="Calibri"/>
                <w:sz w:val="12"/>
                <w:szCs w:val="12"/>
              </w:rPr>
              <w:t>Soil types, waves, tides, winds, salinity, heat content, mean sea surface, mean dynamic topography, turbidity (reflectance), mixed layer thickness, water pressure, water density</w:t>
            </w:r>
          </w:p>
        </w:tc>
      </w:tr>
      <w:tr w:rsidR="00657E34" w:rsidRPr="00BC7A12" w14:paraId="5C58D9D6" w14:textId="77777777" w:rsidTr="007A0C04">
        <w:tc>
          <w:tcPr>
            <w:tcW w:w="0" w:type="auto"/>
          </w:tcPr>
          <w:p w14:paraId="7A44AF9F" w14:textId="77777777" w:rsidR="00657E34" w:rsidRPr="00BC7A12" w:rsidRDefault="00657E34" w:rsidP="007A0C04">
            <w:pPr>
              <w:spacing w:after="0" w:line="240" w:lineRule="auto"/>
              <w:rPr>
                <w:rFonts w:cs="Calibri"/>
                <w:sz w:val="12"/>
                <w:szCs w:val="12"/>
              </w:rPr>
            </w:pPr>
            <w:r w:rsidRPr="00BC7A12">
              <w:rPr>
                <w:rFonts w:cs="Calibri"/>
                <w:sz w:val="12"/>
                <w:szCs w:val="12"/>
              </w:rPr>
              <w:t>Chemical characteristics</w:t>
            </w:r>
          </w:p>
        </w:tc>
        <w:tc>
          <w:tcPr>
            <w:tcW w:w="0" w:type="auto"/>
          </w:tcPr>
          <w:p w14:paraId="38126DB5"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Chemicals and nutrients system quality </w:t>
            </w:r>
          </w:p>
        </w:tc>
        <w:tc>
          <w:tcPr>
            <w:tcW w:w="0" w:type="auto"/>
          </w:tcPr>
          <w:p w14:paraId="360797D7" w14:textId="77777777" w:rsidR="00657E34" w:rsidRPr="00BC7A12" w:rsidRDefault="00657E34" w:rsidP="007A0C04">
            <w:pPr>
              <w:spacing w:after="0" w:line="240" w:lineRule="auto"/>
              <w:rPr>
                <w:rFonts w:cs="Calibri"/>
                <w:sz w:val="12"/>
                <w:szCs w:val="12"/>
              </w:rPr>
            </w:pPr>
            <w:r w:rsidRPr="00BC7A12">
              <w:rPr>
                <w:rFonts w:cs="Calibri"/>
                <w:sz w:val="12"/>
                <w:szCs w:val="12"/>
              </w:rPr>
              <w:t>Phosphate, nitrate, silicate, alkalinity, pH, CO2, oxygen/hypoxia, tritium, oil-spill trajectory</w:t>
            </w:r>
          </w:p>
        </w:tc>
      </w:tr>
      <w:tr w:rsidR="00657E34" w:rsidRPr="00BC7A12" w14:paraId="794C972C" w14:textId="77777777" w:rsidTr="007A0C04">
        <w:tc>
          <w:tcPr>
            <w:tcW w:w="0" w:type="auto"/>
          </w:tcPr>
          <w:p w14:paraId="57A9D290" w14:textId="77777777" w:rsidR="00657E34" w:rsidRPr="00BC7A12" w:rsidRDefault="00657E34" w:rsidP="007A0C04">
            <w:pPr>
              <w:spacing w:after="0" w:line="240" w:lineRule="auto"/>
              <w:rPr>
                <w:rFonts w:cs="Calibri"/>
                <w:sz w:val="12"/>
                <w:szCs w:val="12"/>
              </w:rPr>
            </w:pPr>
            <w:r w:rsidRPr="00BC7A12">
              <w:rPr>
                <w:rFonts w:cs="Calibri"/>
                <w:sz w:val="12"/>
                <w:szCs w:val="12"/>
              </w:rPr>
              <w:t>Biological characteristics</w:t>
            </w:r>
          </w:p>
        </w:tc>
        <w:tc>
          <w:tcPr>
            <w:tcW w:w="0" w:type="auto"/>
          </w:tcPr>
          <w:p w14:paraId="28FFC6C4" w14:textId="77777777" w:rsidR="00657E34" w:rsidRPr="00BC7A12" w:rsidRDefault="00657E34" w:rsidP="007A0C04">
            <w:pPr>
              <w:spacing w:after="0" w:line="240" w:lineRule="auto"/>
              <w:rPr>
                <w:rFonts w:cs="Calibri"/>
                <w:sz w:val="12"/>
                <w:szCs w:val="12"/>
              </w:rPr>
            </w:pPr>
            <w:r w:rsidRPr="00BC7A12">
              <w:rPr>
                <w:rFonts w:cs="Calibri"/>
                <w:sz w:val="12"/>
                <w:szCs w:val="12"/>
              </w:rPr>
              <w:t>Biological attributes</w:t>
            </w:r>
          </w:p>
        </w:tc>
        <w:tc>
          <w:tcPr>
            <w:tcW w:w="0" w:type="auto"/>
          </w:tcPr>
          <w:p w14:paraId="7779089E"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algal </w:t>
            </w:r>
            <w:proofErr w:type="gramStart"/>
            <w:r w:rsidRPr="00BC7A12">
              <w:rPr>
                <w:rFonts w:cs="Calibri"/>
                <w:sz w:val="12"/>
                <w:szCs w:val="12"/>
              </w:rPr>
              <w:t>bloom,  water</w:t>
            </w:r>
            <w:proofErr w:type="gramEnd"/>
            <w:r w:rsidRPr="00BC7A12">
              <w:rPr>
                <w:rFonts w:cs="Calibri"/>
                <w:sz w:val="12"/>
                <w:szCs w:val="12"/>
              </w:rPr>
              <w:t xml:space="preserve"> quality, pests (starfish, sea urchins), bleaching </w:t>
            </w:r>
          </w:p>
        </w:tc>
      </w:tr>
      <w:tr w:rsidR="00657E34" w:rsidRPr="00BC7A12" w14:paraId="61C37C10" w14:textId="77777777" w:rsidTr="007A0C04">
        <w:tc>
          <w:tcPr>
            <w:tcW w:w="0" w:type="auto"/>
          </w:tcPr>
          <w:p w14:paraId="0A5063E8" w14:textId="77777777" w:rsidR="00657E34" w:rsidRPr="00BC7A12" w:rsidRDefault="00657E34" w:rsidP="007A0C04">
            <w:pPr>
              <w:spacing w:after="0" w:line="240" w:lineRule="auto"/>
              <w:rPr>
                <w:rFonts w:cs="Calibri"/>
                <w:sz w:val="12"/>
                <w:szCs w:val="12"/>
              </w:rPr>
            </w:pPr>
            <w:r w:rsidRPr="00BC7A12">
              <w:rPr>
                <w:rFonts w:cs="Calibri"/>
                <w:sz w:val="12"/>
                <w:szCs w:val="12"/>
              </w:rPr>
              <w:lastRenderedPageBreak/>
              <w:t>Ecological characteristics</w:t>
            </w:r>
          </w:p>
        </w:tc>
        <w:tc>
          <w:tcPr>
            <w:tcW w:w="0" w:type="auto"/>
          </w:tcPr>
          <w:p w14:paraId="49156491"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Ecological characteristics of system </w:t>
            </w:r>
          </w:p>
        </w:tc>
        <w:tc>
          <w:tcPr>
            <w:tcW w:w="0" w:type="auto"/>
          </w:tcPr>
          <w:p w14:paraId="54BFEBBC" w14:textId="77777777" w:rsidR="00657E34" w:rsidRPr="00BC7A12" w:rsidRDefault="00657E34" w:rsidP="007A0C04">
            <w:pPr>
              <w:spacing w:after="0" w:line="240" w:lineRule="auto"/>
              <w:rPr>
                <w:rFonts w:cs="Calibri"/>
                <w:sz w:val="12"/>
                <w:szCs w:val="12"/>
              </w:rPr>
            </w:pPr>
            <w:r w:rsidRPr="00BC7A12">
              <w:rPr>
                <w:rFonts w:cs="Calibri"/>
                <w:sz w:val="12"/>
                <w:szCs w:val="12"/>
              </w:rPr>
              <w:t>Cover, density, diversity of species</w:t>
            </w:r>
          </w:p>
        </w:tc>
      </w:tr>
      <w:tr w:rsidR="00657E34" w:rsidRPr="00BC7A12" w14:paraId="78AC642E" w14:textId="77777777" w:rsidTr="007A0C04">
        <w:tc>
          <w:tcPr>
            <w:tcW w:w="0" w:type="auto"/>
          </w:tcPr>
          <w:p w14:paraId="237B59D1" w14:textId="77777777" w:rsidR="00657E34" w:rsidRPr="00BC7A12" w:rsidRDefault="00657E34" w:rsidP="007A0C04">
            <w:pPr>
              <w:spacing w:after="0" w:line="240" w:lineRule="auto"/>
              <w:rPr>
                <w:rFonts w:cs="Calibri"/>
                <w:sz w:val="12"/>
                <w:szCs w:val="12"/>
              </w:rPr>
            </w:pPr>
            <w:r w:rsidRPr="00BC7A12">
              <w:rPr>
                <w:rFonts w:cs="Calibri"/>
                <w:sz w:val="12"/>
                <w:szCs w:val="12"/>
              </w:rPr>
              <w:t>Biotic assets</w:t>
            </w:r>
          </w:p>
        </w:tc>
        <w:tc>
          <w:tcPr>
            <w:tcW w:w="0" w:type="auto"/>
          </w:tcPr>
          <w:p w14:paraId="4E315EE6" w14:textId="77777777" w:rsidR="00657E34" w:rsidRPr="00BC7A12" w:rsidRDefault="00657E34" w:rsidP="007A0C04">
            <w:pPr>
              <w:spacing w:after="0" w:line="240" w:lineRule="auto"/>
              <w:rPr>
                <w:rFonts w:cs="Calibri"/>
                <w:sz w:val="12"/>
                <w:szCs w:val="12"/>
              </w:rPr>
            </w:pPr>
            <w:r w:rsidRPr="00BC7A12">
              <w:rPr>
                <w:rFonts w:cs="Calibri"/>
                <w:sz w:val="12"/>
                <w:szCs w:val="12"/>
              </w:rPr>
              <w:t>Living natural assets</w:t>
            </w:r>
          </w:p>
        </w:tc>
        <w:tc>
          <w:tcPr>
            <w:tcW w:w="0" w:type="auto"/>
          </w:tcPr>
          <w:p w14:paraId="57126B54"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Aquatic plants, seaweeds, fish, birds, shrubs, trees, </w:t>
            </w:r>
          </w:p>
        </w:tc>
      </w:tr>
      <w:tr w:rsidR="00657E34" w:rsidRPr="00BC7A12" w14:paraId="4C789592" w14:textId="77777777" w:rsidTr="007A0C04">
        <w:tc>
          <w:tcPr>
            <w:tcW w:w="0" w:type="auto"/>
          </w:tcPr>
          <w:p w14:paraId="088C43C8" w14:textId="77777777" w:rsidR="00657E34" w:rsidRPr="00BC7A12" w:rsidRDefault="00657E34" w:rsidP="007A0C04">
            <w:pPr>
              <w:spacing w:after="0" w:line="240" w:lineRule="auto"/>
              <w:rPr>
                <w:rFonts w:cs="Calibri"/>
                <w:sz w:val="12"/>
                <w:szCs w:val="12"/>
              </w:rPr>
            </w:pPr>
            <w:r w:rsidRPr="00BC7A12">
              <w:rPr>
                <w:rFonts w:cs="Calibri"/>
                <w:sz w:val="12"/>
                <w:szCs w:val="12"/>
              </w:rPr>
              <w:t>Abiotic assets</w:t>
            </w:r>
          </w:p>
        </w:tc>
        <w:tc>
          <w:tcPr>
            <w:tcW w:w="0" w:type="auto"/>
          </w:tcPr>
          <w:p w14:paraId="081107EE" w14:textId="77777777" w:rsidR="00657E34" w:rsidRPr="00BC7A12" w:rsidRDefault="00657E34" w:rsidP="007A0C04">
            <w:pPr>
              <w:spacing w:after="0" w:line="240" w:lineRule="auto"/>
              <w:rPr>
                <w:rFonts w:cs="Calibri"/>
                <w:sz w:val="12"/>
                <w:szCs w:val="12"/>
              </w:rPr>
            </w:pPr>
            <w:r w:rsidRPr="00BC7A12">
              <w:rPr>
                <w:rFonts w:cs="Calibri"/>
                <w:sz w:val="12"/>
                <w:szCs w:val="12"/>
              </w:rPr>
              <w:t>Nonliving natural assets</w:t>
            </w:r>
          </w:p>
        </w:tc>
        <w:tc>
          <w:tcPr>
            <w:tcW w:w="0" w:type="auto"/>
          </w:tcPr>
          <w:p w14:paraId="1069F8C0" w14:textId="77777777" w:rsidR="00657E34" w:rsidRPr="00BC7A12" w:rsidRDefault="00657E34" w:rsidP="007A0C04">
            <w:pPr>
              <w:spacing w:after="0" w:line="240" w:lineRule="auto"/>
              <w:rPr>
                <w:rFonts w:cs="Calibri"/>
                <w:sz w:val="12"/>
                <w:szCs w:val="12"/>
              </w:rPr>
            </w:pPr>
            <w:r w:rsidRPr="00BC7A12">
              <w:rPr>
                <w:rFonts w:cs="Calibri"/>
                <w:sz w:val="12"/>
                <w:szCs w:val="12"/>
              </w:rPr>
              <w:t>Beach, seafloor sediments and rocks</w:t>
            </w:r>
          </w:p>
        </w:tc>
      </w:tr>
      <w:tr w:rsidR="00657E34" w:rsidRPr="00BC7A12" w14:paraId="45E20073" w14:textId="77777777" w:rsidTr="007A0C04">
        <w:tc>
          <w:tcPr>
            <w:tcW w:w="0" w:type="auto"/>
          </w:tcPr>
          <w:p w14:paraId="490EE83E" w14:textId="77777777" w:rsidR="00657E34" w:rsidRPr="00BC7A12" w:rsidRDefault="00657E34" w:rsidP="007A0C04">
            <w:pPr>
              <w:spacing w:after="0" w:line="240" w:lineRule="auto"/>
              <w:rPr>
                <w:rFonts w:cs="Calibri"/>
                <w:sz w:val="12"/>
                <w:szCs w:val="12"/>
              </w:rPr>
            </w:pPr>
            <w:r w:rsidRPr="00BC7A12">
              <w:rPr>
                <w:rFonts w:cs="Calibri"/>
                <w:sz w:val="12"/>
                <w:szCs w:val="12"/>
              </w:rPr>
              <w:t>Biotic physical services</w:t>
            </w:r>
          </w:p>
        </w:tc>
        <w:tc>
          <w:tcPr>
            <w:tcW w:w="0" w:type="auto"/>
          </w:tcPr>
          <w:p w14:paraId="5BF06312" w14:textId="77777777" w:rsidR="00657E34" w:rsidRPr="00BC7A12" w:rsidRDefault="00657E34" w:rsidP="007A0C04">
            <w:pPr>
              <w:spacing w:after="0" w:line="240" w:lineRule="auto"/>
              <w:rPr>
                <w:rFonts w:cs="Calibri"/>
                <w:sz w:val="12"/>
                <w:szCs w:val="12"/>
              </w:rPr>
            </w:pPr>
            <w:r w:rsidRPr="00BC7A12">
              <w:rPr>
                <w:rFonts w:cs="Calibri"/>
                <w:sz w:val="12"/>
                <w:szCs w:val="12"/>
              </w:rPr>
              <w:t>Services that living components of the system provide</w:t>
            </w:r>
          </w:p>
        </w:tc>
        <w:tc>
          <w:tcPr>
            <w:tcW w:w="0" w:type="auto"/>
          </w:tcPr>
          <w:p w14:paraId="30158D7F" w14:textId="77777777" w:rsidR="00657E34" w:rsidRPr="00BC7A12" w:rsidRDefault="00657E34" w:rsidP="007A0C04">
            <w:pPr>
              <w:spacing w:after="0" w:line="240" w:lineRule="auto"/>
              <w:rPr>
                <w:rFonts w:cs="Calibri"/>
                <w:sz w:val="12"/>
                <w:szCs w:val="12"/>
              </w:rPr>
            </w:pPr>
            <w:r w:rsidRPr="00BC7A12">
              <w:rPr>
                <w:rFonts w:cs="Calibri"/>
                <w:sz w:val="12"/>
                <w:szCs w:val="12"/>
              </w:rPr>
              <w:t>Protection of human property (wave attenuation, wind speed reduction), habitat services, carbon sequestration and storage, cultural services, tourism</w:t>
            </w:r>
          </w:p>
        </w:tc>
      </w:tr>
      <w:tr w:rsidR="00657E34" w:rsidRPr="00BC7A12" w14:paraId="489D1A2D" w14:textId="77777777" w:rsidTr="007A0C04">
        <w:tc>
          <w:tcPr>
            <w:tcW w:w="0" w:type="auto"/>
          </w:tcPr>
          <w:p w14:paraId="0A382847" w14:textId="77777777" w:rsidR="00657E34" w:rsidRPr="00BC7A12" w:rsidRDefault="00657E34" w:rsidP="007A0C04">
            <w:pPr>
              <w:spacing w:after="0" w:line="240" w:lineRule="auto"/>
              <w:rPr>
                <w:rFonts w:cs="Calibri"/>
                <w:sz w:val="12"/>
                <w:szCs w:val="12"/>
              </w:rPr>
            </w:pPr>
            <w:r w:rsidRPr="00BC7A12">
              <w:rPr>
                <w:rFonts w:cs="Calibri"/>
                <w:sz w:val="12"/>
                <w:szCs w:val="12"/>
              </w:rPr>
              <w:t>Biotic monetary services</w:t>
            </w:r>
          </w:p>
        </w:tc>
        <w:tc>
          <w:tcPr>
            <w:tcW w:w="0" w:type="auto"/>
          </w:tcPr>
          <w:p w14:paraId="276DDFDF"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Valuation of physical services </w:t>
            </w:r>
          </w:p>
        </w:tc>
        <w:tc>
          <w:tcPr>
            <w:tcW w:w="0" w:type="auto"/>
          </w:tcPr>
          <w:p w14:paraId="3D322AB4" w14:textId="77777777" w:rsidR="00657E34" w:rsidRPr="00BC7A12" w:rsidRDefault="00657E34" w:rsidP="007A0C04">
            <w:pPr>
              <w:spacing w:after="0" w:line="240" w:lineRule="auto"/>
              <w:rPr>
                <w:rFonts w:cs="Calibri"/>
                <w:sz w:val="12"/>
                <w:szCs w:val="12"/>
              </w:rPr>
            </w:pPr>
            <w:r w:rsidRPr="00BC7A12">
              <w:rPr>
                <w:rFonts w:cs="Calibri"/>
                <w:sz w:val="12"/>
                <w:szCs w:val="12"/>
              </w:rPr>
              <w:t>As above, but valuation perspective</w:t>
            </w:r>
          </w:p>
        </w:tc>
      </w:tr>
      <w:tr w:rsidR="00657E34" w:rsidRPr="00BC7A12" w14:paraId="1E74E739" w14:textId="77777777" w:rsidTr="007A0C04">
        <w:tc>
          <w:tcPr>
            <w:tcW w:w="0" w:type="auto"/>
          </w:tcPr>
          <w:p w14:paraId="4E020192" w14:textId="77777777" w:rsidR="00657E34" w:rsidRPr="00BC7A12" w:rsidRDefault="00657E34" w:rsidP="007A0C04">
            <w:pPr>
              <w:spacing w:after="0" w:line="240" w:lineRule="auto"/>
              <w:rPr>
                <w:rFonts w:cs="Calibri"/>
                <w:sz w:val="12"/>
                <w:szCs w:val="12"/>
              </w:rPr>
            </w:pPr>
            <w:r w:rsidRPr="00BC7A12">
              <w:rPr>
                <w:rFonts w:cs="Calibri"/>
                <w:sz w:val="12"/>
                <w:szCs w:val="12"/>
              </w:rPr>
              <w:t>Abiotic physical services</w:t>
            </w:r>
          </w:p>
        </w:tc>
        <w:tc>
          <w:tcPr>
            <w:tcW w:w="0" w:type="auto"/>
          </w:tcPr>
          <w:p w14:paraId="3E0313FB" w14:textId="77777777" w:rsidR="00657E34" w:rsidRPr="00BC7A12" w:rsidRDefault="00657E34" w:rsidP="007A0C04">
            <w:pPr>
              <w:spacing w:after="0" w:line="240" w:lineRule="auto"/>
              <w:rPr>
                <w:rFonts w:cs="Calibri"/>
                <w:sz w:val="12"/>
                <w:szCs w:val="12"/>
              </w:rPr>
            </w:pPr>
            <w:r w:rsidRPr="00BC7A12">
              <w:rPr>
                <w:rFonts w:cs="Calibri"/>
                <w:sz w:val="12"/>
                <w:szCs w:val="12"/>
              </w:rPr>
              <w:t>Non-living components the system provides</w:t>
            </w:r>
          </w:p>
        </w:tc>
        <w:tc>
          <w:tcPr>
            <w:tcW w:w="0" w:type="auto"/>
          </w:tcPr>
          <w:p w14:paraId="17226B23"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Wind and wave energy reduction, </w:t>
            </w:r>
          </w:p>
        </w:tc>
      </w:tr>
      <w:tr w:rsidR="00657E34" w:rsidRPr="00BC7A12" w14:paraId="7135252F" w14:textId="77777777" w:rsidTr="007A0C04">
        <w:tc>
          <w:tcPr>
            <w:tcW w:w="0" w:type="auto"/>
          </w:tcPr>
          <w:p w14:paraId="05D73074" w14:textId="77777777" w:rsidR="00657E34" w:rsidRPr="00BC7A12" w:rsidRDefault="00657E34" w:rsidP="007A0C04">
            <w:pPr>
              <w:spacing w:after="0" w:line="240" w:lineRule="auto"/>
              <w:rPr>
                <w:rFonts w:cs="Calibri"/>
                <w:sz w:val="12"/>
                <w:szCs w:val="12"/>
              </w:rPr>
            </w:pPr>
            <w:r w:rsidRPr="00BC7A12">
              <w:rPr>
                <w:rFonts w:cs="Calibri"/>
                <w:sz w:val="12"/>
                <w:szCs w:val="12"/>
              </w:rPr>
              <w:t>Abiotic monetary services</w:t>
            </w:r>
          </w:p>
        </w:tc>
        <w:tc>
          <w:tcPr>
            <w:tcW w:w="0" w:type="auto"/>
          </w:tcPr>
          <w:p w14:paraId="2B6A9534"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Valuation of abiotic physical services </w:t>
            </w:r>
          </w:p>
        </w:tc>
        <w:tc>
          <w:tcPr>
            <w:tcW w:w="0" w:type="auto"/>
          </w:tcPr>
          <w:p w14:paraId="32EAB52C"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Wave attenuation of rocky reef </w:t>
            </w:r>
          </w:p>
        </w:tc>
      </w:tr>
    </w:tbl>
    <w:p w14:paraId="1EE071DD" w14:textId="77777777" w:rsidR="00657E34" w:rsidRPr="00BC7A12" w:rsidRDefault="00657E34" w:rsidP="00CD762C">
      <w:pPr>
        <w:rPr>
          <w:rFonts w:eastAsia="Times New Roman" w:cs="Calibri"/>
        </w:rPr>
      </w:pPr>
    </w:p>
    <w:p w14:paraId="237CF371" w14:textId="77777777" w:rsidR="00657E34" w:rsidRPr="00BC7A12" w:rsidRDefault="00657E34" w:rsidP="00CD762C">
      <w:pPr>
        <w:spacing w:after="200" w:line="276" w:lineRule="auto"/>
        <w:jc w:val="left"/>
        <w:rPr>
          <w:rFonts w:eastAsia="Times New Roman" w:cs="Calibri"/>
        </w:rPr>
      </w:pPr>
      <w:r w:rsidRPr="00BC7A12">
        <w:rPr>
          <w:rFonts w:eastAsia="Times New Roman" w:cs="Calibri"/>
        </w:rPr>
        <w:br w:type="page"/>
      </w:r>
    </w:p>
    <w:p w14:paraId="76BA4ABC" w14:textId="77777777" w:rsidR="00657E34" w:rsidRPr="00BC7A12" w:rsidRDefault="00657E34" w:rsidP="00657E34">
      <w:pPr>
        <w:rPr>
          <w:rFonts w:cs="Calibri"/>
        </w:rPr>
      </w:pPr>
      <w:r w:rsidRPr="00BC7A12">
        <w:rPr>
          <w:rFonts w:cs="Calibri"/>
        </w:rPr>
        <w:lastRenderedPageBreak/>
        <w:t xml:space="preserve">Appendix 5 History of ecosystem services </w:t>
      </w:r>
      <w:proofErr w:type="spellStart"/>
      <w:r w:rsidRPr="00BC7A12">
        <w:rPr>
          <w:rFonts w:cs="Calibri"/>
        </w:rPr>
        <w:t>classification</w:t>
      </w:r>
      <w:r w:rsidR="003279F7" w:rsidRPr="00BC7A12">
        <w:rPr>
          <w:rFonts w:cs="Calibri"/>
        </w:rPr>
        <w:fldChar w:fldCharType="end"/>
      </w:r>
      <w:r w:rsidR="003279F7" w:rsidRPr="00BC7A12">
        <w:rPr>
          <w:rFonts w:cs="Calibri"/>
        </w:rPr>
        <w:t>shows</w:t>
      </w:r>
      <w:proofErr w:type="spellEnd"/>
      <w:r w:rsidR="003279F7" w:rsidRPr="00BC7A12">
        <w:rPr>
          <w:rFonts w:cs="Calibri"/>
        </w:rPr>
        <w:t xml:space="preserve"> that a lack of precision leads to poor selection of metrics and therefore less </w:t>
      </w:r>
      <w:r w:rsidR="007C59AD" w:rsidRPr="00BC7A12">
        <w:rPr>
          <w:rFonts w:cs="Calibri"/>
        </w:rPr>
        <w:t>precise</w:t>
      </w:r>
      <w:r w:rsidR="003279F7" w:rsidRPr="00BC7A12">
        <w:rPr>
          <w:rFonts w:cs="Calibri"/>
        </w:rPr>
        <w:t xml:space="preserve"> valuations.</w:t>
      </w:r>
      <w:r w:rsidR="00D34C7F" w:rsidRPr="00BC7A12">
        <w:rPr>
          <w:rFonts w:cs="Calibri"/>
        </w:rPr>
        <w:t xml:space="preserve"> This may not be important to building general awareness </w:t>
      </w:r>
      <w:r w:rsidR="00C35DE3">
        <w:rPr>
          <w:rFonts w:cs="Calibri"/>
        </w:rPr>
        <w:t xml:space="preserve">of </w:t>
      </w:r>
      <w:r w:rsidR="00D34C7F" w:rsidRPr="00BC7A12">
        <w:rPr>
          <w:rFonts w:cs="Calibri"/>
        </w:rPr>
        <w:t>the D</w:t>
      </w:r>
      <w:r w:rsidR="00C35DE3">
        <w:rPr>
          <w:rFonts w:cs="Calibri"/>
        </w:rPr>
        <w:t>R</w:t>
      </w:r>
      <w:r w:rsidR="00D34C7F" w:rsidRPr="00BC7A12">
        <w:rPr>
          <w:rFonts w:cs="Calibri"/>
        </w:rPr>
        <w:t>R ecosystem services, but for coastal planning, this becomes critical in quantitative and monetary analysis. Moreover, when integrat</w:t>
      </w:r>
      <w:r w:rsidR="00C35DE3">
        <w:rPr>
          <w:rFonts w:cs="Calibri"/>
        </w:rPr>
        <w:t>ing</w:t>
      </w:r>
      <w:r w:rsidR="00D34C7F" w:rsidRPr="00BC7A12">
        <w:rPr>
          <w:rFonts w:cs="Calibri"/>
        </w:rPr>
        <w:t xml:space="preserve"> DRR values with </w:t>
      </w:r>
      <w:r w:rsidR="00320DDC" w:rsidRPr="00BC7A12">
        <w:rPr>
          <w:rFonts w:cs="Calibri"/>
        </w:rPr>
        <w:t>those related to fisheries and wood products, these distinctions are essential to avoid double counting (</w:t>
      </w:r>
      <w:r w:rsidR="00320DDC" w:rsidRPr="00BC7A12">
        <w:rPr>
          <w:rFonts w:cs="Calibri"/>
        </w:rPr>
        <w:fldChar w:fldCharType="begin"/>
      </w:r>
      <w:r w:rsidR="00320DDC" w:rsidRPr="00BC7A12">
        <w:rPr>
          <w:rFonts w:cs="Calibri"/>
        </w:rPr>
        <w:instrText xml:space="preserve"> REF _Ref43147341 \h </w:instrText>
      </w:r>
      <w:r w:rsidR="00BC7A12">
        <w:rPr>
          <w:rFonts w:cs="Calibri"/>
        </w:rPr>
        <w:instrText xml:space="preserve"> \* MERGEFORMAT </w:instrText>
      </w:r>
      <w:r w:rsidR="00320DDC" w:rsidRPr="00BC7A12">
        <w:rPr>
          <w:rFonts w:cs="Calibri"/>
        </w:rPr>
      </w:r>
      <w:r w:rsidR="00320DDC" w:rsidRPr="00BC7A12">
        <w:rPr>
          <w:rFonts w:cs="Calibri"/>
        </w:rPr>
        <w:fldChar w:fldCharType="separate"/>
      </w:r>
      <w:r w:rsidRPr="00BC7A12">
        <w:rPr>
          <w:rFonts w:cs="Calibri"/>
        </w:rPr>
        <w:t xml:space="preserve">Appendix 4 Natural capital accounting data structure  </w:t>
      </w:r>
    </w:p>
    <w:p w14:paraId="63D20D4C" w14:textId="77777777" w:rsidR="00657E34" w:rsidRPr="00BC7A12" w:rsidRDefault="00657E34" w:rsidP="00CD762C">
      <w:pPr>
        <w:rPr>
          <w:rFonts w:cs="Calibri"/>
        </w:rPr>
      </w:pPr>
      <w:r w:rsidRPr="00BC7A12">
        <w:rPr>
          <w:rFonts w:cs="Calibri"/>
        </w:rPr>
        <w:t xml:space="preserve">The System of Environmental-Economic Accounting (SEEA) </w:t>
      </w:r>
      <w:r w:rsidRPr="00BC7A12">
        <w:rPr>
          <w:rFonts w:cs="Calibri"/>
          <w:noProof/>
        </w:rPr>
        <w:t>(United Nations et al. 2014b)</w:t>
      </w:r>
      <w:r w:rsidRPr="00BC7A12">
        <w:rPr>
          <w:rFonts w:cs="Calibri"/>
        </w:rPr>
        <w:t xml:space="preserve"> is the global standard for natural capital accounting. One component of SEEA, is that provides uniform classification of data for improved speed and accuracy in defining and discovering data.  </w:t>
      </w:r>
      <w:r>
        <w:rPr>
          <w:rFonts w:cs="Calibri"/>
          <w:b/>
          <w:bCs/>
          <w:lang w:val="en-US"/>
        </w:rPr>
        <w:t>Error! Reference source not found.</w:t>
      </w:r>
      <w:r w:rsidRPr="00BC7A12">
        <w:rPr>
          <w:rFonts w:cs="Calibri"/>
        </w:rPr>
        <w:t xml:space="preserve"> demonstrated how SEEA organized different social and economic data. </w:t>
      </w:r>
    </w:p>
    <w:p w14:paraId="0C551852" w14:textId="77777777" w:rsidR="00657E34" w:rsidRPr="00BC7A12" w:rsidRDefault="00657E34" w:rsidP="00F0367C">
      <w:pPr>
        <w:pStyle w:val="Caption"/>
        <w:keepNext/>
        <w:rPr>
          <w:rFonts w:cs="Calibri"/>
        </w:rPr>
      </w:pPr>
      <w:r w:rsidRPr="00BC7A12">
        <w:rPr>
          <w:rFonts w:cs="Calibri"/>
        </w:rPr>
        <w:t xml:space="preserve">Table </w:t>
      </w:r>
      <w:r>
        <w:rPr>
          <w:rFonts w:cs="Calibri"/>
          <w:noProof/>
        </w:rPr>
        <w:t>11</w:t>
      </w:r>
      <w:r w:rsidRPr="00BC7A12">
        <w:rPr>
          <w:rFonts w:cs="Calibri"/>
        </w:rPr>
        <w:t xml:space="preserve"> SEEA data classification structure</w:t>
      </w:r>
    </w:p>
    <w:tbl>
      <w:tblPr>
        <w:tblStyle w:val="TableGrid"/>
        <w:tblW w:w="0" w:type="auto"/>
        <w:tblLook w:val="04A0" w:firstRow="1" w:lastRow="0" w:firstColumn="1" w:lastColumn="0" w:noHBand="0" w:noVBand="1"/>
      </w:tblPr>
      <w:tblGrid>
        <w:gridCol w:w="1417"/>
        <w:gridCol w:w="2487"/>
        <w:gridCol w:w="5112"/>
      </w:tblGrid>
      <w:tr w:rsidR="00657E34" w:rsidRPr="00BC7A12" w14:paraId="119CEAC0" w14:textId="77777777" w:rsidTr="007A0C04">
        <w:trPr>
          <w:trHeight w:val="206"/>
          <w:tblHeader/>
        </w:trPr>
        <w:tc>
          <w:tcPr>
            <w:tcW w:w="0" w:type="auto"/>
            <w:gridSpan w:val="3"/>
          </w:tcPr>
          <w:p w14:paraId="3792B0FF" w14:textId="77777777" w:rsidR="00657E34" w:rsidRPr="00BC7A12" w:rsidRDefault="00657E34" w:rsidP="007A0C04">
            <w:pPr>
              <w:spacing w:after="0" w:line="240" w:lineRule="auto"/>
              <w:jc w:val="center"/>
              <w:rPr>
                <w:rFonts w:cs="Calibri"/>
                <w:b/>
                <w:bCs/>
                <w:sz w:val="18"/>
                <w:szCs w:val="18"/>
              </w:rPr>
            </w:pPr>
            <w:r w:rsidRPr="00BC7A12">
              <w:rPr>
                <w:rFonts w:cs="Calibri"/>
                <w:b/>
                <w:bCs/>
                <w:sz w:val="18"/>
                <w:szCs w:val="18"/>
              </w:rPr>
              <w:t xml:space="preserve">Generic SEEA data classification </w:t>
            </w:r>
            <w:proofErr w:type="gramStart"/>
            <w:r w:rsidRPr="00BC7A12">
              <w:rPr>
                <w:rFonts w:cs="Calibri"/>
                <w:b/>
                <w:bCs/>
                <w:sz w:val="18"/>
                <w:szCs w:val="18"/>
              </w:rPr>
              <w:t xml:space="preserve">structure  </w:t>
            </w:r>
            <w:r w:rsidRPr="00BC7A12">
              <w:rPr>
                <w:rFonts w:cs="Calibri"/>
                <w:bCs/>
                <w:noProof/>
                <w:sz w:val="18"/>
                <w:szCs w:val="18"/>
              </w:rPr>
              <w:t>(</w:t>
            </w:r>
            <w:proofErr w:type="gramEnd"/>
            <w:r w:rsidRPr="00BC7A12">
              <w:rPr>
                <w:rFonts w:cs="Calibri"/>
                <w:bCs/>
                <w:noProof/>
                <w:sz w:val="18"/>
                <w:szCs w:val="18"/>
              </w:rPr>
              <w:t>adopted from United Nations Statistics Division 2018)</w:t>
            </w:r>
          </w:p>
        </w:tc>
      </w:tr>
      <w:tr w:rsidR="00657E34" w:rsidRPr="00BC7A12" w14:paraId="66BECF4A" w14:textId="77777777" w:rsidTr="007A0C04">
        <w:trPr>
          <w:tblHeader/>
        </w:trPr>
        <w:tc>
          <w:tcPr>
            <w:tcW w:w="0" w:type="auto"/>
          </w:tcPr>
          <w:p w14:paraId="4BE67F7F"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Subcomponent</w:t>
            </w:r>
          </w:p>
        </w:tc>
        <w:tc>
          <w:tcPr>
            <w:tcW w:w="0" w:type="auto"/>
          </w:tcPr>
          <w:p w14:paraId="64B60A5E"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Definition</w:t>
            </w:r>
          </w:p>
        </w:tc>
        <w:tc>
          <w:tcPr>
            <w:tcW w:w="0" w:type="auto"/>
          </w:tcPr>
          <w:p w14:paraId="36B8B32E"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Example</w:t>
            </w:r>
          </w:p>
        </w:tc>
      </w:tr>
      <w:tr w:rsidR="00657E34" w:rsidRPr="00BC7A12" w14:paraId="515CAFEE" w14:textId="77777777" w:rsidTr="007A0C04">
        <w:tc>
          <w:tcPr>
            <w:tcW w:w="0" w:type="auto"/>
          </w:tcPr>
          <w:p w14:paraId="41233315" w14:textId="77777777" w:rsidR="00657E34" w:rsidRPr="00BC7A12" w:rsidRDefault="00657E34" w:rsidP="007A0C04">
            <w:pPr>
              <w:spacing w:after="0" w:line="240" w:lineRule="auto"/>
              <w:rPr>
                <w:rFonts w:cs="Calibri"/>
                <w:sz w:val="12"/>
                <w:szCs w:val="12"/>
              </w:rPr>
            </w:pPr>
            <w:r w:rsidRPr="00BC7A12">
              <w:rPr>
                <w:rFonts w:cs="Calibri"/>
                <w:sz w:val="12"/>
                <w:szCs w:val="12"/>
              </w:rPr>
              <w:t>Physical extent</w:t>
            </w:r>
          </w:p>
        </w:tc>
        <w:tc>
          <w:tcPr>
            <w:tcW w:w="0" w:type="auto"/>
          </w:tcPr>
          <w:p w14:paraId="7E6B875D" w14:textId="77777777" w:rsidR="00657E34" w:rsidRPr="00BC7A12" w:rsidRDefault="00657E34" w:rsidP="007A0C04">
            <w:pPr>
              <w:spacing w:after="0" w:line="240" w:lineRule="auto"/>
              <w:rPr>
                <w:rFonts w:cs="Calibri"/>
                <w:sz w:val="12"/>
                <w:szCs w:val="12"/>
              </w:rPr>
            </w:pPr>
            <w:r w:rsidRPr="00BC7A12">
              <w:rPr>
                <w:rFonts w:cs="Calibri"/>
                <w:sz w:val="12"/>
                <w:szCs w:val="12"/>
              </w:rPr>
              <w:t>Area in terms of coverage and arrangement</w:t>
            </w:r>
          </w:p>
        </w:tc>
        <w:tc>
          <w:tcPr>
            <w:tcW w:w="0" w:type="auto"/>
          </w:tcPr>
          <w:p w14:paraId="7E34F9B6"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Topography, geography </w:t>
            </w:r>
          </w:p>
        </w:tc>
      </w:tr>
      <w:tr w:rsidR="00657E34" w:rsidRPr="00BC7A12" w14:paraId="33796A80" w14:textId="77777777" w:rsidTr="007A0C04">
        <w:tc>
          <w:tcPr>
            <w:tcW w:w="0" w:type="auto"/>
          </w:tcPr>
          <w:p w14:paraId="6BD61E31" w14:textId="77777777" w:rsidR="00657E34" w:rsidRPr="00BC7A12" w:rsidRDefault="00657E34" w:rsidP="007A0C04">
            <w:pPr>
              <w:spacing w:after="0" w:line="240" w:lineRule="auto"/>
              <w:rPr>
                <w:rFonts w:cs="Calibri"/>
                <w:sz w:val="12"/>
                <w:szCs w:val="12"/>
              </w:rPr>
            </w:pPr>
            <w:r w:rsidRPr="00BC7A12">
              <w:rPr>
                <w:rFonts w:cs="Calibri"/>
                <w:sz w:val="12"/>
                <w:szCs w:val="12"/>
              </w:rPr>
              <w:t>Institutional extent</w:t>
            </w:r>
          </w:p>
        </w:tc>
        <w:tc>
          <w:tcPr>
            <w:tcW w:w="0" w:type="auto"/>
          </w:tcPr>
          <w:p w14:paraId="10512AC0" w14:textId="77777777" w:rsidR="00657E34" w:rsidRPr="00BC7A12" w:rsidRDefault="00657E34" w:rsidP="007A0C04">
            <w:pPr>
              <w:spacing w:after="0" w:line="240" w:lineRule="auto"/>
              <w:rPr>
                <w:rFonts w:cs="Calibri"/>
                <w:sz w:val="12"/>
                <w:szCs w:val="12"/>
              </w:rPr>
            </w:pPr>
            <w:r w:rsidRPr="00BC7A12">
              <w:rPr>
                <w:rFonts w:cs="Calibri"/>
                <w:sz w:val="12"/>
                <w:szCs w:val="12"/>
              </w:rPr>
              <w:t>Zoning such as regulatory and planning areas</w:t>
            </w:r>
          </w:p>
        </w:tc>
        <w:tc>
          <w:tcPr>
            <w:tcW w:w="0" w:type="auto"/>
          </w:tcPr>
          <w:p w14:paraId="14E1BF6D"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State and Council Zones, Ramsar boundaries </w:t>
            </w:r>
          </w:p>
        </w:tc>
      </w:tr>
      <w:tr w:rsidR="00657E34" w:rsidRPr="00BC7A12" w14:paraId="499F8476" w14:textId="77777777" w:rsidTr="007A0C04">
        <w:tc>
          <w:tcPr>
            <w:tcW w:w="0" w:type="auto"/>
          </w:tcPr>
          <w:p w14:paraId="53F7894A" w14:textId="77777777" w:rsidR="00657E34" w:rsidRPr="00BC7A12" w:rsidRDefault="00657E34" w:rsidP="007A0C04">
            <w:pPr>
              <w:spacing w:after="0" w:line="240" w:lineRule="auto"/>
              <w:rPr>
                <w:rFonts w:cs="Calibri"/>
                <w:sz w:val="12"/>
                <w:szCs w:val="12"/>
              </w:rPr>
            </w:pPr>
            <w:r w:rsidRPr="00BC7A12">
              <w:rPr>
                <w:rFonts w:cs="Calibri"/>
                <w:sz w:val="12"/>
                <w:szCs w:val="12"/>
              </w:rPr>
              <w:t>Ecosystem extent</w:t>
            </w:r>
          </w:p>
        </w:tc>
        <w:tc>
          <w:tcPr>
            <w:tcW w:w="0" w:type="auto"/>
          </w:tcPr>
          <w:p w14:paraId="5A5ABF16" w14:textId="77777777" w:rsidR="00657E34" w:rsidRPr="00BC7A12" w:rsidRDefault="00657E34" w:rsidP="007A0C04">
            <w:pPr>
              <w:spacing w:after="0" w:line="240" w:lineRule="auto"/>
              <w:rPr>
                <w:rFonts w:cs="Calibri"/>
                <w:sz w:val="12"/>
                <w:szCs w:val="12"/>
              </w:rPr>
            </w:pPr>
            <w:r w:rsidRPr="00BC7A12">
              <w:rPr>
                <w:rFonts w:cs="Calibri"/>
                <w:sz w:val="12"/>
                <w:szCs w:val="12"/>
              </w:rPr>
              <w:t>Extent and composition of the ecosystem types</w:t>
            </w:r>
          </w:p>
        </w:tc>
        <w:tc>
          <w:tcPr>
            <w:tcW w:w="0" w:type="auto"/>
          </w:tcPr>
          <w:p w14:paraId="66619BB6"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Seagrass, rocky reef, </w:t>
            </w:r>
            <w:proofErr w:type="gramStart"/>
            <w:r w:rsidRPr="00BC7A12">
              <w:rPr>
                <w:rFonts w:cs="Calibri"/>
                <w:sz w:val="12"/>
                <w:szCs w:val="12"/>
              </w:rPr>
              <w:t>mangrove</w:t>
            </w:r>
            <w:proofErr w:type="gramEnd"/>
            <w:r w:rsidRPr="00BC7A12">
              <w:rPr>
                <w:rFonts w:cs="Calibri"/>
                <w:sz w:val="12"/>
                <w:szCs w:val="12"/>
              </w:rPr>
              <w:t xml:space="preserve"> and salt</w:t>
            </w:r>
            <w:r>
              <w:rPr>
                <w:rFonts w:cs="Calibri"/>
                <w:sz w:val="12"/>
                <w:szCs w:val="12"/>
              </w:rPr>
              <w:t xml:space="preserve"> </w:t>
            </w:r>
            <w:r w:rsidRPr="00BC7A12">
              <w:rPr>
                <w:rFonts w:cs="Calibri"/>
                <w:sz w:val="12"/>
                <w:szCs w:val="12"/>
              </w:rPr>
              <w:t xml:space="preserve">marshes </w:t>
            </w:r>
          </w:p>
        </w:tc>
      </w:tr>
      <w:tr w:rsidR="00657E34" w:rsidRPr="00BC7A12" w14:paraId="2093EA9F" w14:textId="77777777" w:rsidTr="007A0C04">
        <w:tc>
          <w:tcPr>
            <w:tcW w:w="0" w:type="auto"/>
          </w:tcPr>
          <w:p w14:paraId="07A97990" w14:textId="77777777" w:rsidR="00657E34" w:rsidRPr="00BC7A12" w:rsidRDefault="00657E34" w:rsidP="007A0C04">
            <w:pPr>
              <w:spacing w:after="0" w:line="240" w:lineRule="auto"/>
              <w:rPr>
                <w:rFonts w:cs="Calibri"/>
                <w:sz w:val="12"/>
                <w:szCs w:val="12"/>
              </w:rPr>
            </w:pPr>
            <w:r w:rsidRPr="00BC7A12">
              <w:rPr>
                <w:rFonts w:cs="Calibri"/>
                <w:sz w:val="12"/>
                <w:szCs w:val="12"/>
              </w:rPr>
              <w:t>Context</w:t>
            </w:r>
          </w:p>
        </w:tc>
        <w:tc>
          <w:tcPr>
            <w:tcW w:w="0" w:type="auto"/>
          </w:tcPr>
          <w:p w14:paraId="0BA942DC" w14:textId="77777777" w:rsidR="00657E34" w:rsidRPr="00BC7A12" w:rsidRDefault="00657E34" w:rsidP="007A0C04">
            <w:pPr>
              <w:spacing w:after="0" w:line="240" w:lineRule="auto"/>
              <w:rPr>
                <w:rFonts w:cs="Calibri"/>
                <w:sz w:val="12"/>
                <w:szCs w:val="12"/>
              </w:rPr>
            </w:pPr>
            <w:r w:rsidRPr="00BC7A12">
              <w:rPr>
                <w:rFonts w:cs="Calibri"/>
                <w:sz w:val="12"/>
                <w:szCs w:val="12"/>
              </w:rPr>
              <w:t>Contextual information that makes up the broader socio-ecological system</w:t>
            </w:r>
          </w:p>
        </w:tc>
        <w:tc>
          <w:tcPr>
            <w:tcW w:w="0" w:type="auto"/>
          </w:tcPr>
          <w:p w14:paraId="7776B894"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Cities, agricultural land, river connections </w:t>
            </w:r>
          </w:p>
        </w:tc>
      </w:tr>
      <w:tr w:rsidR="00657E34" w:rsidRPr="00BC7A12" w14:paraId="55D984E3" w14:textId="77777777" w:rsidTr="007A0C04">
        <w:tc>
          <w:tcPr>
            <w:tcW w:w="0" w:type="auto"/>
          </w:tcPr>
          <w:p w14:paraId="659C9C1E" w14:textId="77777777" w:rsidR="00657E34" w:rsidRPr="00BC7A12" w:rsidRDefault="00657E34" w:rsidP="007A0C04">
            <w:pPr>
              <w:spacing w:after="0" w:line="240" w:lineRule="auto"/>
              <w:rPr>
                <w:rFonts w:cs="Calibri"/>
                <w:sz w:val="12"/>
                <w:szCs w:val="12"/>
              </w:rPr>
            </w:pPr>
            <w:r w:rsidRPr="00BC7A12">
              <w:rPr>
                <w:rFonts w:cs="Calibri"/>
                <w:sz w:val="12"/>
                <w:szCs w:val="12"/>
              </w:rPr>
              <w:t>Coastal use</w:t>
            </w:r>
          </w:p>
        </w:tc>
        <w:tc>
          <w:tcPr>
            <w:tcW w:w="0" w:type="auto"/>
          </w:tcPr>
          <w:p w14:paraId="441E1A3E" w14:textId="77777777" w:rsidR="00657E34" w:rsidRPr="00BC7A12" w:rsidRDefault="00657E34" w:rsidP="007A0C04">
            <w:pPr>
              <w:spacing w:after="0" w:line="240" w:lineRule="auto"/>
              <w:rPr>
                <w:rFonts w:cs="Calibri"/>
                <w:sz w:val="12"/>
                <w:szCs w:val="12"/>
              </w:rPr>
            </w:pPr>
            <w:r w:rsidRPr="00BC7A12">
              <w:rPr>
                <w:rFonts w:cs="Calibri"/>
                <w:sz w:val="12"/>
                <w:szCs w:val="12"/>
              </w:rPr>
              <w:t>Terrestrial areas designated for use relating to the marine environment</w:t>
            </w:r>
          </w:p>
        </w:tc>
        <w:tc>
          <w:tcPr>
            <w:tcW w:w="0" w:type="auto"/>
          </w:tcPr>
          <w:p w14:paraId="51E19337" w14:textId="77777777" w:rsidR="00657E34" w:rsidRPr="00BC7A12" w:rsidRDefault="00657E34" w:rsidP="007A0C04">
            <w:pPr>
              <w:spacing w:after="0" w:line="240" w:lineRule="auto"/>
              <w:rPr>
                <w:rFonts w:cs="Calibri"/>
                <w:sz w:val="12"/>
                <w:szCs w:val="12"/>
              </w:rPr>
            </w:pPr>
            <w:r w:rsidRPr="00BC7A12">
              <w:rPr>
                <w:rFonts w:cs="Calibri"/>
                <w:sz w:val="12"/>
                <w:szCs w:val="12"/>
              </w:rPr>
              <w:t>Homes, ports, piers</w:t>
            </w:r>
          </w:p>
        </w:tc>
      </w:tr>
      <w:tr w:rsidR="00657E34" w:rsidRPr="00BC7A12" w14:paraId="450F7B1B" w14:textId="77777777" w:rsidTr="007A0C04">
        <w:tc>
          <w:tcPr>
            <w:tcW w:w="0" w:type="auto"/>
          </w:tcPr>
          <w:p w14:paraId="14CBE57D" w14:textId="77777777" w:rsidR="00657E34" w:rsidRPr="00BC7A12" w:rsidRDefault="00657E34" w:rsidP="007A0C04">
            <w:pPr>
              <w:spacing w:after="0" w:line="240" w:lineRule="auto"/>
              <w:rPr>
                <w:rFonts w:cs="Calibri"/>
                <w:sz w:val="12"/>
                <w:szCs w:val="12"/>
              </w:rPr>
            </w:pPr>
            <w:r w:rsidRPr="00BC7A12">
              <w:rPr>
                <w:rFonts w:cs="Calibri"/>
                <w:sz w:val="12"/>
                <w:szCs w:val="12"/>
              </w:rPr>
              <w:t>Use</w:t>
            </w:r>
          </w:p>
        </w:tc>
        <w:tc>
          <w:tcPr>
            <w:tcW w:w="0" w:type="auto"/>
          </w:tcPr>
          <w:p w14:paraId="6D2FAAE6" w14:textId="77777777" w:rsidR="00657E34" w:rsidRPr="00BC7A12" w:rsidRDefault="00657E34" w:rsidP="007A0C04">
            <w:pPr>
              <w:spacing w:after="0" w:line="240" w:lineRule="auto"/>
              <w:rPr>
                <w:rFonts w:cs="Calibri"/>
                <w:sz w:val="12"/>
                <w:szCs w:val="12"/>
              </w:rPr>
            </w:pPr>
            <w:r w:rsidRPr="00BC7A12">
              <w:rPr>
                <w:rFonts w:cs="Calibri"/>
                <w:sz w:val="12"/>
                <w:szCs w:val="12"/>
              </w:rPr>
              <w:t>Uses of the wetland environment</w:t>
            </w:r>
          </w:p>
        </w:tc>
        <w:tc>
          <w:tcPr>
            <w:tcW w:w="0" w:type="auto"/>
          </w:tcPr>
          <w:p w14:paraId="58BC2620" w14:textId="77777777" w:rsidR="00657E34" w:rsidRPr="00BC7A12" w:rsidRDefault="00657E34" w:rsidP="007A0C04">
            <w:pPr>
              <w:spacing w:after="0" w:line="240" w:lineRule="auto"/>
              <w:rPr>
                <w:rFonts w:cs="Calibri"/>
                <w:sz w:val="12"/>
                <w:szCs w:val="12"/>
              </w:rPr>
            </w:pPr>
            <w:r w:rsidRPr="00BC7A12">
              <w:rPr>
                <w:rFonts w:cs="Calibri"/>
                <w:sz w:val="12"/>
                <w:szCs w:val="12"/>
              </w:rPr>
              <w:t>Disaster risk reduction, tourism, fishing</w:t>
            </w:r>
          </w:p>
        </w:tc>
      </w:tr>
      <w:tr w:rsidR="00657E34" w:rsidRPr="00BC7A12" w14:paraId="2FDF235C" w14:textId="77777777" w:rsidTr="007A0C04">
        <w:tc>
          <w:tcPr>
            <w:tcW w:w="0" w:type="auto"/>
          </w:tcPr>
          <w:p w14:paraId="7DF2A0B5" w14:textId="77777777" w:rsidR="00657E34" w:rsidRPr="00BC7A12" w:rsidRDefault="00657E34" w:rsidP="007A0C04">
            <w:pPr>
              <w:spacing w:after="0" w:line="240" w:lineRule="auto"/>
              <w:rPr>
                <w:rFonts w:cs="Calibri"/>
                <w:sz w:val="12"/>
                <w:szCs w:val="12"/>
              </w:rPr>
            </w:pPr>
            <w:r w:rsidRPr="00BC7A12">
              <w:rPr>
                <w:rFonts w:cs="Calibri"/>
                <w:sz w:val="12"/>
                <w:szCs w:val="12"/>
              </w:rPr>
              <w:t>Physical characteristics</w:t>
            </w:r>
          </w:p>
        </w:tc>
        <w:tc>
          <w:tcPr>
            <w:tcW w:w="0" w:type="auto"/>
          </w:tcPr>
          <w:p w14:paraId="600C4127"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Physical attributes system quality </w:t>
            </w:r>
          </w:p>
        </w:tc>
        <w:tc>
          <w:tcPr>
            <w:tcW w:w="0" w:type="auto"/>
          </w:tcPr>
          <w:p w14:paraId="512C69AE" w14:textId="77777777" w:rsidR="00657E34" w:rsidRPr="00BC7A12" w:rsidRDefault="00657E34" w:rsidP="007A0C04">
            <w:pPr>
              <w:spacing w:after="0" w:line="240" w:lineRule="auto"/>
              <w:rPr>
                <w:rFonts w:cs="Calibri"/>
                <w:sz w:val="12"/>
                <w:szCs w:val="12"/>
              </w:rPr>
            </w:pPr>
            <w:r w:rsidRPr="00BC7A12">
              <w:rPr>
                <w:rFonts w:cs="Calibri"/>
                <w:sz w:val="12"/>
                <w:szCs w:val="12"/>
              </w:rPr>
              <w:t>Soil types, waves, tides, winds, salinity, heat content, mean sea surface, mean dynamic topography, turbidity (reflectance), mixed layer thickness, water pressure, water density</w:t>
            </w:r>
          </w:p>
        </w:tc>
      </w:tr>
      <w:tr w:rsidR="00657E34" w:rsidRPr="00BC7A12" w14:paraId="70F79C8C" w14:textId="77777777" w:rsidTr="007A0C04">
        <w:tc>
          <w:tcPr>
            <w:tcW w:w="0" w:type="auto"/>
          </w:tcPr>
          <w:p w14:paraId="1E5C5086" w14:textId="77777777" w:rsidR="00657E34" w:rsidRPr="00BC7A12" w:rsidRDefault="00657E34" w:rsidP="007A0C04">
            <w:pPr>
              <w:spacing w:after="0" w:line="240" w:lineRule="auto"/>
              <w:rPr>
                <w:rFonts w:cs="Calibri"/>
                <w:sz w:val="12"/>
                <w:szCs w:val="12"/>
              </w:rPr>
            </w:pPr>
            <w:r w:rsidRPr="00BC7A12">
              <w:rPr>
                <w:rFonts w:cs="Calibri"/>
                <w:sz w:val="12"/>
                <w:szCs w:val="12"/>
              </w:rPr>
              <w:t>Chemical characteristics</w:t>
            </w:r>
          </w:p>
        </w:tc>
        <w:tc>
          <w:tcPr>
            <w:tcW w:w="0" w:type="auto"/>
          </w:tcPr>
          <w:p w14:paraId="5689DED3"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Chemicals and nutrients system quality </w:t>
            </w:r>
          </w:p>
        </w:tc>
        <w:tc>
          <w:tcPr>
            <w:tcW w:w="0" w:type="auto"/>
          </w:tcPr>
          <w:p w14:paraId="02361CB2" w14:textId="77777777" w:rsidR="00657E34" w:rsidRPr="00BC7A12" w:rsidRDefault="00657E34" w:rsidP="007A0C04">
            <w:pPr>
              <w:spacing w:after="0" w:line="240" w:lineRule="auto"/>
              <w:rPr>
                <w:rFonts w:cs="Calibri"/>
                <w:sz w:val="12"/>
                <w:szCs w:val="12"/>
              </w:rPr>
            </w:pPr>
            <w:r w:rsidRPr="00BC7A12">
              <w:rPr>
                <w:rFonts w:cs="Calibri"/>
                <w:sz w:val="12"/>
                <w:szCs w:val="12"/>
              </w:rPr>
              <w:t>Phosphate, nitrate, silicate, alkalinity, pH, CO2, oxygen/hypoxia, tritium, oil-spill trajectory</w:t>
            </w:r>
          </w:p>
        </w:tc>
      </w:tr>
      <w:tr w:rsidR="00657E34" w:rsidRPr="00BC7A12" w14:paraId="54596E55" w14:textId="77777777" w:rsidTr="007A0C04">
        <w:tc>
          <w:tcPr>
            <w:tcW w:w="0" w:type="auto"/>
          </w:tcPr>
          <w:p w14:paraId="663D966E" w14:textId="77777777" w:rsidR="00657E34" w:rsidRPr="00BC7A12" w:rsidRDefault="00657E34" w:rsidP="007A0C04">
            <w:pPr>
              <w:spacing w:after="0" w:line="240" w:lineRule="auto"/>
              <w:rPr>
                <w:rFonts w:cs="Calibri"/>
                <w:sz w:val="12"/>
                <w:szCs w:val="12"/>
              </w:rPr>
            </w:pPr>
            <w:r w:rsidRPr="00BC7A12">
              <w:rPr>
                <w:rFonts w:cs="Calibri"/>
                <w:sz w:val="12"/>
                <w:szCs w:val="12"/>
              </w:rPr>
              <w:t>Biological characteristics</w:t>
            </w:r>
          </w:p>
        </w:tc>
        <w:tc>
          <w:tcPr>
            <w:tcW w:w="0" w:type="auto"/>
          </w:tcPr>
          <w:p w14:paraId="63C0D632" w14:textId="77777777" w:rsidR="00657E34" w:rsidRPr="00BC7A12" w:rsidRDefault="00657E34" w:rsidP="007A0C04">
            <w:pPr>
              <w:spacing w:after="0" w:line="240" w:lineRule="auto"/>
              <w:rPr>
                <w:rFonts w:cs="Calibri"/>
                <w:sz w:val="12"/>
                <w:szCs w:val="12"/>
              </w:rPr>
            </w:pPr>
            <w:r w:rsidRPr="00BC7A12">
              <w:rPr>
                <w:rFonts w:cs="Calibri"/>
                <w:sz w:val="12"/>
                <w:szCs w:val="12"/>
              </w:rPr>
              <w:t>Biological attributes</w:t>
            </w:r>
          </w:p>
        </w:tc>
        <w:tc>
          <w:tcPr>
            <w:tcW w:w="0" w:type="auto"/>
          </w:tcPr>
          <w:p w14:paraId="77E62D01"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algal </w:t>
            </w:r>
            <w:proofErr w:type="gramStart"/>
            <w:r w:rsidRPr="00BC7A12">
              <w:rPr>
                <w:rFonts w:cs="Calibri"/>
                <w:sz w:val="12"/>
                <w:szCs w:val="12"/>
              </w:rPr>
              <w:t>bloom,  water</w:t>
            </w:r>
            <w:proofErr w:type="gramEnd"/>
            <w:r w:rsidRPr="00BC7A12">
              <w:rPr>
                <w:rFonts w:cs="Calibri"/>
                <w:sz w:val="12"/>
                <w:szCs w:val="12"/>
              </w:rPr>
              <w:t xml:space="preserve"> quality, pests (starfish, sea urchins), bleaching </w:t>
            </w:r>
          </w:p>
        </w:tc>
      </w:tr>
      <w:tr w:rsidR="00657E34" w:rsidRPr="00BC7A12" w14:paraId="61239C69" w14:textId="77777777" w:rsidTr="007A0C04">
        <w:tc>
          <w:tcPr>
            <w:tcW w:w="0" w:type="auto"/>
          </w:tcPr>
          <w:p w14:paraId="05EA8D2C" w14:textId="77777777" w:rsidR="00657E34" w:rsidRPr="00BC7A12" w:rsidRDefault="00657E34" w:rsidP="007A0C04">
            <w:pPr>
              <w:spacing w:after="0" w:line="240" w:lineRule="auto"/>
              <w:rPr>
                <w:rFonts w:cs="Calibri"/>
                <w:sz w:val="12"/>
                <w:szCs w:val="12"/>
              </w:rPr>
            </w:pPr>
            <w:r w:rsidRPr="00BC7A12">
              <w:rPr>
                <w:rFonts w:cs="Calibri"/>
                <w:sz w:val="12"/>
                <w:szCs w:val="12"/>
              </w:rPr>
              <w:t>Ecological characteristics</w:t>
            </w:r>
          </w:p>
        </w:tc>
        <w:tc>
          <w:tcPr>
            <w:tcW w:w="0" w:type="auto"/>
          </w:tcPr>
          <w:p w14:paraId="12367FBE"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Ecological characteristics of system </w:t>
            </w:r>
          </w:p>
        </w:tc>
        <w:tc>
          <w:tcPr>
            <w:tcW w:w="0" w:type="auto"/>
          </w:tcPr>
          <w:p w14:paraId="4FCF5CB0" w14:textId="77777777" w:rsidR="00657E34" w:rsidRPr="00BC7A12" w:rsidRDefault="00657E34" w:rsidP="007A0C04">
            <w:pPr>
              <w:spacing w:after="0" w:line="240" w:lineRule="auto"/>
              <w:rPr>
                <w:rFonts w:cs="Calibri"/>
                <w:sz w:val="12"/>
                <w:szCs w:val="12"/>
              </w:rPr>
            </w:pPr>
            <w:r w:rsidRPr="00BC7A12">
              <w:rPr>
                <w:rFonts w:cs="Calibri"/>
                <w:sz w:val="12"/>
                <w:szCs w:val="12"/>
              </w:rPr>
              <w:t>Cover, density, diversity of species</w:t>
            </w:r>
          </w:p>
        </w:tc>
      </w:tr>
      <w:tr w:rsidR="00657E34" w:rsidRPr="00BC7A12" w14:paraId="4DF88E0A" w14:textId="77777777" w:rsidTr="007A0C04">
        <w:tc>
          <w:tcPr>
            <w:tcW w:w="0" w:type="auto"/>
          </w:tcPr>
          <w:p w14:paraId="2E344522" w14:textId="77777777" w:rsidR="00657E34" w:rsidRPr="00BC7A12" w:rsidRDefault="00657E34" w:rsidP="007A0C04">
            <w:pPr>
              <w:spacing w:after="0" w:line="240" w:lineRule="auto"/>
              <w:rPr>
                <w:rFonts w:cs="Calibri"/>
                <w:sz w:val="12"/>
                <w:szCs w:val="12"/>
              </w:rPr>
            </w:pPr>
            <w:r w:rsidRPr="00BC7A12">
              <w:rPr>
                <w:rFonts w:cs="Calibri"/>
                <w:sz w:val="12"/>
                <w:szCs w:val="12"/>
              </w:rPr>
              <w:t>Biotic assets</w:t>
            </w:r>
          </w:p>
        </w:tc>
        <w:tc>
          <w:tcPr>
            <w:tcW w:w="0" w:type="auto"/>
          </w:tcPr>
          <w:p w14:paraId="264CECCA" w14:textId="77777777" w:rsidR="00657E34" w:rsidRPr="00BC7A12" w:rsidRDefault="00657E34" w:rsidP="007A0C04">
            <w:pPr>
              <w:spacing w:after="0" w:line="240" w:lineRule="auto"/>
              <w:rPr>
                <w:rFonts w:cs="Calibri"/>
                <w:sz w:val="12"/>
                <w:szCs w:val="12"/>
              </w:rPr>
            </w:pPr>
            <w:r w:rsidRPr="00BC7A12">
              <w:rPr>
                <w:rFonts w:cs="Calibri"/>
                <w:sz w:val="12"/>
                <w:szCs w:val="12"/>
              </w:rPr>
              <w:t>Living natural assets</w:t>
            </w:r>
          </w:p>
        </w:tc>
        <w:tc>
          <w:tcPr>
            <w:tcW w:w="0" w:type="auto"/>
          </w:tcPr>
          <w:p w14:paraId="7024C723"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Aquatic plants, seaweeds, fish, birds, shrubs, trees, </w:t>
            </w:r>
          </w:p>
        </w:tc>
      </w:tr>
      <w:tr w:rsidR="00657E34" w:rsidRPr="00BC7A12" w14:paraId="75C15A40" w14:textId="77777777" w:rsidTr="007A0C04">
        <w:tc>
          <w:tcPr>
            <w:tcW w:w="0" w:type="auto"/>
          </w:tcPr>
          <w:p w14:paraId="536DE714" w14:textId="77777777" w:rsidR="00657E34" w:rsidRPr="00BC7A12" w:rsidRDefault="00657E34" w:rsidP="007A0C04">
            <w:pPr>
              <w:spacing w:after="0" w:line="240" w:lineRule="auto"/>
              <w:rPr>
                <w:rFonts w:cs="Calibri"/>
                <w:sz w:val="12"/>
                <w:szCs w:val="12"/>
              </w:rPr>
            </w:pPr>
            <w:r w:rsidRPr="00BC7A12">
              <w:rPr>
                <w:rFonts w:cs="Calibri"/>
                <w:sz w:val="12"/>
                <w:szCs w:val="12"/>
              </w:rPr>
              <w:t>Abiotic assets</w:t>
            </w:r>
          </w:p>
        </w:tc>
        <w:tc>
          <w:tcPr>
            <w:tcW w:w="0" w:type="auto"/>
          </w:tcPr>
          <w:p w14:paraId="3A46D51D" w14:textId="77777777" w:rsidR="00657E34" w:rsidRPr="00BC7A12" w:rsidRDefault="00657E34" w:rsidP="007A0C04">
            <w:pPr>
              <w:spacing w:after="0" w:line="240" w:lineRule="auto"/>
              <w:rPr>
                <w:rFonts w:cs="Calibri"/>
                <w:sz w:val="12"/>
                <w:szCs w:val="12"/>
              </w:rPr>
            </w:pPr>
            <w:r w:rsidRPr="00BC7A12">
              <w:rPr>
                <w:rFonts w:cs="Calibri"/>
                <w:sz w:val="12"/>
                <w:szCs w:val="12"/>
              </w:rPr>
              <w:t>Nonliving natural assets</w:t>
            </w:r>
          </w:p>
        </w:tc>
        <w:tc>
          <w:tcPr>
            <w:tcW w:w="0" w:type="auto"/>
          </w:tcPr>
          <w:p w14:paraId="4A6A9420" w14:textId="77777777" w:rsidR="00657E34" w:rsidRPr="00BC7A12" w:rsidRDefault="00657E34" w:rsidP="007A0C04">
            <w:pPr>
              <w:spacing w:after="0" w:line="240" w:lineRule="auto"/>
              <w:rPr>
                <w:rFonts w:cs="Calibri"/>
                <w:sz w:val="12"/>
                <w:szCs w:val="12"/>
              </w:rPr>
            </w:pPr>
            <w:r w:rsidRPr="00BC7A12">
              <w:rPr>
                <w:rFonts w:cs="Calibri"/>
                <w:sz w:val="12"/>
                <w:szCs w:val="12"/>
              </w:rPr>
              <w:t>Beach, seafloor sediments and rocks</w:t>
            </w:r>
          </w:p>
        </w:tc>
      </w:tr>
      <w:tr w:rsidR="00657E34" w:rsidRPr="00BC7A12" w14:paraId="53C5EBD5" w14:textId="77777777" w:rsidTr="007A0C04">
        <w:tc>
          <w:tcPr>
            <w:tcW w:w="0" w:type="auto"/>
          </w:tcPr>
          <w:p w14:paraId="15B04629" w14:textId="77777777" w:rsidR="00657E34" w:rsidRPr="00BC7A12" w:rsidRDefault="00657E34" w:rsidP="007A0C04">
            <w:pPr>
              <w:spacing w:after="0" w:line="240" w:lineRule="auto"/>
              <w:rPr>
                <w:rFonts w:cs="Calibri"/>
                <w:sz w:val="12"/>
                <w:szCs w:val="12"/>
              </w:rPr>
            </w:pPr>
            <w:r w:rsidRPr="00BC7A12">
              <w:rPr>
                <w:rFonts w:cs="Calibri"/>
                <w:sz w:val="12"/>
                <w:szCs w:val="12"/>
              </w:rPr>
              <w:t>Biotic physical services</w:t>
            </w:r>
          </w:p>
        </w:tc>
        <w:tc>
          <w:tcPr>
            <w:tcW w:w="0" w:type="auto"/>
          </w:tcPr>
          <w:p w14:paraId="26803E94" w14:textId="77777777" w:rsidR="00657E34" w:rsidRPr="00BC7A12" w:rsidRDefault="00657E34" w:rsidP="007A0C04">
            <w:pPr>
              <w:spacing w:after="0" w:line="240" w:lineRule="auto"/>
              <w:rPr>
                <w:rFonts w:cs="Calibri"/>
                <w:sz w:val="12"/>
                <w:szCs w:val="12"/>
              </w:rPr>
            </w:pPr>
            <w:r w:rsidRPr="00BC7A12">
              <w:rPr>
                <w:rFonts w:cs="Calibri"/>
                <w:sz w:val="12"/>
                <w:szCs w:val="12"/>
              </w:rPr>
              <w:t>Services that living components of the system provide</w:t>
            </w:r>
          </w:p>
        </w:tc>
        <w:tc>
          <w:tcPr>
            <w:tcW w:w="0" w:type="auto"/>
          </w:tcPr>
          <w:p w14:paraId="20ED89A3" w14:textId="77777777" w:rsidR="00657E34" w:rsidRPr="00BC7A12" w:rsidRDefault="00657E34" w:rsidP="007A0C04">
            <w:pPr>
              <w:spacing w:after="0" w:line="240" w:lineRule="auto"/>
              <w:rPr>
                <w:rFonts w:cs="Calibri"/>
                <w:sz w:val="12"/>
                <w:szCs w:val="12"/>
              </w:rPr>
            </w:pPr>
            <w:r w:rsidRPr="00BC7A12">
              <w:rPr>
                <w:rFonts w:cs="Calibri"/>
                <w:sz w:val="12"/>
                <w:szCs w:val="12"/>
              </w:rPr>
              <w:t>Protection of human property (wave attenuation, wind speed reduction), habitat services, carbon sequestration and storage, cultural services, tourism</w:t>
            </w:r>
          </w:p>
        </w:tc>
      </w:tr>
      <w:tr w:rsidR="00657E34" w:rsidRPr="00BC7A12" w14:paraId="6A76E754" w14:textId="77777777" w:rsidTr="007A0C04">
        <w:tc>
          <w:tcPr>
            <w:tcW w:w="0" w:type="auto"/>
          </w:tcPr>
          <w:p w14:paraId="6AF53E5E" w14:textId="77777777" w:rsidR="00657E34" w:rsidRPr="00BC7A12" w:rsidRDefault="00657E34" w:rsidP="007A0C04">
            <w:pPr>
              <w:spacing w:after="0" w:line="240" w:lineRule="auto"/>
              <w:rPr>
                <w:rFonts w:cs="Calibri"/>
                <w:sz w:val="12"/>
                <w:szCs w:val="12"/>
              </w:rPr>
            </w:pPr>
            <w:r w:rsidRPr="00BC7A12">
              <w:rPr>
                <w:rFonts w:cs="Calibri"/>
                <w:sz w:val="12"/>
                <w:szCs w:val="12"/>
              </w:rPr>
              <w:t>Biotic monetary services</w:t>
            </w:r>
          </w:p>
        </w:tc>
        <w:tc>
          <w:tcPr>
            <w:tcW w:w="0" w:type="auto"/>
          </w:tcPr>
          <w:p w14:paraId="5D667CE1"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Valuation of physical services </w:t>
            </w:r>
          </w:p>
        </w:tc>
        <w:tc>
          <w:tcPr>
            <w:tcW w:w="0" w:type="auto"/>
          </w:tcPr>
          <w:p w14:paraId="3FD1B0C2" w14:textId="77777777" w:rsidR="00657E34" w:rsidRPr="00BC7A12" w:rsidRDefault="00657E34" w:rsidP="007A0C04">
            <w:pPr>
              <w:spacing w:after="0" w:line="240" w:lineRule="auto"/>
              <w:rPr>
                <w:rFonts w:cs="Calibri"/>
                <w:sz w:val="12"/>
                <w:szCs w:val="12"/>
              </w:rPr>
            </w:pPr>
            <w:r w:rsidRPr="00BC7A12">
              <w:rPr>
                <w:rFonts w:cs="Calibri"/>
                <w:sz w:val="12"/>
                <w:szCs w:val="12"/>
              </w:rPr>
              <w:t>As above, but valuation perspective</w:t>
            </w:r>
          </w:p>
        </w:tc>
      </w:tr>
      <w:tr w:rsidR="00657E34" w:rsidRPr="00BC7A12" w14:paraId="76FE6F24" w14:textId="77777777" w:rsidTr="007A0C04">
        <w:tc>
          <w:tcPr>
            <w:tcW w:w="0" w:type="auto"/>
          </w:tcPr>
          <w:p w14:paraId="6E956E16" w14:textId="77777777" w:rsidR="00657E34" w:rsidRPr="00BC7A12" w:rsidRDefault="00657E34" w:rsidP="007A0C04">
            <w:pPr>
              <w:spacing w:after="0" w:line="240" w:lineRule="auto"/>
              <w:rPr>
                <w:rFonts w:cs="Calibri"/>
                <w:sz w:val="12"/>
                <w:szCs w:val="12"/>
              </w:rPr>
            </w:pPr>
            <w:r w:rsidRPr="00BC7A12">
              <w:rPr>
                <w:rFonts w:cs="Calibri"/>
                <w:sz w:val="12"/>
                <w:szCs w:val="12"/>
              </w:rPr>
              <w:t>Abiotic physical services</w:t>
            </w:r>
          </w:p>
        </w:tc>
        <w:tc>
          <w:tcPr>
            <w:tcW w:w="0" w:type="auto"/>
          </w:tcPr>
          <w:p w14:paraId="75AD2365" w14:textId="77777777" w:rsidR="00657E34" w:rsidRPr="00BC7A12" w:rsidRDefault="00657E34" w:rsidP="007A0C04">
            <w:pPr>
              <w:spacing w:after="0" w:line="240" w:lineRule="auto"/>
              <w:rPr>
                <w:rFonts w:cs="Calibri"/>
                <w:sz w:val="12"/>
                <w:szCs w:val="12"/>
              </w:rPr>
            </w:pPr>
            <w:r w:rsidRPr="00BC7A12">
              <w:rPr>
                <w:rFonts w:cs="Calibri"/>
                <w:sz w:val="12"/>
                <w:szCs w:val="12"/>
              </w:rPr>
              <w:t>Non-living components the system provides</w:t>
            </w:r>
          </w:p>
        </w:tc>
        <w:tc>
          <w:tcPr>
            <w:tcW w:w="0" w:type="auto"/>
          </w:tcPr>
          <w:p w14:paraId="0E33DEFE"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Wind and wave energy reduction, </w:t>
            </w:r>
          </w:p>
        </w:tc>
      </w:tr>
      <w:tr w:rsidR="00657E34" w:rsidRPr="00BC7A12" w14:paraId="745E4ACB" w14:textId="77777777" w:rsidTr="007A0C04">
        <w:tc>
          <w:tcPr>
            <w:tcW w:w="0" w:type="auto"/>
          </w:tcPr>
          <w:p w14:paraId="19FAB31D" w14:textId="77777777" w:rsidR="00657E34" w:rsidRPr="00BC7A12" w:rsidRDefault="00657E34" w:rsidP="007A0C04">
            <w:pPr>
              <w:spacing w:after="0" w:line="240" w:lineRule="auto"/>
              <w:rPr>
                <w:rFonts w:cs="Calibri"/>
                <w:sz w:val="12"/>
                <w:szCs w:val="12"/>
              </w:rPr>
            </w:pPr>
            <w:r w:rsidRPr="00BC7A12">
              <w:rPr>
                <w:rFonts w:cs="Calibri"/>
                <w:sz w:val="12"/>
                <w:szCs w:val="12"/>
              </w:rPr>
              <w:t>Abiotic monetary services</w:t>
            </w:r>
          </w:p>
        </w:tc>
        <w:tc>
          <w:tcPr>
            <w:tcW w:w="0" w:type="auto"/>
          </w:tcPr>
          <w:p w14:paraId="41B61CE7"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Valuation of abiotic physical services </w:t>
            </w:r>
          </w:p>
        </w:tc>
        <w:tc>
          <w:tcPr>
            <w:tcW w:w="0" w:type="auto"/>
          </w:tcPr>
          <w:p w14:paraId="027F9AB2"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Wave attenuation of rocky reef </w:t>
            </w:r>
          </w:p>
        </w:tc>
      </w:tr>
    </w:tbl>
    <w:p w14:paraId="60684D6D" w14:textId="77777777" w:rsidR="00657E34" w:rsidRPr="00BC7A12" w:rsidRDefault="00657E34" w:rsidP="00CD762C">
      <w:pPr>
        <w:rPr>
          <w:rFonts w:eastAsia="Times New Roman" w:cs="Calibri"/>
        </w:rPr>
      </w:pPr>
    </w:p>
    <w:p w14:paraId="1C6F2CEF" w14:textId="77777777" w:rsidR="00657E34" w:rsidRPr="00BC7A12" w:rsidRDefault="00657E34" w:rsidP="00CD762C">
      <w:pPr>
        <w:spacing w:after="200" w:line="276" w:lineRule="auto"/>
        <w:jc w:val="left"/>
        <w:rPr>
          <w:rFonts w:eastAsia="Times New Roman" w:cs="Calibri"/>
        </w:rPr>
      </w:pPr>
      <w:r w:rsidRPr="00BC7A12">
        <w:rPr>
          <w:rFonts w:eastAsia="Times New Roman" w:cs="Calibri"/>
        </w:rPr>
        <w:br w:type="page"/>
      </w:r>
    </w:p>
    <w:p w14:paraId="78A077EF" w14:textId="6E06CE40" w:rsidR="00896B6F" w:rsidRPr="00BC7A12" w:rsidRDefault="00657E34" w:rsidP="009F47F8">
      <w:pPr>
        <w:rPr>
          <w:rFonts w:cs="Calibri"/>
        </w:rPr>
      </w:pPr>
      <w:r w:rsidRPr="00BC7A12">
        <w:rPr>
          <w:rFonts w:cs="Calibri"/>
        </w:rPr>
        <w:lastRenderedPageBreak/>
        <w:t>Appendix 5 History of ecosystem services classification</w:t>
      </w:r>
      <w:r w:rsidR="00320DDC" w:rsidRPr="00BC7A12">
        <w:rPr>
          <w:rFonts w:cs="Calibri"/>
        </w:rPr>
        <w:fldChar w:fldCharType="end"/>
      </w:r>
    </w:p>
    <w:p w14:paraId="23078DE8" w14:textId="38AEF4DC" w:rsidR="006D3DBC" w:rsidRPr="00BC7A12" w:rsidRDefault="00202D9A" w:rsidP="009F47F8">
      <w:pPr>
        <w:rPr>
          <w:rFonts w:cs="Calibri"/>
        </w:rPr>
      </w:pPr>
      <w:r w:rsidRPr="00BC7A12">
        <w:rPr>
          <w:rFonts w:cs="Calibri"/>
        </w:rPr>
        <w:t>A</w:t>
      </w:r>
      <w:r w:rsidR="00502315" w:rsidRPr="00BC7A12">
        <w:rPr>
          <w:rFonts w:cs="Calibri"/>
        </w:rPr>
        <w:t xml:space="preserve"> more robust ecosystem service measurement and valuation framework for understanding DRR </w:t>
      </w:r>
      <w:r w:rsidRPr="00BC7A12">
        <w:rPr>
          <w:rFonts w:cs="Calibri"/>
        </w:rPr>
        <w:t xml:space="preserve">ecosystem services </w:t>
      </w:r>
      <w:r w:rsidR="007C59AD" w:rsidRPr="00BC7A12">
        <w:rPr>
          <w:rFonts w:cs="Calibri"/>
        </w:rPr>
        <w:t>is needed</w:t>
      </w:r>
      <w:r w:rsidR="00896B6F" w:rsidRPr="00BC7A12">
        <w:rPr>
          <w:rFonts w:cs="Calibri"/>
        </w:rPr>
        <w:t xml:space="preserve"> than the one described in Figure 1. </w:t>
      </w:r>
      <w:r w:rsidRPr="00BC7A12">
        <w:rPr>
          <w:rFonts w:cs="Calibri"/>
        </w:rPr>
        <w:t xml:space="preserve">  </w:t>
      </w:r>
    </w:p>
    <w:p w14:paraId="3833B73C" w14:textId="510F1E80" w:rsidR="000438FA" w:rsidRDefault="000438FA">
      <w:pPr>
        <w:spacing w:after="200" w:line="276" w:lineRule="auto"/>
        <w:jc w:val="left"/>
        <w:rPr>
          <w:rFonts w:cs="Calibri"/>
        </w:rPr>
      </w:pPr>
      <w:r>
        <w:rPr>
          <w:rFonts w:cs="Calibri"/>
        </w:rPr>
        <w:br w:type="page"/>
      </w:r>
    </w:p>
    <w:p w14:paraId="06A8F886" w14:textId="77777777" w:rsidR="004C2B37" w:rsidRPr="00BC7A12" w:rsidRDefault="004C2B37" w:rsidP="00FB5B71">
      <w:pPr>
        <w:pStyle w:val="Heading2"/>
        <w:rPr>
          <w:rFonts w:cs="Calibri"/>
        </w:rPr>
      </w:pPr>
      <w:bookmarkStart w:id="13" w:name="_Toc46822292"/>
      <w:bookmarkStart w:id="14" w:name="_Ref43147172"/>
      <w:bookmarkStart w:id="15" w:name="_Ref43147181"/>
      <w:r w:rsidRPr="00BC7A12">
        <w:rPr>
          <w:rFonts w:cs="Calibri"/>
        </w:rPr>
        <w:lastRenderedPageBreak/>
        <w:t>Measurement and valuation framework</w:t>
      </w:r>
      <w:bookmarkEnd w:id="13"/>
    </w:p>
    <w:p w14:paraId="73891898" w14:textId="3331557A" w:rsidR="009F47F8" w:rsidRPr="00BC7A12" w:rsidRDefault="009F47F8" w:rsidP="004C2B37">
      <w:pPr>
        <w:pStyle w:val="Heading3"/>
        <w:rPr>
          <w:rFonts w:cs="Calibri"/>
        </w:rPr>
      </w:pPr>
      <w:bookmarkStart w:id="16" w:name="_Toc46822293"/>
      <w:r w:rsidRPr="00BC7A12">
        <w:rPr>
          <w:rFonts w:cs="Calibri"/>
        </w:rPr>
        <w:t xml:space="preserve">Classification of ecosystem services </w:t>
      </w:r>
      <w:bookmarkEnd w:id="14"/>
      <w:bookmarkEnd w:id="15"/>
      <w:r w:rsidRPr="00BC7A12">
        <w:rPr>
          <w:rFonts w:cs="Calibri"/>
        </w:rPr>
        <w:t>and related elements</w:t>
      </w:r>
      <w:bookmarkEnd w:id="16"/>
      <w:r w:rsidRPr="00BC7A12">
        <w:rPr>
          <w:rFonts w:cs="Calibri"/>
        </w:rPr>
        <w:t xml:space="preserve"> </w:t>
      </w:r>
    </w:p>
    <w:p w14:paraId="7CC728FF" w14:textId="6B9692B7" w:rsidR="00896B6F" w:rsidRPr="00BC7A12" w:rsidRDefault="00896B6F" w:rsidP="009F47F8">
      <w:pPr>
        <w:rPr>
          <w:rFonts w:cs="Calibri"/>
        </w:rPr>
      </w:pPr>
      <w:r w:rsidRPr="00BC7A12">
        <w:rPr>
          <w:rFonts w:cs="Calibri"/>
        </w:rPr>
        <w:t xml:space="preserve">This report uses a measurement and valuation framework based on ecosystem services classification systems. </w:t>
      </w:r>
    </w:p>
    <w:p w14:paraId="6D818291" w14:textId="2DE92DEB" w:rsidR="009F47F8" w:rsidRPr="00BC7A12" w:rsidRDefault="00202D9A" w:rsidP="009F47F8">
      <w:pPr>
        <w:rPr>
          <w:rFonts w:cs="Calibri"/>
        </w:rPr>
      </w:pPr>
      <w:r w:rsidRPr="00BC7A12">
        <w:rPr>
          <w:rFonts w:cs="Calibri"/>
        </w:rPr>
        <w:t>P</w:t>
      </w:r>
      <w:r w:rsidR="009F47F8" w:rsidRPr="00BC7A12">
        <w:rPr>
          <w:rFonts w:cs="Calibri"/>
        </w:rPr>
        <w:t>ublication of the Millennium Ecosystem Assessment</w:t>
      </w:r>
      <w:r w:rsidRPr="00BC7A12">
        <w:rPr>
          <w:rFonts w:cs="Calibri"/>
        </w:rPr>
        <w:t xml:space="preserve"> defined </w:t>
      </w:r>
      <w:r w:rsidR="009F47F8" w:rsidRPr="00BC7A12">
        <w:rPr>
          <w:rFonts w:cs="Calibri"/>
        </w:rPr>
        <w:t xml:space="preserve">four groups of ecosystem services (i.e. provisioning, regulating, cultural, supporting) </w:t>
      </w:r>
      <w:r w:rsidR="009F47F8" w:rsidRPr="00BC7A12">
        <w:rPr>
          <w:rFonts w:cs="Calibri"/>
        </w:rPr>
        <w:fldChar w:fldCharType="begin" w:fldLock="1"/>
      </w:r>
      <w:r w:rsidR="000438FA">
        <w:rPr>
          <w:rFonts w:cs="Calibri"/>
        </w:rPr>
        <w:instrText>ADDIN CSL_CITATION {"citationItems":[{"id":"ITEM-1","itemData":{"ISBN":"1-55963-402-2","ISSN":"&lt;null&gt;","PMID":"15003161","abstract":"An ecosystem is a dynamic complex of plant, animal, and microorganism communities and the nonliving environment, interacting as a functional unit. Humans are an integral part of ecosystems. „ A well-defined ecosystem has strong interactions among its components and weak interactions across its boundaries. A useful ecosystem boundary is the place where a number of discontinuities coincide, for instance in the distribution of organisms, soil types, drainage basins, or depth in a water body. At a larger scale, regional and even globally distributed ecosystems can be evaluated based on a commonality of basic structural units. „ Ecosystem services are the benefits people obtain from ecosystems. These include provisioning services such as food and water; regulating services such as flood and disease control; cultural services such as spiritual, recreational, and cultural benefits; and supporting services, such as nutrient cycling, that maintain the conditions for life on Earth. „ Biodiversity is the variability among living organisms. It includes diversity within and among species and diversity within and among ecosystems. Biodiversity is the source of many ecosystem goods, such as food and genetic resources, and changes in biodiversity can influence the supply of ecosystem services. „ People seek many services from ecosystems and thus perceive the condition of an ecosystem in relation to its ability to provide desired services. The ability of ecosystems to deliver services can be assessed by a variety of qualitative and quantitative methods. „ An assessment of the condition of ecosystems, the provision of services, and their relation to human well-being requires an integrated approach. This enables a decision process to determine which service or set of services is valued most highly and how to develop approaches to maintain services by managing the system sustainably","author":[{"dropping-particle":"","family":"Millennium Ecosystem Assessment","given":"","non-dropping-particle":"","parse-names":false,"suffix":""}],"container-title":"Ecosystems and Human Well-being: A Framework for Assessment","id":"ITEM-1","issued":{"date-parts":[["2003"]]},"number-of-pages":"266","publisher-place":"Washington, DC","title":"Ecosystems and their services","type":"report"},"uris":["http://www.mendeley.com/documents/?uuid=8b895587-6af2-4372-bfc6-9482e12722ba"]}],"mendeley":{"formattedCitation":"(Millennium Ecosystem Assessment 2003)","plainTextFormattedCitation":"(Millennium Ecosystem Assessment 2003)","previouslyFormattedCitation":"(Millennium Ecosystem Assessment 2003)"},"properties":{"noteIndex":0},"schema":"https://github.com/citation-style-language/schema/raw/master/csl-citation.json"}</w:instrText>
      </w:r>
      <w:r w:rsidR="009F47F8" w:rsidRPr="00BC7A12">
        <w:rPr>
          <w:rFonts w:cs="Calibri"/>
        </w:rPr>
        <w:fldChar w:fldCharType="separate"/>
      </w:r>
      <w:r w:rsidR="009F47F8" w:rsidRPr="00BC7A12">
        <w:rPr>
          <w:rFonts w:cs="Calibri"/>
          <w:noProof/>
        </w:rPr>
        <w:t>(Millennium Ecosystem Assessment 2003)</w:t>
      </w:r>
      <w:r w:rsidR="009F47F8" w:rsidRPr="00BC7A12">
        <w:rPr>
          <w:rFonts w:cs="Calibri"/>
        </w:rPr>
        <w:fldChar w:fldCharType="end"/>
      </w:r>
      <w:r w:rsidR="00FB5B71" w:rsidRPr="00BC7A12">
        <w:rPr>
          <w:rFonts w:cs="Calibri"/>
        </w:rPr>
        <w:t>. Since then,</w:t>
      </w:r>
      <w:r w:rsidR="009F47F8" w:rsidRPr="00BC7A12">
        <w:rPr>
          <w:rFonts w:cs="Calibri"/>
        </w:rPr>
        <w:t xml:space="preserve"> there has been progress on how the identification</w:t>
      </w:r>
      <w:r w:rsidR="00A31B07" w:rsidRPr="00BC7A12">
        <w:rPr>
          <w:rFonts w:cs="Calibri"/>
        </w:rPr>
        <w:t>, or naming,</w:t>
      </w:r>
      <w:r w:rsidR="009F47F8" w:rsidRPr="00BC7A12">
        <w:rPr>
          <w:rFonts w:cs="Calibri"/>
        </w:rPr>
        <w:t xml:space="preserve"> of ecosystem services </w:t>
      </w:r>
      <w:r w:rsidR="004C2B37" w:rsidRPr="00BC7A12">
        <w:rPr>
          <w:rFonts w:cs="Calibri"/>
        </w:rPr>
        <w:t xml:space="preserve">connects to </w:t>
      </w:r>
      <w:r w:rsidR="009F47F8" w:rsidRPr="00BC7A12">
        <w:rPr>
          <w:rFonts w:cs="Calibri"/>
        </w:rPr>
        <w:t>the</w:t>
      </w:r>
      <w:r w:rsidR="004C2B37" w:rsidRPr="00BC7A12">
        <w:rPr>
          <w:rFonts w:cs="Calibri"/>
        </w:rPr>
        <w:t>ir</w:t>
      </w:r>
      <w:r w:rsidR="009F47F8" w:rsidRPr="00BC7A12">
        <w:rPr>
          <w:rFonts w:cs="Calibri"/>
        </w:rPr>
        <w:t xml:space="preserve"> </w:t>
      </w:r>
      <w:r w:rsidR="004C2B37" w:rsidRPr="00BC7A12">
        <w:rPr>
          <w:rFonts w:cs="Calibri"/>
        </w:rPr>
        <w:t xml:space="preserve">measurement </w:t>
      </w:r>
      <w:r w:rsidR="009F47F8" w:rsidRPr="00BC7A12">
        <w:rPr>
          <w:rFonts w:cs="Calibri"/>
        </w:rPr>
        <w:t>and valuation</w:t>
      </w:r>
      <w:r w:rsidR="004C2B37" w:rsidRPr="00BC7A12">
        <w:rPr>
          <w:rStyle w:val="FootnoteReference"/>
          <w:rFonts w:cs="Calibri"/>
        </w:rPr>
        <w:footnoteReference w:id="2"/>
      </w:r>
      <w:r w:rsidR="004C2B37" w:rsidRPr="00BC7A12">
        <w:rPr>
          <w:rFonts w:cs="Calibri"/>
        </w:rPr>
        <w:t>.</w:t>
      </w:r>
      <w:r w:rsidR="009F47F8" w:rsidRPr="00BC7A12">
        <w:rPr>
          <w:rFonts w:cs="Calibri"/>
        </w:rPr>
        <w:t xml:space="preserve"> </w:t>
      </w:r>
      <w:r w:rsidR="004C2B37" w:rsidRPr="00BC7A12">
        <w:rPr>
          <w:rFonts w:cs="Calibri"/>
        </w:rPr>
        <w:t>The core finding is that b</w:t>
      </w:r>
      <w:r w:rsidR="009F47F8" w:rsidRPr="00BC7A12">
        <w:rPr>
          <w:rFonts w:cs="Calibri"/>
        </w:rPr>
        <w:t xml:space="preserve">y consistently applying classification standards to the identification of </w:t>
      </w:r>
      <w:r w:rsidR="004C2B37" w:rsidRPr="00BC7A12">
        <w:rPr>
          <w:rFonts w:cs="Calibri"/>
        </w:rPr>
        <w:t>ecosystem services</w:t>
      </w:r>
      <w:r w:rsidR="009F47F8" w:rsidRPr="00BC7A12">
        <w:rPr>
          <w:rFonts w:cs="Calibri"/>
        </w:rPr>
        <w:t xml:space="preserve">, </w:t>
      </w:r>
      <w:r w:rsidR="004C2B37" w:rsidRPr="00BC7A12">
        <w:rPr>
          <w:rFonts w:cs="Calibri"/>
        </w:rPr>
        <w:t xml:space="preserve">they </w:t>
      </w:r>
      <w:r w:rsidR="009F47F8" w:rsidRPr="00BC7A12">
        <w:rPr>
          <w:rFonts w:cs="Calibri"/>
        </w:rPr>
        <w:t xml:space="preserve">will be named more accurately and therefore the </w:t>
      </w:r>
      <w:r w:rsidR="004C2B37" w:rsidRPr="00BC7A12">
        <w:rPr>
          <w:rFonts w:cs="Calibri"/>
        </w:rPr>
        <w:t xml:space="preserve">process of </w:t>
      </w:r>
      <w:r w:rsidR="009F47F8" w:rsidRPr="00BC7A12">
        <w:rPr>
          <w:rFonts w:cs="Calibri"/>
        </w:rPr>
        <w:t>select</w:t>
      </w:r>
      <w:r w:rsidR="004C2B37" w:rsidRPr="00BC7A12">
        <w:rPr>
          <w:rFonts w:cs="Calibri"/>
        </w:rPr>
        <w:t>ing</w:t>
      </w:r>
      <w:r w:rsidR="009F47F8" w:rsidRPr="00BC7A12">
        <w:rPr>
          <w:rFonts w:cs="Calibri"/>
        </w:rPr>
        <w:t xml:space="preserve"> metrics and valuation techniques should improve </w:t>
      </w:r>
      <w:r w:rsidR="009F47F8" w:rsidRPr="00BC7A12">
        <w:rPr>
          <w:rFonts w:cs="Calibri"/>
        </w:rPr>
        <w:fldChar w:fldCharType="begin" w:fldLock="1"/>
      </w:r>
      <w:r w:rsidR="009F47F8" w:rsidRPr="00BC7A12">
        <w:rPr>
          <w:rFonts w:cs="Calibri"/>
        </w:rPr>
        <w:instrText>ADDIN CSL_CITATION {"citationItems":[{"id":"ITEM-1","itemData":{"abstract":"Ecosystem services (ES) practitioners (e.g., researchers, policy makers) has been working to better define, measure, and value the ways that nature contributes to society. Because measurement techniques follow the labeling or identification of ES, precise identification is critical. This article reviews literature and consults experts in classification science and ES to determine the expected benefits of using ES classification knowledge (classification knowledge); ecosystem services classification systems (ES-CS) and their principles. An informal analysis of the costs of transitioning from the current ad-hoc approach—based on various ES lists—to using classification knowledge was conducted. 18 benefits of using classification knowledge were found, including allowing ES to be defined more easily and precisely, easing the transfer of knowledge among studies, and avoiding the need to recreate ES identification systems. Collectively, these 18 benefits should allow for more accurate and consistent definition of ES, thereby serving to improve communication and measurement of ES. Moreover, the expected benefits of using ES-CS outweigh expected costs of the transition. Practitioners can use ES-CS in whole, or in parts, as their research or their institutions warrant. Finally, a case study was conducted that shows how ES measures can be organized using ES-CS, delivering benefits to practitioners.","author":[{"dropping-particle":"","family":"Finisdore","given":"John","non-dropping-particle":"","parse-names":false,"suffix":""},{"dropping-particle":"","family":"Rhodes","given":"Dr. Charles","non-dropping-particle":"","parse-names":false,"suffix":""},{"dropping-particle":"","family":"Haines-Young","given":"Dr. Roy","non-dropping-particle":"","parse-names":false,"suffix":""},{"dropping-particle":"","family":"Maynard","given":"Dr. Simone","non-dropping-particle":"","parse-names":false,"suffix":""},{"dropping-particle":"","family":"Wielgus","given":"Dr. Jeffrey","non-dropping-particle":"","parse-names":false,"suffix":""},{"dropping-particle":"","family":"Dvarskas","given":"Dr. Anthony","non-dropping-particle":"","parse-names":false,"suffix":""},{"dropping-particle":"","family":"Houdet","given":"Dr. Joel","non-dropping-particle":"","parse-names":false,"suffix":""},{"dropping-particle":"","family":"Quétier","given":"Dr. Fabien","non-dropping-particle":"","parse-names":false,"suffix":""},{"dropping-particle":"","family":"Lamothe","given":"Dr. Karl A.","non-dropping-particle":"","parse-names":false,"suffix":""},{"dropping-particle":"","family":"Ding","given":"Dr. Helen","non-dropping-particle":"","parse-names":false,"suffix":""},{"dropping-particle":"","family":"Soulard","given":"Dr. François","non-dropping-particle":"","parse-names":false,"suffix":""},{"dropping-particle":"Van","family":"Houtven","given":"Dr. George","non-dropping-particle":"","parse-names":false,"suffix":""},{"dropping-particle":"","family":"Rowcroft","given":"Petrina","non-dropping-particle":"","parse-names":false,"suffix":""}],"container-title":"Ecosystem Services","id":"ITEM-1","issued":{"date-parts":[["0"]]},"title":"The 18 benefits of using ecosystem services classification systems","type":"article-journal"},"uris":["http://www.mendeley.com/documents/?uuid=1b6ad437-31ca-438c-9d70-4a51452c458c"]}],"mendeley":{"formattedCitation":"(Finisdore et al. n.d.)","plainTextFormattedCitation":"(Finisdore et al. n.d.)","previouslyFormattedCitation":"(Finisdore et al. n.d.)"},"properties":{"noteIndex":0},"schema":"https://github.com/citation-style-language/schema/raw/master/csl-citation.json"}</w:instrText>
      </w:r>
      <w:r w:rsidR="009F47F8" w:rsidRPr="00BC7A12">
        <w:rPr>
          <w:rFonts w:cs="Calibri"/>
        </w:rPr>
        <w:fldChar w:fldCharType="separate"/>
      </w:r>
      <w:r w:rsidR="009F47F8" w:rsidRPr="00BC7A12">
        <w:rPr>
          <w:rFonts w:cs="Calibri"/>
          <w:noProof/>
        </w:rPr>
        <w:t>(Finisdore et al. n.d.)</w:t>
      </w:r>
      <w:r w:rsidR="009F47F8" w:rsidRPr="00BC7A12">
        <w:rPr>
          <w:rFonts w:cs="Calibri"/>
        </w:rPr>
        <w:fldChar w:fldCharType="end"/>
      </w:r>
      <w:r w:rsidR="009F47F8" w:rsidRPr="00BC7A12">
        <w:rPr>
          <w:rFonts w:cs="Calibri"/>
        </w:rPr>
        <w:t xml:space="preserve">. Moreover, </w:t>
      </w:r>
      <w:r w:rsidR="004E762B" w:rsidRPr="00BC7A12">
        <w:rPr>
          <w:rFonts w:cs="Calibri"/>
        </w:rPr>
        <w:t xml:space="preserve">the broader the </w:t>
      </w:r>
      <w:r w:rsidR="009F47F8" w:rsidRPr="00BC7A12">
        <w:rPr>
          <w:rFonts w:cs="Calibri"/>
        </w:rPr>
        <w:t xml:space="preserve">adoption of these </w:t>
      </w:r>
      <w:r w:rsidR="007A7554" w:rsidRPr="00BC7A12">
        <w:rPr>
          <w:rFonts w:cs="Calibri"/>
        </w:rPr>
        <w:t xml:space="preserve">classification </w:t>
      </w:r>
      <w:r w:rsidR="009F47F8" w:rsidRPr="00BC7A12">
        <w:rPr>
          <w:rFonts w:cs="Calibri"/>
        </w:rPr>
        <w:t xml:space="preserve">standards </w:t>
      </w:r>
      <w:r w:rsidR="007C59AD" w:rsidRPr="00BC7A12">
        <w:rPr>
          <w:rFonts w:cs="Calibri"/>
        </w:rPr>
        <w:t xml:space="preserve">at the local, </w:t>
      </w:r>
      <w:proofErr w:type="gramStart"/>
      <w:r w:rsidR="007C59AD" w:rsidRPr="00BC7A12">
        <w:rPr>
          <w:rFonts w:cs="Calibri"/>
        </w:rPr>
        <w:t>state</w:t>
      </w:r>
      <w:proofErr w:type="gramEnd"/>
      <w:r w:rsidR="007C59AD" w:rsidRPr="00BC7A12">
        <w:rPr>
          <w:rFonts w:cs="Calibri"/>
        </w:rPr>
        <w:t xml:space="preserve"> and national scales,</w:t>
      </w:r>
      <w:bookmarkStart w:id="17" w:name="_Hlk44158661"/>
      <w:r w:rsidR="007C59AD" w:rsidRPr="00BC7A12">
        <w:rPr>
          <w:rFonts w:cs="Calibri"/>
        </w:rPr>
        <w:t xml:space="preserve"> the</w:t>
      </w:r>
      <w:r w:rsidR="004E762B" w:rsidRPr="00BC7A12">
        <w:rPr>
          <w:rFonts w:cs="Calibri"/>
        </w:rPr>
        <w:t xml:space="preserve"> greater the ease at which research can be integrated</w:t>
      </w:r>
      <w:r w:rsidR="007A7554" w:rsidRPr="00BC7A12">
        <w:rPr>
          <w:rFonts w:cs="Calibri"/>
        </w:rPr>
        <w:t xml:space="preserve"> among studies</w:t>
      </w:r>
      <w:r w:rsidR="00281AC7" w:rsidRPr="00BC7A12">
        <w:rPr>
          <w:rFonts w:cs="Calibri"/>
        </w:rPr>
        <w:t xml:space="preserve">. </w:t>
      </w:r>
      <w:bookmarkEnd w:id="17"/>
      <w:r w:rsidR="00281AC7" w:rsidRPr="00BC7A12">
        <w:rPr>
          <w:rFonts w:cs="Calibri"/>
        </w:rPr>
        <w:t xml:space="preserve">Even </w:t>
      </w:r>
      <w:r w:rsidR="00471BC6" w:rsidRPr="00BC7A12">
        <w:rPr>
          <w:rFonts w:cs="Calibri"/>
        </w:rPr>
        <w:t xml:space="preserve">within a single study, </w:t>
      </w:r>
      <w:r w:rsidR="00281AC7" w:rsidRPr="00BC7A12">
        <w:rPr>
          <w:rFonts w:cs="Calibri"/>
        </w:rPr>
        <w:t xml:space="preserve">values </w:t>
      </w:r>
      <w:r w:rsidR="00471BC6" w:rsidRPr="00BC7A12">
        <w:rPr>
          <w:rFonts w:cs="Calibri"/>
        </w:rPr>
        <w:t xml:space="preserve">of </w:t>
      </w:r>
      <w:r w:rsidR="00281AC7" w:rsidRPr="00BC7A12">
        <w:rPr>
          <w:rFonts w:cs="Calibri"/>
        </w:rPr>
        <w:t xml:space="preserve">different </w:t>
      </w:r>
      <w:r w:rsidR="00471BC6" w:rsidRPr="00BC7A12">
        <w:rPr>
          <w:rFonts w:cs="Calibri"/>
        </w:rPr>
        <w:t xml:space="preserve">ecosystem services can </w:t>
      </w:r>
      <w:r w:rsidR="00281AC7" w:rsidRPr="00BC7A12">
        <w:rPr>
          <w:rFonts w:cs="Calibri"/>
        </w:rPr>
        <w:t xml:space="preserve">be more easily combined </w:t>
      </w:r>
      <w:r w:rsidR="00471BC6" w:rsidRPr="00BC7A12">
        <w:rPr>
          <w:rFonts w:cs="Calibri"/>
        </w:rPr>
        <w:t xml:space="preserve">if they are identified with the same </w:t>
      </w:r>
      <w:r w:rsidR="00281AC7" w:rsidRPr="00BC7A12">
        <w:rPr>
          <w:rFonts w:cs="Calibri"/>
        </w:rPr>
        <w:t>classification system.</w:t>
      </w:r>
      <w:r w:rsidR="009F47F8" w:rsidRPr="00BC7A12">
        <w:rPr>
          <w:rFonts w:cs="Calibri"/>
        </w:rPr>
        <w:t xml:space="preserve">   </w:t>
      </w:r>
    </w:p>
    <w:p w14:paraId="1C7ADE8D" w14:textId="7982361C" w:rsidR="009F47F8" w:rsidRPr="00BC7A12" w:rsidRDefault="009F47F8" w:rsidP="009F47F8">
      <w:pPr>
        <w:rPr>
          <w:rFonts w:cs="Calibri"/>
        </w:rPr>
      </w:pPr>
      <w:r w:rsidRPr="00BC7A12">
        <w:rPr>
          <w:rFonts w:cs="Calibri"/>
        </w:rPr>
        <w:lastRenderedPageBreak/>
        <w:t xml:space="preserve">Only the National Ecosystem Services Classification System Plus (NESCS Plus) </w:t>
      </w:r>
      <w:r w:rsidRPr="00BC7A12">
        <w:rPr>
          <w:rFonts w:cs="Calibri"/>
        </w:rPr>
        <w:fldChar w:fldCharType="begin" w:fldLock="1"/>
      </w:r>
      <w:r w:rsidRPr="00BC7A12">
        <w:rPr>
          <w:rFonts w:cs="Calibri"/>
        </w:rPr>
        <w:instrText>ADDIN CSL_CITATION {"citationItems":[{"id":"ITEM-1","itemData":{"author":[{"dropping-particle":"","family":"United States Environmental Protection Agency (US EPA)","given":"","non-dropping-particle":"","parse-names":false,"suffix":""}],"id":"ITEM-1","issued":{"date-parts":[["2020"]]},"publisher-place":"Washington D. C.","title":"National Ecosystem Services Classification System Plus (NESCS Plus)","type":"report"},"uris":["http://www.mendeley.com/documents/?uuid=9a4e02e1-14a7-4492-9e32-7a140d840aa9"]}],"mendeley":{"formattedCitation":"(United States Environmental Protection Agency (US EPA) 2020)","plainTextFormattedCitation":"(United States Environmental Protection Agency (US EPA) 2020)","previouslyFormattedCitation":"(United States Environmental Protection Agency (US EPA) 2020)"},"properties":{"noteIndex":0},"schema":"https://github.com/citation-style-language/schema/raw/master/csl-citation.json"}</w:instrText>
      </w:r>
      <w:r w:rsidRPr="00BC7A12">
        <w:rPr>
          <w:rFonts w:cs="Calibri"/>
        </w:rPr>
        <w:fldChar w:fldCharType="separate"/>
      </w:r>
      <w:r w:rsidRPr="00BC7A12">
        <w:rPr>
          <w:rFonts w:cs="Calibri"/>
          <w:noProof/>
        </w:rPr>
        <w:t>(United States Environmental Protection Agency (US EPA) 2020)</w:t>
      </w:r>
      <w:r w:rsidRPr="00BC7A12">
        <w:rPr>
          <w:rFonts w:cs="Calibri"/>
        </w:rPr>
        <w:fldChar w:fldCharType="end"/>
      </w:r>
      <w:r w:rsidRPr="00BC7A12">
        <w:rPr>
          <w:rFonts w:cs="Calibri"/>
        </w:rPr>
        <w:t xml:space="preserve"> and the Common International Classification System for Ecosystem Services (CICES) </w:t>
      </w:r>
      <w:r w:rsidRPr="00BC7A12">
        <w:rPr>
          <w:rFonts w:cs="Calibri"/>
        </w:rPr>
        <w:fldChar w:fldCharType="begin" w:fldLock="1"/>
      </w:r>
      <w:r w:rsidRPr="00BC7A12">
        <w:rPr>
          <w:rFonts w:cs="Calibri"/>
        </w:rPr>
        <w:instrText>ADDIN CSL_CITATION {"citationItems":[{"id":"ITEM-1","itemData":{"ISSN":"00359351","abstract":"The Common International Classification of Ecosystem Services (CICES) has been designed to help measure, account for, and assess ecosystem services. Although it was developed in the context of work on the System of Environmental and Economic Accounting (SEEA) that is being led by the United Nations Statistical Division (UNSD), it has been used widely in ecosystem services research for designing indicators, mapping and for valuation.","author":[{"dropping-particle":"","family":"Haines-Young","given":"Roy","non-dropping-particle":"","parse-names":false,"suffix":""},{"dropping-particle":"","family":"Potschin","given":"Marion B","non-dropping-particle":"","parse-names":false,"suffix":""}],"container-title":"European Environment Agency","id":"ITEM-1","issued":{"date-parts":[["2018"]]},"title":"Common International Classification of Ecosystem Services (CICES) V5.1 and Guidance on the Application of the Revised Structure","type":"article-journal"},"uris":["http://www.mendeley.com/documents/?uuid=d463681d-5b91-474e-bfe4-7b1051eefb90"]}],"mendeley":{"formattedCitation":"(Haines-Young &amp; Potschin 2018)","plainTextFormattedCitation":"(Haines-Young &amp; Potschin 2018)","previouslyFormattedCitation":"(Haines-Young &amp; Potschin 2018)"},"properties":{"noteIndex":0},"schema":"https://github.com/citation-style-language/schema/raw/master/csl-citation.json"}</w:instrText>
      </w:r>
      <w:r w:rsidRPr="00BC7A12">
        <w:rPr>
          <w:rFonts w:cs="Calibri"/>
        </w:rPr>
        <w:fldChar w:fldCharType="separate"/>
      </w:r>
      <w:r w:rsidRPr="00BC7A12">
        <w:rPr>
          <w:rFonts w:cs="Calibri"/>
          <w:noProof/>
        </w:rPr>
        <w:t>(Haines-Young &amp; Potschin 2018)</w:t>
      </w:r>
      <w:r w:rsidRPr="00BC7A12">
        <w:rPr>
          <w:rFonts w:cs="Calibri"/>
        </w:rPr>
        <w:fldChar w:fldCharType="end"/>
      </w:r>
      <w:r w:rsidRPr="00BC7A12">
        <w:rPr>
          <w:rFonts w:cs="Calibri"/>
        </w:rPr>
        <w:t xml:space="preserve"> </w:t>
      </w:r>
      <w:r w:rsidR="00281AC7" w:rsidRPr="00BC7A12">
        <w:rPr>
          <w:rFonts w:cs="Calibri"/>
        </w:rPr>
        <w:t>meet the standards of being a classification system</w:t>
      </w:r>
      <w:r w:rsidRPr="00BC7A12">
        <w:rPr>
          <w:rFonts w:cs="Calibri"/>
        </w:rPr>
        <w:t xml:space="preserve">. </w:t>
      </w:r>
      <w:r w:rsidR="007C59AD" w:rsidRPr="00BC7A12">
        <w:rPr>
          <w:rFonts w:cs="Calibri"/>
        </w:rPr>
        <w:t xml:space="preserve">They are the only groups or classifications of ecosystem services that embody the principles of classification </w:t>
      </w:r>
      <w:r w:rsidR="00896B6F" w:rsidRPr="00BC7A12">
        <w:rPr>
          <w:rFonts w:cs="Calibri"/>
        </w:rPr>
        <w:t>science</w:t>
      </w:r>
      <w:r w:rsidR="007C59AD" w:rsidRPr="00BC7A12">
        <w:rPr>
          <w:rFonts w:cs="Calibri"/>
        </w:rPr>
        <w:t xml:space="preserve"> </w:t>
      </w:r>
      <w:r w:rsidR="007C59AD" w:rsidRPr="00BC7A12">
        <w:rPr>
          <w:rFonts w:cs="Calibri"/>
        </w:rPr>
        <w:fldChar w:fldCharType="begin" w:fldLock="1"/>
      </w:r>
      <w:r w:rsidR="00896B6F" w:rsidRPr="00BC7A12">
        <w:rPr>
          <w:rFonts w:cs="Calibri"/>
        </w:rPr>
        <w:instrText>ADDIN CSL_CITATION {"citationItems":[{"id":"ITEM-1","itemData":{"abstract":"Ecosystem services (ES) practitioners (e.g., researchers, policy makers) has been working to better define, measure, and value the ways that nature contributes to society. Because measurement techniques follow the labeling or identification of ES, precise identification is critical. This article reviews literature and consults experts in classification science and ES to determine the expected benefits of using ES classification knowledge (classification knowledge); ecosystem services classification systems (ES-CS) and their principles. An informal analysis of the costs of transitioning from the current ad-hoc approach—based on various ES lists—to using classification knowledge was conducted. 18 benefits of using classification knowledge were found, including allowing ES to be defined more easily and precisely, easing the transfer of knowledge among studies, and avoiding the need to recreate ES identification systems. Collectively, these 18 benefits should allow for more accurate and consistent definition of ES, thereby serving to improve communication and measurement of ES. Moreover, the expected benefits of using ES-CS outweigh expected costs of the transition. Practitioners can use ES-CS in whole, or in parts, as their research or their institutions warrant. Finally, a case study was conducted that shows how ES measures can be organized using ES-CS, delivering benefits to practitioners.","author":[{"dropping-particle":"","family":"Finisdore","given":"John","non-dropping-particle":"","parse-names":false,"suffix":""},{"dropping-particle":"","family":"Rhodes","given":"Dr. Charles","non-dropping-particle":"","parse-names":false,"suffix":""},{"dropping-particle":"","family":"Haines-Young","given":"Dr. Roy","non-dropping-particle":"","parse-names":false,"suffix":""},{"dropping-particle":"","family":"Maynard","given":"Dr. Simone","non-dropping-particle":"","parse-names":false,"suffix":""},{"dropping-particle":"","family":"Wielgus","given":"Dr. Jeffrey","non-dropping-particle":"","parse-names":false,"suffix":""},{"dropping-particle":"","family":"Dvarskas","given":"Dr. Anthony","non-dropping-particle":"","parse-names":false,"suffix":""},{"dropping-particle":"","family":"Houdet","given":"Dr. Joel","non-dropping-particle":"","parse-names":false,"suffix":""},{"dropping-particle":"","family":"Quétier","given":"Dr. Fabien","non-dropping-particle":"","parse-names":false,"suffix":""},{"dropping-particle":"","family":"Lamothe","given":"Dr. Karl A.","non-dropping-particle":"","parse-names":false,"suffix":""},{"dropping-particle":"","family":"Ding","given":"Dr. Helen","non-dropping-particle":"","parse-names":false,"suffix":""},{"dropping-particle":"","family":"Soulard","given":"Dr. François","non-dropping-particle":"","parse-names":false,"suffix":""},{"dropping-particle":"Van","family":"Houtven","given":"Dr. George","non-dropping-particle":"","parse-names":false,"suffix":""},{"dropping-particle":"","family":"Rowcroft","given":"Petrina","non-dropping-particle":"","parse-names":false,"suffix":""}],"container-title":"Ecosystem Services","id":"ITEM-1","issued":{"date-parts":[["0"]]},"title":"The 18 benefits of using ecosystem services classification systems","type":"article-journal"},"uris":["http://www.mendeley.com/documents/?uuid=1b6ad437-31ca-438c-9d70-4a51452c458c"]}],"mendeley":{"formattedCitation":"(Finisdore et al. n.d.)","manualFormatting":"(Finisdore et al. n.d., Appendix 5)","plainTextFormattedCitation":"(Finisdore et al. n.d.)","previouslyFormattedCitation":"(Finisdore et al. n.d.)"},"properties":{"noteIndex":0},"schema":"https://github.com/citation-style-language/schema/raw/master/csl-citation.json"}</w:instrText>
      </w:r>
      <w:r w:rsidR="007C59AD" w:rsidRPr="00BC7A12">
        <w:rPr>
          <w:rFonts w:cs="Calibri"/>
        </w:rPr>
        <w:fldChar w:fldCharType="separate"/>
      </w:r>
      <w:r w:rsidR="00896B6F" w:rsidRPr="00BC7A12">
        <w:rPr>
          <w:rFonts w:cs="Calibri"/>
          <w:noProof/>
        </w:rPr>
        <w:t>(Finisdore et al. n.d., Appendix 5)</w:t>
      </w:r>
      <w:r w:rsidR="007C59AD" w:rsidRPr="00BC7A12">
        <w:rPr>
          <w:rFonts w:cs="Calibri"/>
        </w:rPr>
        <w:fldChar w:fldCharType="end"/>
      </w:r>
      <w:r w:rsidR="007C59AD" w:rsidRPr="00BC7A12">
        <w:rPr>
          <w:rFonts w:cs="Calibri"/>
        </w:rPr>
        <w:t xml:space="preserve">. </w:t>
      </w:r>
      <w:r w:rsidR="004C2B37" w:rsidRPr="00BC7A12">
        <w:rPr>
          <w:rFonts w:cs="Calibri"/>
        </w:rPr>
        <w:t xml:space="preserve">As </w:t>
      </w:r>
      <w:r w:rsidR="00471BC6" w:rsidRPr="00BC7A12">
        <w:rPr>
          <w:rFonts w:cs="Calibri"/>
        </w:rPr>
        <w:t xml:space="preserve">shown in </w:t>
      </w:r>
      <w:r w:rsidRPr="00BC7A12">
        <w:rPr>
          <w:rFonts w:cs="Calibri"/>
        </w:rPr>
        <w:fldChar w:fldCharType="begin"/>
      </w:r>
      <w:r w:rsidRPr="00BC7A12">
        <w:rPr>
          <w:rFonts w:cs="Calibri"/>
        </w:rPr>
        <w:instrText xml:space="preserve"> REF _Ref43034761 \h </w:instrText>
      </w:r>
      <w:r w:rsidR="00FD3388" w:rsidRPr="00BC7A12">
        <w:rPr>
          <w:rFonts w:cs="Calibri"/>
        </w:rPr>
        <w:instrText xml:space="preserve"> \* MERGEFORMAT </w:instrText>
      </w:r>
      <w:r w:rsidRPr="00BC7A12">
        <w:rPr>
          <w:rFonts w:cs="Calibri"/>
        </w:rPr>
      </w:r>
      <w:r w:rsidRPr="00BC7A12">
        <w:rPr>
          <w:rFonts w:cs="Calibri"/>
        </w:rPr>
        <w:fldChar w:fldCharType="separate"/>
      </w:r>
      <w:r w:rsidR="00657E34" w:rsidRPr="00BC7A12">
        <w:rPr>
          <w:rFonts w:cs="Calibri"/>
        </w:rPr>
        <w:t xml:space="preserve">Table </w:t>
      </w:r>
      <w:r w:rsidR="00657E34" w:rsidRPr="00657E34">
        <w:rPr>
          <w:rFonts w:cs="Calibri"/>
          <w:noProof/>
        </w:rPr>
        <w:t>1</w:t>
      </w:r>
      <w:r w:rsidRPr="00BC7A12">
        <w:rPr>
          <w:rFonts w:cs="Calibri"/>
        </w:rPr>
        <w:fldChar w:fldCharType="end"/>
      </w:r>
      <w:r w:rsidRPr="00BC7A12">
        <w:rPr>
          <w:rFonts w:cs="Calibri"/>
        </w:rPr>
        <w:t xml:space="preserve">, </w:t>
      </w:r>
      <w:r w:rsidR="00471BC6" w:rsidRPr="00BC7A12">
        <w:rPr>
          <w:rFonts w:cs="Calibri"/>
        </w:rPr>
        <w:t xml:space="preserve">both classification </w:t>
      </w:r>
      <w:r w:rsidRPr="00BC7A12">
        <w:rPr>
          <w:rFonts w:cs="Calibri"/>
        </w:rPr>
        <w:t xml:space="preserve">systems describe the </w:t>
      </w:r>
      <w:r w:rsidR="004C2B37" w:rsidRPr="00BC7A12">
        <w:rPr>
          <w:rFonts w:cs="Calibri"/>
        </w:rPr>
        <w:t xml:space="preserve">disaster </w:t>
      </w:r>
      <w:r w:rsidR="00E66D24" w:rsidRPr="00BC7A12">
        <w:rPr>
          <w:rFonts w:cs="Calibri"/>
        </w:rPr>
        <w:t xml:space="preserve">risk </w:t>
      </w:r>
      <w:r w:rsidR="004C2B37" w:rsidRPr="00BC7A12">
        <w:rPr>
          <w:rFonts w:cs="Calibri"/>
        </w:rPr>
        <w:t>reduction (</w:t>
      </w:r>
      <w:r w:rsidRPr="00BC7A12">
        <w:rPr>
          <w:rFonts w:cs="Calibri"/>
        </w:rPr>
        <w:t>DRR</w:t>
      </w:r>
      <w:r w:rsidR="004C2B37" w:rsidRPr="00BC7A12">
        <w:rPr>
          <w:rFonts w:cs="Calibri"/>
        </w:rPr>
        <w:t>)</w:t>
      </w:r>
      <w:r w:rsidRPr="00BC7A12">
        <w:rPr>
          <w:rFonts w:cs="Calibri"/>
        </w:rPr>
        <w:t xml:space="preserve"> ecosystem service for coastal wetlands </w:t>
      </w:r>
      <w:r w:rsidR="004F12D8" w:rsidRPr="00BC7A12">
        <w:rPr>
          <w:rFonts w:cs="Calibri"/>
        </w:rPr>
        <w:t xml:space="preserve">in </w:t>
      </w:r>
      <w:r w:rsidR="00471BC6" w:rsidRPr="00BC7A12">
        <w:rPr>
          <w:rFonts w:cs="Calibri"/>
        </w:rPr>
        <w:t>effectively the same way.</w:t>
      </w:r>
      <w:r w:rsidR="004F12D8" w:rsidRPr="00BC7A12">
        <w:rPr>
          <w:rFonts w:cs="Calibri"/>
        </w:rPr>
        <w:t xml:space="preserve"> Likewise, t</w:t>
      </w:r>
      <w:r w:rsidRPr="00BC7A12">
        <w:rPr>
          <w:rFonts w:cs="Calibri"/>
        </w:rPr>
        <w:t xml:space="preserve">he Millennium Ecosystem Assessment </w:t>
      </w:r>
      <w:r w:rsidR="00281AC7" w:rsidRPr="00BC7A12">
        <w:rPr>
          <w:rFonts w:cs="Calibri"/>
        </w:rPr>
        <w:fldChar w:fldCharType="begin" w:fldLock="1"/>
      </w:r>
      <w:r w:rsidR="000438FA">
        <w:rPr>
          <w:rFonts w:cs="Calibri"/>
        </w:rPr>
        <w:instrText>ADDIN CSL_CITATION {"citationItems":[{"id":"ITEM-1","itemData":{"ISBN":"1-55963-402-2","ISSN":"&lt;null&gt;","PMID":"15003161","abstract":"An ecosystem is a dynamic complex of plant, animal, and microorganism communities and the nonliving environment, interacting as a functional unit. Humans are an integral part of ecosystems. „ A well-defined ecosystem has strong interactions among its components and weak interactions across its boundaries. A useful ecosystem boundary is the place where a number of discontinuities coincide, for instance in the distribution of organisms, soil types, drainage basins, or depth in a water body. At a larger scale, regional and even globally distributed ecosystems can be evaluated based on a commonality of basic structural units. „ Ecosystem services are the benefits people obtain from ecosystems. These include provisioning services such as food and water; regulating services such as flood and disease control; cultural services such as spiritual, recreational, and cultural benefits; and supporting services, such as nutrient cycling, that maintain the conditions for life on Earth. „ Biodiversity is the variability among living organisms. It includes diversity within and among species and diversity within and among ecosystems. Biodiversity is the source of many ecosystem goods, such as food and genetic resources, and changes in biodiversity can influence the supply of ecosystem services. „ People seek many services from ecosystems and thus perceive the condition of an ecosystem in relation to its ability to provide desired services. The ability of ecosystems to deliver services can be assessed by a variety of qualitative and quantitative methods. „ An assessment of the condition of ecosystems, the provision of services, and their relation to human well-being requires an integrated approach. This enables a decision process to determine which service or set of services is valued most highly and how to develop approaches to maintain services by managing the system sustainably","author":[{"dropping-particle":"","family":"Millennium Ecosystem Assessment","given":"","non-dropping-particle":"","parse-names":false,"suffix":""}],"container-title":"Ecosystems and Human Well-being: A Framework for Assessment","id":"ITEM-1","issued":{"date-parts":[["2003"]]},"number-of-pages":"266","publisher-place":"Washington, DC","title":"Ecosystems and their services","type":"report"},"uris":["http://www.mendeley.com/documents/?uuid=8b895587-6af2-4372-bfc6-9482e12722ba"]}],"mendeley":{"formattedCitation":"(Millennium Ecosystem Assessment 2003)","plainTextFormattedCitation":"(Millennium Ecosystem Assessment 2003)","previouslyFormattedCitation":"(Millennium Ecosystem Assessment 2003)"},"properties":{"noteIndex":0},"schema":"https://github.com/citation-style-language/schema/raw/master/csl-citation.json"}</w:instrText>
      </w:r>
      <w:r w:rsidR="00281AC7" w:rsidRPr="00BC7A12">
        <w:rPr>
          <w:rFonts w:cs="Calibri"/>
        </w:rPr>
        <w:fldChar w:fldCharType="separate"/>
      </w:r>
      <w:r w:rsidR="00281AC7" w:rsidRPr="00BC7A12">
        <w:rPr>
          <w:rFonts w:cs="Calibri"/>
          <w:noProof/>
        </w:rPr>
        <w:t>(Millennium Ecosystem Assessment 2003)</w:t>
      </w:r>
      <w:r w:rsidR="00281AC7" w:rsidRPr="00BC7A12">
        <w:rPr>
          <w:rFonts w:cs="Calibri"/>
        </w:rPr>
        <w:fldChar w:fldCharType="end"/>
      </w:r>
      <w:r w:rsidR="00281AC7" w:rsidRPr="00BC7A12">
        <w:rPr>
          <w:rFonts w:cs="Calibri"/>
        </w:rPr>
        <w:t xml:space="preserve"> </w:t>
      </w:r>
      <w:r w:rsidRPr="00BC7A12">
        <w:rPr>
          <w:rFonts w:cs="Calibri"/>
        </w:rPr>
        <w:t xml:space="preserve">and </w:t>
      </w:r>
      <w:r w:rsidR="004F12D8" w:rsidRPr="00BC7A12">
        <w:rPr>
          <w:rFonts w:cs="Calibri"/>
        </w:rPr>
        <w:t>T</w:t>
      </w:r>
      <w:r w:rsidRPr="00BC7A12">
        <w:rPr>
          <w:rFonts w:cs="Calibri"/>
        </w:rPr>
        <w:t xml:space="preserve">he Economic of Ecosystems and Biodiversity (TEEB) </w:t>
      </w:r>
      <w:r w:rsidRPr="00BC7A12">
        <w:rPr>
          <w:rFonts w:cs="Calibri"/>
        </w:rPr>
        <w:fldChar w:fldCharType="begin" w:fldLock="1"/>
      </w:r>
      <w:r w:rsidRPr="00BC7A12">
        <w:rPr>
          <w:rFonts w:cs="Calibri"/>
        </w:rPr>
        <w:instrText>ADDIN CSL_CITATION {"citationItems":[{"id":"ITEM-1","itemData":{"DOI":"10.4324/9780203141700","ISBN":"9780203141700","abstract":"The Economics of Ecosystems and Biodiversity (TEEB) is a global study, initiated by the G8 and five major developing economies and focusing on the global eco- nomic benefit of biological diversity, the costs of the loss of biodiversity and the failure to take protective measures versus the costs of effective conservation1 . TEEB makes the case for integrating the economics of biodiversity and ecosystem services in decision-making.","author":[{"dropping-particle":"","family":"Bishop","given":"Joshua","non-dropping-particle":"","parse-names":false,"suffix":""}],"container-title":"The Economics of Ecosystems and Biodiversity in Business and Enterprise","id":"ITEM-1","issued":{"date-parts":[["2013"]]},"title":"The economics of ecosystems and biodiversity in business and enterprise","type":"book"},"uris":["http://www.mendeley.com/documents/?uuid=ad8edc1c-307c-44c8-9fa0-b5a851a8bb35"]}],"mendeley":{"formattedCitation":"(Bishop 2013)","plainTextFormattedCitation":"(Bishop 2013)","previouslyFormattedCitation":"(Bishop 2013)"},"properties":{"noteIndex":0},"schema":"https://github.com/citation-style-language/schema/raw/master/csl-citation.json"}</w:instrText>
      </w:r>
      <w:r w:rsidRPr="00BC7A12">
        <w:rPr>
          <w:rFonts w:cs="Calibri"/>
        </w:rPr>
        <w:fldChar w:fldCharType="separate"/>
      </w:r>
      <w:r w:rsidRPr="00BC7A12">
        <w:rPr>
          <w:rFonts w:cs="Calibri"/>
          <w:noProof/>
        </w:rPr>
        <w:t>(Bishop 2013)</w:t>
      </w:r>
      <w:r w:rsidRPr="00BC7A12">
        <w:rPr>
          <w:rFonts w:cs="Calibri"/>
        </w:rPr>
        <w:fldChar w:fldCharType="end"/>
      </w:r>
      <w:r w:rsidR="004F12D8" w:rsidRPr="00BC7A12">
        <w:rPr>
          <w:rFonts w:cs="Calibri"/>
        </w:rPr>
        <w:t xml:space="preserve"> wording </w:t>
      </w:r>
      <w:r w:rsidR="00471BC6" w:rsidRPr="00BC7A12">
        <w:rPr>
          <w:rFonts w:cs="Calibri"/>
        </w:rPr>
        <w:t>describes the same environmental-economic relationship</w:t>
      </w:r>
      <w:r w:rsidR="004F12D8" w:rsidRPr="00BC7A12">
        <w:rPr>
          <w:rStyle w:val="FootnoteReference"/>
          <w:rFonts w:cs="Calibri"/>
        </w:rPr>
        <w:footnoteReference w:id="3"/>
      </w:r>
      <w:r w:rsidR="004F12D8" w:rsidRPr="00BC7A12">
        <w:rPr>
          <w:rFonts w:cs="Calibri"/>
        </w:rPr>
        <w:t>.</w:t>
      </w:r>
    </w:p>
    <w:p w14:paraId="30B89407" w14:textId="5028BE8B" w:rsidR="009F47F8" w:rsidRPr="00BC7A12" w:rsidRDefault="009F47F8" w:rsidP="009F47F8">
      <w:pPr>
        <w:pStyle w:val="Caption"/>
        <w:keepNext/>
        <w:rPr>
          <w:rFonts w:cs="Calibri"/>
          <w:i w:val="0"/>
          <w:iCs w:val="0"/>
        </w:rPr>
      </w:pPr>
      <w:bookmarkStart w:id="18" w:name="_Ref43034761"/>
      <w:bookmarkStart w:id="19" w:name="_Toc46821740"/>
      <w:r w:rsidRPr="00BC7A12">
        <w:rPr>
          <w:rFonts w:cs="Calibri"/>
          <w:i w:val="0"/>
          <w:iCs w:val="0"/>
        </w:rPr>
        <w:t xml:space="preserve">Table </w:t>
      </w:r>
      <w:r w:rsidRPr="00BC7A12">
        <w:rPr>
          <w:rFonts w:cs="Calibri"/>
          <w:i w:val="0"/>
          <w:iCs w:val="0"/>
        </w:rPr>
        <w:fldChar w:fldCharType="begin"/>
      </w:r>
      <w:r w:rsidRPr="00BC7A12">
        <w:rPr>
          <w:rFonts w:cs="Calibri"/>
          <w:i w:val="0"/>
          <w:iCs w:val="0"/>
        </w:rPr>
        <w:instrText xml:space="preserve"> SEQ Table \* ARABIC </w:instrText>
      </w:r>
      <w:r w:rsidRPr="00BC7A12">
        <w:rPr>
          <w:rFonts w:cs="Calibri"/>
          <w:i w:val="0"/>
          <w:iCs w:val="0"/>
        </w:rPr>
        <w:fldChar w:fldCharType="separate"/>
      </w:r>
      <w:r w:rsidR="00657E34">
        <w:rPr>
          <w:rFonts w:cs="Calibri"/>
          <w:i w:val="0"/>
          <w:iCs w:val="0"/>
          <w:noProof/>
        </w:rPr>
        <w:t>1</w:t>
      </w:r>
      <w:r w:rsidRPr="00BC7A12">
        <w:rPr>
          <w:rFonts w:cs="Calibri"/>
          <w:i w:val="0"/>
          <w:iCs w:val="0"/>
          <w:noProof/>
        </w:rPr>
        <w:fldChar w:fldCharType="end"/>
      </w:r>
      <w:bookmarkEnd w:id="18"/>
      <w:r w:rsidRPr="00BC7A12">
        <w:rPr>
          <w:rFonts w:cs="Calibri"/>
          <w:i w:val="0"/>
          <w:iCs w:val="0"/>
        </w:rPr>
        <w:t xml:space="preserve"> </w:t>
      </w:r>
      <w:r w:rsidR="009D1FB9" w:rsidRPr="00BC7A12">
        <w:rPr>
          <w:rFonts w:cs="Calibri"/>
          <w:i w:val="0"/>
          <w:iCs w:val="0"/>
        </w:rPr>
        <w:t xml:space="preserve">Descriptions of </w:t>
      </w:r>
      <w:r w:rsidRPr="00BC7A12">
        <w:rPr>
          <w:rFonts w:cs="Calibri"/>
          <w:i w:val="0"/>
          <w:iCs w:val="0"/>
        </w:rPr>
        <w:t>DRR ecosystem services</w:t>
      </w:r>
      <w:bookmarkEnd w:id="19"/>
      <w:r w:rsidR="009D1FB9" w:rsidRPr="00BC7A12">
        <w:rPr>
          <w:rFonts w:cs="Calibri"/>
          <w:i w:val="0"/>
          <w:iCs w:val="0"/>
        </w:rPr>
        <w:t xml:space="preserve"> </w:t>
      </w:r>
    </w:p>
    <w:tbl>
      <w:tblPr>
        <w:tblStyle w:val="TableGrid"/>
        <w:tblW w:w="0" w:type="auto"/>
        <w:tblLook w:val="04A0" w:firstRow="1" w:lastRow="0" w:firstColumn="1" w:lastColumn="0" w:noHBand="0" w:noVBand="1"/>
      </w:tblPr>
      <w:tblGrid>
        <w:gridCol w:w="2126"/>
        <w:gridCol w:w="6890"/>
      </w:tblGrid>
      <w:tr w:rsidR="009F47F8" w:rsidRPr="00BC7A12" w14:paraId="49EE5DA2" w14:textId="77777777" w:rsidTr="00410919">
        <w:trPr>
          <w:cantSplit/>
          <w:tblHeader/>
        </w:trPr>
        <w:tc>
          <w:tcPr>
            <w:tcW w:w="0" w:type="auto"/>
          </w:tcPr>
          <w:p w14:paraId="34138AFD" w14:textId="77777777" w:rsidR="009F47F8" w:rsidRPr="00BC7A12" w:rsidRDefault="009F47F8" w:rsidP="00410919">
            <w:pPr>
              <w:rPr>
                <w:rFonts w:cs="Calibri"/>
                <w:b/>
                <w:bCs/>
              </w:rPr>
            </w:pPr>
            <w:r w:rsidRPr="00BC7A12">
              <w:rPr>
                <w:rFonts w:cs="Calibri"/>
                <w:b/>
                <w:bCs/>
              </w:rPr>
              <w:t>Classification system or grouping</w:t>
            </w:r>
          </w:p>
        </w:tc>
        <w:tc>
          <w:tcPr>
            <w:tcW w:w="0" w:type="auto"/>
          </w:tcPr>
          <w:p w14:paraId="6CC7D975" w14:textId="77C53438" w:rsidR="009F47F8" w:rsidRPr="00BC7A12" w:rsidRDefault="009D1FB9" w:rsidP="00410919">
            <w:pPr>
              <w:rPr>
                <w:rFonts w:cs="Calibri"/>
                <w:b/>
                <w:bCs/>
              </w:rPr>
            </w:pPr>
            <w:r w:rsidRPr="00BC7A12">
              <w:rPr>
                <w:rFonts w:cs="Calibri"/>
                <w:b/>
                <w:bCs/>
              </w:rPr>
              <w:t xml:space="preserve">Description </w:t>
            </w:r>
            <w:r w:rsidR="009F47F8" w:rsidRPr="00BC7A12">
              <w:rPr>
                <w:rFonts w:cs="Calibri"/>
                <w:b/>
                <w:bCs/>
              </w:rPr>
              <w:t>of the DRR ecosystem service</w:t>
            </w:r>
          </w:p>
        </w:tc>
      </w:tr>
      <w:tr w:rsidR="009F47F8" w:rsidRPr="00BC7A12" w14:paraId="1279FBB8" w14:textId="77777777" w:rsidTr="00410919">
        <w:trPr>
          <w:cantSplit/>
        </w:trPr>
        <w:tc>
          <w:tcPr>
            <w:tcW w:w="0" w:type="auto"/>
          </w:tcPr>
          <w:p w14:paraId="588ADAB4" w14:textId="6762C97E" w:rsidR="009F47F8" w:rsidRPr="00BC7A12" w:rsidRDefault="009F47F8" w:rsidP="00410919">
            <w:pPr>
              <w:spacing w:line="240" w:lineRule="auto"/>
              <w:rPr>
                <w:rFonts w:cs="Calibri"/>
              </w:rPr>
            </w:pPr>
            <w:r w:rsidRPr="00BC7A12">
              <w:rPr>
                <w:rFonts w:cs="Calibri"/>
              </w:rPr>
              <w:t>MA</w:t>
            </w:r>
            <w:r w:rsidR="00FE4C79" w:rsidRPr="00BC7A12">
              <w:rPr>
                <w:rFonts w:cs="Calibri"/>
              </w:rPr>
              <w:t xml:space="preserve"> </w:t>
            </w:r>
          </w:p>
        </w:tc>
        <w:tc>
          <w:tcPr>
            <w:tcW w:w="0" w:type="auto"/>
          </w:tcPr>
          <w:p w14:paraId="61F516D6" w14:textId="77777777" w:rsidR="009F47F8" w:rsidRPr="00BC7A12" w:rsidRDefault="009F47F8" w:rsidP="00410919">
            <w:pPr>
              <w:spacing w:line="240" w:lineRule="auto"/>
              <w:rPr>
                <w:rFonts w:cs="Calibri"/>
              </w:rPr>
            </w:pPr>
            <w:r w:rsidRPr="00BC7A12">
              <w:rPr>
                <w:rFonts w:cs="Calibri"/>
              </w:rPr>
              <w:t xml:space="preserve">Natural hazard mitigation </w:t>
            </w:r>
          </w:p>
        </w:tc>
      </w:tr>
      <w:tr w:rsidR="009F47F8" w:rsidRPr="00BC7A12" w14:paraId="10FE04A8" w14:textId="77777777" w:rsidTr="00410919">
        <w:trPr>
          <w:cantSplit/>
        </w:trPr>
        <w:tc>
          <w:tcPr>
            <w:tcW w:w="0" w:type="auto"/>
          </w:tcPr>
          <w:p w14:paraId="6CBA6B80" w14:textId="77777777" w:rsidR="009F47F8" w:rsidRPr="00BC7A12" w:rsidRDefault="009F47F8" w:rsidP="00410919">
            <w:pPr>
              <w:spacing w:line="240" w:lineRule="auto"/>
              <w:rPr>
                <w:rFonts w:cs="Calibri"/>
              </w:rPr>
            </w:pPr>
            <w:r w:rsidRPr="00BC7A12">
              <w:rPr>
                <w:rFonts w:cs="Calibri"/>
              </w:rPr>
              <w:t>TEEB</w:t>
            </w:r>
          </w:p>
        </w:tc>
        <w:tc>
          <w:tcPr>
            <w:tcW w:w="0" w:type="auto"/>
          </w:tcPr>
          <w:p w14:paraId="46BB0D67" w14:textId="77777777" w:rsidR="009F47F8" w:rsidRPr="00BC7A12" w:rsidRDefault="009F47F8" w:rsidP="00410919">
            <w:pPr>
              <w:spacing w:line="240" w:lineRule="auto"/>
              <w:rPr>
                <w:rFonts w:cs="Calibri"/>
              </w:rPr>
            </w:pPr>
            <w:r w:rsidRPr="00BC7A12">
              <w:rPr>
                <w:rFonts w:cs="Calibri"/>
              </w:rPr>
              <w:t xml:space="preserve">Moderation of extreme events </w:t>
            </w:r>
          </w:p>
        </w:tc>
      </w:tr>
      <w:tr w:rsidR="009F47F8" w:rsidRPr="00BC7A12" w14:paraId="2EA1E9D3" w14:textId="77777777" w:rsidTr="00410919">
        <w:trPr>
          <w:cantSplit/>
        </w:trPr>
        <w:tc>
          <w:tcPr>
            <w:tcW w:w="0" w:type="auto"/>
          </w:tcPr>
          <w:p w14:paraId="7C056B82" w14:textId="77777777" w:rsidR="009F47F8" w:rsidRPr="00BC7A12" w:rsidRDefault="009F47F8" w:rsidP="00410919">
            <w:pPr>
              <w:spacing w:line="240" w:lineRule="auto"/>
              <w:rPr>
                <w:rFonts w:cs="Calibri"/>
              </w:rPr>
            </w:pPr>
            <w:r w:rsidRPr="00BC7A12">
              <w:rPr>
                <w:rFonts w:cs="Calibri"/>
              </w:rPr>
              <w:t>CICES</w:t>
            </w:r>
          </w:p>
        </w:tc>
        <w:tc>
          <w:tcPr>
            <w:tcW w:w="0" w:type="auto"/>
          </w:tcPr>
          <w:p w14:paraId="76FA4931" w14:textId="77777777" w:rsidR="009F47F8" w:rsidRPr="00BC7A12" w:rsidRDefault="009F47F8" w:rsidP="00410919">
            <w:pPr>
              <w:spacing w:line="240" w:lineRule="auto"/>
              <w:rPr>
                <w:rFonts w:cs="Calibri"/>
              </w:rPr>
            </w:pPr>
            <w:r w:rsidRPr="00BC7A12">
              <w:rPr>
                <w:rFonts w:cs="Calibri"/>
              </w:rPr>
              <w:t>Regulation of baseline flows and extreme events for:</w:t>
            </w:r>
          </w:p>
          <w:p w14:paraId="7AD6DD73" w14:textId="77777777" w:rsidR="009F47F8" w:rsidRPr="00BC7A12" w:rsidRDefault="009F47F8" w:rsidP="00410919">
            <w:pPr>
              <w:pStyle w:val="ListParagraph"/>
              <w:numPr>
                <w:ilvl w:val="0"/>
                <w:numId w:val="24"/>
              </w:numPr>
              <w:spacing w:line="240" w:lineRule="auto"/>
              <w:rPr>
                <w:rFonts w:cs="Calibri"/>
              </w:rPr>
            </w:pPr>
            <w:r w:rsidRPr="00BC7A12">
              <w:rPr>
                <w:rFonts w:cs="Calibri"/>
              </w:rPr>
              <w:t xml:space="preserve">Buffering and attenuation of mass movements </w:t>
            </w:r>
          </w:p>
          <w:p w14:paraId="1FFA8056" w14:textId="77777777" w:rsidR="009F47F8" w:rsidRPr="00BC7A12" w:rsidRDefault="009F47F8" w:rsidP="00410919">
            <w:pPr>
              <w:pStyle w:val="ListParagraph"/>
              <w:numPr>
                <w:ilvl w:val="0"/>
                <w:numId w:val="24"/>
              </w:numPr>
              <w:spacing w:line="240" w:lineRule="auto"/>
              <w:rPr>
                <w:rFonts w:cs="Calibri"/>
              </w:rPr>
            </w:pPr>
            <w:r w:rsidRPr="00BC7A12">
              <w:rPr>
                <w:rFonts w:cs="Calibri"/>
              </w:rPr>
              <w:t xml:space="preserve">Hydrological cycle and water flow regulation (Including flood control, and coastal protection) </w:t>
            </w:r>
          </w:p>
          <w:p w14:paraId="681A2AF2" w14:textId="77777777" w:rsidR="009F47F8" w:rsidRPr="00BC7A12" w:rsidRDefault="009F47F8" w:rsidP="00410919">
            <w:pPr>
              <w:pStyle w:val="ListParagraph"/>
              <w:numPr>
                <w:ilvl w:val="0"/>
                <w:numId w:val="24"/>
              </w:numPr>
              <w:spacing w:line="240" w:lineRule="auto"/>
              <w:rPr>
                <w:rFonts w:cs="Calibri"/>
              </w:rPr>
            </w:pPr>
            <w:r w:rsidRPr="00BC7A12">
              <w:rPr>
                <w:rFonts w:cs="Calibri"/>
              </w:rPr>
              <w:t xml:space="preserve">Fire protection </w:t>
            </w:r>
          </w:p>
          <w:p w14:paraId="4EEE7F99" w14:textId="7103A7B9" w:rsidR="009F47F8" w:rsidRPr="00BC7A12" w:rsidRDefault="009F47F8" w:rsidP="00410919">
            <w:pPr>
              <w:spacing w:line="240" w:lineRule="auto"/>
              <w:rPr>
                <w:rFonts w:cs="Calibri"/>
              </w:rPr>
            </w:pPr>
            <w:r w:rsidRPr="00BC7A12">
              <w:rPr>
                <w:rFonts w:cs="Calibri"/>
              </w:rPr>
              <w:t>(the bullets represent a sub-classification of the first line)</w:t>
            </w:r>
          </w:p>
        </w:tc>
      </w:tr>
      <w:tr w:rsidR="009F47F8" w:rsidRPr="00BC7A12" w14:paraId="6B1CAE16" w14:textId="77777777" w:rsidTr="00410919">
        <w:trPr>
          <w:cantSplit/>
        </w:trPr>
        <w:tc>
          <w:tcPr>
            <w:tcW w:w="0" w:type="auto"/>
          </w:tcPr>
          <w:p w14:paraId="149403F2" w14:textId="77777777" w:rsidR="009F47F8" w:rsidRPr="00BC7A12" w:rsidRDefault="009F47F8" w:rsidP="00410919">
            <w:pPr>
              <w:spacing w:line="240" w:lineRule="auto"/>
              <w:rPr>
                <w:rFonts w:cs="Calibri"/>
              </w:rPr>
            </w:pPr>
            <w:r w:rsidRPr="00BC7A12">
              <w:rPr>
                <w:rFonts w:cs="Calibri"/>
              </w:rPr>
              <w:t>NESCS Plus</w:t>
            </w:r>
          </w:p>
        </w:tc>
        <w:tc>
          <w:tcPr>
            <w:tcW w:w="0" w:type="auto"/>
          </w:tcPr>
          <w:p w14:paraId="0D68088C" w14:textId="77777777" w:rsidR="009F47F8" w:rsidRPr="00BC7A12" w:rsidRDefault="009F47F8" w:rsidP="00410919">
            <w:pPr>
              <w:spacing w:line="240" w:lineRule="auto"/>
              <w:rPr>
                <w:rFonts w:cs="Calibri"/>
              </w:rPr>
            </w:pPr>
            <w:r w:rsidRPr="00BC7A12">
              <w:rPr>
                <w:rFonts w:cs="Calibri"/>
              </w:rPr>
              <w:t>Presence of ecosystems’ composite end products (e.g. coastal wetlands) for the protection of human property of users (e.g. industry, household, government)</w:t>
            </w:r>
          </w:p>
        </w:tc>
      </w:tr>
    </w:tbl>
    <w:p w14:paraId="464F69EB" w14:textId="77777777" w:rsidR="009F47F8" w:rsidRPr="00BC7A12" w:rsidRDefault="009F47F8" w:rsidP="009F47F8">
      <w:pPr>
        <w:rPr>
          <w:rFonts w:cs="Calibri"/>
        </w:rPr>
      </w:pPr>
    </w:p>
    <w:p w14:paraId="6F9F33CF" w14:textId="06CBDDF2" w:rsidR="009F47F8" w:rsidRPr="00BC7A12" w:rsidRDefault="004C2B37" w:rsidP="009F47F8">
      <w:pPr>
        <w:rPr>
          <w:rFonts w:cs="Calibri"/>
        </w:rPr>
      </w:pPr>
      <w:r w:rsidRPr="00BC7A12">
        <w:rPr>
          <w:rFonts w:cs="Calibri"/>
        </w:rPr>
        <w:t>T</w:t>
      </w:r>
      <w:r w:rsidR="009F47F8" w:rsidRPr="00BC7A12">
        <w:rPr>
          <w:rFonts w:cs="Calibri"/>
        </w:rPr>
        <w:t>his report uses the term</w:t>
      </w:r>
      <w:r w:rsidR="00FE4C79" w:rsidRPr="00BC7A12">
        <w:rPr>
          <w:rFonts w:cs="Calibri"/>
        </w:rPr>
        <w:t xml:space="preserve">s “disaster risk reduction (DRR)” and </w:t>
      </w:r>
      <w:r w:rsidR="009F47F8" w:rsidRPr="00BC7A12">
        <w:rPr>
          <w:rFonts w:cs="Calibri"/>
        </w:rPr>
        <w:t xml:space="preserve">“protection of human property.” </w:t>
      </w:r>
      <w:r w:rsidR="00FE4C79" w:rsidRPr="00BC7A12">
        <w:rPr>
          <w:rFonts w:cs="Calibri"/>
        </w:rPr>
        <w:t xml:space="preserve">They are </w:t>
      </w:r>
      <w:r w:rsidR="009F47F8" w:rsidRPr="00BC7A12">
        <w:rPr>
          <w:rFonts w:cs="Calibri"/>
        </w:rPr>
        <w:t>used synonymously with</w:t>
      </w:r>
      <w:r w:rsidR="00F90678" w:rsidRPr="00BC7A12">
        <w:rPr>
          <w:rFonts w:cs="Calibri"/>
        </w:rPr>
        <w:t xml:space="preserve"> the TEEB, CICES and MA definitions</w:t>
      </w:r>
      <w:r w:rsidR="00FE4C79" w:rsidRPr="00BC7A12">
        <w:rPr>
          <w:rFonts w:cs="Calibri"/>
        </w:rPr>
        <w:t xml:space="preserve"> as well as the terms used in the </w:t>
      </w:r>
      <w:r w:rsidR="004E762B" w:rsidRPr="00BC7A12">
        <w:rPr>
          <w:rFonts w:cs="Calibri"/>
        </w:rPr>
        <w:t>literature</w:t>
      </w:r>
      <w:r w:rsidR="00F90678" w:rsidRPr="00BC7A12">
        <w:rPr>
          <w:rFonts w:cs="Calibri"/>
        </w:rPr>
        <w:t xml:space="preserve">. </w:t>
      </w:r>
      <w:r w:rsidR="003C1722" w:rsidRPr="00BC7A12">
        <w:rPr>
          <w:rFonts w:cs="Calibri"/>
        </w:rPr>
        <w:t xml:space="preserve">A comparison of the term in the literature and those in </w:t>
      </w:r>
      <w:r w:rsidR="003C1722" w:rsidRPr="00BC7A12">
        <w:rPr>
          <w:rFonts w:cs="Calibri"/>
        </w:rPr>
        <w:fldChar w:fldCharType="begin"/>
      </w:r>
      <w:r w:rsidR="003C1722" w:rsidRPr="00BC7A12">
        <w:rPr>
          <w:rFonts w:cs="Calibri"/>
        </w:rPr>
        <w:instrText xml:space="preserve"> REF _Ref43034761 \h  \* MERGEFORMAT </w:instrText>
      </w:r>
      <w:r w:rsidR="003C1722" w:rsidRPr="00BC7A12">
        <w:rPr>
          <w:rFonts w:cs="Calibri"/>
        </w:rPr>
      </w:r>
      <w:r w:rsidR="003C1722" w:rsidRPr="00BC7A12">
        <w:rPr>
          <w:rFonts w:cs="Calibri"/>
        </w:rPr>
        <w:fldChar w:fldCharType="separate"/>
      </w:r>
      <w:r w:rsidR="00657E34" w:rsidRPr="00BC7A12">
        <w:rPr>
          <w:rFonts w:cs="Calibri"/>
        </w:rPr>
        <w:t xml:space="preserve">Table </w:t>
      </w:r>
      <w:r w:rsidR="00657E34" w:rsidRPr="00657E34">
        <w:rPr>
          <w:rFonts w:cs="Calibri"/>
          <w:noProof/>
        </w:rPr>
        <w:t>1</w:t>
      </w:r>
      <w:r w:rsidR="003C1722" w:rsidRPr="00BC7A12">
        <w:rPr>
          <w:rFonts w:cs="Calibri"/>
        </w:rPr>
        <w:fldChar w:fldCharType="end"/>
      </w:r>
      <w:r w:rsidR="003C1722" w:rsidRPr="00BC7A12">
        <w:rPr>
          <w:rFonts w:cs="Calibri"/>
        </w:rPr>
        <w:t xml:space="preserve"> is in section </w:t>
      </w:r>
      <w:r w:rsidR="003C1722" w:rsidRPr="00BC7A12">
        <w:rPr>
          <w:rFonts w:cs="Calibri"/>
        </w:rPr>
        <w:fldChar w:fldCharType="begin"/>
      </w:r>
      <w:r w:rsidR="003C1722" w:rsidRPr="00BC7A12">
        <w:rPr>
          <w:rFonts w:cs="Calibri"/>
        </w:rPr>
        <w:instrText xml:space="preserve"> REF _Ref44223267 \h </w:instrText>
      </w:r>
      <w:r w:rsidR="00BC7A12">
        <w:rPr>
          <w:rFonts w:cs="Calibri"/>
        </w:rPr>
        <w:instrText xml:space="preserve"> \* MERGEFORMAT </w:instrText>
      </w:r>
      <w:r w:rsidR="003C1722" w:rsidRPr="00BC7A12">
        <w:rPr>
          <w:rFonts w:cs="Calibri"/>
        </w:rPr>
      </w:r>
      <w:r w:rsidR="003C1722" w:rsidRPr="00BC7A12">
        <w:rPr>
          <w:rFonts w:cs="Calibri"/>
        </w:rPr>
        <w:fldChar w:fldCharType="separate"/>
      </w:r>
      <w:r w:rsidR="00657E34" w:rsidRPr="00BC7A12">
        <w:rPr>
          <w:rFonts w:cs="Calibri"/>
        </w:rPr>
        <w:t>Literature review and stakeholder interviews</w:t>
      </w:r>
      <w:r w:rsidR="003C1722" w:rsidRPr="00BC7A12">
        <w:rPr>
          <w:rFonts w:cs="Calibri"/>
        </w:rPr>
        <w:fldChar w:fldCharType="end"/>
      </w:r>
      <w:r w:rsidR="003C1722" w:rsidRPr="00BC7A12">
        <w:rPr>
          <w:rFonts w:cs="Calibri"/>
        </w:rPr>
        <w:t xml:space="preserve">. </w:t>
      </w:r>
    </w:p>
    <w:p w14:paraId="40E1C92F" w14:textId="77777777" w:rsidR="004C2B37" w:rsidRPr="00BC7A12" w:rsidRDefault="004C2B37" w:rsidP="009F47F8">
      <w:pPr>
        <w:rPr>
          <w:rFonts w:cs="Calibri"/>
        </w:rPr>
      </w:pPr>
    </w:p>
    <w:p w14:paraId="4DDBCF25" w14:textId="70656659" w:rsidR="007B5BC2" w:rsidRPr="00BC7A12" w:rsidRDefault="00611F3B" w:rsidP="00281AC7">
      <w:pPr>
        <w:pStyle w:val="Heading3"/>
        <w:rPr>
          <w:rFonts w:cs="Calibri"/>
        </w:rPr>
      </w:pPr>
      <w:bookmarkStart w:id="20" w:name="_Toc46822294"/>
      <w:r w:rsidRPr="00BC7A12">
        <w:rPr>
          <w:rFonts w:cs="Calibri"/>
        </w:rPr>
        <w:t>Connecting measurement and valuation concepts</w:t>
      </w:r>
      <w:bookmarkEnd w:id="20"/>
      <w:r w:rsidR="00281AC7" w:rsidRPr="00BC7A12">
        <w:rPr>
          <w:rFonts w:cs="Calibri"/>
        </w:rPr>
        <w:t xml:space="preserve"> </w:t>
      </w:r>
    </w:p>
    <w:p w14:paraId="2233F495" w14:textId="538E8830" w:rsidR="00464340" w:rsidRPr="00BC7A12" w:rsidRDefault="00CA44B9" w:rsidP="00464340">
      <w:pPr>
        <w:rPr>
          <w:rFonts w:cs="Calibri"/>
        </w:rPr>
      </w:pPr>
      <w:r w:rsidRPr="00BC7A12">
        <w:rPr>
          <w:rFonts w:cs="Calibri"/>
        </w:rPr>
        <w:t>Consistent</w:t>
      </w:r>
      <w:r w:rsidR="007A3954" w:rsidRPr="00BC7A12">
        <w:rPr>
          <w:rFonts w:cs="Calibri"/>
        </w:rPr>
        <w:t xml:space="preserve"> </w:t>
      </w:r>
      <w:r w:rsidR="0063000E" w:rsidRPr="00BC7A12">
        <w:rPr>
          <w:rFonts w:cs="Calibri"/>
        </w:rPr>
        <w:t xml:space="preserve">with the best practices in ecosystem services classification, this report uses the </w:t>
      </w:r>
      <w:r w:rsidR="007A3954" w:rsidRPr="00BC7A12">
        <w:rPr>
          <w:rFonts w:cs="Calibri"/>
        </w:rPr>
        <w:t xml:space="preserve">framework in </w:t>
      </w:r>
      <w:r w:rsidR="007A3954" w:rsidRPr="00BC7A12">
        <w:rPr>
          <w:rFonts w:cs="Calibri"/>
        </w:rPr>
        <w:fldChar w:fldCharType="begin"/>
      </w:r>
      <w:r w:rsidR="007A3954" w:rsidRPr="00BC7A12">
        <w:rPr>
          <w:rFonts w:cs="Calibri"/>
        </w:rPr>
        <w:instrText xml:space="preserve"> REF _Ref43034788 \h </w:instrText>
      </w:r>
      <w:r w:rsidR="00FD3388" w:rsidRPr="00BC7A12">
        <w:rPr>
          <w:rFonts w:cs="Calibri"/>
        </w:rPr>
        <w:instrText xml:space="preserve"> \* MERGEFORMAT </w:instrText>
      </w:r>
      <w:r w:rsidR="007A3954" w:rsidRPr="00BC7A12">
        <w:rPr>
          <w:rFonts w:cs="Calibri"/>
        </w:rPr>
      </w:r>
      <w:r w:rsidR="007A3954" w:rsidRPr="00BC7A12">
        <w:rPr>
          <w:rFonts w:cs="Calibri"/>
        </w:rPr>
        <w:fldChar w:fldCharType="separate"/>
      </w:r>
      <w:r w:rsidR="00657E34" w:rsidRPr="00BC7A12">
        <w:rPr>
          <w:rFonts w:cs="Calibri"/>
        </w:rPr>
        <w:t xml:space="preserve">Figure </w:t>
      </w:r>
      <w:r w:rsidR="00657E34" w:rsidRPr="00657E34">
        <w:rPr>
          <w:rFonts w:cs="Calibri"/>
          <w:noProof/>
        </w:rPr>
        <w:t>2</w:t>
      </w:r>
      <w:r w:rsidR="007A3954" w:rsidRPr="00BC7A12">
        <w:rPr>
          <w:rFonts w:cs="Calibri"/>
        </w:rPr>
        <w:fldChar w:fldCharType="end"/>
      </w:r>
      <w:r w:rsidR="007A3954" w:rsidRPr="00BC7A12">
        <w:rPr>
          <w:rFonts w:cs="Calibri"/>
        </w:rPr>
        <w:t xml:space="preserve">. </w:t>
      </w:r>
      <w:r w:rsidR="0063000E" w:rsidRPr="00BC7A12">
        <w:rPr>
          <w:rFonts w:cs="Calibri"/>
        </w:rPr>
        <w:t>Th</w:t>
      </w:r>
      <w:r w:rsidR="00041594" w:rsidRPr="00BC7A12">
        <w:rPr>
          <w:rFonts w:cs="Calibri"/>
        </w:rPr>
        <w:t>e</w:t>
      </w:r>
      <w:r w:rsidR="006F1B54" w:rsidRPr="00BC7A12">
        <w:rPr>
          <w:rFonts w:cs="Calibri"/>
        </w:rPr>
        <w:t xml:space="preserve"> coastal wetland </w:t>
      </w:r>
      <w:r w:rsidR="0063000E" w:rsidRPr="00BC7A12">
        <w:rPr>
          <w:rFonts w:cs="Calibri"/>
        </w:rPr>
        <w:t>ecosystem has various characteristics</w:t>
      </w:r>
      <w:r w:rsidR="00193381">
        <w:rPr>
          <w:rFonts w:cs="Calibri"/>
        </w:rPr>
        <w:t xml:space="preserve"> and </w:t>
      </w:r>
      <w:r w:rsidR="001A62C3" w:rsidRPr="00BC7A12">
        <w:rPr>
          <w:rFonts w:cs="Calibri"/>
        </w:rPr>
        <w:t>processes</w:t>
      </w:r>
      <w:r w:rsidR="00193381">
        <w:rPr>
          <w:rFonts w:cs="Calibri"/>
        </w:rPr>
        <w:t xml:space="preserve"> </w:t>
      </w:r>
      <w:r w:rsidR="0063000E" w:rsidRPr="00BC7A12">
        <w:rPr>
          <w:rFonts w:cs="Calibri"/>
        </w:rPr>
        <w:t xml:space="preserve">(e.g. nursery habitat, wave attenuation, mitigation of coastal inundation, carbon sequestration). These </w:t>
      </w:r>
      <w:r w:rsidR="001A62C3" w:rsidRPr="00BC7A12">
        <w:rPr>
          <w:rFonts w:cs="Calibri"/>
        </w:rPr>
        <w:t>enable</w:t>
      </w:r>
      <w:r w:rsidR="0063000E" w:rsidRPr="00BC7A12">
        <w:rPr>
          <w:rFonts w:cs="Calibri"/>
        </w:rPr>
        <w:t xml:space="preserve"> </w:t>
      </w:r>
      <w:r w:rsidRPr="00BC7A12">
        <w:rPr>
          <w:rFonts w:cs="Calibri"/>
        </w:rPr>
        <w:t xml:space="preserve">the delivery of </w:t>
      </w:r>
      <w:r w:rsidR="0063000E" w:rsidRPr="00BC7A12">
        <w:rPr>
          <w:rFonts w:cs="Calibri"/>
        </w:rPr>
        <w:t>ecosystem services</w:t>
      </w:r>
      <w:r w:rsidR="001A62C3" w:rsidRPr="00BC7A12">
        <w:rPr>
          <w:rFonts w:cs="Calibri"/>
        </w:rPr>
        <w:t xml:space="preserve">, one of which is </w:t>
      </w:r>
      <w:r w:rsidR="0063000E" w:rsidRPr="00BC7A12">
        <w:rPr>
          <w:rFonts w:cs="Calibri"/>
        </w:rPr>
        <w:t>the “protection of human property”</w:t>
      </w:r>
      <w:r w:rsidR="00464340" w:rsidRPr="00BC7A12">
        <w:rPr>
          <w:rFonts w:cs="Calibri"/>
        </w:rPr>
        <w:t xml:space="preserve"> that provide</w:t>
      </w:r>
      <w:r w:rsidRPr="00BC7A12">
        <w:rPr>
          <w:rFonts w:cs="Calibri"/>
        </w:rPr>
        <w:t>s</w:t>
      </w:r>
      <w:r w:rsidR="00464340" w:rsidRPr="00BC7A12">
        <w:rPr>
          <w:rFonts w:cs="Calibri"/>
        </w:rPr>
        <w:t xml:space="preserve"> </w:t>
      </w:r>
      <w:r w:rsidR="00464340" w:rsidRPr="00BC7A12">
        <w:rPr>
          <w:rFonts w:cs="Calibri"/>
        </w:rPr>
        <w:lastRenderedPageBreak/>
        <w:t xml:space="preserve">benefits </w:t>
      </w:r>
      <w:r w:rsidR="00512A19" w:rsidRPr="00BC7A12">
        <w:rPr>
          <w:rFonts w:cs="Calibri"/>
        </w:rPr>
        <w:t>to people such as storm damage reduction.</w:t>
      </w:r>
      <w:r w:rsidR="00464340" w:rsidRPr="00BC7A12">
        <w:rPr>
          <w:rFonts w:cs="Calibri"/>
        </w:rPr>
        <w:t xml:space="preserve"> </w:t>
      </w:r>
      <w:r w:rsidR="00041594" w:rsidRPr="00BC7A12">
        <w:rPr>
          <w:rFonts w:cs="Calibri"/>
        </w:rPr>
        <w:t xml:space="preserve">Hazards impact coastal wetlands’ environmental functions and their provision of ecosystem services, such as their ability to protect property. </w:t>
      </w:r>
    </w:p>
    <w:p w14:paraId="07072BCB" w14:textId="279E9C37" w:rsidR="00B3791F" w:rsidRPr="00BC7A12" w:rsidRDefault="00464340" w:rsidP="00464340">
      <w:pPr>
        <w:rPr>
          <w:rFonts w:cs="Calibri"/>
        </w:rPr>
      </w:pPr>
      <w:r w:rsidRPr="00BC7A12">
        <w:rPr>
          <w:rFonts w:cs="Calibri"/>
        </w:rPr>
        <w:t>The ecosystem service</w:t>
      </w:r>
      <w:r w:rsidR="00896B6F" w:rsidRPr="00BC7A12">
        <w:rPr>
          <w:rFonts w:cs="Calibri"/>
        </w:rPr>
        <w:t xml:space="preserve"> </w:t>
      </w:r>
      <w:r w:rsidRPr="00BC7A12">
        <w:rPr>
          <w:rFonts w:cs="Calibri"/>
        </w:rPr>
        <w:t xml:space="preserve">represents </w:t>
      </w:r>
      <w:r w:rsidR="00EA66CB" w:rsidRPr="00BC7A12">
        <w:rPr>
          <w:rFonts w:cs="Calibri"/>
        </w:rPr>
        <w:t xml:space="preserve">the point where specific </w:t>
      </w:r>
      <w:r w:rsidRPr="00BC7A12">
        <w:rPr>
          <w:rFonts w:cs="Calibri"/>
        </w:rPr>
        <w:t xml:space="preserve">ecosystem functions deliver benefit </w:t>
      </w:r>
      <w:r w:rsidR="00EA66CB" w:rsidRPr="00BC7A12">
        <w:rPr>
          <w:rFonts w:cs="Calibri"/>
        </w:rPr>
        <w:t xml:space="preserve">to people. </w:t>
      </w:r>
      <w:r w:rsidR="006F1B54" w:rsidRPr="00BC7A12">
        <w:rPr>
          <w:rFonts w:cs="Calibri"/>
        </w:rPr>
        <w:t xml:space="preserve">All other ecosystem </w:t>
      </w:r>
      <w:r w:rsidR="00193381">
        <w:rPr>
          <w:rFonts w:cs="Calibri"/>
        </w:rPr>
        <w:t>characteristics and processes</w:t>
      </w:r>
      <w:r w:rsidR="006F1B54" w:rsidRPr="00BC7A12">
        <w:rPr>
          <w:rFonts w:cs="Calibri"/>
        </w:rPr>
        <w:t xml:space="preserve"> that are delivering benefits to people are excluded.</w:t>
      </w:r>
      <w:r w:rsidRPr="00BC7A12">
        <w:rPr>
          <w:rFonts w:cs="Calibri"/>
        </w:rPr>
        <w:t xml:space="preserve"> This is called a “final” ecosystem service</w:t>
      </w:r>
      <w:r w:rsidR="00DF4EA6" w:rsidRPr="00BC7A12">
        <w:rPr>
          <w:rFonts w:cs="Calibri"/>
        </w:rPr>
        <w:t xml:space="preserve"> and requires both a </w:t>
      </w:r>
      <w:r w:rsidR="002A5BE4" w:rsidRPr="00BC7A12">
        <w:rPr>
          <w:rFonts w:cs="Calibri"/>
        </w:rPr>
        <w:t>biophysical</w:t>
      </w:r>
      <w:r w:rsidR="00DF4EA6" w:rsidRPr="00BC7A12">
        <w:rPr>
          <w:rFonts w:cs="Calibri"/>
        </w:rPr>
        <w:t xml:space="preserve"> and </w:t>
      </w:r>
      <w:r w:rsidR="002A5BE4" w:rsidRPr="00BC7A12">
        <w:rPr>
          <w:rFonts w:cs="Calibri"/>
        </w:rPr>
        <w:t>socio</w:t>
      </w:r>
      <w:r w:rsidR="00DF4EA6" w:rsidRPr="00BC7A12">
        <w:rPr>
          <w:rFonts w:cs="Calibri"/>
        </w:rPr>
        <w:t>economic component</w:t>
      </w:r>
      <w:r w:rsidR="00A54CA0" w:rsidRPr="00BC7A12">
        <w:rPr>
          <w:rFonts w:cs="Calibri"/>
        </w:rPr>
        <w:t xml:space="preserve"> </w:t>
      </w:r>
      <w:r w:rsidR="00A54CA0" w:rsidRPr="00BC7A12">
        <w:rPr>
          <w:rFonts w:cs="Calibri"/>
        </w:rPr>
        <w:fldChar w:fldCharType="begin" w:fldLock="1"/>
      </w:r>
      <w:r w:rsidR="00C6148F" w:rsidRPr="00BC7A12">
        <w:rPr>
          <w:rFonts w:cs="Calibri"/>
        </w:rPr>
        <w:instrText>ADDIN CSL_CITATION {"citationItems":[{"id":"ITEM-1","itemData":{"DOI":"10.1016/j.ecolecon.2007.01.002","ISSN":"09218009","abstract":"This paper advocates consistently defined units of account to measure the contributions of nature to human welfare. We argue that such units have to date not been defined by environmental accounting advocates and that the term \"ecosystem services\" is too ad hoc to be of practical use in welfare accounting. We propose a definition, rooted in economic principles, of final ecosystem service units. A goal of these units is comparability with the definition of conventional goods and services found in GDP and the other national accounts. We illustrate our definition of ecological units of account with concrete examples. We also argue that these same units of account provide an architecture for environmental performance measurement by governments, conservancies, and environmental markets. ©2007 Elsevier B.V. All rights reserved.","author":[{"dropping-particle":"","family":"Boyd","given":"James","non-dropping-particle":"","parse-names":false,"suffix":""},{"dropping-particle":"","family":"Banzhaf","given":"Spencer","non-dropping-particle":"","parse-names":false,"suffix":""}],"container-title":"Ecological Economics","id":"ITEM-1","issued":{"date-parts":[["2007"]]},"title":"What are ecosystem services? The need for standardized environmental accounting units","type":"article-journal"},"uris":["http://www.mendeley.com/documents/?uuid=f3271264-d1b5-4e47-9bd1-8f952d2c177e"]}],"mendeley":{"formattedCitation":"(Boyd &amp; Banzhaf 2007a)","plainTextFormattedCitation":"(Boyd &amp; Banzhaf 2007a)","previouslyFormattedCitation":"(Boyd &amp; Banzhaf 2007a)"},"properties":{"noteIndex":0},"schema":"https://github.com/citation-style-language/schema/raw/master/csl-citation.json"}</w:instrText>
      </w:r>
      <w:r w:rsidR="00A54CA0" w:rsidRPr="00BC7A12">
        <w:rPr>
          <w:rFonts w:cs="Calibri"/>
        </w:rPr>
        <w:fldChar w:fldCharType="separate"/>
      </w:r>
      <w:r w:rsidR="00A54CA0" w:rsidRPr="00BC7A12">
        <w:rPr>
          <w:rFonts w:cs="Calibri"/>
          <w:noProof/>
        </w:rPr>
        <w:t>(Boyd &amp; Banzhaf 2007a)</w:t>
      </w:r>
      <w:r w:rsidR="00A54CA0" w:rsidRPr="00BC7A12">
        <w:rPr>
          <w:rFonts w:cs="Calibri"/>
        </w:rPr>
        <w:fldChar w:fldCharType="end"/>
      </w:r>
      <w:r w:rsidR="00EA66CB" w:rsidRPr="00BC7A12">
        <w:rPr>
          <w:rFonts w:cs="Calibri"/>
        </w:rPr>
        <w:t>.</w:t>
      </w:r>
      <w:r w:rsidRPr="00BC7A12">
        <w:rPr>
          <w:rFonts w:cs="Calibri"/>
        </w:rPr>
        <w:t xml:space="preserve"> Appendix </w:t>
      </w:r>
      <w:r w:rsidR="007A0C04" w:rsidRPr="00BC7A12">
        <w:rPr>
          <w:rFonts w:cs="Calibri"/>
        </w:rPr>
        <w:t>5</w:t>
      </w:r>
      <w:r w:rsidRPr="00BC7A12">
        <w:rPr>
          <w:rFonts w:cs="Calibri"/>
        </w:rPr>
        <w:t xml:space="preserve"> has a detailed description of the final ecosystem services concept, its origin and utility.</w:t>
      </w:r>
      <w:r w:rsidR="006F1B54" w:rsidRPr="00BC7A12">
        <w:rPr>
          <w:rFonts w:cs="Calibri"/>
        </w:rPr>
        <w:t xml:space="preserve"> </w:t>
      </w:r>
    </w:p>
    <w:p w14:paraId="09F27C0B" w14:textId="77777777" w:rsidR="00906164" w:rsidRPr="00BC7A12" w:rsidRDefault="00906164" w:rsidP="009D41C0">
      <w:pPr>
        <w:rPr>
          <w:rFonts w:cs="Calibri"/>
        </w:rPr>
      </w:pPr>
    </w:p>
    <w:p w14:paraId="545E2451" w14:textId="23D61AB1" w:rsidR="00FD7083" w:rsidRPr="00BC7A12" w:rsidRDefault="00193381" w:rsidP="00A35281">
      <w:pPr>
        <w:keepNext/>
        <w:jc w:val="left"/>
        <w:rPr>
          <w:rFonts w:cs="Calibri"/>
        </w:rPr>
      </w:pPr>
      <w:r w:rsidRPr="00193381">
        <w:rPr>
          <w:noProof/>
        </w:rPr>
        <w:drawing>
          <wp:inline distT="0" distB="0" distL="0" distR="0" wp14:anchorId="70FA95C3" wp14:editId="7928526F">
            <wp:extent cx="5731510" cy="3815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15715"/>
                    </a:xfrm>
                    <a:prstGeom prst="rect">
                      <a:avLst/>
                    </a:prstGeom>
                    <a:noFill/>
                    <a:ln>
                      <a:noFill/>
                    </a:ln>
                  </pic:spPr>
                </pic:pic>
              </a:graphicData>
            </a:graphic>
          </wp:inline>
        </w:drawing>
      </w:r>
    </w:p>
    <w:p w14:paraId="23E516EB" w14:textId="1E68A032" w:rsidR="007E6ACE" w:rsidRPr="00BC7A12" w:rsidRDefault="00FD7083" w:rsidP="00FD7083">
      <w:pPr>
        <w:pStyle w:val="Caption"/>
        <w:rPr>
          <w:rFonts w:cs="Calibri"/>
          <w:i w:val="0"/>
          <w:iCs w:val="0"/>
        </w:rPr>
      </w:pPr>
      <w:bookmarkStart w:id="21" w:name="_Ref43034788"/>
      <w:bookmarkStart w:id="22" w:name="_Toc46822334"/>
      <w:bookmarkStart w:id="23" w:name="_Ref44173498"/>
      <w:r w:rsidRPr="00BC7A12">
        <w:rPr>
          <w:rFonts w:cs="Calibri"/>
          <w:i w:val="0"/>
          <w:iCs w:val="0"/>
        </w:rPr>
        <w:t xml:space="preserve">Figure </w:t>
      </w:r>
      <w:r w:rsidR="0015503F" w:rsidRPr="00BC7A12">
        <w:rPr>
          <w:rFonts w:cs="Calibri"/>
          <w:i w:val="0"/>
          <w:iCs w:val="0"/>
        </w:rPr>
        <w:fldChar w:fldCharType="begin"/>
      </w:r>
      <w:r w:rsidR="0015503F" w:rsidRPr="00BC7A12">
        <w:rPr>
          <w:rFonts w:cs="Calibri"/>
          <w:i w:val="0"/>
          <w:iCs w:val="0"/>
        </w:rPr>
        <w:instrText xml:space="preserve"> SEQ Figure \* ARABIC </w:instrText>
      </w:r>
      <w:r w:rsidR="0015503F" w:rsidRPr="00BC7A12">
        <w:rPr>
          <w:rFonts w:cs="Calibri"/>
          <w:i w:val="0"/>
          <w:iCs w:val="0"/>
        </w:rPr>
        <w:fldChar w:fldCharType="separate"/>
      </w:r>
      <w:r w:rsidR="00657E34">
        <w:rPr>
          <w:rFonts w:cs="Calibri"/>
          <w:i w:val="0"/>
          <w:iCs w:val="0"/>
          <w:noProof/>
        </w:rPr>
        <w:t>2</w:t>
      </w:r>
      <w:r w:rsidR="0015503F" w:rsidRPr="00BC7A12">
        <w:rPr>
          <w:rFonts w:cs="Calibri"/>
          <w:i w:val="0"/>
          <w:iCs w:val="0"/>
          <w:noProof/>
        </w:rPr>
        <w:fldChar w:fldCharType="end"/>
      </w:r>
      <w:bookmarkEnd w:id="21"/>
      <w:r w:rsidRPr="00BC7A12">
        <w:rPr>
          <w:rFonts w:cs="Calibri"/>
          <w:i w:val="0"/>
          <w:iCs w:val="0"/>
        </w:rPr>
        <w:t xml:space="preserve"> Study framework</w:t>
      </w:r>
      <w:r w:rsidR="00B3791F" w:rsidRPr="00BC7A12">
        <w:rPr>
          <w:rFonts w:cs="Calibri"/>
          <w:i w:val="0"/>
          <w:iCs w:val="0"/>
        </w:rPr>
        <w:t xml:space="preserve"> </w:t>
      </w:r>
      <w:r w:rsidR="00B3791F" w:rsidRPr="00BC7A12">
        <w:rPr>
          <w:rFonts w:cs="Calibri"/>
          <w:i w:val="0"/>
          <w:iCs w:val="0"/>
        </w:rPr>
        <w:fldChar w:fldCharType="begin" w:fldLock="1"/>
      </w:r>
      <w:r w:rsidR="00E66D24" w:rsidRPr="00BC7A12">
        <w:rPr>
          <w:rFonts w:cs="Calibri"/>
          <w:i w:val="0"/>
          <w:iCs w:val="0"/>
        </w:rPr>
        <w:instrText>ADDIN CSL_CITATION {"citationItems":[{"id":"ITEM-1","itemData":{"author":[{"dropping-particle":"","family":"United Nations Statistics Division","given":"","non-dropping-particle":"","parse-names":false,"suffix":""}],"id":"ITEM-1","issued":{"date-parts":[["2018"]]},"title":"Technical Recommendations in support of the System of Environmentla-Economic Accounting 2012","type":"article-journal"},"uris":["http://www.mendeley.com/documents/?uuid=59d11c91-a3a7-478f-b15d-d7188d3d5b5d"]}],"mendeley":{"formattedCitation":"(United Nations Statistics Division 2018)","manualFormatting":"(adapted from United Nations Statistics Division 2018)","plainTextFormattedCitation":"(United Nations Statistics Division 2018)","previouslyFormattedCitation":"(United Nations Statistics Division 2018)"},"properties":{"noteIndex":0},"schema":"https://github.com/citation-style-language/schema/raw/master/csl-citation.json"}</w:instrText>
      </w:r>
      <w:r w:rsidR="00B3791F" w:rsidRPr="00BC7A12">
        <w:rPr>
          <w:rFonts w:cs="Calibri"/>
          <w:i w:val="0"/>
          <w:iCs w:val="0"/>
        </w:rPr>
        <w:fldChar w:fldCharType="separate"/>
      </w:r>
      <w:r w:rsidR="00B3791F" w:rsidRPr="00BC7A12">
        <w:rPr>
          <w:rFonts w:cs="Calibri"/>
          <w:i w:val="0"/>
          <w:iCs w:val="0"/>
          <w:noProof/>
        </w:rPr>
        <w:t>(ad</w:t>
      </w:r>
      <w:r w:rsidR="00E66D24" w:rsidRPr="00BC7A12">
        <w:rPr>
          <w:rFonts w:cs="Calibri"/>
          <w:i w:val="0"/>
          <w:iCs w:val="0"/>
          <w:noProof/>
        </w:rPr>
        <w:t>a</w:t>
      </w:r>
      <w:r w:rsidR="00B3791F" w:rsidRPr="00BC7A12">
        <w:rPr>
          <w:rFonts w:cs="Calibri"/>
          <w:i w:val="0"/>
          <w:iCs w:val="0"/>
          <w:noProof/>
        </w:rPr>
        <w:t>pted from United Nations Statistics Division 2018)</w:t>
      </w:r>
      <w:bookmarkEnd w:id="22"/>
      <w:r w:rsidR="00B3791F" w:rsidRPr="00BC7A12">
        <w:rPr>
          <w:rFonts w:cs="Calibri"/>
          <w:i w:val="0"/>
          <w:iCs w:val="0"/>
        </w:rPr>
        <w:fldChar w:fldCharType="end"/>
      </w:r>
      <w:bookmarkEnd w:id="23"/>
    </w:p>
    <w:p w14:paraId="713D571F" w14:textId="6E25A1B7" w:rsidR="0016099D" w:rsidRPr="00BC7A12" w:rsidRDefault="001A62C3" w:rsidP="0006755B">
      <w:pPr>
        <w:rPr>
          <w:rFonts w:cs="Calibri"/>
        </w:rPr>
      </w:pPr>
      <w:r w:rsidRPr="00BC7A12">
        <w:rPr>
          <w:rFonts w:cs="Calibri"/>
        </w:rPr>
        <w:t xml:space="preserve">Coastal wetlands </w:t>
      </w:r>
      <w:r w:rsidR="00896B6F" w:rsidRPr="00BC7A12">
        <w:rPr>
          <w:rFonts w:cs="Calibri"/>
        </w:rPr>
        <w:t xml:space="preserve">can provide </w:t>
      </w:r>
      <w:r w:rsidR="00EA66CB" w:rsidRPr="00BC7A12">
        <w:rPr>
          <w:rFonts w:cs="Calibri"/>
        </w:rPr>
        <w:t xml:space="preserve">other ecosystem services, </w:t>
      </w:r>
      <w:r w:rsidR="00D7273A" w:rsidRPr="00BC7A12">
        <w:rPr>
          <w:rFonts w:cs="Calibri"/>
        </w:rPr>
        <w:t xml:space="preserve">such </w:t>
      </w:r>
      <w:r w:rsidR="00896B6F" w:rsidRPr="00BC7A12">
        <w:rPr>
          <w:rFonts w:cs="Calibri"/>
        </w:rPr>
        <w:t xml:space="preserve">as </w:t>
      </w:r>
      <w:r w:rsidR="00A166C6" w:rsidRPr="00BC7A12">
        <w:rPr>
          <w:rFonts w:cs="Calibri"/>
        </w:rPr>
        <w:t xml:space="preserve">“enabling activities promoting health, recuperation or enjoyment…” that wetlands have been demonstrated to provide </w:t>
      </w:r>
      <w:r w:rsidR="00A166C6" w:rsidRPr="00BC7A12">
        <w:rPr>
          <w:rFonts w:cs="Calibri"/>
        </w:rPr>
        <w:fldChar w:fldCharType="begin" w:fldLock="1"/>
      </w:r>
      <w:r w:rsidR="00C83875" w:rsidRPr="00BC7A12">
        <w:rPr>
          <w:rFonts w:cs="Calibri"/>
        </w:rPr>
        <w:instrText>ADDIN CSL_CITATION {"citationItems":[{"id":"ITEM-1","itemData":{"DOI":"10.1007/978-94-017-9609-5_8","abstract":"Much discussion relating to interactions between wetlands and people has focused on detrimental effects on health through wetland degradation and potentially toxic exposures. In recent years, however, there is greater recognition of the role wetlands play in improving the quality of human surroundings and providing cultural ecosystem services as aesthetically pleasing places for recreation, education and spiritual development. This chapter explores positive health benefits associated with the use and enhancement of urban wetlands. Potential benefits include improved physical and psychological health, increased community connection and sense of place, and those derived from community involvement in urban conservation. To illustrate how various human health benefits may be recorded and reported, this chapter includes a case study that explores the community benefits generated through use of the Swan Canning Riverpark in Perth, Western Australia. The Riverpark consists of more than 150 conservation reserves and recreation parklands located along the banks of the Swan and Canning Rivers—a metropolitan river system that holds great spiritual, cultural and social value for the people of Perth. In 2010, the Swan River Trust began a process of parkland assessment and survey to monitor, evaluate and report on the level of community benefit derived through use of this system.","author":[{"dropping-particle":"","family":"Carter","given":"May Elizabeth","non-dropping-particle":"","parse-names":false,"suffix":""}],"container-title":"Wetlands and Human Health","id":"ITEM-1","issued":{"date-parts":[["2015"]]},"title":"Wetlands and Health: How do Urban Wetlands Contribute to Community Wellbeing?","type":"chapter"},"uris":["http://www.mendeley.com/documents/?uuid=dba3b8d5-d997-48a7-b8cb-95c9225d1b35"]}],"mendeley":{"formattedCitation":"(Carter 2015)","plainTextFormattedCitation":"(Carter 2015)","previouslyFormattedCitation":"(Carter 2015)"},"properties":{"noteIndex":0},"schema":"https://github.com/citation-style-language/schema/raw/master/csl-citation.json"}</w:instrText>
      </w:r>
      <w:r w:rsidR="00A166C6" w:rsidRPr="00BC7A12">
        <w:rPr>
          <w:rFonts w:cs="Calibri"/>
        </w:rPr>
        <w:fldChar w:fldCharType="separate"/>
      </w:r>
      <w:r w:rsidR="00A166C6" w:rsidRPr="00BC7A12">
        <w:rPr>
          <w:rFonts w:cs="Calibri"/>
          <w:noProof/>
        </w:rPr>
        <w:t>(Carter 2015)</w:t>
      </w:r>
      <w:r w:rsidR="00A166C6" w:rsidRPr="00BC7A12">
        <w:rPr>
          <w:rFonts w:cs="Calibri"/>
        </w:rPr>
        <w:fldChar w:fldCharType="end"/>
      </w:r>
      <w:r w:rsidR="0050194F" w:rsidRPr="00BC7A12">
        <w:rPr>
          <w:rFonts w:cs="Calibri"/>
        </w:rPr>
        <w:t>.</w:t>
      </w:r>
      <w:r w:rsidR="00896B6F" w:rsidRPr="00BC7A12">
        <w:rPr>
          <w:rFonts w:cs="Calibri"/>
        </w:rPr>
        <w:t xml:space="preserve"> </w:t>
      </w:r>
      <w:r w:rsidR="008B537F" w:rsidRPr="00BC7A12">
        <w:rPr>
          <w:rFonts w:cs="Calibri"/>
        </w:rPr>
        <w:t xml:space="preserve">In addition, coastal wetlands enable </w:t>
      </w:r>
      <w:r w:rsidRPr="00BC7A12">
        <w:rPr>
          <w:rFonts w:cs="Calibri"/>
        </w:rPr>
        <w:t xml:space="preserve">the provision </w:t>
      </w:r>
      <w:r w:rsidR="002A5BE4" w:rsidRPr="00BC7A12">
        <w:rPr>
          <w:rFonts w:cs="Calibri"/>
        </w:rPr>
        <w:t xml:space="preserve">of </w:t>
      </w:r>
      <w:r w:rsidR="008B537F" w:rsidRPr="00BC7A12">
        <w:rPr>
          <w:rFonts w:cs="Calibri"/>
        </w:rPr>
        <w:t>intermediate ecosystem services</w:t>
      </w:r>
      <w:r w:rsidR="008B537F" w:rsidRPr="00BC7A12">
        <w:rPr>
          <w:rStyle w:val="FootnoteReference"/>
          <w:rFonts w:cs="Calibri"/>
        </w:rPr>
        <w:footnoteReference w:id="4"/>
      </w:r>
      <w:r w:rsidR="008B537F" w:rsidRPr="00BC7A12">
        <w:rPr>
          <w:rFonts w:cs="Calibri"/>
        </w:rPr>
        <w:t xml:space="preserve"> that are provided to other ecosystems (e.g. seed disbursement by fauna to nearby forests</w:t>
      </w:r>
      <w:r w:rsidR="008020F9" w:rsidRPr="00BC7A12">
        <w:rPr>
          <w:rFonts w:cs="Calibri"/>
        </w:rPr>
        <w:t>, nurseries for fisheries</w:t>
      </w:r>
      <w:r w:rsidR="00BE49ED" w:rsidRPr="00BC7A12">
        <w:rPr>
          <w:rFonts w:cs="Calibri"/>
        </w:rPr>
        <w:t>)</w:t>
      </w:r>
      <w:r w:rsidR="008B537F" w:rsidRPr="00BC7A12">
        <w:rPr>
          <w:rFonts w:cs="Calibri"/>
        </w:rPr>
        <w:t xml:space="preserve">. Some of these intermediate ecosystem services indirectly impact human health. For example, coastal wetlands can detoxify heavy metals in water that could be consumed </w:t>
      </w:r>
      <w:r w:rsidR="007F4AD6" w:rsidRPr="00BC7A12">
        <w:rPr>
          <w:rFonts w:cs="Calibri"/>
        </w:rPr>
        <w:t xml:space="preserve">by </w:t>
      </w:r>
      <w:r w:rsidR="008B537F" w:rsidRPr="00BC7A12">
        <w:rPr>
          <w:rFonts w:cs="Calibri"/>
        </w:rPr>
        <w:t>fish, and affect</w:t>
      </w:r>
      <w:r w:rsidR="0061270B" w:rsidRPr="00BC7A12">
        <w:rPr>
          <w:rFonts w:cs="Calibri"/>
        </w:rPr>
        <w:t xml:space="preserve"> human </w:t>
      </w:r>
      <w:r w:rsidR="008B537F" w:rsidRPr="00BC7A12">
        <w:rPr>
          <w:rFonts w:cs="Calibri"/>
        </w:rPr>
        <w:t xml:space="preserve">health </w:t>
      </w:r>
      <w:r w:rsidR="008B537F" w:rsidRPr="00BC7A12">
        <w:rPr>
          <w:rFonts w:cs="Calibri"/>
        </w:rPr>
        <w:fldChar w:fldCharType="begin" w:fldLock="1"/>
      </w:r>
      <w:r w:rsidR="008B537F" w:rsidRPr="00BC7A12">
        <w:rPr>
          <w:rFonts w:cs="Calibri"/>
        </w:rPr>
        <w:instrText>ADDIN CSL_CITATION {"citationItems":[{"id":"ITEM-1","itemData":{"ISBN":"9781634829120","abstract":"Wetlands are the most productive and highly threatened ecosystems in the world. They are biodiverse transitional environments, often positioned between fresh water and salt water. These dynamic systems often encompass estuaries which are equally ecologically delicate and adaptive systems. The coastal wetlands are frequently close to the vicinity of urban centers with significant population growth and increasing economic development. Consequently, estuaries are being industrialized and are deteriorating much faster than those of other ecosystems. More importantly, the estuaries within wetlands further offer an assortment of ecosystem services. For example, estuaries detoxify many environmental contaminants such as heavy metals and many organic compounds. These pollutants can be are adsorbed to the sediments or bio-accumulated through the food chain, thus posing a danger to animals, fishes and ultimately humans. Many studies have shown that chronic exposure to heavy metals and other bio-accumulating pollutants may not cause death of fishes, but affect their well-being and deteriorate the food safety. Additionally, the biogeochemical cycling of elements and atmospheric deposition may influence the ecosystem health and ecosystem productivity. Ecosystem monitoring should be utilized as an effective site management approach which may provide essential information to trace spatial and temporal scales of changes. This process will help the coastal economies to sustain ecosystem integrity and prevent further environmental degradation.","author":[{"dropping-particle":"","family":"McComb","given":"Jacqueline Q.","non-dropping-particle":"","parse-names":false,"suffix":""},{"dropping-particle":"","family":"Han","given":"Fengxiang X.","non-dropping-particle":"","parse-names":false,"suffix":""},{"dropping-particle":"","family":"Gonsalves","given":"Lonnie","non-dropping-particle":"","parse-names":false,"suffix":""},{"dropping-particle":"","family":"Tchounwou","given":"Paul B.","non-dropping-particle":"","parse-names":false,"suffix":""}],"container-title":"Advances in Environmental Research","id":"ITEM-1","issue":"June","issued":{"date-parts":[["2015"]]},"page":"1-23","title":"Coastal wetlands and their role in human health","type":"article-journal","volume":"42"},"uris":["http://www.mendeley.com/documents/?uuid=efd00973-63ed-4f3e-89f4-bd972a9d94ba"]}],"mendeley":{"formattedCitation":"(McComb et al. 2015)","plainTextFormattedCitation":"(McComb et al. 2015)","previouslyFormattedCitation":"(McComb et al. 2015)"},"properties":{"noteIndex":0},"schema":"https://github.com/citation-style-language/schema/raw/master/csl-citation.json"}</w:instrText>
      </w:r>
      <w:r w:rsidR="008B537F" w:rsidRPr="00BC7A12">
        <w:rPr>
          <w:rFonts w:cs="Calibri"/>
        </w:rPr>
        <w:fldChar w:fldCharType="separate"/>
      </w:r>
      <w:r w:rsidR="008B537F" w:rsidRPr="00BC7A12">
        <w:rPr>
          <w:rFonts w:cs="Calibri"/>
          <w:noProof/>
        </w:rPr>
        <w:t>(McComb et al. 2015)</w:t>
      </w:r>
      <w:r w:rsidR="008B537F" w:rsidRPr="00BC7A12">
        <w:rPr>
          <w:rFonts w:cs="Calibri"/>
        </w:rPr>
        <w:fldChar w:fldCharType="end"/>
      </w:r>
      <w:r w:rsidR="0050194F" w:rsidRPr="00BC7A12">
        <w:rPr>
          <w:rFonts w:cs="Calibri"/>
        </w:rPr>
        <w:t>.</w:t>
      </w:r>
      <w:r w:rsidR="008B537F" w:rsidRPr="00BC7A12">
        <w:rPr>
          <w:rFonts w:cs="Calibri"/>
        </w:rPr>
        <w:t xml:space="preserve"> </w:t>
      </w:r>
      <w:r w:rsidR="0006755B" w:rsidRPr="00BC7A12">
        <w:rPr>
          <w:rFonts w:cs="Calibri"/>
        </w:rPr>
        <w:t xml:space="preserve">Wetlands also have </w:t>
      </w:r>
      <w:r w:rsidR="00FE3BDE" w:rsidRPr="00BC7A12">
        <w:rPr>
          <w:rFonts w:cs="Calibri"/>
        </w:rPr>
        <w:t>cultural values, serving as sacred places for communities to hold special ceremonies.</w:t>
      </w:r>
      <w:r w:rsidR="00EA66CB" w:rsidRPr="00BC7A12">
        <w:rPr>
          <w:rFonts w:cs="Calibri"/>
        </w:rPr>
        <w:t xml:space="preserve"> </w:t>
      </w:r>
      <w:r w:rsidR="0006755B" w:rsidRPr="00BC7A12">
        <w:rPr>
          <w:rFonts w:cs="Calibri"/>
        </w:rPr>
        <w:t xml:space="preserve">There are also </w:t>
      </w:r>
      <w:r w:rsidR="00FE3BDE" w:rsidRPr="00BC7A12">
        <w:rPr>
          <w:rFonts w:cs="Calibri"/>
        </w:rPr>
        <w:t>intrinsic value</w:t>
      </w:r>
      <w:r w:rsidR="0006755B" w:rsidRPr="00BC7A12">
        <w:rPr>
          <w:rFonts w:cs="Calibri"/>
        </w:rPr>
        <w:t xml:space="preserve">s from the existence of these places and their </w:t>
      </w:r>
      <w:r w:rsidR="00EA66CB" w:rsidRPr="00BC7A12">
        <w:rPr>
          <w:rFonts w:cs="Calibri"/>
        </w:rPr>
        <w:lastRenderedPageBreak/>
        <w:t>biodiversity</w:t>
      </w:r>
      <w:r w:rsidR="00FE3BDE" w:rsidRPr="00BC7A12">
        <w:rPr>
          <w:rFonts w:cs="Calibri"/>
        </w:rPr>
        <w:t xml:space="preserve">. </w:t>
      </w:r>
      <w:r w:rsidR="00103A79" w:rsidRPr="00BC7A12">
        <w:rPr>
          <w:rFonts w:cs="Calibri"/>
        </w:rPr>
        <w:t xml:space="preserve">One demonstration of this </w:t>
      </w:r>
      <w:r w:rsidR="00EA66CB" w:rsidRPr="00BC7A12">
        <w:rPr>
          <w:rFonts w:cs="Calibri"/>
        </w:rPr>
        <w:t xml:space="preserve">value </w:t>
      </w:r>
      <w:r w:rsidR="00FE3BDE" w:rsidRPr="00BC7A12">
        <w:rPr>
          <w:rFonts w:cs="Calibri"/>
        </w:rPr>
        <w:t>is voluntary donations to</w:t>
      </w:r>
      <w:r w:rsidR="00A83283" w:rsidRPr="00BC7A12">
        <w:rPr>
          <w:rFonts w:cs="Calibri"/>
        </w:rPr>
        <w:t xml:space="preserve"> organizations such as Greening Australia (</w:t>
      </w:r>
      <w:hyperlink r:id="rId18" w:history="1">
        <w:r w:rsidR="00A83283" w:rsidRPr="00BC7A12">
          <w:rPr>
            <w:rStyle w:val="Hyperlink"/>
            <w:rFonts w:cs="Calibri"/>
          </w:rPr>
          <w:t>https://www.greeningaustralia.org.au/</w:t>
        </w:r>
      </w:hyperlink>
      <w:r w:rsidR="00A83283" w:rsidRPr="00BC7A12">
        <w:rPr>
          <w:rFonts w:cs="Calibri"/>
        </w:rPr>
        <w:t xml:space="preserve">)  </w:t>
      </w:r>
      <w:r w:rsidR="00FE3BDE" w:rsidRPr="00BC7A12">
        <w:rPr>
          <w:rFonts w:cs="Calibri"/>
        </w:rPr>
        <w:t>by people who never visit</w:t>
      </w:r>
      <w:r w:rsidR="00EA66CB" w:rsidRPr="00BC7A12">
        <w:rPr>
          <w:rFonts w:cs="Calibri"/>
        </w:rPr>
        <w:t xml:space="preserve"> these </w:t>
      </w:r>
      <w:r w:rsidR="00A83283" w:rsidRPr="00BC7A12">
        <w:rPr>
          <w:rFonts w:cs="Calibri"/>
        </w:rPr>
        <w:t>sites</w:t>
      </w:r>
      <w:r w:rsidR="00C05EB2" w:rsidRPr="00BC7A12">
        <w:rPr>
          <w:rFonts w:cs="Calibri"/>
        </w:rPr>
        <w:t xml:space="preserve">. </w:t>
      </w:r>
      <w:r w:rsidR="00FE3BDE" w:rsidRPr="00BC7A12">
        <w:rPr>
          <w:rFonts w:cs="Calibri"/>
        </w:rPr>
        <w:t xml:space="preserve"> </w:t>
      </w:r>
    </w:p>
    <w:p w14:paraId="34B9D0A8" w14:textId="20D213B7" w:rsidR="006F1B54" w:rsidRPr="00BC7A12" w:rsidRDefault="006F1B54" w:rsidP="0006755B">
      <w:pPr>
        <w:rPr>
          <w:rFonts w:cs="Calibri"/>
        </w:rPr>
      </w:pPr>
      <w:r w:rsidRPr="00BC7A12">
        <w:rPr>
          <w:rFonts w:cs="Calibri"/>
        </w:rPr>
        <w:t xml:space="preserve">Failing </w:t>
      </w:r>
      <w:r w:rsidR="00041594" w:rsidRPr="00BC7A12">
        <w:rPr>
          <w:rFonts w:cs="Calibri"/>
        </w:rPr>
        <w:t xml:space="preserve">to use a final ecosystem services framework complicates the integration of these ecosystem services values. This includes integration </w:t>
      </w:r>
      <w:r w:rsidR="00771485" w:rsidRPr="00BC7A12">
        <w:rPr>
          <w:rFonts w:cs="Calibri"/>
        </w:rPr>
        <w:t>within a site, among sites</w:t>
      </w:r>
      <w:r w:rsidR="00041594" w:rsidRPr="00BC7A12">
        <w:rPr>
          <w:rFonts w:cs="Calibri"/>
        </w:rPr>
        <w:t xml:space="preserve"> </w:t>
      </w:r>
      <w:r w:rsidR="00771485" w:rsidRPr="00BC7A12">
        <w:rPr>
          <w:rFonts w:cs="Calibri"/>
        </w:rPr>
        <w:t xml:space="preserve">in a landscape </w:t>
      </w:r>
      <w:r w:rsidR="00041594" w:rsidRPr="00BC7A12">
        <w:rPr>
          <w:rFonts w:cs="Calibri"/>
        </w:rPr>
        <w:t xml:space="preserve">and from among studies conducted at different times </w:t>
      </w:r>
      <w:r w:rsidR="00771485" w:rsidRPr="00BC7A12">
        <w:rPr>
          <w:rFonts w:cs="Calibri"/>
        </w:rPr>
        <w:fldChar w:fldCharType="begin" w:fldLock="1"/>
      </w:r>
      <w:r w:rsidR="006F0CB6" w:rsidRPr="00BC7A12">
        <w:rPr>
          <w:rFonts w:cs="Calibri"/>
        </w:rPr>
        <w:instrText>ADDIN CSL_CITATION {"citationItems":[{"id":"ITEM-1","itemData":{"abstract":"Ecosystem services (ES) practitioners (e.g., researchers, policy makers) has been working to better define, measure, and value the ways that nature contributes to society. Because measurement techniques follow the labeling or identification of ES, precise identification is critical. This article reviews literature and consults experts in classification science and ES to determine the expected benefits of using ES classification knowledge (classification knowledge); ecosystem services classification systems (ES-CS) and their principles. An informal analysis of the costs of transitioning from the current ad-hoc approach—based on various ES lists—to using classification knowledge was conducted. 18 benefits of using classification knowledge were found, including allowing ES to be defined more easily and precisely, easing the transfer of knowledge among studies, and avoiding the need to recreate ES identification systems. Collectively, these 18 benefits should allow for more accurate and consistent definition of ES, thereby serving to improve communication and measurement of ES. Moreover, the expected benefits of using ES-CS outweigh expected costs of the transition. Practitioners can use ES-CS in whole, or in parts, as their research or their institutions warrant. Finally, a case study was conducted that shows how ES measures can be organized using ES-CS, delivering benefits to practitioners.","author":[{"dropping-particle":"","family":"Finisdore","given":"John","non-dropping-particle":"","parse-names":false,"suffix":""},{"dropping-particle":"","family":"Rhodes","given":"Dr. Charles","non-dropping-particle":"","parse-names":false,"suffix":""},{"dropping-particle":"","family":"Haines-Young","given":"Dr. Roy","non-dropping-particle":"","parse-names":false,"suffix":""},{"dropping-particle":"","family":"Maynard","given":"Dr. Simone","non-dropping-particle":"","parse-names":false,"suffix":""},{"dropping-particle":"","family":"Wielgus","given":"Dr. Jeffrey","non-dropping-particle":"","parse-names":false,"suffix":""},{"dropping-particle":"","family":"Dvarskas","given":"Dr. Anthony","non-dropping-particle":"","parse-names":false,"suffix":""},{"dropping-particle":"","family":"Houdet","given":"Dr. Joel","non-dropping-particle":"","parse-names":false,"suffix":""},{"dropping-particle":"","family":"Quétier","given":"Dr. Fabien","non-dropping-particle":"","parse-names":false,"suffix":""},{"dropping-particle":"","family":"Lamothe","given":"Dr. Karl A.","non-dropping-particle":"","parse-names":false,"suffix":""},{"dropping-particle":"","family":"Ding","given":"Dr. Helen","non-dropping-particle":"","parse-names":false,"suffix":""},{"dropping-particle":"","family":"Soulard","given":"Dr. François","non-dropping-particle":"","parse-names":false,"suffix":""},{"dropping-particle":"Van","family":"Houtven","given":"Dr. George","non-dropping-particle":"","parse-names":false,"suffix":""},{"dropping-particle":"","family":"Rowcroft","given":"Petrina","non-dropping-particle":"","parse-names":false,"suffix":""}],"container-title":"Ecosystem Services","id":"ITEM-1","issued":{"date-parts":[["0"]]},"title":"The 18 benefits of using ecosystem services classification systems","type":"article-journal"},"uris":["http://www.mendeley.com/documents/?uuid=1b6ad437-31ca-438c-9d70-4a51452c458c"]}],"mendeley":{"formattedCitation":"(Finisdore et al. n.d.)","plainTextFormattedCitation":"(Finisdore et al. n.d.)","previouslyFormattedCitation":"(Finisdore et al. n.d.)"},"properties":{"noteIndex":0},"schema":"https://github.com/citation-style-language/schema/raw/master/csl-citation.json"}</w:instrText>
      </w:r>
      <w:r w:rsidR="00771485" w:rsidRPr="00BC7A12">
        <w:rPr>
          <w:rFonts w:cs="Calibri"/>
        </w:rPr>
        <w:fldChar w:fldCharType="separate"/>
      </w:r>
      <w:r w:rsidR="00771485" w:rsidRPr="00BC7A12">
        <w:rPr>
          <w:rFonts w:cs="Calibri"/>
          <w:noProof/>
        </w:rPr>
        <w:t>(Finisdore et al. n.d.)</w:t>
      </w:r>
      <w:r w:rsidR="00771485" w:rsidRPr="00BC7A12">
        <w:rPr>
          <w:rFonts w:cs="Calibri"/>
        </w:rPr>
        <w:fldChar w:fldCharType="end"/>
      </w:r>
      <w:r w:rsidR="00771485" w:rsidRPr="00BC7A12">
        <w:rPr>
          <w:rFonts w:cs="Calibri"/>
        </w:rPr>
        <w:t xml:space="preserve">.   </w:t>
      </w:r>
    </w:p>
    <w:p w14:paraId="0311D817" w14:textId="042B64BE" w:rsidR="00C61E2B" w:rsidRDefault="00C61E2B" w:rsidP="00195F4C">
      <w:pPr>
        <w:rPr>
          <w:rFonts w:cs="Calibri"/>
        </w:rPr>
      </w:pPr>
    </w:p>
    <w:p w14:paraId="0FC47EDB" w14:textId="00434305" w:rsidR="00B9526D" w:rsidRDefault="00B9526D" w:rsidP="00195F4C">
      <w:pPr>
        <w:rPr>
          <w:rFonts w:cs="Calibri"/>
        </w:rPr>
      </w:pPr>
    </w:p>
    <w:p w14:paraId="2F6ED7C8" w14:textId="77777777" w:rsidR="00B9526D" w:rsidRPr="00BC7A12" w:rsidRDefault="00B9526D" w:rsidP="00195F4C">
      <w:pPr>
        <w:rPr>
          <w:rFonts w:cs="Calibri"/>
        </w:rPr>
      </w:pPr>
    </w:p>
    <w:p w14:paraId="3C8B01D5" w14:textId="48966746" w:rsidR="009F2A2A" w:rsidRPr="00BC7A12" w:rsidRDefault="00660B61" w:rsidP="0044520B">
      <w:pPr>
        <w:pStyle w:val="Heading3"/>
        <w:rPr>
          <w:rFonts w:cs="Calibri"/>
        </w:rPr>
      </w:pPr>
      <w:bookmarkStart w:id="24" w:name="_Toc46822295"/>
      <w:bookmarkStart w:id="25" w:name="_Hlk44162647"/>
      <w:r w:rsidRPr="00BC7A12">
        <w:rPr>
          <w:rFonts w:cs="Calibri"/>
        </w:rPr>
        <w:t>C</w:t>
      </w:r>
      <w:r w:rsidR="007915D4" w:rsidRPr="00BC7A12">
        <w:rPr>
          <w:rFonts w:cs="Calibri"/>
        </w:rPr>
        <w:t>oastal wetland</w:t>
      </w:r>
      <w:r w:rsidRPr="00BC7A12">
        <w:rPr>
          <w:rFonts w:cs="Calibri"/>
        </w:rPr>
        <w:t xml:space="preserve"> types</w:t>
      </w:r>
      <w:bookmarkEnd w:id="24"/>
      <w:r w:rsidRPr="00BC7A12">
        <w:rPr>
          <w:rFonts w:cs="Calibri"/>
        </w:rPr>
        <w:t xml:space="preserve"> </w:t>
      </w:r>
    </w:p>
    <w:p w14:paraId="06878BEE" w14:textId="1670F766" w:rsidR="00A8202D" w:rsidRPr="00BC7A12" w:rsidRDefault="00C30B25" w:rsidP="00A8202D">
      <w:pPr>
        <w:rPr>
          <w:rFonts w:cs="Calibri"/>
        </w:rPr>
      </w:pPr>
      <w:r w:rsidRPr="00BC7A12">
        <w:rPr>
          <w:rFonts w:cs="Calibri"/>
        </w:rPr>
        <w:t>To provide a clear reference</w:t>
      </w:r>
      <w:r w:rsidR="00AF379D" w:rsidRPr="00BC7A12">
        <w:rPr>
          <w:rFonts w:cs="Calibri"/>
        </w:rPr>
        <w:t xml:space="preserve"> point</w:t>
      </w:r>
      <w:r w:rsidRPr="00BC7A12">
        <w:rPr>
          <w:rFonts w:cs="Calibri"/>
        </w:rPr>
        <w:t xml:space="preserve">, </w:t>
      </w:r>
      <w:r w:rsidR="00AF379D" w:rsidRPr="00BC7A12">
        <w:rPr>
          <w:rFonts w:cs="Calibri"/>
        </w:rPr>
        <w:t>this</w:t>
      </w:r>
      <w:r w:rsidR="00D46ED3" w:rsidRPr="00BC7A12">
        <w:rPr>
          <w:rFonts w:cs="Calibri"/>
        </w:rPr>
        <w:t xml:space="preserve"> </w:t>
      </w:r>
      <w:r w:rsidR="00A330C5" w:rsidRPr="00BC7A12">
        <w:rPr>
          <w:rFonts w:cs="Calibri"/>
        </w:rPr>
        <w:t xml:space="preserve">report </w:t>
      </w:r>
      <w:r w:rsidR="00D46ED3" w:rsidRPr="00BC7A12">
        <w:rPr>
          <w:rFonts w:cs="Calibri"/>
        </w:rPr>
        <w:t xml:space="preserve">focuses on </w:t>
      </w:r>
      <w:r w:rsidR="00C35DE3">
        <w:rPr>
          <w:rFonts w:cs="Calibri"/>
        </w:rPr>
        <w:t xml:space="preserve">coastal </w:t>
      </w:r>
      <w:r w:rsidRPr="00BC7A12">
        <w:rPr>
          <w:rFonts w:cs="Calibri"/>
        </w:rPr>
        <w:t xml:space="preserve">ecosystem types that are </w:t>
      </w:r>
      <w:r w:rsidR="00A8202D" w:rsidRPr="00BC7A12">
        <w:rPr>
          <w:rFonts w:cs="Calibri"/>
        </w:rPr>
        <w:t>include</w:t>
      </w:r>
      <w:r w:rsidRPr="00BC7A12">
        <w:rPr>
          <w:rFonts w:cs="Calibri"/>
        </w:rPr>
        <w:t>d in</w:t>
      </w:r>
      <w:r w:rsidR="00A8202D" w:rsidRPr="00BC7A12">
        <w:rPr>
          <w:rFonts w:cs="Calibri"/>
        </w:rPr>
        <w:t xml:space="preserve"> Ramsar’s </w:t>
      </w:r>
      <w:r w:rsidR="00E66D24" w:rsidRPr="00BC7A12">
        <w:rPr>
          <w:rFonts w:cs="Calibri"/>
        </w:rPr>
        <w:t>wetland type classifications.</w:t>
      </w:r>
      <w:r w:rsidR="00A8202D" w:rsidRPr="00BC7A12">
        <w:rPr>
          <w:rFonts w:cs="Calibri"/>
        </w:rPr>
        <w:t xml:space="preserve"> They are: </w:t>
      </w:r>
    </w:p>
    <w:bookmarkEnd w:id="25"/>
    <w:p w14:paraId="2D3997F6" w14:textId="77777777" w:rsidR="00A330C5"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A —Permanent shallow marine waters in most cases less than six metres deep at low tide; includes sea bays and straits</w:t>
      </w:r>
    </w:p>
    <w:p w14:paraId="27C044B7" w14:textId="4F0D6862"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B — Marine subtidal aquatic beds includes kelp beds, sea-grass beds, tropical marine meadow.</w:t>
      </w:r>
    </w:p>
    <w:p w14:paraId="1618D9BB" w14:textId="4E64B808"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C — Coral reefs</w:t>
      </w:r>
    </w:p>
    <w:p w14:paraId="526585B8" w14:textId="158772F7"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D — Rocky marine shores; includes rocky offshore islands, sea cliffs</w:t>
      </w:r>
    </w:p>
    <w:p w14:paraId="1BC7B2D2" w14:textId="085222DC"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 xml:space="preserve">E — Sand, </w:t>
      </w:r>
      <w:proofErr w:type="gramStart"/>
      <w:r w:rsidRPr="00BC7A12">
        <w:rPr>
          <w:rFonts w:ascii="Calibri" w:eastAsiaTheme="minorHAnsi" w:hAnsi="Calibri" w:cs="Calibri"/>
          <w:sz w:val="22"/>
          <w:szCs w:val="22"/>
          <w:lang w:eastAsia="en-US"/>
        </w:rPr>
        <w:t>shingle</w:t>
      </w:r>
      <w:proofErr w:type="gramEnd"/>
      <w:r w:rsidRPr="00BC7A12">
        <w:rPr>
          <w:rFonts w:ascii="Calibri" w:eastAsiaTheme="minorHAnsi" w:hAnsi="Calibri" w:cs="Calibri"/>
          <w:sz w:val="22"/>
          <w:szCs w:val="22"/>
          <w:lang w:eastAsia="en-US"/>
        </w:rPr>
        <w:t xml:space="preserve"> or pebble shores; includes sand bars, spits and sandy islets; includes dune systems and humid dune slacks</w:t>
      </w:r>
    </w:p>
    <w:p w14:paraId="5723E6FF" w14:textId="77777777"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F — Estuarine waters; permanent water of estuaries and estuarine systems of deltas.</w:t>
      </w:r>
    </w:p>
    <w:p w14:paraId="1761B422" w14:textId="520FFD14"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 xml:space="preserve">G — Intertidal mud, </w:t>
      </w:r>
      <w:proofErr w:type="gramStart"/>
      <w:r w:rsidRPr="00BC7A12">
        <w:rPr>
          <w:rFonts w:ascii="Calibri" w:eastAsiaTheme="minorHAnsi" w:hAnsi="Calibri" w:cs="Calibri"/>
          <w:sz w:val="22"/>
          <w:szCs w:val="22"/>
          <w:lang w:eastAsia="en-US"/>
        </w:rPr>
        <w:t>sand</w:t>
      </w:r>
      <w:proofErr w:type="gramEnd"/>
      <w:r w:rsidRPr="00BC7A12">
        <w:rPr>
          <w:rFonts w:ascii="Calibri" w:eastAsiaTheme="minorHAnsi" w:hAnsi="Calibri" w:cs="Calibri"/>
          <w:sz w:val="22"/>
          <w:szCs w:val="22"/>
          <w:lang w:eastAsia="en-US"/>
        </w:rPr>
        <w:t xml:space="preserve"> or salt flats</w:t>
      </w:r>
    </w:p>
    <w:p w14:paraId="1A483A9F" w14:textId="4A6CDA15"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 xml:space="preserve">H — Intertidal marshes; includes salt marshes, salt meadows, </w:t>
      </w:r>
      <w:proofErr w:type="spellStart"/>
      <w:r w:rsidRPr="00BC7A12">
        <w:rPr>
          <w:rFonts w:ascii="Calibri" w:eastAsiaTheme="minorHAnsi" w:hAnsi="Calibri" w:cs="Calibri"/>
          <w:sz w:val="22"/>
          <w:szCs w:val="22"/>
          <w:lang w:eastAsia="en-US"/>
        </w:rPr>
        <w:t>saltings</w:t>
      </w:r>
      <w:proofErr w:type="spellEnd"/>
      <w:r w:rsidRPr="00BC7A12">
        <w:rPr>
          <w:rFonts w:ascii="Calibri" w:eastAsiaTheme="minorHAnsi" w:hAnsi="Calibri" w:cs="Calibri"/>
          <w:sz w:val="22"/>
          <w:szCs w:val="22"/>
          <w:lang w:eastAsia="en-US"/>
        </w:rPr>
        <w:t>, raised salt marshes; includes tidal brackish and freshwater marshes</w:t>
      </w:r>
    </w:p>
    <w:p w14:paraId="5FFD9710" w14:textId="4CF72E18"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 xml:space="preserve">I — Intertidal forested wetlands; includes mangrove swamps, </w:t>
      </w:r>
      <w:proofErr w:type="spellStart"/>
      <w:r w:rsidRPr="00BC7A12">
        <w:rPr>
          <w:rFonts w:ascii="Calibri" w:eastAsiaTheme="minorHAnsi" w:hAnsi="Calibri" w:cs="Calibri"/>
          <w:sz w:val="22"/>
          <w:szCs w:val="22"/>
          <w:lang w:eastAsia="en-US"/>
        </w:rPr>
        <w:t>nipah</w:t>
      </w:r>
      <w:proofErr w:type="spellEnd"/>
      <w:r w:rsidRPr="00BC7A12">
        <w:rPr>
          <w:rFonts w:ascii="Calibri" w:eastAsiaTheme="minorHAnsi" w:hAnsi="Calibri" w:cs="Calibri"/>
          <w:sz w:val="22"/>
          <w:szCs w:val="22"/>
          <w:lang w:eastAsia="en-US"/>
        </w:rPr>
        <w:t xml:space="preserve"> swamps and tidal freshwater swamp forests</w:t>
      </w:r>
    </w:p>
    <w:p w14:paraId="1E992E96" w14:textId="41B04016"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J — Coastal brackish/saline lagoons; brackish to saline lagoons with at least one relatively narrow connection to the sea</w:t>
      </w:r>
    </w:p>
    <w:p w14:paraId="759CE7F0" w14:textId="6C8742A7" w:rsidR="00A8202D" w:rsidRPr="00BC7A12" w:rsidRDefault="00A8202D" w:rsidP="00A8202D">
      <w:pPr>
        <w:pStyle w:val="NormalWeb"/>
        <w:spacing w:before="0" w:beforeAutospacing="0" w:after="0" w:afterAutospacing="0"/>
        <w:ind w:left="720"/>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K — Coastal freshwater lagoons; includes freshwater delta lagoons</w:t>
      </w:r>
      <w:r w:rsidR="0062089E" w:rsidRPr="00BC7A12">
        <w:rPr>
          <w:rFonts w:ascii="Calibri" w:eastAsiaTheme="minorHAnsi" w:hAnsi="Calibri" w:cs="Calibri"/>
          <w:sz w:val="22"/>
          <w:szCs w:val="22"/>
          <w:lang w:eastAsia="en-US"/>
        </w:rPr>
        <w:t xml:space="preserve"> </w:t>
      </w:r>
      <w:r w:rsidR="0062089E" w:rsidRPr="00BC7A12">
        <w:rPr>
          <w:rFonts w:ascii="Calibri" w:eastAsiaTheme="minorHAnsi" w:hAnsi="Calibri" w:cs="Calibri"/>
          <w:sz w:val="22"/>
          <w:szCs w:val="22"/>
          <w:lang w:eastAsia="en-US"/>
        </w:rPr>
        <w:fldChar w:fldCharType="begin" w:fldLock="1"/>
      </w:r>
      <w:r w:rsidR="0062089E" w:rsidRPr="00BC7A12">
        <w:rPr>
          <w:rFonts w:ascii="Calibri" w:eastAsiaTheme="minorHAnsi" w:hAnsi="Calibri" w:cs="Calibri"/>
          <w:sz w:val="22"/>
          <w:szCs w:val="22"/>
          <w:lang w:eastAsia="en-US"/>
        </w:rPr>
        <w:instrText>ADDIN CSL_CITATION {"citationItems":[{"id":"ITEM-1","itemData":{"author":[{"dropping-particle":"","family":"Larmour","given":"Geoff","non-dropping-particle":"","parse-names":false,"suffix":""}],"chapter-number":"2","container-title":"A Directory of Important Wetlands in Australia","id":"ITEM-1","issued":{"date-parts":[["1994"]]},"page":"9-14","title":"2 . Wetland classification system , Criteria for inclusion and Data presentation","type":"chapter"},"uris":["http://www.mendeley.com/documents/?uuid=b3105d92-1551-47fe-a640-a581c0375747"]}],"mendeley":{"formattedCitation":"(Larmour 1994)","plainTextFormattedCitation":"(Larmour 1994)","previouslyFormattedCitation":"(Larmour 1994)"},"properties":{"noteIndex":0},"schema":"https://github.com/citation-style-language/schema/raw/master/csl-citation.json"}</w:instrText>
      </w:r>
      <w:r w:rsidR="0062089E" w:rsidRPr="00BC7A12">
        <w:rPr>
          <w:rFonts w:ascii="Calibri" w:eastAsiaTheme="minorHAnsi" w:hAnsi="Calibri" w:cs="Calibri"/>
          <w:sz w:val="22"/>
          <w:szCs w:val="22"/>
          <w:lang w:eastAsia="en-US"/>
        </w:rPr>
        <w:fldChar w:fldCharType="separate"/>
      </w:r>
      <w:r w:rsidR="0062089E" w:rsidRPr="00BC7A12">
        <w:rPr>
          <w:rFonts w:ascii="Calibri" w:eastAsiaTheme="minorHAnsi" w:hAnsi="Calibri" w:cs="Calibri"/>
          <w:noProof/>
          <w:sz w:val="22"/>
          <w:szCs w:val="22"/>
          <w:lang w:eastAsia="en-US"/>
        </w:rPr>
        <w:t>(Larmour 1994)</w:t>
      </w:r>
      <w:r w:rsidR="0062089E" w:rsidRPr="00BC7A12">
        <w:rPr>
          <w:rFonts w:ascii="Calibri" w:eastAsiaTheme="minorHAnsi" w:hAnsi="Calibri" w:cs="Calibri"/>
          <w:sz w:val="22"/>
          <w:szCs w:val="22"/>
          <w:lang w:eastAsia="en-US"/>
        </w:rPr>
        <w:fldChar w:fldCharType="end"/>
      </w:r>
    </w:p>
    <w:p w14:paraId="20B83AB7" w14:textId="77777777" w:rsidR="008F1CC7" w:rsidRPr="00BC7A12" w:rsidRDefault="008F1CC7" w:rsidP="00A8202D">
      <w:pPr>
        <w:pStyle w:val="NormalWeb"/>
        <w:spacing w:before="0" w:beforeAutospacing="0" w:after="0" w:afterAutospacing="0"/>
        <w:textAlignment w:val="baseline"/>
        <w:rPr>
          <w:rFonts w:ascii="Calibri" w:eastAsiaTheme="minorHAnsi" w:hAnsi="Calibri" w:cs="Calibri"/>
          <w:b/>
          <w:bCs/>
          <w:sz w:val="22"/>
          <w:szCs w:val="22"/>
          <w:lang w:eastAsia="en-US"/>
        </w:rPr>
      </w:pPr>
    </w:p>
    <w:p w14:paraId="5B685333" w14:textId="7F5B9187" w:rsidR="00A65867" w:rsidRPr="00BC7A12" w:rsidRDefault="00C30B25" w:rsidP="002E2BD2">
      <w:pPr>
        <w:pStyle w:val="NormalWeb"/>
        <w:spacing w:before="0" w:beforeAutospacing="0" w:after="120" w:afterAutospacing="0" w:line="288" w:lineRule="auto"/>
        <w:jc w:val="both"/>
        <w:textAlignment w:val="baseline"/>
        <w:rPr>
          <w:rFonts w:ascii="Calibri" w:eastAsiaTheme="minorHAnsi" w:hAnsi="Calibri" w:cs="Calibri"/>
          <w:sz w:val="22"/>
          <w:szCs w:val="22"/>
          <w:lang w:eastAsia="en-US"/>
        </w:rPr>
      </w:pPr>
      <w:r w:rsidRPr="00BC7A12">
        <w:rPr>
          <w:rFonts w:ascii="Calibri" w:eastAsiaTheme="minorHAnsi" w:hAnsi="Calibri" w:cs="Calibri"/>
          <w:sz w:val="22"/>
          <w:szCs w:val="22"/>
          <w:lang w:eastAsia="en-US"/>
        </w:rPr>
        <w:t xml:space="preserve">There </w:t>
      </w:r>
      <w:r w:rsidR="00660B61" w:rsidRPr="00BC7A12">
        <w:rPr>
          <w:rFonts w:ascii="Calibri" w:eastAsiaTheme="minorHAnsi" w:hAnsi="Calibri" w:cs="Calibri"/>
          <w:sz w:val="22"/>
          <w:szCs w:val="22"/>
          <w:lang w:eastAsia="en-US"/>
        </w:rPr>
        <w:t xml:space="preserve">are </w:t>
      </w:r>
      <w:r w:rsidRPr="00BC7A12">
        <w:rPr>
          <w:rFonts w:ascii="Calibri" w:eastAsiaTheme="minorHAnsi" w:hAnsi="Calibri" w:cs="Calibri"/>
          <w:sz w:val="22"/>
          <w:szCs w:val="22"/>
          <w:lang w:eastAsia="en-US"/>
        </w:rPr>
        <w:t xml:space="preserve">other classifications of ecosystem types. </w:t>
      </w:r>
      <w:r w:rsidR="00AF379D" w:rsidRPr="00BC7A12">
        <w:rPr>
          <w:rFonts w:ascii="Calibri" w:eastAsiaTheme="minorHAnsi" w:hAnsi="Calibri" w:cs="Calibri"/>
          <w:sz w:val="22"/>
          <w:szCs w:val="22"/>
          <w:lang w:eastAsia="en-US"/>
        </w:rPr>
        <w:t xml:space="preserve">They include </w:t>
      </w:r>
      <w:r w:rsidR="00E878B2" w:rsidRPr="00BC7A12">
        <w:rPr>
          <w:rFonts w:ascii="Calibri" w:eastAsiaTheme="minorHAnsi" w:hAnsi="Calibri" w:cs="Calibri"/>
          <w:sz w:val="22"/>
          <w:szCs w:val="22"/>
          <w:lang w:eastAsia="en-US"/>
        </w:rPr>
        <w:t xml:space="preserve">the Australian National </w:t>
      </w:r>
      <w:r w:rsidR="00D91398" w:rsidRPr="00BC7A12">
        <w:rPr>
          <w:rFonts w:ascii="Calibri" w:eastAsiaTheme="minorHAnsi" w:hAnsi="Calibri" w:cs="Calibri"/>
          <w:sz w:val="22"/>
          <w:szCs w:val="22"/>
          <w:lang w:eastAsia="en-US"/>
        </w:rPr>
        <w:t xml:space="preserve">Aquatic </w:t>
      </w:r>
      <w:r w:rsidR="00E878B2" w:rsidRPr="00BC7A12">
        <w:rPr>
          <w:rFonts w:ascii="Calibri" w:eastAsiaTheme="minorHAnsi" w:hAnsi="Calibri" w:cs="Calibri"/>
          <w:sz w:val="22"/>
          <w:szCs w:val="22"/>
          <w:lang w:eastAsia="en-US"/>
        </w:rPr>
        <w:t>Ecosystem (ANAE) classification</w:t>
      </w:r>
      <w:r w:rsidR="0062089E" w:rsidRPr="00BC7A12">
        <w:rPr>
          <w:rFonts w:ascii="Calibri" w:eastAsiaTheme="minorHAnsi" w:hAnsi="Calibri" w:cs="Calibri"/>
          <w:sz w:val="22"/>
          <w:szCs w:val="22"/>
          <w:lang w:eastAsia="en-US"/>
        </w:rPr>
        <w:t xml:space="preserve"> </w:t>
      </w:r>
      <w:r w:rsidR="0062089E" w:rsidRPr="00BC7A12">
        <w:rPr>
          <w:rFonts w:ascii="Calibri" w:eastAsiaTheme="minorHAnsi" w:hAnsi="Calibri" w:cs="Calibri"/>
          <w:sz w:val="22"/>
          <w:szCs w:val="22"/>
          <w:lang w:eastAsia="en-US"/>
        </w:rPr>
        <w:fldChar w:fldCharType="begin" w:fldLock="1"/>
      </w:r>
      <w:r w:rsidR="000D3DF6" w:rsidRPr="00BC7A12">
        <w:rPr>
          <w:rFonts w:ascii="Calibri" w:eastAsiaTheme="minorHAnsi" w:hAnsi="Calibri" w:cs="Calibri"/>
          <w:sz w:val="22"/>
          <w:szCs w:val="22"/>
          <w:lang w:eastAsia="en-US"/>
        </w:rPr>
        <w:instrText>ADDIN CSL_CITATION {"citationItems":[{"id":"ITEM-1","itemData":{"ISBN":"9781482266191","author":[{"dropping-particle":"","family":"Aquatic Ecosystem Task Group","given":"","non-dropping-particle":"","parse-names":false,"suffix":""}],"id":"ITEM-1","issued":{"date-parts":[["2012"]]},"number-of-pages":"1-40","publisher-place":"Canberra","title":"Aquatic ecosystem toolkit MODULE 2: Interim Australian National Aquatic Ecosystem Classification Framework","type":"report"},"uris":["http://www.mendeley.com/documents/?uuid=7019dd4c-1ae6-43ac-b802-6979064e13d6"]}],"mendeley":{"formattedCitation":"(Aquatic Ecosystem Task Group 2012)","manualFormatting":"(Aquatic Ecosystem Task Group 2012)","plainTextFormattedCitation":"(Aquatic Ecosystem Task Group 2012)","previouslyFormattedCitation":"(Aquatic Ecosystem Task Group 2012)"},"properties":{"noteIndex":0},"schema":"https://github.com/citation-style-language/schema/raw/master/csl-citation.json"}</w:instrText>
      </w:r>
      <w:r w:rsidR="0062089E" w:rsidRPr="00BC7A12">
        <w:rPr>
          <w:rFonts w:ascii="Calibri" w:eastAsiaTheme="minorHAnsi" w:hAnsi="Calibri" w:cs="Calibri"/>
          <w:sz w:val="22"/>
          <w:szCs w:val="22"/>
          <w:lang w:eastAsia="en-US"/>
        </w:rPr>
        <w:fldChar w:fldCharType="separate"/>
      </w:r>
      <w:r w:rsidR="0066097A" w:rsidRPr="00BC7A12">
        <w:rPr>
          <w:rFonts w:ascii="Calibri" w:eastAsiaTheme="minorHAnsi" w:hAnsi="Calibri" w:cs="Calibri"/>
          <w:noProof/>
          <w:sz w:val="22"/>
          <w:szCs w:val="22"/>
          <w:lang w:eastAsia="en-US"/>
        </w:rPr>
        <w:t>(Aquatic Ecosystem Task</w:t>
      </w:r>
      <w:r w:rsidR="000D3DF6" w:rsidRPr="00BC7A12">
        <w:rPr>
          <w:rFonts w:ascii="Calibri" w:eastAsiaTheme="minorHAnsi" w:hAnsi="Calibri" w:cs="Calibri"/>
          <w:noProof/>
          <w:sz w:val="22"/>
          <w:szCs w:val="22"/>
          <w:lang w:eastAsia="en-US"/>
        </w:rPr>
        <w:t xml:space="preserve"> </w:t>
      </w:r>
      <w:r w:rsidR="006D0221" w:rsidRPr="00BC7A12">
        <w:rPr>
          <w:rFonts w:ascii="Calibri" w:eastAsiaTheme="minorHAnsi" w:hAnsi="Calibri" w:cs="Calibri"/>
          <w:noProof/>
          <w:sz w:val="22"/>
          <w:szCs w:val="22"/>
          <w:lang w:eastAsia="en-US"/>
        </w:rPr>
        <w:t>G</w:t>
      </w:r>
      <w:r w:rsidR="0066097A" w:rsidRPr="00BC7A12">
        <w:rPr>
          <w:rFonts w:ascii="Calibri" w:eastAsiaTheme="minorHAnsi" w:hAnsi="Calibri" w:cs="Calibri"/>
          <w:noProof/>
          <w:sz w:val="22"/>
          <w:szCs w:val="22"/>
          <w:lang w:eastAsia="en-US"/>
        </w:rPr>
        <w:t>roup 2012)</w:t>
      </w:r>
      <w:r w:rsidR="0062089E" w:rsidRPr="00BC7A12">
        <w:rPr>
          <w:rFonts w:ascii="Calibri" w:eastAsiaTheme="minorHAnsi" w:hAnsi="Calibri" w:cs="Calibri"/>
          <w:sz w:val="22"/>
          <w:szCs w:val="22"/>
          <w:lang w:eastAsia="en-US"/>
        </w:rPr>
        <w:fldChar w:fldCharType="end"/>
      </w:r>
      <w:r w:rsidRPr="00BC7A12">
        <w:rPr>
          <w:rFonts w:ascii="Calibri" w:eastAsiaTheme="minorHAnsi" w:hAnsi="Calibri" w:cs="Calibri"/>
          <w:sz w:val="22"/>
          <w:szCs w:val="22"/>
          <w:lang w:eastAsia="en-US"/>
        </w:rPr>
        <w:t xml:space="preserve"> and</w:t>
      </w:r>
      <w:r w:rsidR="00AF379D" w:rsidRPr="00BC7A12">
        <w:rPr>
          <w:rFonts w:ascii="Calibri" w:eastAsiaTheme="minorHAnsi" w:hAnsi="Calibri" w:cs="Calibri"/>
          <w:sz w:val="22"/>
          <w:szCs w:val="22"/>
          <w:lang w:eastAsia="en-US"/>
        </w:rPr>
        <w:t xml:space="preserve"> </w:t>
      </w:r>
      <w:r w:rsidR="00900746" w:rsidRPr="00BC7A12">
        <w:rPr>
          <w:rFonts w:ascii="Calibri" w:eastAsiaTheme="minorHAnsi" w:hAnsi="Calibri" w:cs="Calibri"/>
          <w:sz w:val="22"/>
          <w:szCs w:val="22"/>
          <w:lang w:eastAsia="en-US"/>
        </w:rPr>
        <w:t xml:space="preserve">the IUCN </w:t>
      </w:r>
      <w:r w:rsidR="00A8202D" w:rsidRPr="00BC7A12">
        <w:rPr>
          <w:rFonts w:ascii="Calibri" w:eastAsiaTheme="minorHAnsi" w:hAnsi="Calibri" w:cs="Calibri"/>
          <w:sz w:val="22"/>
          <w:szCs w:val="22"/>
          <w:lang w:eastAsia="en-US"/>
        </w:rPr>
        <w:t>Global Ecosystem Typology (GET)</w:t>
      </w:r>
      <w:r w:rsidR="005217AA" w:rsidRPr="00BC7A12">
        <w:rPr>
          <w:rFonts w:ascii="Calibri" w:eastAsiaTheme="minorHAnsi" w:hAnsi="Calibri" w:cs="Calibri"/>
          <w:sz w:val="22"/>
          <w:szCs w:val="22"/>
          <w:lang w:eastAsia="en-US"/>
        </w:rPr>
        <w:t xml:space="preserve"> </w:t>
      </w:r>
      <w:r w:rsidR="0031387B" w:rsidRPr="00BC7A12">
        <w:rPr>
          <w:rFonts w:ascii="Calibri" w:eastAsiaTheme="minorHAnsi" w:hAnsi="Calibri" w:cs="Calibri"/>
          <w:sz w:val="22"/>
          <w:szCs w:val="22"/>
          <w:lang w:eastAsia="en-US"/>
        </w:rPr>
        <w:fldChar w:fldCharType="begin" w:fldLock="1"/>
      </w:r>
      <w:r w:rsidR="00147236" w:rsidRPr="00BC7A12">
        <w:rPr>
          <w:rFonts w:ascii="Calibri" w:eastAsiaTheme="minorHAnsi" w:hAnsi="Calibri" w:cs="Calibri"/>
          <w:sz w:val="22"/>
          <w:szCs w:val="22"/>
          <w:lang w:eastAsia="en-US"/>
        </w:rPr>
        <w:instrText>ADDIN CSL_CITATION {"citationItems":[{"id":"ITEM-1","itemData":{"author":[{"dropping-particle":"","family":"Keith","given":"D.","non-dropping-particle":"","parse-names":false,"suffix":""},{"dropping-particle":"","family":"Ferrer","given":"J.","non-dropping-particle":"","parse-names":false,"suffix":""},{"dropping-particle":"","family":"Nicholson","given":"E.","non-dropping-particle":"","parse-names":false,"suffix":""},{"dropping-particle":"","family":"Bishop","given":"M","non-dropping-particle":"","parse-names":false,"suffix":""},{"dropping-particle":"","family":"Polidoro","given":"B","non-dropping-particle":"","parse-names":false,"suffix":""},{"dropping-particle":"","family":"Ramirez-Llodra","given":"E.","non-dropping-particle":"","parse-names":false,"suffix":""},{"dropping-particle":"","family":"Tozer","given":"M.","non-dropping-particle":"","parse-names":false,"suffix":""},{"dropping-particle":"","family":"Nel","given":"J","non-dropping-particle":"","parse-names":false,"suffix":""},{"dropping-particle":"","family":"Nally","given":"R.","non-dropping-particle":"Mac","parse-names":false,"suffix":""},{"dropping-particle":"","family":"Gregr","given":"E","non-dropping-particle":"","parse-names":false,"suffix":""},{"dropping-particle":"","family":"Watermeyer","given":"K.","non-dropping-particle":"","parse-names":false,"suffix":""},{"dropping-particle":"","family":"Essl","given":"F.","non-dropping-particle":"","parse-names":false,"suffix":""},{"dropping-particle":"","family":"Faber-Langendoen","given":"D.","non-dropping-particle":"","parse-names":false,"suffix":""},{"dropping-particle":"","family":"Franklin","given":"J.","non-dropping-particle":"","parse-names":false,"suffix":""},{"dropping-particle":"","family":"Lehmann","given":"C.","non-dropping-particle":"","parse-names":false,"suffix":""},{"dropping-particle":"","family":"Etter","given":"A.","non-dropping-particle":"","parse-names":false,"suffix":""},{"dropping-particle":"","family":"Roux","given":"D.","non-dropping-particle":"","parse-names":false,"suffix":""},{"dropping-particle":"","family":"Stark","given":"J.","non-dropping-particle":"","parse-names":false,"suffix":""},{"dropping-particle":"","family":"Rowland","given":"J.","non-dropping-particle":"","parse-names":false,"suffix":""},{"dropping-particle":"","family":"Brummitt","given":"N.","non-dropping-particle":"","parse-names":false,"suffix":""},{"dropping-particle":"","family":"Fernandez-Arcaya","given":"U.","non-dropping-particle":"","parse-names":false,"suffix":""},{"dropping-particle":"","family":"Suthers","given":"I.","non-dropping-particle":"","parse-names":false,"suffix":""},{"dropping-particle":"","family":"Wiser","given":"S.","non-dropping-particle":"","parse-names":false,"suffix":""},{"dropping-particle":"","family":"Donohue","given":"I","non-dropping-particle":"","parse-names":false,"suffix":""},{"dropping-particle":"","family":"Jackson","given":"L.","non-dropping-particle":"","parse-names":false,"suffix":""},{"dropping-particle":"","family":"Pennington","given":"T.","non-dropping-particle":"","parse-names":false,"suffix":""},{"dropping-particle":"","family":"Pettorelli","given":"N.","non-dropping-particle":"","parse-names":false,"suffix":""},{"dropping-particle":"","family":"Andrade","given":"Angela","non-dropping-particle":"","parse-names":false,"suffix":""},{"dropping-particle":"","family":"Kontula","given":"Tytti","non-dropping-particle":"","parse-names":false,"suffix":""},{"dropping-particle":"","family":"Lindgaard","given":"Arild","non-dropping-particle":"","parse-names":false,"suffix":""},{"dropping-particle":"","family":"Tahvanainan","given":"Teemu","non-dropping-particle":"","parse-names":false,"suffix":""},{"dropping-particle":"","family":"Terauds","given":"Aleks","non-dropping-particle":"","parse-names":false,"suffix":""},{"dropping-particle":"","family":"Venter","given":"Oscar","non-dropping-particle":"","parse-names":false,"suffix":""},{"dropping-particle":"","family":"Watson","given":"James E. M.","non-dropping-particle":"","parse-names":false,"suffix":""},{"dropping-particle":"","family":"Chadwick","given":"Michael A","non-dropping-particle":"","parse-names":false,"suffix":""},{"dropping-particle":"","family":"Murray","given":"Nicholas J.","non-dropping-particle":"","parse-names":false,"suffix":""},{"dropping-particle":"","family":"Moat","given":"Justin","non-dropping-particle":"","parse-names":false,"suffix":""},{"dropping-particle":"","family":"Pliscoff","given":"Patricio","non-dropping-particle":"","parse-names":false,"suffix":""},{"dropping-particle":"","family":"Zager","given":"Irene","non-dropping-particle":"","parse-names":false,"suffix":""},{"dropping-particle":"","family":"Kingsford","given":"Richard T.","non-dropping-particle":"","parse-names":false,"suffix":""}],"id":"ITEM-1","issue":"February","issued":{"date-parts":[["2020"]]},"page":"172","title":"The IUCN Global Ecosystem Typology v1.01: Descriptive profiles for Biomes and Ecosystem Functional Groups","type":"article-journal"},"uris":["http://www.mendeley.com/documents/?uuid=989fc240-8308-4d41-8e49-6881ed43eb54"]}],"mendeley":{"formattedCitation":"(Keith et al. 2020)","plainTextFormattedCitation":"(Keith et al. 2020)","previouslyFormattedCitation":"(Keith et al. 2020)"},"properties":{"noteIndex":0},"schema":"https://github.com/citation-style-language/schema/raw/master/csl-citation.json"}</w:instrText>
      </w:r>
      <w:r w:rsidR="0031387B" w:rsidRPr="00BC7A12">
        <w:rPr>
          <w:rFonts w:ascii="Calibri" w:eastAsiaTheme="minorHAnsi" w:hAnsi="Calibri" w:cs="Calibri"/>
          <w:sz w:val="22"/>
          <w:szCs w:val="22"/>
          <w:lang w:eastAsia="en-US"/>
        </w:rPr>
        <w:fldChar w:fldCharType="separate"/>
      </w:r>
      <w:r w:rsidR="0031387B" w:rsidRPr="00BC7A12">
        <w:rPr>
          <w:rFonts w:ascii="Calibri" w:eastAsiaTheme="minorHAnsi" w:hAnsi="Calibri" w:cs="Calibri"/>
          <w:noProof/>
          <w:sz w:val="22"/>
          <w:szCs w:val="22"/>
          <w:lang w:eastAsia="en-US"/>
        </w:rPr>
        <w:t>(Keith et al. 2020)</w:t>
      </w:r>
      <w:r w:rsidR="0031387B" w:rsidRPr="00BC7A12">
        <w:rPr>
          <w:rFonts w:ascii="Calibri" w:eastAsiaTheme="minorHAnsi" w:hAnsi="Calibri" w:cs="Calibri"/>
          <w:sz w:val="22"/>
          <w:szCs w:val="22"/>
          <w:lang w:eastAsia="en-US"/>
        </w:rPr>
        <w:fldChar w:fldCharType="end"/>
      </w:r>
      <w:r w:rsidRPr="00BC7A12">
        <w:rPr>
          <w:rFonts w:ascii="Calibri" w:eastAsiaTheme="minorHAnsi" w:hAnsi="Calibri" w:cs="Calibri"/>
          <w:sz w:val="22"/>
          <w:szCs w:val="22"/>
          <w:lang w:eastAsia="en-US"/>
        </w:rPr>
        <w:t>.</w:t>
      </w:r>
      <w:r w:rsidR="00AF379D" w:rsidRPr="00BC7A12">
        <w:rPr>
          <w:rFonts w:ascii="Calibri" w:eastAsiaTheme="minorHAnsi" w:hAnsi="Calibri" w:cs="Calibri"/>
          <w:sz w:val="22"/>
          <w:szCs w:val="22"/>
          <w:lang w:eastAsia="en-US"/>
        </w:rPr>
        <w:t xml:space="preserve"> </w:t>
      </w:r>
      <w:r w:rsidR="003C14FA" w:rsidRPr="00BC7A12">
        <w:rPr>
          <w:rFonts w:ascii="Calibri" w:eastAsiaTheme="minorHAnsi" w:hAnsi="Calibri" w:cs="Calibri"/>
          <w:sz w:val="22"/>
          <w:szCs w:val="22"/>
          <w:lang w:eastAsia="en-US"/>
        </w:rPr>
        <w:t xml:space="preserve">These </w:t>
      </w:r>
      <w:r w:rsidRPr="00BC7A12">
        <w:rPr>
          <w:rFonts w:ascii="Calibri" w:eastAsiaTheme="minorHAnsi" w:hAnsi="Calibri" w:cs="Calibri"/>
          <w:sz w:val="22"/>
          <w:szCs w:val="22"/>
          <w:lang w:eastAsia="en-US"/>
        </w:rPr>
        <w:t>typologies</w:t>
      </w:r>
      <w:r w:rsidR="00A8202D" w:rsidRPr="00BC7A12">
        <w:rPr>
          <w:rFonts w:ascii="Calibri" w:eastAsiaTheme="minorHAnsi" w:hAnsi="Calibri" w:cs="Calibri"/>
          <w:sz w:val="22"/>
          <w:szCs w:val="22"/>
          <w:lang w:eastAsia="en-US"/>
        </w:rPr>
        <w:t xml:space="preserve"> </w:t>
      </w:r>
      <w:r w:rsidR="00A93FAE" w:rsidRPr="00BC7A12">
        <w:rPr>
          <w:rFonts w:ascii="Calibri" w:eastAsiaTheme="minorHAnsi" w:hAnsi="Calibri" w:cs="Calibri"/>
          <w:sz w:val="22"/>
          <w:szCs w:val="22"/>
          <w:lang w:eastAsia="en-US"/>
        </w:rPr>
        <w:t xml:space="preserve">are </w:t>
      </w:r>
      <w:r w:rsidR="00F2559B" w:rsidRPr="00BC7A12">
        <w:rPr>
          <w:rFonts w:ascii="Calibri" w:eastAsiaTheme="minorHAnsi" w:hAnsi="Calibri" w:cs="Calibri"/>
          <w:sz w:val="22"/>
          <w:szCs w:val="22"/>
          <w:lang w:eastAsia="en-US"/>
        </w:rPr>
        <w:t>discussed</w:t>
      </w:r>
      <w:r w:rsidR="00A93FAE" w:rsidRPr="00BC7A12">
        <w:rPr>
          <w:rFonts w:ascii="Calibri" w:eastAsiaTheme="minorHAnsi" w:hAnsi="Calibri" w:cs="Calibri"/>
          <w:sz w:val="22"/>
          <w:szCs w:val="22"/>
          <w:lang w:eastAsia="en-US"/>
        </w:rPr>
        <w:t xml:space="preserve"> later in this report </w:t>
      </w:r>
      <w:r w:rsidR="006D03D4" w:rsidRPr="00BC7A12">
        <w:rPr>
          <w:rFonts w:ascii="Calibri" w:eastAsiaTheme="minorHAnsi" w:hAnsi="Calibri" w:cs="Calibri"/>
          <w:sz w:val="22"/>
          <w:szCs w:val="22"/>
          <w:lang w:eastAsia="en-US"/>
        </w:rPr>
        <w:t xml:space="preserve">with recommendations </w:t>
      </w:r>
      <w:r w:rsidR="00AA1007" w:rsidRPr="00BC7A12">
        <w:rPr>
          <w:rFonts w:ascii="Calibri" w:eastAsiaTheme="minorHAnsi" w:hAnsi="Calibri" w:cs="Calibri"/>
          <w:sz w:val="22"/>
          <w:szCs w:val="22"/>
          <w:lang w:eastAsia="en-US"/>
        </w:rPr>
        <w:t xml:space="preserve">on </w:t>
      </w:r>
      <w:r w:rsidR="00113463" w:rsidRPr="00BC7A12">
        <w:rPr>
          <w:rFonts w:ascii="Calibri" w:eastAsiaTheme="minorHAnsi" w:hAnsi="Calibri" w:cs="Calibri"/>
          <w:sz w:val="22"/>
          <w:szCs w:val="22"/>
          <w:lang w:eastAsia="en-US"/>
        </w:rPr>
        <w:t>their utility</w:t>
      </w:r>
      <w:r w:rsidRPr="00BC7A12">
        <w:rPr>
          <w:rFonts w:ascii="Calibri" w:eastAsiaTheme="minorHAnsi" w:hAnsi="Calibri" w:cs="Calibri"/>
          <w:sz w:val="22"/>
          <w:szCs w:val="22"/>
          <w:lang w:eastAsia="en-US"/>
        </w:rPr>
        <w:t xml:space="preserve"> for measurement and valuation</w:t>
      </w:r>
      <w:r w:rsidR="00113463" w:rsidRPr="00BC7A12">
        <w:rPr>
          <w:rFonts w:ascii="Calibri" w:eastAsiaTheme="minorHAnsi" w:hAnsi="Calibri" w:cs="Calibri"/>
          <w:sz w:val="22"/>
          <w:szCs w:val="22"/>
          <w:lang w:eastAsia="en-US"/>
        </w:rPr>
        <w:t>.</w:t>
      </w:r>
      <w:r w:rsidR="00AA1007" w:rsidRPr="00BC7A12">
        <w:rPr>
          <w:rFonts w:ascii="Calibri" w:eastAsiaTheme="minorHAnsi" w:hAnsi="Calibri" w:cs="Calibri"/>
          <w:sz w:val="22"/>
          <w:szCs w:val="22"/>
          <w:lang w:eastAsia="en-US"/>
        </w:rPr>
        <w:t xml:space="preserve"> </w:t>
      </w:r>
    </w:p>
    <w:p w14:paraId="0C5F6524" w14:textId="1B9C7458" w:rsidR="00B1056F" w:rsidRPr="00BC7A12" w:rsidRDefault="00B1056F" w:rsidP="00B1056F">
      <w:pPr>
        <w:rPr>
          <w:rFonts w:cs="Calibri"/>
        </w:rPr>
      </w:pPr>
      <w:r w:rsidRPr="00BC7A12">
        <w:rPr>
          <w:rFonts w:cs="Calibri"/>
        </w:rPr>
        <w:t xml:space="preserve">Upon </w:t>
      </w:r>
      <w:r w:rsidR="006D0221" w:rsidRPr="00BC7A12">
        <w:rPr>
          <w:rFonts w:cs="Calibri"/>
        </w:rPr>
        <w:t xml:space="preserve">development of a </w:t>
      </w:r>
      <w:r w:rsidRPr="00BC7A12">
        <w:rPr>
          <w:rFonts w:cs="Calibri"/>
        </w:rPr>
        <w:t>joint Commonwealth, state and territory wetland</w:t>
      </w:r>
      <w:r w:rsidR="00390B03" w:rsidRPr="00BC7A12">
        <w:rPr>
          <w:rFonts w:cs="Calibri"/>
        </w:rPr>
        <w:t>s</w:t>
      </w:r>
      <w:r w:rsidRPr="00BC7A12">
        <w:rPr>
          <w:rFonts w:cs="Calibri"/>
        </w:rPr>
        <w:t xml:space="preserve"> inventory, the extent and condition of Australia’s wetland types will be clearer. Research for this report used the </w:t>
      </w:r>
      <w:r w:rsidR="006D0221" w:rsidRPr="00BC7A12">
        <w:rPr>
          <w:rFonts w:cs="Calibri"/>
        </w:rPr>
        <w:t xml:space="preserve">Australian Wetlands Database, including the </w:t>
      </w:r>
      <w:r w:rsidRPr="00BC7A12">
        <w:rPr>
          <w:rFonts w:cs="Calibri"/>
        </w:rPr>
        <w:t xml:space="preserve">2005 Directory of Important Wetlands </w:t>
      </w:r>
      <w:r w:rsidRPr="00BC7A12">
        <w:rPr>
          <w:rFonts w:cs="Calibri"/>
        </w:rPr>
        <w:fldChar w:fldCharType="begin" w:fldLock="1"/>
      </w:r>
      <w:r w:rsidRPr="00BC7A12">
        <w:rPr>
          <w:rFonts w:cs="Calibri"/>
        </w:rPr>
        <w:instrText>ADDIN CSL_CITATION {"citationItems":[{"id":"ITEM-1","itemData":{"URL":"http://www.environment.gov.au/cgi-bin/wetlands/search.pl?smode=DOIW","author":[{"dropping-particle":"","family":"Environment","given":"Department of Agriculture Water and","non-dropping-particle":"","parse-names":false,"suffix":""}],"id":"ITEM-1","issued":{"date-parts":[["2005"]]},"title":"Directory of Important Wetlands","type":"webpage"},"uris":["http://www.mendeley.com/documents/?uuid=d6a422b8-be89-4d4c-9dcb-cc363cc7f9b5"]}],"mendeley":{"formattedCitation":"(Environment 2005)","plainTextFormattedCitation":"(Environment 2005)","previouslyFormattedCitation":"(Environment 2005)"},"properties":{"noteIndex":0},"schema":"https://github.com/citation-style-language/schema/raw/master/csl-citation.json"}</w:instrText>
      </w:r>
      <w:r w:rsidRPr="00BC7A12">
        <w:rPr>
          <w:rFonts w:cs="Calibri"/>
        </w:rPr>
        <w:fldChar w:fldCharType="separate"/>
      </w:r>
      <w:r w:rsidRPr="00BC7A12">
        <w:rPr>
          <w:rFonts w:cs="Calibri"/>
          <w:noProof/>
        </w:rPr>
        <w:t>(Environment 2005)</w:t>
      </w:r>
      <w:r w:rsidRPr="00BC7A12">
        <w:rPr>
          <w:rFonts w:cs="Calibri"/>
        </w:rPr>
        <w:fldChar w:fldCharType="end"/>
      </w:r>
      <w:r w:rsidR="00390B03" w:rsidRPr="00BC7A12">
        <w:rPr>
          <w:rFonts w:cs="Calibri"/>
        </w:rPr>
        <w:t xml:space="preserve"> to help identify and name specific wetlands.</w:t>
      </w:r>
      <w:r w:rsidRPr="00BC7A12">
        <w:rPr>
          <w:rFonts w:cs="Calibri"/>
        </w:rPr>
        <w:t xml:space="preserve"> Every effort has been made to identify the specific wetlands in each Australian valuation study. The MS Excel file that accompanies this report lists all the wetlands and studies that were captured and integrated into this report along with related meta data. </w:t>
      </w:r>
    </w:p>
    <w:p w14:paraId="5DC30A7C" w14:textId="77777777" w:rsidR="00C30B25" w:rsidRPr="00BC7A12" w:rsidRDefault="00C30B25" w:rsidP="002E2BD2">
      <w:pPr>
        <w:pStyle w:val="NormalWeb"/>
        <w:spacing w:before="0" w:beforeAutospacing="0" w:after="120" w:afterAutospacing="0" w:line="288" w:lineRule="auto"/>
        <w:jc w:val="both"/>
        <w:textAlignment w:val="baseline"/>
        <w:rPr>
          <w:rFonts w:ascii="Calibri" w:eastAsiaTheme="minorHAnsi" w:hAnsi="Calibri" w:cs="Calibri"/>
          <w:sz w:val="22"/>
          <w:szCs w:val="22"/>
          <w:lang w:eastAsia="en-US"/>
        </w:rPr>
      </w:pPr>
    </w:p>
    <w:p w14:paraId="056A493D" w14:textId="49BD676F" w:rsidR="00F2559B" w:rsidRPr="00BC7A12" w:rsidRDefault="00F2559B" w:rsidP="00F468E9">
      <w:pPr>
        <w:pStyle w:val="Heading3"/>
        <w:rPr>
          <w:rFonts w:cs="Calibri"/>
        </w:rPr>
      </w:pPr>
      <w:bookmarkStart w:id="26" w:name="_Toc46822296"/>
      <w:r w:rsidRPr="00BC7A12">
        <w:rPr>
          <w:rFonts w:cs="Calibri"/>
        </w:rPr>
        <w:lastRenderedPageBreak/>
        <w:t xml:space="preserve">Other </w:t>
      </w:r>
      <w:r w:rsidR="00C30B25" w:rsidRPr="00BC7A12">
        <w:rPr>
          <w:rFonts w:cs="Calibri"/>
        </w:rPr>
        <w:t>considerations</w:t>
      </w:r>
      <w:bookmarkEnd w:id="26"/>
      <w:r w:rsidRPr="00BC7A12">
        <w:rPr>
          <w:rFonts w:cs="Calibri"/>
        </w:rPr>
        <w:t xml:space="preserve"> </w:t>
      </w:r>
    </w:p>
    <w:p w14:paraId="7E1DC4E8" w14:textId="72A680AD" w:rsidR="008A2393" w:rsidRPr="00BC7A12" w:rsidRDefault="0033715C" w:rsidP="00F11353">
      <w:pPr>
        <w:pStyle w:val="CommentText"/>
        <w:spacing w:after="120" w:line="288" w:lineRule="auto"/>
        <w:jc w:val="both"/>
        <w:rPr>
          <w:rFonts w:ascii="Calibri" w:eastAsiaTheme="minorHAnsi" w:hAnsi="Calibri" w:cs="Calibri"/>
          <w:sz w:val="22"/>
          <w:szCs w:val="22"/>
          <w:lang w:val="en-AU"/>
        </w:rPr>
      </w:pPr>
      <w:r w:rsidRPr="00BC7A12">
        <w:rPr>
          <w:rFonts w:ascii="Calibri" w:eastAsiaTheme="minorHAnsi" w:hAnsi="Calibri" w:cs="Calibri"/>
          <w:sz w:val="22"/>
          <w:szCs w:val="22"/>
          <w:lang w:val="en-AU"/>
        </w:rPr>
        <w:t xml:space="preserve">It is important to note that DRR </w:t>
      </w:r>
      <w:r w:rsidR="00A8202D" w:rsidRPr="00BC7A12">
        <w:rPr>
          <w:rFonts w:ascii="Calibri" w:eastAsiaTheme="minorHAnsi" w:hAnsi="Calibri" w:cs="Calibri"/>
          <w:sz w:val="22"/>
          <w:szCs w:val="22"/>
          <w:lang w:val="en-AU"/>
        </w:rPr>
        <w:t xml:space="preserve">ecosystem services are not produced by </w:t>
      </w:r>
      <w:r w:rsidR="00046C12" w:rsidRPr="00BC7A12">
        <w:rPr>
          <w:rFonts w:ascii="Calibri" w:eastAsiaTheme="minorHAnsi" w:hAnsi="Calibri" w:cs="Calibri"/>
          <w:sz w:val="22"/>
          <w:szCs w:val="22"/>
          <w:lang w:val="en-AU"/>
        </w:rPr>
        <w:t xml:space="preserve">coastal </w:t>
      </w:r>
      <w:r w:rsidR="00A8202D" w:rsidRPr="00BC7A12">
        <w:rPr>
          <w:rFonts w:ascii="Calibri" w:eastAsiaTheme="minorHAnsi" w:hAnsi="Calibri" w:cs="Calibri"/>
          <w:sz w:val="22"/>
          <w:szCs w:val="22"/>
          <w:lang w:val="en-AU"/>
        </w:rPr>
        <w:t xml:space="preserve">wetlands in isolation of other ecosystem types and ecosystem features. </w:t>
      </w:r>
      <w:r w:rsidR="00CB5B1A" w:rsidRPr="00BC7A12">
        <w:rPr>
          <w:rFonts w:ascii="Calibri" w:eastAsiaTheme="minorHAnsi" w:hAnsi="Calibri" w:cs="Calibri"/>
          <w:sz w:val="22"/>
          <w:szCs w:val="22"/>
          <w:lang w:val="en-AU"/>
        </w:rPr>
        <w:t>Rather</w:t>
      </w:r>
      <w:r w:rsidR="002047AE" w:rsidRPr="00BC7A12">
        <w:rPr>
          <w:rFonts w:ascii="Calibri" w:eastAsiaTheme="minorHAnsi" w:hAnsi="Calibri" w:cs="Calibri"/>
          <w:sz w:val="22"/>
          <w:szCs w:val="22"/>
          <w:lang w:val="en-AU"/>
        </w:rPr>
        <w:t>,</w:t>
      </w:r>
      <w:r w:rsidR="00CB5B1A" w:rsidRPr="00BC7A12">
        <w:rPr>
          <w:rFonts w:ascii="Calibri" w:eastAsiaTheme="minorHAnsi" w:hAnsi="Calibri" w:cs="Calibri"/>
          <w:sz w:val="22"/>
          <w:szCs w:val="22"/>
          <w:lang w:val="en-AU"/>
        </w:rPr>
        <w:t xml:space="preserve"> </w:t>
      </w:r>
      <w:r w:rsidR="002047AE" w:rsidRPr="00BC7A12">
        <w:rPr>
          <w:rFonts w:ascii="Calibri" w:eastAsiaTheme="minorHAnsi" w:hAnsi="Calibri" w:cs="Calibri"/>
          <w:sz w:val="22"/>
          <w:szCs w:val="22"/>
          <w:lang w:val="en-AU"/>
        </w:rPr>
        <w:t xml:space="preserve">a combination of </w:t>
      </w:r>
      <w:r w:rsidR="008A2393" w:rsidRPr="00BC7A12">
        <w:rPr>
          <w:rFonts w:ascii="Calibri" w:eastAsiaTheme="minorHAnsi" w:hAnsi="Calibri" w:cs="Calibri"/>
          <w:sz w:val="22"/>
          <w:szCs w:val="22"/>
          <w:lang w:val="en-AU"/>
        </w:rPr>
        <w:t xml:space="preserve">geology, geomorphology, sediments, soils and hydrogeology </w:t>
      </w:r>
      <w:r w:rsidR="00B97C65" w:rsidRPr="00BC7A12">
        <w:rPr>
          <w:rFonts w:ascii="Calibri" w:eastAsiaTheme="minorHAnsi" w:hAnsi="Calibri" w:cs="Calibri"/>
          <w:sz w:val="22"/>
          <w:szCs w:val="22"/>
          <w:lang w:val="en-AU"/>
        </w:rPr>
        <w:t xml:space="preserve">across coastal ecosystems affects the </w:t>
      </w:r>
      <w:r w:rsidR="00165364" w:rsidRPr="00BC7A12">
        <w:rPr>
          <w:rFonts w:ascii="Calibri" w:eastAsiaTheme="minorHAnsi" w:hAnsi="Calibri" w:cs="Calibri"/>
          <w:sz w:val="22"/>
          <w:szCs w:val="22"/>
          <w:lang w:val="en-AU"/>
        </w:rPr>
        <w:t>carriage</w:t>
      </w:r>
      <w:r w:rsidR="008A2393" w:rsidRPr="00BC7A12">
        <w:rPr>
          <w:rFonts w:ascii="Calibri" w:eastAsiaTheme="minorHAnsi" w:hAnsi="Calibri" w:cs="Calibri"/>
          <w:sz w:val="22"/>
          <w:szCs w:val="22"/>
          <w:lang w:val="en-AU"/>
        </w:rPr>
        <w:t xml:space="preserve"> of </w:t>
      </w:r>
      <w:r w:rsidR="00C30B25" w:rsidRPr="00BC7A12">
        <w:rPr>
          <w:rFonts w:ascii="Calibri" w:eastAsiaTheme="minorHAnsi" w:hAnsi="Calibri" w:cs="Calibri"/>
          <w:sz w:val="22"/>
          <w:szCs w:val="22"/>
          <w:lang w:val="en-AU"/>
        </w:rPr>
        <w:t>these ecosystem services</w:t>
      </w:r>
      <w:r w:rsidR="00597540" w:rsidRPr="00BC7A12">
        <w:rPr>
          <w:rFonts w:ascii="Calibri" w:eastAsiaTheme="minorHAnsi" w:hAnsi="Calibri" w:cs="Calibri"/>
          <w:sz w:val="22"/>
          <w:szCs w:val="22"/>
          <w:lang w:val="en-AU"/>
        </w:rPr>
        <w:t xml:space="preserve"> </w:t>
      </w:r>
      <w:r w:rsidR="00363D31" w:rsidRPr="00BC7A12">
        <w:rPr>
          <w:rFonts w:ascii="Calibri" w:eastAsiaTheme="minorHAnsi" w:hAnsi="Calibri" w:cs="Calibri"/>
          <w:sz w:val="22"/>
          <w:szCs w:val="22"/>
          <w:lang w:val="en-AU"/>
        </w:rPr>
        <w:fldChar w:fldCharType="begin" w:fldLock="1"/>
      </w:r>
      <w:r w:rsidR="00363D31" w:rsidRPr="00BC7A12">
        <w:rPr>
          <w:rFonts w:ascii="Calibri" w:eastAsiaTheme="minorHAnsi" w:hAnsi="Calibri" w:cs="Calibri"/>
          <w:sz w:val="22"/>
          <w:szCs w:val="22"/>
          <w:lang w:val="en-AU"/>
        </w:rPr>
        <w:instrText>ADDIN CSL_CITATION {"citationItems":[{"id":"ITEM-1","itemData":{"DOI":"10.1080/26395916.2020.1758214","ISSN":"26395916","abstract":"Holistic conservation of ecosystem services (ES) requires a greater understanding of how the interactions of biotic and abiotic aspects of nature provide them. Currently, geodiversity, the diversity of geology, geomorphology, sediments and soils and hydrology, as well as the services that they provide in isolation of interactions with biotic nature–geosystem services (GS)–are overlooked in ES literature and frameworks. Here, we provide a series of three nested frameworks which together help to provide clarity for both the theoretical role of geodiversity in service production as well as the basis for real-world management strategies. First, we present the ‘Geodiversity Flower’, a framework that can be operationalised to provide clarity in terminology to decision-makers. Second, we present the ‘Geo-Eco Services Framework’, which establishes the difference between ES and GS. The final framework presented is the ‘Geo-Eco Services Cascade Model’, which builds upon the widely used ES cascade model by demonstrating how geodiversity interacts with biotic nature to simultaneously provide ES and GS. Providing a holistic model that integrates both biotic and abiotic nature alongside ES and GS allows for a greater understanding of the roles of abiotic and biotic nature to services and their associated benefits and values to people.","author":[{"dropping-particle":"","family":"Fox","given":"Nathan","non-dropping-particle":"","parse-names":false,"suffix":""},{"dropping-particle":"","family":"Graham","given":"Laura J.","non-dropping-particle":"","parse-names":false,"suffix":""},{"dropping-particle":"","family":"Eigenbrod","given":"Felix","non-dropping-particle":"","parse-names":false,"suffix":""},{"dropping-particle":"","family":"Bullock","given":"James M.","non-dropping-particle":"","parse-names":false,"suffix":""},{"dropping-particle":"","family":"Parks","given":"Katherine E.","non-dropping-particle":"","parse-names":false,"suffix":""}],"container-title":"Ecosystems and People","id":"ITEM-1","issue":"1","issued":{"date-parts":[["2020"]]},"page":"151-159","publisher":"Taylor &amp; Francis","title":"Incorporating geodiversity in ecosystem service decisions","type":"article-journal","volume":"16"},"uris":["http://www.mendeley.com/documents/?uuid=49d824ab-d0a0-4aff-9237-059fecafde6a"]}],"mendeley":{"formattedCitation":"(Fox et al. 2020)","plainTextFormattedCitation":"(Fox et al. 2020)","previouslyFormattedCitation":"(Fox et al. 2020)"},"properties":{"noteIndex":0},"schema":"https://github.com/citation-style-language/schema/raw/master/csl-citation.json"}</w:instrText>
      </w:r>
      <w:r w:rsidR="00363D31" w:rsidRPr="00BC7A12">
        <w:rPr>
          <w:rFonts w:ascii="Calibri" w:eastAsiaTheme="minorHAnsi" w:hAnsi="Calibri" w:cs="Calibri"/>
          <w:sz w:val="22"/>
          <w:szCs w:val="22"/>
          <w:lang w:val="en-AU"/>
        </w:rPr>
        <w:fldChar w:fldCharType="separate"/>
      </w:r>
      <w:r w:rsidR="00363D31" w:rsidRPr="00BC7A12">
        <w:rPr>
          <w:rFonts w:ascii="Calibri" w:eastAsiaTheme="minorHAnsi" w:hAnsi="Calibri" w:cs="Calibri"/>
          <w:noProof/>
          <w:sz w:val="22"/>
          <w:szCs w:val="22"/>
          <w:lang w:val="en-AU"/>
        </w:rPr>
        <w:t>(Fox et al. 2020)</w:t>
      </w:r>
      <w:r w:rsidR="00363D31" w:rsidRPr="00BC7A12">
        <w:rPr>
          <w:rFonts w:ascii="Calibri" w:eastAsiaTheme="minorHAnsi" w:hAnsi="Calibri" w:cs="Calibri"/>
          <w:sz w:val="22"/>
          <w:szCs w:val="22"/>
          <w:lang w:val="en-AU"/>
        </w:rPr>
        <w:fldChar w:fldCharType="end"/>
      </w:r>
      <w:r w:rsidR="00C3458C" w:rsidRPr="00BC7A12">
        <w:rPr>
          <w:rFonts w:ascii="Calibri" w:eastAsiaTheme="minorHAnsi" w:hAnsi="Calibri" w:cs="Calibri"/>
          <w:sz w:val="22"/>
          <w:szCs w:val="22"/>
          <w:lang w:val="en-AU"/>
        </w:rPr>
        <w:t>.</w:t>
      </w:r>
      <w:r w:rsidR="00363D31" w:rsidRPr="00BC7A12">
        <w:rPr>
          <w:rFonts w:ascii="Calibri" w:eastAsiaTheme="minorHAnsi" w:hAnsi="Calibri" w:cs="Calibri"/>
          <w:sz w:val="22"/>
          <w:szCs w:val="22"/>
          <w:lang w:val="en-AU"/>
        </w:rPr>
        <w:t xml:space="preserve"> </w:t>
      </w:r>
      <w:r w:rsidR="00597540" w:rsidRPr="00BC7A12">
        <w:rPr>
          <w:rFonts w:ascii="Calibri" w:eastAsiaTheme="minorHAnsi" w:hAnsi="Calibri" w:cs="Calibri"/>
          <w:sz w:val="22"/>
          <w:szCs w:val="22"/>
          <w:lang w:val="en-AU"/>
        </w:rPr>
        <w:t>For example,</w:t>
      </w:r>
      <w:r w:rsidR="00ED253B" w:rsidRPr="00BC7A12">
        <w:rPr>
          <w:rFonts w:ascii="Calibri" w:eastAsiaTheme="minorHAnsi" w:hAnsi="Calibri" w:cs="Calibri"/>
          <w:sz w:val="22"/>
          <w:szCs w:val="22"/>
          <w:lang w:val="en-AU"/>
        </w:rPr>
        <w:t xml:space="preserve"> cliffs, </w:t>
      </w:r>
      <w:proofErr w:type="gramStart"/>
      <w:r w:rsidR="00ED253B" w:rsidRPr="00BC7A12">
        <w:rPr>
          <w:rFonts w:ascii="Calibri" w:eastAsiaTheme="minorHAnsi" w:hAnsi="Calibri" w:cs="Calibri"/>
          <w:sz w:val="22"/>
          <w:szCs w:val="22"/>
          <w:lang w:val="en-AU"/>
        </w:rPr>
        <w:t>beaches</w:t>
      </w:r>
      <w:proofErr w:type="gramEnd"/>
      <w:r w:rsidR="00ED253B" w:rsidRPr="00BC7A12">
        <w:rPr>
          <w:rFonts w:ascii="Calibri" w:eastAsiaTheme="minorHAnsi" w:hAnsi="Calibri" w:cs="Calibri"/>
          <w:sz w:val="22"/>
          <w:szCs w:val="22"/>
          <w:lang w:val="en-AU"/>
        </w:rPr>
        <w:t xml:space="preserve"> and</w:t>
      </w:r>
      <w:r w:rsidR="00597540" w:rsidRPr="00BC7A12">
        <w:rPr>
          <w:rFonts w:ascii="Calibri" w:eastAsiaTheme="minorHAnsi" w:hAnsi="Calibri" w:cs="Calibri"/>
          <w:sz w:val="22"/>
          <w:szCs w:val="22"/>
          <w:lang w:val="en-AU"/>
        </w:rPr>
        <w:t xml:space="preserve"> coastal streams can contribute to DRR.</w:t>
      </w:r>
      <w:r w:rsidR="008A2393" w:rsidRPr="00BC7A12">
        <w:rPr>
          <w:rFonts w:ascii="Calibri" w:eastAsiaTheme="minorHAnsi" w:hAnsi="Calibri" w:cs="Calibri"/>
          <w:sz w:val="22"/>
          <w:szCs w:val="22"/>
          <w:lang w:val="en-AU"/>
        </w:rPr>
        <w:t xml:space="preserve"> Valuation </w:t>
      </w:r>
      <w:r w:rsidR="003C6293" w:rsidRPr="00BC7A12">
        <w:rPr>
          <w:rFonts w:ascii="Calibri" w:eastAsiaTheme="minorHAnsi" w:hAnsi="Calibri" w:cs="Calibri"/>
          <w:sz w:val="22"/>
          <w:szCs w:val="22"/>
          <w:lang w:val="en-AU"/>
        </w:rPr>
        <w:t xml:space="preserve">studies </w:t>
      </w:r>
      <w:r w:rsidR="008A2393" w:rsidRPr="00BC7A12">
        <w:rPr>
          <w:rFonts w:ascii="Calibri" w:eastAsiaTheme="minorHAnsi" w:hAnsi="Calibri" w:cs="Calibri"/>
          <w:sz w:val="22"/>
          <w:szCs w:val="22"/>
          <w:lang w:val="en-AU"/>
        </w:rPr>
        <w:t>need to consider the interactions of all these features in their analysis.</w:t>
      </w:r>
      <w:r w:rsidR="00041594" w:rsidRPr="00BC7A12">
        <w:rPr>
          <w:rFonts w:ascii="Calibri" w:eastAsiaTheme="minorHAnsi" w:hAnsi="Calibri" w:cs="Calibri"/>
          <w:sz w:val="22"/>
          <w:szCs w:val="22"/>
          <w:lang w:val="en-AU"/>
        </w:rPr>
        <w:t xml:space="preserve"> </w:t>
      </w:r>
    </w:p>
    <w:p w14:paraId="66F92828" w14:textId="7BA477FA" w:rsidR="00B265C9" w:rsidRPr="00BC7A12" w:rsidRDefault="006636CF" w:rsidP="00F11353">
      <w:pPr>
        <w:pStyle w:val="NormalWeb"/>
        <w:spacing w:before="0" w:beforeAutospacing="0" w:after="120" w:afterAutospacing="0" w:line="288" w:lineRule="auto"/>
        <w:jc w:val="both"/>
        <w:textAlignment w:val="baseline"/>
        <w:rPr>
          <w:rFonts w:ascii="Calibri" w:eastAsiaTheme="minorHAnsi" w:hAnsi="Calibri" w:cs="Calibri"/>
          <w:sz w:val="22"/>
          <w:szCs w:val="22"/>
          <w:lang w:eastAsia="en-US"/>
        </w:rPr>
      </w:pPr>
      <w:bookmarkStart w:id="27" w:name="_Hlk44163446"/>
      <w:r w:rsidRPr="00BC7A12">
        <w:rPr>
          <w:rFonts w:ascii="Calibri" w:eastAsiaTheme="minorHAnsi" w:hAnsi="Calibri" w:cs="Calibri"/>
          <w:sz w:val="22"/>
          <w:szCs w:val="22"/>
          <w:lang w:eastAsia="en-US"/>
        </w:rPr>
        <w:t xml:space="preserve">The study </w:t>
      </w:r>
      <w:r w:rsidR="00B265C9" w:rsidRPr="00BC7A12">
        <w:rPr>
          <w:rFonts w:ascii="Calibri" w:eastAsiaTheme="minorHAnsi" w:hAnsi="Calibri" w:cs="Calibri"/>
          <w:sz w:val="22"/>
          <w:szCs w:val="22"/>
          <w:lang w:eastAsia="en-US"/>
        </w:rPr>
        <w:t xml:space="preserve">framework </w:t>
      </w:r>
      <w:r w:rsidRPr="00BC7A12">
        <w:rPr>
          <w:rFonts w:ascii="Calibri" w:eastAsiaTheme="minorHAnsi" w:hAnsi="Calibri" w:cs="Calibri"/>
          <w:sz w:val="22"/>
          <w:szCs w:val="22"/>
          <w:lang w:eastAsia="en-US"/>
        </w:rPr>
        <w:t>(</w:t>
      </w:r>
      <w:r w:rsidR="00A446DA" w:rsidRPr="00BC7A12">
        <w:rPr>
          <w:rFonts w:ascii="Calibri" w:eastAsiaTheme="minorHAnsi" w:hAnsi="Calibri" w:cs="Calibri"/>
          <w:sz w:val="22"/>
          <w:szCs w:val="22"/>
          <w:lang w:eastAsia="en-US"/>
        </w:rPr>
        <w:fldChar w:fldCharType="begin"/>
      </w:r>
      <w:r w:rsidR="00A446DA" w:rsidRPr="00BC7A12">
        <w:rPr>
          <w:rFonts w:ascii="Calibri" w:eastAsiaTheme="minorHAnsi" w:hAnsi="Calibri" w:cs="Calibri"/>
          <w:sz w:val="22"/>
          <w:szCs w:val="22"/>
          <w:lang w:eastAsia="en-US"/>
        </w:rPr>
        <w:instrText xml:space="preserve"> REF _Ref43034788 \h </w:instrText>
      </w:r>
      <w:r w:rsidR="00FD3388" w:rsidRPr="00BC7A12">
        <w:rPr>
          <w:rFonts w:ascii="Calibri" w:eastAsiaTheme="minorHAnsi" w:hAnsi="Calibri" w:cs="Calibri"/>
          <w:sz w:val="22"/>
          <w:szCs w:val="22"/>
          <w:lang w:eastAsia="en-US"/>
        </w:rPr>
        <w:instrText xml:space="preserve"> \* MERGEFORMAT </w:instrText>
      </w:r>
      <w:r w:rsidR="00A446DA" w:rsidRPr="00BC7A12">
        <w:rPr>
          <w:rFonts w:ascii="Calibri" w:eastAsiaTheme="minorHAnsi" w:hAnsi="Calibri" w:cs="Calibri"/>
          <w:sz w:val="22"/>
          <w:szCs w:val="22"/>
          <w:lang w:eastAsia="en-US"/>
        </w:rPr>
      </w:r>
      <w:r w:rsidR="00A446DA" w:rsidRPr="00BC7A12">
        <w:rPr>
          <w:rFonts w:ascii="Calibri" w:eastAsiaTheme="minorHAnsi" w:hAnsi="Calibri" w:cs="Calibri"/>
          <w:sz w:val="22"/>
          <w:szCs w:val="22"/>
          <w:lang w:eastAsia="en-US"/>
        </w:rPr>
        <w:fldChar w:fldCharType="separate"/>
      </w:r>
      <w:r w:rsidR="00657E34" w:rsidRPr="00657E34">
        <w:rPr>
          <w:rFonts w:ascii="Calibri" w:hAnsi="Calibri" w:cs="Calibri"/>
          <w:sz w:val="22"/>
          <w:szCs w:val="22"/>
        </w:rPr>
        <w:t xml:space="preserve">Figure </w:t>
      </w:r>
      <w:r w:rsidR="00657E34" w:rsidRPr="00657E34">
        <w:rPr>
          <w:rFonts w:ascii="Calibri" w:hAnsi="Calibri" w:cs="Calibri"/>
          <w:noProof/>
          <w:sz w:val="22"/>
          <w:szCs w:val="22"/>
        </w:rPr>
        <w:t>2</w:t>
      </w:r>
      <w:r w:rsidR="00A446DA" w:rsidRPr="00BC7A12">
        <w:rPr>
          <w:rFonts w:ascii="Calibri" w:eastAsiaTheme="minorHAnsi" w:hAnsi="Calibri" w:cs="Calibri"/>
          <w:sz w:val="22"/>
          <w:szCs w:val="22"/>
          <w:lang w:eastAsia="en-US"/>
        </w:rPr>
        <w:fldChar w:fldCharType="end"/>
      </w:r>
      <w:r w:rsidRPr="00BC7A12">
        <w:rPr>
          <w:rFonts w:ascii="Calibri" w:eastAsiaTheme="minorHAnsi" w:hAnsi="Calibri" w:cs="Calibri"/>
          <w:sz w:val="22"/>
          <w:szCs w:val="22"/>
          <w:lang w:eastAsia="en-US"/>
        </w:rPr>
        <w:t xml:space="preserve">) </w:t>
      </w:r>
      <w:r w:rsidR="00055726" w:rsidRPr="00BC7A12">
        <w:rPr>
          <w:rFonts w:ascii="Calibri" w:eastAsiaTheme="minorHAnsi" w:hAnsi="Calibri" w:cs="Calibri"/>
          <w:sz w:val="22"/>
          <w:szCs w:val="22"/>
          <w:lang w:eastAsia="en-US"/>
        </w:rPr>
        <w:t xml:space="preserve">builds on </w:t>
      </w:r>
      <w:r w:rsidR="00B265C9" w:rsidRPr="00BC7A12">
        <w:rPr>
          <w:rFonts w:ascii="Calibri" w:eastAsiaTheme="minorHAnsi" w:hAnsi="Calibri" w:cs="Calibri"/>
          <w:sz w:val="22"/>
          <w:szCs w:val="22"/>
          <w:lang w:eastAsia="en-US"/>
        </w:rPr>
        <w:t>previous Australia</w:t>
      </w:r>
      <w:r w:rsidR="0033715C" w:rsidRPr="00BC7A12">
        <w:rPr>
          <w:rFonts w:ascii="Calibri" w:eastAsiaTheme="minorHAnsi" w:hAnsi="Calibri" w:cs="Calibri"/>
          <w:sz w:val="22"/>
          <w:szCs w:val="22"/>
          <w:lang w:eastAsia="en-US"/>
        </w:rPr>
        <w:t>n</w:t>
      </w:r>
      <w:r w:rsidR="00B265C9" w:rsidRPr="00BC7A12">
        <w:rPr>
          <w:rFonts w:ascii="Calibri" w:eastAsiaTheme="minorHAnsi" w:hAnsi="Calibri" w:cs="Calibri"/>
          <w:sz w:val="22"/>
          <w:szCs w:val="22"/>
          <w:lang w:eastAsia="en-US"/>
        </w:rPr>
        <w:t xml:space="preserve"> </w:t>
      </w:r>
      <w:r w:rsidR="00B265C9" w:rsidRPr="00BC7A12">
        <w:rPr>
          <w:rFonts w:ascii="Calibri" w:eastAsiaTheme="minorHAnsi" w:hAnsi="Calibri" w:cs="Calibri"/>
          <w:sz w:val="22"/>
          <w:szCs w:val="22"/>
          <w:lang w:eastAsia="en-US"/>
        </w:rPr>
        <w:fldChar w:fldCharType="begin" w:fldLock="1"/>
      </w:r>
      <w:r w:rsidR="00055726" w:rsidRPr="00BC7A12">
        <w:rPr>
          <w:rFonts w:ascii="Calibri" w:eastAsiaTheme="minorHAnsi" w:hAnsi="Calibri" w:cs="Calibri"/>
          <w:sz w:val="22"/>
          <w:szCs w:val="22"/>
          <w:lang w:eastAsia="en-US"/>
        </w:rPr>
        <w:instrText>ADDIN CSL_CITATION {"citationItems":[{"id":"ITEM-1","itemData":{"abstract":"Wetlands provide critical contributions to biodiversity and ecosystem function in Australia. In recent years there has been a move to identifying, scoping and understanding the ecosystem services attributable to wetlands. This is largely due to the multitude of values wetlands provide. Ecosystem goods (such as food) and services (such as waste assimilation) represent the benefits human populations derive, directly or indirectly, from ecosystem function attributable to wetlands. Based on the Millennium Ecosystem Assessment framework1, ecosystem services from wetlands can be categorised into four broad categories. The categories are: ? Provisioning services. These are essentially the products obtained from wetland ecosystems such as fresh water and fish for human consumption. ? Regulating services. These are essentially the benefits to humans attributable to the regulation of ecosystem processes such as water treatment and local climate regulation. ? Supporting services. These services underpin the production of all other ecosystem services such as nutrient cycling, water cycling, and provisioning of habitat. ? Cultural services. These are typically non-material benefits received by people from direct and indirect interactions with wetlands such as recreation, aesthetic values, spiritual benefits (e.g. Indigenous connections with wetlands) and enhancements in knowledge. 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 Ecosystem","author":[{"dropping-particle":"","family":"Whiteoak","given":"Kym","non-dropping-particle":"","parse-names":false,"suffix":""},{"dropping-particle":"","family":"Binney","given":"Jim","non-dropping-particle":"","parse-names":false,"suffix":""}],"id":"ITEM-1","issued":{"date-parts":[["2012"]]},"page":"79","title":"Literature Review of the Economic Value of Ecosystem Services that Wetlands Provide Final Report","type":"article-journal"},"uris":["http://www.mendeley.com/documents/?uuid=7e99e545-96ba-4efc-9fe3-974103ef1eed"]}],"mendeley":{"formattedCitation":"(Whiteoak &amp; Binney 2012)","plainTextFormattedCitation":"(Whiteoak &amp; Binney 2012)","previouslyFormattedCitation":"(Whiteoak &amp; Binney 2012)"},"properties":{"noteIndex":0},"schema":"https://github.com/citation-style-language/schema/raw/master/csl-citation.json"}</w:instrText>
      </w:r>
      <w:r w:rsidR="00B265C9" w:rsidRPr="00BC7A12">
        <w:rPr>
          <w:rFonts w:ascii="Calibri" w:eastAsiaTheme="minorHAnsi" w:hAnsi="Calibri" w:cs="Calibri"/>
          <w:sz w:val="22"/>
          <w:szCs w:val="22"/>
          <w:lang w:eastAsia="en-US"/>
        </w:rPr>
        <w:fldChar w:fldCharType="separate"/>
      </w:r>
      <w:r w:rsidR="00B265C9" w:rsidRPr="00BC7A12">
        <w:rPr>
          <w:rFonts w:ascii="Calibri" w:eastAsiaTheme="minorHAnsi" w:hAnsi="Calibri" w:cs="Calibri"/>
          <w:noProof/>
          <w:sz w:val="22"/>
          <w:szCs w:val="22"/>
          <w:lang w:eastAsia="en-US"/>
        </w:rPr>
        <w:t>(Whiteoak &amp; Binney 2012)</w:t>
      </w:r>
      <w:r w:rsidR="00B265C9" w:rsidRPr="00BC7A12">
        <w:rPr>
          <w:rFonts w:ascii="Calibri" w:eastAsiaTheme="minorHAnsi" w:hAnsi="Calibri" w:cs="Calibri"/>
          <w:sz w:val="22"/>
          <w:szCs w:val="22"/>
          <w:lang w:eastAsia="en-US"/>
        </w:rPr>
        <w:fldChar w:fldCharType="end"/>
      </w:r>
      <w:r w:rsidR="00B265C9" w:rsidRPr="00BC7A12">
        <w:rPr>
          <w:rFonts w:ascii="Calibri" w:eastAsiaTheme="minorHAnsi" w:hAnsi="Calibri" w:cs="Calibri"/>
          <w:sz w:val="22"/>
          <w:szCs w:val="22"/>
          <w:lang w:eastAsia="en-US"/>
        </w:rPr>
        <w:t xml:space="preserve"> and Ramsar</w:t>
      </w:r>
      <w:r w:rsidR="00055726" w:rsidRPr="00BC7A12">
        <w:rPr>
          <w:rFonts w:ascii="Calibri" w:eastAsiaTheme="minorHAnsi" w:hAnsi="Calibri" w:cs="Calibri"/>
          <w:sz w:val="22"/>
          <w:szCs w:val="22"/>
          <w:lang w:eastAsia="en-US"/>
        </w:rPr>
        <w:t xml:space="preserve">  </w:t>
      </w:r>
      <w:r w:rsidR="00055726" w:rsidRPr="00BC7A12">
        <w:rPr>
          <w:rFonts w:ascii="Calibri" w:eastAsiaTheme="minorHAnsi" w:hAnsi="Calibri" w:cs="Calibri"/>
          <w:sz w:val="22"/>
          <w:szCs w:val="22"/>
          <w:lang w:eastAsia="en-US"/>
        </w:rPr>
        <w:fldChar w:fldCharType="begin" w:fldLock="1"/>
      </w:r>
      <w:r w:rsidR="00A67137" w:rsidRPr="00BC7A12">
        <w:rPr>
          <w:rFonts w:ascii="Calibri" w:eastAsiaTheme="minorHAnsi" w:hAnsi="Calibri" w:cs="Calibri"/>
          <w:sz w:val="22"/>
          <w:szCs w:val="22"/>
          <w:lang w:eastAsia="en-US"/>
        </w:rPr>
        <w:instrText>ADDIN CSL_CITATION {"citationItems":[{"id":"ITEM-1","itemData":{"ISBN":"2-940073-21-X","abstract":"6.1 Introduction A range of valuation methods exist and have been applied to estimate the values of differ-ent ecosystem services. The methods and techniques reflect the extent to which the ser-vices provided by ecosystems touch on the welfare of society either as direct determinants of individuals' well-being (e.g., as consumer goods) or via production processes (e.g., as in-termediate goods). The aim here is to provide an overview of available valuation methods, to discuss their advantages and disadvantages, and to provide guidance on when to use which method. In doing so we do not aim to be comprehensive; extensive details of the un-derlying theory and on the actual practice of applying the valuation methods in practice, are provided in general texts, including Braden and Kolstad (1991), Freeman (2003), Bate-man et al. (2002), Mitchell and Carson (1989), Champ et al. (2003), Kanninen (2007) and Bockstael and McConnell (2006). A number of economic valuation methods have been developed to estimate the value of changes in ecosystem services. An important distinction is between market-based and non-market based valuation methods. Market based valuation means that existing market behaviour and market transactions are used as the basis for the valuation exercise. Eco-nomic values are derived from actual market prices for ecosystem services, both when they are used as inputs in production processes (production values) and when they provide di-rect outputs (consumption values). By observing how much of an ecosystem service is bought and sold at different prices, it is possible to infer directly how people value that good. Examples of market based methods are the use of direct market prices, net factor in-come and production function methods, and the calculation of replacement costs, defen-sive expenditures and avoided damage costs. Unfortunately, direct markets for many ecosystem goods and services do not exist, and direct market prices are missing. In these cases the changes in the supply and/or quality of ecosystem goods and services are often valued through indirect market valuation methods, also referred to as revealed preference methods. Revealed preference (RP) methods are based on actual consumer or producer behaviour and identify the ways in which a","author":[{"dropping-particle":"","family":"Barbier","given":"Edward B.","non-dropping-particle":"","parse-names":false,"suffix":""},{"dropping-particle":"","family":"Acreman","given":"Mike","non-dropping-particle":"","parse-names":false,"suffix":""},{"dropping-particle":"","family":"Knowler","given":"Dunkan","non-dropping-particle":"","parse-names":false,"suffix":""}],"id":"ITEM-1","issued":{"date-parts":[["1997"]]},"publisher-place":"Gland, Switzerland","title":"Economic Valuation of wetlands: a guide for policy makers and planners","type":"report"},"uris":["http://www.mendeley.com/documents/?uuid=4841083b-5816-4944-9c87-e085f7ad9d54"]}],"mendeley":{"formattedCitation":"(Barbier et al. 1997)","plainTextFormattedCitation":"(Barbier et al. 1997)","previouslyFormattedCitation":"(Barbier et al. 1997)"},"properties":{"noteIndex":0},"schema":"https://github.com/citation-style-language/schema/raw/master/csl-citation.json"}</w:instrText>
      </w:r>
      <w:r w:rsidR="00055726" w:rsidRPr="00BC7A12">
        <w:rPr>
          <w:rFonts w:ascii="Calibri" w:eastAsiaTheme="minorHAnsi" w:hAnsi="Calibri" w:cs="Calibri"/>
          <w:sz w:val="22"/>
          <w:szCs w:val="22"/>
          <w:lang w:eastAsia="en-US"/>
        </w:rPr>
        <w:fldChar w:fldCharType="separate"/>
      </w:r>
      <w:r w:rsidR="00055726" w:rsidRPr="00BC7A12">
        <w:rPr>
          <w:rFonts w:ascii="Calibri" w:eastAsiaTheme="minorHAnsi" w:hAnsi="Calibri" w:cs="Calibri"/>
          <w:noProof/>
          <w:sz w:val="22"/>
          <w:szCs w:val="22"/>
          <w:lang w:eastAsia="en-US"/>
        </w:rPr>
        <w:t>(Barbier et al. 1997)</w:t>
      </w:r>
      <w:r w:rsidR="00055726" w:rsidRPr="00BC7A12">
        <w:rPr>
          <w:rFonts w:ascii="Calibri" w:eastAsiaTheme="minorHAnsi" w:hAnsi="Calibri" w:cs="Calibri"/>
          <w:sz w:val="22"/>
          <w:szCs w:val="22"/>
          <w:lang w:eastAsia="en-US"/>
        </w:rPr>
        <w:fldChar w:fldCharType="end"/>
      </w:r>
      <w:r w:rsidR="00B265C9" w:rsidRPr="00BC7A12">
        <w:rPr>
          <w:rFonts w:ascii="Calibri" w:eastAsiaTheme="minorHAnsi" w:hAnsi="Calibri" w:cs="Calibri"/>
          <w:sz w:val="22"/>
          <w:szCs w:val="22"/>
          <w:lang w:eastAsia="en-US"/>
        </w:rPr>
        <w:t xml:space="preserve"> commissioned studies. </w:t>
      </w:r>
      <w:r w:rsidR="00055726" w:rsidRPr="00BC7A12">
        <w:rPr>
          <w:rFonts w:ascii="Calibri" w:eastAsiaTheme="minorHAnsi" w:hAnsi="Calibri" w:cs="Calibri"/>
          <w:sz w:val="22"/>
          <w:szCs w:val="22"/>
          <w:lang w:eastAsia="en-US"/>
        </w:rPr>
        <w:t>There are no new valuation techniques</w:t>
      </w:r>
      <w:r w:rsidR="00A31E49">
        <w:rPr>
          <w:rFonts w:ascii="Calibri" w:eastAsiaTheme="minorHAnsi" w:hAnsi="Calibri" w:cs="Calibri"/>
          <w:sz w:val="22"/>
          <w:szCs w:val="22"/>
          <w:lang w:eastAsia="en-US"/>
        </w:rPr>
        <w:t xml:space="preserve"> in conceptual terms</w:t>
      </w:r>
      <w:r w:rsidR="00E66D24" w:rsidRPr="00BC7A12">
        <w:rPr>
          <w:rFonts w:ascii="Calibri" w:eastAsiaTheme="minorHAnsi" w:hAnsi="Calibri" w:cs="Calibri"/>
          <w:sz w:val="22"/>
          <w:szCs w:val="22"/>
          <w:lang w:eastAsia="en-US"/>
        </w:rPr>
        <w:t>.</w:t>
      </w:r>
      <w:r w:rsidRPr="00BC7A12">
        <w:rPr>
          <w:rFonts w:ascii="Calibri" w:eastAsiaTheme="minorHAnsi" w:hAnsi="Calibri" w:cs="Calibri"/>
          <w:sz w:val="22"/>
          <w:szCs w:val="22"/>
          <w:lang w:eastAsia="en-US"/>
        </w:rPr>
        <w:t xml:space="preserve"> </w:t>
      </w:r>
      <w:r w:rsidR="00055726" w:rsidRPr="00BC7A12">
        <w:rPr>
          <w:rFonts w:ascii="Calibri" w:eastAsiaTheme="minorHAnsi" w:hAnsi="Calibri" w:cs="Calibri"/>
          <w:sz w:val="22"/>
          <w:szCs w:val="22"/>
          <w:lang w:eastAsia="en-US"/>
        </w:rPr>
        <w:t xml:space="preserve">However, </w:t>
      </w:r>
      <w:r w:rsidR="0033715C" w:rsidRPr="00BC7A12">
        <w:rPr>
          <w:rFonts w:ascii="Calibri" w:eastAsiaTheme="minorHAnsi" w:hAnsi="Calibri" w:cs="Calibri"/>
          <w:sz w:val="22"/>
          <w:szCs w:val="22"/>
          <w:lang w:eastAsia="en-US"/>
        </w:rPr>
        <w:t>the</w:t>
      </w:r>
      <w:r w:rsidR="00C30B25" w:rsidRPr="00BC7A12">
        <w:rPr>
          <w:rFonts w:ascii="Calibri" w:eastAsiaTheme="minorHAnsi" w:hAnsi="Calibri" w:cs="Calibri"/>
          <w:sz w:val="22"/>
          <w:szCs w:val="22"/>
          <w:lang w:eastAsia="en-US"/>
        </w:rPr>
        <w:t xml:space="preserve"> concepts and </w:t>
      </w:r>
      <w:r w:rsidR="0033715C" w:rsidRPr="00BC7A12">
        <w:rPr>
          <w:rFonts w:ascii="Calibri" w:eastAsiaTheme="minorHAnsi" w:hAnsi="Calibri" w:cs="Calibri"/>
          <w:sz w:val="22"/>
          <w:szCs w:val="22"/>
          <w:lang w:eastAsia="en-US"/>
        </w:rPr>
        <w:t>techniques</w:t>
      </w:r>
      <w:r w:rsidR="00A65867" w:rsidRPr="00BC7A12">
        <w:rPr>
          <w:rFonts w:ascii="Calibri" w:eastAsiaTheme="minorHAnsi" w:hAnsi="Calibri" w:cs="Calibri"/>
          <w:sz w:val="22"/>
          <w:szCs w:val="22"/>
          <w:lang w:eastAsia="en-US"/>
        </w:rPr>
        <w:t xml:space="preserve"> have</w:t>
      </w:r>
      <w:r w:rsidR="00055726" w:rsidRPr="00BC7A12">
        <w:rPr>
          <w:rFonts w:ascii="Calibri" w:eastAsiaTheme="minorHAnsi" w:hAnsi="Calibri" w:cs="Calibri"/>
          <w:sz w:val="22"/>
          <w:szCs w:val="22"/>
          <w:lang w:eastAsia="en-US"/>
        </w:rPr>
        <w:t xml:space="preserve"> been </w:t>
      </w:r>
      <w:r w:rsidR="00C30B25" w:rsidRPr="00BC7A12">
        <w:rPr>
          <w:rFonts w:ascii="Calibri" w:eastAsiaTheme="minorHAnsi" w:hAnsi="Calibri" w:cs="Calibri"/>
          <w:sz w:val="22"/>
          <w:szCs w:val="22"/>
          <w:lang w:eastAsia="en-US"/>
        </w:rPr>
        <w:t xml:space="preserve">progressively </w:t>
      </w:r>
      <w:r w:rsidR="00055726" w:rsidRPr="00BC7A12">
        <w:rPr>
          <w:rFonts w:ascii="Calibri" w:eastAsiaTheme="minorHAnsi" w:hAnsi="Calibri" w:cs="Calibri"/>
          <w:sz w:val="22"/>
          <w:szCs w:val="22"/>
          <w:lang w:eastAsia="en-US"/>
        </w:rPr>
        <w:t>refined</w:t>
      </w:r>
      <w:r w:rsidR="00C30B25" w:rsidRPr="00BC7A12">
        <w:rPr>
          <w:rFonts w:ascii="Calibri" w:eastAsiaTheme="minorHAnsi" w:hAnsi="Calibri" w:cs="Calibri"/>
          <w:sz w:val="22"/>
          <w:szCs w:val="22"/>
          <w:lang w:eastAsia="en-US"/>
        </w:rPr>
        <w:t xml:space="preserve"> since those reports </w:t>
      </w:r>
      <w:r w:rsidR="00046C12" w:rsidRPr="00BC7A12">
        <w:rPr>
          <w:rFonts w:ascii="Calibri" w:eastAsiaTheme="minorHAnsi" w:hAnsi="Calibri" w:cs="Calibri"/>
          <w:sz w:val="22"/>
          <w:szCs w:val="22"/>
          <w:lang w:eastAsia="en-US"/>
        </w:rPr>
        <w:t>were</w:t>
      </w:r>
      <w:r w:rsidR="00C30B25" w:rsidRPr="00BC7A12">
        <w:rPr>
          <w:rFonts w:ascii="Calibri" w:eastAsiaTheme="minorHAnsi" w:hAnsi="Calibri" w:cs="Calibri"/>
          <w:sz w:val="22"/>
          <w:szCs w:val="22"/>
          <w:lang w:eastAsia="en-US"/>
        </w:rPr>
        <w:t xml:space="preserve"> written, including through the development of international guidance on accounting for ecosystems</w:t>
      </w:r>
      <w:r w:rsidR="00055726" w:rsidRPr="00BC7A12">
        <w:rPr>
          <w:rFonts w:ascii="Calibri" w:eastAsiaTheme="minorHAnsi" w:hAnsi="Calibri" w:cs="Calibri"/>
          <w:sz w:val="22"/>
          <w:szCs w:val="22"/>
          <w:lang w:eastAsia="en-US"/>
        </w:rPr>
        <w:t xml:space="preserve"> </w:t>
      </w:r>
      <w:bookmarkEnd w:id="27"/>
      <w:r w:rsidR="006931D6" w:rsidRPr="00BC7A12">
        <w:rPr>
          <w:rFonts w:ascii="Calibri" w:eastAsiaTheme="minorHAnsi" w:hAnsi="Calibri" w:cs="Calibri"/>
          <w:sz w:val="22"/>
          <w:szCs w:val="22"/>
          <w:lang w:eastAsia="en-US"/>
        </w:rPr>
        <w:fldChar w:fldCharType="begin" w:fldLock="1"/>
      </w:r>
      <w:r w:rsidR="006931D6" w:rsidRPr="00BC7A12">
        <w:rPr>
          <w:rFonts w:ascii="Calibri" w:eastAsiaTheme="minorHAnsi" w:hAnsi="Calibri" w:cs="Calibri"/>
          <w:sz w:val="22"/>
          <w:szCs w:val="22"/>
          <w:lang w:eastAsia="en-US"/>
        </w:rPr>
        <w:instrText>ADDIN CSL_CITATION {"citationItems":[{"id":"ITEM-1","itemData":{"author":[{"dropping-particle":"","family":"United Nations","given":"","non-dropping-particle":"","parse-names":false,"suffix":""}],"id":"ITEM-1","issue":"December","issued":{"date-parts":[["2017"]]},"page":"145","title":"SEEA Experimental Ecosystem Accounting : Technical Recommendations","type":"article-journal"},"uris":["http://www.mendeley.com/documents/?uuid=d14b375f-01b9-4bb2-987a-b8fcf4a37221"]},{"id":"ITEM-2","itemData":{"author":[{"dropping-particle":"","family":"United Nations","given":"","non-dropping-particle":"","parse-names":false,"suffix":""},{"dropping-particle":"","family":"European Commission","given":"","non-dropping-particle":"","parse-names":false,"suffix":""},{"dropping-particle":"","family":"Food and Agriculture Organization of the United Nations","given":"","non-dropping-particle":"","parse-names":false,"suffix":""},{"dropping-particle":"","family":"International Monetary Fund","given":"","non-dropping-particle":"","parse-names":false,"suffix":""},{"dropping-particle":"","family":"Organisation for Economic Co-Operation and Development","given":"","non-dropping-particle":"","parse-names":false,"suffix":""},{"dropping-particle":"","family":"World Bank","given":"","non-dropping-particle":"","parse-names":false,"suffix":""}],"id":"ITEM-2","issued":{"date-parts":[["2014"]]},"publisher":"United Nations","publisher-place":"New York","title":"System of Environmental-Economic Accounting 2012 Experimental Ecosystem Accounting","type":"book"},"uris":["http://www.mendeley.com/documents/?uuid=e07e67bc-4fbb-330f-aa5f-dd0adda6d269"]},{"id":"ITEM-3","itemData":{"author":[{"dropping-particle":"","family":"United Nations","given":"","non-dropping-particle":"","parse-names":false,"suffix":""},{"dropping-particle":"","family":"European Commission","given":"","non-dropping-particle":"","parse-names":false,"suffix":""},{"dropping-particle":"","family":"Food and Agriculture Organization of the United Nations","given":"","non-dropping-particle":"","parse-names":false,"suffix":""},{"dropping-particle":"","family":"International Monetary Fund","given":"","non-dropping-particle":"","parse-names":false,"suffix":""},{"dropping-particle":"","family":"Organisation for Economic Co-Operation and Development","given":"","non-dropping-particle":"","parse-names":false,"suffix":""},{"dropping-particle":"","family":"World Bank","given":"","non-dropping-particle":"","parse-names":false,"suffix":""}],"id":"ITEM-3","issued":{"date-parts":[["2014"]]},"publisher":"United Nations","publisher-place":"New York","title":"System of Environmental-Economic Accounting 2012 Central Framework","type":"book"},"uris":["http://www.mendeley.com/documents/?uuid=41d1a8ec-2997-3d4a-9547-1fa45ad1e1a5"]}],"mendeley":{"formattedCitation":"(United Nations 2017, United Nations et al. 2014a, United Nations et al. 2014b)","plainTextFormattedCitation":"(United Nations 2017, United Nations et al. 2014a, United Nations et al. 2014b)","previouslyFormattedCitation":"(United Nations 2017, United Nations et al. 2014a, United Nations et al. 2014b)"},"properties":{"noteIndex":0},"schema":"https://github.com/citation-style-language/schema/raw/master/csl-citation.json"}</w:instrText>
      </w:r>
      <w:r w:rsidR="006931D6" w:rsidRPr="00BC7A12">
        <w:rPr>
          <w:rFonts w:ascii="Calibri" w:eastAsiaTheme="minorHAnsi" w:hAnsi="Calibri" w:cs="Calibri"/>
          <w:sz w:val="22"/>
          <w:szCs w:val="22"/>
          <w:lang w:eastAsia="en-US"/>
        </w:rPr>
        <w:fldChar w:fldCharType="separate"/>
      </w:r>
      <w:r w:rsidR="006931D6" w:rsidRPr="00BC7A12">
        <w:rPr>
          <w:rFonts w:ascii="Calibri" w:eastAsiaTheme="minorHAnsi" w:hAnsi="Calibri" w:cs="Calibri"/>
          <w:noProof/>
          <w:sz w:val="22"/>
          <w:szCs w:val="22"/>
          <w:lang w:eastAsia="en-US"/>
        </w:rPr>
        <w:t>(United Nations 2017, United Nations et al. 2014a, United Nations et al. 2014b)</w:t>
      </w:r>
      <w:r w:rsidR="006931D6" w:rsidRPr="00BC7A12">
        <w:rPr>
          <w:rFonts w:ascii="Calibri" w:eastAsiaTheme="minorHAnsi" w:hAnsi="Calibri" w:cs="Calibri"/>
          <w:sz w:val="22"/>
          <w:szCs w:val="22"/>
          <w:lang w:eastAsia="en-US"/>
        </w:rPr>
        <w:fldChar w:fldCharType="end"/>
      </w:r>
      <w:r w:rsidR="00165364" w:rsidRPr="00BC7A12">
        <w:rPr>
          <w:rFonts w:ascii="Calibri" w:eastAsiaTheme="minorHAnsi" w:hAnsi="Calibri" w:cs="Calibri"/>
          <w:sz w:val="22"/>
          <w:szCs w:val="22"/>
          <w:lang w:eastAsia="en-US"/>
        </w:rPr>
        <w:t>.</w:t>
      </w:r>
      <w:r w:rsidR="003C6293" w:rsidRPr="00BC7A12">
        <w:rPr>
          <w:rFonts w:ascii="Calibri" w:eastAsiaTheme="minorHAnsi" w:hAnsi="Calibri" w:cs="Calibri"/>
          <w:sz w:val="22"/>
          <w:szCs w:val="22"/>
          <w:lang w:eastAsia="en-US"/>
        </w:rPr>
        <w:t xml:space="preserve"> </w:t>
      </w:r>
      <w:r w:rsidRPr="00BC7A12">
        <w:rPr>
          <w:rFonts w:ascii="Calibri" w:eastAsiaTheme="minorHAnsi" w:hAnsi="Calibri" w:cs="Calibri"/>
          <w:sz w:val="22"/>
          <w:szCs w:val="22"/>
          <w:lang w:eastAsia="en-US"/>
        </w:rPr>
        <w:t xml:space="preserve">These </w:t>
      </w:r>
      <w:r w:rsidR="00C30B25" w:rsidRPr="00BC7A12">
        <w:rPr>
          <w:rFonts w:ascii="Calibri" w:eastAsiaTheme="minorHAnsi" w:hAnsi="Calibri" w:cs="Calibri"/>
          <w:sz w:val="22"/>
          <w:szCs w:val="22"/>
          <w:lang w:eastAsia="en-US"/>
        </w:rPr>
        <w:t xml:space="preserve">advances </w:t>
      </w:r>
      <w:r w:rsidRPr="00BC7A12">
        <w:rPr>
          <w:rFonts w:ascii="Calibri" w:eastAsiaTheme="minorHAnsi" w:hAnsi="Calibri" w:cs="Calibri"/>
          <w:sz w:val="22"/>
          <w:szCs w:val="22"/>
          <w:lang w:eastAsia="en-US"/>
        </w:rPr>
        <w:t xml:space="preserve">are reflected in </w:t>
      </w:r>
      <w:r w:rsidR="00A446DA" w:rsidRPr="00BC7A12">
        <w:rPr>
          <w:rFonts w:ascii="Calibri" w:eastAsiaTheme="minorHAnsi" w:hAnsi="Calibri" w:cs="Calibri"/>
          <w:sz w:val="22"/>
          <w:szCs w:val="22"/>
          <w:lang w:eastAsia="en-US"/>
        </w:rPr>
        <w:fldChar w:fldCharType="begin"/>
      </w:r>
      <w:r w:rsidR="00A446DA" w:rsidRPr="00BC7A12">
        <w:rPr>
          <w:rFonts w:ascii="Calibri" w:eastAsiaTheme="minorHAnsi" w:hAnsi="Calibri" w:cs="Calibri"/>
          <w:sz w:val="22"/>
          <w:szCs w:val="22"/>
          <w:lang w:eastAsia="en-US"/>
        </w:rPr>
        <w:instrText xml:space="preserve"> REF _Ref43034788 \h </w:instrText>
      </w:r>
      <w:r w:rsidR="00FD3388" w:rsidRPr="00BC7A12">
        <w:rPr>
          <w:rFonts w:ascii="Calibri" w:eastAsiaTheme="minorHAnsi" w:hAnsi="Calibri" w:cs="Calibri"/>
          <w:sz w:val="22"/>
          <w:szCs w:val="22"/>
          <w:lang w:eastAsia="en-US"/>
        </w:rPr>
        <w:instrText xml:space="preserve"> \* MERGEFORMAT </w:instrText>
      </w:r>
      <w:r w:rsidR="00A446DA" w:rsidRPr="00BC7A12">
        <w:rPr>
          <w:rFonts w:ascii="Calibri" w:eastAsiaTheme="minorHAnsi" w:hAnsi="Calibri" w:cs="Calibri"/>
          <w:sz w:val="22"/>
          <w:szCs w:val="22"/>
          <w:lang w:eastAsia="en-US"/>
        </w:rPr>
      </w:r>
      <w:r w:rsidR="00A446DA" w:rsidRPr="00BC7A12">
        <w:rPr>
          <w:rFonts w:ascii="Calibri" w:eastAsiaTheme="minorHAnsi" w:hAnsi="Calibri" w:cs="Calibri"/>
          <w:sz w:val="22"/>
          <w:szCs w:val="22"/>
          <w:lang w:eastAsia="en-US"/>
        </w:rPr>
        <w:fldChar w:fldCharType="separate"/>
      </w:r>
      <w:r w:rsidR="00657E34" w:rsidRPr="00657E34">
        <w:rPr>
          <w:rFonts w:ascii="Calibri" w:hAnsi="Calibri" w:cs="Calibri"/>
          <w:sz w:val="22"/>
          <w:szCs w:val="22"/>
        </w:rPr>
        <w:t xml:space="preserve">Figure </w:t>
      </w:r>
      <w:r w:rsidR="00657E34" w:rsidRPr="00657E34">
        <w:rPr>
          <w:rFonts w:ascii="Calibri" w:hAnsi="Calibri" w:cs="Calibri"/>
          <w:noProof/>
          <w:sz w:val="22"/>
          <w:szCs w:val="22"/>
        </w:rPr>
        <w:t>2</w:t>
      </w:r>
      <w:r w:rsidR="00A446DA" w:rsidRPr="00BC7A12">
        <w:rPr>
          <w:rFonts w:ascii="Calibri" w:eastAsiaTheme="minorHAnsi" w:hAnsi="Calibri" w:cs="Calibri"/>
          <w:sz w:val="22"/>
          <w:szCs w:val="22"/>
          <w:lang w:eastAsia="en-US"/>
        </w:rPr>
        <w:fldChar w:fldCharType="end"/>
      </w:r>
      <w:r w:rsidR="00322BDC" w:rsidRPr="00BC7A12">
        <w:rPr>
          <w:rFonts w:ascii="Calibri" w:eastAsiaTheme="minorHAnsi" w:hAnsi="Calibri" w:cs="Calibri"/>
          <w:sz w:val="22"/>
          <w:szCs w:val="22"/>
          <w:lang w:eastAsia="en-US"/>
        </w:rPr>
        <w:t>’s use of the final ecosystem services concept</w:t>
      </w:r>
      <w:r w:rsidR="00A446DA" w:rsidRPr="00BC7A12">
        <w:rPr>
          <w:rFonts w:ascii="Calibri" w:eastAsiaTheme="minorHAnsi" w:hAnsi="Calibri" w:cs="Calibri"/>
          <w:sz w:val="22"/>
          <w:szCs w:val="22"/>
          <w:lang w:eastAsia="en-US"/>
        </w:rPr>
        <w:t xml:space="preserve"> </w:t>
      </w:r>
      <w:r w:rsidRPr="00BC7A12">
        <w:rPr>
          <w:rFonts w:ascii="Calibri" w:eastAsiaTheme="minorHAnsi" w:hAnsi="Calibri" w:cs="Calibri"/>
          <w:sz w:val="22"/>
          <w:szCs w:val="22"/>
          <w:lang w:eastAsia="en-US"/>
        </w:rPr>
        <w:t xml:space="preserve">and </w:t>
      </w:r>
      <w:r w:rsidR="0033715C" w:rsidRPr="00BC7A12">
        <w:rPr>
          <w:rFonts w:ascii="Calibri" w:eastAsiaTheme="minorHAnsi" w:hAnsi="Calibri" w:cs="Calibri"/>
          <w:sz w:val="22"/>
          <w:szCs w:val="22"/>
          <w:lang w:eastAsia="en-US"/>
        </w:rPr>
        <w:t xml:space="preserve">are </w:t>
      </w:r>
      <w:r w:rsidR="006931D6" w:rsidRPr="00BC7A12">
        <w:rPr>
          <w:rFonts w:ascii="Calibri" w:eastAsiaTheme="minorHAnsi" w:hAnsi="Calibri" w:cs="Calibri"/>
          <w:sz w:val="22"/>
          <w:szCs w:val="22"/>
          <w:lang w:eastAsia="en-US"/>
        </w:rPr>
        <w:t>explained</w:t>
      </w:r>
      <w:r w:rsidRPr="00BC7A12">
        <w:rPr>
          <w:rFonts w:ascii="Calibri" w:eastAsiaTheme="minorHAnsi" w:hAnsi="Calibri" w:cs="Calibri"/>
          <w:sz w:val="22"/>
          <w:szCs w:val="22"/>
          <w:lang w:eastAsia="en-US"/>
        </w:rPr>
        <w:t xml:space="preserve"> </w:t>
      </w:r>
      <w:r w:rsidR="00A713B2" w:rsidRPr="00BC7A12">
        <w:rPr>
          <w:rFonts w:ascii="Calibri" w:eastAsiaTheme="minorHAnsi" w:hAnsi="Calibri" w:cs="Calibri"/>
          <w:sz w:val="22"/>
          <w:szCs w:val="22"/>
          <w:lang w:eastAsia="en-US"/>
        </w:rPr>
        <w:t xml:space="preserve">throughout </w:t>
      </w:r>
      <w:r w:rsidR="003C6293" w:rsidRPr="00BC7A12">
        <w:rPr>
          <w:rFonts w:ascii="Calibri" w:eastAsiaTheme="minorHAnsi" w:hAnsi="Calibri" w:cs="Calibri"/>
          <w:sz w:val="22"/>
          <w:szCs w:val="22"/>
          <w:lang w:eastAsia="en-US"/>
        </w:rPr>
        <w:t>this</w:t>
      </w:r>
      <w:r w:rsidRPr="00BC7A12">
        <w:rPr>
          <w:rFonts w:ascii="Calibri" w:eastAsiaTheme="minorHAnsi" w:hAnsi="Calibri" w:cs="Calibri"/>
          <w:sz w:val="22"/>
          <w:szCs w:val="22"/>
          <w:lang w:eastAsia="en-US"/>
        </w:rPr>
        <w:t xml:space="preserve"> report</w:t>
      </w:r>
      <w:r w:rsidR="00621FD5" w:rsidRPr="00BC7A12">
        <w:rPr>
          <w:rFonts w:ascii="Calibri" w:eastAsiaTheme="minorHAnsi" w:hAnsi="Calibri" w:cs="Calibri"/>
          <w:sz w:val="22"/>
          <w:szCs w:val="22"/>
          <w:lang w:eastAsia="en-US"/>
        </w:rPr>
        <w:t>.</w:t>
      </w:r>
      <w:r w:rsidR="00607C92" w:rsidRPr="00BC7A12">
        <w:rPr>
          <w:rFonts w:ascii="Calibri" w:eastAsiaTheme="minorHAnsi" w:hAnsi="Calibri" w:cs="Calibri"/>
          <w:sz w:val="22"/>
          <w:szCs w:val="22"/>
          <w:lang w:eastAsia="en-US"/>
        </w:rPr>
        <w:t xml:space="preserve"> </w:t>
      </w:r>
    </w:p>
    <w:p w14:paraId="28C835B5" w14:textId="06CFC35D" w:rsidR="00BC7091" w:rsidRPr="00BC7A12" w:rsidRDefault="00BC7091" w:rsidP="00BC7091">
      <w:pPr>
        <w:rPr>
          <w:rFonts w:cs="Calibri"/>
        </w:rPr>
      </w:pPr>
      <w:r w:rsidRPr="00BC7A12">
        <w:rPr>
          <w:rFonts w:cs="Calibri"/>
        </w:rPr>
        <w:t xml:space="preserve">To manage the breadth of the research, </w:t>
      </w:r>
      <w:r w:rsidR="00C30B25" w:rsidRPr="00BC7A12">
        <w:rPr>
          <w:rFonts w:cs="Calibri"/>
        </w:rPr>
        <w:t xml:space="preserve">the literature review of DRR valuation research </w:t>
      </w:r>
      <w:r w:rsidRPr="00BC7A12">
        <w:rPr>
          <w:rFonts w:cs="Calibri"/>
        </w:rPr>
        <w:t>was limited to studies from the past decade</w:t>
      </w:r>
      <w:r w:rsidR="00046C12" w:rsidRPr="00BC7A12">
        <w:rPr>
          <w:rFonts w:cs="Calibri"/>
        </w:rPr>
        <w:t xml:space="preserve">. A few studies were captured from </w:t>
      </w:r>
      <w:r w:rsidRPr="00BC7A12">
        <w:rPr>
          <w:rFonts w:cs="Calibri"/>
        </w:rPr>
        <w:t>earlier dates</w:t>
      </w:r>
      <w:r w:rsidR="00046C12" w:rsidRPr="00BC7A12">
        <w:rPr>
          <w:rFonts w:cs="Calibri"/>
        </w:rPr>
        <w:t xml:space="preserve"> because of they either demonstrated unique perspectives on valuations techniques or because of their prominence in the literature. </w:t>
      </w:r>
      <w:r w:rsidR="00C30B25" w:rsidRPr="00BC7A12">
        <w:rPr>
          <w:rFonts w:cs="Calibri"/>
        </w:rPr>
        <w:t>T</w:t>
      </w:r>
      <w:r w:rsidRPr="00BC7A12">
        <w:rPr>
          <w:rFonts w:cs="Calibri"/>
        </w:rPr>
        <w:t xml:space="preserve">he </w:t>
      </w:r>
      <w:r w:rsidR="00B5195B" w:rsidRPr="00BC7A12">
        <w:rPr>
          <w:rFonts w:cs="Calibri"/>
        </w:rPr>
        <w:t xml:space="preserve">total </w:t>
      </w:r>
      <w:r w:rsidRPr="00BC7A12">
        <w:rPr>
          <w:rFonts w:cs="Calibri"/>
        </w:rPr>
        <w:t xml:space="preserve">number </w:t>
      </w:r>
      <w:r w:rsidR="00B5195B" w:rsidRPr="00BC7A12">
        <w:rPr>
          <w:rFonts w:cs="Calibri"/>
        </w:rPr>
        <w:t>of studies captured</w:t>
      </w:r>
      <w:r w:rsidR="00AF3A89" w:rsidRPr="00BC7A12">
        <w:rPr>
          <w:rFonts w:cs="Calibri"/>
        </w:rPr>
        <w:t xml:space="preserve">, </w:t>
      </w:r>
      <w:r w:rsidR="00E2241E" w:rsidRPr="00BC7A12">
        <w:rPr>
          <w:rFonts w:cs="Calibri"/>
        </w:rPr>
        <w:t>59</w:t>
      </w:r>
      <w:r w:rsidR="00C35DE3">
        <w:rPr>
          <w:rFonts w:cs="Calibri"/>
        </w:rPr>
        <w:t>,</w:t>
      </w:r>
      <w:r w:rsidR="00621FD5" w:rsidRPr="00BC7A12">
        <w:rPr>
          <w:rFonts w:cs="Calibri"/>
        </w:rPr>
        <w:t xml:space="preserve"> was </w:t>
      </w:r>
      <w:proofErr w:type="gramStart"/>
      <w:r w:rsidRPr="00BC7A12">
        <w:rPr>
          <w:rFonts w:cs="Calibri"/>
        </w:rPr>
        <w:t>similar to</w:t>
      </w:r>
      <w:proofErr w:type="gramEnd"/>
      <w:r w:rsidRPr="00BC7A12">
        <w:rPr>
          <w:rFonts w:cs="Calibri"/>
        </w:rPr>
        <w:t xml:space="preserve"> other surveys of </w:t>
      </w:r>
      <w:r w:rsidR="00621FD5" w:rsidRPr="00BC7A12">
        <w:rPr>
          <w:rFonts w:cs="Calibri"/>
        </w:rPr>
        <w:t xml:space="preserve">the </w:t>
      </w:r>
      <w:r w:rsidRPr="00BC7A12">
        <w:rPr>
          <w:rFonts w:cs="Calibri"/>
        </w:rPr>
        <w:t>valuation literature.</w:t>
      </w:r>
      <w:r w:rsidR="00621FD5" w:rsidRPr="00BC7A12">
        <w:rPr>
          <w:rFonts w:cs="Calibri"/>
        </w:rPr>
        <w:t xml:space="preserve"> Two such studies identified 34 and 25 respectively </w:t>
      </w:r>
      <w:r w:rsidRPr="00BC7A12">
        <w:rPr>
          <w:rFonts w:cs="Calibri"/>
        </w:rPr>
        <w:fldChar w:fldCharType="begin" w:fldLock="1"/>
      </w:r>
      <w:r w:rsidR="00B15117" w:rsidRPr="00BC7A12">
        <w:rPr>
          <w:rFonts w:cs="Calibri"/>
        </w:rPr>
        <w:instrText>ADDIN CSL_CITATION {"citationItems":[{"id":"ITEM-1","itemData":{"DOI":"10.1007/s10640-005-3104-4","ISSN":"09246460","abstract":"Wetlands are highly productive ecosystems, providing a number of goods and services that are of value to people. The open-access nature and the public-good characteristics of wetlands often result in these regions being undervalued in decisions relating to their use and conservation. There is now a substantial literature on wetland valuation, including two meta-analyses that examine subsets of the available wetland valuation literature. We collected over 190 wetland valuation studies, providing 215 value observations, in order to present a more comprehensive meta-analysis of the valuation literature that includes tropical wetlands (e.g., mangroves), estimates from diverse valuation methodologies, and a broader range of wetland services (e.g., biodiversity value). We also aim for a more comprehensive geographical coverage. We find that socio-economic variables, such as income and population density, that are often omitted from such analyses are important in explaining wetland value. We also assess the prospects for using this analysis for out-of-sample value transfer, and find average transfer errors of 74%, with just under one-fifth of the transfers showing errors of 10% or less. © Springer 2006.","author":[{"dropping-particle":"","family":"Brander","given":"Luke M.","non-dropping-particle":"","parse-names":false,"suffix":""},{"dropping-particle":"","family":"Florax","given":"Raymond J.G.M.","non-dropping-particle":"","parse-names":false,"suffix":""},{"dropping-particle":"","family":"Vermaat","given":"Jan E.","non-dropping-particle":"","parse-names":false,"suffix":""}],"container-title":"Environmental and Resource Economics","id":"ITEM-1","issue":"2","issued":{"date-parts":[["2006"]]},"page":"223-250","title":"The empirics of wetland valuation: A comprehensive summary and a meta-analysis of the literature","type":"article-journal","volume":"33"},"uris":["http://www.mendeley.com/documents/?uuid=abaf2b7e-4bbe-4cc1-a1aa-73cd27172f6a"]},{"id":"ITEM-2","itemData":{"DOI":"10.1787/9789264085169-en","ISBN":"9789264085152","author":[{"dropping-particle":"","family":"Organisation for Economic Co-Operation and Development","given":"","non-dropping-particle":"","parse-names":false,"suffix":""}],"id":"ITEM-2","issued":{"date-parts":[["2018","6","25"]]},"number-of-pages":"40","publisher":"OECD","publisher-place":"Paris","title":"Cost-Benefit Analysis and the Environment","type":"book"},"uris":["http://www.mendeley.com/documents/?uuid=e9a27492-d317-457f-9b2d-9b3c84487068"]}],"mendeley":{"formattedCitation":"(Brander et al. 2006, Organisation for Economic Co-Operation and Development 2018)","plainTextFormattedCitation":"(Brander et al. 2006, Organisation for Economic Co-Operation and Development 2018)","previouslyFormattedCitation":"(Brander et al. 2006, Organisation for Economic Co-Operation and Development 2018)"},"properties":{"noteIndex":0},"schema":"https://github.com/citation-style-language/schema/raw/master/csl-citation.json"}</w:instrText>
      </w:r>
      <w:r w:rsidRPr="00BC7A12">
        <w:rPr>
          <w:rFonts w:cs="Calibri"/>
        </w:rPr>
        <w:fldChar w:fldCharType="separate"/>
      </w:r>
      <w:r w:rsidR="007D200F" w:rsidRPr="00BC7A12">
        <w:rPr>
          <w:rFonts w:cs="Calibri"/>
          <w:noProof/>
        </w:rPr>
        <w:t>(Brander et al. 2006, Organisation for Economic Co-Operation and Development 2018)</w:t>
      </w:r>
      <w:r w:rsidRPr="00BC7A12">
        <w:rPr>
          <w:rFonts w:cs="Calibri"/>
        </w:rPr>
        <w:fldChar w:fldCharType="end"/>
      </w:r>
      <w:r w:rsidR="0050194F" w:rsidRPr="00BC7A12">
        <w:rPr>
          <w:rFonts w:cs="Calibri"/>
        </w:rPr>
        <w:t>.</w:t>
      </w:r>
    </w:p>
    <w:p w14:paraId="4E22B3EF" w14:textId="0CBD184B" w:rsidR="008A2393" w:rsidRPr="00BC7A12" w:rsidRDefault="009639C5" w:rsidP="00997F8C">
      <w:pPr>
        <w:spacing w:after="200" w:line="276" w:lineRule="auto"/>
        <w:rPr>
          <w:rFonts w:cs="Calibri"/>
        </w:rPr>
      </w:pPr>
      <w:r w:rsidRPr="00BC7A12">
        <w:rPr>
          <w:rFonts w:cs="Calibri"/>
        </w:rPr>
        <w:t xml:space="preserve">This report focused on disaster risk reduction ecosystem services of coastal wetlands. Unless otherwise specified, reference to any part of this scope (i.e. DRR, </w:t>
      </w:r>
      <w:r w:rsidR="00D46ED3" w:rsidRPr="00BC7A12">
        <w:rPr>
          <w:rFonts w:cs="Calibri"/>
        </w:rPr>
        <w:t>ecosystem services</w:t>
      </w:r>
      <w:r w:rsidRPr="00BC7A12">
        <w:rPr>
          <w:rFonts w:cs="Calibri"/>
        </w:rPr>
        <w:t xml:space="preserve">, </w:t>
      </w:r>
      <w:r w:rsidR="00D46ED3" w:rsidRPr="00BC7A12">
        <w:rPr>
          <w:rFonts w:cs="Calibri"/>
        </w:rPr>
        <w:t>coastal wetlands</w:t>
      </w:r>
      <w:r w:rsidR="007D200F" w:rsidRPr="00BC7A12">
        <w:rPr>
          <w:rFonts w:cs="Calibri"/>
        </w:rPr>
        <w:t>, wetlands</w:t>
      </w:r>
      <w:r w:rsidRPr="00BC7A12">
        <w:rPr>
          <w:rFonts w:cs="Calibri"/>
        </w:rPr>
        <w:t xml:space="preserve">) should be considered as reflecting the entire </w:t>
      </w:r>
      <w:r w:rsidR="00F2559B" w:rsidRPr="00BC7A12">
        <w:rPr>
          <w:rFonts w:cs="Calibri"/>
        </w:rPr>
        <w:t>scope.</w:t>
      </w:r>
      <w:r w:rsidRPr="00BC7A12">
        <w:rPr>
          <w:rFonts w:cs="Calibri"/>
        </w:rPr>
        <w:t xml:space="preserve"> For example, mention of “ES valuation techniques” refers to </w:t>
      </w:r>
      <w:r w:rsidR="006931D6" w:rsidRPr="00BC7A12">
        <w:rPr>
          <w:rFonts w:cs="Calibri"/>
        </w:rPr>
        <w:t xml:space="preserve">only to ecosystem services </w:t>
      </w:r>
      <w:r w:rsidRPr="00BC7A12">
        <w:rPr>
          <w:rFonts w:cs="Calibri"/>
        </w:rPr>
        <w:t xml:space="preserve">valuation techniques from </w:t>
      </w:r>
      <w:r w:rsidR="00D46ED3" w:rsidRPr="00BC7A12">
        <w:rPr>
          <w:rFonts w:cs="Calibri"/>
        </w:rPr>
        <w:t xml:space="preserve">coastal wetlands </w:t>
      </w:r>
      <w:r w:rsidRPr="00BC7A12">
        <w:rPr>
          <w:rFonts w:cs="Calibri"/>
        </w:rPr>
        <w:t>related to DRR.</w:t>
      </w:r>
    </w:p>
    <w:p w14:paraId="63DCDF5B" w14:textId="2B71818C" w:rsidR="009639C5" w:rsidRPr="00BC7A12" w:rsidRDefault="009639C5">
      <w:pPr>
        <w:spacing w:after="200" w:line="276" w:lineRule="auto"/>
        <w:jc w:val="left"/>
        <w:rPr>
          <w:rFonts w:cs="Calibri"/>
        </w:rPr>
      </w:pPr>
      <w:r w:rsidRPr="00BC7A12">
        <w:rPr>
          <w:rFonts w:cs="Calibri"/>
        </w:rPr>
        <w:br w:type="page"/>
      </w:r>
    </w:p>
    <w:p w14:paraId="3E90D1C9" w14:textId="59C24181" w:rsidR="006469EA" w:rsidRPr="00BC7A12" w:rsidRDefault="00CC1246" w:rsidP="00F15176">
      <w:pPr>
        <w:pStyle w:val="Heading1"/>
        <w:rPr>
          <w:rFonts w:ascii="Calibri" w:hAnsi="Calibri" w:cs="Calibri"/>
        </w:rPr>
      </w:pPr>
      <w:bookmarkStart w:id="28" w:name="_Toc46822297"/>
      <w:r w:rsidRPr="00BC7A12">
        <w:rPr>
          <w:rFonts w:ascii="Calibri" w:hAnsi="Calibri" w:cs="Calibri"/>
        </w:rPr>
        <w:lastRenderedPageBreak/>
        <w:t>Global best practices</w:t>
      </w:r>
      <w:bookmarkEnd w:id="28"/>
      <w:r w:rsidRPr="00BC7A12">
        <w:rPr>
          <w:rFonts w:ascii="Calibri" w:hAnsi="Calibri" w:cs="Calibri"/>
        </w:rPr>
        <w:t xml:space="preserve"> </w:t>
      </w:r>
    </w:p>
    <w:p w14:paraId="52D4F68C" w14:textId="7C6CDC16" w:rsidR="00607C92" w:rsidRPr="00BC7A12" w:rsidRDefault="00C97AD1" w:rsidP="009D41C0">
      <w:pPr>
        <w:rPr>
          <w:rFonts w:cs="Calibri"/>
        </w:rPr>
      </w:pPr>
      <w:r w:rsidRPr="00BC7A12">
        <w:rPr>
          <w:rFonts w:cs="Calibri"/>
        </w:rPr>
        <w:t xml:space="preserve">The </w:t>
      </w:r>
      <w:r w:rsidR="00990BD3" w:rsidRPr="00BC7A12">
        <w:rPr>
          <w:rFonts w:cs="Calibri"/>
        </w:rPr>
        <w:t xml:space="preserve">global best practice in valuation of DRR ecosystem services </w:t>
      </w:r>
      <w:r w:rsidR="00EB1058" w:rsidRPr="00BC7A12">
        <w:rPr>
          <w:rFonts w:cs="Calibri"/>
        </w:rPr>
        <w:t>from coastal wetlands</w:t>
      </w:r>
      <w:r w:rsidR="00BB5F33" w:rsidRPr="00BC7A12">
        <w:rPr>
          <w:rFonts w:cs="Calibri"/>
        </w:rPr>
        <w:t xml:space="preserve"> </w:t>
      </w:r>
      <w:r w:rsidR="00607B75" w:rsidRPr="00BC7A12">
        <w:rPr>
          <w:rFonts w:cs="Calibri"/>
        </w:rPr>
        <w:t xml:space="preserve">is </w:t>
      </w:r>
      <w:r w:rsidR="00BB5F33" w:rsidRPr="00BC7A12">
        <w:rPr>
          <w:rFonts w:cs="Calibri"/>
        </w:rPr>
        <w:t xml:space="preserve">the use of </w:t>
      </w:r>
      <w:r w:rsidR="00607C92" w:rsidRPr="00BC7A12">
        <w:rPr>
          <w:rFonts w:cs="Calibri"/>
        </w:rPr>
        <w:t>“</w:t>
      </w:r>
      <w:r w:rsidR="00BB5F33" w:rsidRPr="00BC7A12">
        <w:rPr>
          <w:rFonts w:cs="Calibri"/>
        </w:rPr>
        <w:t xml:space="preserve">explicit local valuation </w:t>
      </w:r>
      <w:r w:rsidR="00880D68" w:rsidRPr="00BC7A12">
        <w:rPr>
          <w:rFonts w:cs="Calibri"/>
        </w:rPr>
        <w:t>approaches</w:t>
      </w:r>
      <w:r w:rsidR="00BB5F33" w:rsidRPr="00BC7A12">
        <w:rPr>
          <w:rFonts w:cs="Calibri"/>
        </w:rPr>
        <w:t>.</w:t>
      </w:r>
      <w:r w:rsidR="00607C92" w:rsidRPr="00BC7A12">
        <w:rPr>
          <w:rFonts w:cs="Calibri"/>
        </w:rPr>
        <w:t>”</w:t>
      </w:r>
      <w:r w:rsidR="00BB5F33" w:rsidRPr="00BC7A12">
        <w:rPr>
          <w:rFonts w:cs="Calibri"/>
        </w:rPr>
        <w:t xml:space="preserve"> </w:t>
      </w:r>
      <w:r w:rsidR="00607C92" w:rsidRPr="00BC7A12">
        <w:rPr>
          <w:rFonts w:cs="Calibri"/>
        </w:rPr>
        <w:t xml:space="preserve">Described below, these </w:t>
      </w:r>
      <w:r w:rsidR="00880D68" w:rsidRPr="00BC7A12">
        <w:rPr>
          <w:rFonts w:cs="Calibri"/>
        </w:rPr>
        <w:t xml:space="preserve">approaches </w:t>
      </w:r>
      <w:r w:rsidR="00BB5F33" w:rsidRPr="00BC7A12">
        <w:rPr>
          <w:rFonts w:cs="Calibri"/>
        </w:rPr>
        <w:t>are generally based on the expected damage function</w:t>
      </w:r>
      <w:r w:rsidR="00607C92" w:rsidRPr="00BC7A12">
        <w:rPr>
          <w:rFonts w:cs="Calibri"/>
        </w:rPr>
        <w:t xml:space="preserve"> valuation </w:t>
      </w:r>
      <w:proofErr w:type="gramStart"/>
      <w:r w:rsidR="00607C92" w:rsidRPr="00BC7A12">
        <w:rPr>
          <w:rFonts w:cs="Calibri"/>
        </w:rPr>
        <w:t>technique,</w:t>
      </w:r>
      <w:r w:rsidR="00BB5F33" w:rsidRPr="00BC7A12">
        <w:rPr>
          <w:rFonts w:cs="Calibri"/>
        </w:rPr>
        <w:t xml:space="preserve"> bu</w:t>
      </w:r>
      <w:r w:rsidR="002A5BE4" w:rsidRPr="00BC7A12">
        <w:rPr>
          <w:rFonts w:cs="Calibri"/>
        </w:rPr>
        <w:t>t</w:t>
      </w:r>
      <w:proofErr w:type="gramEnd"/>
      <w:r w:rsidR="00BB5F33" w:rsidRPr="00BC7A12">
        <w:rPr>
          <w:rFonts w:cs="Calibri"/>
        </w:rPr>
        <w:t xml:space="preserve"> </w:t>
      </w:r>
      <w:r w:rsidR="00607C92" w:rsidRPr="00BC7A12">
        <w:rPr>
          <w:rFonts w:cs="Calibri"/>
        </w:rPr>
        <w:t xml:space="preserve">are also </w:t>
      </w:r>
      <w:r w:rsidR="00BB5F33" w:rsidRPr="00BC7A12">
        <w:rPr>
          <w:rFonts w:cs="Calibri"/>
        </w:rPr>
        <w:t xml:space="preserve">combined </w:t>
      </w:r>
      <w:r w:rsidR="00607C92" w:rsidRPr="00BC7A12">
        <w:rPr>
          <w:rFonts w:cs="Calibri"/>
        </w:rPr>
        <w:t xml:space="preserve">with </w:t>
      </w:r>
      <w:r w:rsidR="00BB5F33" w:rsidRPr="00BC7A12">
        <w:rPr>
          <w:rFonts w:cs="Calibri"/>
        </w:rPr>
        <w:t xml:space="preserve">elements from production function and replacement costs techniques. Because </w:t>
      </w:r>
      <w:r w:rsidR="006931D6" w:rsidRPr="00BC7A12">
        <w:rPr>
          <w:rFonts w:cs="Calibri"/>
        </w:rPr>
        <w:t xml:space="preserve">explicit </w:t>
      </w:r>
      <w:r w:rsidR="00E2241E" w:rsidRPr="00BC7A12">
        <w:rPr>
          <w:rFonts w:cs="Calibri"/>
        </w:rPr>
        <w:t xml:space="preserve">local valuation </w:t>
      </w:r>
      <w:r w:rsidR="002C34FF" w:rsidRPr="00BC7A12">
        <w:rPr>
          <w:rFonts w:cs="Calibri"/>
        </w:rPr>
        <w:t>approaches</w:t>
      </w:r>
      <w:r w:rsidR="00BB5F33" w:rsidRPr="00BC7A12">
        <w:rPr>
          <w:rFonts w:cs="Calibri"/>
        </w:rPr>
        <w:t xml:space="preserve"> use smaller scale data (e.g. </w:t>
      </w:r>
      <w:r w:rsidR="00853C0B" w:rsidRPr="00BC7A12">
        <w:rPr>
          <w:rFonts w:cs="Calibri"/>
        </w:rPr>
        <w:t>three</w:t>
      </w:r>
      <w:r w:rsidR="00BB5F33" w:rsidRPr="00BC7A12">
        <w:rPr>
          <w:rFonts w:cs="Calibri"/>
        </w:rPr>
        <w:t xml:space="preserve"> met</w:t>
      </w:r>
      <w:r w:rsidR="006F653D">
        <w:rPr>
          <w:rFonts w:cs="Calibri"/>
        </w:rPr>
        <w:t>re</w:t>
      </w:r>
      <w:r w:rsidR="00BB5F33" w:rsidRPr="00BC7A12">
        <w:rPr>
          <w:rFonts w:cs="Calibri"/>
        </w:rPr>
        <w:t xml:space="preserve">, </w:t>
      </w:r>
      <w:r w:rsidR="00193381">
        <w:rPr>
          <w:rFonts w:cs="Calibri"/>
        </w:rPr>
        <w:t>twenty</w:t>
      </w:r>
      <w:r w:rsidR="00BB5F33" w:rsidRPr="00BC7A12">
        <w:rPr>
          <w:rFonts w:cs="Calibri"/>
        </w:rPr>
        <w:t xml:space="preserve"> met</w:t>
      </w:r>
      <w:r w:rsidR="006F653D">
        <w:rPr>
          <w:rFonts w:cs="Calibri"/>
        </w:rPr>
        <w:t>re</w:t>
      </w:r>
      <w:r w:rsidR="00BB5F33" w:rsidRPr="00BC7A12">
        <w:rPr>
          <w:rFonts w:cs="Calibri"/>
        </w:rPr>
        <w:t xml:space="preserve"> resolution)</w:t>
      </w:r>
      <w:r w:rsidR="00424C63" w:rsidRPr="00BC7A12">
        <w:rPr>
          <w:rFonts w:cs="Calibri"/>
        </w:rPr>
        <w:t>,</w:t>
      </w:r>
      <w:r w:rsidR="00BB5F33" w:rsidRPr="00BC7A12">
        <w:rPr>
          <w:rFonts w:cs="Calibri"/>
        </w:rPr>
        <w:t xml:space="preserve"> the results are better able to inform local decision making</w:t>
      </w:r>
      <w:r w:rsidR="00607C92" w:rsidRPr="00BC7A12">
        <w:rPr>
          <w:rFonts w:cs="Calibri"/>
        </w:rPr>
        <w:t>,</w:t>
      </w:r>
      <w:r w:rsidR="00BB5F33" w:rsidRPr="00BC7A12">
        <w:rPr>
          <w:rFonts w:cs="Calibri"/>
        </w:rPr>
        <w:t xml:space="preserve"> </w:t>
      </w:r>
      <w:r w:rsidR="00E2241E" w:rsidRPr="00BC7A12">
        <w:rPr>
          <w:rFonts w:cs="Calibri"/>
        </w:rPr>
        <w:t xml:space="preserve">the scale at which </w:t>
      </w:r>
      <w:r w:rsidR="00BB5F33" w:rsidRPr="00BC7A12">
        <w:rPr>
          <w:rFonts w:cs="Calibri"/>
        </w:rPr>
        <w:t>most coastal management decision are made.</w:t>
      </w:r>
    </w:p>
    <w:p w14:paraId="6D109EA2" w14:textId="31FD05D1" w:rsidR="00C97AD1" w:rsidRPr="00BC7A12" w:rsidRDefault="00BB5F33" w:rsidP="009D41C0">
      <w:pPr>
        <w:rPr>
          <w:rFonts w:cs="Calibri"/>
        </w:rPr>
      </w:pPr>
      <w:r w:rsidRPr="00BC7A12">
        <w:rPr>
          <w:rFonts w:cs="Calibri"/>
        </w:rPr>
        <w:t xml:space="preserve"> </w:t>
      </w:r>
    </w:p>
    <w:p w14:paraId="5F9357CD" w14:textId="4DE055D1" w:rsidR="00E66118" w:rsidRPr="00BC7A12" w:rsidRDefault="001C7E47" w:rsidP="009639C5">
      <w:pPr>
        <w:pStyle w:val="Heading2"/>
        <w:rPr>
          <w:rFonts w:cs="Calibri"/>
        </w:rPr>
      </w:pPr>
      <w:bookmarkStart w:id="29" w:name="_Ref44223258"/>
      <w:bookmarkStart w:id="30" w:name="_Toc46822298"/>
      <w:r w:rsidRPr="00BC7A12">
        <w:rPr>
          <w:rFonts w:cs="Calibri"/>
        </w:rPr>
        <w:t>Summary of v</w:t>
      </w:r>
      <w:r w:rsidR="00E66118" w:rsidRPr="00BC7A12">
        <w:rPr>
          <w:rFonts w:cs="Calibri"/>
        </w:rPr>
        <w:t>aluation techniques</w:t>
      </w:r>
      <w:bookmarkEnd w:id="29"/>
      <w:bookmarkEnd w:id="30"/>
      <w:r w:rsidR="00E66118" w:rsidRPr="00BC7A12">
        <w:rPr>
          <w:rFonts w:cs="Calibri"/>
        </w:rPr>
        <w:t xml:space="preserve"> </w:t>
      </w:r>
    </w:p>
    <w:p w14:paraId="0E3A353A" w14:textId="3BB53A18" w:rsidR="00607C92" w:rsidRPr="00BC7A12" w:rsidRDefault="00607C92" w:rsidP="00607C92">
      <w:pPr>
        <w:rPr>
          <w:rFonts w:cs="Calibri"/>
        </w:rPr>
      </w:pPr>
      <w:r w:rsidRPr="00BC7A12">
        <w:rPr>
          <w:rFonts w:cs="Calibri"/>
        </w:rPr>
        <w:t xml:space="preserve">Valuing DRR ecosystem services can be understood as measuring </w:t>
      </w:r>
      <w:r w:rsidR="005D7115" w:rsidRPr="00BC7A12">
        <w:rPr>
          <w:rFonts w:cs="Calibri"/>
        </w:rPr>
        <w:t xml:space="preserve">how the coastal wetland affects </w:t>
      </w:r>
      <w:r w:rsidRPr="00BC7A12">
        <w:rPr>
          <w:rFonts w:cs="Calibri"/>
        </w:rPr>
        <w:t xml:space="preserve">the </w:t>
      </w:r>
      <w:r w:rsidR="00154586" w:rsidRPr="00BC7A12">
        <w:rPr>
          <w:rFonts w:cs="Calibri"/>
        </w:rPr>
        <w:t xml:space="preserve">natural </w:t>
      </w:r>
      <w:r w:rsidRPr="00BC7A12">
        <w:rPr>
          <w:rFonts w:cs="Calibri"/>
        </w:rPr>
        <w:t>hazard and the impacts of</w:t>
      </w:r>
      <w:r w:rsidR="005D7115" w:rsidRPr="00BC7A12">
        <w:rPr>
          <w:rFonts w:cs="Calibri"/>
        </w:rPr>
        <w:t xml:space="preserve"> these </w:t>
      </w:r>
      <w:r w:rsidRPr="00BC7A12">
        <w:rPr>
          <w:rFonts w:cs="Calibri"/>
        </w:rPr>
        <w:t xml:space="preserve">hazard </w:t>
      </w:r>
      <w:r w:rsidR="00154586" w:rsidRPr="00BC7A12">
        <w:rPr>
          <w:rFonts w:cs="Calibri"/>
        </w:rPr>
        <w:t xml:space="preserve">on </w:t>
      </w:r>
      <w:r w:rsidRPr="00BC7A12">
        <w:rPr>
          <w:rFonts w:cs="Calibri"/>
        </w:rPr>
        <w:t>property. For example</w:t>
      </w:r>
      <w:r w:rsidR="00154586" w:rsidRPr="00BC7A12">
        <w:rPr>
          <w:rFonts w:cs="Calibri"/>
        </w:rPr>
        <w:t>, a</w:t>
      </w:r>
      <w:r w:rsidR="008C5858" w:rsidRPr="00BC7A12">
        <w:rPr>
          <w:rFonts w:cs="Calibri"/>
        </w:rPr>
        <w:t xml:space="preserve"> tropical storm’s ability to create flooding and strong winds represents the natural hazard</w:t>
      </w:r>
      <w:r w:rsidR="00A127F0" w:rsidRPr="00BC7A12">
        <w:rPr>
          <w:rFonts w:cs="Calibri"/>
        </w:rPr>
        <w:t xml:space="preserve">. The process of determining </w:t>
      </w:r>
      <w:r w:rsidR="00C91A1E" w:rsidRPr="00BC7A12">
        <w:rPr>
          <w:rFonts w:cs="Calibri"/>
        </w:rPr>
        <w:t xml:space="preserve">the direction, </w:t>
      </w:r>
      <w:proofErr w:type="gramStart"/>
      <w:r w:rsidR="00C91A1E" w:rsidRPr="00BC7A12">
        <w:rPr>
          <w:rFonts w:cs="Calibri"/>
        </w:rPr>
        <w:t>strength</w:t>
      </w:r>
      <w:proofErr w:type="gramEnd"/>
      <w:r w:rsidR="00C91A1E" w:rsidRPr="00BC7A12">
        <w:rPr>
          <w:rFonts w:cs="Calibri"/>
        </w:rPr>
        <w:t xml:space="preserve"> and related factors </w:t>
      </w:r>
      <w:r w:rsidR="005D7115" w:rsidRPr="00BC7A12">
        <w:rPr>
          <w:rFonts w:cs="Calibri"/>
        </w:rPr>
        <w:t xml:space="preserve">of where wind and waves will go is referred to as </w:t>
      </w:r>
      <w:r w:rsidR="00C91A1E" w:rsidRPr="00BC7A12">
        <w:rPr>
          <w:rFonts w:cs="Calibri"/>
        </w:rPr>
        <w:t xml:space="preserve">biophysical modelling. </w:t>
      </w:r>
      <w:r w:rsidR="00B14BA9" w:rsidRPr="00BC7A12">
        <w:rPr>
          <w:rFonts w:cs="Calibri"/>
        </w:rPr>
        <w:t xml:space="preserve">These biophysical </w:t>
      </w:r>
      <w:r w:rsidR="005D7115" w:rsidRPr="00BC7A12">
        <w:rPr>
          <w:rFonts w:cs="Calibri"/>
        </w:rPr>
        <w:t xml:space="preserve">factors </w:t>
      </w:r>
      <w:r w:rsidR="00B14BA9" w:rsidRPr="00BC7A12">
        <w:rPr>
          <w:rFonts w:cs="Calibri"/>
        </w:rPr>
        <w:t xml:space="preserve">can </w:t>
      </w:r>
      <w:r w:rsidR="005D7115" w:rsidRPr="00BC7A12">
        <w:rPr>
          <w:rFonts w:cs="Calibri"/>
        </w:rPr>
        <w:t>damage property through water damage or damage to physical structures. This economic modelling can be expressed in quantitative (e.g. 100 homes flooded 2 feet) or economic terms (e.g. AUD$1,000,000 of damage).</w:t>
      </w:r>
    </w:p>
    <w:p w14:paraId="2643B317" w14:textId="11BBBE27" w:rsidR="00607C92" w:rsidRPr="00BC7A12" w:rsidRDefault="005D7115" w:rsidP="005C24D6">
      <w:pPr>
        <w:rPr>
          <w:rFonts w:cs="Calibri"/>
        </w:rPr>
      </w:pPr>
      <w:r w:rsidRPr="00BC7A12">
        <w:rPr>
          <w:rFonts w:cs="Calibri"/>
        </w:rPr>
        <w:t xml:space="preserve">The DRR value of the coastal wetland is expressed </w:t>
      </w:r>
      <w:r w:rsidR="00476015" w:rsidRPr="00BC7A12">
        <w:rPr>
          <w:rFonts w:cs="Calibri"/>
        </w:rPr>
        <w:t xml:space="preserve">by how </w:t>
      </w:r>
      <w:r w:rsidRPr="00BC7A12">
        <w:rPr>
          <w:rFonts w:cs="Calibri"/>
        </w:rPr>
        <w:t>this biophysical-economic model</w:t>
      </w:r>
      <w:r w:rsidR="00476015" w:rsidRPr="00BC7A12">
        <w:rPr>
          <w:rFonts w:cs="Calibri"/>
        </w:rPr>
        <w:t xml:space="preserve"> changes </w:t>
      </w:r>
      <w:r w:rsidRPr="00BC7A12">
        <w:rPr>
          <w:rFonts w:cs="Calibri"/>
        </w:rPr>
        <w:t>with and without the wetland. Using the example above, the model may show that without the wetland the storm damage is AUD$1,5000,000. Therefore</w:t>
      </w:r>
      <w:r w:rsidR="00476015" w:rsidRPr="00BC7A12">
        <w:rPr>
          <w:rFonts w:cs="Calibri"/>
        </w:rPr>
        <w:t>,</w:t>
      </w:r>
      <w:r w:rsidRPr="00BC7A12">
        <w:rPr>
          <w:rFonts w:cs="Calibri"/>
        </w:rPr>
        <w:t xml:space="preserve"> the wetland provides AUD$500,000 of DRR ecosystem services from </w:t>
      </w:r>
      <w:r w:rsidR="00476015" w:rsidRPr="00BC7A12">
        <w:rPr>
          <w:rFonts w:cs="Calibri"/>
        </w:rPr>
        <w:t xml:space="preserve">this kind of storm. Because hazards vary in location, </w:t>
      </w:r>
      <w:proofErr w:type="gramStart"/>
      <w:r w:rsidR="00476015" w:rsidRPr="00BC7A12">
        <w:rPr>
          <w:rFonts w:cs="Calibri"/>
        </w:rPr>
        <w:t>intensity</w:t>
      </w:r>
      <w:proofErr w:type="gramEnd"/>
      <w:r w:rsidR="00476015" w:rsidRPr="00BC7A12">
        <w:rPr>
          <w:rFonts w:cs="Calibri"/>
        </w:rPr>
        <w:t xml:space="preserve"> and the </w:t>
      </w:r>
      <w:r w:rsidR="00C40ABD" w:rsidRPr="00BC7A12">
        <w:rPr>
          <w:rFonts w:cs="Calibri"/>
        </w:rPr>
        <w:t xml:space="preserve">impacts </w:t>
      </w:r>
      <w:r w:rsidR="00476015" w:rsidRPr="00BC7A12">
        <w:rPr>
          <w:rFonts w:cs="Calibri"/>
        </w:rPr>
        <w:t xml:space="preserve">they cause, average </w:t>
      </w:r>
      <w:r w:rsidR="00C40ABD" w:rsidRPr="00BC7A12">
        <w:rPr>
          <w:rFonts w:cs="Calibri"/>
        </w:rPr>
        <w:t xml:space="preserve">damage </w:t>
      </w:r>
      <w:r w:rsidR="00476015" w:rsidRPr="00BC7A12">
        <w:rPr>
          <w:rFonts w:cs="Calibri"/>
        </w:rPr>
        <w:t xml:space="preserve">or a range of </w:t>
      </w:r>
      <w:r w:rsidR="00C40ABD" w:rsidRPr="00BC7A12">
        <w:rPr>
          <w:rFonts w:cs="Calibri"/>
        </w:rPr>
        <w:t xml:space="preserve">likely damages </w:t>
      </w:r>
      <w:r w:rsidR="00476015" w:rsidRPr="00BC7A12">
        <w:rPr>
          <w:rFonts w:cs="Calibri"/>
        </w:rPr>
        <w:t>are often used</w:t>
      </w:r>
      <w:r w:rsidR="00C40ABD" w:rsidRPr="00BC7A12">
        <w:rPr>
          <w:rFonts w:cs="Calibri"/>
        </w:rPr>
        <w:t xml:space="preserve"> in valuations. </w:t>
      </w:r>
    </w:p>
    <w:p w14:paraId="6A7A93AA" w14:textId="138D78C0" w:rsidR="0040052F" w:rsidRPr="00BC7A12" w:rsidRDefault="0040052F" w:rsidP="005C24D6">
      <w:pPr>
        <w:rPr>
          <w:rFonts w:cs="Calibri"/>
        </w:rPr>
      </w:pPr>
      <w:r w:rsidRPr="00BC7A12">
        <w:rPr>
          <w:rFonts w:cs="Calibri"/>
        </w:rPr>
        <w:t xml:space="preserve">The major factors influencing the value of a coastal wetland are </w:t>
      </w:r>
      <w:r w:rsidR="006F57AE">
        <w:rPr>
          <w:rFonts w:cs="Calibri"/>
        </w:rPr>
        <w:t xml:space="preserve">frequency and severity of hazards, </w:t>
      </w:r>
      <w:r w:rsidRPr="00BC7A12">
        <w:rPr>
          <w:rFonts w:cs="Calibri"/>
        </w:rPr>
        <w:t xml:space="preserve">property values, wetland extent, wetland condition and wetland ecosystem type. </w:t>
      </w:r>
      <w:r w:rsidR="0021124F" w:rsidRPr="00BC7A12">
        <w:rPr>
          <w:rFonts w:cs="Calibri"/>
        </w:rPr>
        <w:t>The greater the property values</w:t>
      </w:r>
      <w:r w:rsidR="00E66948" w:rsidRPr="00BC7A12">
        <w:rPr>
          <w:rFonts w:cs="Calibri"/>
        </w:rPr>
        <w:t xml:space="preserve"> and wetland </w:t>
      </w:r>
      <w:r w:rsidR="0021124F" w:rsidRPr="00BC7A12">
        <w:rPr>
          <w:rFonts w:cs="Calibri"/>
        </w:rPr>
        <w:t>exten</w:t>
      </w:r>
      <w:r w:rsidR="00E66948" w:rsidRPr="00BC7A12">
        <w:rPr>
          <w:rFonts w:cs="Calibri"/>
        </w:rPr>
        <w:t xml:space="preserve">t </w:t>
      </w:r>
      <w:r w:rsidR="0021124F" w:rsidRPr="00BC7A12">
        <w:rPr>
          <w:rFonts w:cs="Calibri"/>
        </w:rPr>
        <w:t xml:space="preserve">and better the condition, the more valuable the wetland. In addition, some ecosystem types </w:t>
      </w:r>
      <w:r w:rsidR="00E66948" w:rsidRPr="00BC7A12">
        <w:rPr>
          <w:rFonts w:cs="Calibri"/>
        </w:rPr>
        <w:t xml:space="preserve">have biophysical properties that </w:t>
      </w:r>
      <w:r w:rsidR="0021124F" w:rsidRPr="00BC7A12">
        <w:rPr>
          <w:rFonts w:cs="Calibri"/>
        </w:rPr>
        <w:t xml:space="preserve">better </w:t>
      </w:r>
      <w:r w:rsidR="00E66948" w:rsidRPr="00BC7A12">
        <w:rPr>
          <w:rFonts w:cs="Calibri"/>
        </w:rPr>
        <w:t>protect human property than others.</w:t>
      </w:r>
      <w:r w:rsidR="0021124F" w:rsidRPr="00BC7A12">
        <w:rPr>
          <w:rFonts w:cs="Calibri"/>
        </w:rPr>
        <w:t xml:space="preserve"> </w:t>
      </w:r>
      <w:r w:rsidR="00E66948" w:rsidRPr="00BC7A12">
        <w:rPr>
          <w:rFonts w:cs="Calibri"/>
        </w:rPr>
        <w:t xml:space="preserve">For example, a saltmarsh will </w:t>
      </w:r>
      <w:r w:rsidR="0021124F" w:rsidRPr="00BC7A12">
        <w:rPr>
          <w:rFonts w:cs="Calibri"/>
        </w:rPr>
        <w:t>protect property better than a coral reef of</w:t>
      </w:r>
      <w:r w:rsidR="00E66948" w:rsidRPr="00BC7A12">
        <w:rPr>
          <w:rFonts w:cs="Calibri"/>
        </w:rPr>
        <w:t xml:space="preserve"> comparable</w:t>
      </w:r>
      <w:r w:rsidR="0021124F" w:rsidRPr="00BC7A12">
        <w:rPr>
          <w:rFonts w:cs="Calibri"/>
        </w:rPr>
        <w:t xml:space="preserve"> size, quality and location</w:t>
      </w:r>
      <w:r w:rsidR="00E66948" w:rsidRPr="00BC7A12">
        <w:rPr>
          <w:rFonts w:cs="Calibri"/>
        </w:rPr>
        <w:t xml:space="preserve"> </w:t>
      </w:r>
      <w:r w:rsidR="00E66948" w:rsidRPr="00BC7A12">
        <w:rPr>
          <w:rFonts w:cs="Calibri"/>
        </w:rPr>
        <w:fldChar w:fldCharType="begin" w:fldLock="1"/>
      </w:r>
      <w:r w:rsidR="00BA2A18" w:rsidRPr="00BC7A12">
        <w:rPr>
          <w:rFonts w:cs="Calibri"/>
        </w:rPr>
        <w:instrText>ADDIN CSL_CITATION {"citationItems":[{"id":"ITEM-1","itemData":{"DOI":"10.2112/1551-5036(2004)020[0435:FRAASP]2.0.CO;2","author":[{"dropping-particle":"","family":"Neumeier","given":"Urs","non-dropping-particle":"","parse-names":false,"suffix":""},{"dropping-particle":"","family":"Ciavola","given":"Paolo","non-dropping-particle":"","parse-names":false,"suffix":""}],"container-title":"Journal of Coastal Research","id":"ITEM-1","issue":"2","issued":{"date-parts":[["2004"]]},"page":"435-447","title":"Flow Resistance and Associated Sedimentary Processes in a Spartina maritima Salt-Marsh Article","type":"article-journal","volume":"20"},"uris":["http://www.mendeley.com/documents/?uuid=f4475556-5589-403f-b524-d28c0dd25a70"]}],"mendeley":{"formattedCitation":"(Neumeier &amp; Ciavola 2004)","plainTextFormattedCitation":"(Neumeier &amp; Ciavola 2004)","previouslyFormattedCitation":"(Neumeier &amp; Ciavola 2004)"},"properties":{"noteIndex":0},"schema":"https://github.com/citation-style-language/schema/raw/master/csl-citation.json"}</w:instrText>
      </w:r>
      <w:r w:rsidR="00E66948" w:rsidRPr="00BC7A12">
        <w:rPr>
          <w:rFonts w:cs="Calibri"/>
        </w:rPr>
        <w:fldChar w:fldCharType="separate"/>
      </w:r>
      <w:r w:rsidR="00E66948" w:rsidRPr="00BC7A12">
        <w:rPr>
          <w:rFonts w:cs="Calibri"/>
          <w:noProof/>
        </w:rPr>
        <w:t>(Neumeier &amp; Ciavola 2004)</w:t>
      </w:r>
      <w:r w:rsidR="00E66948" w:rsidRPr="00BC7A12">
        <w:rPr>
          <w:rFonts w:cs="Calibri"/>
        </w:rPr>
        <w:fldChar w:fldCharType="end"/>
      </w:r>
      <w:r w:rsidR="0021124F" w:rsidRPr="00BC7A12">
        <w:rPr>
          <w:rFonts w:cs="Calibri"/>
        </w:rPr>
        <w:t xml:space="preserve">.  </w:t>
      </w:r>
    </w:p>
    <w:p w14:paraId="1D3E7623" w14:textId="3884FC11" w:rsidR="00E0419E" w:rsidRPr="00BC7A12" w:rsidRDefault="00E64D5D" w:rsidP="005C24D6">
      <w:pPr>
        <w:rPr>
          <w:rFonts w:cs="Calibri"/>
        </w:rPr>
      </w:pPr>
      <w:r w:rsidRPr="00BC7A12">
        <w:rPr>
          <w:rFonts w:cs="Calibri"/>
        </w:rPr>
        <w:t xml:space="preserve">There are six DRR ecosystem service </w:t>
      </w:r>
      <w:r w:rsidR="00C40ABD" w:rsidRPr="00BC7A12">
        <w:rPr>
          <w:rFonts w:cs="Calibri"/>
        </w:rPr>
        <w:t xml:space="preserve">valuation techniques used </w:t>
      </w:r>
      <w:r w:rsidR="00C550B8" w:rsidRPr="00BC7A12">
        <w:rPr>
          <w:rFonts w:cs="Calibri"/>
        </w:rPr>
        <w:t>for coastal wetlands</w:t>
      </w:r>
      <w:r w:rsidR="00E0419E" w:rsidRPr="00BC7A12">
        <w:rPr>
          <w:rFonts w:cs="Calibri"/>
        </w:rPr>
        <w:t xml:space="preserve"> valuation. </w:t>
      </w:r>
      <w:r w:rsidR="00C34C5F" w:rsidRPr="00BC7A12">
        <w:rPr>
          <w:rFonts w:cs="Calibri"/>
        </w:rPr>
        <w:t xml:space="preserve">In general, the </w:t>
      </w:r>
      <w:r w:rsidR="00411174">
        <w:rPr>
          <w:rFonts w:cs="Calibri"/>
        </w:rPr>
        <w:t xml:space="preserve">more </w:t>
      </w:r>
      <w:r w:rsidR="00C34C5F" w:rsidRPr="00BC7A12">
        <w:rPr>
          <w:rFonts w:cs="Calibri"/>
        </w:rPr>
        <w:t xml:space="preserve">accurately </w:t>
      </w:r>
      <w:r w:rsidR="00411174">
        <w:rPr>
          <w:rFonts w:cs="Calibri"/>
        </w:rPr>
        <w:t xml:space="preserve">the </w:t>
      </w:r>
      <w:r w:rsidR="00C34C5F" w:rsidRPr="00BC7A12">
        <w:rPr>
          <w:rFonts w:cs="Calibri"/>
        </w:rPr>
        <w:t xml:space="preserve">technique models, the greater the data and expertise needed. The key techniques </w:t>
      </w:r>
      <w:r w:rsidR="00233365" w:rsidRPr="00BC7A12">
        <w:rPr>
          <w:rFonts w:cs="Calibri"/>
        </w:rPr>
        <w:t>include production function and cost</w:t>
      </w:r>
      <w:r w:rsidR="001C7E47" w:rsidRPr="00BC7A12">
        <w:rPr>
          <w:rFonts w:cs="Calibri"/>
        </w:rPr>
        <w:t>-</w:t>
      </w:r>
      <w:r w:rsidR="00A92049" w:rsidRPr="00BC7A12">
        <w:rPr>
          <w:rFonts w:cs="Calibri"/>
        </w:rPr>
        <w:t xml:space="preserve">based techniques, stated preference </w:t>
      </w:r>
      <w:r w:rsidR="00407165" w:rsidRPr="00BC7A12">
        <w:rPr>
          <w:rFonts w:cs="Calibri"/>
        </w:rPr>
        <w:t>techniques</w:t>
      </w:r>
      <w:r w:rsidR="00A92049" w:rsidRPr="00BC7A12">
        <w:rPr>
          <w:rFonts w:cs="Calibri"/>
        </w:rPr>
        <w:t xml:space="preserve"> and benefit transfers. </w:t>
      </w:r>
      <w:r w:rsidR="00407165" w:rsidRPr="00BC7A12">
        <w:rPr>
          <w:rFonts w:cs="Calibri"/>
        </w:rPr>
        <w:t>Each is described below</w:t>
      </w:r>
      <w:r w:rsidR="00723732" w:rsidRPr="00BC7A12">
        <w:rPr>
          <w:rFonts w:cs="Calibri"/>
        </w:rPr>
        <w:t xml:space="preserve"> and </w:t>
      </w:r>
      <w:r w:rsidR="00165364" w:rsidRPr="00BC7A12">
        <w:rPr>
          <w:rFonts w:cs="Calibri"/>
        </w:rPr>
        <w:t xml:space="preserve">summarised </w:t>
      </w:r>
      <w:r w:rsidR="00723732" w:rsidRPr="00BC7A12">
        <w:rPr>
          <w:rFonts w:cs="Calibri"/>
        </w:rPr>
        <w:t xml:space="preserve">in </w:t>
      </w:r>
      <w:r w:rsidR="00723732" w:rsidRPr="00BC7A12">
        <w:rPr>
          <w:rFonts w:cs="Calibri"/>
        </w:rPr>
        <w:fldChar w:fldCharType="begin"/>
      </w:r>
      <w:r w:rsidR="00723732" w:rsidRPr="00BC7A12">
        <w:rPr>
          <w:rFonts w:cs="Calibri"/>
        </w:rPr>
        <w:instrText xml:space="preserve"> REF _Ref43034682 \h </w:instrText>
      </w:r>
      <w:r w:rsidR="00BB5F33" w:rsidRPr="00BC7A12">
        <w:rPr>
          <w:rFonts w:cs="Calibri"/>
        </w:rPr>
        <w:instrText xml:space="preserve"> \* MERGEFORMAT </w:instrText>
      </w:r>
      <w:r w:rsidR="00723732" w:rsidRPr="00BC7A12">
        <w:rPr>
          <w:rFonts w:cs="Calibri"/>
        </w:rPr>
      </w:r>
      <w:r w:rsidR="00723732" w:rsidRPr="00BC7A12">
        <w:rPr>
          <w:rFonts w:cs="Calibri"/>
        </w:rPr>
        <w:fldChar w:fldCharType="separate"/>
      </w:r>
      <w:r w:rsidR="00657E34" w:rsidRPr="00BC7A12">
        <w:rPr>
          <w:rFonts w:cs="Calibri"/>
        </w:rPr>
        <w:t>Table</w:t>
      </w:r>
      <w:r w:rsidR="00657E34">
        <w:rPr>
          <w:rFonts w:cs="Calibri"/>
        </w:rPr>
        <w:t xml:space="preserve"> </w:t>
      </w:r>
      <w:r w:rsidR="00657E34" w:rsidRPr="00657E34">
        <w:rPr>
          <w:rFonts w:cs="Calibri"/>
          <w:noProof/>
        </w:rPr>
        <w:t>2</w:t>
      </w:r>
      <w:r w:rsidR="00723732" w:rsidRPr="00BC7A12">
        <w:rPr>
          <w:rFonts w:cs="Calibri"/>
        </w:rPr>
        <w:fldChar w:fldCharType="end"/>
      </w:r>
      <w:r w:rsidR="00794A7B" w:rsidRPr="00BC7A12">
        <w:rPr>
          <w:rFonts w:cs="Calibri"/>
        </w:rPr>
        <w:t xml:space="preserve">. Although not applied in any of the studies </w:t>
      </w:r>
      <w:r w:rsidR="006931D6" w:rsidRPr="00BC7A12">
        <w:rPr>
          <w:rFonts w:cs="Calibri"/>
        </w:rPr>
        <w:t>captured</w:t>
      </w:r>
      <w:r w:rsidR="00794A7B" w:rsidRPr="00BC7A12">
        <w:rPr>
          <w:rFonts w:cs="Calibri"/>
        </w:rPr>
        <w:t xml:space="preserve">, the </w:t>
      </w:r>
      <w:r w:rsidR="00990BD3" w:rsidRPr="00BC7A12">
        <w:rPr>
          <w:rFonts w:cs="Calibri"/>
        </w:rPr>
        <w:t>hedonic pricing technique</w:t>
      </w:r>
      <w:r w:rsidR="00794A7B" w:rsidRPr="00BC7A12">
        <w:rPr>
          <w:rFonts w:cs="Calibri"/>
        </w:rPr>
        <w:t xml:space="preserve"> can </w:t>
      </w:r>
      <w:r w:rsidR="006931D6" w:rsidRPr="00BC7A12">
        <w:rPr>
          <w:rFonts w:cs="Calibri"/>
        </w:rPr>
        <w:t>be effective</w:t>
      </w:r>
      <w:r w:rsidR="00794A7B" w:rsidRPr="00BC7A12">
        <w:rPr>
          <w:rFonts w:cs="Calibri"/>
        </w:rPr>
        <w:t xml:space="preserve"> and is </w:t>
      </w:r>
      <w:r w:rsidR="00411174">
        <w:rPr>
          <w:rFonts w:cs="Calibri"/>
        </w:rPr>
        <w:t xml:space="preserve">also </w:t>
      </w:r>
      <w:r w:rsidR="006931D6" w:rsidRPr="00BC7A12">
        <w:rPr>
          <w:rFonts w:cs="Calibri"/>
        </w:rPr>
        <w:t xml:space="preserve">described below. </w:t>
      </w:r>
    </w:p>
    <w:p w14:paraId="345009CC" w14:textId="2D1E57AF" w:rsidR="00374C28" w:rsidRPr="00BC7A12" w:rsidRDefault="006931D6" w:rsidP="005C24D6">
      <w:pPr>
        <w:rPr>
          <w:rFonts w:cs="Calibri"/>
        </w:rPr>
      </w:pPr>
      <w:r w:rsidRPr="00BC7A12">
        <w:rPr>
          <w:rFonts w:cs="Calibri"/>
        </w:rPr>
        <w:t>D</w:t>
      </w:r>
      <w:r w:rsidR="000073B5" w:rsidRPr="00BC7A12">
        <w:rPr>
          <w:rFonts w:cs="Calibri"/>
        </w:rPr>
        <w:t xml:space="preserve">etails </w:t>
      </w:r>
      <w:r w:rsidR="00990BD3" w:rsidRPr="00BC7A12">
        <w:rPr>
          <w:rFonts w:cs="Calibri"/>
        </w:rPr>
        <w:t xml:space="preserve">on these </w:t>
      </w:r>
      <w:r w:rsidR="00794A7B" w:rsidRPr="00BC7A12">
        <w:rPr>
          <w:rFonts w:cs="Calibri"/>
        </w:rPr>
        <w:t xml:space="preserve">valuation </w:t>
      </w:r>
      <w:r w:rsidR="00990BD3" w:rsidRPr="00BC7A12">
        <w:rPr>
          <w:rFonts w:cs="Calibri"/>
        </w:rPr>
        <w:t xml:space="preserve">techniques </w:t>
      </w:r>
      <w:r w:rsidR="000073B5" w:rsidRPr="00BC7A12">
        <w:rPr>
          <w:rFonts w:cs="Calibri"/>
        </w:rPr>
        <w:t xml:space="preserve">are available </w:t>
      </w:r>
      <w:r w:rsidR="00E0419E" w:rsidRPr="00BC7A12">
        <w:rPr>
          <w:rFonts w:cs="Calibri"/>
        </w:rPr>
        <w:t xml:space="preserve">in studies commissioned by the Australian </w:t>
      </w:r>
      <w:r w:rsidR="00AB5EB8" w:rsidRPr="00BC7A12">
        <w:rPr>
          <w:rFonts w:cs="Calibri"/>
        </w:rPr>
        <w:t>government</w:t>
      </w:r>
      <w:r w:rsidR="00B03BCC" w:rsidRPr="00BC7A12">
        <w:rPr>
          <w:rFonts w:cs="Calibri"/>
        </w:rPr>
        <w:t xml:space="preserve"> </w:t>
      </w:r>
      <w:r w:rsidR="00C46168" w:rsidRPr="00BC7A12">
        <w:rPr>
          <w:rFonts w:cs="Calibri"/>
        </w:rPr>
        <w:t xml:space="preserve">and the Ramsar </w:t>
      </w:r>
      <w:r w:rsidR="00E66D24" w:rsidRPr="00BC7A12">
        <w:rPr>
          <w:rFonts w:cs="Calibri"/>
        </w:rPr>
        <w:t xml:space="preserve">Secretariat </w:t>
      </w:r>
      <w:r w:rsidR="00AB5EB8" w:rsidRPr="00BC7A12">
        <w:rPr>
          <w:rFonts w:cs="Calibri"/>
        </w:rPr>
        <w:fldChar w:fldCharType="begin" w:fldLock="1"/>
      </w:r>
      <w:r w:rsidR="004D0C41" w:rsidRPr="00BC7A12">
        <w:rPr>
          <w:rFonts w:cs="Calibri"/>
        </w:rPr>
        <w:instrText>ADDIN CSL_CITATION {"citationItems":[{"id":"ITEM-1","itemData":{"abstract":"Wetlands provide critical contributions to biodiversity and ecosystem function in Australia. In recent years there has been a move to identifying, scoping and understanding the ecosystem services attributable to wetlands. This is largely due to the multitude of values wetlands provide. Ecosystem goods (such as food) and services (such as waste assimilation) represent the benefits human populations derive, directly or indirectly, from ecosystem function attributable to wetlands. Based on the Millennium Ecosystem Assessment framework1, ecosystem services from wetlands can be categorised into four broad categories. The categories are: ? Provisioning services. These are essentially the products obtained from wetland ecosystems such as fresh water and fish for human consumption. ? Regulating services. These are essentially the benefits to humans attributable to the regulation of ecosystem processes such as water treatment and local climate regulation. ? Supporting services. These services underpin the production of all other ecosystem services such as nutrient cycling, water cycling, and provisioning of habitat. ? Cultural services. These are typically non-material benefits received by people from direct and indirect interactions with wetlands such as recreation, aesthetic values, spiritual benefits (e.g. Indigenous connections with wetlands) and enhancements in knowledge. 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 Ecosystem","author":[{"dropping-particle":"","family":"Whiteoak","given":"Kym","non-dropping-particle":"","parse-names":false,"suffix":""},{"dropping-particle":"","family":"Binney","given":"Jim","non-dropping-particle":"","parse-names":false,"suffix":""}],"id":"ITEM-1","issued":{"date-parts":[["2012"]]},"page":"79","title":"Literature Review of the Economic Value of Ecosystem Services that Wetlands Provide Final Report","type":"article-journal"},"uris":["http://www.mendeley.com/documents/?uuid=7e99e545-96ba-4efc-9fe3-974103ef1eed"]},{"id":"ITEM-2","itemData":{"author":[{"dropping-particle":"","family":"Kirkpatrick","given":"Sally","non-dropping-particle":"","parse-names":false,"suffix":""}],"id":"ITEM-2","issued":{"date-parts":[["2011"]]},"page":"53","title":"The Economic Value of  Natural and Built Coastal  Assets  Part 1: Natural Coastal Assets. ACCARNSI discussion paper","type":"article-journal"},"uris":["http://www.mendeley.com/documents/?uuid=22382123-797e-4e56-945b-8ecb1db64995"]},{"id":"ITEM-3","itemData":{"ISBN":"2-940073-21-X","abstract":"6.1 Introduction A range of valuation methods exist and have been applied to estimate the values of differ-ent ecosystem services. The methods and techniques reflect the extent to which the ser-vices provided by ecosystems touch on the welfare of society either as direct determinants of individuals' well-being (e.g., as consumer goods) or via production processes (e.g., as in-termediate goods). The aim here is to provide an overview of available valuation methods, to discuss their advantages and disadvantages, and to provide guidance on when to use which method. In doing so we do not aim to be comprehensive; extensive details of the un-derlying theory and on the actual practice of applying the valuation methods in practice, are provided in general texts, including Braden and Kolstad (1991), Freeman (2003), Bate-man et al. (2002), Mitchell and Carson (1989), Champ et al. (2003), Kanninen (2007) and Bockstael and McConnell (2006). A number of economic valuation methods have been developed to estimate the value of changes in ecosystem services. An important distinction is between market-based and non-market based valuation methods. Market based valuation means that existing market behaviour and market transactions are used as the basis for the valuation exercise. Eco-nomic values are derived from actual market prices for ecosystem services, both when they are used as inputs in production processes (production values) and when they provide di-rect outputs (consumption values). By observing how much of an ecosystem service is bought and sold at different prices, it is possible to infer directly how people value that good. Examples of market based methods are the use of direct market prices, net factor in-come and production function methods, and the calculation of replacement costs, defen-sive expenditures and avoided damage costs. Unfortunately, direct markets for many ecosystem goods and services do not exist, and direct market prices are missing. In these cases the changes in the supply and/or quality of ecosystem goods and services are often valued through indirect market valuation methods, also referred to as revealed preference methods. Revealed preference (RP) methods are based on actual consumer or producer behaviour and identify the ways in which a","author":[{"dropping-particle":"","family":"Barbier","given":"Edward B.","non-dropping-particle":"","parse-names":false,"suffix":""},{"dropping-particle":"","family":"Acreman","given":"Mike","non-dropping-particle":"","parse-names":false,"suffix":""},{"dropping-particle":"","family":"Knowler","given":"Dunkan","non-dropping-particle":"","parse-names":false,"suffix":""}],"id":"ITEM-3","issued":{"date-parts":[["1997"]]},"publisher-place":"Gland, Switzerland","title":"Economic Valuation of wetlands: a guide for policy makers and planners","type":"report"},"uris":["http://www.mendeley.com/documents/?uuid=4841083b-5816-4944-9c87-e085f7ad9d54"]}],"mendeley":{"formattedCitation":"(Whiteoak &amp; Binney 2012, Kirkpatrick 2011, Barbier et al. 1997)","plainTextFormattedCitation":"(Whiteoak &amp; Binney 2012, Kirkpatrick 2011, Barbier et al. 1997)","previouslyFormattedCitation":"(Whiteoak &amp; Binney 2012, Kirkpatrick 2011, Barbier et al. 1997)"},"properties":{"noteIndex":0},"schema":"https://github.com/citation-style-language/schema/raw/master/csl-citation.json"}</w:instrText>
      </w:r>
      <w:r w:rsidR="00AB5EB8" w:rsidRPr="00BC7A12">
        <w:rPr>
          <w:rFonts w:cs="Calibri"/>
        </w:rPr>
        <w:fldChar w:fldCharType="separate"/>
      </w:r>
      <w:r w:rsidR="00B03BCC" w:rsidRPr="00BC7A12">
        <w:rPr>
          <w:rFonts w:cs="Calibri"/>
          <w:noProof/>
        </w:rPr>
        <w:t>(Whiteoak &amp; Binney 2012, Kirkpatrick 2011, Barbier et al. 1997)</w:t>
      </w:r>
      <w:r w:rsidR="00AB5EB8" w:rsidRPr="00BC7A12">
        <w:rPr>
          <w:rFonts w:cs="Calibri"/>
        </w:rPr>
        <w:fldChar w:fldCharType="end"/>
      </w:r>
      <w:r w:rsidR="00165364" w:rsidRPr="00BC7A12">
        <w:rPr>
          <w:rFonts w:cs="Calibri"/>
        </w:rPr>
        <w:t>,</w:t>
      </w:r>
      <w:r w:rsidR="00AB5EB8" w:rsidRPr="00BC7A12">
        <w:rPr>
          <w:rFonts w:cs="Calibri"/>
        </w:rPr>
        <w:t xml:space="preserve"> </w:t>
      </w:r>
      <w:r w:rsidR="00BF0C8A" w:rsidRPr="00BC7A12">
        <w:rPr>
          <w:rFonts w:cs="Calibri"/>
        </w:rPr>
        <w:t xml:space="preserve">as well as </w:t>
      </w:r>
      <w:r w:rsidR="00794A7B" w:rsidRPr="00BC7A12">
        <w:rPr>
          <w:rFonts w:cs="Calibri"/>
        </w:rPr>
        <w:t>general environmental economic literature</w:t>
      </w:r>
      <w:r w:rsidRPr="00BC7A12">
        <w:rPr>
          <w:rFonts w:cs="Calibri"/>
        </w:rPr>
        <w:t xml:space="preserve"> </w:t>
      </w:r>
      <w:r w:rsidRPr="00BC7A12">
        <w:rPr>
          <w:rFonts w:cs="Calibri"/>
        </w:rPr>
        <w:fldChar w:fldCharType="begin" w:fldLock="1"/>
      </w:r>
      <w:r w:rsidR="00574999" w:rsidRPr="00BC7A12">
        <w:rPr>
          <w:rFonts w:cs="Calibri"/>
        </w:rPr>
        <w:instrText>ADDIN CSL_CITATION {"citationItems":[{"id":"ITEM-1","itemData":{"DOI":"10.4324/9780203141700","ISBN":"9780203141700","abstract":"The Economics of Ecosystems and Biodiversity (TEEB) is a global study, initiated by the G8 and five major developing economies and focusing on the global eco- nomic benefit of biological diversity, the costs of the loss of biodiversity and the failure to take protective measures versus the costs of effective conservation1 . TEEB makes the case for integrating the economics of biodiversity and ecosystem services in decision-making.","author":[{"dropping-particle":"","family":"Bishop","given":"Joshua","non-dropping-particle":"","parse-names":false,"suffix":""}],"container-title":"The Economics of Ecosystems and Biodiversity in Business and Enterprise","id":"ITEM-1","issued":{"date-parts":[["2013"]]},"title":"The economics of ecosystems and biodiversity in business and enterprise","type":"book"},"uris":["http://www.mendeley.com/documents/?uuid=ad8edc1c-307c-44c8-9fa0-b5a851a8bb35"]}],"mendeley":{"formattedCitation":"(Bishop 2013)","plainTextFormattedCitation":"(Bishop 2013)","previouslyFormattedCitation":"(Bishop 2013)"},"properties":{"noteIndex":0},"schema":"https://github.com/citation-style-language/schema/raw/master/csl-citation.json"}</w:instrText>
      </w:r>
      <w:r w:rsidRPr="00BC7A12">
        <w:rPr>
          <w:rFonts w:cs="Calibri"/>
        </w:rPr>
        <w:fldChar w:fldCharType="separate"/>
      </w:r>
      <w:r w:rsidRPr="00BC7A12">
        <w:rPr>
          <w:rFonts w:cs="Calibri"/>
          <w:noProof/>
        </w:rPr>
        <w:t>(Bishop 2013)</w:t>
      </w:r>
      <w:r w:rsidRPr="00BC7A12">
        <w:rPr>
          <w:rFonts w:cs="Calibri"/>
        </w:rPr>
        <w:fldChar w:fldCharType="end"/>
      </w:r>
      <w:r w:rsidRPr="00BC7A12">
        <w:rPr>
          <w:rFonts w:cs="Calibri"/>
        </w:rPr>
        <w:t>.</w:t>
      </w:r>
    </w:p>
    <w:p w14:paraId="28335F2D" w14:textId="7C0DC860" w:rsidR="006931D6" w:rsidRDefault="006931D6" w:rsidP="005C24D6">
      <w:pPr>
        <w:rPr>
          <w:rFonts w:cs="Calibri"/>
        </w:rPr>
      </w:pPr>
    </w:p>
    <w:p w14:paraId="37CD03BC" w14:textId="77777777" w:rsidR="0061297B" w:rsidRPr="00BC7A12" w:rsidRDefault="0061297B" w:rsidP="005C24D6">
      <w:pPr>
        <w:rPr>
          <w:rFonts w:cs="Calibri"/>
        </w:rPr>
      </w:pPr>
    </w:p>
    <w:p w14:paraId="39A2D09D" w14:textId="45F8D1BD" w:rsidR="008207E8" w:rsidRPr="00BC7A12" w:rsidRDefault="00C6148F" w:rsidP="00C6148F">
      <w:pPr>
        <w:pStyle w:val="Heading3"/>
        <w:rPr>
          <w:rFonts w:cs="Calibri"/>
        </w:rPr>
      </w:pPr>
      <w:bookmarkStart w:id="31" w:name="_Toc46822299"/>
      <w:r w:rsidRPr="00BC7A12">
        <w:rPr>
          <w:rFonts w:cs="Calibri"/>
        </w:rPr>
        <w:lastRenderedPageBreak/>
        <w:t xml:space="preserve">Production function </w:t>
      </w:r>
      <w:r w:rsidR="00794A7B" w:rsidRPr="00BC7A12">
        <w:rPr>
          <w:rFonts w:cs="Calibri"/>
        </w:rPr>
        <w:t>techniques</w:t>
      </w:r>
      <w:bookmarkEnd w:id="31"/>
    </w:p>
    <w:p w14:paraId="4BAEA85C" w14:textId="5CE709A5" w:rsidR="00C6148F" w:rsidRPr="00BC7A12" w:rsidRDefault="00C6148F" w:rsidP="00C6148F">
      <w:pPr>
        <w:rPr>
          <w:rFonts w:cs="Calibri"/>
        </w:rPr>
      </w:pPr>
      <w:r w:rsidRPr="00BC7A12">
        <w:rPr>
          <w:rFonts w:cs="Calibri"/>
        </w:rPr>
        <w:t>Production function</w:t>
      </w:r>
      <w:r w:rsidR="006A60B7" w:rsidRPr="00BC7A12">
        <w:rPr>
          <w:rFonts w:cs="Calibri"/>
        </w:rPr>
        <w:t xml:space="preserve"> or production change</w:t>
      </w:r>
      <w:r w:rsidRPr="00BC7A12">
        <w:rPr>
          <w:rFonts w:cs="Calibri"/>
        </w:rPr>
        <w:t xml:space="preserve"> </w:t>
      </w:r>
      <w:r w:rsidR="0083085F" w:rsidRPr="00BC7A12">
        <w:rPr>
          <w:rFonts w:cs="Calibri"/>
        </w:rPr>
        <w:t xml:space="preserve">valuation </w:t>
      </w:r>
      <w:r w:rsidRPr="00BC7A12">
        <w:rPr>
          <w:rFonts w:cs="Calibri"/>
        </w:rPr>
        <w:t xml:space="preserve">techniques </w:t>
      </w:r>
      <w:r w:rsidR="00CF02D6" w:rsidRPr="00BC7A12">
        <w:rPr>
          <w:rFonts w:cs="Calibri"/>
        </w:rPr>
        <w:t xml:space="preserve">are </w:t>
      </w:r>
      <w:r w:rsidR="00A911A9" w:rsidRPr="00BC7A12">
        <w:rPr>
          <w:rFonts w:cs="Calibri"/>
        </w:rPr>
        <w:t xml:space="preserve">biophysical and economic </w:t>
      </w:r>
      <w:r w:rsidR="00CF02D6" w:rsidRPr="00BC7A12">
        <w:rPr>
          <w:rFonts w:cs="Calibri"/>
        </w:rPr>
        <w:t xml:space="preserve">models </w:t>
      </w:r>
      <w:r w:rsidR="00D66D92" w:rsidRPr="00BC7A12">
        <w:rPr>
          <w:rFonts w:cs="Calibri"/>
        </w:rPr>
        <w:t xml:space="preserve">of how changes in </w:t>
      </w:r>
      <w:r w:rsidRPr="00BC7A12">
        <w:rPr>
          <w:rFonts w:cs="Calibri"/>
        </w:rPr>
        <w:t xml:space="preserve">ecosystem services impact economic activities. </w:t>
      </w:r>
      <w:r w:rsidR="00CF02D6" w:rsidRPr="00BC7A12">
        <w:rPr>
          <w:rFonts w:cs="Calibri"/>
        </w:rPr>
        <w:t>For example, the h</w:t>
      </w:r>
      <w:r w:rsidRPr="00BC7A12">
        <w:rPr>
          <w:rFonts w:cs="Calibri"/>
        </w:rPr>
        <w:t>arm caused by deteriorating wetland condition</w:t>
      </w:r>
      <w:r w:rsidR="00CF02D6" w:rsidRPr="00BC7A12">
        <w:rPr>
          <w:rFonts w:cs="Calibri"/>
        </w:rPr>
        <w:t xml:space="preserve">s </w:t>
      </w:r>
      <w:r w:rsidR="00C34C5F" w:rsidRPr="00BC7A12">
        <w:rPr>
          <w:rFonts w:cs="Calibri"/>
        </w:rPr>
        <w:t>on fish catch can be described mathematically</w:t>
      </w:r>
      <w:r w:rsidR="00CF02D6" w:rsidRPr="00BC7A12">
        <w:rPr>
          <w:rFonts w:cs="Calibri"/>
        </w:rPr>
        <w:t>.</w:t>
      </w:r>
      <w:r w:rsidR="00A911A9" w:rsidRPr="00BC7A12">
        <w:rPr>
          <w:rFonts w:cs="Calibri"/>
        </w:rPr>
        <w:t xml:space="preserve"> These techniques require </w:t>
      </w:r>
      <w:r w:rsidR="00CF02D6" w:rsidRPr="00BC7A12">
        <w:rPr>
          <w:rFonts w:cs="Calibri"/>
        </w:rPr>
        <w:t xml:space="preserve">extensive </w:t>
      </w:r>
      <w:r w:rsidRPr="00BC7A12">
        <w:rPr>
          <w:rFonts w:cs="Calibri"/>
        </w:rPr>
        <w:t>ecological</w:t>
      </w:r>
      <w:r w:rsidR="003822CC" w:rsidRPr="00BC7A12">
        <w:rPr>
          <w:rFonts w:cs="Calibri"/>
        </w:rPr>
        <w:t xml:space="preserve"> and economic data</w:t>
      </w:r>
      <w:r w:rsidR="00A911A9" w:rsidRPr="00BC7A12">
        <w:rPr>
          <w:rFonts w:cs="Calibri"/>
        </w:rPr>
        <w:t>, usually at the site level,</w:t>
      </w:r>
      <w:r w:rsidRPr="00BC7A12">
        <w:rPr>
          <w:rFonts w:cs="Calibri"/>
        </w:rPr>
        <w:t xml:space="preserve"> and </w:t>
      </w:r>
      <w:r w:rsidR="00A911A9" w:rsidRPr="00BC7A12">
        <w:rPr>
          <w:rFonts w:cs="Calibri"/>
        </w:rPr>
        <w:t xml:space="preserve">that </w:t>
      </w:r>
      <w:r w:rsidR="004D4BFC" w:rsidRPr="00BC7A12">
        <w:rPr>
          <w:rFonts w:cs="Calibri"/>
        </w:rPr>
        <w:t xml:space="preserve">the </w:t>
      </w:r>
      <w:r w:rsidRPr="00BC7A12">
        <w:rPr>
          <w:rFonts w:cs="Calibri"/>
        </w:rPr>
        <w:t xml:space="preserve">economic </w:t>
      </w:r>
      <w:r w:rsidR="00A911A9" w:rsidRPr="00BC7A12">
        <w:rPr>
          <w:rFonts w:cs="Calibri"/>
        </w:rPr>
        <w:t xml:space="preserve">and environmental </w:t>
      </w:r>
      <w:r w:rsidRPr="00BC7A12">
        <w:rPr>
          <w:rFonts w:cs="Calibri"/>
        </w:rPr>
        <w:t xml:space="preserve">relationships are </w:t>
      </w:r>
      <w:r w:rsidR="00A911A9" w:rsidRPr="00BC7A12">
        <w:rPr>
          <w:rFonts w:cs="Calibri"/>
        </w:rPr>
        <w:t xml:space="preserve">well </w:t>
      </w:r>
      <w:r w:rsidRPr="00BC7A12">
        <w:rPr>
          <w:rFonts w:cs="Calibri"/>
        </w:rPr>
        <w:t>understood</w:t>
      </w:r>
      <w:r w:rsidR="00A911A9" w:rsidRPr="00BC7A12">
        <w:rPr>
          <w:rFonts w:cs="Calibri"/>
        </w:rPr>
        <w:t xml:space="preserve">. </w:t>
      </w:r>
      <w:r w:rsidR="003822CC" w:rsidRPr="00BC7A12">
        <w:rPr>
          <w:rFonts w:cs="Calibri"/>
        </w:rPr>
        <w:t xml:space="preserve">They </w:t>
      </w:r>
      <w:r w:rsidR="00A911A9" w:rsidRPr="00BC7A12">
        <w:rPr>
          <w:rFonts w:cs="Calibri"/>
        </w:rPr>
        <w:t xml:space="preserve">are </w:t>
      </w:r>
      <w:r w:rsidR="003822CC" w:rsidRPr="00BC7A12">
        <w:rPr>
          <w:rFonts w:cs="Calibri"/>
        </w:rPr>
        <w:t xml:space="preserve">generally considered </w:t>
      </w:r>
      <w:r w:rsidR="00A911A9" w:rsidRPr="00BC7A12">
        <w:rPr>
          <w:rFonts w:cs="Calibri"/>
        </w:rPr>
        <w:t xml:space="preserve">more robust than techniques that </w:t>
      </w:r>
      <w:r w:rsidR="003822CC" w:rsidRPr="00BC7A12">
        <w:rPr>
          <w:rFonts w:cs="Calibri"/>
        </w:rPr>
        <w:t xml:space="preserve">statistically </w:t>
      </w:r>
      <w:r w:rsidR="00087A10" w:rsidRPr="00BC7A12">
        <w:rPr>
          <w:rFonts w:cs="Calibri"/>
        </w:rPr>
        <w:t>tease out these relationships</w:t>
      </w:r>
      <w:r w:rsidR="003822CC" w:rsidRPr="00BC7A12">
        <w:rPr>
          <w:rFonts w:cs="Calibri"/>
        </w:rPr>
        <w:t xml:space="preserve"> without site level data</w:t>
      </w:r>
      <w:r w:rsidR="00A911A9" w:rsidRPr="00BC7A12">
        <w:rPr>
          <w:rFonts w:cs="Calibri"/>
        </w:rPr>
        <w:t xml:space="preserve">. </w:t>
      </w:r>
    </w:p>
    <w:p w14:paraId="37652128" w14:textId="77777777" w:rsidR="00374C28" w:rsidRPr="00BC7A12" w:rsidRDefault="00374C28" w:rsidP="00C6148F">
      <w:pPr>
        <w:rPr>
          <w:rFonts w:cs="Calibri"/>
        </w:rPr>
      </w:pPr>
    </w:p>
    <w:p w14:paraId="1A9AF38F" w14:textId="1A24BEE1" w:rsidR="009D0190" w:rsidRPr="00BC7A12" w:rsidRDefault="006A60B7" w:rsidP="006A60B7">
      <w:pPr>
        <w:pStyle w:val="Heading3"/>
        <w:rPr>
          <w:rFonts w:cs="Calibri"/>
        </w:rPr>
      </w:pPr>
      <w:bookmarkStart w:id="32" w:name="_Ref43720166"/>
      <w:bookmarkStart w:id="33" w:name="_Ref43720173"/>
      <w:bookmarkStart w:id="34" w:name="_Toc46822300"/>
      <w:r w:rsidRPr="00BC7A12">
        <w:rPr>
          <w:rFonts w:cs="Calibri"/>
        </w:rPr>
        <w:t>Cost based</w:t>
      </w:r>
      <w:bookmarkEnd w:id="32"/>
      <w:bookmarkEnd w:id="33"/>
      <w:r w:rsidRPr="00BC7A12">
        <w:rPr>
          <w:rFonts w:cs="Calibri"/>
        </w:rPr>
        <w:t xml:space="preserve"> </w:t>
      </w:r>
      <w:r w:rsidR="00794A7B" w:rsidRPr="00BC7A12">
        <w:rPr>
          <w:rFonts w:cs="Calibri"/>
        </w:rPr>
        <w:t>techniques</w:t>
      </w:r>
      <w:bookmarkEnd w:id="34"/>
    </w:p>
    <w:p w14:paraId="27E0B501" w14:textId="355E1AD1" w:rsidR="009D0190" w:rsidRPr="00BC7A12" w:rsidRDefault="00A41F21" w:rsidP="00087A10">
      <w:pPr>
        <w:rPr>
          <w:rFonts w:cs="Calibri"/>
        </w:rPr>
      </w:pPr>
      <w:r w:rsidRPr="00BC7A12">
        <w:rPr>
          <w:rFonts w:cs="Calibri"/>
        </w:rPr>
        <w:t xml:space="preserve">Cost based </w:t>
      </w:r>
      <w:r w:rsidR="00EB201E" w:rsidRPr="00BC7A12">
        <w:rPr>
          <w:rFonts w:cs="Calibri"/>
        </w:rPr>
        <w:t xml:space="preserve">techniques rely on measuring changes in </w:t>
      </w:r>
      <w:r w:rsidRPr="00BC7A12">
        <w:rPr>
          <w:rFonts w:cs="Calibri"/>
        </w:rPr>
        <w:t xml:space="preserve">market values </w:t>
      </w:r>
      <w:r w:rsidR="00EB201E" w:rsidRPr="00BC7A12">
        <w:rPr>
          <w:rFonts w:cs="Calibri"/>
        </w:rPr>
        <w:t>resulting from changes in ecosystem services</w:t>
      </w:r>
      <w:r w:rsidR="006A60B7" w:rsidRPr="00BC7A12">
        <w:rPr>
          <w:rFonts w:cs="Calibri"/>
        </w:rPr>
        <w:t xml:space="preserve">. </w:t>
      </w:r>
      <w:r w:rsidR="003822CC" w:rsidRPr="00BC7A12">
        <w:rPr>
          <w:rFonts w:cs="Calibri"/>
        </w:rPr>
        <w:t>Two key group</w:t>
      </w:r>
      <w:r w:rsidR="00B27F57" w:rsidRPr="00BC7A12">
        <w:rPr>
          <w:rFonts w:cs="Calibri"/>
        </w:rPr>
        <w:t>s</w:t>
      </w:r>
      <w:r w:rsidR="00C34C5F" w:rsidRPr="00BC7A12">
        <w:rPr>
          <w:rFonts w:cs="Calibri"/>
        </w:rPr>
        <w:t xml:space="preserve"> </w:t>
      </w:r>
      <w:r w:rsidR="003822CC" w:rsidRPr="00BC7A12">
        <w:rPr>
          <w:rFonts w:cs="Calibri"/>
        </w:rPr>
        <w:t xml:space="preserve">are notable. </w:t>
      </w:r>
    </w:p>
    <w:p w14:paraId="618142DE" w14:textId="171F90E5" w:rsidR="00087A10" w:rsidRPr="00BC7A12" w:rsidRDefault="00087A10" w:rsidP="006A60B7">
      <w:pPr>
        <w:pStyle w:val="Heading4"/>
        <w:rPr>
          <w:rFonts w:ascii="Calibri" w:hAnsi="Calibri" w:cs="Calibri"/>
        </w:rPr>
      </w:pPr>
      <w:bookmarkStart w:id="35" w:name="_Ref43720136"/>
      <w:bookmarkStart w:id="36" w:name="_Toc46822301"/>
      <w:r w:rsidRPr="00BC7A12">
        <w:rPr>
          <w:rFonts w:ascii="Calibri" w:hAnsi="Calibri" w:cs="Calibri"/>
        </w:rPr>
        <w:t>Expected damage function (avoided cost)</w:t>
      </w:r>
      <w:bookmarkEnd w:id="35"/>
      <w:bookmarkEnd w:id="36"/>
      <w:r w:rsidRPr="00BC7A12">
        <w:rPr>
          <w:rFonts w:ascii="Calibri" w:hAnsi="Calibri" w:cs="Calibri"/>
        </w:rPr>
        <w:t xml:space="preserve"> </w:t>
      </w:r>
    </w:p>
    <w:p w14:paraId="5AC4CB75" w14:textId="5DDBF889" w:rsidR="00A734C6" w:rsidRPr="00BC7A12" w:rsidRDefault="007145DC" w:rsidP="007145DC">
      <w:pPr>
        <w:rPr>
          <w:rFonts w:cs="Calibri"/>
        </w:rPr>
      </w:pPr>
      <w:r w:rsidRPr="00BC7A12">
        <w:rPr>
          <w:rFonts w:cs="Calibri"/>
        </w:rPr>
        <w:t xml:space="preserve">Expected damage function (EDF) techniques </w:t>
      </w:r>
      <w:r w:rsidR="00087A10" w:rsidRPr="00BC7A12">
        <w:rPr>
          <w:rFonts w:cs="Calibri"/>
        </w:rPr>
        <w:t xml:space="preserve">estimate the value of the protective function of a wetland </w:t>
      </w:r>
      <w:r w:rsidR="003822CC" w:rsidRPr="00BC7A12">
        <w:rPr>
          <w:rFonts w:cs="Calibri"/>
        </w:rPr>
        <w:t>in</w:t>
      </w:r>
      <w:r w:rsidRPr="00BC7A12">
        <w:rPr>
          <w:rFonts w:cs="Calibri"/>
        </w:rPr>
        <w:t xml:space="preserve"> reduc</w:t>
      </w:r>
      <w:r w:rsidR="003822CC" w:rsidRPr="00BC7A12">
        <w:rPr>
          <w:rFonts w:cs="Calibri"/>
        </w:rPr>
        <w:t>ing</w:t>
      </w:r>
      <w:r w:rsidRPr="00BC7A12">
        <w:rPr>
          <w:rFonts w:cs="Calibri"/>
        </w:rPr>
        <w:t xml:space="preserve"> </w:t>
      </w:r>
      <w:r w:rsidR="00087A10" w:rsidRPr="00BC7A12">
        <w:rPr>
          <w:rFonts w:cs="Calibri"/>
        </w:rPr>
        <w:t>economic damage.</w:t>
      </w:r>
      <w:r w:rsidRPr="00BC7A12">
        <w:rPr>
          <w:rFonts w:cs="Calibri"/>
        </w:rPr>
        <w:t xml:space="preserve"> </w:t>
      </w:r>
      <w:r w:rsidR="003822CC" w:rsidRPr="00BC7A12">
        <w:rPr>
          <w:rFonts w:cs="Calibri"/>
        </w:rPr>
        <w:t xml:space="preserve">EDF </w:t>
      </w:r>
      <w:r w:rsidRPr="00BC7A12">
        <w:rPr>
          <w:rFonts w:cs="Calibri"/>
        </w:rPr>
        <w:t xml:space="preserve">has been used </w:t>
      </w:r>
      <w:r w:rsidR="00087A10" w:rsidRPr="00BC7A12">
        <w:rPr>
          <w:rFonts w:cs="Calibri"/>
        </w:rPr>
        <w:t>in risk assessment of airline safety performance, disease rates</w:t>
      </w:r>
      <w:r w:rsidRPr="00BC7A12">
        <w:rPr>
          <w:rFonts w:cs="Calibri"/>
        </w:rPr>
        <w:t xml:space="preserve"> </w:t>
      </w:r>
      <w:r w:rsidR="00087A10" w:rsidRPr="00BC7A12">
        <w:rPr>
          <w:rFonts w:cs="Calibri"/>
        </w:rPr>
        <w:t>and expected flood damage</w:t>
      </w:r>
      <w:r w:rsidR="00A83283" w:rsidRPr="00BC7A12">
        <w:rPr>
          <w:rFonts w:cs="Calibri"/>
        </w:rPr>
        <w:t xml:space="preserve"> </w:t>
      </w:r>
      <w:r w:rsidR="00A83283" w:rsidRPr="00BC7A12">
        <w:rPr>
          <w:rFonts w:cs="Calibri"/>
        </w:rPr>
        <w:fldChar w:fldCharType="begin" w:fldLock="1"/>
      </w:r>
      <w:r w:rsidR="00A83283" w:rsidRPr="00BC7A12">
        <w:rPr>
          <w:rFonts w:cs="Calibri"/>
        </w:rPr>
        <w:instrText>ADDIN CSL_CITATION {"citationItems":[{"id":"ITEM-1","itemData":{"abstract":"Wetlands provide critical contributions to biodiversity and ecosystem function in Australia. In recent years there has been a move to identifying, scoping and understanding the ecosystem services attributable to wetlands. This is largely due to the multitude of values wetlands provide. Ecosystem goods (such as food) and services (such as waste assimilation) represent the benefits human populations derive, directly or indirectly, from ecosystem function attributable to wetlands. Based on the Millennium Ecosystem Assessment framework1, ecosystem services from wetlands can be categorised into four broad categories. The categories are: ? Provisioning services. These are essentially the products obtained from wetland ecosystems such as fresh water and fish for human consumption. ? Regulating services. These are essentially the benefits to humans attributable to the regulation of ecosystem processes such as water treatment and local climate regulation. ? Supporting services. These services underpin the production of all other ecosystem services such as nutrient cycling, water cycling, and provisioning of habitat. ? Cultural services. These are typically non-material benefits received by people from direct and indirect interactions with wetlands such as recreation, aesthetic values, spiritual benefits (e.g. Indigenous connections with wetlands) and enhancements in knowledge. 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 Ecosystem","author":[{"dropping-particle":"","family":"Whiteoak","given":"Kym","non-dropping-particle":"","parse-names":false,"suffix":""},{"dropping-particle":"","family":"Binney","given":"Jim","non-dropping-particle":"","parse-names":false,"suffix":""}],"id":"ITEM-1","issued":{"date-parts":[["2012"]]},"page":"79","title":"Literature Review of the Economic Value of Ecosystem Services that Wetlands Provide Final Report","type":"article-journal"},"uris":["http://www.mendeley.com/documents/?uuid=7e99e545-96ba-4efc-9fe3-974103ef1eed"]}],"mendeley":{"formattedCitation":"(Whiteoak &amp; Binney 2012)","plainTextFormattedCitation":"(Whiteoak &amp; Binney 2012)","previouslyFormattedCitation":"(Whiteoak &amp; Binney 2012)"},"properties":{"noteIndex":0},"schema":"https://github.com/citation-style-language/schema/raw/master/csl-citation.json"}</w:instrText>
      </w:r>
      <w:r w:rsidR="00A83283" w:rsidRPr="00BC7A12">
        <w:rPr>
          <w:rFonts w:cs="Calibri"/>
        </w:rPr>
        <w:fldChar w:fldCharType="separate"/>
      </w:r>
      <w:r w:rsidR="00A83283" w:rsidRPr="00BC7A12">
        <w:rPr>
          <w:rFonts w:cs="Calibri"/>
          <w:noProof/>
        </w:rPr>
        <w:t>(Whiteoak &amp; Binney 2012)</w:t>
      </w:r>
      <w:r w:rsidR="00A83283" w:rsidRPr="00BC7A12">
        <w:rPr>
          <w:rFonts w:cs="Calibri"/>
        </w:rPr>
        <w:fldChar w:fldCharType="end"/>
      </w:r>
      <w:r w:rsidR="00087A10" w:rsidRPr="00BC7A12">
        <w:rPr>
          <w:rFonts w:cs="Calibri"/>
        </w:rPr>
        <w:t xml:space="preserve">. </w:t>
      </w:r>
      <w:r w:rsidR="003C38D8" w:rsidRPr="00BC7A12">
        <w:rPr>
          <w:rFonts w:cs="Calibri"/>
        </w:rPr>
        <w:t xml:space="preserve">The biophysical modelling </w:t>
      </w:r>
      <w:r w:rsidR="003822CC" w:rsidRPr="00BC7A12">
        <w:rPr>
          <w:rFonts w:cs="Calibri"/>
        </w:rPr>
        <w:t xml:space="preserve">component of EDF </w:t>
      </w:r>
      <w:r w:rsidR="003C38D8" w:rsidRPr="00BC7A12">
        <w:rPr>
          <w:rFonts w:cs="Calibri"/>
        </w:rPr>
        <w:t>is akin to production change techniques</w:t>
      </w:r>
      <w:r w:rsidR="00EE795D" w:rsidRPr="00BC7A12">
        <w:rPr>
          <w:rFonts w:cs="Calibri"/>
        </w:rPr>
        <w:t xml:space="preserve"> and two terms are interchangeable</w:t>
      </w:r>
      <w:r w:rsidR="003C38D8" w:rsidRPr="00BC7A12">
        <w:rPr>
          <w:rFonts w:cs="Calibri"/>
        </w:rPr>
        <w:t>.</w:t>
      </w:r>
      <w:r w:rsidR="003822CC" w:rsidRPr="00BC7A12">
        <w:rPr>
          <w:rFonts w:cs="Calibri"/>
        </w:rPr>
        <w:t xml:space="preserve"> </w:t>
      </w:r>
      <w:r w:rsidR="00E04BFC" w:rsidRPr="00BC7A12">
        <w:rPr>
          <w:rFonts w:cs="Calibri"/>
        </w:rPr>
        <w:t>Likewise, the economic modelling of EDF often uses replacement cost techniques that are</w:t>
      </w:r>
      <w:r w:rsidR="00A734C6" w:rsidRPr="00BC7A12">
        <w:rPr>
          <w:rFonts w:cs="Calibri"/>
        </w:rPr>
        <w:t xml:space="preserve"> described below</w:t>
      </w:r>
      <w:r w:rsidR="00CA51A0" w:rsidRPr="00BC7A12">
        <w:rPr>
          <w:rFonts w:cs="Calibri"/>
        </w:rPr>
        <w:t xml:space="preserve">. </w:t>
      </w:r>
    </w:p>
    <w:p w14:paraId="4E2E41D5" w14:textId="1006C867" w:rsidR="00AB6BFA" w:rsidRPr="00BC7A12" w:rsidRDefault="008E06AC" w:rsidP="007145DC">
      <w:pPr>
        <w:rPr>
          <w:rFonts w:cs="Calibri"/>
        </w:rPr>
      </w:pPr>
      <w:r w:rsidRPr="00BC7A12">
        <w:rPr>
          <w:rFonts w:cs="Calibri"/>
        </w:rPr>
        <w:t xml:space="preserve">These valuation techniques can all be </w:t>
      </w:r>
      <w:r w:rsidR="00EB201E" w:rsidRPr="00BC7A12">
        <w:rPr>
          <w:rFonts w:cs="Calibri"/>
        </w:rPr>
        <w:t>considered as components of EDF techniques</w:t>
      </w:r>
      <w:r w:rsidR="00CA51A0" w:rsidRPr="00BC7A12">
        <w:rPr>
          <w:rFonts w:cs="Calibri"/>
        </w:rPr>
        <w:t xml:space="preserve">. </w:t>
      </w:r>
      <w:r w:rsidR="003822CC" w:rsidRPr="00BC7A12">
        <w:rPr>
          <w:rFonts w:cs="Calibri"/>
        </w:rPr>
        <w:t>This report categorizes them independently, but the distinction</w:t>
      </w:r>
      <w:r w:rsidR="00511E5D" w:rsidRPr="00BC7A12">
        <w:rPr>
          <w:rFonts w:cs="Calibri"/>
        </w:rPr>
        <w:t>s</w:t>
      </w:r>
      <w:r w:rsidR="003822CC" w:rsidRPr="00BC7A12">
        <w:rPr>
          <w:rFonts w:cs="Calibri"/>
        </w:rPr>
        <w:t xml:space="preserve"> are imprecise and therefore interpreted differently across valuation literature. </w:t>
      </w:r>
    </w:p>
    <w:p w14:paraId="2D3696DB" w14:textId="77777777" w:rsidR="006A60B7" w:rsidRPr="00BC7A12" w:rsidRDefault="006A60B7" w:rsidP="006A60B7">
      <w:pPr>
        <w:pStyle w:val="Heading4"/>
        <w:rPr>
          <w:rFonts w:ascii="Calibri" w:hAnsi="Calibri" w:cs="Calibri"/>
        </w:rPr>
      </w:pPr>
      <w:bookmarkStart w:id="37" w:name="_Toc46822302"/>
      <w:r w:rsidRPr="00BC7A12">
        <w:rPr>
          <w:rFonts w:ascii="Calibri" w:hAnsi="Calibri" w:cs="Calibri"/>
        </w:rPr>
        <w:t>Replacement costs</w:t>
      </w:r>
      <w:bookmarkEnd w:id="37"/>
      <w:r w:rsidRPr="00BC7A12">
        <w:rPr>
          <w:rFonts w:ascii="Calibri" w:hAnsi="Calibri" w:cs="Calibri"/>
        </w:rPr>
        <w:t xml:space="preserve"> </w:t>
      </w:r>
    </w:p>
    <w:p w14:paraId="10376886" w14:textId="6FEB3D05" w:rsidR="00EB1058" w:rsidRPr="00BC7A12" w:rsidRDefault="008E06AC" w:rsidP="00997F8C">
      <w:pPr>
        <w:pStyle w:val="CommentText"/>
        <w:spacing w:after="120" w:line="288" w:lineRule="auto"/>
        <w:jc w:val="both"/>
        <w:rPr>
          <w:rFonts w:ascii="Calibri" w:eastAsiaTheme="minorHAnsi" w:hAnsi="Calibri" w:cs="Calibri"/>
          <w:sz w:val="22"/>
          <w:szCs w:val="22"/>
          <w:lang w:val="en-AU"/>
        </w:rPr>
      </w:pPr>
      <w:r w:rsidRPr="00BC7A12">
        <w:rPr>
          <w:rFonts w:ascii="Calibri" w:eastAsiaTheme="minorHAnsi" w:hAnsi="Calibri" w:cs="Calibri"/>
          <w:sz w:val="22"/>
          <w:szCs w:val="22"/>
          <w:lang w:val="en-AU"/>
        </w:rPr>
        <w:t xml:space="preserve">Replacement cost techniques assume that the value of an </w:t>
      </w:r>
      <w:r w:rsidR="006A60B7" w:rsidRPr="00BC7A12">
        <w:rPr>
          <w:rFonts w:ascii="Calibri" w:eastAsiaTheme="minorHAnsi" w:hAnsi="Calibri" w:cs="Calibri"/>
          <w:sz w:val="22"/>
          <w:szCs w:val="22"/>
          <w:lang w:val="en-AU"/>
        </w:rPr>
        <w:t>ecosystem service is equal to the cost of replacing that service</w:t>
      </w:r>
      <w:r w:rsidR="00A83283" w:rsidRPr="00BC7A12">
        <w:rPr>
          <w:rFonts w:ascii="Calibri" w:eastAsiaTheme="minorHAnsi" w:hAnsi="Calibri" w:cs="Calibri"/>
          <w:sz w:val="22"/>
          <w:szCs w:val="22"/>
          <w:lang w:val="en-AU"/>
        </w:rPr>
        <w:t xml:space="preserve"> </w:t>
      </w:r>
      <w:r w:rsidR="00A83283" w:rsidRPr="00BC7A12">
        <w:rPr>
          <w:rFonts w:ascii="Calibri" w:eastAsiaTheme="minorHAnsi" w:hAnsi="Calibri" w:cs="Calibri"/>
          <w:sz w:val="22"/>
          <w:szCs w:val="22"/>
          <w:lang w:val="en-AU"/>
        </w:rPr>
        <w:fldChar w:fldCharType="begin" w:fldLock="1"/>
      </w:r>
      <w:r w:rsidR="00A83283" w:rsidRPr="00BC7A12">
        <w:rPr>
          <w:rFonts w:ascii="Calibri" w:eastAsiaTheme="minorHAnsi" w:hAnsi="Calibri" w:cs="Calibri"/>
          <w:sz w:val="22"/>
          <w:szCs w:val="22"/>
          <w:lang w:val="en-AU"/>
        </w:rPr>
        <w:instrText>ADDIN CSL_CITATION {"citationItems":[{"id":"ITEM-1","itemData":{"abstract":"Wetlands provide critical contributions to biodiversity and ecosystem function in Australia. In recent years there has been a move to identifying, scoping and understanding the ecosystem services attributable to wetlands. This is largely due to the multitude of values wetlands provide. Ecosystem goods (such as food) and services (such as waste assimilation) represent the benefits human populations derive, directly or indirectly, from ecosystem function attributable to wetlands. Based on the Millennium Ecosystem Assessment framework1, ecosystem services from wetlands can be categorised into four broad categories. The categories are: ? Provisioning services. These are essentially the products obtained from wetland ecosystems such as fresh water and fish for human consumption. ? Regulating services. These are essentially the benefits to humans attributable to the regulation of ecosystem processes such as water treatment and local climate regulation. ? Supporting services. These services underpin the production of all other ecosystem services such as nutrient cycling, water cycling, and provisioning of habitat. ? Cultural services. These are typically non-material benefits received by people from direct and indirect interactions with wetlands such as recreation, aesthetic values, spiritual benefits (e.g. Indigenous connections with wetlands) and enhancements in knowledge. 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 Ecosystem","author":[{"dropping-particle":"","family":"Whiteoak","given":"Kym","non-dropping-particle":"","parse-names":false,"suffix":""},{"dropping-particle":"","family":"Binney","given":"Jim","non-dropping-particle":"","parse-names":false,"suffix":""}],"id":"ITEM-1","issued":{"date-parts":[["2012"]]},"page":"79","title":"Literature Review of the Economic Value of Ecosystem Services that Wetlands Provide Final Report","type":"article-journal"},"uris":["http://www.mendeley.com/documents/?uuid=7e99e545-96ba-4efc-9fe3-974103ef1eed"]}],"mendeley":{"formattedCitation":"(Whiteoak &amp; Binney 2012)","plainTextFormattedCitation":"(Whiteoak &amp; Binney 2012)","previouslyFormattedCitation":"(Whiteoak &amp; Binney 2012)"},"properties":{"noteIndex":0},"schema":"https://github.com/citation-style-language/schema/raw/master/csl-citation.json"}</w:instrText>
      </w:r>
      <w:r w:rsidR="00A83283" w:rsidRPr="00BC7A12">
        <w:rPr>
          <w:rFonts w:ascii="Calibri" w:eastAsiaTheme="minorHAnsi" w:hAnsi="Calibri" w:cs="Calibri"/>
          <w:sz w:val="22"/>
          <w:szCs w:val="22"/>
          <w:lang w:val="en-AU"/>
        </w:rPr>
        <w:fldChar w:fldCharType="separate"/>
      </w:r>
      <w:r w:rsidR="00A83283" w:rsidRPr="00BC7A12">
        <w:rPr>
          <w:rFonts w:ascii="Calibri" w:eastAsiaTheme="minorHAnsi" w:hAnsi="Calibri" w:cs="Calibri"/>
          <w:noProof/>
          <w:sz w:val="22"/>
          <w:szCs w:val="22"/>
          <w:lang w:val="en-AU"/>
        </w:rPr>
        <w:t>(Whiteoak &amp; Binney 2012)</w:t>
      </w:r>
      <w:r w:rsidR="00A83283" w:rsidRPr="00BC7A12">
        <w:rPr>
          <w:rFonts w:ascii="Calibri" w:eastAsiaTheme="minorHAnsi" w:hAnsi="Calibri" w:cs="Calibri"/>
          <w:sz w:val="22"/>
          <w:szCs w:val="22"/>
          <w:lang w:val="en-AU"/>
        </w:rPr>
        <w:fldChar w:fldCharType="end"/>
      </w:r>
      <w:r w:rsidR="006A60B7" w:rsidRPr="00BC7A12">
        <w:rPr>
          <w:rFonts w:ascii="Calibri" w:eastAsiaTheme="minorHAnsi" w:hAnsi="Calibri" w:cs="Calibri"/>
          <w:sz w:val="22"/>
          <w:szCs w:val="22"/>
          <w:lang w:val="en-AU"/>
        </w:rPr>
        <w:t xml:space="preserve">. </w:t>
      </w:r>
      <w:r w:rsidR="00EB201E" w:rsidRPr="00BC7A12">
        <w:rPr>
          <w:rFonts w:ascii="Calibri" w:eastAsiaTheme="minorHAnsi" w:hAnsi="Calibri" w:cs="Calibri"/>
          <w:sz w:val="22"/>
          <w:szCs w:val="22"/>
          <w:lang w:val="en-AU"/>
        </w:rPr>
        <w:t xml:space="preserve">For example, the flood protection services provided to nearby houses from a wetland </w:t>
      </w:r>
      <w:r w:rsidR="00167D54" w:rsidRPr="00BC7A12">
        <w:rPr>
          <w:rFonts w:ascii="Calibri" w:eastAsiaTheme="minorHAnsi" w:hAnsi="Calibri" w:cs="Calibri"/>
          <w:sz w:val="22"/>
          <w:szCs w:val="22"/>
          <w:lang w:val="en-AU"/>
        </w:rPr>
        <w:t xml:space="preserve">may be valued based on the cost of </w:t>
      </w:r>
      <w:r w:rsidR="00EB201E" w:rsidRPr="00BC7A12">
        <w:rPr>
          <w:rFonts w:ascii="Calibri" w:eastAsiaTheme="minorHAnsi" w:hAnsi="Calibri" w:cs="Calibri"/>
          <w:sz w:val="22"/>
          <w:szCs w:val="22"/>
          <w:lang w:val="en-AU"/>
        </w:rPr>
        <w:t>constructing a revetment wall</w:t>
      </w:r>
      <w:r w:rsidR="004D4BFC" w:rsidRPr="00BC7A12">
        <w:rPr>
          <w:rFonts w:ascii="Calibri" w:eastAsiaTheme="minorHAnsi" w:hAnsi="Calibri" w:cs="Calibri"/>
          <w:sz w:val="22"/>
          <w:szCs w:val="22"/>
          <w:lang w:val="en-AU"/>
        </w:rPr>
        <w:t xml:space="preserve"> that provides the same level of protection as the </w:t>
      </w:r>
      <w:r w:rsidR="00EB201E" w:rsidRPr="00BC7A12">
        <w:rPr>
          <w:rFonts w:ascii="Calibri" w:eastAsiaTheme="minorHAnsi" w:hAnsi="Calibri" w:cs="Calibri"/>
          <w:sz w:val="22"/>
          <w:szCs w:val="22"/>
          <w:lang w:val="en-AU"/>
        </w:rPr>
        <w:t>wetland.</w:t>
      </w:r>
    </w:p>
    <w:p w14:paraId="22462701" w14:textId="05CF4236" w:rsidR="006A60B7" w:rsidRPr="00BC7A12" w:rsidRDefault="00EB201E" w:rsidP="00997F8C">
      <w:pPr>
        <w:pStyle w:val="CommentText"/>
        <w:spacing w:after="120" w:line="288" w:lineRule="auto"/>
        <w:jc w:val="both"/>
        <w:rPr>
          <w:rFonts w:ascii="Calibri" w:eastAsiaTheme="minorHAnsi" w:hAnsi="Calibri" w:cs="Calibri"/>
          <w:sz w:val="22"/>
          <w:szCs w:val="22"/>
          <w:lang w:val="en-AU"/>
        </w:rPr>
      </w:pPr>
      <w:r w:rsidRPr="00BC7A12">
        <w:rPr>
          <w:rFonts w:ascii="Calibri" w:eastAsiaTheme="minorHAnsi" w:hAnsi="Calibri" w:cs="Calibri"/>
          <w:sz w:val="22"/>
          <w:szCs w:val="22"/>
          <w:lang w:val="en-AU"/>
        </w:rPr>
        <w:t xml:space="preserve">The </w:t>
      </w:r>
      <w:r w:rsidR="004D4BFC" w:rsidRPr="00BC7A12">
        <w:rPr>
          <w:rFonts w:ascii="Calibri" w:eastAsiaTheme="minorHAnsi" w:hAnsi="Calibri" w:cs="Calibri"/>
          <w:sz w:val="22"/>
          <w:szCs w:val="22"/>
          <w:lang w:val="en-AU"/>
        </w:rPr>
        <w:t xml:space="preserve">total </w:t>
      </w:r>
      <w:r w:rsidRPr="00BC7A12">
        <w:rPr>
          <w:rFonts w:ascii="Calibri" w:eastAsiaTheme="minorHAnsi" w:hAnsi="Calibri" w:cs="Calibri"/>
          <w:sz w:val="22"/>
          <w:szCs w:val="22"/>
          <w:lang w:val="en-AU"/>
        </w:rPr>
        <w:t xml:space="preserve">value of </w:t>
      </w:r>
      <w:proofErr w:type="gramStart"/>
      <w:r w:rsidRPr="00BC7A12">
        <w:rPr>
          <w:rFonts w:ascii="Calibri" w:eastAsiaTheme="minorHAnsi" w:hAnsi="Calibri" w:cs="Calibri"/>
          <w:sz w:val="22"/>
          <w:szCs w:val="22"/>
          <w:lang w:val="en-AU"/>
        </w:rPr>
        <w:t xml:space="preserve">the </w:t>
      </w:r>
      <w:r w:rsidR="0020684B">
        <w:rPr>
          <w:rFonts w:ascii="Calibri" w:eastAsiaTheme="minorHAnsi" w:hAnsi="Calibri" w:cs="Calibri"/>
          <w:sz w:val="22"/>
          <w:szCs w:val="22"/>
          <w:lang w:val="en-AU"/>
        </w:rPr>
        <w:t>all</w:t>
      </w:r>
      <w:proofErr w:type="gramEnd"/>
      <w:r w:rsidR="0020684B">
        <w:rPr>
          <w:rFonts w:ascii="Calibri" w:eastAsiaTheme="minorHAnsi" w:hAnsi="Calibri" w:cs="Calibri"/>
          <w:sz w:val="22"/>
          <w:szCs w:val="22"/>
          <w:lang w:val="en-AU"/>
        </w:rPr>
        <w:t xml:space="preserve"> ecosystem </w:t>
      </w:r>
      <w:r w:rsidRPr="00BC7A12">
        <w:rPr>
          <w:rFonts w:ascii="Calibri" w:eastAsiaTheme="minorHAnsi" w:hAnsi="Calibri" w:cs="Calibri"/>
          <w:sz w:val="22"/>
          <w:szCs w:val="22"/>
          <w:lang w:val="en-AU"/>
        </w:rPr>
        <w:t>service</w:t>
      </w:r>
      <w:r w:rsidR="0020684B">
        <w:rPr>
          <w:rFonts w:ascii="Calibri" w:eastAsiaTheme="minorHAnsi" w:hAnsi="Calibri" w:cs="Calibri"/>
          <w:sz w:val="22"/>
          <w:szCs w:val="22"/>
          <w:lang w:val="en-AU"/>
        </w:rPr>
        <w:t>s</w:t>
      </w:r>
      <w:r w:rsidRPr="00BC7A12">
        <w:rPr>
          <w:rFonts w:ascii="Calibri" w:eastAsiaTheme="minorHAnsi" w:hAnsi="Calibri" w:cs="Calibri"/>
          <w:sz w:val="22"/>
          <w:szCs w:val="22"/>
          <w:lang w:val="en-AU"/>
        </w:rPr>
        <w:t xml:space="preserve"> provided by the wetland may differ from the cost of a suitable replacement</w:t>
      </w:r>
      <w:r w:rsidR="0020684B">
        <w:rPr>
          <w:rFonts w:ascii="Calibri" w:eastAsiaTheme="minorHAnsi" w:hAnsi="Calibri" w:cs="Calibri"/>
          <w:sz w:val="22"/>
          <w:szCs w:val="22"/>
          <w:lang w:val="en-AU"/>
        </w:rPr>
        <w:t xml:space="preserve"> for the DRR ecosystem services</w:t>
      </w:r>
      <w:r w:rsidRPr="00BC7A12">
        <w:rPr>
          <w:rFonts w:ascii="Calibri" w:eastAsiaTheme="minorHAnsi" w:hAnsi="Calibri" w:cs="Calibri"/>
          <w:sz w:val="22"/>
          <w:szCs w:val="22"/>
          <w:lang w:val="en-AU"/>
        </w:rPr>
        <w:t>.</w:t>
      </w:r>
      <w:r w:rsidR="004D4BFC" w:rsidRPr="00BC7A12">
        <w:rPr>
          <w:rFonts w:ascii="Calibri" w:eastAsiaTheme="minorHAnsi" w:hAnsi="Calibri" w:cs="Calibri"/>
          <w:sz w:val="22"/>
          <w:szCs w:val="22"/>
          <w:lang w:val="en-AU"/>
        </w:rPr>
        <w:t xml:space="preserve"> For example, the wetland may also contribute </w:t>
      </w:r>
      <w:r w:rsidR="00DC68D7" w:rsidRPr="00BC7A12">
        <w:rPr>
          <w:rFonts w:ascii="Calibri" w:eastAsiaTheme="minorHAnsi" w:hAnsi="Calibri" w:cs="Calibri"/>
          <w:sz w:val="22"/>
          <w:szCs w:val="22"/>
          <w:lang w:val="en-AU"/>
        </w:rPr>
        <w:t>fisheries and enable recreation</w:t>
      </w:r>
      <w:r w:rsidR="0020684B">
        <w:rPr>
          <w:rFonts w:ascii="Calibri" w:eastAsiaTheme="minorHAnsi" w:hAnsi="Calibri" w:cs="Calibri"/>
          <w:sz w:val="22"/>
          <w:szCs w:val="22"/>
          <w:lang w:val="en-AU"/>
        </w:rPr>
        <w:t xml:space="preserve"> that are not included in the replacement cost for DRR ecosystem services. This said, b</w:t>
      </w:r>
      <w:r w:rsidR="006A60B7" w:rsidRPr="00BC7A12">
        <w:rPr>
          <w:rFonts w:ascii="Calibri" w:eastAsiaTheme="minorHAnsi" w:hAnsi="Calibri" w:cs="Calibri"/>
          <w:sz w:val="22"/>
          <w:szCs w:val="22"/>
          <w:lang w:val="en-AU"/>
        </w:rPr>
        <w:t xml:space="preserve">ecause </w:t>
      </w:r>
      <w:r w:rsidR="000677BB" w:rsidRPr="00BC7A12">
        <w:rPr>
          <w:rFonts w:ascii="Calibri" w:eastAsiaTheme="minorHAnsi" w:hAnsi="Calibri" w:cs="Calibri"/>
          <w:sz w:val="22"/>
          <w:szCs w:val="22"/>
          <w:lang w:val="en-AU"/>
        </w:rPr>
        <w:t xml:space="preserve">replacement cost techniques </w:t>
      </w:r>
      <w:r w:rsidR="006A60B7" w:rsidRPr="00BC7A12">
        <w:rPr>
          <w:rFonts w:ascii="Calibri" w:eastAsiaTheme="minorHAnsi" w:hAnsi="Calibri" w:cs="Calibri"/>
          <w:sz w:val="22"/>
          <w:szCs w:val="22"/>
          <w:lang w:val="en-AU"/>
        </w:rPr>
        <w:t xml:space="preserve">reflect actual market values, it is </w:t>
      </w:r>
      <w:r w:rsidR="000677BB" w:rsidRPr="00BC7A12">
        <w:rPr>
          <w:rFonts w:ascii="Calibri" w:eastAsiaTheme="minorHAnsi" w:hAnsi="Calibri" w:cs="Calibri"/>
          <w:sz w:val="22"/>
          <w:szCs w:val="22"/>
          <w:lang w:val="en-AU"/>
        </w:rPr>
        <w:t xml:space="preserve">generally </w:t>
      </w:r>
      <w:r w:rsidR="006A60B7" w:rsidRPr="00BC7A12">
        <w:rPr>
          <w:rFonts w:ascii="Calibri" w:eastAsiaTheme="minorHAnsi" w:hAnsi="Calibri" w:cs="Calibri"/>
          <w:sz w:val="22"/>
          <w:szCs w:val="22"/>
          <w:lang w:val="en-AU"/>
        </w:rPr>
        <w:t xml:space="preserve">welcomed for </w:t>
      </w:r>
      <w:r w:rsidR="001E4AA7" w:rsidRPr="00BC7A12">
        <w:rPr>
          <w:rFonts w:ascii="Calibri" w:eastAsiaTheme="minorHAnsi" w:hAnsi="Calibri" w:cs="Calibri"/>
          <w:sz w:val="22"/>
          <w:szCs w:val="22"/>
          <w:lang w:val="en-AU"/>
        </w:rPr>
        <w:t xml:space="preserve">use </w:t>
      </w:r>
      <w:r w:rsidR="000677BB" w:rsidRPr="00BC7A12">
        <w:rPr>
          <w:rFonts w:ascii="Calibri" w:eastAsiaTheme="minorHAnsi" w:hAnsi="Calibri" w:cs="Calibri"/>
          <w:sz w:val="22"/>
          <w:szCs w:val="22"/>
          <w:lang w:val="en-AU"/>
        </w:rPr>
        <w:t xml:space="preserve">in </w:t>
      </w:r>
      <w:r w:rsidR="006A60B7" w:rsidRPr="00BC7A12">
        <w:rPr>
          <w:rFonts w:ascii="Calibri" w:eastAsiaTheme="minorHAnsi" w:hAnsi="Calibri" w:cs="Calibri"/>
          <w:sz w:val="22"/>
          <w:szCs w:val="22"/>
          <w:lang w:val="en-AU"/>
        </w:rPr>
        <w:t xml:space="preserve">financial analysis. </w:t>
      </w:r>
    </w:p>
    <w:p w14:paraId="334882EB" w14:textId="77777777" w:rsidR="00374C28" w:rsidRPr="00BC7A12" w:rsidRDefault="00374C28" w:rsidP="00EB201E">
      <w:pPr>
        <w:pStyle w:val="CommentText"/>
        <w:spacing w:after="120" w:line="288" w:lineRule="auto"/>
        <w:rPr>
          <w:rFonts w:ascii="Calibri" w:eastAsiaTheme="minorHAnsi" w:hAnsi="Calibri" w:cs="Calibri"/>
          <w:sz w:val="22"/>
          <w:szCs w:val="22"/>
          <w:lang w:val="en-AU"/>
        </w:rPr>
      </w:pPr>
    </w:p>
    <w:p w14:paraId="6A3FD0B5" w14:textId="57F49D4F" w:rsidR="006A60B7" w:rsidRPr="00BC7A12" w:rsidRDefault="006A60B7" w:rsidP="006A60B7">
      <w:pPr>
        <w:pStyle w:val="Heading3"/>
        <w:rPr>
          <w:rFonts w:cs="Calibri"/>
        </w:rPr>
      </w:pPr>
      <w:bookmarkStart w:id="38" w:name="_Toc46822303"/>
      <w:r w:rsidRPr="00BC7A12">
        <w:rPr>
          <w:rFonts w:cs="Calibri"/>
        </w:rPr>
        <w:t xml:space="preserve">Stated preference </w:t>
      </w:r>
      <w:r w:rsidR="00794A7B" w:rsidRPr="00BC7A12">
        <w:rPr>
          <w:rFonts w:cs="Calibri"/>
        </w:rPr>
        <w:t>techniques</w:t>
      </w:r>
      <w:bookmarkEnd w:id="38"/>
    </w:p>
    <w:p w14:paraId="48670A5A" w14:textId="3BCA669F" w:rsidR="004D0C41" w:rsidRPr="00BC7A12" w:rsidRDefault="004D0C41" w:rsidP="004D0C41">
      <w:pPr>
        <w:rPr>
          <w:rFonts w:cs="Calibri"/>
        </w:rPr>
      </w:pPr>
      <w:r w:rsidRPr="00BC7A12">
        <w:rPr>
          <w:rFonts w:cs="Calibri"/>
        </w:rPr>
        <w:t xml:space="preserve">Stated preference techniques measure </w:t>
      </w:r>
      <w:r w:rsidR="00F82CDA" w:rsidRPr="00BC7A12">
        <w:rPr>
          <w:rFonts w:cs="Calibri"/>
        </w:rPr>
        <w:t xml:space="preserve">individuals’ preferences about the value associated with the change in the provision of an </w:t>
      </w:r>
      <w:r w:rsidRPr="00BC7A12">
        <w:rPr>
          <w:rFonts w:cs="Calibri"/>
        </w:rPr>
        <w:t>ecosystem services</w:t>
      </w:r>
      <w:r w:rsidR="00DC68D7" w:rsidRPr="00BC7A12">
        <w:rPr>
          <w:rFonts w:cs="Calibri"/>
        </w:rPr>
        <w:t xml:space="preserve"> or the ecosystem itself</w:t>
      </w:r>
      <w:r w:rsidR="00F82CDA" w:rsidRPr="00BC7A12">
        <w:rPr>
          <w:rFonts w:cs="Calibri"/>
        </w:rPr>
        <w:t xml:space="preserve">. Two </w:t>
      </w:r>
      <w:r w:rsidR="00DC68D7" w:rsidRPr="00BC7A12">
        <w:rPr>
          <w:rFonts w:cs="Calibri"/>
        </w:rPr>
        <w:t xml:space="preserve">common </w:t>
      </w:r>
      <w:r w:rsidR="00267178" w:rsidRPr="00BC7A12">
        <w:rPr>
          <w:rFonts w:cs="Calibri"/>
        </w:rPr>
        <w:t xml:space="preserve">stated preference </w:t>
      </w:r>
      <w:r w:rsidR="00F82CDA" w:rsidRPr="00BC7A12">
        <w:rPr>
          <w:rFonts w:cs="Calibri"/>
        </w:rPr>
        <w:t xml:space="preserve">techniques are contingent valuation and choice modelling. </w:t>
      </w:r>
      <w:r w:rsidR="009C603C" w:rsidRPr="00BC7A12">
        <w:rPr>
          <w:rFonts w:cs="Calibri"/>
        </w:rPr>
        <w:t xml:space="preserve"> </w:t>
      </w:r>
    </w:p>
    <w:p w14:paraId="7532260F" w14:textId="66E1C503" w:rsidR="00087A10" w:rsidRPr="00BC7A12" w:rsidRDefault="00087A10" w:rsidP="006A60B7">
      <w:pPr>
        <w:pStyle w:val="Heading4"/>
        <w:rPr>
          <w:rFonts w:ascii="Calibri" w:hAnsi="Calibri" w:cs="Calibri"/>
        </w:rPr>
      </w:pPr>
      <w:bookmarkStart w:id="39" w:name="_Toc46822304"/>
      <w:r w:rsidRPr="00BC7A12">
        <w:rPr>
          <w:rFonts w:ascii="Calibri" w:hAnsi="Calibri" w:cs="Calibri"/>
        </w:rPr>
        <w:lastRenderedPageBreak/>
        <w:t xml:space="preserve">Contingent </w:t>
      </w:r>
      <w:r w:rsidR="00F82CDA" w:rsidRPr="00BC7A12">
        <w:rPr>
          <w:rFonts w:ascii="Calibri" w:hAnsi="Calibri" w:cs="Calibri"/>
        </w:rPr>
        <w:t>valuation</w:t>
      </w:r>
      <w:bookmarkEnd w:id="39"/>
      <w:r w:rsidR="00F82CDA" w:rsidRPr="00BC7A12">
        <w:rPr>
          <w:rFonts w:ascii="Calibri" w:hAnsi="Calibri" w:cs="Calibri"/>
        </w:rPr>
        <w:t xml:space="preserve"> </w:t>
      </w:r>
    </w:p>
    <w:p w14:paraId="208D1FA7" w14:textId="4ED6A941" w:rsidR="00267178" w:rsidRPr="00BC7A12" w:rsidRDefault="00087A10" w:rsidP="00997F8C">
      <w:pPr>
        <w:pStyle w:val="CommentText"/>
        <w:spacing w:after="120" w:line="288" w:lineRule="auto"/>
        <w:jc w:val="both"/>
        <w:rPr>
          <w:rFonts w:ascii="Calibri" w:eastAsiaTheme="minorHAnsi" w:hAnsi="Calibri" w:cs="Calibri"/>
          <w:sz w:val="22"/>
          <w:szCs w:val="22"/>
          <w:lang w:val="en-AU"/>
        </w:rPr>
      </w:pPr>
      <w:r w:rsidRPr="00BC7A12">
        <w:rPr>
          <w:rFonts w:ascii="Calibri" w:eastAsiaTheme="minorHAnsi" w:hAnsi="Calibri" w:cs="Calibri"/>
          <w:sz w:val="22"/>
          <w:szCs w:val="22"/>
          <w:lang w:val="en-AU"/>
        </w:rPr>
        <w:t xml:space="preserve">The contingent </w:t>
      </w:r>
      <w:r w:rsidR="00E47089" w:rsidRPr="00BC7A12">
        <w:rPr>
          <w:rFonts w:ascii="Calibri" w:eastAsiaTheme="minorHAnsi" w:hAnsi="Calibri" w:cs="Calibri"/>
          <w:sz w:val="22"/>
          <w:szCs w:val="22"/>
          <w:lang w:val="en-AU"/>
        </w:rPr>
        <w:t xml:space="preserve">valuation, or contingent behaviour techniques, </w:t>
      </w:r>
      <w:r w:rsidRPr="00BC7A12">
        <w:rPr>
          <w:rFonts w:ascii="Calibri" w:eastAsiaTheme="minorHAnsi" w:hAnsi="Calibri" w:cs="Calibri"/>
          <w:sz w:val="22"/>
          <w:szCs w:val="22"/>
          <w:lang w:val="en-AU"/>
        </w:rPr>
        <w:t>describe hypothetical change</w:t>
      </w:r>
      <w:r w:rsidR="00881546" w:rsidRPr="00BC7A12">
        <w:rPr>
          <w:rFonts w:ascii="Calibri" w:eastAsiaTheme="minorHAnsi" w:hAnsi="Calibri" w:cs="Calibri"/>
          <w:sz w:val="22"/>
          <w:szCs w:val="22"/>
          <w:lang w:val="en-AU"/>
        </w:rPr>
        <w:t>s</w:t>
      </w:r>
      <w:r w:rsidRPr="00BC7A12">
        <w:rPr>
          <w:rFonts w:ascii="Calibri" w:eastAsiaTheme="minorHAnsi" w:hAnsi="Calibri" w:cs="Calibri"/>
          <w:sz w:val="22"/>
          <w:szCs w:val="22"/>
          <w:lang w:val="en-AU"/>
        </w:rPr>
        <w:t xml:space="preserve"> </w:t>
      </w:r>
      <w:r w:rsidR="00881546" w:rsidRPr="00BC7A12">
        <w:rPr>
          <w:rFonts w:ascii="Calibri" w:eastAsiaTheme="minorHAnsi" w:hAnsi="Calibri" w:cs="Calibri"/>
          <w:sz w:val="22"/>
          <w:szCs w:val="22"/>
          <w:lang w:val="en-AU"/>
        </w:rPr>
        <w:t xml:space="preserve">in an ecosystem services, or </w:t>
      </w:r>
      <w:r w:rsidR="00267178" w:rsidRPr="00BC7A12">
        <w:rPr>
          <w:rFonts w:ascii="Calibri" w:eastAsiaTheme="minorHAnsi" w:hAnsi="Calibri" w:cs="Calibri"/>
          <w:sz w:val="22"/>
          <w:szCs w:val="22"/>
          <w:lang w:val="en-AU"/>
        </w:rPr>
        <w:t xml:space="preserve">an </w:t>
      </w:r>
      <w:r w:rsidR="003E7F09" w:rsidRPr="00BC7A12">
        <w:rPr>
          <w:rFonts w:ascii="Calibri" w:eastAsiaTheme="minorHAnsi" w:hAnsi="Calibri" w:cs="Calibri"/>
          <w:sz w:val="22"/>
          <w:szCs w:val="22"/>
          <w:lang w:val="en-AU"/>
        </w:rPr>
        <w:t xml:space="preserve">ecosystem itself, </w:t>
      </w:r>
      <w:r w:rsidR="00881546" w:rsidRPr="00BC7A12">
        <w:rPr>
          <w:rFonts w:ascii="Calibri" w:eastAsiaTheme="minorHAnsi" w:hAnsi="Calibri" w:cs="Calibri"/>
          <w:sz w:val="22"/>
          <w:szCs w:val="22"/>
          <w:lang w:val="en-AU"/>
        </w:rPr>
        <w:t xml:space="preserve">and asks respondents </w:t>
      </w:r>
      <w:r w:rsidR="009B5025" w:rsidRPr="00BC7A12">
        <w:rPr>
          <w:rFonts w:ascii="Calibri" w:eastAsiaTheme="minorHAnsi" w:hAnsi="Calibri" w:cs="Calibri"/>
          <w:sz w:val="22"/>
          <w:szCs w:val="22"/>
          <w:lang w:val="en-AU"/>
        </w:rPr>
        <w:t xml:space="preserve">to state </w:t>
      </w:r>
      <w:r w:rsidR="003E7F09" w:rsidRPr="00BC7A12">
        <w:rPr>
          <w:rFonts w:ascii="Calibri" w:eastAsiaTheme="minorHAnsi" w:hAnsi="Calibri" w:cs="Calibri"/>
          <w:sz w:val="22"/>
          <w:szCs w:val="22"/>
          <w:lang w:val="en-AU"/>
        </w:rPr>
        <w:t>how their</w:t>
      </w:r>
      <w:r w:rsidR="009B5025" w:rsidRPr="00BC7A12">
        <w:rPr>
          <w:rFonts w:ascii="Calibri" w:eastAsiaTheme="minorHAnsi" w:hAnsi="Calibri" w:cs="Calibri"/>
          <w:sz w:val="22"/>
          <w:szCs w:val="22"/>
          <w:lang w:val="en-AU"/>
        </w:rPr>
        <w:t xml:space="preserve"> behaviour would </w:t>
      </w:r>
      <w:r w:rsidR="003E7F09" w:rsidRPr="00BC7A12">
        <w:rPr>
          <w:rFonts w:ascii="Calibri" w:eastAsiaTheme="minorHAnsi" w:hAnsi="Calibri" w:cs="Calibri"/>
          <w:sz w:val="22"/>
          <w:szCs w:val="22"/>
          <w:lang w:val="en-AU"/>
        </w:rPr>
        <w:t>change</w:t>
      </w:r>
      <w:r w:rsidR="00A83283" w:rsidRPr="00BC7A12">
        <w:rPr>
          <w:rFonts w:ascii="Calibri" w:eastAsiaTheme="minorHAnsi" w:hAnsi="Calibri" w:cs="Calibri"/>
          <w:sz w:val="22"/>
          <w:szCs w:val="22"/>
          <w:lang w:val="en-AU"/>
        </w:rPr>
        <w:t xml:space="preserve"> </w:t>
      </w:r>
      <w:r w:rsidR="00A83283" w:rsidRPr="00BC7A12">
        <w:rPr>
          <w:rFonts w:ascii="Calibri" w:eastAsiaTheme="minorHAnsi" w:hAnsi="Calibri" w:cs="Calibri"/>
          <w:sz w:val="22"/>
          <w:szCs w:val="22"/>
          <w:lang w:val="en-AU"/>
        </w:rPr>
        <w:fldChar w:fldCharType="begin" w:fldLock="1"/>
      </w:r>
      <w:r w:rsidR="00A83283" w:rsidRPr="00BC7A12">
        <w:rPr>
          <w:rFonts w:ascii="Calibri" w:eastAsiaTheme="minorHAnsi" w:hAnsi="Calibri" w:cs="Calibri"/>
          <w:sz w:val="22"/>
          <w:szCs w:val="22"/>
          <w:lang w:val="en-AU"/>
        </w:rPr>
        <w:instrText>ADDIN CSL_CITATION {"citationItems":[{"id":"ITEM-1","itemData":{"abstract":"Wetlands provide critical contributions to biodiversity and ecosystem function in Australia. In recent years there has been a move to identifying, scoping and understanding the ecosystem services attributable to wetlands. This is largely due to the multitude of values wetlands provide. Ecosystem goods (such as food) and services (such as waste assimilation) represent the benefits human populations derive, directly or indirectly, from ecosystem function attributable to wetlands. Based on the Millennium Ecosystem Assessment framework1, ecosystem services from wetlands can be categorised into four broad categories. The categories are: ? Provisioning services. These are essentially the products obtained from wetland ecosystems such as fresh water and fish for human consumption. ? Regulating services. These are essentially the benefits to humans attributable to the regulation of ecosystem processes such as water treatment and local climate regulation. ? Supporting services. These services underpin the production of all other ecosystem services such as nutrient cycling, water cycling, and provisioning of habitat. ? Cultural services. These are typically non-material benefits received by people from direct and indirect interactions with wetlands such as recreation, aesthetic values, spiritual benefits (e.g. Indigenous connections with wetlands) and enhancements in knowledge. 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 Ecosystem","author":[{"dropping-particle":"","family":"Whiteoak","given":"Kym","non-dropping-particle":"","parse-names":false,"suffix":""},{"dropping-particle":"","family":"Binney","given":"Jim","non-dropping-particle":"","parse-names":false,"suffix":""}],"id":"ITEM-1","issued":{"date-parts":[["2012"]]},"page":"79","title":"Literature Review of the Economic Value of Ecosystem Services that Wetlands Provide Final Report","type":"article-journal"},"uris":["http://www.mendeley.com/documents/?uuid=7e99e545-96ba-4efc-9fe3-974103ef1eed"]}],"mendeley":{"formattedCitation":"(Whiteoak &amp; Binney 2012)","plainTextFormattedCitation":"(Whiteoak &amp; Binney 2012)","previouslyFormattedCitation":"(Whiteoak &amp; Binney 2012)"},"properties":{"noteIndex":0},"schema":"https://github.com/citation-style-language/schema/raw/master/csl-citation.json"}</w:instrText>
      </w:r>
      <w:r w:rsidR="00A83283" w:rsidRPr="00BC7A12">
        <w:rPr>
          <w:rFonts w:ascii="Calibri" w:eastAsiaTheme="minorHAnsi" w:hAnsi="Calibri" w:cs="Calibri"/>
          <w:sz w:val="22"/>
          <w:szCs w:val="22"/>
          <w:lang w:val="en-AU"/>
        </w:rPr>
        <w:fldChar w:fldCharType="separate"/>
      </w:r>
      <w:r w:rsidR="00A83283" w:rsidRPr="00BC7A12">
        <w:rPr>
          <w:rFonts w:ascii="Calibri" w:eastAsiaTheme="minorHAnsi" w:hAnsi="Calibri" w:cs="Calibri"/>
          <w:noProof/>
          <w:sz w:val="22"/>
          <w:szCs w:val="22"/>
          <w:lang w:val="en-AU"/>
        </w:rPr>
        <w:t>(Whiteoak &amp; Binney 2012)</w:t>
      </w:r>
      <w:r w:rsidR="00A83283" w:rsidRPr="00BC7A12">
        <w:rPr>
          <w:rFonts w:ascii="Calibri" w:eastAsiaTheme="minorHAnsi" w:hAnsi="Calibri" w:cs="Calibri"/>
          <w:sz w:val="22"/>
          <w:szCs w:val="22"/>
          <w:lang w:val="en-AU"/>
        </w:rPr>
        <w:fldChar w:fldCharType="end"/>
      </w:r>
      <w:r w:rsidR="003E7F09" w:rsidRPr="00BC7A12">
        <w:rPr>
          <w:rFonts w:ascii="Calibri" w:eastAsiaTheme="minorHAnsi" w:hAnsi="Calibri" w:cs="Calibri"/>
          <w:sz w:val="22"/>
          <w:szCs w:val="22"/>
          <w:lang w:val="en-AU"/>
        </w:rPr>
        <w:t xml:space="preserve">. </w:t>
      </w:r>
      <w:r w:rsidRPr="00BC7A12">
        <w:rPr>
          <w:rFonts w:ascii="Calibri" w:eastAsiaTheme="minorHAnsi" w:hAnsi="Calibri" w:cs="Calibri"/>
          <w:sz w:val="22"/>
          <w:szCs w:val="22"/>
          <w:lang w:val="en-AU"/>
        </w:rPr>
        <w:t xml:space="preserve">The approach is </w:t>
      </w:r>
      <w:r w:rsidR="003E7F09" w:rsidRPr="00BC7A12">
        <w:rPr>
          <w:rFonts w:ascii="Calibri" w:eastAsiaTheme="minorHAnsi" w:hAnsi="Calibri" w:cs="Calibri"/>
          <w:sz w:val="22"/>
          <w:szCs w:val="22"/>
          <w:lang w:val="en-AU"/>
        </w:rPr>
        <w:t xml:space="preserve">often used to measure </w:t>
      </w:r>
      <w:r w:rsidRPr="00BC7A12">
        <w:rPr>
          <w:rFonts w:ascii="Calibri" w:eastAsiaTheme="minorHAnsi" w:hAnsi="Calibri" w:cs="Calibri"/>
          <w:sz w:val="22"/>
          <w:szCs w:val="22"/>
          <w:lang w:val="en-AU"/>
        </w:rPr>
        <w:t xml:space="preserve">marginal benefits and costs </w:t>
      </w:r>
      <w:r w:rsidR="003E7F09" w:rsidRPr="00BC7A12">
        <w:rPr>
          <w:rFonts w:ascii="Calibri" w:eastAsiaTheme="minorHAnsi" w:hAnsi="Calibri" w:cs="Calibri"/>
          <w:sz w:val="22"/>
          <w:szCs w:val="22"/>
          <w:lang w:val="en-AU"/>
        </w:rPr>
        <w:t xml:space="preserve">to communities </w:t>
      </w:r>
      <w:r w:rsidR="009B5025" w:rsidRPr="00BC7A12">
        <w:rPr>
          <w:rFonts w:ascii="Calibri" w:eastAsiaTheme="minorHAnsi" w:hAnsi="Calibri" w:cs="Calibri"/>
          <w:sz w:val="22"/>
          <w:szCs w:val="22"/>
          <w:lang w:val="en-AU"/>
        </w:rPr>
        <w:t>due to</w:t>
      </w:r>
      <w:r w:rsidR="003E7F09" w:rsidRPr="00BC7A12">
        <w:rPr>
          <w:rFonts w:ascii="Calibri" w:eastAsiaTheme="minorHAnsi" w:hAnsi="Calibri" w:cs="Calibri"/>
          <w:sz w:val="22"/>
          <w:szCs w:val="22"/>
          <w:lang w:val="en-AU"/>
        </w:rPr>
        <w:t xml:space="preserve"> </w:t>
      </w:r>
      <w:r w:rsidRPr="00BC7A12">
        <w:rPr>
          <w:rFonts w:ascii="Calibri" w:eastAsiaTheme="minorHAnsi" w:hAnsi="Calibri" w:cs="Calibri"/>
          <w:sz w:val="22"/>
          <w:szCs w:val="22"/>
          <w:lang w:val="en-AU"/>
        </w:rPr>
        <w:t>incremental changes in the quality of wetlands.</w:t>
      </w:r>
      <w:r w:rsidR="003E7F09" w:rsidRPr="00BC7A12">
        <w:rPr>
          <w:rFonts w:ascii="Calibri" w:eastAsiaTheme="minorHAnsi" w:hAnsi="Calibri" w:cs="Calibri"/>
          <w:sz w:val="22"/>
          <w:szCs w:val="22"/>
          <w:lang w:val="en-AU"/>
        </w:rPr>
        <w:t xml:space="preserve"> </w:t>
      </w:r>
      <w:r w:rsidR="00267178" w:rsidRPr="00BC7A12">
        <w:rPr>
          <w:rFonts w:ascii="Calibri" w:eastAsiaTheme="minorHAnsi" w:hAnsi="Calibri" w:cs="Calibri"/>
          <w:sz w:val="22"/>
          <w:szCs w:val="22"/>
          <w:lang w:val="en-AU"/>
        </w:rPr>
        <w:t>The effectiveness of contingent valuation depends on respondents</w:t>
      </w:r>
      <w:r w:rsidR="00167D54" w:rsidRPr="00BC7A12">
        <w:rPr>
          <w:rFonts w:ascii="Calibri" w:eastAsiaTheme="minorHAnsi" w:hAnsi="Calibri" w:cs="Calibri"/>
          <w:sz w:val="22"/>
          <w:szCs w:val="22"/>
          <w:lang w:val="en-AU"/>
        </w:rPr>
        <w:t>’</w:t>
      </w:r>
      <w:r w:rsidR="00267178" w:rsidRPr="00BC7A12">
        <w:rPr>
          <w:rFonts w:ascii="Calibri" w:eastAsiaTheme="minorHAnsi" w:hAnsi="Calibri" w:cs="Calibri"/>
          <w:sz w:val="22"/>
          <w:szCs w:val="22"/>
          <w:lang w:val="en-AU"/>
        </w:rPr>
        <w:t xml:space="preserve"> understanding the ecosystem services discussed. Contingent valuation can be prone to </w:t>
      </w:r>
      <w:r w:rsidR="00511E5D" w:rsidRPr="00BC7A12">
        <w:rPr>
          <w:rFonts w:ascii="Calibri" w:eastAsiaTheme="minorHAnsi" w:hAnsi="Calibri" w:cs="Calibri"/>
          <w:sz w:val="22"/>
          <w:szCs w:val="22"/>
          <w:lang w:val="en-AU"/>
        </w:rPr>
        <w:t>“</w:t>
      </w:r>
      <w:r w:rsidR="00267178" w:rsidRPr="00BC7A12">
        <w:rPr>
          <w:rFonts w:ascii="Calibri" w:eastAsiaTheme="minorHAnsi" w:hAnsi="Calibri" w:cs="Calibri"/>
          <w:sz w:val="22"/>
          <w:szCs w:val="22"/>
          <w:lang w:val="en-AU"/>
        </w:rPr>
        <w:t>warm glow bias</w:t>
      </w:r>
      <w:r w:rsidR="00511E5D" w:rsidRPr="00BC7A12">
        <w:rPr>
          <w:rFonts w:ascii="Calibri" w:eastAsiaTheme="minorHAnsi" w:hAnsi="Calibri" w:cs="Calibri"/>
          <w:sz w:val="22"/>
          <w:szCs w:val="22"/>
          <w:lang w:val="en-AU"/>
        </w:rPr>
        <w:t>”</w:t>
      </w:r>
      <w:r w:rsidR="00267178" w:rsidRPr="00BC7A12">
        <w:rPr>
          <w:rFonts w:ascii="Calibri" w:eastAsiaTheme="minorHAnsi" w:hAnsi="Calibri" w:cs="Calibri"/>
          <w:sz w:val="22"/>
          <w:szCs w:val="22"/>
          <w:lang w:val="en-AU"/>
        </w:rPr>
        <w:t>,</w:t>
      </w:r>
      <w:r w:rsidR="00511E5D" w:rsidRPr="00BC7A12">
        <w:rPr>
          <w:rFonts w:ascii="Calibri" w:eastAsiaTheme="minorHAnsi" w:hAnsi="Calibri" w:cs="Calibri"/>
          <w:sz w:val="22"/>
          <w:szCs w:val="22"/>
          <w:lang w:val="en-AU"/>
        </w:rPr>
        <w:t xml:space="preserve"> </w:t>
      </w:r>
      <w:r w:rsidR="00267178" w:rsidRPr="00BC7A12">
        <w:rPr>
          <w:rFonts w:ascii="Calibri" w:eastAsiaTheme="minorHAnsi" w:hAnsi="Calibri" w:cs="Calibri"/>
          <w:sz w:val="22"/>
          <w:szCs w:val="22"/>
          <w:lang w:val="en-AU"/>
        </w:rPr>
        <w:t>whereby respondents state they would provide significant monetary contributions to the protection of natural assets in a hypothetical scenario, however</w:t>
      </w:r>
      <w:r w:rsidR="00DC68D7" w:rsidRPr="00BC7A12">
        <w:rPr>
          <w:rFonts w:ascii="Calibri" w:eastAsiaTheme="minorHAnsi" w:hAnsi="Calibri" w:cs="Calibri"/>
          <w:sz w:val="22"/>
          <w:szCs w:val="22"/>
          <w:lang w:val="en-AU"/>
        </w:rPr>
        <w:t>,</w:t>
      </w:r>
      <w:r w:rsidR="00267178" w:rsidRPr="00BC7A12">
        <w:rPr>
          <w:rFonts w:ascii="Calibri" w:eastAsiaTheme="minorHAnsi" w:hAnsi="Calibri" w:cs="Calibri"/>
          <w:sz w:val="22"/>
          <w:szCs w:val="22"/>
          <w:lang w:val="en-AU"/>
        </w:rPr>
        <w:t xml:space="preserve"> would not contribute the same </w:t>
      </w:r>
      <w:proofErr w:type="gramStart"/>
      <w:r w:rsidR="00267178" w:rsidRPr="00BC7A12">
        <w:rPr>
          <w:rFonts w:ascii="Calibri" w:eastAsiaTheme="minorHAnsi" w:hAnsi="Calibri" w:cs="Calibri"/>
          <w:sz w:val="22"/>
          <w:szCs w:val="22"/>
          <w:lang w:val="en-AU"/>
        </w:rPr>
        <w:t>amount in reality</w:t>
      </w:r>
      <w:proofErr w:type="gramEnd"/>
      <w:r w:rsidR="00DC68D7" w:rsidRPr="00BC7A12">
        <w:rPr>
          <w:rFonts w:ascii="Calibri" w:eastAsiaTheme="minorHAnsi" w:hAnsi="Calibri" w:cs="Calibri"/>
          <w:sz w:val="22"/>
          <w:szCs w:val="22"/>
          <w:lang w:val="en-AU"/>
        </w:rPr>
        <w:t>.</w:t>
      </w:r>
      <w:r w:rsidR="00511E5D" w:rsidRPr="00BC7A12">
        <w:rPr>
          <w:rFonts w:ascii="Calibri" w:eastAsiaTheme="minorHAnsi" w:hAnsi="Calibri" w:cs="Calibri"/>
          <w:sz w:val="22"/>
          <w:szCs w:val="22"/>
          <w:lang w:val="en-AU"/>
        </w:rPr>
        <w:t xml:space="preserve"> Respondents </w:t>
      </w:r>
      <w:r w:rsidR="00167D54" w:rsidRPr="00BC7A12">
        <w:rPr>
          <w:rFonts w:ascii="Calibri" w:eastAsiaTheme="minorHAnsi" w:hAnsi="Calibri" w:cs="Calibri"/>
          <w:sz w:val="22"/>
          <w:szCs w:val="22"/>
          <w:lang w:val="en-AU"/>
        </w:rPr>
        <w:t xml:space="preserve">have also been known to </w:t>
      </w:r>
      <w:r w:rsidR="00511E5D" w:rsidRPr="00BC7A12">
        <w:rPr>
          <w:rFonts w:ascii="Calibri" w:eastAsiaTheme="minorHAnsi" w:hAnsi="Calibri" w:cs="Calibri"/>
          <w:sz w:val="22"/>
          <w:szCs w:val="22"/>
          <w:lang w:val="en-AU"/>
        </w:rPr>
        <w:t xml:space="preserve">offer “protest bids” of zero willingness to pay for wetland conservation, skewing results. </w:t>
      </w:r>
    </w:p>
    <w:p w14:paraId="00E25D59" w14:textId="34579F75" w:rsidR="00087A10" w:rsidRPr="00BC7A12" w:rsidRDefault="00087A10" w:rsidP="006A60B7">
      <w:pPr>
        <w:pStyle w:val="Heading4"/>
        <w:rPr>
          <w:rFonts w:ascii="Calibri" w:hAnsi="Calibri" w:cs="Calibri"/>
        </w:rPr>
      </w:pPr>
      <w:bookmarkStart w:id="40" w:name="_Toc46822305"/>
      <w:r w:rsidRPr="00BC7A12">
        <w:rPr>
          <w:rFonts w:ascii="Calibri" w:hAnsi="Calibri" w:cs="Calibri"/>
        </w:rPr>
        <w:t>Choice Modelling</w:t>
      </w:r>
      <w:bookmarkEnd w:id="40"/>
    </w:p>
    <w:p w14:paraId="10E80368" w14:textId="5644EA40" w:rsidR="00087A10" w:rsidRPr="00BC7A12" w:rsidRDefault="00087A10" w:rsidP="00087A10">
      <w:pPr>
        <w:rPr>
          <w:rFonts w:cs="Calibri"/>
        </w:rPr>
      </w:pPr>
      <w:r w:rsidRPr="00BC7A12">
        <w:rPr>
          <w:rFonts w:cs="Calibri"/>
        </w:rPr>
        <w:t xml:space="preserve">Choice modelling presents respondents with </w:t>
      </w:r>
      <w:r w:rsidR="00C36912" w:rsidRPr="00BC7A12">
        <w:rPr>
          <w:rFonts w:cs="Calibri"/>
        </w:rPr>
        <w:t>different</w:t>
      </w:r>
      <w:r w:rsidRPr="00BC7A12">
        <w:rPr>
          <w:rFonts w:cs="Calibri"/>
        </w:rPr>
        <w:t xml:space="preserve"> ecosystem services</w:t>
      </w:r>
      <w:r w:rsidR="00C36912" w:rsidRPr="00BC7A12">
        <w:rPr>
          <w:rFonts w:cs="Calibri"/>
        </w:rPr>
        <w:t xml:space="preserve"> delivery scenarios, often with different prices for each. </w:t>
      </w:r>
      <w:r w:rsidRPr="00BC7A12">
        <w:rPr>
          <w:rFonts w:cs="Calibri"/>
        </w:rPr>
        <w:t xml:space="preserve">Respondents are asked to </w:t>
      </w:r>
      <w:r w:rsidR="00C36912" w:rsidRPr="00BC7A12">
        <w:rPr>
          <w:rFonts w:cs="Calibri"/>
        </w:rPr>
        <w:t>identify their preference</w:t>
      </w:r>
      <w:r w:rsidR="00722066" w:rsidRPr="00BC7A12">
        <w:rPr>
          <w:rFonts w:cs="Calibri"/>
        </w:rPr>
        <w:t xml:space="preserve">, revealing </w:t>
      </w:r>
      <w:r w:rsidRPr="00BC7A12">
        <w:rPr>
          <w:rFonts w:cs="Calibri"/>
        </w:rPr>
        <w:t xml:space="preserve">their willingness to pay </w:t>
      </w:r>
      <w:r w:rsidR="00722066" w:rsidRPr="00BC7A12">
        <w:rPr>
          <w:rFonts w:cs="Calibri"/>
        </w:rPr>
        <w:t>for these changes</w:t>
      </w:r>
      <w:r w:rsidR="00A83283" w:rsidRPr="00BC7A12">
        <w:rPr>
          <w:rFonts w:cs="Calibri"/>
        </w:rPr>
        <w:t xml:space="preserve"> </w:t>
      </w:r>
      <w:r w:rsidR="00A83283" w:rsidRPr="00BC7A12">
        <w:rPr>
          <w:rFonts w:cs="Calibri"/>
        </w:rPr>
        <w:fldChar w:fldCharType="begin" w:fldLock="1"/>
      </w:r>
      <w:r w:rsidR="00A83283" w:rsidRPr="00BC7A12">
        <w:rPr>
          <w:rFonts w:cs="Calibri"/>
        </w:rPr>
        <w:instrText>ADDIN CSL_CITATION {"citationItems":[{"id":"ITEM-1","itemData":{"abstract":"Wetlands provide critical contributions to biodiversity and ecosystem function in Australia. In recent years there has been a move to identifying, scoping and understanding the ecosystem services attributable to wetlands. This is largely due to the multitude of values wetlands provide. Ecosystem goods (such as food) and services (such as waste assimilation) represent the benefits human populations derive, directly or indirectly, from ecosystem function attributable to wetlands. Based on the Millennium Ecosystem Assessment framework1, ecosystem services from wetlands can be categorised into four broad categories. The categories are: ? Provisioning services. These are essentially the products obtained from wetland ecosystems such as fresh water and fish for human consumption. ? Regulating services. These are essentially the benefits to humans attributable to the regulation of ecosystem processes such as water treatment and local climate regulation. ? Supporting services. These services underpin the production of all other ecosystem services such as nutrient cycling, water cycling, and provisioning of habitat. ? Cultural services. These are typically non-material benefits received by people from direct and indirect interactions with wetlands such as recreation, aesthetic values, spiritual benefits (e.g. Indigenous connections with wetlands) and enhancements in knowledge. 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 Ecosystem","author":[{"dropping-particle":"","family":"Whiteoak","given":"Kym","non-dropping-particle":"","parse-names":false,"suffix":""},{"dropping-particle":"","family":"Binney","given":"Jim","non-dropping-particle":"","parse-names":false,"suffix":""}],"id":"ITEM-1","issued":{"date-parts":[["2012"]]},"page":"79","title":"Literature Review of the Economic Value of Ecosystem Services that Wetlands Provide Final Report","type":"article-journal"},"uris":["http://www.mendeley.com/documents/?uuid=7e99e545-96ba-4efc-9fe3-974103ef1eed"]}],"mendeley":{"formattedCitation":"(Whiteoak &amp; Binney 2012)","plainTextFormattedCitation":"(Whiteoak &amp; Binney 2012)","previouslyFormattedCitation":"(Whiteoak &amp; Binney 2012)"},"properties":{"noteIndex":0},"schema":"https://github.com/citation-style-language/schema/raw/master/csl-citation.json"}</w:instrText>
      </w:r>
      <w:r w:rsidR="00A83283" w:rsidRPr="00BC7A12">
        <w:rPr>
          <w:rFonts w:cs="Calibri"/>
        </w:rPr>
        <w:fldChar w:fldCharType="separate"/>
      </w:r>
      <w:r w:rsidR="00A83283" w:rsidRPr="00BC7A12">
        <w:rPr>
          <w:rFonts w:cs="Calibri"/>
          <w:noProof/>
        </w:rPr>
        <w:t>(Whiteoak &amp; Binney 2012)</w:t>
      </w:r>
      <w:r w:rsidR="00A83283" w:rsidRPr="00BC7A12">
        <w:rPr>
          <w:rFonts w:cs="Calibri"/>
        </w:rPr>
        <w:fldChar w:fldCharType="end"/>
      </w:r>
      <w:r w:rsidR="00722066" w:rsidRPr="00BC7A12">
        <w:rPr>
          <w:rFonts w:cs="Calibri"/>
        </w:rPr>
        <w:t>.</w:t>
      </w:r>
      <w:r w:rsidRPr="00BC7A12">
        <w:rPr>
          <w:rFonts w:cs="Calibri"/>
        </w:rPr>
        <w:t xml:space="preserve"> It can also be subject to </w:t>
      </w:r>
      <w:proofErr w:type="gramStart"/>
      <w:r w:rsidRPr="00BC7A12">
        <w:rPr>
          <w:rFonts w:cs="Calibri"/>
        </w:rPr>
        <w:t>a number of</w:t>
      </w:r>
      <w:proofErr w:type="gramEnd"/>
      <w:r w:rsidR="00722066" w:rsidRPr="00BC7A12">
        <w:rPr>
          <w:rFonts w:cs="Calibri"/>
        </w:rPr>
        <w:t xml:space="preserve"> survey</w:t>
      </w:r>
      <w:r w:rsidRPr="00BC7A12">
        <w:rPr>
          <w:rFonts w:cs="Calibri"/>
        </w:rPr>
        <w:t xml:space="preserve"> biases that </w:t>
      </w:r>
      <w:r w:rsidR="00722066" w:rsidRPr="00BC7A12">
        <w:rPr>
          <w:rFonts w:cs="Calibri"/>
        </w:rPr>
        <w:t xml:space="preserve">can </w:t>
      </w:r>
      <w:r w:rsidRPr="00BC7A12">
        <w:rPr>
          <w:rFonts w:cs="Calibri"/>
        </w:rPr>
        <w:t xml:space="preserve">bring results into question. Nevertheless, it can provide insights into </w:t>
      </w:r>
      <w:r w:rsidR="00722066" w:rsidRPr="00BC7A12">
        <w:rPr>
          <w:rFonts w:cs="Calibri"/>
        </w:rPr>
        <w:t xml:space="preserve">a community’s </w:t>
      </w:r>
      <w:r w:rsidRPr="00BC7A12">
        <w:rPr>
          <w:rFonts w:cs="Calibri"/>
        </w:rPr>
        <w:t xml:space="preserve">values for ecosystem services. </w:t>
      </w:r>
    </w:p>
    <w:p w14:paraId="13E01C19" w14:textId="2B79A16D" w:rsidR="00167D54" w:rsidRPr="00BC7A12" w:rsidRDefault="00167D54">
      <w:pPr>
        <w:spacing w:after="200" w:line="276" w:lineRule="auto"/>
        <w:jc w:val="left"/>
        <w:rPr>
          <w:rFonts w:cs="Calibri"/>
        </w:rPr>
      </w:pPr>
    </w:p>
    <w:p w14:paraId="01F0B437" w14:textId="5E9BA399" w:rsidR="008207E8" w:rsidRPr="00BC7A12" w:rsidRDefault="006A60B7" w:rsidP="006A60B7">
      <w:pPr>
        <w:pStyle w:val="Heading3"/>
        <w:rPr>
          <w:rFonts w:cs="Calibri"/>
        </w:rPr>
      </w:pPr>
      <w:bookmarkStart w:id="41" w:name="_Toc46822306"/>
      <w:r w:rsidRPr="00BC7A12">
        <w:rPr>
          <w:rFonts w:cs="Calibri"/>
        </w:rPr>
        <w:t xml:space="preserve">Benefit transfer </w:t>
      </w:r>
      <w:r w:rsidR="00E814CD" w:rsidRPr="00BC7A12">
        <w:rPr>
          <w:rFonts w:cs="Calibri"/>
        </w:rPr>
        <w:t>techniques</w:t>
      </w:r>
      <w:bookmarkEnd w:id="41"/>
    </w:p>
    <w:p w14:paraId="5412B603" w14:textId="1D9C703F" w:rsidR="006A60B7" w:rsidRPr="00BC7A12" w:rsidRDefault="006A60B7" w:rsidP="007145DC">
      <w:pPr>
        <w:pStyle w:val="Heading4"/>
        <w:rPr>
          <w:rFonts w:ascii="Calibri" w:hAnsi="Calibri" w:cs="Calibri"/>
          <w:i w:val="0"/>
          <w:iCs w:val="0"/>
        </w:rPr>
      </w:pPr>
      <w:bookmarkStart w:id="42" w:name="_Toc46822307"/>
      <w:r w:rsidRPr="00BC7A12">
        <w:rPr>
          <w:rFonts w:ascii="Calibri" w:hAnsi="Calibri" w:cs="Calibri"/>
        </w:rPr>
        <w:t xml:space="preserve">Single and marginal point transfers, function and meta </w:t>
      </w:r>
      <w:r w:rsidR="007145DC" w:rsidRPr="00BC7A12">
        <w:rPr>
          <w:rFonts w:ascii="Calibri" w:hAnsi="Calibri" w:cs="Calibri"/>
        </w:rPr>
        <w:t>value analysis transfers</w:t>
      </w:r>
      <w:bookmarkEnd w:id="42"/>
      <w:r w:rsidR="007145DC" w:rsidRPr="00BC7A12">
        <w:rPr>
          <w:rFonts w:ascii="Calibri" w:hAnsi="Calibri" w:cs="Calibri"/>
        </w:rPr>
        <w:t xml:space="preserve"> </w:t>
      </w:r>
    </w:p>
    <w:p w14:paraId="75FCD0E0" w14:textId="4F7BFB00" w:rsidR="000433F8" w:rsidRPr="00BC7A12" w:rsidRDefault="00AE772B" w:rsidP="00703509">
      <w:pPr>
        <w:rPr>
          <w:rFonts w:cs="Calibri"/>
        </w:rPr>
      </w:pPr>
      <w:r w:rsidRPr="00BC7A12">
        <w:rPr>
          <w:rFonts w:cs="Calibri"/>
        </w:rPr>
        <w:t>Benefit transfer techniques apply the values from reference sites</w:t>
      </w:r>
      <w:r w:rsidR="008153EC" w:rsidRPr="00BC7A12">
        <w:rPr>
          <w:rFonts w:cs="Calibri"/>
        </w:rPr>
        <w:t>—</w:t>
      </w:r>
      <w:r w:rsidR="00E814CD" w:rsidRPr="00BC7A12">
        <w:rPr>
          <w:rFonts w:cs="Calibri"/>
        </w:rPr>
        <w:t>estimated using direct valuation techniques such as those described</w:t>
      </w:r>
      <w:r w:rsidR="009B5025" w:rsidRPr="00BC7A12">
        <w:rPr>
          <w:rFonts w:cs="Calibri"/>
        </w:rPr>
        <w:t xml:space="preserve"> above</w:t>
      </w:r>
      <w:r w:rsidR="008153EC" w:rsidRPr="00BC7A12">
        <w:rPr>
          <w:rFonts w:cs="Calibri"/>
        </w:rPr>
        <w:t xml:space="preserve">—to </w:t>
      </w:r>
      <w:r w:rsidRPr="00BC7A12">
        <w:rPr>
          <w:rFonts w:cs="Calibri"/>
        </w:rPr>
        <w:t xml:space="preserve">the study sites. Single point transfers take a single value, typically the total value of an ecosystem service, and apply it to the study site. Marginal point transfers also use a single </w:t>
      </w:r>
      <w:proofErr w:type="gramStart"/>
      <w:r w:rsidRPr="00BC7A12">
        <w:rPr>
          <w:rFonts w:cs="Calibri"/>
        </w:rPr>
        <w:t>value, but</w:t>
      </w:r>
      <w:proofErr w:type="gramEnd"/>
      <w:r w:rsidRPr="00BC7A12">
        <w:rPr>
          <w:rFonts w:cs="Calibri"/>
        </w:rPr>
        <w:t xml:space="preserve"> adjust it to a condition at the study site. For example, the value of views of an estuary </w:t>
      </w:r>
      <w:r w:rsidR="00315DDB" w:rsidRPr="00BC7A12">
        <w:rPr>
          <w:rFonts w:cs="Calibri"/>
        </w:rPr>
        <w:t xml:space="preserve">can be </w:t>
      </w:r>
      <w:r w:rsidRPr="00BC7A12">
        <w:rPr>
          <w:rFonts w:cs="Calibri"/>
        </w:rPr>
        <w:t>adjusted for the difference in average property values</w:t>
      </w:r>
      <w:r w:rsidR="00A83283" w:rsidRPr="00BC7A12">
        <w:rPr>
          <w:rFonts w:cs="Calibri"/>
        </w:rPr>
        <w:t xml:space="preserve"> </w:t>
      </w:r>
      <w:r w:rsidR="00A83283" w:rsidRPr="00BC7A12">
        <w:rPr>
          <w:rFonts w:cs="Calibri"/>
        </w:rPr>
        <w:fldChar w:fldCharType="begin" w:fldLock="1"/>
      </w:r>
      <w:r w:rsidR="00A83283" w:rsidRPr="00BC7A12">
        <w:rPr>
          <w:rFonts w:cs="Calibri"/>
        </w:rPr>
        <w:instrText>ADDIN CSL_CITATION {"citationItems":[{"id":"ITEM-1","itemData":{"abstract":"Wetlands provide critical contributions to biodiversity and ecosystem function in Australia. In recent years there has been a move to identifying, scoping and understanding the ecosystem services attributable to wetlands. This is largely due to the multitude of values wetlands provide. Ecosystem goods (such as food) and services (such as waste assimilation) represent the benefits human populations derive, directly or indirectly, from ecosystem function attributable to wetlands. Based on the Millennium Ecosystem Assessment framework1, ecosystem services from wetlands can be categorised into four broad categories. The categories are: ? Provisioning services. These are essentially the products obtained from wetland ecosystems such as fresh water and fish for human consumption. ? Regulating services. These are essentially the benefits to humans attributable to the regulation of ecosystem processes such as water treatment and local climate regulation. ? Supporting services. These services underpin the production of all other ecosystem services such as nutrient cycling, water cycling, and provisioning of habitat. ? Cultural services. These are typically non-material benefits received by people from direct and indirect interactions with wetlands such as recreation, aesthetic values, spiritual benefits (e.g. Indigenous connections with wetlands) and enhancements in knowledge. 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 Ecosystem","author":[{"dropping-particle":"","family":"Whiteoak","given":"Kym","non-dropping-particle":"","parse-names":false,"suffix":""},{"dropping-particle":"","family":"Binney","given":"Jim","non-dropping-particle":"","parse-names":false,"suffix":""}],"id":"ITEM-1","issued":{"date-parts":[["2012"]]},"page":"79","title":"Literature Review of the Economic Value of Ecosystem Services that Wetlands Provide Final Report","type":"article-journal"},"uris":["http://www.mendeley.com/documents/?uuid=7e99e545-96ba-4efc-9fe3-974103ef1eed"]}],"mendeley":{"formattedCitation":"(Whiteoak &amp; Binney 2012)","plainTextFormattedCitation":"(Whiteoak &amp; Binney 2012)","previouslyFormattedCitation":"(Whiteoak &amp; Binney 2012)"},"properties":{"noteIndex":0},"schema":"https://github.com/citation-style-language/schema/raw/master/csl-citation.json"}</w:instrText>
      </w:r>
      <w:r w:rsidR="00A83283" w:rsidRPr="00BC7A12">
        <w:rPr>
          <w:rFonts w:cs="Calibri"/>
        </w:rPr>
        <w:fldChar w:fldCharType="separate"/>
      </w:r>
      <w:r w:rsidR="00A83283" w:rsidRPr="00BC7A12">
        <w:rPr>
          <w:rFonts w:cs="Calibri"/>
          <w:noProof/>
        </w:rPr>
        <w:t>(Whiteoak &amp; Binney 2012)</w:t>
      </w:r>
      <w:r w:rsidR="00A83283" w:rsidRPr="00BC7A12">
        <w:rPr>
          <w:rFonts w:cs="Calibri"/>
        </w:rPr>
        <w:fldChar w:fldCharType="end"/>
      </w:r>
      <w:r w:rsidRPr="00BC7A12">
        <w:rPr>
          <w:rFonts w:cs="Calibri"/>
        </w:rPr>
        <w:t xml:space="preserve">. </w:t>
      </w:r>
    </w:p>
    <w:p w14:paraId="48CF3E19" w14:textId="67BE5E71" w:rsidR="006931D6" w:rsidRPr="00BC7A12" w:rsidRDefault="00AE772B" w:rsidP="007145DC">
      <w:pPr>
        <w:rPr>
          <w:rFonts w:cs="Calibri"/>
        </w:rPr>
      </w:pPr>
      <w:r w:rsidRPr="00BC7A12">
        <w:rPr>
          <w:rFonts w:cs="Calibri"/>
        </w:rPr>
        <w:t>Because a study site</w:t>
      </w:r>
      <w:r w:rsidR="000433F8" w:rsidRPr="00BC7A12">
        <w:rPr>
          <w:rFonts w:cs="Calibri"/>
        </w:rPr>
        <w:t>’</w:t>
      </w:r>
      <w:r w:rsidRPr="00BC7A12">
        <w:rPr>
          <w:rFonts w:cs="Calibri"/>
        </w:rPr>
        <w:t xml:space="preserve">s </w:t>
      </w:r>
      <w:r w:rsidR="000433F8" w:rsidRPr="00BC7A12">
        <w:rPr>
          <w:rFonts w:cs="Calibri"/>
        </w:rPr>
        <w:t xml:space="preserve">characteristics </w:t>
      </w:r>
      <w:r w:rsidR="00315DDB" w:rsidRPr="00BC7A12">
        <w:rPr>
          <w:rFonts w:cs="Calibri"/>
        </w:rPr>
        <w:t xml:space="preserve">often differ </w:t>
      </w:r>
      <w:r w:rsidR="002E51E4" w:rsidRPr="00BC7A12">
        <w:rPr>
          <w:rFonts w:cs="Calibri"/>
        </w:rPr>
        <w:t>from the reference site</w:t>
      </w:r>
      <w:r w:rsidR="000433F8" w:rsidRPr="00BC7A12">
        <w:rPr>
          <w:rFonts w:cs="Calibri"/>
        </w:rPr>
        <w:t>’s</w:t>
      </w:r>
      <w:r w:rsidR="002E51E4" w:rsidRPr="00BC7A12">
        <w:rPr>
          <w:rFonts w:cs="Calibri"/>
        </w:rPr>
        <w:t xml:space="preserve"> </w:t>
      </w:r>
      <w:r w:rsidRPr="00BC7A12">
        <w:rPr>
          <w:rFonts w:cs="Calibri"/>
        </w:rPr>
        <w:t xml:space="preserve">(e.g. size, quality of wetland, populations), </w:t>
      </w:r>
      <w:r w:rsidR="00315DDB" w:rsidRPr="00BC7A12">
        <w:rPr>
          <w:rFonts w:cs="Calibri"/>
        </w:rPr>
        <w:t xml:space="preserve">benefit transfer functions </w:t>
      </w:r>
      <w:r w:rsidR="00E814CD" w:rsidRPr="00BC7A12">
        <w:rPr>
          <w:rFonts w:cs="Calibri"/>
        </w:rPr>
        <w:t xml:space="preserve">can be </w:t>
      </w:r>
      <w:r w:rsidR="002E51E4" w:rsidRPr="00BC7A12">
        <w:rPr>
          <w:rFonts w:cs="Calibri"/>
        </w:rPr>
        <w:t xml:space="preserve">used to incorporate several </w:t>
      </w:r>
      <w:r w:rsidR="000433F8" w:rsidRPr="00BC7A12">
        <w:rPr>
          <w:rFonts w:cs="Calibri"/>
        </w:rPr>
        <w:t xml:space="preserve">characteristics into a function that is applied to the study site. Finally, </w:t>
      </w:r>
      <w:r w:rsidR="00731F94" w:rsidRPr="00BC7A12">
        <w:rPr>
          <w:rFonts w:cs="Calibri"/>
        </w:rPr>
        <w:t xml:space="preserve">with meta value transfers, the values </w:t>
      </w:r>
      <w:r w:rsidR="000433F8" w:rsidRPr="00BC7A12">
        <w:rPr>
          <w:rFonts w:cs="Calibri"/>
        </w:rPr>
        <w:t>and characteristic</w:t>
      </w:r>
      <w:r w:rsidR="00E814CD" w:rsidRPr="00BC7A12">
        <w:rPr>
          <w:rFonts w:cs="Calibri"/>
        </w:rPr>
        <w:t>s</w:t>
      </w:r>
      <w:r w:rsidR="000433F8" w:rsidRPr="00BC7A12">
        <w:rPr>
          <w:rFonts w:cs="Calibri"/>
        </w:rPr>
        <w:t xml:space="preserve"> </w:t>
      </w:r>
      <w:r w:rsidR="00731F94" w:rsidRPr="00BC7A12">
        <w:rPr>
          <w:rFonts w:cs="Calibri"/>
        </w:rPr>
        <w:t>from several reference</w:t>
      </w:r>
      <w:r w:rsidR="0078006D" w:rsidRPr="00BC7A12">
        <w:rPr>
          <w:rFonts w:cs="Calibri"/>
        </w:rPr>
        <w:t xml:space="preserve"> sites </w:t>
      </w:r>
      <w:r w:rsidR="000433F8" w:rsidRPr="00BC7A12">
        <w:rPr>
          <w:rFonts w:cs="Calibri"/>
        </w:rPr>
        <w:t xml:space="preserve">are used to create a transfer function. </w:t>
      </w:r>
      <w:r w:rsidR="005D6CA9" w:rsidRPr="00BC7A12">
        <w:rPr>
          <w:rFonts w:cs="Calibri"/>
        </w:rPr>
        <w:t>T</w:t>
      </w:r>
      <w:r w:rsidR="000433F8" w:rsidRPr="00BC7A12">
        <w:rPr>
          <w:rFonts w:cs="Calibri"/>
        </w:rPr>
        <w:t xml:space="preserve">hese more sophisticated </w:t>
      </w:r>
      <w:r w:rsidR="005D6CA9" w:rsidRPr="00BC7A12">
        <w:rPr>
          <w:rFonts w:cs="Calibri"/>
        </w:rPr>
        <w:t xml:space="preserve">benefit transfer </w:t>
      </w:r>
      <w:r w:rsidR="000433F8" w:rsidRPr="00BC7A12">
        <w:rPr>
          <w:rFonts w:cs="Calibri"/>
        </w:rPr>
        <w:t xml:space="preserve">techniques can reduce error rates in </w:t>
      </w:r>
      <w:r w:rsidR="0020073B" w:rsidRPr="00BC7A12">
        <w:rPr>
          <w:rFonts w:cs="Calibri"/>
        </w:rPr>
        <w:t xml:space="preserve">the highest quality studies </w:t>
      </w:r>
      <w:r w:rsidR="000433F8" w:rsidRPr="00BC7A12">
        <w:rPr>
          <w:rFonts w:cs="Calibri"/>
        </w:rPr>
        <w:t>from 50 to 20 percent</w:t>
      </w:r>
      <w:r w:rsidR="00267178" w:rsidRPr="00BC7A12">
        <w:rPr>
          <w:rFonts w:cs="Calibri"/>
        </w:rPr>
        <w:t xml:space="preserve">, </w:t>
      </w:r>
      <w:r w:rsidR="00E814CD" w:rsidRPr="00BC7A12">
        <w:rPr>
          <w:rFonts w:cs="Calibri"/>
        </w:rPr>
        <w:t>although this level of uncertainty may remain unsuitable in some decision making contexts</w:t>
      </w:r>
      <w:r w:rsidR="0066097A" w:rsidRPr="00BC7A12">
        <w:rPr>
          <w:rFonts w:cs="Calibri"/>
        </w:rPr>
        <w:t xml:space="preserve"> </w:t>
      </w:r>
      <w:r w:rsidR="0066097A" w:rsidRPr="00BC7A12">
        <w:rPr>
          <w:rFonts w:cs="Calibri"/>
        </w:rPr>
        <w:fldChar w:fldCharType="begin" w:fldLock="1"/>
      </w:r>
      <w:r w:rsidR="00FB04C8" w:rsidRPr="00BC7A12">
        <w:rPr>
          <w:rFonts w:cs="Calibri"/>
        </w:rPr>
        <w:instrText>ADDIN CSL_CITATION {"citationItems":[{"id":"ITEM-1","itemData":{"ISBN":"9781906246433","abstract":"Benefits transfer is the projection of benefits from one place and time to another to estimate the benefits of a proposed project or policy; this includes the adaptation of an original study to a new policy application at the same location. The appeal of a benefits transfer is that it can be cost effective, both monetarily and in time. Using previous studies, analysts can select existing results to construct a transferred value for the desired amenity influenced by the policy change. Benefits transfer practices are generally applicable to valuing ecosystem services as well as specific types of ecosystem services. An ideal benefits transfer will scale value estimates to both the ecosystem services and to the preferences of those who hold values; benefits transfers for many applications only do the latter.","author":[{"dropping-particle":"","family":"Boyle","given":"Kevin J","non-dropping-particle":"","parse-names":false,"suffix":""},{"dropping-particle":"","family":"Parmeter","given":"Christopher F","non-dropping-particle":"","parse-names":false,"suffix":""}],"id":"ITEM-1","issued":{"date-parts":[["2017"]]},"page":"1-34","title":"Benefit transfer for ecosystem services","type":"article"},"uris":["http://www.mendeley.com/documents/?uuid=bf573522-f8cb-4ba8-98ac-234f3c5bcdaa"]}],"mendeley":{"formattedCitation":"(Boyle &amp; Parmeter 2017)","plainTextFormattedCitation":"(Boyle &amp; Parmeter 2017)","previouslyFormattedCitation":"(Boyle &amp; Parmeter 2017)"},"properties":{"noteIndex":0},"schema":"https://github.com/citation-style-language/schema/raw/master/csl-citation.json"}</w:instrText>
      </w:r>
      <w:r w:rsidR="0066097A" w:rsidRPr="00BC7A12">
        <w:rPr>
          <w:rFonts w:cs="Calibri"/>
        </w:rPr>
        <w:fldChar w:fldCharType="separate"/>
      </w:r>
      <w:r w:rsidR="00FB04C8" w:rsidRPr="00BC7A12">
        <w:rPr>
          <w:rFonts w:cs="Calibri"/>
          <w:noProof/>
        </w:rPr>
        <w:t>(Boyle &amp; Parmeter 2017)</w:t>
      </w:r>
      <w:r w:rsidR="0066097A" w:rsidRPr="00BC7A12">
        <w:rPr>
          <w:rFonts w:cs="Calibri"/>
        </w:rPr>
        <w:fldChar w:fldCharType="end"/>
      </w:r>
      <w:r w:rsidR="0050194F" w:rsidRPr="00BC7A12">
        <w:rPr>
          <w:rFonts w:cs="Calibri"/>
        </w:rPr>
        <w:t>.</w:t>
      </w:r>
    </w:p>
    <w:p w14:paraId="73991506" w14:textId="77777777" w:rsidR="006931D6" w:rsidRPr="00BC7A12" w:rsidRDefault="006931D6" w:rsidP="007145DC">
      <w:pPr>
        <w:rPr>
          <w:rFonts w:cs="Calibri"/>
        </w:rPr>
      </w:pPr>
    </w:p>
    <w:p w14:paraId="2717D676" w14:textId="7DE3AE57" w:rsidR="008207E8" w:rsidRPr="00BC7A12" w:rsidRDefault="008207E8" w:rsidP="008207E8">
      <w:pPr>
        <w:pStyle w:val="Heading3"/>
        <w:rPr>
          <w:rFonts w:cs="Calibri"/>
        </w:rPr>
      </w:pPr>
      <w:bookmarkStart w:id="43" w:name="_Toc46822308"/>
      <w:r w:rsidRPr="00BC7A12">
        <w:rPr>
          <w:rFonts w:cs="Calibri"/>
        </w:rPr>
        <w:t xml:space="preserve">Hedonic </w:t>
      </w:r>
      <w:r w:rsidR="00233365" w:rsidRPr="00BC7A12">
        <w:rPr>
          <w:rFonts w:cs="Calibri"/>
        </w:rPr>
        <w:t>p</w:t>
      </w:r>
      <w:r w:rsidRPr="00BC7A12">
        <w:rPr>
          <w:rFonts w:cs="Calibri"/>
        </w:rPr>
        <w:t>ricing</w:t>
      </w:r>
      <w:r w:rsidR="00E814CD" w:rsidRPr="00BC7A12">
        <w:rPr>
          <w:rFonts w:cs="Calibri"/>
        </w:rPr>
        <w:t xml:space="preserve"> techniques</w:t>
      </w:r>
      <w:bookmarkEnd w:id="43"/>
    </w:p>
    <w:p w14:paraId="28FEB972" w14:textId="4B0785FD" w:rsidR="00852C0B" w:rsidRPr="00BC7A12" w:rsidRDefault="008207E8" w:rsidP="005C24D6">
      <w:pPr>
        <w:rPr>
          <w:rFonts w:cs="Calibri"/>
        </w:rPr>
      </w:pPr>
      <w:r w:rsidRPr="00BC7A12">
        <w:rPr>
          <w:rFonts w:cs="Calibri"/>
        </w:rPr>
        <w:t xml:space="preserve">Hedonic </w:t>
      </w:r>
      <w:r w:rsidR="008530F3" w:rsidRPr="00BC7A12">
        <w:rPr>
          <w:rFonts w:cs="Calibri"/>
        </w:rPr>
        <w:t xml:space="preserve">pricing </w:t>
      </w:r>
      <w:r w:rsidR="009E1653" w:rsidRPr="00BC7A12">
        <w:rPr>
          <w:rFonts w:cs="Calibri"/>
        </w:rPr>
        <w:t xml:space="preserve">techniques </w:t>
      </w:r>
      <w:r w:rsidRPr="00BC7A12">
        <w:rPr>
          <w:rFonts w:cs="Calibri"/>
        </w:rPr>
        <w:t xml:space="preserve">isolate the </w:t>
      </w:r>
      <w:r w:rsidR="008530F3" w:rsidRPr="00BC7A12">
        <w:rPr>
          <w:rFonts w:cs="Calibri"/>
        </w:rPr>
        <w:t xml:space="preserve">impact of specific </w:t>
      </w:r>
      <w:r w:rsidRPr="00BC7A12">
        <w:rPr>
          <w:rFonts w:cs="Calibri"/>
        </w:rPr>
        <w:t xml:space="preserve">variables on property prices </w:t>
      </w:r>
      <w:r w:rsidR="009E1653" w:rsidRPr="00BC7A12">
        <w:rPr>
          <w:rFonts w:cs="Calibri"/>
        </w:rPr>
        <w:t xml:space="preserve">to </w:t>
      </w:r>
      <w:r w:rsidRPr="00BC7A12">
        <w:rPr>
          <w:rFonts w:cs="Calibri"/>
        </w:rPr>
        <w:t>determine the effect of changes to ecosystem services on those property prices</w:t>
      </w:r>
      <w:r w:rsidR="00A83283" w:rsidRPr="00BC7A12">
        <w:rPr>
          <w:rFonts w:cs="Calibri"/>
        </w:rPr>
        <w:t xml:space="preserve"> </w:t>
      </w:r>
      <w:r w:rsidR="00A83283" w:rsidRPr="00BC7A12">
        <w:rPr>
          <w:rFonts w:cs="Calibri"/>
        </w:rPr>
        <w:fldChar w:fldCharType="begin" w:fldLock="1"/>
      </w:r>
      <w:r w:rsidR="000B08DD" w:rsidRPr="00BC7A12">
        <w:rPr>
          <w:rFonts w:cs="Calibri"/>
        </w:rPr>
        <w:instrText>ADDIN CSL_CITATION {"citationItems":[{"id":"ITEM-1","itemData":{"abstract":"Wetlands provide critical contributions to biodiversity and ecosystem function in Australia. In recent years there has been a move to identifying, scoping and understanding the ecosystem services attributable to wetlands. This is largely due to the multitude of values wetlands provide. Ecosystem goods (such as food) and services (such as waste assimilation) represent the benefits human populations derive, directly or indirectly, from ecosystem function attributable to wetlands. Based on the Millennium Ecosystem Assessment framework1, ecosystem services from wetlands can be categorised into four broad categories. The categories are: ? Provisioning services. These are essentially the products obtained from wetland ecosystems such as fresh water and fish for human consumption. ? Regulating services. These are essentially the benefits to humans attributable to the regulation of ecosystem processes such as water treatment and local climate regulation. ? Supporting services. These services underpin the production of all other ecosystem services such as nutrient cycling, water cycling, and provisioning of habitat. ? Cultural services. These are typically non-material benefits received by people from direct and indirect interactions with wetlands such as recreation, aesthetic values, spiritual benefits (e.g. Indigenous connections with wetlands) and enhancements in knowledge. 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 Ecosystem","author":[{"dropping-particle":"","family":"Whiteoak","given":"Kym","non-dropping-particle":"","parse-names":false,"suffix":""},{"dropping-particle":"","family":"Binney","given":"Jim","non-dropping-particle":"","parse-names":false,"suffix":""}],"id":"ITEM-1","issued":{"date-parts":[["2012"]]},"page":"79","title":"Literature Review of the Economic Value of Ecosystem Services that Wetlands Provide Final Report","type":"article-journal"},"uris":["http://www.mendeley.com/documents/?uuid=7e99e545-96ba-4efc-9fe3-974103ef1eed"]}],"mendeley":{"formattedCitation":"(Whiteoak &amp; Binney 2012)","plainTextFormattedCitation":"(Whiteoak &amp; Binney 2012)","previouslyFormattedCitation":"(Whiteoak &amp; Binney 2012)"},"properties":{"noteIndex":0},"schema":"https://github.com/citation-style-language/schema/raw/master/csl-citation.json"}</w:instrText>
      </w:r>
      <w:r w:rsidR="00A83283" w:rsidRPr="00BC7A12">
        <w:rPr>
          <w:rFonts w:cs="Calibri"/>
        </w:rPr>
        <w:fldChar w:fldCharType="separate"/>
      </w:r>
      <w:r w:rsidR="00A83283" w:rsidRPr="00BC7A12">
        <w:rPr>
          <w:rFonts w:cs="Calibri"/>
          <w:noProof/>
        </w:rPr>
        <w:t>(Whiteoak &amp; Binney 2012)</w:t>
      </w:r>
      <w:r w:rsidR="00A83283" w:rsidRPr="00BC7A12">
        <w:rPr>
          <w:rFonts w:cs="Calibri"/>
        </w:rPr>
        <w:fldChar w:fldCharType="end"/>
      </w:r>
      <w:r w:rsidRPr="00BC7A12">
        <w:rPr>
          <w:rFonts w:cs="Calibri"/>
        </w:rPr>
        <w:t xml:space="preserve">. </w:t>
      </w:r>
      <w:r w:rsidR="009E1653" w:rsidRPr="00BC7A12">
        <w:rPr>
          <w:rFonts w:cs="Calibri"/>
        </w:rPr>
        <w:t>For example, coastal properties more prone to coastal erosion</w:t>
      </w:r>
      <w:r w:rsidR="00A41F21" w:rsidRPr="00BC7A12">
        <w:rPr>
          <w:rFonts w:cs="Calibri"/>
        </w:rPr>
        <w:t xml:space="preserve"> could </w:t>
      </w:r>
      <w:r w:rsidR="0068223A" w:rsidRPr="00BC7A12">
        <w:rPr>
          <w:rFonts w:cs="Calibri"/>
        </w:rPr>
        <w:t xml:space="preserve">have </w:t>
      </w:r>
      <w:r w:rsidR="009E1653" w:rsidRPr="00BC7A12">
        <w:rPr>
          <w:rFonts w:cs="Calibri"/>
        </w:rPr>
        <w:t xml:space="preserve">lower prices if the market is responding to </w:t>
      </w:r>
      <w:r w:rsidR="000B2FA2" w:rsidRPr="00BC7A12">
        <w:rPr>
          <w:rFonts w:cs="Calibri"/>
        </w:rPr>
        <w:t xml:space="preserve">coastal erosion </w:t>
      </w:r>
      <w:r w:rsidR="009E1653" w:rsidRPr="00BC7A12">
        <w:rPr>
          <w:rFonts w:cs="Calibri"/>
        </w:rPr>
        <w:t xml:space="preserve">risk </w:t>
      </w:r>
      <w:r w:rsidR="009E1653" w:rsidRPr="00BC7A12">
        <w:rPr>
          <w:rFonts w:cs="Calibri"/>
        </w:rPr>
        <w:fldChar w:fldCharType="begin" w:fldLock="1"/>
      </w:r>
      <w:r w:rsidR="009E1653" w:rsidRPr="00BC7A12">
        <w:rPr>
          <w:rFonts w:cs="Calibri"/>
        </w:rPr>
        <w:instrText>ADDIN CSL_CITATION {"citationItems":[{"id":"ITEM-1","itemData":{"author":[{"dropping-particle":"","family":"Anning","given":"David","non-dropping-particle":"","parse-names":false,"suffix":""}],"id":"ITEM-1","issued":{"date-parts":[["2012"]]},"publisher":"University of New South Wales","title":"Estimation of the economic importance of beaches in Sydney , Australia , and implications for management S","type":"thesis"},"uris":["http://www.mendeley.com/documents/?uuid=c896940b-1f51-4104-883e-d5086e9a577f"]}],"mendeley":{"formattedCitation":"(Anning 2012)","plainTextFormattedCitation":"(Anning 2012)","previouslyFormattedCitation":"(Anning 2012)"},"properties":{"noteIndex":0},"schema":"https://github.com/citation-style-language/schema/raw/master/csl-citation.json"}</w:instrText>
      </w:r>
      <w:r w:rsidR="009E1653" w:rsidRPr="00BC7A12">
        <w:rPr>
          <w:rFonts w:cs="Calibri"/>
        </w:rPr>
        <w:fldChar w:fldCharType="separate"/>
      </w:r>
      <w:r w:rsidR="009E1653" w:rsidRPr="00BC7A12">
        <w:rPr>
          <w:rFonts w:cs="Calibri"/>
          <w:noProof/>
        </w:rPr>
        <w:t>(Anning 2012)</w:t>
      </w:r>
      <w:r w:rsidR="009E1653" w:rsidRPr="00BC7A12">
        <w:rPr>
          <w:rFonts w:cs="Calibri"/>
        </w:rPr>
        <w:fldChar w:fldCharType="end"/>
      </w:r>
      <w:r w:rsidR="0050194F" w:rsidRPr="00BC7A12">
        <w:rPr>
          <w:rFonts w:cs="Calibri"/>
        </w:rPr>
        <w:t>.</w:t>
      </w:r>
      <w:r w:rsidR="009E1653" w:rsidRPr="00BC7A12">
        <w:rPr>
          <w:rFonts w:cs="Calibri"/>
        </w:rPr>
        <w:t xml:space="preserve"> </w:t>
      </w:r>
      <w:r w:rsidRPr="00BC7A12">
        <w:rPr>
          <w:rFonts w:cs="Calibri"/>
        </w:rPr>
        <w:t xml:space="preserve">The </w:t>
      </w:r>
      <w:r w:rsidR="009E1653" w:rsidRPr="00BC7A12">
        <w:rPr>
          <w:rFonts w:cs="Calibri"/>
        </w:rPr>
        <w:t xml:space="preserve">technique </w:t>
      </w:r>
      <w:r w:rsidRPr="00BC7A12">
        <w:rPr>
          <w:rFonts w:cs="Calibri"/>
        </w:rPr>
        <w:t>is robust</w:t>
      </w:r>
      <w:r w:rsidR="00A41F21" w:rsidRPr="00BC7A12">
        <w:rPr>
          <w:rFonts w:cs="Calibri"/>
        </w:rPr>
        <w:t xml:space="preserve">, </w:t>
      </w:r>
      <w:r w:rsidRPr="00BC7A12">
        <w:rPr>
          <w:rFonts w:cs="Calibri"/>
        </w:rPr>
        <w:t>data intensive</w:t>
      </w:r>
      <w:r w:rsidR="00A41F21" w:rsidRPr="00BC7A12">
        <w:rPr>
          <w:rFonts w:cs="Calibri"/>
        </w:rPr>
        <w:t xml:space="preserve"> (e.g. </w:t>
      </w:r>
      <w:r w:rsidRPr="00BC7A12">
        <w:rPr>
          <w:rFonts w:cs="Calibri"/>
        </w:rPr>
        <w:t xml:space="preserve">property </w:t>
      </w:r>
      <w:r w:rsidRPr="00BC7A12">
        <w:rPr>
          <w:rFonts w:cs="Calibri"/>
        </w:rPr>
        <w:lastRenderedPageBreak/>
        <w:t>sales data</w:t>
      </w:r>
      <w:r w:rsidR="00A41F21" w:rsidRPr="00BC7A12">
        <w:rPr>
          <w:rFonts w:cs="Calibri"/>
        </w:rPr>
        <w:t>)</w:t>
      </w:r>
      <w:r w:rsidRPr="00BC7A12">
        <w:rPr>
          <w:rFonts w:cs="Calibri"/>
        </w:rPr>
        <w:t xml:space="preserve"> </w:t>
      </w:r>
      <w:r w:rsidR="009E1653" w:rsidRPr="00BC7A12">
        <w:rPr>
          <w:rFonts w:cs="Calibri"/>
        </w:rPr>
        <w:t xml:space="preserve">and requires </w:t>
      </w:r>
      <w:r w:rsidR="00E332DE" w:rsidRPr="00BC7A12">
        <w:rPr>
          <w:rFonts w:cs="Calibri"/>
        </w:rPr>
        <w:t xml:space="preserve">specialised </w:t>
      </w:r>
      <w:r w:rsidR="00F10A96" w:rsidRPr="00BC7A12">
        <w:rPr>
          <w:rFonts w:cs="Calibri"/>
        </w:rPr>
        <w:t xml:space="preserve">statistical </w:t>
      </w:r>
      <w:r w:rsidRPr="00BC7A12">
        <w:rPr>
          <w:rFonts w:cs="Calibri"/>
        </w:rPr>
        <w:t>skills.</w:t>
      </w:r>
      <w:r w:rsidR="009E1653" w:rsidRPr="00BC7A12">
        <w:rPr>
          <w:rFonts w:cs="Calibri"/>
        </w:rPr>
        <w:t xml:space="preserve"> </w:t>
      </w:r>
      <w:r w:rsidR="00A41F21" w:rsidRPr="00BC7A12">
        <w:rPr>
          <w:rFonts w:cs="Calibri"/>
        </w:rPr>
        <w:t>No h</w:t>
      </w:r>
      <w:r w:rsidR="008327F1" w:rsidRPr="00BC7A12">
        <w:rPr>
          <w:rFonts w:cs="Calibri"/>
        </w:rPr>
        <w:t xml:space="preserve">edonic pricing </w:t>
      </w:r>
      <w:r w:rsidR="00A41F21" w:rsidRPr="00BC7A12">
        <w:rPr>
          <w:rFonts w:cs="Calibri"/>
        </w:rPr>
        <w:t xml:space="preserve">examples were captured </w:t>
      </w:r>
      <w:r w:rsidR="009E1653" w:rsidRPr="00BC7A12">
        <w:rPr>
          <w:rFonts w:cs="Calibri"/>
        </w:rPr>
        <w:t xml:space="preserve">in </w:t>
      </w:r>
      <w:r w:rsidR="008327F1" w:rsidRPr="00BC7A12">
        <w:rPr>
          <w:rFonts w:cs="Calibri"/>
        </w:rPr>
        <w:t xml:space="preserve">this literature </w:t>
      </w:r>
      <w:r w:rsidR="009E1653" w:rsidRPr="00BC7A12">
        <w:rPr>
          <w:rFonts w:cs="Calibri"/>
        </w:rPr>
        <w:t xml:space="preserve">review. </w:t>
      </w:r>
      <w:r w:rsidR="00A41F21" w:rsidRPr="00BC7A12">
        <w:rPr>
          <w:rFonts w:cs="Calibri"/>
        </w:rPr>
        <w:t xml:space="preserve">This </w:t>
      </w:r>
      <w:r w:rsidR="008327F1" w:rsidRPr="00BC7A12">
        <w:rPr>
          <w:rFonts w:cs="Calibri"/>
        </w:rPr>
        <w:t xml:space="preserve">may </w:t>
      </w:r>
      <w:r w:rsidR="009E1653" w:rsidRPr="00BC7A12">
        <w:rPr>
          <w:rFonts w:cs="Calibri"/>
        </w:rPr>
        <w:t xml:space="preserve">reflect the </w:t>
      </w:r>
      <w:r w:rsidR="008327F1" w:rsidRPr="00BC7A12">
        <w:rPr>
          <w:rFonts w:cs="Calibri"/>
        </w:rPr>
        <w:t>unique data required for hedonic analysis</w:t>
      </w:r>
      <w:r w:rsidR="00511E5D" w:rsidRPr="00BC7A12">
        <w:rPr>
          <w:rStyle w:val="FootnoteReference"/>
          <w:rFonts w:cs="Calibri"/>
        </w:rPr>
        <w:footnoteReference w:id="5"/>
      </w:r>
      <w:r w:rsidR="009E1653" w:rsidRPr="00BC7A12">
        <w:rPr>
          <w:rFonts w:cs="Calibri"/>
        </w:rPr>
        <w:t xml:space="preserve"> or the </w:t>
      </w:r>
      <w:r w:rsidR="00A41F21" w:rsidRPr="00BC7A12">
        <w:rPr>
          <w:rFonts w:cs="Calibri"/>
        </w:rPr>
        <w:t xml:space="preserve">Australian </w:t>
      </w:r>
      <w:r w:rsidR="00390B03" w:rsidRPr="00BC7A12">
        <w:rPr>
          <w:rFonts w:cs="Calibri"/>
        </w:rPr>
        <w:t xml:space="preserve">real estate </w:t>
      </w:r>
      <w:r w:rsidR="00A41F21" w:rsidRPr="00BC7A12">
        <w:rPr>
          <w:rFonts w:cs="Calibri"/>
        </w:rPr>
        <w:t xml:space="preserve">market not </w:t>
      </w:r>
      <w:r w:rsidR="00411174">
        <w:rPr>
          <w:rFonts w:cs="Calibri"/>
        </w:rPr>
        <w:t xml:space="preserve">yet </w:t>
      </w:r>
      <w:r w:rsidR="00A41F21" w:rsidRPr="00BC7A12">
        <w:rPr>
          <w:rFonts w:cs="Calibri"/>
        </w:rPr>
        <w:t xml:space="preserve">incorporating </w:t>
      </w:r>
      <w:r w:rsidR="009E1653" w:rsidRPr="00BC7A12">
        <w:rPr>
          <w:rFonts w:cs="Calibri"/>
        </w:rPr>
        <w:t>DRR ecosystem services from coastal wetlands</w:t>
      </w:r>
      <w:r w:rsidR="00A41F21" w:rsidRPr="00BC7A12">
        <w:rPr>
          <w:rFonts w:cs="Calibri"/>
        </w:rPr>
        <w:t xml:space="preserve"> </w:t>
      </w:r>
      <w:r w:rsidR="00876CDA" w:rsidRPr="00BC7A12">
        <w:rPr>
          <w:rFonts w:cs="Calibri"/>
        </w:rPr>
        <w:fldChar w:fldCharType="begin" w:fldLock="1"/>
      </w:r>
      <w:r w:rsidR="008829D2" w:rsidRPr="00BC7A12">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2020a)","manualFormatting":"(Mallon in IDEEA Group 2020a)","plainTextFormattedCitation":"(IDEEA Group 2020a)","previouslyFormattedCitation":"(IDEEA Group 2020a)"},"properties":{"noteIndex":0},"schema":"https://github.com/citation-style-language/schema/raw/master/csl-citation.json"}</w:instrText>
      </w:r>
      <w:r w:rsidR="00876CDA" w:rsidRPr="00BC7A12">
        <w:rPr>
          <w:rFonts w:cs="Calibri"/>
        </w:rPr>
        <w:fldChar w:fldCharType="separate"/>
      </w:r>
      <w:r w:rsidR="00876CDA" w:rsidRPr="00BC7A12">
        <w:rPr>
          <w:rFonts w:cs="Calibri"/>
          <w:noProof/>
        </w:rPr>
        <w:t>(Mallon in IDEEA Group 2020</w:t>
      </w:r>
      <w:r w:rsidR="002F3371" w:rsidRPr="00BC7A12">
        <w:rPr>
          <w:rFonts w:cs="Calibri"/>
          <w:noProof/>
        </w:rPr>
        <w:t>a</w:t>
      </w:r>
      <w:r w:rsidR="00876CDA" w:rsidRPr="00BC7A12">
        <w:rPr>
          <w:rFonts w:cs="Calibri"/>
          <w:noProof/>
        </w:rPr>
        <w:t>)</w:t>
      </w:r>
      <w:r w:rsidR="00876CDA" w:rsidRPr="00BC7A12">
        <w:rPr>
          <w:rFonts w:cs="Calibri"/>
        </w:rPr>
        <w:fldChar w:fldCharType="end"/>
      </w:r>
      <w:r w:rsidR="0050194F" w:rsidRPr="00BC7A12">
        <w:rPr>
          <w:rFonts w:cs="Calibri"/>
        </w:rPr>
        <w:t>.</w:t>
      </w:r>
    </w:p>
    <w:p w14:paraId="490F05E7" w14:textId="233810A9" w:rsidR="00C83875" w:rsidRPr="00BC7A12" w:rsidRDefault="00C83875" w:rsidP="00C83875">
      <w:pPr>
        <w:pStyle w:val="Caption"/>
        <w:keepNext/>
        <w:rPr>
          <w:rFonts w:cs="Calibri"/>
          <w:i w:val="0"/>
          <w:iCs w:val="0"/>
        </w:rPr>
      </w:pPr>
      <w:bookmarkStart w:id="44" w:name="_Ref43034682"/>
      <w:bookmarkStart w:id="45" w:name="_Toc46821741"/>
      <w:bookmarkStart w:id="46" w:name="_Ref43034673"/>
      <w:r w:rsidRPr="00BC7A12">
        <w:rPr>
          <w:rFonts w:cs="Calibri"/>
          <w:i w:val="0"/>
          <w:iCs w:val="0"/>
        </w:rPr>
        <w:t>Table</w:t>
      </w:r>
      <w:r w:rsidR="00890C8E">
        <w:rPr>
          <w:rFonts w:cs="Calibri"/>
          <w:i w:val="0"/>
          <w:iCs w:val="0"/>
        </w:rPr>
        <w:t xml:space="preserve"> </w:t>
      </w:r>
      <w:r w:rsidR="0015503F" w:rsidRPr="00BC7A12">
        <w:rPr>
          <w:rFonts w:cs="Calibri"/>
          <w:i w:val="0"/>
          <w:iCs w:val="0"/>
        </w:rPr>
        <w:fldChar w:fldCharType="begin"/>
      </w:r>
      <w:r w:rsidR="0015503F" w:rsidRPr="00BC7A12">
        <w:rPr>
          <w:rFonts w:cs="Calibri"/>
          <w:i w:val="0"/>
          <w:iCs w:val="0"/>
        </w:rPr>
        <w:instrText xml:space="preserve"> SEQ Table \* ARABIC </w:instrText>
      </w:r>
      <w:r w:rsidR="0015503F" w:rsidRPr="00BC7A12">
        <w:rPr>
          <w:rFonts w:cs="Calibri"/>
          <w:i w:val="0"/>
          <w:iCs w:val="0"/>
        </w:rPr>
        <w:fldChar w:fldCharType="separate"/>
      </w:r>
      <w:r w:rsidR="00657E34">
        <w:rPr>
          <w:rFonts w:cs="Calibri"/>
          <w:i w:val="0"/>
          <w:iCs w:val="0"/>
          <w:noProof/>
        </w:rPr>
        <w:t>2</w:t>
      </w:r>
      <w:r w:rsidR="0015503F" w:rsidRPr="00BC7A12">
        <w:rPr>
          <w:rFonts w:cs="Calibri"/>
          <w:i w:val="0"/>
          <w:iCs w:val="0"/>
          <w:noProof/>
        </w:rPr>
        <w:fldChar w:fldCharType="end"/>
      </w:r>
      <w:bookmarkEnd w:id="44"/>
      <w:r w:rsidRPr="00BC7A12">
        <w:rPr>
          <w:rFonts w:cs="Calibri"/>
          <w:i w:val="0"/>
          <w:iCs w:val="0"/>
        </w:rPr>
        <w:t xml:space="preserve"> Summary of DRR valuation techniques </w:t>
      </w:r>
      <w:r w:rsidR="008F427D" w:rsidRPr="00BC7A12">
        <w:rPr>
          <w:rFonts w:cs="Calibri"/>
          <w:i w:val="0"/>
          <w:iCs w:val="0"/>
        </w:rPr>
        <w:fldChar w:fldCharType="begin" w:fldLock="1"/>
      </w:r>
      <w:r w:rsidR="00B15117" w:rsidRPr="00BC7A12">
        <w:rPr>
          <w:rFonts w:cs="Calibri"/>
          <w:i w:val="0"/>
          <w:iCs w:val="0"/>
        </w:rPr>
        <w:instrText>ADDIN CSL_CITATION {"citationItems":[{"id":"ITEM-1","itemData":{"DOI":"10.1787/9789264085169-en","ISBN":"9789264085152","author":[{"dropping-particle":"","family":"Organisation for Economic Co-Operation and Development","given":"","non-dropping-particle":"","parse-names":false,"suffix":""}],"id":"ITEM-1","issued":{"date-parts":[["2018","6","25"]]},"number-of-pages":"40","publisher":"OECD","publisher-place":"Paris","title":"Cost-Benefit Analysis and the Environment","type":"book"},"uris":["http://www.mendeley.com/documents/?uuid=e9a27492-d317-457f-9b2d-9b3c84487068"]},{"id":"ITEM-2","itemData":{"DOI":"10.1086/691697","ISSN":"2333-5955","author":[{"dropping-particle":"","family":"Johnston","given":"Robert J.","non-dropping-particle":"","parse-names":false,"suffix":""},{"dropping-particle":"","family":"Boyle","given":"Kevin J.","non-dropping-particle":"","parse-names":false,"suffix":""},{"dropping-particle":"","family":"Adamowicz","given":"Wiktor (Vic)","non-dropping-particle":"","parse-names":false,"suffix":""},{"dropping-particle":"","family":"Bennett","given":"Jeff","non-dropping-particle":"","parse-names":false,"suffix":""},{"dropping-particle":"","family":"Brouwer","given":"Roy","non-dropping-particle":"","parse-names":false,"suffix":""},{"dropping-particle":"","family":"Cameron","given":"Trudy Ann","non-dropping-particle":"","parse-names":false,"suffix":""},{"dropping-particle":"","family":"Hanemann","given":"W. Michael","non-dropping-particle":"","parse-names":false,"suffix":""},{"dropping-particle":"","family":"Hanley","given":"Nick","non-dropping-particle":"","parse-names":false,"suffix":""},{"dropping-particle":"","family":"Ryan","given":"Mandy","non-dropping-particle":"","parse-names":false,"suffix":""},{"dropping-particle":"","family":"Scarpa","given":"Riccardo","non-dropping-particle":"","parse-names":false,"suffix":""},{"dropping-particle":"","family":"Tourangeau","given":"Roger","non-dropping-particle":"","parse-names":false,"suffix":""},{"dropping-particle":"","family":"Vossler","given":"Christian A.","non-dropping-particle":"","parse-names":false,"suffix":""}],"container-title":"Journal of the Association of Environmental and Resource Economists","id":"ITEM-2","issue":"2","issued":{"date-parts":[["2017","6"]]},"page":"319-405","title":"Contemporary Guidance for Stated Preference Studies","type":"article-journal","volume":"4"},"uris":["http://www.mendeley.com/documents/?uuid=62977efd-9b7c-418f-9ab2-e753a24b3366"]},{"id":"ITEM-3","itemData":{"abstract":"Wetlands provide critical contributions to biodiversity and ecosystem function in Australia. In recent years there has been a move to identifying, scoping and understanding the ecosystem services attributable to wetlands. This is largely due to the multitude of values wetlands provide. Ecosystem goods (such as food) and services (such as waste assimilation) represent the benefits human populations derive, directly or indirectly, from ecosystem function attributable to wetlands. Based on the Millennium Ecosystem Assessment framework1, ecosystem services from wetlands can be categorised into four broad categories. The categories are: ? Provisioning services. These are essentially the products obtained from wetland ecosystems such as fresh water and fish for human consumption. ? Regulating services. These are essentially the benefits to humans attributable to the regulation of ecosystem processes such as water treatment and local climate regulation. ? Supporting services. These services underpin the production of all other ecosystem services such as nutrient cycling, water cycling, and provisioning of habitat. ? Cultural services. These are typically non-material benefits received by people from direct and indirect interactions with wetlands such as recreation, aesthetic values, spiritual benefits (e.g. Indigenous connections with wetlands) and enhancements in knowledge. 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 Ecosystem","author":[{"dropping-particle":"","family":"Whiteoak","given":"Kym","non-dropping-particle":"","parse-names":false,"suffix":""},{"dropping-particle":"","family":"Binney","given":"Jim","non-dropping-particle":"","parse-names":false,"suffix":""}],"id":"ITEM-3","issued":{"date-parts":[["2012"]]},"page":"79","title":"Literature Review of the Economic Value of Ecosystem Services that Wetlands Provide Final Report","type":"article-journal"},"uris":["http://www.mendeley.com/documents/?uuid=7e99e545-96ba-4efc-9fe3-974103ef1eed"]},{"id":"ITEM-4","itemData":{"DOI":"10.1007/s10640-005-3104-4","ISSN":"09246460","abstract":"Wetlands are highly productive ecosystems, providing a number of goods and services that are of value to people. The open-access nature and the public-good characteristics of wetlands often result in these regions being undervalued in decisions relating to their use and conservation. There is now a substantial literature on wetland valuation, including two meta-analyses that examine subsets of the available wetland valuation literature. We collected over 190 wetland valuation studies, providing 215 value observations, in order to present a more comprehensive meta-analysis of the valuation literature that includes tropical wetlands (e.g., mangroves), estimates from diverse valuation methodologies, and a broader range of wetland services (e.g., biodiversity value). We also aim for a more comprehensive geographical coverage. We find that socio-economic variables, such as income and population density, that are often omitted from such analyses are important in explaining wetland value. We also assess the prospects for using this analysis for out-of-sample value transfer, and find average transfer errors of 74%, with just under one-fifth of the transfers showing errors of 10% or less. © Springer 2006.","author":[{"dropping-particle":"","family":"Brander","given":"Luke M.","non-dropping-particle":"","parse-names":false,"suffix":""},{"dropping-particle":"","family":"Florax","given":"Raymond J.G.M.","non-dropping-particle":"","parse-names":false,"suffix":""},{"dropping-particle":"","family":"Vermaat","given":"Jan E.","non-dropping-particle":"","parse-names":false,"suffix":""}],"container-title":"Environmental and Resource Economics","id":"ITEM-4","issue":"2","issued":{"date-parts":[["2006"]]},"page":"223-250","title":"The empirics of wetland valuation: A comprehensive summary and a meta-analysis of the literature","type":"article-journal","volume":"33"},"uris":["http://www.mendeley.com/documents/?uuid=abaf2b7e-4bbe-4cc1-a1aa-73cd27172f6a"]}],"mendeley":{"formattedCitation":"(Organisation for Economic Co-Operation and Development 2018, Johnston et al. 2017, Whiteoak &amp; Binney 2012, Brander et al. 2006)","plainTextFormattedCitation":"(Organisation for Economic Co-Operation and Development 2018, Johnston et al. 2017, Whiteoak &amp; Binney 2012, Brander et al. 2006)","previouslyFormattedCitation":"(Organisation for Economic Co-Operation and Development 2018, Johnston et al. 2017, Whiteoak &amp; Binney 2012, Brander et al. 2006)"},"properties":{"noteIndex":0},"schema":"https://github.com/citation-style-language/schema/raw/master/csl-citation.json"}</w:instrText>
      </w:r>
      <w:r w:rsidR="008F427D" w:rsidRPr="00BC7A12">
        <w:rPr>
          <w:rFonts w:cs="Calibri"/>
          <w:i w:val="0"/>
          <w:iCs w:val="0"/>
        </w:rPr>
        <w:fldChar w:fldCharType="separate"/>
      </w:r>
      <w:r w:rsidR="007D200F" w:rsidRPr="00BC7A12">
        <w:rPr>
          <w:rFonts w:cs="Calibri"/>
          <w:i w:val="0"/>
          <w:iCs w:val="0"/>
          <w:noProof/>
        </w:rPr>
        <w:t>(Organisation for Economic Co-Operation and Development 2018, Johnston et al. 2017, Whiteoak &amp; Binney 2012, Brander et al. 2006)</w:t>
      </w:r>
      <w:bookmarkEnd w:id="45"/>
      <w:r w:rsidR="008F427D" w:rsidRPr="00BC7A12">
        <w:rPr>
          <w:rFonts w:cs="Calibri"/>
          <w:i w:val="0"/>
          <w:iCs w:val="0"/>
        </w:rPr>
        <w:fldChar w:fldCharType="end"/>
      </w:r>
      <w:bookmarkEnd w:id="46"/>
    </w:p>
    <w:tbl>
      <w:tblPr>
        <w:tblStyle w:val="GridTable4-Accent1"/>
        <w:tblpPr w:leftFromText="180" w:rightFromText="180" w:vertAnchor="text" w:tblpY="1"/>
        <w:tblW w:w="0" w:type="auto"/>
        <w:tblLook w:val="04A0" w:firstRow="1" w:lastRow="0" w:firstColumn="1" w:lastColumn="0" w:noHBand="0" w:noVBand="1"/>
      </w:tblPr>
      <w:tblGrid>
        <w:gridCol w:w="1237"/>
        <w:gridCol w:w="1434"/>
        <w:gridCol w:w="1954"/>
        <w:gridCol w:w="1863"/>
        <w:gridCol w:w="2528"/>
      </w:tblGrid>
      <w:tr w:rsidR="00950E1B" w:rsidRPr="00BC7A12" w14:paraId="302D186C" w14:textId="77777777" w:rsidTr="00064561">
        <w:trPr>
          <w:cnfStyle w:val="100000000000" w:firstRow="1" w:lastRow="0" w:firstColumn="0" w:lastColumn="0" w:oddVBand="0" w:evenVBand="0" w:oddHBand="0" w:evenHBand="0" w:firstRowFirstColumn="0" w:firstRowLastColumn="0" w:lastRowFirstColumn="0" w:lastRowLastColumn="0"/>
          <w:trHeight w:val="437"/>
          <w:tblHeader/>
        </w:trPr>
        <w:tc>
          <w:tcPr>
            <w:cnfStyle w:val="001000000000" w:firstRow="0" w:lastRow="0" w:firstColumn="1" w:lastColumn="0" w:oddVBand="0" w:evenVBand="0" w:oddHBand="0" w:evenHBand="0" w:firstRowFirstColumn="0" w:firstRowLastColumn="0" w:lastRowFirstColumn="0" w:lastRowLastColumn="0"/>
            <w:tcW w:w="0" w:type="auto"/>
          </w:tcPr>
          <w:p w14:paraId="21EF98BA" w14:textId="1C6E08F1" w:rsidR="00064561" w:rsidRPr="00BC7A12" w:rsidRDefault="00064561" w:rsidP="00861E88">
            <w:pPr>
              <w:rPr>
                <w:rFonts w:cs="Calibri"/>
                <w:sz w:val="20"/>
                <w:szCs w:val="20"/>
              </w:rPr>
            </w:pPr>
            <w:r w:rsidRPr="00BC7A12">
              <w:rPr>
                <w:rFonts w:cs="Calibri"/>
              </w:rPr>
              <w:t xml:space="preserve">Group </w:t>
            </w:r>
          </w:p>
        </w:tc>
        <w:tc>
          <w:tcPr>
            <w:tcW w:w="0" w:type="auto"/>
          </w:tcPr>
          <w:p w14:paraId="7FC2E14C" w14:textId="52EA14E1" w:rsidR="00064561" w:rsidRPr="00BC7A12" w:rsidRDefault="00064561" w:rsidP="00064561">
            <w:pPr>
              <w:spacing w:after="0"/>
              <w:cnfStyle w:val="100000000000" w:firstRow="1" w:lastRow="0" w:firstColumn="0" w:lastColumn="0" w:oddVBand="0" w:evenVBand="0" w:oddHBand="0" w:evenHBand="0" w:firstRowFirstColumn="0" w:firstRowLastColumn="0" w:lastRowFirstColumn="0" w:lastRowLastColumn="0"/>
              <w:rPr>
                <w:rFonts w:cs="Calibri"/>
                <w:b w:val="0"/>
                <w:bCs w:val="0"/>
              </w:rPr>
            </w:pPr>
            <w:r w:rsidRPr="00BC7A12">
              <w:rPr>
                <w:rFonts w:cs="Calibri"/>
              </w:rPr>
              <w:t>Technique</w:t>
            </w:r>
          </w:p>
        </w:tc>
        <w:tc>
          <w:tcPr>
            <w:tcW w:w="0" w:type="auto"/>
          </w:tcPr>
          <w:p w14:paraId="724A169E" w14:textId="0E4F7BAF" w:rsidR="00064561" w:rsidRPr="00BC7A12" w:rsidRDefault="00064561" w:rsidP="00861E88">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BC7A12">
              <w:rPr>
                <w:rFonts w:cs="Calibri"/>
              </w:rPr>
              <w:t>Description</w:t>
            </w:r>
          </w:p>
        </w:tc>
        <w:tc>
          <w:tcPr>
            <w:tcW w:w="0" w:type="auto"/>
          </w:tcPr>
          <w:p w14:paraId="1F52AEE6" w14:textId="1A48A844" w:rsidR="00064561" w:rsidRPr="00BC7A12" w:rsidRDefault="00064561" w:rsidP="00861E88">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BC7A12">
              <w:rPr>
                <w:rFonts w:cs="Calibri"/>
              </w:rPr>
              <w:t>Advantage</w:t>
            </w:r>
          </w:p>
        </w:tc>
        <w:tc>
          <w:tcPr>
            <w:tcW w:w="0" w:type="auto"/>
          </w:tcPr>
          <w:p w14:paraId="420C7F00" w14:textId="706BFB50" w:rsidR="00064561" w:rsidRPr="00BC7A12" w:rsidRDefault="00064561" w:rsidP="00861E88">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BC7A12">
              <w:rPr>
                <w:rFonts w:cs="Calibri"/>
              </w:rPr>
              <w:t xml:space="preserve">Disadvantage </w:t>
            </w:r>
          </w:p>
        </w:tc>
      </w:tr>
      <w:tr w:rsidR="00950E1B" w:rsidRPr="00BC7A12" w14:paraId="555E74E3" w14:textId="3D653EFD" w:rsidTr="00A41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0FF186" w14:textId="09A3ADDD" w:rsidR="00064561" w:rsidRPr="00BC7A12" w:rsidRDefault="00064561" w:rsidP="00861E88">
            <w:pPr>
              <w:rPr>
                <w:rFonts w:cs="Calibri"/>
                <w:sz w:val="20"/>
                <w:szCs w:val="20"/>
              </w:rPr>
            </w:pPr>
            <w:r w:rsidRPr="00BC7A12">
              <w:rPr>
                <w:rFonts w:cs="Calibri"/>
                <w:sz w:val="20"/>
                <w:szCs w:val="20"/>
              </w:rPr>
              <w:t xml:space="preserve">Production function </w:t>
            </w:r>
          </w:p>
        </w:tc>
        <w:tc>
          <w:tcPr>
            <w:tcW w:w="0" w:type="auto"/>
            <w:vAlign w:val="center"/>
          </w:tcPr>
          <w:p w14:paraId="1918CE82" w14:textId="0A2BD1D7" w:rsidR="00064561" w:rsidRPr="00BC7A12" w:rsidRDefault="00064561" w:rsidP="00A41F21">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Productivity change  </w:t>
            </w:r>
          </w:p>
        </w:tc>
        <w:tc>
          <w:tcPr>
            <w:tcW w:w="0" w:type="auto"/>
            <w:vAlign w:val="center"/>
          </w:tcPr>
          <w:p w14:paraId="67B71CFA" w14:textId="6EFD85D8" w:rsidR="00064561" w:rsidRPr="00BC7A12" w:rsidRDefault="00064561" w:rsidP="00A67137">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Detailed ecological and </w:t>
            </w:r>
            <w:proofErr w:type="gramStart"/>
            <w:r w:rsidRPr="00BC7A12">
              <w:rPr>
                <w:rFonts w:cs="Calibri"/>
                <w:sz w:val="14"/>
                <w:szCs w:val="14"/>
              </w:rPr>
              <w:t>econometric  modelling</w:t>
            </w:r>
            <w:proofErr w:type="gramEnd"/>
            <w:r w:rsidRPr="00BC7A12">
              <w:rPr>
                <w:rFonts w:cs="Calibri"/>
                <w:sz w:val="14"/>
                <w:szCs w:val="14"/>
              </w:rPr>
              <w:t xml:space="preserve"> </w:t>
            </w:r>
          </w:p>
        </w:tc>
        <w:tc>
          <w:tcPr>
            <w:tcW w:w="0" w:type="auto"/>
            <w:vAlign w:val="center"/>
          </w:tcPr>
          <w:p w14:paraId="29C57A16" w14:textId="77777777" w:rsidR="00064561" w:rsidRPr="00BC7A12" w:rsidRDefault="00064561" w:rsidP="00413DAD">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Robust analysis </w:t>
            </w:r>
          </w:p>
          <w:p w14:paraId="76DF9528" w14:textId="0D8A7AEC" w:rsidR="00064561" w:rsidRPr="00BC7A12" w:rsidRDefault="00064561" w:rsidP="00413DAD">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Data integration opportunities </w:t>
            </w:r>
          </w:p>
        </w:tc>
        <w:tc>
          <w:tcPr>
            <w:tcW w:w="0" w:type="auto"/>
            <w:vAlign w:val="center"/>
          </w:tcPr>
          <w:p w14:paraId="4914DEBE" w14:textId="08867ADC" w:rsidR="00064561" w:rsidRPr="00BC7A12" w:rsidRDefault="00103A79" w:rsidP="00413DAD">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High d</w:t>
            </w:r>
            <w:r w:rsidR="00064561" w:rsidRPr="00BC7A12">
              <w:rPr>
                <w:rFonts w:cs="Calibri"/>
                <w:sz w:val="14"/>
                <w:szCs w:val="14"/>
              </w:rPr>
              <w:t xml:space="preserve">ata, </w:t>
            </w:r>
            <w:proofErr w:type="gramStart"/>
            <w:r w:rsidR="00064561" w:rsidRPr="00BC7A12">
              <w:rPr>
                <w:rFonts w:cs="Calibri"/>
                <w:sz w:val="14"/>
                <w:szCs w:val="14"/>
              </w:rPr>
              <w:t>time</w:t>
            </w:r>
            <w:proofErr w:type="gramEnd"/>
            <w:r w:rsidR="00064561" w:rsidRPr="00BC7A12">
              <w:rPr>
                <w:rFonts w:cs="Calibri"/>
                <w:sz w:val="14"/>
                <w:szCs w:val="14"/>
              </w:rPr>
              <w:t xml:space="preserve"> and technical requirements </w:t>
            </w:r>
          </w:p>
          <w:p w14:paraId="4CCB56CF" w14:textId="77777777" w:rsidR="00064561" w:rsidRPr="00BC7A12" w:rsidRDefault="00064561" w:rsidP="00413DAD">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Study quality varies </w:t>
            </w:r>
          </w:p>
          <w:p w14:paraId="7A6A26C6" w14:textId="122C9B11" w:rsidR="00A41F21" w:rsidRPr="00BC7A12" w:rsidRDefault="00A41F21" w:rsidP="00413DAD">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Does not produce monetary values if used </w:t>
            </w:r>
            <w:r w:rsidR="00B62821" w:rsidRPr="00BC7A12">
              <w:rPr>
                <w:rFonts w:cs="Calibri"/>
                <w:sz w:val="14"/>
                <w:szCs w:val="14"/>
              </w:rPr>
              <w:t>in isolation of</w:t>
            </w:r>
            <w:r w:rsidRPr="00BC7A12">
              <w:rPr>
                <w:rFonts w:cs="Calibri"/>
                <w:sz w:val="14"/>
                <w:szCs w:val="14"/>
              </w:rPr>
              <w:t xml:space="preserve"> other techniques </w:t>
            </w:r>
          </w:p>
        </w:tc>
      </w:tr>
      <w:tr w:rsidR="00950E1B" w:rsidRPr="00BC7A12" w14:paraId="274A8A67" w14:textId="37A580E4" w:rsidTr="00A41F21">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B658F3B" w14:textId="3B64CB63" w:rsidR="00064561" w:rsidRPr="00BC7A12" w:rsidRDefault="00064561" w:rsidP="00861E88">
            <w:pPr>
              <w:rPr>
                <w:rFonts w:cs="Calibri"/>
                <w:sz w:val="20"/>
                <w:szCs w:val="20"/>
              </w:rPr>
            </w:pPr>
            <w:r w:rsidRPr="00BC7A12">
              <w:rPr>
                <w:rFonts w:cs="Calibri"/>
                <w:sz w:val="20"/>
                <w:szCs w:val="20"/>
              </w:rPr>
              <w:t xml:space="preserve">Cost based </w:t>
            </w:r>
          </w:p>
        </w:tc>
        <w:tc>
          <w:tcPr>
            <w:tcW w:w="0" w:type="auto"/>
            <w:vAlign w:val="center"/>
          </w:tcPr>
          <w:p w14:paraId="23B70527" w14:textId="4E1DCC11" w:rsidR="00064561" w:rsidRPr="00BC7A12" w:rsidRDefault="00064561" w:rsidP="00A41F21">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 xml:space="preserve">Expected damage function (Avoided damage cost) </w:t>
            </w:r>
          </w:p>
        </w:tc>
        <w:tc>
          <w:tcPr>
            <w:tcW w:w="0" w:type="auto"/>
            <w:vAlign w:val="center"/>
          </w:tcPr>
          <w:p w14:paraId="3F4D7718" w14:textId="0D7B4E75" w:rsidR="00064561" w:rsidRPr="00BC7A12" w:rsidRDefault="00064561" w:rsidP="00A67137">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 xml:space="preserve">Valuation of damage avoided because of the wetland </w:t>
            </w:r>
          </w:p>
        </w:tc>
        <w:tc>
          <w:tcPr>
            <w:tcW w:w="0" w:type="auto"/>
            <w:vAlign w:val="center"/>
          </w:tcPr>
          <w:p w14:paraId="717DD7DC" w14:textId="77777777" w:rsidR="00064561" w:rsidRPr="00BC7A12" w:rsidRDefault="00064561" w:rsidP="00C032C3">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 xml:space="preserve">Robust </w:t>
            </w:r>
          </w:p>
          <w:p w14:paraId="5E31B7A9" w14:textId="77777777" w:rsidR="00D65FE5" w:rsidRPr="00BC7A12" w:rsidRDefault="00B62821" w:rsidP="00C032C3">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 xml:space="preserve">Incorporates elements of </w:t>
            </w:r>
            <w:r w:rsidR="00064561" w:rsidRPr="00BC7A12">
              <w:rPr>
                <w:rFonts w:cs="Calibri"/>
                <w:sz w:val="14"/>
                <w:szCs w:val="14"/>
              </w:rPr>
              <w:t>production function modelling</w:t>
            </w:r>
          </w:p>
          <w:p w14:paraId="19DEA9F7" w14:textId="2735A590" w:rsidR="00064561" w:rsidRPr="00BC7A12" w:rsidRDefault="00D65FE5" w:rsidP="00C032C3">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 xml:space="preserve">Used in adaptation planning </w:t>
            </w:r>
            <w:r w:rsidR="00064561" w:rsidRPr="00BC7A12">
              <w:rPr>
                <w:rFonts w:cs="Calibri"/>
                <w:sz w:val="14"/>
                <w:szCs w:val="14"/>
              </w:rPr>
              <w:t xml:space="preserve"> </w:t>
            </w:r>
          </w:p>
        </w:tc>
        <w:tc>
          <w:tcPr>
            <w:tcW w:w="0" w:type="auto"/>
            <w:vAlign w:val="center"/>
          </w:tcPr>
          <w:p w14:paraId="42E23689" w14:textId="7D77FA57" w:rsidR="00103A79" w:rsidRPr="00BC7A12" w:rsidRDefault="00103A79" w:rsidP="00B62821">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 xml:space="preserve">High to </w:t>
            </w:r>
            <w:proofErr w:type="spellStart"/>
            <w:r w:rsidRPr="00BC7A12">
              <w:rPr>
                <w:rFonts w:cs="Calibri"/>
                <w:sz w:val="14"/>
                <w:szCs w:val="14"/>
              </w:rPr>
              <w:t>mid level</w:t>
            </w:r>
            <w:proofErr w:type="spellEnd"/>
            <w:r w:rsidRPr="00BC7A12">
              <w:rPr>
                <w:rFonts w:cs="Calibri"/>
                <w:sz w:val="14"/>
                <w:szCs w:val="14"/>
              </w:rPr>
              <w:t xml:space="preserve"> data, </w:t>
            </w:r>
            <w:proofErr w:type="gramStart"/>
            <w:r w:rsidRPr="00BC7A12">
              <w:rPr>
                <w:rFonts w:cs="Calibri"/>
                <w:sz w:val="14"/>
                <w:szCs w:val="14"/>
              </w:rPr>
              <w:t>time</w:t>
            </w:r>
            <w:proofErr w:type="gramEnd"/>
            <w:r w:rsidRPr="00BC7A12">
              <w:rPr>
                <w:rFonts w:cs="Calibri"/>
                <w:sz w:val="14"/>
                <w:szCs w:val="14"/>
              </w:rPr>
              <w:t xml:space="preserve"> and technical requirements </w:t>
            </w:r>
          </w:p>
          <w:p w14:paraId="0E2B1ED5" w14:textId="2A24050B" w:rsidR="00B62821" w:rsidRPr="00BC7A12" w:rsidRDefault="00064561" w:rsidP="00B62821">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roofErr w:type="gramStart"/>
            <w:r w:rsidRPr="00BC7A12">
              <w:rPr>
                <w:rFonts w:cs="Calibri"/>
                <w:sz w:val="14"/>
                <w:szCs w:val="14"/>
              </w:rPr>
              <w:t>Generally</w:t>
            </w:r>
            <w:proofErr w:type="gramEnd"/>
            <w:r w:rsidRPr="00BC7A12">
              <w:rPr>
                <w:rFonts w:cs="Calibri"/>
                <w:sz w:val="14"/>
                <w:szCs w:val="14"/>
              </w:rPr>
              <w:t xml:space="preserve"> requires strong production function knowledge/modelling</w:t>
            </w:r>
            <w:r w:rsidR="00B62821" w:rsidRPr="00BC7A12">
              <w:rPr>
                <w:rFonts w:cs="Calibri"/>
                <w:sz w:val="14"/>
                <w:szCs w:val="14"/>
              </w:rPr>
              <w:t xml:space="preserve"> </w:t>
            </w:r>
          </w:p>
        </w:tc>
      </w:tr>
      <w:tr w:rsidR="00950E1B" w:rsidRPr="00BC7A12" w14:paraId="3A9C6897" w14:textId="57E2532B" w:rsidTr="00A41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8BA012A" w14:textId="16E1554D" w:rsidR="00064561" w:rsidRPr="00BC7A12" w:rsidRDefault="00064561" w:rsidP="00861E88">
            <w:pPr>
              <w:rPr>
                <w:rFonts w:cs="Calibri"/>
                <w:sz w:val="20"/>
                <w:szCs w:val="20"/>
              </w:rPr>
            </w:pPr>
          </w:p>
        </w:tc>
        <w:tc>
          <w:tcPr>
            <w:tcW w:w="0" w:type="auto"/>
            <w:vAlign w:val="center"/>
          </w:tcPr>
          <w:p w14:paraId="71AC4DA8" w14:textId="682A9365" w:rsidR="00064561" w:rsidRPr="00BC7A12" w:rsidRDefault="00064561" w:rsidP="00A41F21">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Replacement costs </w:t>
            </w:r>
          </w:p>
        </w:tc>
        <w:tc>
          <w:tcPr>
            <w:tcW w:w="0" w:type="auto"/>
            <w:vAlign w:val="center"/>
          </w:tcPr>
          <w:p w14:paraId="7A2C27BB" w14:textId="41C6B576" w:rsidR="00064561" w:rsidRPr="00BC7A12" w:rsidRDefault="00064561" w:rsidP="00A67137">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Cost of replacing wetland’s DRR services with built infrastructure </w:t>
            </w:r>
          </w:p>
        </w:tc>
        <w:tc>
          <w:tcPr>
            <w:tcW w:w="0" w:type="auto"/>
            <w:vAlign w:val="center"/>
          </w:tcPr>
          <w:p w14:paraId="0CEF7E66" w14:textId="77777777" w:rsidR="00064561" w:rsidRPr="00BC7A12" w:rsidRDefault="00064561" w:rsidP="00413DAD">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Has utility for adaptation planning  </w:t>
            </w:r>
          </w:p>
          <w:p w14:paraId="0AFD1AF6" w14:textId="286BE32E" w:rsidR="00064561" w:rsidRPr="00BC7A12" w:rsidRDefault="00064561" w:rsidP="00950E1B">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Based on market prices </w:t>
            </w:r>
          </w:p>
        </w:tc>
        <w:tc>
          <w:tcPr>
            <w:tcW w:w="0" w:type="auto"/>
            <w:vAlign w:val="center"/>
          </w:tcPr>
          <w:p w14:paraId="0A1007A3" w14:textId="568DEB07" w:rsidR="00D821C2" w:rsidRPr="00BC7A12" w:rsidRDefault="00D821C2" w:rsidP="00950E1B">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High to </w:t>
            </w:r>
            <w:proofErr w:type="spellStart"/>
            <w:r w:rsidRPr="00BC7A12">
              <w:rPr>
                <w:rFonts w:cs="Calibri"/>
                <w:sz w:val="14"/>
                <w:szCs w:val="14"/>
              </w:rPr>
              <w:t>mid level</w:t>
            </w:r>
            <w:proofErr w:type="spellEnd"/>
            <w:r w:rsidRPr="00BC7A12">
              <w:rPr>
                <w:rFonts w:cs="Calibri"/>
                <w:sz w:val="14"/>
                <w:szCs w:val="14"/>
              </w:rPr>
              <w:t xml:space="preserve"> data, </w:t>
            </w:r>
            <w:proofErr w:type="gramStart"/>
            <w:r w:rsidRPr="00BC7A12">
              <w:rPr>
                <w:rFonts w:cs="Calibri"/>
                <w:sz w:val="14"/>
                <w:szCs w:val="14"/>
              </w:rPr>
              <w:t>time</w:t>
            </w:r>
            <w:proofErr w:type="gramEnd"/>
            <w:r w:rsidRPr="00BC7A12">
              <w:rPr>
                <w:rFonts w:cs="Calibri"/>
                <w:sz w:val="14"/>
                <w:szCs w:val="14"/>
              </w:rPr>
              <w:t xml:space="preserve"> and technical requirements </w:t>
            </w:r>
          </w:p>
          <w:p w14:paraId="2B0003BE" w14:textId="3B46113C" w:rsidR="00064561" w:rsidRPr="00BC7A12" w:rsidRDefault="00064561" w:rsidP="00950E1B">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Requires an understanding that protection of human property is one of several values </w:t>
            </w:r>
            <w:r w:rsidR="00950E1B" w:rsidRPr="00BC7A12">
              <w:rPr>
                <w:rFonts w:cs="Calibri"/>
                <w:sz w:val="14"/>
                <w:szCs w:val="14"/>
              </w:rPr>
              <w:t xml:space="preserve">provided by ecosystems </w:t>
            </w:r>
          </w:p>
        </w:tc>
      </w:tr>
      <w:tr w:rsidR="00950E1B" w:rsidRPr="00BC7A12" w14:paraId="06AC1E4C" w14:textId="73B64490" w:rsidTr="00A41F21">
        <w:trPr>
          <w:trHeight w:val="959"/>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AAE73A" w14:textId="09B0AD37" w:rsidR="00064561" w:rsidRPr="00BC7A12" w:rsidRDefault="00064561" w:rsidP="00861E88">
            <w:pPr>
              <w:rPr>
                <w:rFonts w:cs="Calibri"/>
                <w:sz w:val="20"/>
                <w:szCs w:val="20"/>
              </w:rPr>
            </w:pPr>
            <w:r w:rsidRPr="00BC7A12">
              <w:rPr>
                <w:rFonts w:cs="Calibri"/>
                <w:sz w:val="20"/>
                <w:szCs w:val="20"/>
              </w:rPr>
              <w:t xml:space="preserve">Stated preference  </w:t>
            </w:r>
          </w:p>
        </w:tc>
        <w:tc>
          <w:tcPr>
            <w:tcW w:w="0" w:type="auto"/>
            <w:vAlign w:val="center"/>
          </w:tcPr>
          <w:p w14:paraId="4BE7C338" w14:textId="4465871F" w:rsidR="00064561" w:rsidRPr="00BC7A12" w:rsidRDefault="00064561" w:rsidP="00A41F21">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 xml:space="preserve">Contingent valuation and choice modelling  </w:t>
            </w:r>
          </w:p>
        </w:tc>
        <w:tc>
          <w:tcPr>
            <w:tcW w:w="0" w:type="auto"/>
            <w:vAlign w:val="center"/>
          </w:tcPr>
          <w:p w14:paraId="153909A6" w14:textId="120E1953" w:rsidR="00064561" w:rsidRPr="00BC7A12" w:rsidRDefault="00064561" w:rsidP="00861E88">
            <w:pPr>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 xml:space="preserve">Analysis of willingness to pay survey for changes to a wetland </w:t>
            </w:r>
            <w:r w:rsidR="0018766A" w:rsidRPr="00BC7A12">
              <w:rPr>
                <w:rFonts w:cs="Calibri"/>
                <w:sz w:val="14"/>
                <w:szCs w:val="14"/>
              </w:rPr>
              <w:t xml:space="preserve">(e.g. expansion of wetland)  </w:t>
            </w:r>
          </w:p>
        </w:tc>
        <w:tc>
          <w:tcPr>
            <w:tcW w:w="0" w:type="auto"/>
            <w:vAlign w:val="center"/>
          </w:tcPr>
          <w:p w14:paraId="4833D1A9" w14:textId="26550EC0" w:rsidR="00064561" w:rsidRPr="00BC7A12" w:rsidRDefault="009B5025" w:rsidP="009B5025">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rPr>
                <w:rFonts w:cs="Calibri"/>
                <w:sz w:val="12"/>
                <w:szCs w:val="12"/>
              </w:rPr>
            </w:pPr>
            <w:r w:rsidRPr="00BC7A12">
              <w:rPr>
                <w:rFonts w:cs="Calibri"/>
                <w:sz w:val="12"/>
                <w:szCs w:val="12"/>
              </w:rPr>
              <w:t>Can measure non-monetary services such as aesthetic and spiritual services as well as DRR</w:t>
            </w:r>
          </w:p>
        </w:tc>
        <w:tc>
          <w:tcPr>
            <w:tcW w:w="0" w:type="auto"/>
            <w:vAlign w:val="center"/>
          </w:tcPr>
          <w:p w14:paraId="07DD3A1E" w14:textId="1B94471A" w:rsidR="00A728A9" w:rsidRPr="00BC7A12" w:rsidRDefault="00A728A9" w:rsidP="00413DAD">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Calibri"/>
                <w:sz w:val="14"/>
                <w:szCs w:val="14"/>
              </w:rPr>
            </w:pPr>
            <w:proofErr w:type="spellStart"/>
            <w:r w:rsidRPr="00BC7A12">
              <w:rPr>
                <w:rFonts w:cs="Calibri"/>
                <w:sz w:val="14"/>
                <w:szCs w:val="14"/>
              </w:rPr>
              <w:t>Mid level</w:t>
            </w:r>
            <w:proofErr w:type="spellEnd"/>
            <w:r w:rsidRPr="00BC7A12">
              <w:rPr>
                <w:rFonts w:cs="Calibri"/>
                <w:sz w:val="14"/>
                <w:szCs w:val="14"/>
              </w:rPr>
              <w:t xml:space="preserve"> data, </w:t>
            </w:r>
            <w:proofErr w:type="gramStart"/>
            <w:r w:rsidRPr="00BC7A12">
              <w:rPr>
                <w:rFonts w:cs="Calibri"/>
                <w:sz w:val="14"/>
                <w:szCs w:val="14"/>
              </w:rPr>
              <w:t>time</w:t>
            </w:r>
            <w:proofErr w:type="gramEnd"/>
            <w:r w:rsidRPr="00BC7A12">
              <w:rPr>
                <w:rFonts w:cs="Calibri"/>
                <w:sz w:val="14"/>
                <w:szCs w:val="14"/>
              </w:rPr>
              <w:t xml:space="preserve"> and technical requirements </w:t>
            </w:r>
          </w:p>
          <w:p w14:paraId="06FF2E9E" w14:textId="587E7F0F" w:rsidR="00064561" w:rsidRPr="00BC7A12" w:rsidRDefault="00064561" w:rsidP="00413DAD">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Tends to produce higher values</w:t>
            </w:r>
            <w:r w:rsidR="003466AB" w:rsidRPr="00BC7A12">
              <w:rPr>
                <w:rFonts w:cs="Calibri"/>
                <w:sz w:val="14"/>
                <w:szCs w:val="14"/>
              </w:rPr>
              <w:t xml:space="preserve"> than other techniques </w:t>
            </w:r>
          </w:p>
        </w:tc>
      </w:tr>
      <w:tr w:rsidR="00950E1B" w:rsidRPr="00BC7A12" w14:paraId="780841F8" w14:textId="77777777" w:rsidTr="00A41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35B81B" w14:textId="2DACBA19" w:rsidR="00064561" w:rsidRPr="00BC7A12" w:rsidRDefault="00064561" w:rsidP="00861E88">
            <w:pPr>
              <w:rPr>
                <w:rFonts w:cs="Calibri"/>
                <w:sz w:val="20"/>
                <w:szCs w:val="20"/>
              </w:rPr>
            </w:pPr>
            <w:r w:rsidRPr="00BC7A12">
              <w:rPr>
                <w:rFonts w:cs="Calibri"/>
                <w:sz w:val="20"/>
                <w:szCs w:val="20"/>
              </w:rPr>
              <w:t>Benefit transfer</w:t>
            </w:r>
          </w:p>
        </w:tc>
        <w:tc>
          <w:tcPr>
            <w:tcW w:w="0" w:type="auto"/>
            <w:vAlign w:val="center"/>
          </w:tcPr>
          <w:p w14:paraId="2FB48C59" w14:textId="40552CF7" w:rsidR="00950E1B" w:rsidRPr="00BC7A12" w:rsidRDefault="00064561" w:rsidP="00A41F21">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Single </w:t>
            </w:r>
            <w:proofErr w:type="gramStart"/>
            <w:r w:rsidRPr="00BC7A12">
              <w:rPr>
                <w:rFonts w:cs="Calibri"/>
                <w:sz w:val="14"/>
                <w:szCs w:val="14"/>
              </w:rPr>
              <w:t>and  marginal</w:t>
            </w:r>
            <w:proofErr w:type="gramEnd"/>
            <w:r w:rsidRPr="00BC7A12">
              <w:rPr>
                <w:rFonts w:cs="Calibri"/>
                <w:sz w:val="14"/>
                <w:szCs w:val="14"/>
              </w:rPr>
              <w:t xml:space="preserve"> point transfers</w:t>
            </w:r>
          </w:p>
          <w:p w14:paraId="228B4021" w14:textId="77777777" w:rsidR="00950E1B" w:rsidRPr="00BC7A12" w:rsidRDefault="00950E1B" w:rsidP="00A41F21">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p>
          <w:p w14:paraId="5BE4C6F0" w14:textId="6EADF48A" w:rsidR="00064561" w:rsidRPr="00BC7A12" w:rsidRDefault="00950E1B" w:rsidP="00A41F21">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F</w:t>
            </w:r>
            <w:r w:rsidR="00064561" w:rsidRPr="00BC7A12">
              <w:rPr>
                <w:rFonts w:cs="Calibri"/>
                <w:sz w:val="14"/>
                <w:szCs w:val="14"/>
              </w:rPr>
              <w:t>unction and meta value analysis transfers</w:t>
            </w:r>
          </w:p>
        </w:tc>
        <w:tc>
          <w:tcPr>
            <w:tcW w:w="0" w:type="auto"/>
            <w:vAlign w:val="center"/>
          </w:tcPr>
          <w:p w14:paraId="18604840" w14:textId="2A8077C7" w:rsidR="00064561" w:rsidRPr="00BC7A12" w:rsidRDefault="00064561" w:rsidP="00950E1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Reference site value transferred, sometimes adjusted for marginal value</w:t>
            </w:r>
          </w:p>
          <w:p w14:paraId="72B0CAF0" w14:textId="59F1D099" w:rsidR="00064561" w:rsidRPr="00BC7A12" w:rsidRDefault="00064561" w:rsidP="00950E1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Reference site (s) with characteristics (e.g. extent, species diversity) are used to develop a value function </w:t>
            </w:r>
          </w:p>
        </w:tc>
        <w:tc>
          <w:tcPr>
            <w:tcW w:w="0" w:type="auto"/>
            <w:vAlign w:val="center"/>
          </w:tcPr>
          <w:p w14:paraId="03664CA8" w14:textId="358E9730" w:rsidR="00064561" w:rsidRPr="00BC7A12" w:rsidRDefault="00F86F34" w:rsidP="00F86F34">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Low level data, </w:t>
            </w:r>
            <w:proofErr w:type="gramStart"/>
            <w:r w:rsidRPr="00BC7A12">
              <w:rPr>
                <w:rFonts w:cs="Calibri"/>
                <w:sz w:val="14"/>
                <w:szCs w:val="14"/>
              </w:rPr>
              <w:t>time</w:t>
            </w:r>
            <w:proofErr w:type="gramEnd"/>
            <w:r w:rsidRPr="00BC7A12">
              <w:rPr>
                <w:rFonts w:cs="Calibri"/>
                <w:sz w:val="14"/>
                <w:szCs w:val="14"/>
              </w:rPr>
              <w:t xml:space="preserve"> and technical requirements </w:t>
            </w:r>
          </w:p>
        </w:tc>
        <w:tc>
          <w:tcPr>
            <w:tcW w:w="0" w:type="auto"/>
            <w:vAlign w:val="center"/>
          </w:tcPr>
          <w:p w14:paraId="06977910" w14:textId="7DBC3FF5" w:rsidR="00064561" w:rsidRPr="00BC7A12" w:rsidRDefault="00064561" w:rsidP="00413DAD">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 xml:space="preserve">20-50% error rate is best practice </w:t>
            </w:r>
          </w:p>
        </w:tc>
      </w:tr>
    </w:tbl>
    <w:p w14:paraId="17ADD3B7" w14:textId="77777777" w:rsidR="00E2241E" w:rsidRPr="00BC7A12" w:rsidRDefault="00E2241E" w:rsidP="0050194F">
      <w:pPr>
        <w:rPr>
          <w:rFonts w:cs="Calibri"/>
        </w:rPr>
      </w:pPr>
    </w:p>
    <w:p w14:paraId="35E72B34" w14:textId="5622FF6D" w:rsidR="008A4D6E" w:rsidRPr="00BC7A12" w:rsidRDefault="008A4D6E" w:rsidP="008A4D6E">
      <w:pPr>
        <w:pStyle w:val="Heading2"/>
        <w:rPr>
          <w:rFonts w:cs="Calibri"/>
        </w:rPr>
      </w:pPr>
      <w:bookmarkStart w:id="47" w:name="_Ref44223267"/>
      <w:bookmarkStart w:id="48" w:name="_Toc46822309"/>
      <w:r w:rsidRPr="00BC7A12">
        <w:rPr>
          <w:rFonts w:cs="Calibri"/>
        </w:rPr>
        <w:t xml:space="preserve">Literature review </w:t>
      </w:r>
      <w:r w:rsidR="00A13075" w:rsidRPr="00BC7A12">
        <w:rPr>
          <w:rFonts w:cs="Calibri"/>
        </w:rPr>
        <w:t>and stakeholder interviews</w:t>
      </w:r>
      <w:bookmarkEnd w:id="47"/>
      <w:bookmarkEnd w:id="48"/>
      <w:r w:rsidR="00A13075" w:rsidRPr="00BC7A12">
        <w:rPr>
          <w:rFonts w:cs="Calibri"/>
        </w:rPr>
        <w:t xml:space="preserve"> </w:t>
      </w:r>
    </w:p>
    <w:p w14:paraId="6105FDED" w14:textId="77777777" w:rsidR="00657E34" w:rsidRPr="00657E34" w:rsidRDefault="00C302CA" w:rsidP="00657E34">
      <w:pPr>
        <w:rPr>
          <w:rFonts w:cs="Calibri"/>
        </w:rPr>
      </w:pPr>
      <w:r w:rsidRPr="00BC7A12">
        <w:rPr>
          <w:rFonts w:cs="Calibri"/>
        </w:rPr>
        <w:t xml:space="preserve">The literature </w:t>
      </w:r>
      <w:r w:rsidR="00F86F34" w:rsidRPr="00BC7A12">
        <w:rPr>
          <w:rFonts w:cs="Calibri"/>
        </w:rPr>
        <w:t xml:space="preserve">review captured </w:t>
      </w:r>
      <w:r w:rsidRPr="00BC7A12">
        <w:rPr>
          <w:rFonts w:cs="Calibri"/>
        </w:rPr>
        <w:t xml:space="preserve">59 </w:t>
      </w:r>
      <w:r w:rsidR="008A4D6E" w:rsidRPr="00BC7A12">
        <w:rPr>
          <w:rFonts w:cs="Calibri"/>
        </w:rPr>
        <w:t>DRR ecosystem services valuations studies of coastal wetlands</w:t>
      </w:r>
      <w:r w:rsidR="00370482" w:rsidRPr="00BC7A12">
        <w:rPr>
          <w:rFonts w:cs="Calibri"/>
        </w:rPr>
        <w:t xml:space="preserve"> (</w:t>
      </w:r>
      <w:r w:rsidR="00370482" w:rsidRPr="00BC7A12">
        <w:rPr>
          <w:rFonts w:cs="Calibri"/>
        </w:rPr>
        <w:fldChar w:fldCharType="begin"/>
      </w:r>
      <w:r w:rsidR="00370482" w:rsidRPr="00BC7A12">
        <w:rPr>
          <w:rFonts w:cs="Calibri"/>
        </w:rPr>
        <w:instrText xml:space="preserve"> REF _Ref43645363 \h </w:instrText>
      </w:r>
      <w:r w:rsidR="00BC7A12">
        <w:rPr>
          <w:rFonts w:cs="Calibri"/>
        </w:rPr>
        <w:instrText xml:space="preserve"> \* MERGEFORMAT </w:instrText>
      </w:r>
      <w:r w:rsidR="00370482" w:rsidRPr="00BC7A12">
        <w:rPr>
          <w:rFonts w:cs="Calibri"/>
        </w:rPr>
      </w:r>
      <w:r w:rsidR="00370482" w:rsidRPr="00BC7A12">
        <w:rPr>
          <w:rFonts w:cs="Calibri"/>
        </w:rPr>
        <w:fldChar w:fldCharType="separate"/>
      </w:r>
      <w:r w:rsidR="00657E34" w:rsidRPr="00BC7A12">
        <w:rPr>
          <w:rFonts w:cs="Calibri"/>
        </w:rPr>
        <w:t>Appendix 1 List of valuation studies</w:t>
      </w:r>
      <w:r w:rsidR="00370482" w:rsidRPr="00BC7A12">
        <w:rPr>
          <w:rFonts w:cs="Calibri"/>
        </w:rPr>
        <w:fldChar w:fldCharType="end"/>
      </w:r>
      <w:r w:rsidR="00370482" w:rsidRPr="00BC7A12">
        <w:rPr>
          <w:rFonts w:cs="Calibri"/>
        </w:rPr>
        <w:t>)</w:t>
      </w:r>
      <w:r w:rsidR="008A4D6E" w:rsidRPr="00BC7A12">
        <w:rPr>
          <w:rFonts w:cs="Calibri"/>
        </w:rPr>
        <w:t xml:space="preserve">. </w:t>
      </w:r>
      <w:r w:rsidR="009F2357" w:rsidRPr="00BC7A12">
        <w:rPr>
          <w:rFonts w:cs="Calibri"/>
        </w:rPr>
        <w:t xml:space="preserve">They document valuations of DRR for </w:t>
      </w:r>
      <w:r w:rsidR="008A4D6E" w:rsidRPr="00BC7A12">
        <w:rPr>
          <w:rFonts w:cs="Calibri"/>
        </w:rPr>
        <w:t>14</w:t>
      </w:r>
      <w:r w:rsidR="00D24E2C" w:rsidRPr="00BC7A12">
        <w:rPr>
          <w:rFonts w:cs="Calibri"/>
        </w:rPr>
        <w:t>8</w:t>
      </w:r>
      <w:r w:rsidR="008A4D6E" w:rsidRPr="00BC7A12">
        <w:rPr>
          <w:rFonts w:cs="Calibri"/>
        </w:rPr>
        <w:t xml:space="preserve"> coastal wetlands</w:t>
      </w:r>
      <w:r w:rsidR="00A217D6" w:rsidRPr="00BC7A12">
        <w:rPr>
          <w:rFonts w:cs="Calibri"/>
        </w:rPr>
        <w:t xml:space="preserve"> </w:t>
      </w:r>
      <w:r w:rsidR="00A217D6" w:rsidRPr="00BC7A12">
        <w:rPr>
          <w:rFonts w:cs="Calibri"/>
        </w:rPr>
        <w:lastRenderedPageBreak/>
        <w:t>worldwide</w:t>
      </w:r>
      <w:r w:rsidR="008A4D6E" w:rsidRPr="00BC7A12">
        <w:rPr>
          <w:rFonts w:cs="Calibri"/>
        </w:rPr>
        <w:t xml:space="preserve"> (see </w:t>
      </w:r>
      <w:r w:rsidR="008A4D6E" w:rsidRPr="00BC7A12">
        <w:rPr>
          <w:rFonts w:cs="Calibri"/>
        </w:rPr>
        <w:fldChar w:fldCharType="begin"/>
      </w:r>
      <w:r w:rsidR="008A4D6E" w:rsidRPr="00BC7A12">
        <w:rPr>
          <w:rFonts w:cs="Calibri"/>
        </w:rPr>
        <w:instrText xml:space="preserve"> REF _Ref43180503 \h  \* MERGEFORMAT </w:instrText>
      </w:r>
      <w:r w:rsidR="008A4D6E" w:rsidRPr="00BC7A12">
        <w:rPr>
          <w:rFonts w:cs="Calibri"/>
        </w:rPr>
      </w:r>
      <w:r w:rsidR="008A4D6E" w:rsidRPr="00BC7A12">
        <w:rPr>
          <w:rFonts w:cs="Calibri"/>
        </w:rPr>
        <w:fldChar w:fldCharType="separate"/>
      </w:r>
      <w:r w:rsidR="00657E34" w:rsidRPr="00BC7A12">
        <w:rPr>
          <w:rFonts w:cs="Calibri"/>
          <w:noProof/>
        </w:rPr>
        <w:drawing>
          <wp:inline distT="0" distB="0" distL="0" distR="0" wp14:anchorId="0A09A8F4" wp14:editId="2FA34680">
            <wp:extent cx="4944794" cy="2813538"/>
            <wp:effectExtent l="0" t="0" r="8255" b="6350"/>
            <wp:docPr id="11" name="Chart 11">
              <a:extLst xmlns:a="http://schemas.openxmlformats.org/drawingml/2006/main">
                <a:ext uri="{FF2B5EF4-FFF2-40B4-BE49-F238E27FC236}">
                  <a16:creationId xmlns:a16="http://schemas.microsoft.com/office/drawing/2014/main" id="{EE316212-88B1-4A1C-BC70-E97C2A500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676DA8" w14:textId="25D45646" w:rsidR="009C2578" w:rsidRDefault="00657E34" w:rsidP="008A4D6E">
      <w:pPr>
        <w:rPr>
          <w:rFonts w:cs="Calibri"/>
        </w:rPr>
      </w:pPr>
      <w:r w:rsidRPr="00BC7A12">
        <w:rPr>
          <w:rFonts w:cs="Calibri"/>
          <w:noProof/>
        </w:rPr>
        <w:t>Figure</w:t>
      </w:r>
      <w:r w:rsidRPr="00BC7A12">
        <w:rPr>
          <w:rFonts w:cs="Calibri"/>
        </w:rPr>
        <w:t xml:space="preserve"> </w:t>
      </w:r>
      <w:r>
        <w:rPr>
          <w:rFonts w:cs="Calibri"/>
          <w:i/>
          <w:iCs/>
          <w:noProof/>
        </w:rPr>
        <w:t>3</w:t>
      </w:r>
      <w:r w:rsidR="008A4D6E" w:rsidRPr="00BC7A12">
        <w:rPr>
          <w:rFonts w:cs="Calibri"/>
        </w:rPr>
        <w:fldChar w:fldCharType="end"/>
      </w:r>
      <w:r w:rsidR="008A4D6E" w:rsidRPr="00BC7A12">
        <w:rPr>
          <w:rFonts w:cs="Calibri"/>
        </w:rPr>
        <w:t>), some of which are wetland groups (e.g. all the coastal wetlands of a state).</w:t>
      </w:r>
      <w:r w:rsidR="00816B33" w:rsidRPr="00BC7A12">
        <w:rPr>
          <w:rFonts w:cs="Calibri"/>
        </w:rPr>
        <w:t xml:space="preserve"> As a result</w:t>
      </w:r>
      <w:r w:rsidR="009F2357" w:rsidRPr="00BC7A12">
        <w:rPr>
          <w:rFonts w:cs="Calibri"/>
        </w:rPr>
        <w:t>,</w:t>
      </w:r>
      <w:r w:rsidR="008668DC" w:rsidRPr="00BC7A12">
        <w:rPr>
          <w:rFonts w:cs="Calibri"/>
        </w:rPr>
        <w:t xml:space="preserve"> </w:t>
      </w:r>
      <w:r w:rsidR="00816B33" w:rsidRPr="00BC7A12">
        <w:rPr>
          <w:rFonts w:cs="Calibri"/>
        </w:rPr>
        <w:t xml:space="preserve">there is some overlap among them. </w:t>
      </w:r>
      <w:r w:rsidR="00233365" w:rsidRPr="00BC7A12">
        <w:rPr>
          <w:rFonts w:cs="Calibri"/>
        </w:rPr>
        <w:t>Twenty-</w:t>
      </w:r>
      <w:r w:rsidR="00D24E2C" w:rsidRPr="00BC7A12">
        <w:rPr>
          <w:rFonts w:cs="Calibri"/>
        </w:rPr>
        <w:t>eight</w:t>
      </w:r>
      <w:r w:rsidR="00233365" w:rsidRPr="00BC7A12">
        <w:rPr>
          <w:rFonts w:cs="Calibri"/>
        </w:rPr>
        <w:t xml:space="preserve"> </w:t>
      </w:r>
      <w:r w:rsidR="00EF5C0E" w:rsidRPr="00BC7A12">
        <w:rPr>
          <w:rFonts w:cs="Calibri"/>
        </w:rPr>
        <w:t>of these wetlands or wetland groups</w:t>
      </w:r>
      <w:r w:rsidR="009F2357" w:rsidRPr="00BC7A12">
        <w:rPr>
          <w:rFonts w:cs="Calibri"/>
        </w:rPr>
        <w:t>, 19 percent of the total</w:t>
      </w:r>
      <w:r w:rsidR="00411174">
        <w:rPr>
          <w:rFonts w:cs="Calibri"/>
        </w:rPr>
        <w:t>,</w:t>
      </w:r>
      <w:r w:rsidR="00EF5C0E" w:rsidRPr="00BC7A12">
        <w:rPr>
          <w:rFonts w:cs="Calibri"/>
        </w:rPr>
        <w:t xml:space="preserve"> were in Australia. </w:t>
      </w:r>
      <w:r w:rsidR="00E2241E" w:rsidRPr="00BC7A12">
        <w:rPr>
          <w:rFonts w:cs="Calibri"/>
        </w:rPr>
        <w:t xml:space="preserve">Nineteen valuations were from the Pacific </w:t>
      </w:r>
      <w:r w:rsidR="00717F5A" w:rsidRPr="00BC7A12">
        <w:rPr>
          <w:rFonts w:cs="Calibri"/>
        </w:rPr>
        <w:t xml:space="preserve">i.e. ten </w:t>
      </w:r>
      <w:r w:rsidR="00E2241E" w:rsidRPr="00BC7A12">
        <w:rPr>
          <w:rFonts w:cs="Calibri"/>
        </w:rPr>
        <w:t xml:space="preserve">Vanuatu, </w:t>
      </w:r>
      <w:r w:rsidR="00717F5A" w:rsidRPr="00BC7A12">
        <w:rPr>
          <w:rFonts w:cs="Calibri"/>
        </w:rPr>
        <w:t xml:space="preserve">six </w:t>
      </w:r>
      <w:r w:rsidR="00E2241E" w:rsidRPr="00BC7A12">
        <w:rPr>
          <w:rFonts w:cs="Calibri"/>
        </w:rPr>
        <w:t xml:space="preserve">Fiji, </w:t>
      </w:r>
      <w:r w:rsidR="00717F5A" w:rsidRPr="00BC7A12">
        <w:rPr>
          <w:rFonts w:cs="Calibri"/>
        </w:rPr>
        <w:t xml:space="preserve">one </w:t>
      </w:r>
      <w:r w:rsidR="00E2241E" w:rsidRPr="00BC7A12">
        <w:rPr>
          <w:rFonts w:cs="Calibri"/>
        </w:rPr>
        <w:t xml:space="preserve">Samoa, </w:t>
      </w:r>
      <w:r w:rsidR="00717F5A" w:rsidRPr="00BC7A12">
        <w:rPr>
          <w:rFonts w:cs="Calibri"/>
        </w:rPr>
        <w:t xml:space="preserve">one </w:t>
      </w:r>
      <w:r w:rsidR="00E2241E" w:rsidRPr="00BC7A12">
        <w:rPr>
          <w:rFonts w:cs="Calibri"/>
        </w:rPr>
        <w:t xml:space="preserve">Solomon Islands, </w:t>
      </w:r>
      <w:r w:rsidR="00717F5A" w:rsidRPr="00BC7A12">
        <w:rPr>
          <w:rFonts w:cs="Calibri"/>
        </w:rPr>
        <w:t xml:space="preserve">one </w:t>
      </w:r>
      <w:r w:rsidR="00E2241E" w:rsidRPr="00BC7A12">
        <w:rPr>
          <w:rFonts w:cs="Calibri"/>
        </w:rPr>
        <w:t>Kiribati) and 101</w:t>
      </w:r>
      <w:r w:rsidR="00EF5C0E" w:rsidRPr="00BC7A12">
        <w:rPr>
          <w:rFonts w:cs="Calibri"/>
        </w:rPr>
        <w:t xml:space="preserve"> were from other locations. </w:t>
      </w:r>
      <w:r w:rsidR="009C2578">
        <w:rPr>
          <w:rFonts w:cs="Calibri"/>
        </w:rPr>
        <w:t xml:space="preserve"> Of the Pacific examples, those in Samoa and Kiribati are within the Ramsar Convention’s Oceania Region, to which Australia belongs.</w:t>
      </w:r>
    </w:p>
    <w:p w14:paraId="40E5C656" w14:textId="43E6AE1B" w:rsidR="008A4D6E" w:rsidRPr="00BC7A12" w:rsidRDefault="00CD1FBE" w:rsidP="008A4D6E">
      <w:pPr>
        <w:rPr>
          <w:rFonts w:cs="Calibri"/>
        </w:rPr>
      </w:pPr>
      <w:r w:rsidRPr="00BC7A12">
        <w:rPr>
          <w:rFonts w:cs="Calibri"/>
        </w:rPr>
        <w:t>In addition, 1</w:t>
      </w:r>
      <w:r w:rsidR="008B53A5" w:rsidRPr="00BC7A12">
        <w:rPr>
          <w:rFonts w:cs="Calibri"/>
        </w:rPr>
        <w:t>5</w:t>
      </w:r>
      <w:r w:rsidR="008A4D6E" w:rsidRPr="00BC7A12">
        <w:rPr>
          <w:rFonts w:cs="Calibri"/>
        </w:rPr>
        <w:t xml:space="preserve"> </w:t>
      </w:r>
      <w:r w:rsidR="00E2241E" w:rsidRPr="00BC7A12">
        <w:rPr>
          <w:rFonts w:cs="Calibri"/>
        </w:rPr>
        <w:t xml:space="preserve">Australian and international </w:t>
      </w:r>
      <w:r w:rsidR="008A4D6E" w:rsidRPr="00BC7A12">
        <w:rPr>
          <w:rFonts w:cs="Calibri"/>
        </w:rPr>
        <w:t xml:space="preserve">experts </w:t>
      </w:r>
      <w:r w:rsidR="00F57932" w:rsidRPr="00BC7A12">
        <w:rPr>
          <w:rFonts w:cs="Calibri"/>
        </w:rPr>
        <w:t>were interviewed.</w:t>
      </w:r>
      <w:r w:rsidR="008A4D6E" w:rsidRPr="00BC7A12">
        <w:rPr>
          <w:rFonts w:cs="Calibri"/>
        </w:rPr>
        <w:t xml:space="preserve"> </w:t>
      </w:r>
    </w:p>
    <w:p w14:paraId="33B65A3C" w14:textId="44069D6C" w:rsidR="0024713C" w:rsidRPr="00BC7A12" w:rsidRDefault="0024713C" w:rsidP="008A4D6E">
      <w:pPr>
        <w:pStyle w:val="Caption"/>
        <w:rPr>
          <w:rFonts w:cs="Calibri"/>
          <w:i w:val="0"/>
          <w:iCs w:val="0"/>
        </w:rPr>
      </w:pPr>
      <w:bookmarkStart w:id="49" w:name="_Ref43180503"/>
      <w:r w:rsidRPr="00BC7A12">
        <w:rPr>
          <w:rFonts w:cs="Calibri"/>
          <w:noProof/>
          <w:lang w:eastAsia="en-AU"/>
        </w:rPr>
        <w:drawing>
          <wp:inline distT="0" distB="0" distL="0" distR="0" wp14:anchorId="4CD20CAE" wp14:editId="10470823">
            <wp:extent cx="4944794" cy="2813538"/>
            <wp:effectExtent l="0" t="0" r="8255" b="6350"/>
            <wp:docPr id="16" name="Chart 16">
              <a:extLst xmlns:a="http://schemas.openxmlformats.org/drawingml/2006/main">
                <a:ext uri="{FF2B5EF4-FFF2-40B4-BE49-F238E27FC236}">
                  <a16:creationId xmlns:a16="http://schemas.microsoft.com/office/drawing/2014/main" id="{EE316212-88B1-4A1C-BC70-E97C2A500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C7E3AC" w14:textId="59D683B9" w:rsidR="008A4D6E" w:rsidRPr="00BC7A12" w:rsidRDefault="008A4D6E" w:rsidP="008A4D6E">
      <w:pPr>
        <w:pStyle w:val="Caption"/>
        <w:rPr>
          <w:rFonts w:cs="Calibri"/>
          <w:i w:val="0"/>
          <w:iCs w:val="0"/>
        </w:rPr>
      </w:pPr>
      <w:bookmarkStart w:id="50" w:name="_Toc46822335"/>
      <w:r w:rsidRPr="00BC7A12">
        <w:rPr>
          <w:rFonts w:cs="Calibri"/>
          <w:i w:val="0"/>
          <w:iCs w:val="0"/>
        </w:rPr>
        <w:t xml:space="preserve">Figure </w:t>
      </w:r>
      <w:r w:rsidRPr="00BC7A12">
        <w:rPr>
          <w:rFonts w:cs="Calibri"/>
          <w:i w:val="0"/>
          <w:iCs w:val="0"/>
        </w:rPr>
        <w:fldChar w:fldCharType="begin"/>
      </w:r>
      <w:r w:rsidRPr="00BC7A12">
        <w:rPr>
          <w:rFonts w:cs="Calibri"/>
          <w:i w:val="0"/>
          <w:iCs w:val="0"/>
        </w:rPr>
        <w:instrText xml:space="preserve"> SEQ Figure \* ARABIC </w:instrText>
      </w:r>
      <w:r w:rsidRPr="00BC7A12">
        <w:rPr>
          <w:rFonts w:cs="Calibri"/>
          <w:i w:val="0"/>
          <w:iCs w:val="0"/>
        </w:rPr>
        <w:fldChar w:fldCharType="separate"/>
      </w:r>
      <w:r w:rsidR="00657E34">
        <w:rPr>
          <w:rFonts w:cs="Calibri"/>
          <w:i w:val="0"/>
          <w:iCs w:val="0"/>
          <w:noProof/>
        </w:rPr>
        <w:t>3</w:t>
      </w:r>
      <w:r w:rsidRPr="00BC7A12">
        <w:rPr>
          <w:rFonts w:cs="Calibri"/>
          <w:i w:val="0"/>
          <w:iCs w:val="0"/>
          <w:noProof/>
        </w:rPr>
        <w:fldChar w:fldCharType="end"/>
      </w:r>
      <w:bookmarkEnd w:id="49"/>
      <w:r w:rsidRPr="00BC7A12">
        <w:rPr>
          <w:rFonts w:cs="Calibri"/>
          <w:i w:val="0"/>
          <w:iCs w:val="0"/>
        </w:rPr>
        <w:t xml:space="preserve"> Number of wetlands valuations captured</w:t>
      </w:r>
      <w:bookmarkEnd w:id="50"/>
    </w:p>
    <w:p w14:paraId="53160EAA" w14:textId="77777777" w:rsidR="00966E0F" w:rsidRPr="00BC7A12" w:rsidRDefault="00966E0F" w:rsidP="004C5022">
      <w:pPr>
        <w:rPr>
          <w:rFonts w:cs="Calibri"/>
        </w:rPr>
      </w:pPr>
    </w:p>
    <w:p w14:paraId="31EB95C9" w14:textId="443B9CCA" w:rsidR="00F54B14" w:rsidRPr="00BC7A12" w:rsidRDefault="00C93CCB" w:rsidP="004C5022">
      <w:pPr>
        <w:rPr>
          <w:rFonts w:cs="Calibri"/>
        </w:rPr>
      </w:pPr>
      <w:r w:rsidRPr="00BC7A12">
        <w:rPr>
          <w:rFonts w:cs="Calibri"/>
        </w:rPr>
        <w:t xml:space="preserve">The literature </w:t>
      </w:r>
      <w:r w:rsidR="00B83E9A" w:rsidRPr="00BC7A12">
        <w:rPr>
          <w:rFonts w:cs="Calibri"/>
        </w:rPr>
        <w:t xml:space="preserve">review </w:t>
      </w:r>
      <w:r w:rsidRPr="00BC7A12">
        <w:rPr>
          <w:rFonts w:cs="Calibri"/>
        </w:rPr>
        <w:t xml:space="preserve">identified </w:t>
      </w:r>
      <w:r w:rsidR="004C5022" w:rsidRPr="00BC7A12">
        <w:rPr>
          <w:rFonts w:cs="Calibri"/>
        </w:rPr>
        <w:t>2</w:t>
      </w:r>
      <w:r w:rsidR="006F489D" w:rsidRPr="00BC7A12">
        <w:rPr>
          <w:rFonts w:cs="Calibri"/>
        </w:rPr>
        <w:t>7</w:t>
      </w:r>
      <w:r w:rsidR="004C5022" w:rsidRPr="00BC7A12">
        <w:rPr>
          <w:rFonts w:cs="Calibri"/>
        </w:rPr>
        <w:t xml:space="preserve"> </w:t>
      </w:r>
      <w:r w:rsidR="00B96287" w:rsidRPr="00BC7A12">
        <w:rPr>
          <w:rFonts w:cs="Calibri"/>
        </w:rPr>
        <w:t xml:space="preserve">unique </w:t>
      </w:r>
      <w:r w:rsidR="004C5022" w:rsidRPr="00BC7A12">
        <w:rPr>
          <w:rFonts w:cs="Calibri"/>
        </w:rPr>
        <w:t>descriptions of valuation techniques (</w:t>
      </w:r>
      <w:r w:rsidR="00181323" w:rsidRPr="00BC7A12">
        <w:rPr>
          <w:rFonts w:cs="Calibri"/>
        </w:rPr>
        <w:fldChar w:fldCharType="begin"/>
      </w:r>
      <w:r w:rsidR="00181323" w:rsidRPr="00BC7A12">
        <w:rPr>
          <w:rFonts w:cs="Calibri"/>
        </w:rPr>
        <w:instrText xml:space="preserve"> REF _Ref43034921 \h </w:instrText>
      </w:r>
      <w:r w:rsidR="00FD3388" w:rsidRPr="00BC7A12">
        <w:rPr>
          <w:rFonts w:cs="Calibri"/>
        </w:rPr>
        <w:instrText xml:space="preserve"> \* MERGEFORMAT </w:instrText>
      </w:r>
      <w:r w:rsidR="00181323" w:rsidRPr="00BC7A12">
        <w:rPr>
          <w:rFonts w:cs="Calibri"/>
        </w:rPr>
      </w:r>
      <w:r w:rsidR="00181323" w:rsidRPr="00BC7A12">
        <w:rPr>
          <w:rFonts w:cs="Calibri"/>
        </w:rPr>
        <w:fldChar w:fldCharType="separate"/>
      </w:r>
      <w:r w:rsidR="00657E34" w:rsidRPr="00BC7A12">
        <w:rPr>
          <w:rFonts w:cs="Calibri"/>
        </w:rPr>
        <w:t xml:space="preserve">Table </w:t>
      </w:r>
      <w:r w:rsidR="00657E34" w:rsidRPr="00657E34">
        <w:rPr>
          <w:rFonts w:cs="Calibri"/>
          <w:noProof/>
        </w:rPr>
        <w:t>3</w:t>
      </w:r>
      <w:r w:rsidR="00181323" w:rsidRPr="00BC7A12">
        <w:rPr>
          <w:rFonts w:cs="Calibri"/>
        </w:rPr>
        <w:fldChar w:fldCharType="end"/>
      </w:r>
      <w:r w:rsidR="00F65A83" w:rsidRPr="00BC7A12">
        <w:rPr>
          <w:rFonts w:cs="Calibri"/>
        </w:rPr>
        <w:t xml:space="preserve">). </w:t>
      </w:r>
      <w:r w:rsidR="006F17B6" w:rsidRPr="00BC7A12">
        <w:rPr>
          <w:rFonts w:cs="Calibri"/>
        </w:rPr>
        <w:t xml:space="preserve">While they are named in slightly different ways, the techniques </w:t>
      </w:r>
      <w:r w:rsidR="006F489D" w:rsidRPr="00BC7A12">
        <w:rPr>
          <w:rFonts w:cs="Calibri"/>
        </w:rPr>
        <w:t xml:space="preserve">are similar to </w:t>
      </w:r>
      <w:r w:rsidR="00CE4B52" w:rsidRPr="00BC7A12">
        <w:rPr>
          <w:rFonts w:cs="Calibri"/>
        </w:rPr>
        <w:t xml:space="preserve">the </w:t>
      </w:r>
      <w:r w:rsidR="006F17B6" w:rsidRPr="00BC7A12">
        <w:rPr>
          <w:rFonts w:cs="Calibri"/>
        </w:rPr>
        <w:t xml:space="preserve">list of </w:t>
      </w:r>
      <w:r w:rsidR="00EF5C0E" w:rsidRPr="00BC7A12">
        <w:rPr>
          <w:rFonts w:cs="Calibri"/>
        </w:rPr>
        <w:t xml:space="preserve">standard </w:t>
      </w:r>
      <w:r w:rsidR="006F17B6" w:rsidRPr="00BC7A12">
        <w:rPr>
          <w:rFonts w:cs="Calibri"/>
        </w:rPr>
        <w:t xml:space="preserve">techniques in </w:t>
      </w:r>
      <w:r w:rsidR="0015642C" w:rsidRPr="00BC7A12">
        <w:rPr>
          <w:rFonts w:cs="Calibri"/>
        </w:rPr>
        <w:lastRenderedPageBreak/>
        <w:fldChar w:fldCharType="begin"/>
      </w:r>
      <w:r w:rsidR="0015642C" w:rsidRPr="00BC7A12">
        <w:rPr>
          <w:rFonts w:cs="Calibri"/>
        </w:rPr>
        <w:instrText xml:space="preserve"> REF _Ref43034682 \h </w:instrText>
      </w:r>
      <w:r w:rsidR="00FD3388" w:rsidRPr="00BC7A12">
        <w:rPr>
          <w:rFonts w:cs="Calibri"/>
        </w:rPr>
        <w:instrText xml:space="preserve"> \* MERGEFORMAT </w:instrText>
      </w:r>
      <w:r w:rsidR="0015642C" w:rsidRPr="00BC7A12">
        <w:rPr>
          <w:rFonts w:cs="Calibri"/>
        </w:rPr>
      </w:r>
      <w:r w:rsidR="0015642C" w:rsidRPr="00BC7A12">
        <w:rPr>
          <w:rFonts w:cs="Calibri"/>
        </w:rPr>
        <w:fldChar w:fldCharType="separate"/>
      </w:r>
      <w:r w:rsidR="00657E34" w:rsidRPr="00BC7A12">
        <w:rPr>
          <w:rFonts w:cs="Calibri"/>
        </w:rPr>
        <w:t>Table</w:t>
      </w:r>
      <w:r w:rsidR="00657E34">
        <w:rPr>
          <w:rFonts w:cs="Calibri"/>
        </w:rPr>
        <w:t xml:space="preserve"> </w:t>
      </w:r>
      <w:r w:rsidR="00657E34" w:rsidRPr="00657E34">
        <w:rPr>
          <w:rFonts w:cs="Calibri"/>
          <w:noProof/>
        </w:rPr>
        <w:t>2</w:t>
      </w:r>
      <w:r w:rsidR="0015642C" w:rsidRPr="00BC7A12">
        <w:rPr>
          <w:rFonts w:cs="Calibri"/>
        </w:rPr>
        <w:fldChar w:fldCharType="end"/>
      </w:r>
      <w:r w:rsidR="006F17B6" w:rsidRPr="00BC7A12">
        <w:rPr>
          <w:rFonts w:cs="Calibri"/>
        </w:rPr>
        <w:t xml:space="preserve">. </w:t>
      </w:r>
      <w:r w:rsidR="0017364D" w:rsidRPr="00BC7A12">
        <w:rPr>
          <w:rFonts w:cs="Calibri"/>
        </w:rPr>
        <w:t xml:space="preserve">Table 3 highlights that while </w:t>
      </w:r>
      <w:r w:rsidR="00F54B14" w:rsidRPr="00BC7A12">
        <w:rPr>
          <w:rFonts w:cs="Calibri"/>
        </w:rPr>
        <w:t xml:space="preserve">some </w:t>
      </w:r>
      <w:r w:rsidR="0017364D" w:rsidRPr="00BC7A12">
        <w:rPr>
          <w:rFonts w:cs="Calibri"/>
        </w:rPr>
        <w:t xml:space="preserve">studies </w:t>
      </w:r>
      <w:r w:rsidR="00A466F9" w:rsidRPr="00BC7A12">
        <w:rPr>
          <w:rFonts w:cs="Calibri"/>
        </w:rPr>
        <w:t>described the</w:t>
      </w:r>
      <w:r w:rsidR="00BD59B1" w:rsidRPr="00BC7A12">
        <w:rPr>
          <w:rFonts w:cs="Calibri"/>
        </w:rPr>
        <w:t xml:space="preserve"> techniques</w:t>
      </w:r>
      <w:r w:rsidR="00A466F9" w:rsidRPr="00BC7A12">
        <w:rPr>
          <w:rFonts w:cs="Calibri"/>
        </w:rPr>
        <w:t xml:space="preserve"> uniquely</w:t>
      </w:r>
      <w:r w:rsidR="00BD59B1" w:rsidRPr="00BC7A12">
        <w:rPr>
          <w:rFonts w:cs="Calibri"/>
        </w:rPr>
        <w:t xml:space="preserve">, they </w:t>
      </w:r>
      <w:r w:rsidR="00F54B14" w:rsidRPr="00BC7A12">
        <w:rPr>
          <w:rFonts w:cs="Calibri"/>
        </w:rPr>
        <w:t xml:space="preserve">are </w:t>
      </w:r>
      <w:r w:rsidR="0017364D" w:rsidRPr="00BC7A12">
        <w:rPr>
          <w:rFonts w:cs="Calibri"/>
        </w:rPr>
        <w:t xml:space="preserve">not </w:t>
      </w:r>
      <w:r w:rsidR="00F54B14" w:rsidRPr="00BC7A12">
        <w:rPr>
          <w:rFonts w:cs="Calibri"/>
        </w:rPr>
        <w:t>substantively</w:t>
      </w:r>
      <w:r w:rsidR="0017364D" w:rsidRPr="00BC7A12">
        <w:rPr>
          <w:rFonts w:cs="Calibri"/>
        </w:rPr>
        <w:t xml:space="preserve"> differen</w:t>
      </w:r>
      <w:r w:rsidR="00C61E2B" w:rsidRPr="00BC7A12">
        <w:rPr>
          <w:rFonts w:cs="Calibri"/>
        </w:rPr>
        <w:t>t</w:t>
      </w:r>
      <w:r w:rsidR="0017364D" w:rsidRPr="00BC7A12">
        <w:rPr>
          <w:rFonts w:cs="Calibri"/>
        </w:rPr>
        <w:t xml:space="preserve"> from </w:t>
      </w:r>
      <w:r w:rsidR="00F54B14" w:rsidRPr="00BC7A12">
        <w:rPr>
          <w:rFonts w:cs="Calibri"/>
        </w:rPr>
        <w:t>those</w:t>
      </w:r>
      <w:r w:rsidR="0017364D" w:rsidRPr="00BC7A12">
        <w:rPr>
          <w:rFonts w:cs="Calibri"/>
        </w:rPr>
        <w:t xml:space="preserve"> described above.</w:t>
      </w:r>
    </w:p>
    <w:p w14:paraId="6753F93E" w14:textId="77777777" w:rsidR="0017364D" w:rsidRPr="00BC7A12" w:rsidRDefault="0017364D" w:rsidP="004C5022">
      <w:pPr>
        <w:rPr>
          <w:rFonts w:cs="Calibri"/>
        </w:rPr>
      </w:pPr>
    </w:p>
    <w:p w14:paraId="516AD9A2" w14:textId="620103B6" w:rsidR="00F34357" w:rsidRPr="00BC7A12" w:rsidRDefault="00F34357" w:rsidP="00F34357">
      <w:pPr>
        <w:pStyle w:val="Caption"/>
        <w:keepNext/>
        <w:rPr>
          <w:rFonts w:cs="Calibri"/>
          <w:i w:val="0"/>
          <w:iCs w:val="0"/>
        </w:rPr>
      </w:pPr>
      <w:bookmarkStart w:id="51" w:name="_Ref43034921"/>
      <w:bookmarkStart w:id="52" w:name="_Toc46821742"/>
      <w:r w:rsidRPr="00BC7A12">
        <w:rPr>
          <w:rFonts w:cs="Calibri"/>
          <w:i w:val="0"/>
          <w:iCs w:val="0"/>
        </w:rPr>
        <w:t xml:space="preserve">Table </w:t>
      </w:r>
      <w:r w:rsidR="0015503F" w:rsidRPr="00BC7A12">
        <w:rPr>
          <w:rFonts w:cs="Calibri"/>
          <w:i w:val="0"/>
          <w:iCs w:val="0"/>
        </w:rPr>
        <w:fldChar w:fldCharType="begin"/>
      </w:r>
      <w:r w:rsidR="0015503F" w:rsidRPr="00BC7A12">
        <w:rPr>
          <w:rFonts w:cs="Calibri"/>
          <w:i w:val="0"/>
          <w:iCs w:val="0"/>
        </w:rPr>
        <w:instrText xml:space="preserve"> SEQ Table \* ARABIC </w:instrText>
      </w:r>
      <w:r w:rsidR="0015503F" w:rsidRPr="00BC7A12">
        <w:rPr>
          <w:rFonts w:cs="Calibri"/>
          <w:i w:val="0"/>
          <w:iCs w:val="0"/>
        </w:rPr>
        <w:fldChar w:fldCharType="separate"/>
      </w:r>
      <w:r w:rsidR="00657E34">
        <w:rPr>
          <w:rFonts w:cs="Calibri"/>
          <w:i w:val="0"/>
          <w:iCs w:val="0"/>
          <w:noProof/>
        </w:rPr>
        <w:t>3</w:t>
      </w:r>
      <w:r w:rsidR="0015503F" w:rsidRPr="00BC7A12">
        <w:rPr>
          <w:rFonts w:cs="Calibri"/>
          <w:i w:val="0"/>
          <w:iCs w:val="0"/>
          <w:noProof/>
        </w:rPr>
        <w:fldChar w:fldCharType="end"/>
      </w:r>
      <w:bookmarkEnd w:id="51"/>
      <w:r w:rsidRPr="00BC7A12">
        <w:rPr>
          <w:rFonts w:cs="Calibri"/>
          <w:i w:val="0"/>
          <w:iCs w:val="0"/>
        </w:rPr>
        <w:t xml:space="preserve"> </w:t>
      </w:r>
      <w:r w:rsidR="00A217D6" w:rsidRPr="00BC7A12">
        <w:rPr>
          <w:rFonts w:cs="Calibri"/>
          <w:i w:val="0"/>
          <w:iCs w:val="0"/>
        </w:rPr>
        <w:t>Classification</w:t>
      </w:r>
      <w:r w:rsidRPr="00BC7A12">
        <w:rPr>
          <w:rFonts w:cs="Calibri"/>
          <w:i w:val="0"/>
          <w:iCs w:val="0"/>
        </w:rPr>
        <w:t xml:space="preserve"> of techniques from literature to </w:t>
      </w:r>
      <w:r w:rsidR="00181323" w:rsidRPr="00BC7A12">
        <w:rPr>
          <w:rFonts w:cs="Calibri"/>
          <w:i w:val="0"/>
          <w:iCs w:val="0"/>
        </w:rPr>
        <w:fldChar w:fldCharType="begin"/>
      </w:r>
      <w:r w:rsidR="00181323" w:rsidRPr="00BC7A12">
        <w:rPr>
          <w:rFonts w:cs="Calibri"/>
          <w:i w:val="0"/>
          <w:iCs w:val="0"/>
        </w:rPr>
        <w:instrText xml:space="preserve"> REF _Ref43034682 \h </w:instrText>
      </w:r>
      <w:r w:rsidR="00FD3388" w:rsidRPr="00BC7A12">
        <w:rPr>
          <w:rFonts w:cs="Calibri"/>
          <w:i w:val="0"/>
          <w:iCs w:val="0"/>
        </w:rPr>
        <w:instrText xml:space="preserve"> \* MERGEFORMAT </w:instrText>
      </w:r>
      <w:r w:rsidR="00181323" w:rsidRPr="00BC7A12">
        <w:rPr>
          <w:rFonts w:cs="Calibri"/>
          <w:i w:val="0"/>
          <w:iCs w:val="0"/>
        </w:rPr>
      </w:r>
      <w:r w:rsidR="00181323" w:rsidRPr="00BC7A12">
        <w:rPr>
          <w:rFonts w:cs="Calibri"/>
          <w:i w:val="0"/>
          <w:iCs w:val="0"/>
        </w:rPr>
        <w:fldChar w:fldCharType="separate"/>
      </w:r>
      <w:r w:rsidR="00657E34" w:rsidRPr="00BC7A12">
        <w:rPr>
          <w:rFonts w:cs="Calibri"/>
          <w:i w:val="0"/>
          <w:iCs w:val="0"/>
        </w:rPr>
        <w:t>Table</w:t>
      </w:r>
      <w:r w:rsidR="00657E34">
        <w:rPr>
          <w:rFonts w:cs="Calibri"/>
          <w:i w:val="0"/>
          <w:iCs w:val="0"/>
        </w:rPr>
        <w:t xml:space="preserve"> </w:t>
      </w:r>
      <w:r w:rsidR="00657E34">
        <w:rPr>
          <w:rFonts w:cs="Calibri"/>
          <w:i w:val="0"/>
          <w:iCs w:val="0"/>
          <w:noProof/>
        </w:rPr>
        <w:t>2</w:t>
      </w:r>
      <w:bookmarkEnd w:id="52"/>
      <w:r w:rsidR="00181323" w:rsidRPr="00BC7A12">
        <w:rPr>
          <w:rFonts w:cs="Calibri"/>
          <w:i w:val="0"/>
          <w:iCs w:val="0"/>
        </w:rPr>
        <w:fldChar w:fldCharType="end"/>
      </w:r>
    </w:p>
    <w:tbl>
      <w:tblPr>
        <w:tblStyle w:val="GridTable1Light"/>
        <w:tblW w:w="0" w:type="auto"/>
        <w:tblLook w:val="0000" w:firstRow="0" w:lastRow="0" w:firstColumn="0" w:lastColumn="0" w:noHBand="0" w:noVBand="0"/>
      </w:tblPr>
      <w:tblGrid>
        <w:gridCol w:w="6595"/>
        <w:gridCol w:w="2421"/>
      </w:tblGrid>
      <w:tr w:rsidR="001E1061" w:rsidRPr="00BC7A12" w14:paraId="2EF0D096" w14:textId="77777777" w:rsidTr="006F17B6">
        <w:trPr>
          <w:trHeight w:val="290"/>
          <w:tblHeader/>
        </w:trPr>
        <w:tc>
          <w:tcPr>
            <w:tcW w:w="0" w:type="auto"/>
          </w:tcPr>
          <w:p w14:paraId="45D16852" w14:textId="0B454591" w:rsidR="00F34357" w:rsidRPr="00BC7A12" w:rsidRDefault="00F34357">
            <w:pPr>
              <w:autoSpaceDE w:val="0"/>
              <w:autoSpaceDN w:val="0"/>
              <w:adjustRightInd w:val="0"/>
              <w:spacing w:after="0" w:line="240" w:lineRule="auto"/>
              <w:jc w:val="left"/>
              <w:rPr>
                <w:rFonts w:cs="Calibri"/>
                <w:b/>
                <w:bCs/>
                <w:color w:val="000000"/>
              </w:rPr>
            </w:pPr>
            <w:r w:rsidRPr="00BC7A12">
              <w:rPr>
                <w:rFonts w:cs="Calibri"/>
                <w:b/>
                <w:bCs/>
                <w:color w:val="000000"/>
              </w:rPr>
              <w:t>Technique</w:t>
            </w:r>
            <w:r w:rsidR="00FF6AAE" w:rsidRPr="00BC7A12">
              <w:rPr>
                <w:rFonts w:cs="Calibri"/>
                <w:b/>
                <w:bCs/>
                <w:color w:val="000000"/>
              </w:rPr>
              <w:t xml:space="preserve"> identified in </w:t>
            </w:r>
            <w:r w:rsidRPr="00BC7A12">
              <w:rPr>
                <w:rFonts w:cs="Calibri"/>
                <w:b/>
                <w:bCs/>
                <w:color w:val="000000"/>
              </w:rPr>
              <w:t xml:space="preserve">the literature </w:t>
            </w:r>
          </w:p>
        </w:tc>
        <w:tc>
          <w:tcPr>
            <w:tcW w:w="0" w:type="auto"/>
          </w:tcPr>
          <w:p w14:paraId="0D9BD96D" w14:textId="5BC84951" w:rsidR="00F34357" w:rsidRPr="00BC7A12" w:rsidRDefault="001E1061">
            <w:pPr>
              <w:autoSpaceDE w:val="0"/>
              <w:autoSpaceDN w:val="0"/>
              <w:adjustRightInd w:val="0"/>
              <w:spacing w:after="0" w:line="240" w:lineRule="auto"/>
              <w:jc w:val="left"/>
              <w:rPr>
                <w:rFonts w:cs="Calibri"/>
                <w:b/>
                <w:bCs/>
                <w:color w:val="000000"/>
              </w:rPr>
            </w:pPr>
            <w:r w:rsidRPr="00BC7A12">
              <w:rPr>
                <w:rFonts w:cs="Calibri"/>
                <w:b/>
                <w:bCs/>
                <w:color w:val="000000"/>
              </w:rPr>
              <w:t>Corresponding</w:t>
            </w:r>
            <w:r w:rsidR="007C7CEC" w:rsidRPr="00BC7A12">
              <w:rPr>
                <w:rFonts w:cs="Calibri"/>
                <w:b/>
                <w:bCs/>
                <w:color w:val="000000"/>
              </w:rPr>
              <w:t xml:space="preserve"> t</w:t>
            </w:r>
            <w:r w:rsidR="00F34357" w:rsidRPr="00BC7A12">
              <w:rPr>
                <w:rFonts w:cs="Calibri"/>
                <w:b/>
                <w:bCs/>
                <w:color w:val="000000"/>
              </w:rPr>
              <w:t xml:space="preserve">echnique from </w:t>
            </w:r>
            <w:r w:rsidR="00181323" w:rsidRPr="00BC7A12">
              <w:rPr>
                <w:rFonts w:cs="Calibri"/>
                <w:b/>
                <w:bCs/>
                <w:color w:val="000000"/>
              </w:rPr>
              <w:fldChar w:fldCharType="begin"/>
            </w:r>
            <w:r w:rsidR="00181323" w:rsidRPr="00BC7A12">
              <w:rPr>
                <w:rFonts w:cs="Calibri"/>
                <w:b/>
                <w:bCs/>
                <w:color w:val="000000"/>
              </w:rPr>
              <w:instrText xml:space="preserve"> REF _Ref43034682 \h  \* MERGEFORMAT </w:instrText>
            </w:r>
            <w:r w:rsidR="00181323" w:rsidRPr="00BC7A12">
              <w:rPr>
                <w:rFonts w:cs="Calibri"/>
                <w:b/>
                <w:bCs/>
                <w:color w:val="000000"/>
              </w:rPr>
            </w:r>
            <w:r w:rsidR="00181323" w:rsidRPr="00BC7A12">
              <w:rPr>
                <w:rFonts w:cs="Calibri"/>
                <w:b/>
                <w:bCs/>
                <w:color w:val="000000"/>
              </w:rPr>
              <w:fldChar w:fldCharType="separate"/>
            </w:r>
            <w:r w:rsidR="00657E34" w:rsidRPr="00657E34">
              <w:rPr>
                <w:rFonts w:cs="Calibri"/>
                <w:b/>
                <w:bCs/>
              </w:rPr>
              <w:t xml:space="preserve">Table </w:t>
            </w:r>
            <w:r w:rsidR="00657E34" w:rsidRPr="00657E34">
              <w:rPr>
                <w:rFonts w:cs="Calibri"/>
                <w:b/>
                <w:bCs/>
                <w:noProof/>
              </w:rPr>
              <w:t>2</w:t>
            </w:r>
            <w:r w:rsidR="00181323" w:rsidRPr="00BC7A12">
              <w:rPr>
                <w:rFonts w:cs="Calibri"/>
                <w:b/>
                <w:bCs/>
                <w:color w:val="000000"/>
              </w:rPr>
              <w:fldChar w:fldCharType="end"/>
            </w:r>
            <w:r w:rsidR="00F34357" w:rsidRPr="00BC7A12">
              <w:rPr>
                <w:rFonts w:cs="Calibri"/>
                <w:b/>
                <w:bCs/>
                <w:color w:val="000000"/>
              </w:rPr>
              <w:t xml:space="preserve"> </w:t>
            </w:r>
          </w:p>
        </w:tc>
      </w:tr>
      <w:tr w:rsidR="001E1061" w:rsidRPr="00BC7A12" w14:paraId="0A61057A" w14:textId="77777777" w:rsidTr="006F17B6">
        <w:trPr>
          <w:trHeight w:val="290"/>
        </w:trPr>
        <w:tc>
          <w:tcPr>
            <w:tcW w:w="0" w:type="auto"/>
          </w:tcPr>
          <w:p w14:paraId="677EE7DA"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Predicted causalities avoided using spatial based modelling</w:t>
            </w:r>
          </w:p>
        </w:tc>
        <w:tc>
          <w:tcPr>
            <w:tcW w:w="0" w:type="auto"/>
          </w:tcPr>
          <w:p w14:paraId="0A917C7A"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6F100C4C" w14:textId="77777777" w:rsidTr="006F17B6">
        <w:trPr>
          <w:trHeight w:val="290"/>
        </w:trPr>
        <w:tc>
          <w:tcPr>
            <w:tcW w:w="0" w:type="auto"/>
          </w:tcPr>
          <w:p w14:paraId="471BD2CA"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Values inferred by literature aggregation</w:t>
            </w:r>
          </w:p>
        </w:tc>
        <w:tc>
          <w:tcPr>
            <w:tcW w:w="0" w:type="auto"/>
          </w:tcPr>
          <w:p w14:paraId="11727570"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Benefit transfers</w:t>
            </w:r>
          </w:p>
        </w:tc>
      </w:tr>
      <w:tr w:rsidR="001E1061" w:rsidRPr="00BC7A12" w14:paraId="3B1B4661" w14:textId="77777777" w:rsidTr="006F17B6">
        <w:trPr>
          <w:trHeight w:val="290"/>
        </w:trPr>
        <w:tc>
          <w:tcPr>
            <w:tcW w:w="0" w:type="auto"/>
          </w:tcPr>
          <w:p w14:paraId="55B4ABCE"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Biophysical model and damage costs avoided</w:t>
            </w:r>
          </w:p>
        </w:tc>
        <w:tc>
          <w:tcPr>
            <w:tcW w:w="0" w:type="auto"/>
          </w:tcPr>
          <w:p w14:paraId="0F2FE2C5"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1F46808D" w14:textId="77777777" w:rsidTr="006F17B6">
        <w:trPr>
          <w:trHeight w:val="338"/>
        </w:trPr>
        <w:tc>
          <w:tcPr>
            <w:tcW w:w="0" w:type="auto"/>
          </w:tcPr>
          <w:p w14:paraId="2067D487"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Risk based damage costs avoided</w:t>
            </w:r>
          </w:p>
        </w:tc>
        <w:tc>
          <w:tcPr>
            <w:tcW w:w="0" w:type="auto"/>
          </w:tcPr>
          <w:p w14:paraId="4A50F7FD"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4CFB3A4A" w14:textId="77777777" w:rsidTr="006F17B6">
        <w:trPr>
          <w:trHeight w:val="259"/>
        </w:trPr>
        <w:tc>
          <w:tcPr>
            <w:tcW w:w="0" w:type="auto"/>
          </w:tcPr>
          <w:p w14:paraId="6EBE5A51"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Substitute cost method</w:t>
            </w:r>
          </w:p>
        </w:tc>
        <w:tc>
          <w:tcPr>
            <w:tcW w:w="0" w:type="auto"/>
          </w:tcPr>
          <w:p w14:paraId="179BBF01"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Replacement costs </w:t>
            </w:r>
          </w:p>
        </w:tc>
      </w:tr>
      <w:tr w:rsidR="001E1061" w:rsidRPr="00BC7A12" w14:paraId="67AFBCE7" w14:textId="77777777" w:rsidTr="006F17B6">
        <w:trPr>
          <w:trHeight w:val="350"/>
        </w:trPr>
        <w:tc>
          <w:tcPr>
            <w:tcW w:w="0" w:type="auto"/>
          </w:tcPr>
          <w:p w14:paraId="5CF81A2C"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Regression based damage cost avoided</w:t>
            </w:r>
          </w:p>
        </w:tc>
        <w:tc>
          <w:tcPr>
            <w:tcW w:w="0" w:type="auto"/>
          </w:tcPr>
          <w:p w14:paraId="3510FC67"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68BC23FD" w14:textId="77777777" w:rsidTr="006F17B6">
        <w:trPr>
          <w:trHeight w:val="300"/>
        </w:trPr>
        <w:tc>
          <w:tcPr>
            <w:tcW w:w="0" w:type="auto"/>
          </w:tcPr>
          <w:p w14:paraId="5BEEE0AE"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Replacement cost and damage cost avoided</w:t>
            </w:r>
          </w:p>
        </w:tc>
        <w:tc>
          <w:tcPr>
            <w:tcW w:w="0" w:type="auto"/>
          </w:tcPr>
          <w:p w14:paraId="762E493A"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397CF362" w14:textId="77777777" w:rsidTr="006F17B6">
        <w:trPr>
          <w:trHeight w:val="290"/>
        </w:trPr>
        <w:tc>
          <w:tcPr>
            <w:tcW w:w="0" w:type="auto"/>
          </w:tcPr>
          <w:p w14:paraId="14BD8CBC"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w:t>
            </w:r>
            <w:proofErr w:type="gramStart"/>
            <w:r w:rsidRPr="00BC7A12">
              <w:rPr>
                <w:rFonts w:cs="Calibri"/>
                <w:color w:val="000000"/>
                <w:sz w:val="16"/>
                <w:szCs w:val="16"/>
              </w:rPr>
              <w:t>function based</w:t>
            </w:r>
            <w:proofErr w:type="gramEnd"/>
            <w:r w:rsidRPr="00BC7A12">
              <w:rPr>
                <w:rFonts w:cs="Calibri"/>
                <w:color w:val="000000"/>
                <w:sz w:val="16"/>
                <w:szCs w:val="16"/>
              </w:rPr>
              <w:t xml:space="preserve"> damage cost avoided</w:t>
            </w:r>
          </w:p>
        </w:tc>
        <w:tc>
          <w:tcPr>
            <w:tcW w:w="0" w:type="auto"/>
          </w:tcPr>
          <w:p w14:paraId="46CCCA62"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454A524D" w14:textId="77777777" w:rsidTr="006F17B6">
        <w:trPr>
          <w:trHeight w:val="290"/>
        </w:trPr>
        <w:tc>
          <w:tcPr>
            <w:tcW w:w="0" w:type="auto"/>
          </w:tcPr>
          <w:p w14:paraId="0991D205"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Damage cost avoided</w:t>
            </w:r>
          </w:p>
        </w:tc>
        <w:tc>
          <w:tcPr>
            <w:tcW w:w="0" w:type="auto"/>
          </w:tcPr>
          <w:p w14:paraId="3A32AE02"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1C9E66A8" w14:textId="77777777" w:rsidTr="006F17B6">
        <w:trPr>
          <w:trHeight w:val="290"/>
        </w:trPr>
        <w:tc>
          <w:tcPr>
            <w:tcW w:w="0" w:type="auto"/>
          </w:tcPr>
          <w:p w14:paraId="4F442A11" w14:textId="77777777" w:rsidR="00F34357" w:rsidRPr="00BC7A12" w:rsidRDefault="00F34357">
            <w:pPr>
              <w:autoSpaceDE w:val="0"/>
              <w:autoSpaceDN w:val="0"/>
              <w:adjustRightInd w:val="0"/>
              <w:spacing w:after="0" w:line="240" w:lineRule="auto"/>
              <w:jc w:val="left"/>
              <w:rPr>
                <w:rFonts w:cs="Calibri"/>
                <w:color w:val="000000"/>
                <w:sz w:val="16"/>
                <w:szCs w:val="16"/>
                <w:highlight w:val="yellow"/>
              </w:rPr>
            </w:pPr>
            <w:r w:rsidRPr="00BC7A12">
              <w:rPr>
                <w:rFonts w:cs="Calibri"/>
                <w:color w:val="000000"/>
                <w:sz w:val="16"/>
                <w:szCs w:val="16"/>
              </w:rPr>
              <w:t>Replacement cost</w:t>
            </w:r>
          </w:p>
        </w:tc>
        <w:tc>
          <w:tcPr>
            <w:tcW w:w="0" w:type="auto"/>
          </w:tcPr>
          <w:p w14:paraId="050E9CB4" w14:textId="7344C93E" w:rsidR="00F34357" w:rsidRPr="00BC7A12" w:rsidRDefault="00A07360">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Replacement costs</w:t>
            </w:r>
          </w:p>
        </w:tc>
      </w:tr>
      <w:tr w:rsidR="001E1061" w:rsidRPr="00BC7A12" w14:paraId="20860D3F" w14:textId="77777777" w:rsidTr="006F17B6">
        <w:trPr>
          <w:trHeight w:val="290"/>
        </w:trPr>
        <w:tc>
          <w:tcPr>
            <w:tcW w:w="0" w:type="auto"/>
          </w:tcPr>
          <w:p w14:paraId="03D4F687"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Insurance industry-based flood risk model and damage cost avoided</w:t>
            </w:r>
          </w:p>
        </w:tc>
        <w:tc>
          <w:tcPr>
            <w:tcW w:w="0" w:type="auto"/>
          </w:tcPr>
          <w:p w14:paraId="1C025510"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29BE3259" w14:textId="77777777" w:rsidTr="006F17B6">
        <w:trPr>
          <w:trHeight w:val="290"/>
        </w:trPr>
        <w:tc>
          <w:tcPr>
            <w:tcW w:w="0" w:type="auto"/>
          </w:tcPr>
          <w:p w14:paraId="51B6F9D6" w14:textId="365B8025"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Simulated local sea-level change for marshland using </w:t>
            </w:r>
            <w:proofErr w:type="spellStart"/>
            <w:r w:rsidRPr="00BC7A12">
              <w:rPr>
                <w:rFonts w:cs="Calibri"/>
                <w:color w:val="000000"/>
                <w:sz w:val="16"/>
                <w:szCs w:val="16"/>
              </w:rPr>
              <w:t>InV</w:t>
            </w:r>
            <w:r w:rsidR="00F54B14" w:rsidRPr="00BC7A12">
              <w:rPr>
                <w:rFonts w:cs="Calibri"/>
                <w:color w:val="000000"/>
                <w:sz w:val="16"/>
                <w:szCs w:val="16"/>
              </w:rPr>
              <w:t>EST</w:t>
            </w:r>
            <w:proofErr w:type="spellEnd"/>
            <w:r w:rsidRPr="00BC7A12">
              <w:rPr>
                <w:rFonts w:cs="Calibri"/>
                <w:color w:val="000000"/>
                <w:sz w:val="16"/>
                <w:szCs w:val="16"/>
              </w:rPr>
              <w:t xml:space="preserve"> model to determine reduction in protective levee height necessary due to marshland</w:t>
            </w:r>
          </w:p>
        </w:tc>
        <w:tc>
          <w:tcPr>
            <w:tcW w:w="0" w:type="auto"/>
          </w:tcPr>
          <w:p w14:paraId="739B594F"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467EEA71" w14:textId="77777777" w:rsidTr="006F17B6">
        <w:trPr>
          <w:trHeight w:val="290"/>
        </w:trPr>
        <w:tc>
          <w:tcPr>
            <w:tcW w:w="0" w:type="auto"/>
          </w:tcPr>
          <w:p w14:paraId="009E438C"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 Estimated number of properties and residents protected (damage avoided) by coastal habitats estimated using differences in scenarios from </w:t>
            </w:r>
            <w:proofErr w:type="spellStart"/>
            <w:r w:rsidRPr="00BC7A12">
              <w:rPr>
                <w:rFonts w:cs="Calibri"/>
                <w:color w:val="000000"/>
                <w:sz w:val="16"/>
                <w:szCs w:val="16"/>
              </w:rPr>
              <w:t>InVEST</w:t>
            </w:r>
            <w:proofErr w:type="spellEnd"/>
            <w:r w:rsidRPr="00BC7A12">
              <w:rPr>
                <w:rFonts w:cs="Calibri"/>
                <w:color w:val="000000"/>
                <w:sz w:val="16"/>
                <w:szCs w:val="16"/>
              </w:rPr>
              <w:t xml:space="preserve"> model.</w:t>
            </w:r>
          </w:p>
        </w:tc>
        <w:tc>
          <w:tcPr>
            <w:tcW w:w="0" w:type="auto"/>
          </w:tcPr>
          <w:p w14:paraId="529202B6"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2F881B44" w14:textId="77777777" w:rsidTr="006F17B6">
        <w:trPr>
          <w:trHeight w:val="290"/>
        </w:trPr>
        <w:tc>
          <w:tcPr>
            <w:tcW w:w="0" w:type="auto"/>
          </w:tcPr>
          <w:p w14:paraId="0DF4CCB1"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Biophysical modelling (using the physics of flood, surges, waves) and deriving a NPV of damages (avoided property damage using depth damage functions, avoided business interruption, and avoided levee costs)</w:t>
            </w:r>
          </w:p>
        </w:tc>
        <w:tc>
          <w:tcPr>
            <w:tcW w:w="0" w:type="auto"/>
          </w:tcPr>
          <w:p w14:paraId="035D5B66"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22897FD7" w14:textId="77777777" w:rsidTr="006F17B6">
        <w:trPr>
          <w:trHeight w:val="290"/>
        </w:trPr>
        <w:tc>
          <w:tcPr>
            <w:tcW w:w="0" w:type="auto"/>
          </w:tcPr>
          <w:p w14:paraId="138AD6EC"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Coastal protection index and avoided damage costs</w:t>
            </w:r>
          </w:p>
        </w:tc>
        <w:tc>
          <w:tcPr>
            <w:tcW w:w="0" w:type="auto"/>
          </w:tcPr>
          <w:p w14:paraId="5063DFB2"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2E2848F7" w14:textId="77777777" w:rsidTr="006F17B6">
        <w:trPr>
          <w:trHeight w:val="290"/>
        </w:trPr>
        <w:tc>
          <w:tcPr>
            <w:tcW w:w="0" w:type="auto"/>
          </w:tcPr>
          <w:p w14:paraId="0FFA1C39"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Expected damage function</w:t>
            </w:r>
          </w:p>
        </w:tc>
        <w:tc>
          <w:tcPr>
            <w:tcW w:w="0" w:type="auto"/>
          </w:tcPr>
          <w:p w14:paraId="09196444"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018A71EC" w14:textId="77777777" w:rsidTr="006F17B6">
        <w:trPr>
          <w:trHeight w:val="290"/>
        </w:trPr>
        <w:tc>
          <w:tcPr>
            <w:tcW w:w="0" w:type="auto"/>
          </w:tcPr>
          <w:p w14:paraId="5A83F16A"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Storm-related deaths avoided</w:t>
            </w:r>
          </w:p>
        </w:tc>
        <w:tc>
          <w:tcPr>
            <w:tcW w:w="0" w:type="auto"/>
          </w:tcPr>
          <w:p w14:paraId="12D14681"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657412CC" w14:textId="77777777" w:rsidTr="006F17B6">
        <w:trPr>
          <w:trHeight w:val="290"/>
        </w:trPr>
        <w:tc>
          <w:tcPr>
            <w:tcW w:w="0" w:type="auto"/>
          </w:tcPr>
          <w:p w14:paraId="374120E9"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Coastal protection index</w:t>
            </w:r>
          </w:p>
        </w:tc>
        <w:tc>
          <w:tcPr>
            <w:tcW w:w="0" w:type="auto"/>
          </w:tcPr>
          <w:p w14:paraId="58984AA2"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3C85ECA7" w14:textId="77777777" w:rsidTr="006F17B6">
        <w:trPr>
          <w:trHeight w:val="290"/>
        </w:trPr>
        <w:tc>
          <w:tcPr>
            <w:tcW w:w="0" w:type="auto"/>
          </w:tcPr>
          <w:p w14:paraId="3102162B"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Biophysical model</w:t>
            </w:r>
          </w:p>
        </w:tc>
        <w:tc>
          <w:tcPr>
            <w:tcW w:w="0" w:type="auto"/>
          </w:tcPr>
          <w:p w14:paraId="38194557"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Productivity change  </w:t>
            </w:r>
          </w:p>
        </w:tc>
      </w:tr>
      <w:tr w:rsidR="001E1061" w:rsidRPr="00BC7A12" w14:paraId="26B97CD1" w14:textId="77777777" w:rsidTr="006F17B6">
        <w:trPr>
          <w:trHeight w:val="290"/>
        </w:trPr>
        <w:tc>
          <w:tcPr>
            <w:tcW w:w="0" w:type="auto"/>
          </w:tcPr>
          <w:p w14:paraId="78D49888"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Damage cost avoided </w:t>
            </w:r>
          </w:p>
        </w:tc>
        <w:tc>
          <w:tcPr>
            <w:tcW w:w="0" w:type="auto"/>
          </w:tcPr>
          <w:p w14:paraId="0EEC9FC2"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459CC785" w14:textId="77777777" w:rsidTr="006F17B6">
        <w:trPr>
          <w:trHeight w:val="290"/>
        </w:trPr>
        <w:tc>
          <w:tcPr>
            <w:tcW w:w="0" w:type="auto"/>
          </w:tcPr>
          <w:p w14:paraId="34F61F44"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Biophysical modelling and expected damage function</w:t>
            </w:r>
          </w:p>
        </w:tc>
        <w:tc>
          <w:tcPr>
            <w:tcW w:w="0" w:type="auto"/>
          </w:tcPr>
          <w:p w14:paraId="611A362A"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66DA0F0D" w14:textId="77777777" w:rsidTr="006F17B6">
        <w:trPr>
          <w:trHeight w:val="290"/>
        </w:trPr>
        <w:tc>
          <w:tcPr>
            <w:tcW w:w="0" w:type="auto"/>
          </w:tcPr>
          <w:p w14:paraId="2A9F0020"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Questionnaire</w:t>
            </w:r>
          </w:p>
        </w:tc>
        <w:tc>
          <w:tcPr>
            <w:tcW w:w="0" w:type="auto"/>
          </w:tcPr>
          <w:p w14:paraId="30D4980E"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Contingent valuation and choice experiments </w:t>
            </w:r>
          </w:p>
        </w:tc>
      </w:tr>
      <w:tr w:rsidR="001E1061" w:rsidRPr="00BC7A12" w14:paraId="7C6BAECC" w14:textId="77777777" w:rsidTr="006F17B6">
        <w:trPr>
          <w:trHeight w:val="290"/>
        </w:trPr>
        <w:tc>
          <w:tcPr>
            <w:tcW w:w="0" w:type="auto"/>
          </w:tcPr>
          <w:p w14:paraId="568047E1"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Discrete choice experiment</w:t>
            </w:r>
          </w:p>
        </w:tc>
        <w:tc>
          <w:tcPr>
            <w:tcW w:w="0" w:type="auto"/>
          </w:tcPr>
          <w:p w14:paraId="12525AA2"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Contingent valuation and choice experiments </w:t>
            </w:r>
          </w:p>
        </w:tc>
      </w:tr>
      <w:tr w:rsidR="001E1061" w:rsidRPr="00BC7A12" w14:paraId="48FE6FCD" w14:textId="77777777" w:rsidTr="006F17B6">
        <w:trPr>
          <w:trHeight w:val="290"/>
        </w:trPr>
        <w:tc>
          <w:tcPr>
            <w:tcW w:w="0" w:type="auto"/>
          </w:tcPr>
          <w:p w14:paraId="4A1DBFEB"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Contingent Valuation</w:t>
            </w:r>
          </w:p>
        </w:tc>
        <w:tc>
          <w:tcPr>
            <w:tcW w:w="0" w:type="auto"/>
          </w:tcPr>
          <w:p w14:paraId="7258854B"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Contingent valuation and choice experiments </w:t>
            </w:r>
          </w:p>
        </w:tc>
      </w:tr>
      <w:tr w:rsidR="001E1061" w:rsidRPr="00BC7A12" w14:paraId="06D98CB3" w14:textId="77777777" w:rsidTr="006F17B6">
        <w:trPr>
          <w:trHeight w:val="290"/>
        </w:trPr>
        <w:tc>
          <w:tcPr>
            <w:tcW w:w="0" w:type="auto"/>
          </w:tcPr>
          <w:p w14:paraId="6413F87E"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Biophysical modelling and replacement/substitute cost</w:t>
            </w:r>
          </w:p>
        </w:tc>
        <w:tc>
          <w:tcPr>
            <w:tcW w:w="0" w:type="auto"/>
          </w:tcPr>
          <w:p w14:paraId="6D30DEA0"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1E1061" w:rsidRPr="00BC7A12" w14:paraId="21175202" w14:textId="77777777" w:rsidTr="006F17B6">
        <w:trPr>
          <w:trHeight w:val="290"/>
        </w:trPr>
        <w:tc>
          <w:tcPr>
            <w:tcW w:w="0" w:type="auto"/>
          </w:tcPr>
          <w:p w14:paraId="62F76A25"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Health damage avoided</w:t>
            </w:r>
          </w:p>
        </w:tc>
        <w:tc>
          <w:tcPr>
            <w:tcW w:w="0" w:type="auto"/>
          </w:tcPr>
          <w:p w14:paraId="48AFF358" w14:textId="77777777" w:rsidR="00F34357" w:rsidRPr="00BC7A12" w:rsidRDefault="00F34357">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Expected damage function (Avoided damage cost) </w:t>
            </w:r>
          </w:p>
        </w:tc>
      </w:tr>
      <w:tr w:rsidR="006F489D" w:rsidRPr="00BC7A12" w14:paraId="5974E658" w14:textId="77777777" w:rsidTr="006F17B6">
        <w:trPr>
          <w:trHeight w:val="290"/>
        </w:trPr>
        <w:tc>
          <w:tcPr>
            <w:tcW w:w="0" w:type="auto"/>
          </w:tcPr>
          <w:p w14:paraId="6AF4DAB7" w14:textId="6254F241" w:rsidR="006F489D" w:rsidRPr="00BC7A12" w:rsidRDefault="006F489D">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Benefit transfers</w:t>
            </w:r>
          </w:p>
        </w:tc>
        <w:tc>
          <w:tcPr>
            <w:tcW w:w="0" w:type="auto"/>
          </w:tcPr>
          <w:p w14:paraId="4E777FF6" w14:textId="598611F2" w:rsidR="006F489D" w:rsidRPr="00BC7A12" w:rsidRDefault="006F489D">
            <w:pPr>
              <w:autoSpaceDE w:val="0"/>
              <w:autoSpaceDN w:val="0"/>
              <w:adjustRightInd w:val="0"/>
              <w:spacing w:after="0" w:line="240" w:lineRule="auto"/>
              <w:jc w:val="left"/>
              <w:rPr>
                <w:rFonts w:cs="Calibri"/>
                <w:color w:val="000000"/>
                <w:sz w:val="16"/>
                <w:szCs w:val="16"/>
              </w:rPr>
            </w:pPr>
            <w:r w:rsidRPr="00BC7A12">
              <w:rPr>
                <w:rFonts w:cs="Calibri"/>
                <w:color w:val="000000"/>
                <w:sz w:val="16"/>
                <w:szCs w:val="16"/>
              </w:rPr>
              <w:t xml:space="preserve">Benefit transfers </w:t>
            </w:r>
          </w:p>
        </w:tc>
      </w:tr>
    </w:tbl>
    <w:p w14:paraId="5F499F87" w14:textId="77777777" w:rsidR="008A4D6E" w:rsidRPr="00BC7A12" w:rsidRDefault="008A4D6E" w:rsidP="00487A7A">
      <w:pPr>
        <w:rPr>
          <w:rFonts w:cs="Calibri"/>
        </w:rPr>
      </w:pPr>
    </w:p>
    <w:p w14:paraId="40218399" w14:textId="47CAA382" w:rsidR="00B2300C" w:rsidRPr="00BC7A12" w:rsidRDefault="0071639F" w:rsidP="0071639F">
      <w:pPr>
        <w:rPr>
          <w:rFonts w:cs="Calibri"/>
        </w:rPr>
      </w:pPr>
      <w:r w:rsidRPr="00BC7A12">
        <w:rPr>
          <w:rFonts w:cs="Calibri"/>
        </w:rPr>
        <w:lastRenderedPageBreak/>
        <w:t xml:space="preserve">Using the list of standard classifications from </w:t>
      </w:r>
      <w:r w:rsidRPr="00BC7A12">
        <w:rPr>
          <w:rFonts w:cs="Calibri"/>
        </w:rPr>
        <w:fldChar w:fldCharType="begin"/>
      </w:r>
      <w:r w:rsidRPr="00BC7A12">
        <w:rPr>
          <w:rFonts w:cs="Calibri"/>
        </w:rPr>
        <w:instrText xml:space="preserve"> REF _Ref43034921 \h  \* MERGEFORMAT </w:instrText>
      </w:r>
      <w:r w:rsidRPr="00BC7A12">
        <w:rPr>
          <w:rFonts w:cs="Calibri"/>
        </w:rPr>
      </w:r>
      <w:r w:rsidRPr="00BC7A12">
        <w:rPr>
          <w:rFonts w:cs="Calibri"/>
        </w:rPr>
        <w:fldChar w:fldCharType="separate"/>
      </w:r>
      <w:r w:rsidR="00657E34" w:rsidRPr="00BC7A12">
        <w:rPr>
          <w:rFonts w:cs="Calibri"/>
        </w:rPr>
        <w:t xml:space="preserve">Table </w:t>
      </w:r>
      <w:r w:rsidR="00657E34" w:rsidRPr="00657E34">
        <w:rPr>
          <w:rFonts w:cs="Calibri"/>
          <w:noProof/>
        </w:rPr>
        <w:t>3</w:t>
      </w:r>
      <w:r w:rsidRPr="00BC7A12">
        <w:rPr>
          <w:rFonts w:cs="Calibri"/>
        </w:rPr>
        <w:fldChar w:fldCharType="end"/>
      </w:r>
      <w:r w:rsidRPr="00BC7A12">
        <w:rPr>
          <w:rFonts w:cs="Calibri"/>
        </w:rPr>
        <w:t xml:space="preserve"> reveals that </w:t>
      </w:r>
      <w:r w:rsidR="00487A7A" w:rsidRPr="00BC7A12">
        <w:rPr>
          <w:rFonts w:cs="Calibri"/>
        </w:rPr>
        <w:t>the expected damage function (EDF) technique</w:t>
      </w:r>
      <w:r w:rsidR="0017364D" w:rsidRPr="00BC7A12">
        <w:rPr>
          <w:rFonts w:cs="Calibri"/>
        </w:rPr>
        <w:t xml:space="preserve"> was the most widely applied</w:t>
      </w:r>
      <w:r w:rsidR="00487A7A" w:rsidRPr="00BC7A12">
        <w:rPr>
          <w:rFonts w:cs="Calibri"/>
        </w:rPr>
        <w:t xml:space="preserve">, representing </w:t>
      </w:r>
      <w:r w:rsidR="00B24E04" w:rsidRPr="00BC7A12">
        <w:rPr>
          <w:rFonts w:cs="Calibri"/>
        </w:rPr>
        <w:t>9</w:t>
      </w:r>
      <w:r w:rsidR="009E349E" w:rsidRPr="00BC7A12">
        <w:rPr>
          <w:rFonts w:cs="Calibri"/>
        </w:rPr>
        <w:t>8</w:t>
      </w:r>
      <w:r w:rsidR="00487A7A" w:rsidRPr="00BC7A12">
        <w:rPr>
          <w:rFonts w:cs="Calibri"/>
        </w:rPr>
        <w:t xml:space="preserve"> of the 1</w:t>
      </w:r>
      <w:r w:rsidR="00224824" w:rsidRPr="00BC7A12">
        <w:rPr>
          <w:rFonts w:cs="Calibri"/>
        </w:rPr>
        <w:t>4</w:t>
      </w:r>
      <w:r w:rsidR="00D24E2C" w:rsidRPr="00BC7A12">
        <w:rPr>
          <w:rFonts w:cs="Calibri"/>
        </w:rPr>
        <w:t>8</w:t>
      </w:r>
      <w:r w:rsidR="00487A7A" w:rsidRPr="00BC7A12">
        <w:rPr>
          <w:rFonts w:cs="Calibri"/>
        </w:rPr>
        <w:t xml:space="preserve"> wetlands valued (</w:t>
      </w:r>
      <w:r w:rsidR="00224824" w:rsidRPr="00BC7A12">
        <w:rPr>
          <w:rFonts w:cs="Calibri"/>
        </w:rPr>
        <w:t>6</w:t>
      </w:r>
      <w:r w:rsidR="00DD1821" w:rsidRPr="00BC7A12">
        <w:rPr>
          <w:rFonts w:cs="Calibri"/>
        </w:rPr>
        <w:t>6</w:t>
      </w:r>
      <w:r w:rsidR="00487A7A" w:rsidRPr="00BC7A12">
        <w:rPr>
          <w:rFonts w:cs="Calibri"/>
        </w:rPr>
        <w:t xml:space="preserve"> percent)</w:t>
      </w:r>
      <w:r w:rsidR="00E2202E" w:rsidRPr="00BC7A12">
        <w:rPr>
          <w:rFonts w:cs="Calibri"/>
        </w:rPr>
        <w:t xml:space="preserve"> (</w:t>
      </w:r>
      <w:r w:rsidR="00E2202E" w:rsidRPr="00BC7A12">
        <w:rPr>
          <w:rFonts w:cs="Calibri"/>
        </w:rPr>
        <w:fldChar w:fldCharType="begin"/>
      </w:r>
      <w:r w:rsidR="00E2202E" w:rsidRPr="00BC7A12">
        <w:rPr>
          <w:rFonts w:cs="Calibri"/>
        </w:rPr>
        <w:instrText xml:space="preserve"> REF _Ref43181499 \h  \* MERGEFORMAT </w:instrText>
      </w:r>
      <w:r w:rsidR="00E2202E" w:rsidRPr="00BC7A12">
        <w:rPr>
          <w:rFonts w:cs="Calibri"/>
        </w:rPr>
      </w:r>
      <w:r w:rsidR="00E2202E" w:rsidRPr="00BC7A12">
        <w:rPr>
          <w:rFonts w:cs="Calibri"/>
        </w:rPr>
        <w:fldChar w:fldCharType="separate"/>
      </w:r>
      <w:r w:rsidR="00657E34" w:rsidRPr="00BC7A12">
        <w:rPr>
          <w:rFonts w:cs="Calibri"/>
        </w:rPr>
        <w:t xml:space="preserve">Figure </w:t>
      </w:r>
      <w:r w:rsidR="00657E34" w:rsidRPr="00657E34">
        <w:rPr>
          <w:rFonts w:cs="Calibri"/>
          <w:noProof/>
        </w:rPr>
        <w:t>4</w:t>
      </w:r>
      <w:r w:rsidR="00E2202E" w:rsidRPr="00BC7A12">
        <w:rPr>
          <w:rFonts w:cs="Calibri"/>
        </w:rPr>
        <w:fldChar w:fldCharType="end"/>
      </w:r>
      <w:r w:rsidR="00E2202E" w:rsidRPr="00BC7A12">
        <w:rPr>
          <w:rFonts w:cs="Calibri"/>
        </w:rPr>
        <w:t>).</w:t>
      </w:r>
      <w:r w:rsidR="00B24E04" w:rsidRPr="00BC7A12">
        <w:rPr>
          <w:rFonts w:cs="Calibri"/>
        </w:rPr>
        <w:t xml:space="preserve"> </w:t>
      </w:r>
    </w:p>
    <w:p w14:paraId="7ABA592C" w14:textId="51531FD2" w:rsidR="00B2300C" w:rsidRPr="00BC7A12" w:rsidRDefault="00B2300C" w:rsidP="00997F8C">
      <w:pPr>
        <w:spacing w:after="200" w:line="276" w:lineRule="auto"/>
        <w:rPr>
          <w:rFonts w:cs="Calibri"/>
        </w:rPr>
      </w:pPr>
      <w:r w:rsidRPr="00BC7A12">
        <w:rPr>
          <w:rFonts w:cs="Calibri"/>
        </w:rPr>
        <w:t xml:space="preserve">Twenty valuations (13 percent) used replacement costs techniques to value wetlands, for example, based on </w:t>
      </w:r>
      <w:r w:rsidR="00390B03" w:rsidRPr="00BC7A12">
        <w:rPr>
          <w:rFonts w:cs="Calibri"/>
        </w:rPr>
        <w:t xml:space="preserve">the construction costs of a bulkhead that would provide the similar DRR functions. </w:t>
      </w:r>
      <w:r w:rsidRPr="00BC7A12">
        <w:rPr>
          <w:rFonts w:cs="Calibri"/>
        </w:rPr>
        <w:t xml:space="preserve">The productivity change technique was used once (1 percent) to measure wave quantitative impact information as part of </w:t>
      </w:r>
      <w:r w:rsidR="00CE4B52" w:rsidRPr="00BC7A12">
        <w:rPr>
          <w:rFonts w:cs="Calibri"/>
        </w:rPr>
        <w:t xml:space="preserve">a </w:t>
      </w:r>
      <w:r w:rsidRPr="00BC7A12">
        <w:rPr>
          <w:rFonts w:cs="Calibri"/>
        </w:rPr>
        <w:t xml:space="preserve">coastal engineering project. There are more biophysical studies of this nature that were not captured by this report’s literature review. As EDF, replacement and productivity change techniques are often used collectively, it is worth nothing that these three techniques represent 119 valuations (80 percent).  </w:t>
      </w:r>
    </w:p>
    <w:p w14:paraId="59FBD908" w14:textId="03D1B471" w:rsidR="00B2300C" w:rsidRPr="00BC7A12" w:rsidRDefault="00E332DE" w:rsidP="00B2300C">
      <w:pPr>
        <w:rPr>
          <w:rFonts w:cs="Calibri"/>
        </w:rPr>
      </w:pPr>
      <w:r w:rsidRPr="00BC7A12">
        <w:rPr>
          <w:rFonts w:cs="Calibri"/>
        </w:rPr>
        <w:t xml:space="preserve">Sixteen </w:t>
      </w:r>
      <w:r w:rsidR="0071639F" w:rsidRPr="00BC7A12">
        <w:rPr>
          <w:rFonts w:cs="Calibri"/>
        </w:rPr>
        <w:t xml:space="preserve">valuations </w:t>
      </w:r>
      <w:r w:rsidR="00B2300C" w:rsidRPr="00BC7A12">
        <w:rPr>
          <w:rFonts w:cs="Calibri"/>
        </w:rPr>
        <w:t>(11 percent) used benefit transfer techniques. Contingent valuation was used on 13 wetland and wetland group valuations (9 percent). These contingent studies were a part of coastal planning efforts to determine stakeholder understanding of the DRR benefits provided by wetlands and the choices they prefer.</w:t>
      </w:r>
    </w:p>
    <w:p w14:paraId="3A7794A8" w14:textId="45A18B7E" w:rsidR="00EC47C3" w:rsidRPr="00BC7A12" w:rsidRDefault="00ED5995" w:rsidP="00EC47C3">
      <w:pPr>
        <w:keepNext/>
        <w:spacing w:after="200" w:line="276" w:lineRule="auto"/>
        <w:jc w:val="left"/>
        <w:rPr>
          <w:rFonts w:cs="Calibri"/>
        </w:rPr>
      </w:pPr>
      <w:r w:rsidRPr="00BC7A12">
        <w:rPr>
          <w:rFonts w:cs="Calibri"/>
          <w:noProof/>
          <w:lang w:eastAsia="en-AU"/>
        </w:rPr>
        <w:drawing>
          <wp:inline distT="0" distB="0" distL="0" distR="0" wp14:anchorId="716338C8" wp14:editId="0BD944E2">
            <wp:extent cx="5015132" cy="2933114"/>
            <wp:effectExtent l="0" t="0" r="14605" b="635"/>
            <wp:docPr id="17" name="Chart 17">
              <a:extLst xmlns:a="http://schemas.openxmlformats.org/drawingml/2006/main">
                <a:ext uri="{FF2B5EF4-FFF2-40B4-BE49-F238E27FC236}">
                  <a16:creationId xmlns:a16="http://schemas.microsoft.com/office/drawing/2014/main" id="{96DEE029-91D6-4C91-B6EB-2D548321B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8ED5BD" w14:textId="6940FF25" w:rsidR="00EC47C3" w:rsidRPr="00BC7A12" w:rsidRDefault="00EC47C3" w:rsidP="00EC47C3">
      <w:pPr>
        <w:pStyle w:val="Caption"/>
        <w:jc w:val="left"/>
        <w:rPr>
          <w:rFonts w:cs="Calibri"/>
          <w:i w:val="0"/>
          <w:iCs w:val="0"/>
        </w:rPr>
      </w:pPr>
      <w:bookmarkStart w:id="53" w:name="_Ref43181499"/>
      <w:bookmarkStart w:id="54" w:name="_Toc46822336"/>
      <w:r w:rsidRPr="00BC7A12">
        <w:rPr>
          <w:rFonts w:cs="Calibri"/>
          <w:i w:val="0"/>
          <w:iCs w:val="0"/>
        </w:rPr>
        <w:t xml:space="preserve">Figure </w:t>
      </w:r>
      <w:r w:rsidRPr="00BC7A12">
        <w:rPr>
          <w:rFonts w:cs="Calibri"/>
          <w:i w:val="0"/>
          <w:iCs w:val="0"/>
        </w:rPr>
        <w:fldChar w:fldCharType="begin"/>
      </w:r>
      <w:r w:rsidRPr="00BC7A12">
        <w:rPr>
          <w:rFonts w:cs="Calibri"/>
          <w:i w:val="0"/>
          <w:iCs w:val="0"/>
        </w:rPr>
        <w:instrText xml:space="preserve"> SEQ Figure \* ARABIC </w:instrText>
      </w:r>
      <w:r w:rsidRPr="00BC7A12">
        <w:rPr>
          <w:rFonts w:cs="Calibri"/>
          <w:i w:val="0"/>
          <w:iCs w:val="0"/>
        </w:rPr>
        <w:fldChar w:fldCharType="separate"/>
      </w:r>
      <w:r w:rsidR="00657E34">
        <w:rPr>
          <w:rFonts w:cs="Calibri"/>
          <w:i w:val="0"/>
          <w:iCs w:val="0"/>
          <w:noProof/>
        </w:rPr>
        <w:t>4</w:t>
      </w:r>
      <w:r w:rsidRPr="00BC7A12">
        <w:rPr>
          <w:rFonts w:cs="Calibri"/>
          <w:i w:val="0"/>
          <w:iCs w:val="0"/>
          <w:noProof/>
        </w:rPr>
        <w:fldChar w:fldCharType="end"/>
      </w:r>
      <w:bookmarkEnd w:id="53"/>
      <w:r w:rsidRPr="00BC7A12">
        <w:rPr>
          <w:rFonts w:cs="Calibri"/>
          <w:i w:val="0"/>
          <w:iCs w:val="0"/>
        </w:rPr>
        <w:t xml:space="preserve"> Valuation technique frequency of use</w:t>
      </w:r>
      <w:bookmarkEnd w:id="54"/>
    </w:p>
    <w:p w14:paraId="5C4D86A0" w14:textId="253295D2" w:rsidR="006C0215" w:rsidRPr="00BC7A12" w:rsidRDefault="006C0215" w:rsidP="006C0215">
      <w:pPr>
        <w:rPr>
          <w:rFonts w:cs="Calibri"/>
        </w:rPr>
      </w:pPr>
    </w:p>
    <w:p w14:paraId="20AA7022" w14:textId="2049894A" w:rsidR="006C0215" w:rsidRPr="00BC7A12" w:rsidRDefault="006C0215" w:rsidP="006C0215">
      <w:pPr>
        <w:rPr>
          <w:rFonts w:cs="Calibri"/>
        </w:rPr>
      </w:pPr>
      <w:r w:rsidRPr="00BC7A12">
        <w:rPr>
          <w:rFonts w:cs="Calibri"/>
        </w:rPr>
        <w:t xml:space="preserve">In terms of purpose, in the 98 studies using EDF techniques, all were connected in some way to coastal planning. They were used for cost benefit analysis (CBA) of coastal development options, to help determine the impacts of coastal development, etc. Only eighteen of the 148 studies appear to have been driven by academic interests </w:t>
      </w:r>
      <w:r w:rsidRPr="00BC7A12">
        <w:rPr>
          <w:rFonts w:cs="Calibri"/>
        </w:rPr>
        <w:fldChar w:fldCharType="begin" w:fldLock="1"/>
      </w:r>
      <w:r w:rsidRPr="00BC7A12">
        <w:rPr>
          <w:rFonts w:cs="Calibri"/>
        </w:rPr>
        <w:instrText>ADDIN CSL_CITATION {"citationItems":[{"id":"ITEM-1","itemData":{"DOI":"10.3389/fmars.2020.00453","abstract":"Temperate Australia has extensive and diverse coast and marine habitats throughout its inshore and offshore waters. The region includes the southernmost extent of mangroves, over 500 estuaries and coastal embayments, home to extensive meadows of seagrasses and tidal saltmarsh. In areas of hard substrate, rocky reefs are abundant and productive with large forests of macroalgae. Coastal regions can be densely populated by humans and often habitats can be degraded, polluted or lost, while some remain relatively isolated and pristine. These habitats provide services to society including provision of food, regulate our climate through sequestration of carbon, treating our waste and protecting our shorelines from damage from storms. Coastal areas are culturally importantly hubs for recreation and tourism. Habitat mapping demonstrates diverse habitats throughout temperate Australia, but a formal investigation of services provided by these habitats has been lacking. This review of ecosystem services provided by coast and marine environments throughout temperate Australia reveals vast and productive ecosystems that provide multiple ecosystem services, substantial value to the Australian economy and contribute to the health and well-being of people who live in, visit of benefit from services or products from these regions. Some of these are considered within traditional economic metrics such as provision of wild catch fisheries, but this review demonstrates that regulation and maintenance services including waste treatment and protecting shorelines from extreme events are under recognized, and their value is substantial. However, consistent with many locations globally, coast and marine habitats are under threat from increasing development, sewage, agricultural, industrial discharges, urban runoff and climate chang sewage, agricultural, industrial discharges, urban runoff and climate change. Resultantly, temperate Australian coast and marine habitat extent and condition is generally declining in many regions, putting the provision of services and benefits to the community at risk. Continued degraded or lost habitats indicate current management frameworks are not capturing the full risk from development and there are winners and losers in trade off decision making. Incorporating ecosystem services in decision making may allow an integrated approach to management, and acknowledgment of services provided could prevent habitats from being undervalued against economic…","author":[{"dropping-particle":"","family":"Gaylard","given":"Sam","non-dropping-particle":"","parse-names":false,"suffix":""},{"dropping-particle":"","family":"Waycott","given":"Michelle","non-dropping-particle":"","parse-names":false,"suffix":""},{"dropping-particle":"","family":"Lavery","given":"Paul","non-dropping-particle":"","parse-names":false,"suffix":""},{"dropping-particle":"","family":"Guthrie","given":"Amanda G","non-dropping-particle":"","parse-names":false,"suffix":""}],"container-title":"Frontiers in Marine Science","id":"ITEM-1","issue":"June","issued":{"date-parts":[["2020"]]},"page":"1-15","title":"Review of Coast and Marine Ecosystems in Temperate Australia Demonstrates a Wealth of Ecosystem Services","type":"article-journal","volume":"7"},"uris":["http://www.mendeley.com/documents/?uuid=9c8f459b-619e-4bf6-805b-926253cffbe3"]}],"mendeley":{"formattedCitation":"(Gaylard et al. 2020)","manualFormatting":"(e.g., Gaylard et al. 2020)","plainTextFormattedCitation":"(Gaylard et al. 2020)","previouslyFormattedCitation":"(Gaylard et al. 2020)"},"properties":{"noteIndex":0},"schema":"https://github.com/citation-style-language/schema/raw/master/csl-citation.json"}</w:instrText>
      </w:r>
      <w:r w:rsidRPr="00BC7A12">
        <w:rPr>
          <w:rFonts w:cs="Calibri"/>
        </w:rPr>
        <w:fldChar w:fldCharType="separate"/>
      </w:r>
      <w:r w:rsidRPr="00BC7A12">
        <w:rPr>
          <w:rFonts w:cs="Calibri"/>
          <w:noProof/>
        </w:rPr>
        <w:t>(e.g., Gaylard et al. 2020)</w:t>
      </w:r>
      <w:r w:rsidRPr="00BC7A12">
        <w:rPr>
          <w:rFonts w:cs="Calibri"/>
        </w:rPr>
        <w:fldChar w:fldCharType="end"/>
      </w:r>
      <w:r w:rsidRPr="00BC7A12">
        <w:rPr>
          <w:rFonts w:cs="Calibri"/>
        </w:rPr>
        <w:t xml:space="preserve"> but theses focused on influencing coastal planning decisions, though they were not integrated with a planning effort.</w:t>
      </w:r>
    </w:p>
    <w:p w14:paraId="4024B1D3" w14:textId="77777777" w:rsidR="0007719F" w:rsidRPr="00BC7A12" w:rsidRDefault="0007719F" w:rsidP="006C0215">
      <w:pPr>
        <w:rPr>
          <w:rFonts w:cs="Calibri"/>
        </w:rPr>
      </w:pPr>
    </w:p>
    <w:p w14:paraId="1C769DD6" w14:textId="02CABCFF" w:rsidR="00433D9B" w:rsidRPr="00BC7A12" w:rsidRDefault="002C34FF" w:rsidP="00433D9B">
      <w:pPr>
        <w:pStyle w:val="Heading2"/>
        <w:rPr>
          <w:rFonts w:cs="Calibri"/>
        </w:rPr>
      </w:pPr>
      <w:bookmarkStart w:id="55" w:name="_Toc46822310"/>
      <w:r w:rsidRPr="00BC7A12">
        <w:rPr>
          <w:rFonts w:cs="Calibri"/>
        </w:rPr>
        <w:t>Approaches to using v</w:t>
      </w:r>
      <w:r w:rsidR="00433D9B" w:rsidRPr="00BC7A12">
        <w:rPr>
          <w:rFonts w:cs="Calibri"/>
        </w:rPr>
        <w:t>aluation technique</w:t>
      </w:r>
      <w:r w:rsidRPr="00BC7A12">
        <w:rPr>
          <w:rFonts w:cs="Calibri"/>
        </w:rPr>
        <w:t>s</w:t>
      </w:r>
      <w:bookmarkEnd w:id="55"/>
      <w:r w:rsidRPr="00BC7A12">
        <w:rPr>
          <w:rFonts w:cs="Calibri"/>
        </w:rPr>
        <w:t xml:space="preserve"> </w:t>
      </w:r>
    </w:p>
    <w:p w14:paraId="410BC443" w14:textId="75036F5D" w:rsidR="00B8231B" w:rsidRPr="00BC7A12" w:rsidRDefault="008668DC" w:rsidP="00B2300C">
      <w:pPr>
        <w:rPr>
          <w:rFonts w:cs="Calibri"/>
        </w:rPr>
      </w:pPr>
      <w:r w:rsidRPr="00BC7A12">
        <w:rPr>
          <w:rFonts w:cs="Calibri"/>
        </w:rPr>
        <w:lastRenderedPageBreak/>
        <w:t>Each</w:t>
      </w:r>
      <w:r w:rsidR="00B2300C" w:rsidRPr="00BC7A12">
        <w:rPr>
          <w:rFonts w:cs="Calibri"/>
        </w:rPr>
        <w:t xml:space="preserve"> valuation technique </w:t>
      </w:r>
      <w:r w:rsidRPr="00BC7A12">
        <w:rPr>
          <w:rFonts w:cs="Calibri"/>
        </w:rPr>
        <w:t xml:space="preserve">has </w:t>
      </w:r>
      <w:r w:rsidR="00B2300C" w:rsidRPr="00BC7A12">
        <w:rPr>
          <w:rFonts w:cs="Calibri"/>
        </w:rPr>
        <w:t xml:space="preserve">advantages and disadvantages. In many cases </w:t>
      </w:r>
      <w:r w:rsidR="00627D80" w:rsidRPr="00BC7A12">
        <w:rPr>
          <w:rFonts w:cs="Calibri"/>
        </w:rPr>
        <w:t xml:space="preserve">the choice of a </w:t>
      </w:r>
      <w:r w:rsidR="00B2300C" w:rsidRPr="00BC7A12">
        <w:rPr>
          <w:rFonts w:cs="Calibri"/>
        </w:rPr>
        <w:t xml:space="preserve">valuation technique </w:t>
      </w:r>
      <w:r w:rsidR="00627D80" w:rsidRPr="00BC7A12">
        <w:rPr>
          <w:rFonts w:cs="Calibri"/>
        </w:rPr>
        <w:t xml:space="preserve">for a study is driven by the </w:t>
      </w:r>
      <w:r w:rsidR="00B2300C" w:rsidRPr="00BC7A12">
        <w:rPr>
          <w:rFonts w:cs="Calibri"/>
        </w:rPr>
        <w:t>decision being made and resource constraints</w:t>
      </w:r>
      <w:r w:rsidR="00627D80" w:rsidRPr="00BC7A12">
        <w:rPr>
          <w:rFonts w:cs="Calibri"/>
        </w:rPr>
        <w:t xml:space="preserve"> (e.g. budget, deadlines)</w:t>
      </w:r>
      <w:r w:rsidR="00B2300C" w:rsidRPr="00BC7A12">
        <w:rPr>
          <w:rFonts w:cs="Calibri"/>
        </w:rPr>
        <w:t>.</w:t>
      </w:r>
      <w:r w:rsidR="00F86F34" w:rsidRPr="00BC7A12">
        <w:rPr>
          <w:rFonts w:cs="Calibri"/>
        </w:rPr>
        <w:t xml:space="preserve"> </w:t>
      </w:r>
      <w:r w:rsidR="00B8231B" w:rsidRPr="00BC7A12">
        <w:rPr>
          <w:rFonts w:cs="Calibri"/>
        </w:rPr>
        <w:t>These constraints can a</w:t>
      </w:r>
      <w:r w:rsidR="00F86F34" w:rsidRPr="00BC7A12">
        <w:rPr>
          <w:rFonts w:cs="Calibri"/>
        </w:rPr>
        <w:t>lso drive the use of components of two or more techniques in a single study.</w:t>
      </w:r>
      <w:r w:rsidR="008B53A5" w:rsidRPr="00BC7A12">
        <w:rPr>
          <w:rFonts w:cs="Calibri"/>
        </w:rPr>
        <w:t xml:space="preserve"> </w:t>
      </w:r>
      <w:r w:rsidR="000F118A" w:rsidRPr="00BC7A12">
        <w:rPr>
          <w:rFonts w:cs="Calibri"/>
        </w:rPr>
        <w:t>For example, if</w:t>
      </w:r>
      <w:r w:rsidR="00B8231B" w:rsidRPr="00BC7A12">
        <w:rPr>
          <w:rFonts w:cs="Calibri"/>
        </w:rPr>
        <w:t xml:space="preserve"> </w:t>
      </w:r>
      <w:r w:rsidR="000F118A" w:rsidRPr="00BC7A12">
        <w:rPr>
          <w:rFonts w:cs="Calibri"/>
        </w:rPr>
        <w:t xml:space="preserve">the </w:t>
      </w:r>
      <w:r w:rsidR="00B8231B" w:rsidRPr="00BC7A12">
        <w:rPr>
          <w:rFonts w:cs="Calibri"/>
        </w:rPr>
        <w:t>data</w:t>
      </w:r>
      <w:r w:rsidR="000F118A" w:rsidRPr="00BC7A12">
        <w:rPr>
          <w:rFonts w:cs="Calibri"/>
        </w:rPr>
        <w:t xml:space="preserve"> exists,</w:t>
      </w:r>
      <w:r w:rsidR="00B8231B" w:rsidRPr="00BC7A12">
        <w:rPr>
          <w:rFonts w:cs="Calibri"/>
        </w:rPr>
        <w:t xml:space="preserve"> a researcher may build a production function into an EDF based analysis.</w:t>
      </w:r>
      <w:r w:rsidR="008B53A5" w:rsidRPr="00BC7A12">
        <w:rPr>
          <w:rFonts w:cs="Calibri"/>
        </w:rPr>
        <w:t xml:space="preserve"> </w:t>
      </w:r>
    </w:p>
    <w:p w14:paraId="2596F4A1" w14:textId="18540282" w:rsidR="00B2300C" w:rsidRPr="00BC7A12" w:rsidRDefault="00B2300C" w:rsidP="00B2300C">
      <w:pPr>
        <w:rPr>
          <w:rFonts w:cs="Calibri"/>
        </w:rPr>
      </w:pPr>
      <w:r w:rsidRPr="00BC7A12">
        <w:rPr>
          <w:rFonts w:cs="Calibri"/>
        </w:rPr>
        <w:t xml:space="preserve">Moreover, research shows that the quality or accuracy of a valuation is generally less important than its acceptance by stakeholders. This acceptance comes from </w:t>
      </w:r>
      <w:r w:rsidR="00B8231B" w:rsidRPr="00BC7A12">
        <w:rPr>
          <w:rFonts w:cs="Calibri"/>
        </w:rPr>
        <w:t xml:space="preserve">researchers’ engagement of </w:t>
      </w:r>
      <w:r w:rsidR="00627D80" w:rsidRPr="00BC7A12">
        <w:rPr>
          <w:rFonts w:cs="Calibri"/>
        </w:rPr>
        <w:t>decision makers</w:t>
      </w:r>
      <w:r w:rsidR="00B8231B" w:rsidRPr="00BC7A12">
        <w:rPr>
          <w:rFonts w:cs="Calibri"/>
        </w:rPr>
        <w:t xml:space="preserve"> throughout </w:t>
      </w:r>
      <w:r w:rsidRPr="00BC7A12">
        <w:rPr>
          <w:rFonts w:cs="Calibri"/>
        </w:rPr>
        <w:t>the valuation process</w:t>
      </w:r>
      <w:r w:rsidR="000F118A" w:rsidRPr="00BC7A12">
        <w:rPr>
          <w:rFonts w:cs="Calibri"/>
        </w:rPr>
        <w:t xml:space="preserve">. The engagement builds acceptance in the </w:t>
      </w:r>
      <w:r w:rsidRPr="00BC7A12">
        <w:rPr>
          <w:rFonts w:cs="Calibri"/>
        </w:rPr>
        <w:t xml:space="preserve">techniques and underlying </w:t>
      </w:r>
      <w:r w:rsidR="000F118A" w:rsidRPr="00BC7A12">
        <w:rPr>
          <w:rFonts w:cs="Calibri"/>
        </w:rPr>
        <w:t xml:space="preserve">valuation </w:t>
      </w:r>
      <w:r w:rsidRPr="00BC7A12">
        <w:rPr>
          <w:rFonts w:cs="Calibri"/>
        </w:rPr>
        <w:t xml:space="preserve">concepts </w:t>
      </w:r>
      <w:r w:rsidRPr="00BC7A12">
        <w:rPr>
          <w:rFonts w:cs="Calibri"/>
        </w:rPr>
        <w:fldChar w:fldCharType="begin" w:fldLock="1"/>
      </w:r>
      <w:r w:rsidR="00D83DF4" w:rsidRPr="00BC7A12">
        <w:rPr>
          <w:rFonts w:cs="Calibri"/>
        </w:rPr>
        <w:instrText>ADDIN CSL_CITATION {"citationItems":[{"id":"ITEM-1","itemData":{"DOI":"10.1016/j.envsci.2016.06.003","ISSN":"18736416","abstract":"Ecosystem services support human livelihoods and economies but are declining in many places. Ecosystem service assessments estimate the benefits that nature provides to people and can be used to evaluate trade-offs in impacts and changes resulting from land use decisions. Such assessments can affect the capacity of decision-makers to make sustainable land use decisions, but the actual impact of such projects on decision-maker attitudes is almost entirely unstudied. We addressed this knowledge gap by evaluating the impact of an ecosystem service assessment on decision-makers in California. We asked how decision-makers' understanding of and attitudes about ecosystem services changed \"pre-\" and \"post-\" assessments and between treatment groups where ecosystem services were assessed and a comparison group where ecosystem services were not assessed. Mixed methods included regression models to estimate the treatment effect of the assessment (using a difference-in-differences approach), as well as interviews and direct observations to further understand how decision-makers responded to the assessment. Regression results showed small increases relative to the comparison group in decision-maker understanding of ecosystem services and perceived relevance of ecosystem services to their work. Interviews confirmed that decision-makers learned specific ways that they could use ecosystem services in conservation and development decisions and believed that doing so would improve outcomes. These results demonstrate how ecosystem services assessments can facilitate a conceptual shift in the minds of decision-makers, which is a necessary ingredient for subsequent policy impact. Impact evaluation studies of this type - that estimate a counterfactual and explore rival explanations for observed outcomes - are needed to truly understand whether ecosystem service projects impact decision-makers and, ultimately, produce outcomes for environmental and human well-being.","author":[{"dropping-particle":"","family":"Posner","given":"Stephen","non-dropping-particle":"","parse-names":false,"suffix":""},{"dropping-particle":"","family":"Getz","given":"Christy","non-dropping-particle":"","parse-names":false,"suffix":""},{"dropping-particle":"","family":"Ricketts","given":"Taylor","non-dropping-particle":"","parse-names":false,"suffix":""}],"container-title":"Environmental Science and Policy","id":"ITEM-1","issued":{"date-parts":[["2016"]]},"page":"30-37","publisher":"Elsevier Ltd","title":"Evaluating the impact of ecosystem service assessments on decision-makers","type":"article-journal","volume":"64"},"uris":["http://www.mendeley.com/documents/?uuid=098574fd-3e14-46ee-a6b4-8dc9807c888d"]}],"mendeley":{"formattedCitation":"(Posner et al. 2016)","manualFormatting":"(Posner et al. 2016, see Box A)","plainTextFormattedCitation":"(Posner et al. 2016)","previouslyFormattedCitation":"(Posner et al. 2016)"},"properties":{"noteIndex":0},"schema":"https://github.com/citation-style-language/schema/raw/master/csl-citation.json"}</w:instrText>
      </w:r>
      <w:r w:rsidRPr="00BC7A12">
        <w:rPr>
          <w:rFonts w:cs="Calibri"/>
        </w:rPr>
        <w:fldChar w:fldCharType="separate"/>
      </w:r>
      <w:r w:rsidRPr="00BC7A12">
        <w:rPr>
          <w:rFonts w:cs="Calibri"/>
          <w:noProof/>
        </w:rPr>
        <w:t>(Posner et al. 2016</w:t>
      </w:r>
      <w:r w:rsidR="003A51A7" w:rsidRPr="00BC7A12">
        <w:rPr>
          <w:rFonts w:cs="Calibri"/>
          <w:noProof/>
        </w:rPr>
        <w:t xml:space="preserve">, see Box </w:t>
      </w:r>
      <w:r w:rsidR="00D83DF4" w:rsidRPr="00BC7A12">
        <w:rPr>
          <w:rFonts w:cs="Calibri"/>
          <w:noProof/>
        </w:rPr>
        <w:t>A</w:t>
      </w:r>
      <w:r w:rsidRPr="00BC7A12">
        <w:rPr>
          <w:rFonts w:cs="Calibri"/>
          <w:noProof/>
        </w:rPr>
        <w:t>)</w:t>
      </w:r>
      <w:r w:rsidRPr="00BC7A12">
        <w:rPr>
          <w:rFonts w:cs="Calibri"/>
        </w:rPr>
        <w:fldChar w:fldCharType="end"/>
      </w:r>
      <w:r w:rsidR="0050194F" w:rsidRPr="00BC7A12">
        <w:rPr>
          <w:rFonts w:cs="Calibri"/>
        </w:rPr>
        <w:t>.</w:t>
      </w:r>
      <w:r w:rsidR="00920B96" w:rsidRPr="00BC7A12">
        <w:rPr>
          <w:rFonts w:cs="Calibri"/>
        </w:rPr>
        <w:t xml:space="preserve"> </w:t>
      </w:r>
    </w:p>
    <w:p w14:paraId="31BC84DF" w14:textId="2EDBB6BB" w:rsidR="00844768" w:rsidRPr="00BC7A12" w:rsidRDefault="000F118A" w:rsidP="00410919">
      <w:pPr>
        <w:rPr>
          <w:rFonts w:cs="Calibri"/>
        </w:rPr>
      </w:pPr>
      <w:r w:rsidRPr="00BC7A12">
        <w:rPr>
          <w:rFonts w:cs="Calibri"/>
        </w:rPr>
        <w:t>Therefore, turning to the needs of decision makers is warranted. They have three reasons to use DRR valuation, which can be understood as valuation approaches. They</w:t>
      </w:r>
      <w:r w:rsidR="004E621B" w:rsidRPr="00BC7A12">
        <w:rPr>
          <w:rFonts w:cs="Calibri"/>
        </w:rPr>
        <w:t xml:space="preserve"> are:</w:t>
      </w:r>
      <w:r w:rsidR="00A52885" w:rsidRPr="00BC7A12">
        <w:rPr>
          <w:rFonts w:cs="Calibri"/>
        </w:rPr>
        <w:t xml:space="preserve"> </w:t>
      </w:r>
    </w:p>
    <w:p w14:paraId="579B531B" w14:textId="5C55304E" w:rsidR="00433D9B" w:rsidRPr="00BC7A12" w:rsidRDefault="00A52885" w:rsidP="00DF0263">
      <w:pPr>
        <w:pStyle w:val="ListParagraph"/>
        <w:numPr>
          <w:ilvl w:val="0"/>
          <w:numId w:val="34"/>
        </w:numPr>
        <w:rPr>
          <w:rFonts w:cs="Calibri"/>
        </w:rPr>
      </w:pPr>
      <w:r w:rsidRPr="00BC7A12">
        <w:rPr>
          <w:rFonts w:cs="Calibri"/>
          <w:i/>
          <w:iCs/>
        </w:rPr>
        <w:t>Awareness raising valuations</w:t>
      </w:r>
      <w:r w:rsidRPr="00BC7A12">
        <w:rPr>
          <w:rFonts w:cs="Calibri"/>
        </w:rPr>
        <w:t xml:space="preserve"> that use large geographic scales </w:t>
      </w:r>
      <w:r w:rsidR="003A008E" w:rsidRPr="00BC7A12">
        <w:rPr>
          <w:rFonts w:cs="Calibri"/>
        </w:rPr>
        <w:t xml:space="preserve">that are generally void of </w:t>
      </w:r>
      <w:proofErr w:type="gramStart"/>
      <w:r w:rsidRPr="00BC7A12">
        <w:rPr>
          <w:rFonts w:cs="Calibri"/>
        </w:rPr>
        <w:t>site specific</w:t>
      </w:r>
      <w:proofErr w:type="gramEnd"/>
      <w:r w:rsidRPr="00BC7A12">
        <w:rPr>
          <w:rFonts w:cs="Calibri"/>
        </w:rPr>
        <w:t xml:space="preserve"> data. They are less costly and </w:t>
      </w:r>
      <w:proofErr w:type="gramStart"/>
      <w:r w:rsidRPr="00BC7A12">
        <w:rPr>
          <w:rFonts w:cs="Calibri"/>
        </w:rPr>
        <w:t>complex,</w:t>
      </w:r>
      <w:r w:rsidR="008C0F87" w:rsidRPr="00BC7A12">
        <w:rPr>
          <w:rFonts w:cs="Calibri"/>
        </w:rPr>
        <w:t xml:space="preserve"> </w:t>
      </w:r>
      <w:r w:rsidR="00433D9B" w:rsidRPr="00BC7A12">
        <w:rPr>
          <w:rFonts w:cs="Calibri"/>
        </w:rPr>
        <w:t>but</w:t>
      </w:r>
      <w:proofErr w:type="gramEnd"/>
      <w:r w:rsidR="00433D9B" w:rsidRPr="00BC7A12">
        <w:rPr>
          <w:rFonts w:cs="Calibri"/>
        </w:rPr>
        <w:t xml:space="preserve"> deliver valuations that are </w:t>
      </w:r>
      <w:r w:rsidR="00EE0D95" w:rsidRPr="00BC7A12">
        <w:rPr>
          <w:rFonts w:cs="Calibri"/>
        </w:rPr>
        <w:t xml:space="preserve">less </w:t>
      </w:r>
      <w:r w:rsidR="00433D9B" w:rsidRPr="00BC7A12">
        <w:rPr>
          <w:rFonts w:cs="Calibri"/>
        </w:rPr>
        <w:t xml:space="preserve">useful for </w:t>
      </w:r>
      <w:r w:rsidRPr="00BC7A12">
        <w:rPr>
          <w:rFonts w:cs="Calibri"/>
        </w:rPr>
        <w:t>coastal planning and cost benefit analysis (CBA)</w:t>
      </w:r>
      <w:r w:rsidR="00EE0D95" w:rsidRPr="00BC7A12">
        <w:rPr>
          <w:rFonts w:cs="Calibri"/>
        </w:rPr>
        <w:t xml:space="preserve"> </w:t>
      </w:r>
      <w:r w:rsidR="003A008E" w:rsidRPr="00BC7A12">
        <w:rPr>
          <w:rFonts w:cs="Calibri"/>
        </w:rPr>
        <w:t xml:space="preserve">compared to </w:t>
      </w:r>
      <w:r w:rsidR="00EE0D95" w:rsidRPr="00BC7A12">
        <w:rPr>
          <w:rFonts w:cs="Calibri"/>
        </w:rPr>
        <w:t xml:space="preserve">other </w:t>
      </w:r>
      <w:r w:rsidR="003A008E" w:rsidRPr="00BC7A12">
        <w:rPr>
          <w:rFonts w:cs="Calibri"/>
        </w:rPr>
        <w:t>approaches.</w:t>
      </w:r>
      <w:r w:rsidRPr="00BC7A12">
        <w:rPr>
          <w:rFonts w:cs="Calibri"/>
        </w:rPr>
        <w:t xml:space="preserve"> </w:t>
      </w:r>
      <w:r w:rsidR="00072FDD" w:rsidRPr="00BC7A12">
        <w:rPr>
          <w:rFonts w:cs="Calibri"/>
        </w:rPr>
        <w:t xml:space="preserve">For example, one </w:t>
      </w:r>
      <w:r w:rsidR="00EE0D95" w:rsidRPr="00BC7A12">
        <w:rPr>
          <w:rFonts w:cs="Calibri"/>
        </w:rPr>
        <w:t xml:space="preserve">study </w:t>
      </w:r>
      <w:r w:rsidR="00072FDD" w:rsidRPr="00BC7A12">
        <w:rPr>
          <w:rFonts w:cs="Calibri"/>
        </w:rPr>
        <w:t xml:space="preserve">valued </w:t>
      </w:r>
      <w:r w:rsidR="003A008E" w:rsidRPr="00BC7A12">
        <w:rPr>
          <w:rFonts w:cs="Calibri"/>
        </w:rPr>
        <w:t xml:space="preserve">the DRR services from </w:t>
      </w:r>
      <w:r w:rsidR="00072FDD" w:rsidRPr="00BC7A12">
        <w:rPr>
          <w:rFonts w:cs="Calibri"/>
        </w:rPr>
        <w:t>any hectare of Australia’s temperate mangroves from I</w:t>
      </w:r>
      <w:r w:rsidR="00923776" w:rsidRPr="00BC7A12">
        <w:rPr>
          <w:rFonts w:cs="Calibri"/>
        </w:rPr>
        <w:t>NT</w:t>
      </w:r>
      <w:r w:rsidR="00072FDD" w:rsidRPr="00BC7A12">
        <w:rPr>
          <w:rFonts w:cs="Calibri"/>
        </w:rPr>
        <w:t>$</w:t>
      </w:r>
      <w:r w:rsidR="00390B03" w:rsidRPr="00BC7A12">
        <w:rPr>
          <w:rStyle w:val="FootnoteReference"/>
          <w:rFonts w:cs="Calibri"/>
        </w:rPr>
        <w:footnoteReference w:id="6"/>
      </w:r>
      <w:r w:rsidR="006F2C44" w:rsidRPr="00BC7A12">
        <w:rPr>
          <w:rFonts w:cs="Calibri"/>
        </w:rPr>
        <w:t xml:space="preserve">(2019) </w:t>
      </w:r>
      <w:r w:rsidR="00072FDD" w:rsidRPr="00BC7A12">
        <w:rPr>
          <w:rFonts w:cs="Calibri"/>
        </w:rPr>
        <w:t>44</w:t>
      </w:r>
      <w:r w:rsidR="0037335A">
        <w:rPr>
          <w:rFonts w:cs="Calibri"/>
        </w:rPr>
        <w:t xml:space="preserve"> to</w:t>
      </w:r>
      <w:r w:rsidR="00072FDD" w:rsidRPr="00BC7A12">
        <w:rPr>
          <w:rFonts w:cs="Calibri"/>
        </w:rPr>
        <w:t xml:space="preserve">11,477 </w:t>
      </w:r>
      <w:r w:rsidR="003A008E" w:rsidRPr="00BC7A12">
        <w:rPr>
          <w:rFonts w:cs="Calibri"/>
        </w:rPr>
        <w:t xml:space="preserve">per year </w:t>
      </w:r>
      <w:r w:rsidR="00072FDD" w:rsidRPr="00BC7A12">
        <w:rPr>
          <w:rFonts w:cs="Calibri"/>
        </w:rPr>
        <w:fldChar w:fldCharType="begin" w:fldLock="1"/>
      </w:r>
      <w:r w:rsidR="00DF0263" w:rsidRPr="00BC7A12">
        <w:rPr>
          <w:rFonts w:cs="Calibri"/>
        </w:rPr>
        <w:instrText>ADDIN CSL_CITATION {"citationItems":[{"id":"ITEM-1","itemData":{"DOI":"10.3389/fmars.2020.00453","abstract":"Temperate Australia has extensive and diverse coast and marine habitats throughout its inshore and offshore waters. The region includes the southernmost extent of mangroves, over 500 estuaries and coastal embayments, home to extensive meadows of seagrasses and tidal saltmarsh. In areas of hard substrate, rocky reefs are abundant and productive with large forests of macroalgae. Coastal regions can be densely populated by humans and often habitats can be degraded, polluted or lost, while some remain relatively isolated and pristine. These habitats provide services to society including provision of food, regulate our climate through sequestration of carbon, treating our waste and protecting our shorelines from damage from storms. Coastal areas are culturally importantly hubs for recreation and tourism. Habitat mapping demonstrates diverse habitats throughout temperate Australia, but a formal investigation of services provided by these habitats has been lacking. This review of ecosystem services provided by coast and marine environments throughout temperate Australia reveals vast and productive ecosystems that provide multiple ecosystem services, substantial value to the Australian economy and contribute to the health and well-being of people who live in, visit of benefit from services or products from these regions. Some of these are considered within traditional economic metrics such as provision of wild catch fisheries, but this review demonstrates that regulation and maintenance services including waste treatment and protecting shorelines from extreme events are under recognized, and their value is substantial. However, consistent with many locations globally, coast and marine habitats are under threat from increasing development, sewage, agricultural, industrial discharges, urban runoff and climate chang sewage, agricultural, industrial discharges, urban runoff and climate change. Resultantly, temperate Australian coast and marine habitat extent and condition is generally declining in many regions, putting the provision of services and benefits to the community at risk. Continued degraded or lost habitats indicate current management frameworks are not capturing the full risk from development and there are winners and losers in trade off decision making. Incorporating ecosystem services in decision making may allow an integrated approach to management, and acknowledgment of services provided could prevent habitats from being undervalued against economic…","author":[{"dropping-particle":"","family":"Gaylard","given":"Sam","non-dropping-particle":"","parse-names":false,"suffix":""},{"dropping-particle":"","family":"Waycott","given":"Michelle","non-dropping-particle":"","parse-names":false,"suffix":""},{"dropping-particle":"","family":"Lavery","given":"Paul","non-dropping-particle":"","parse-names":false,"suffix":""},{"dropping-particle":"","family":"Guthrie","given":"Amanda G","non-dropping-particle":"","parse-names":false,"suffix":""}],"container-title":"Frontiers in Marine Science","id":"ITEM-1","issue":"June","issued":{"date-parts":[["2020"]]},"page":"1-15","title":"Review of Coast and Marine Ecosystems in Temperate Australia Demonstrates a Wealth of Ecosystem Services","type":"article-journal","volume":"7"},"uris":["http://www.mendeley.com/documents/?uuid=9c8f459b-619e-4bf6-805b-926253cffbe3"]}],"mendeley":{"formattedCitation":"(Gaylard et al. 2020)","plainTextFormattedCitation":"(Gaylard et al. 2020)","previouslyFormattedCitation":"(Gaylard et al. 2020)"},"properties":{"noteIndex":0},"schema":"https://github.com/citation-style-language/schema/raw/master/csl-citation.json"}</w:instrText>
      </w:r>
      <w:r w:rsidR="00072FDD" w:rsidRPr="00BC7A12">
        <w:rPr>
          <w:rFonts w:cs="Calibri"/>
        </w:rPr>
        <w:fldChar w:fldCharType="separate"/>
      </w:r>
      <w:r w:rsidR="00072FDD" w:rsidRPr="00BC7A12">
        <w:rPr>
          <w:rFonts w:cs="Calibri"/>
          <w:noProof/>
        </w:rPr>
        <w:t>(Gaylard et al. 2020)</w:t>
      </w:r>
      <w:r w:rsidR="00072FDD" w:rsidRPr="00BC7A12">
        <w:rPr>
          <w:rFonts w:cs="Calibri"/>
        </w:rPr>
        <w:fldChar w:fldCharType="end"/>
      </w:r>
      <w:r w:rsidR="009550A0" w:rsidRPr="00BC7A12">
        <w:rPr>
          <w:rFonts w:cs="Calibri"/>
        </w:rPr>
        <w:t>.</w:t>
      </w:r>
      <w:r w:rsidR="00072FDD" w:rsidRPr="00BC7A12">
        <w:rPr>
          <w:rFonts w:cs="Calibri"/>
        </w:rPr>
        <w:t xml:space="preserve"> </w:t>
      </w:r>
      <w:r w:rsidR="003A008E" w:rsidRPr="00BC7A12">
        <w:rPr>
          <w:rFonts w:cs="Calibri"/>
        </w:rPr>
        <w:t xml:space="preserve">All of the </w:t>
      </w:r>
      <w:r w:rsidRPr="00BC7A12">
        <w:rPr>
          <w:rFonts w:cs="Calibri"/>
        </w:rPr>
        <w:t>benefit transfer</w:t>
      </w:r>
      <w:r w:rsidR="003D1BB1" w:rsidRPr="00BC7A12">
        <w:rPr>
          <w:rFonts w:cs="Calibri"/>
        </w:rPr>
        <w:t xml:space="preserve"> valuations captured</w:t>
      </w:r>
      <w:r w:rsidRPr="00BC7A12">
        <w:rPr>
          <w:rFonts w:cs="Calibri"/>
        </w:rPr>
        <w:t xml:space="preserve"> </w:t>
      </w:r>
      <w:r w:rsidR="009D7EA2" w:rsidRPr="00BC7A12">
        <w:rPr>
          <w:rFonts w:cs="Calibri"/>
        </w:rPr>
        <w:fldChar w:fldCharType="begin" w:fldLock="1"/>
      </w:r>
      <w:r w:rsidR="000F118A" w:rsidRPr="00BC7A12">
        <w:rPr>
          <w:rFonts w:cs="Calibri"/>
        </w:rPr>
        <w:instrText>ADDIN CSL_CITATION {"citationItems":[{"id":"ITEM-1","itemData":{"DOI":"10.3389/fmars.2020.00453","abstract":"Temperate Australia has extensive and diverse coast and marine habitats throughout its inshore and offshore waters. The region includes the southernmost extent of mangroves, over 500 estuaries and coastal embayments, home to extensive meadows of seagrasses and tidal saltmarsh. In areas of hard substrate, rocky reefs are abundant and productive with large forests of macroalgae. Coastal regions can be densely populated by humans and often habitats can be degraded, polluted or lost, while some remain relatively isolated and pristine. These habitats provide services to society including provision of food, regulate our climate through sequestration of carbon, treating our waste and protecting our shorelines from damage from storms. Coastal areas are culturally importantly hubs for recreation and tourism. Habitat mapping demonstrates diverse habitats throughout temperate Australia, but a formal investigation of services provided by these habitats has been lacking. This review of ecosystem services provided by coast and marine environments throughout temperate Australia reveals vast and productive ecosystems that provide multiple ecosystem services, substantial value to the Australian economy and contribute to the health and well-being of people who live in, visit of benefit from services or products from these regions. Some of these are considered within traditional economic metrics such as provision of wild catch fisheries, but this review demonstrates that regulation and maintenance services including waste treatment and protecting shorelines from extreme events are under recognized, and their value is substantial. However, consistent with many locations globally, coast and marine habitats are under threat from increasing development, sewage, agricultural, industrial discharges, urban runoff and climate chang sewage, agricultural, industrial discharges, urban runoff and climate change. Resultantly, temperate Australian coast and marine habitat extent and condition is generally declining in many regions, putting the provision of services and benefits to the community at risk. Continued degraded or lost habitats indicate current management frameworks are not capturing the full risk from development and there are winners and losers in trade off decision making. Incorporating ecosystem services in decision making may allow an integrated approach to management, and acknowledgment of services provided could prevent habitats from being undervalued against economic…","author":[{"dropping-particle":"","family":"Gaylard","given":"Sam","non-dropping-particle":"","parse-names":false,"suffix":""},{"dropping-particle":"","family":"Waycott","given":"Michelle","non-dropping-particle":"","parse-names":false,"suffix":""},{"dropping-particle":"","family":"Lavery","given":"Paul","non-dropping-particle":"","parse-names":false,"suffix":""},{"dropping-particle":"","family":"Guthrie","given":"Amanda G","non-dropping-particle":"","parse-names":false,"suffix":""}],"container-title":"Frontiers in Marine Science","id":"ITEM-1","issue":"June","issued":{"date-parts":[["2020"]]},"page":"1-15","title":"Review of Coast and Marine Ecosystems in Temperate Australia Demonstrates a Wealth of Ecosystem Services","type":"article-journal","volume":"7"},"uris":["http://www.mendeley.com/documents/?uuid=9c8f459b-619e-4bf6-805b-926253cffbe3"]},{"id":"ITEM-2","itemData":{"abstract":"The development of this report has been initiated by the Ramsar Convention Secretariat, with financial support from the Norwegian, Swiss and Finnish Governments and the International Union for Conservation of Nature (IUCN). We would like to thank the following for valuable inputs, review and suggestions – Maja Stade Aarønæs, Sasha Alexander, Solange Ashu, Edward Barbier, Katrien Van der Biest, James Blignaut, Andrew Bovarnick, Luke Brander, Rebecca Benner, Alejandro Calvache, Ioli Christopoulou, Lucy Emerton, Philine zu Ermgassen, Rudolf de Groot, Dorethee Herr, Jan Petter Huberth Hansen, Ian Harrison, Miroslav Honzak, Hiroe Ishihara, Finn Katerås, Marianne Kettunen, Georgina Langdale, Karin Lexén, Brian Loo, Sarah Mack, Leonardo Mazza, Michelle Molnar, Andreas Obrecht, Hugh Robertson, Elisabeth Schlaudt, Tone Solhaug, Andrew Seidl, Graham Tucker, Heidi Wittmer and the TEEB Coordination Group and Advisory Board. We are very grateful to the many individuals who submitted case examples, helping to identify a wide range of values and responses to these values from across the globe. The report also benefited from fruitful discussions in the margins of the United Nations Conference on Sustainable Development 2012 (Rio+20), the eleventh meeting of the Conference of the Parties to the Ramsar Convention on Wetlands in July 2012, and the eleventh meeting of the Conference of the Parties to the Convention on Biological Diversity (CBD) in October 2012.","author":[{"dropping-particle":"","family":"Russi","given":"D","non-dropping-particle":"","parse-names":false,"suffix":""},{"dropping-particle":"","family":"Brink","given":"P","non-dropping-particle":"ten","parse-names":false,"suffix":""},{"dropping-particle":"","family":"Farmer","given":"A","non-dropping-particle":"","parse-names":false,"suffix":""},{"dropping-particle":"","family":"Badura","given":"T.","non-dropping-particle":"","parse-names":false,"suffix":""},{"dropping-particle":"","family":"Coates","given":"D","non-dropping-particle":"","parse-names":false,"suffix":""},{"dropping-particle":"","family":"Förster","given":"J","non-dropping-particle":"","parse-names":false,"suffix":""},{"dropping-particle":"","family":"Kumar","given":"R","non-dropping-particle":"","parse-names":false,"suffix":""},{"dropping-particle":"","family":"Davidson","given":"N","non-dropping-particle":"","parse-names":false,"suffix":""}],"container-title":"The Economics of Ecosystems and Biodiversity for Water and Wetlands","id":"ITEM-2","issued":{"date-parts":[["2013"]]},"page":"84","title":"The Economics of Ecosystems and Biodiversity for Water and Wetlands","type":"article-journal"},"uris":["http://www.mendeley.com/documents/?uuid=1f758fb3-489b-44d9-8bf6-e01955cef465"]}],"mendeley":{"formattedCitation":"(Gaylard et al. 2020, Russi et al. 2013)","manualFormatting":"(Gaylard et al. 2020 [see Box B], Russi et al. 2013)","plainTextFormattedCitation":"(Gaylard et al. 2020, Russi et al. 2013)","previouslyFormattedCitation":"(Gaylard et al. 2020, Russi et al. 2013)"},"properties":{"noteIndex":0},"schema":"https://github.com/citation-style-language/schema/raw/master/csl-citation.json"}</w:instrText>
      </w:r>
      <w:r w:rsidR="009D7EA2" w:rsidRPr="00BC7A12">
        <w:rPr>
          <w:rFonts w:cs="Calibri"/>
        </w:rPr>
        <w:fldChar w:fldCharType="separate"/>
      </w:r>
      <w:r w:rsidR="00147236" w:rsidRPr="00BC7A12">
        <w:rPr>
          <w:rFonts w:cs="Calibri"/>
          <w:noProof/>
        </w:rPr>
        <w:t>(Gaylard et al. 2020</w:t>
      </w:r>
      <w:r w:rsidR="000F118A" w:rsidRPr="00BC7A12">
        <w:rPr>
          <w:rFonts w:cs="Calibri"/>
          <w:noProof/>
        </w:rPr>
        <w:t xml:space="preserve"> [see Box B]</w:t>
      </w:r>
      <w:r w:rsidR="00147236" w:rsidRPr="00BC7A12">
        <w:rPr>
          <w:rFonts w:cs="Calibri"/>
          <w:noProof/>
        </w:rPr>
        <w:t>, Russi et al. 2013)</w:t>
      </w:r>
      <w:r w:rsidR="009D7EA2" w:rsidRPr="00BC7A12">
        <w:rPr>
          <w:rFonts w:cs="Calibri"/>
        </w:rPr>
        <w:fldChar w:fldCharType="end"/>
      </w:r>
      <w:r w:rsidR="009D7EA2" w:rsidRPr="00BC7A12">
        <w:rPr>
          <w:rFonts w:cs="Calibri"/>
        </w:rPr>
        <w:t xml:space="preserve"> </w:t>
      </w:r>
      <w:r w:rsidRPr="00BC7A12">
        <w:rPr>
          <w:rFonts w:cs="Calibri"/>
        </w:rPr>
        <w:t>fit into this category</w:t>
      </w:r>
      <w:r w:rsidR="003D1BB1" w:rsidRPr="00BC7A12">
        <w:rPr>
          <w:rFonts w:cs="Calibri"/>
        </w:rPr>
        <w:t>,</w:t>
      </w:r>
      <w:r w:rsidRPr="00BC7A12">
        <w:rPr>
          <w:rFonts w:cs="Calibri"/>
        </w:rPr>
        <w:t xml:space="preserve"> as does </w:t>
      </w:r>
      <w:r w:rsidR="0037335A">
        <w:rPr>
          <w:rFonts w:cs="Calibri"/>
        </w:rPr>
        <w:t>one</w:t>
      </w:r>
      <w:r w:rsidR="0037335A" w:rsidRPr="00BC7A12">
        <w:rPr>
          <w:rFonts w:cs="Calibri"/>
        </w:rPr>
        <w:t xml:space="preserve"> </w:t>
      </w:r>
      <w:r w:rsidRPr="00BC7A12">
        <w:rPr>
          <w:rFonts w:cs="Calibri"/>
        </w:rPr>
        <w:t xml:space="preserve">expected damage function valuation that analysed expected cyclone damage </w:t>
      </w:r>
      <w:r w:rsidRPr="00BC7A12">
        <w:rPr>
          <w:rFonts w:cs="Calibri"/>
        </w:rPr>
        <w:fldChar w:fldCharType="begin" w:fldLock="1"/>
      </w:r>
      <w:r w:rsidR="009D7EA2" w:rsidRPr="00BC7A12">
        <w:rPr>
          <w:rFonts w:cs="Calibri"/>
        </w:rPr>
        <w:instrText>ADDIN CSL_CITATION {"citationItems":[{"id":"ITEM-1","itemData":{"DOI":"10.1038/s41598-018-21217-z","ISSN":"20452322","abstract":"Coastal wetlands are increasingly recognised for their pivotal role in mitigating the growing threats from cyclones (including hurricanes) in a changing climate. There is, however, insufficient information about the economic value of coastal wetlands for cyclone mitigation, particularly at regional scales. Analysis of data from 1990-2012 shows that the variation of cyclone frequencies is related to EI Niño strength in the Pacific Ocean adjacent to Australia, but not China. Among the cyclones hitting the two countries, there are significant relationships between the ratio of total economic damage to gross domestic production (TD/GDP) and wetland area within cyclone swaths in Australia, and wetland area plus minimum cyclone pressure despite a weak relationship in China. The TD/GDP ratio is significantly higher in China than in Australia. Despite their extensive and growing occurrence, seawalls in China appear not to play a critical role in cyclone mitigation, and cannot replace coastal wetlands, which provide other efficient ecosystem services. The economic values of coastal wetlands in Australia and China are respectively estimated at US$52.88 billion and 198.67 billion yr-1 for cyclone mitigation, albeit with large within-country geographic variation. This study highlights the urgency to integrate this value into existing valuations of coastal wetlands.","author":[{"dropping-particle":"","family":"Ouyang","given":"Xiaoguang","non-dropping-particle":"","parse-names":false,"suffix":""},{"dropping-particle":"","family":"Lee","given":"Shing Yip","non-dropping-particle":"","parse-names":false,"suffix":""},{"dropping-particle":"","family":"Connolly","given":"Rod M.","non-dropping-particle":"","parse-names":false,"suffix":""},{"dropping-particle":"","family":"Kainz","given":"Martin J.","non-dropping-particle":"","parse-names":false,"suffix":""}],"container-title":"Scientific Reports","id":"ITEM-1","issue":"1","issued":{"date-parts":[["2018"]]},"page":"1-9","publisher":"Springer US","title":"Spatially-explicit valuation of coastal wetlands for cyclone mitigation in Australia and China","type":"article-journal","volume":"8"},"uris":["http://www.mendeley.com/documents/?uuid=f753a80c-32df-451d-b873-8404b0db5519"]}],"mendeley":{"formattedCitation":"(Ouyang et al. 2018)","plainTextFormattedCitation":"(Ouyang et al. 2018)","previouslyFormattedCitation":"(Ouyang et al. 2018)"},"properties":{"noteIndex":0},"schema":"https://github.com/citation-style-language/schema/raw/master/csl-citation.json"}</w:instrText>
      </w:r>
      <w:r w:rsidRPr="00BC7A12">
        <w:rPr>
          <w:rFonts w:cs="Calibri"/>
        </w:rPr>
        <w:fldChar w:fldCharType="separate"/>
      </w:r>
      <w:r w:rsidRPr="00BC7A12">
        <w:rPr>
          <w:rFonts w:cs="Calibri"/>
          <w:noProof/>
        </w:rPr>
        <w:t>(Ouyang et al. 2018)</w:t>
      </w:r>
      <w:r w:rsidRPr="00BC7A12">
        <w:rPr>
          <w:rFonts w:cs="Calibri"/>
        </w:rPr>
        <w:fldChar w:fldCharType="end"/>
      </w:r>
      <w:r w:rsidR="000F118A" w:rsidRPr="00BC7A12">
        <w:rPr>
          <w:rFonts w:cs="Calibri"/>
        </w:rPr>
        <w:t xml:space="preserve"> using change in GDP to estimate damage impacts</w:t>
      </w:r>
      <w:r w:rsidRPr="00BC7A12">
        <w:rPr>
          <w:rFonts w:cs="Calibri"/>
        </w:rPr>
        <w:t>.</w:t>
      </w:r>
      <w:r w:rsidR="009F5438" w:rsidRPr="00BC7A12">
        <w:rPr>
          <w:rFonts w:cs="Calibri"/>
        </w:rPr>
        <w:t xml:space="preserve"> </w:t>
      </w:r>
      <w:r w:rsidR="00D51B02" w:rsidRPr="00BC7A12">
        <w:rPr>
          <w:rFonts w:cs="Calibri"/>
        </w:rPr>
        <w:t xml:space="preserve">The value ranges and geographic scales of these approaches </w:t>
      </w:r>
      <w:r w:rsidR="0097047A" w:rsidRPr="00BC7A12">
        <w:rPr>
          <w:rFonts w:cs="Calibri"/>
        </w:rPr>
        <w:t>raise</w:t>
      </w:r>
      <w:r w:rsidR="00D51B02" w:rsidRPr="00BC7A12">
        <w:rPr>
          <w:rFonts w:cs="Calibri"/>
        </w:rPr>
        <w:t xml:space="preserve"> awareness but are not suitable for coastal planning. </w:t>
      </w:r>
    </w:p>
    <w:p w14:paraId="30E23000" w14:textId="0BED5D7A" w:rsidR="008668DC" w:rsidRPr="00BC7A12" w:rsidRDefault="00433D9B" w:rsidP="008668DC">
      <w:pPr>
        <w:pStyle w:val="ListParagraph"/>
        <w:numPr>
          <w:ilvl w:val="0"/>
          <w:numId w:val="34"/>
        </w:numPr>
        <w:rPr>
          <w:rFonts w:cs="Calibri"/>
        </w:rPr>
      </w:pPr>
      <w:r w:rsidRPr="00BC7A12">
        <w:rPr>
          <w:rFonts w:cs="Calibri"/>
          <w:i/>
          <w:iCs/>
        </w:rPr>
        <w:t>Stakeholder engagement</w:t>
      </w:r>
      <w:r w:rsidRPr="00BC7A12">
        <w:rPr>
          <w:rFonts w:cs="Calibri"/>
        </w:rPr>
        <w:t xml:space="preserve"> </w:t>
      </w:r>
      <w:r w:rsidRPr="00BC7A12">
        <w:rPr>
          <w:rFonts w:cs="Calibri"/>
          <w:i/>
          <w:iCs/>
        </w:rPr>
        <w:t>valuations</w:t>
      </w:r>
      <w:r w:rsidRPr="00BC7A12">
        <w:rPr>
          <w:rFonts w:cs="Calibri"/>
        </w:rPr>
        <w:t xml:space="preserve"> that </w:t>
      </w:r>
      <w:r w:rsidR="00DF0263" w:rsidRPr="00BC7A12">
        <w:rPr>
          <w:rFonts w:cs="Calibri"/>
        </w:rPr>
        <w:t>reveal how communities</w:t>
      </w:r>
      <w:r w:rsidR="0097047A" w:rsidRPr="00BC7A12">
        <w:rPr>
          <w:rFonts w:cs="Calibri"/>
        </w:rPr>
        <w:t xml:space="preserve"> </w:t>
      </w:r>
      <w:r w:rsidR="00DF0263" w:rsidRPr="00BC7A12">
        <w:rPr>
          <w:rFonts w:cs="Calibri"/>
        </w:rPr>
        <w:t>feel about change to DRR ecosystem services provide</w:t>
      </w:r>
      <w:r w:rsidR="00CE4B52" w:rsidRPr="00BC7A12">
        <w:rPr>
          <w:rFonts w:cs="Calibri"/>
        </w:rPr>
        <w:t>d</w:t>
      </w:r>
      <w:r w:rsidR="00DF0263" w:rsidRPr="00BC7A12">
        <w:rPr>
          <w:rFonts w:cs="Calibri"/>
        </w:rPr>
        <w:t xml:space="preserve"> by coastal wetlands </w:t>
      </w:r>
      <w:r w:rsidR="00DF0263" w:rsidRPr="00BC7A12">
        <w:rPr>
          <w:rFonts w:cs="Calibri"/>
        </w:rPr>
        <w:fldChar w:fldCharType="begin" w:fldLock="1"/>
      </w:r>
      <w:r w:rsidR="00D24301" w:rsidRPr="00BC7A12">
        <w:rPr>
          <w:rFonts w:cs="Calibri"/>
        </w:rPr>
        <w:instrText>ADDIN CSL_CITATION {"citationItems":[{"id":"ITEM-1","itemData":{"DOI":"10.1007/s11069-018-3395-8","ISBN":"1106901833958","ISSN":"15730840","abstract":"Storm protection service of mangrove is often undervalued. This paper empirically assessed the damage avoided by the Sundarbans mangrove forest in 15 villages of southwest coastal Bangladesh, considering the super cyclone Sidr as reference point. The extent of damage of the cyclone was estimated for three situations: (1) villages protected by mangrove and within a polder, (2) villages not protected by mangrove but within a polder, and (3) villages not protected by mangrove and not within a polder. A questionnaire survey was conducted on 300 households selected from these villages by stratified random sampling. Significant differences in all the considered damage assessment attributes were obtained comparing the villages protected by mangrove with those not protected by mangrove. Quantifiable monetary loss associated with the cyclone was TK 69,726 (US$ 1025) per household in the villages sheltered by mangrove, which was about half compared to the villages not in the shadow of mangrove. Loss incurred per household was highest in villages that are not protected by mangrove and polder. Although local people highly valued the storm protection service of the Sundarbans mangrove forest, it is necessary to be emphasized in the disaster management policy of Bangladesh.","author":[{"dropping-particle":"","family":"Akber","given":"Md Ali","non-dropping-particle":"","parse-names":false,"suffix":""},{"dropping-particle":"","family":"Patwary","given":"Muhammad Mainuddin","non-dropping-particle":"","parse-names":false,"suffix":""},{"dropping-particle":"","family":"Islam","given":"Md Atikul","non-dropping-particle":"","parse-names":false,"suffix":""},{"dropping-particle":"","family":"Rahman","given":"Mohammad Rezaur","non-dropping-particle":"","parse-names":false,"suffix":""}],"container-title":"Natural Hazards","id":"ITEM-1","issue":"1","issued":{"date-parts":[["2018"]]},"page":"405-418","publisher":"Springer Netherlands","title":"Storm protection service of the Sundarbans mangrove forest, Bangladesh","type":"article-journal","volume":"94"},"uris":["http://www.mendeley.com/documents/?uuid=93226968-e380-470f-9cfa-a5dd170ae382"]},{"id":"ITEM-2","itemData":{"DOI":"10.1093/icesjms/fst026","ISSN":"10543139","abstract":"Kim, T-G., and Petrolia, D. R. 2013. Public perceptions of wetland restoration benefits in Louisiana. - ICES Journal of Marine Science, 70: 1045-1054.We conducted a referendum-style contingent-valuation survey to investigate public perceptions of wetland restoration benefits including storm protection, ecosystem services, and recreational benefits and to analyse willingness to pay (WTP) for large-scale coastal restoration in Louisiana. Results of the ordered probit and binary probit models indicate that the public perceives both a strong relationship between increased wetland loss and an increased storm risk and a substantial likelihood of increased storm-protection benefits from wetland restoration. However, respondents expressed that they were less likely to believe the improved storm reduction benefits from restoration when they perceived a high frequency of category 3 or greater storms. Additionally, we found that hurricane protection benefits were the most important factor explaining WTP for wetland restoration for preventing expected future land losses in coastal Louisiana. © 2013 © 2013 International Council for the Exploration of the Sea. Published by Oxford University Press. All rights reserved. For Permissions, please email: journals.permissions@oup. com.","author":[{"dropping-particle":"","family":"Kim","given":"Tae Goun","non-dropping-particle":"","parse-names":false,"suffix":""},{"dropping-particle":"","family":"Petrolia","given":"Daniel R.","non-dropping-particle":"","parse-names":false,"suffix":""}],"container-title":"ICES Journal of Marine Science","id":"ITEM-2","issue":"5","issued":{"date-parts":[["2013"]]},"page":"1045-1054","title":"Public perceptions of wetland restoration benefits in Louisiana","type":"article-journal","volume":"70"},"uris":["http://www.mendeley.com/documents/?uuid=6251e2b5-7414-4260-9c63-ab7174311dd8"]},{"id":"ITEM-3","itemData":{"DOI":"10.1016/j.ocecoaman.2017.07.005","ISSN":"09645691","abstract":"Public perception research enhances the governance of coastal hazard mitigation. Understanding the public's awareness and perceptions of hazard mitigation infrastructure is an important aspect of effective governance. Emerging federal policies call for more integrated use of engineered and natural infrastructure for mitigating coastal hazards. This study is to assess public awareness and perception of the functions of and relationship between engineered and natural infrastructure, which is critical to the successful implementation of such policies. Semi-structured interviews were conducted to 27 residents from two coastal communities in New Jersey. Thematic content analysis is used to analyze these interview data. The study shows that awareness of mitigation infrastructure stems in part from experience with coastal hazards. Many participants understood the functions of both types of infrastructure in ways that were consistent with the understandings of coastal engineers, but did not fully understand how these two types of infrastructure interact each other to mitigate coastal hazards. Most respondents preferred natural infrastructure, but believed that engineered infrastructure is more effective in coastal hazard mitigation. The knowledge of public perceptions of mitigation infrastructure would be useful to coastal managers in developing and communicating coastal hazard mitigation strategies.","author":[{"dropping-particle":"","family":"Gray","given":"Jaime D.Ewalt","non-dropping-particle":"","parse-names":false,"suffix":""},{"dropping-particle":"","family":"O'Neill","given":"Karen","non-dropping-particle":"","parse-names":false,"suffix":""},{"dropping-particle":"","family":"Qiu","given":"Zeyuan","non-dropping-particle":"","parse-names":false,"suffix":""}],"container-title":"Ocean and Coastal Management","id":"ITEM-3","issued":{"date-parts":[["2017"]]},"page":"144-156","publisher":"Elsevier Ltd","title":"Coastal residents' perceptions of the function of and relationship between engineered and natural infrastructure for coastal hazard mitigation","type":"article-journal","volume":"146"},"uris":["http://www.mendeley.com/documents/?uuid=91c06de3-e155-46a5-ad5c-c37248d09edf"]},{"id":"ITEM-4","itemData":{"DOI":"10.1016/j.ijdrr.2019.101180","ISSN":"22124209","abstract":"Wetlands provide ecosystem services such as flood prevention; however, their transformation to housing developments limits the provision of these services. When tropical storms and hurricanes occur where coastal wetlands have undergone land use change (LUC), socioeconomic disaster results. Our objective was to estimate the economic value of flood prevention service provided by coastal wetlands. We quantified LUC and the loss of water retention capacity as a wetlands loss function and estimated the economic cost of flooding to households (lost appliances). The Veracruz-Boca del Rio-Medellin conurbation in Veracruz, Mexico, was used to evaluate these parameters during the floods caused by hurricane Karl in 2010. The total economic cost of losses to households was $150.85 million USD/2007. Between 1980 and 2010, the urban zone grew by 1,437.41 ha, resulting in the loss of 16.34 ha of water bodies, 455.41 ha of agriculture, and 965.66 ha of coastal wetlands (25.36 ha of mangroves, 152.95 ha of freshwater marshes and 787.35 ha of flooded grasslands). These results were used to obtain the economic value of flood prevention service and expressed as indirect-avoided cost. The economic values of flood prevention were: flooded grassland at $148,277 USD/ha/2007, freshwater broad-leaved marsh at $190,863 USD/ha/2007, and mangroves at $193,674 USD/ha/2007. The results of this study highlight the importance of protecting coastal wetlands and can be used by urban planning decision-makers when drawing up public policies in regional coastal contexts to protect human settlements and infrastructure.","author":[{"dropping-particle":"","family":"Vázquez-González","given":"César","non-dropping-particle":"","parse-names":false,"suffix":""},{"dropping-particle":"","family":"Moreno-Casasola","given":"Patricia","non-dropping-particle":"","parse-names":false,"suffix":""},{"dropping-particle":"","family":"Peralta Peláez","given":"Luis Alberto","non-dropping-particle":"","parse-names":false,"suffix":""},{"dropping-particle":"","family":"Monroy","given":"Roberto","non-dropping-particle":"","parse-names":false,"suffix":""},{"dropping-particle":"","family":"Espejel","given":"Ileana","non-dropping-particle":"","parse-names":false,"suffix":""}],"container-title":"International Journal of Disaster Risk Reduction","id":"ITEM-4","issue":"November 2018","issued":{"date-parts":[["2019","7"]]},"page":"101180","publisher":"Elsevier Ltd","title":"The value of coastal wetland flood prevention lost to urbanization on the coastal plain of the Gulf of Mexico: An analysis of flood damage by hurricane impacts","type":"article-journal","volume":"37"},"uris":["http://www.mendeley.com/documents/?uuid=55305b2b-fb0c-4be2-b550-5ce9fe384c99"]}],"mendeley":{"formattedCitation":"(Akber et al. 2018, Kim &amp; Petrolia 2013, Gray et al. 2017, Vázquez-González et al. 2019)","plainTextFormattedCitation":"(Akber et al. 2018, Kim &amp; Petrolia 2013, Gray et al. 2017, Vázquez-González et al. 2019)","previouslyFormattedCitation":"(Akber et al. 2018, Kim &amp; Petrolia 2013, Gray et al. 2017, Vázquez-González et al. 2019)"},"properties":{"noteIndex":0},"schema":"https://github.com/citation-style-language/schema/raw/master/csl-citation.json"}</w:instrText>
      </w:r>
      <w:r w:rsidR="00DF0263" w:rsidRPr="00BC7A12">
        <w:rPr>
          <w:rFonts w:cs="Calibri"/>
        </w:rPr>
        <w:fldChar w:fldCharType="separate"/>
      </w:r>
      <w:r w:rsidR="00DF0263" w:rsidRPr="00BC7A12">
        <w:rPr>
          <w:rFonts w:cs="Calibri"/>
          <w:noProof/>
        </w:rPr>
        <w:t>(Akber et al. 2018, Kim &amp; Petrolia 2013, Gray et al. 2017, Vázquez-González et al. 2019)</w:t>
      </w:r>
      <w:r w:rsidR="00DF0263" w:rsidRPr="00BC7A12">
        <w:rPr>
          <w:rFonts w:cs="Calibri"/>
        </w:rPr>
        <w:fldChar w:fldCharType="end"/>
      </w:r>
      <w:r w:rsidR="009550A0" w:rsidRPr="00BC7A12">
        <w:rPr>
          <w:rFonts w:cs="Calibri"/>
        </w:rPr>
        <w:t>.</w:t>
      </w:r>
      <w:r w:rsidR="0097047A" w:rsidRPr="00BC7A12">
        <w:rPr>
          <w:rFonts w:cs="Calibri"/>
        </w:rPr>
        <w:t xml:space="preserve"> </w:t>
      </w:r>
      <w:r w:rsidR="00DF0263" w:rsidRPr="00BC7A12">
        <w:rPr>
          <w:rFonts w:cs="Calibri"/>
        </w:rPr>
        <w:t xml:space="preserve">These contingent valuation studies directly measure </w:t>
      </w:r>
      <w:r w:rsidR="0097047A" w:rsidRPr="00BC7A12">
        <w:rPr>
          <w:rFonts w:cs="Calibri"/>
        </w:rPr>
        <w:t>communities’</w:t>
      </w:r>
      <w:r w:rsidR="00DF0263" w:rsidRPr="00BC7A12">
        <w:rPr>
          <w:rFonts w:cs="Calibri"/>
        </w:rPr>
        <w:t xml:space="preserve"> preferences for </w:t>
      </w:r>
      <w:r w:rsidR="0097047A" w:rsidRPr="00BC7A12">
        <w:rPr>
          <w:rFonts w:cs="Calibri"/>
        </w:rPr>
        <w:t xml:space="preserve">coastal </w:t>
      </w:r>
      <w:r w:rsidR="00DF0263" w:rsidRPr="00BC7A12">
        <w:rPr>
          <w:rFonts w:cs="Calibri"/>
        </w:rPr>
        <w:t xml:space="preserve">planning purposes, but </w:t>
      </w:r>
      <w:r w:rsidR="008668DC" w:rsidRPr="00BC7A12">
        <w:rPr>
          <w:rFonts w:cs="Calibri"/>
        </w:rPr>
        <w:t>do not provide monetary valuations.</w:t>
      </w:r>
      <w:r w:rsidR="00DF0263" w:rsidRPr="00BC7A12">
        <w:rPr>
          <w:rFonts w:cs="Calibri"/>
        </w:rPr>
        <w:t xml:space="preserve"> </w:t>
      </w:r>
    </w:p>
    <w:p w14:paraId="2D935592" w14:textId="1A144202" w:rsidR="00FF3F8E" w:rsidRPr="00BC7A12" w:rsidRDefault="00765670" w:rsidP="00433D9B">
      <w:pPr>
        <w:pStyle w:val="ListParagraph"/>
        <w:numPr>
          <w:ilvl w:val="0"/>
          <w:numId w:val="34"/>
        </w:numPr>
        <w:rPr>
          <w:rFonts w:cs="Calibri"/>
          <w:i/>
          <w:iCs/>
        </w:rPr>
      </w:pPr>
      <w:r w:rsidRPr="00BC7A12">
        <w:rPr>
          <w:rFonts w:cs="Calibri"/>
          <w:i/>
          <w:iCs/>
        </w:rPr>
        <w:t xml:space="preserve">Explicit local valuations </w:t>
      </w:r>
      <w:r w:rsidR="00BA374F" w:rsidRPr="00BC7A12">
        <w:rPr>
          <w:rFonts w:cs="Calibri"/>
        </w:rPr>
        <w:t xml:space="preserve">that typically use </w:t>
      </w:r>
      <w:r w:rsidR="009F4556" w:rsidRPr="00BC7A12">
        <w:rPr>
          <w:rFonts w:cs="Calibri"/>
        </w:rPr>
        <w:t xml:space="preserve">Expected </w:t>
      </w:r>
      <w:r w:rsidR="00CE4B52" w:rsidRPr="00BC7A12">
        <w:rPr>
          <w:rFonts w:cs="Calibri"/>
        </w:rPr>
        <w:t>D</w:t>
      </w:r>
      <w:r w:rsidR="009F4556" w:rsidRPr="00BC7A12">
        <w:rPr>
          <w:rFonts w:cs="Calibri"/>
        </w:rPr>
        <w:t xml:space="preserve">amage </w:t>
      </w:r>
      <w:r w:rsidR="00CE4B52" w:rsidRPr="00BC7A12">
        <w:rPr>
          <w:rFonts w:cs="Calibri"/>
        </w:rPr>
        <w:t>F</w:t>
      </w:r>
      <w:r w:rsidR="009F4556" w:rsidRPr="00BC7A12">
        <w:rPr>
          <w:rFonts w:cs="Calibri"/>
        </w:rPr>
        <w:t xml:space="preserve">unctions (EDF) </w:t>
      </w:r>
      <w:r w:rsidR="00BA374F" w:rsidRPr="00BC7A12">
        <w:rPr>
          <w:rFonts w:cs="Calibri"/>
        </w:rPr>
        <w:t xml:space="preserve">and have robust data. They </w:t>
      </w:r>
      <w:r w:rsidR="003A008E" w:rsidRPr="00BC7A12">
        <w:rPr>
          <w:rFonts w:cs="Calibri"/>
        </w:rPr>
        <w:t xml:space="preserve">are </w:t>
      </w:r>
      <w:r w:rsidR="00BA374F" w:rsidRPr="00BC7A12">
        <w:rPr>
          <w:rFonts w:cs="Calibri"/>
        </w:rPr>
        <w:t xml:space="preserve">typically used to influence zoning, </w:t>
      </w:r>
      <w:proofErr w:type="gramStart"/>
      <w:r w:rsidR="00BA374F" w:rsidRPr="00BC7A12">
        <w:rPr>
          <w:rFonts w:cs="Calibri"/>
        </w:rPr>
        <w:t>management</w:t>
      </w:r>
      <w:proofErr w:type="gramEnd"/>
      <w:r w:rsidR="00BA374F" w:rsidRPr="00BC7A12">
        <w:rPr>
          <w:rFonts w:cs="Calibri"/>
        </w:rPr>
        <w:t xml:space="preserve"> and conservation efforts.</w:t>
      </w:r>
      <w:r w:rsidR="00D24301" w:rsidRPr="00BC7A12">
        <w:rPr>
          <w:rFonts w:cs="Calibri"/>
        </w:rPr>
        <w:t xml:space="preserve"> </w:t>
      </w:r>
      <w:r w:rsidR="003E6E44" w:rsidRPr="00BC7A12">
        <w:rPr>
          <w:rFonts w:cs="Calibri"/>
        </w:rPr>
        <w:t>There is variability</w:t>
      </w:r>
      <w:r w:rsidR="003A008E" w:rsidRPr="00BC7A12">
        <w:rPr>
          <w:rFonts w:cs="Calibri"/>
        </w:rPr>
        <w:t xml:space="preserve"> in the </w:t>
      </w:r>
      <w:r w:rsidR="00D24301" w:rsidRPr="00BC7A12">
        <w:rPr>
          <w:rFonts w:cs="Calibri"/>
        </w:rPr>
        <w:t xml:space="preserve">robustness </w:t>
      </w:r>
      <w:r w:rsidR="006D6EA5" w:rsidRPr="00BC7A12">
        <w:rPr>
          <w:rFonts w:cs="Calibri"/>
        </w:rPr>
        <w:t xml:space="preserve">among EDF techniques, which these </w:t>
      </w:r>
      <w:r w:rsidR="003A008E" w:rsidRPr="00BC7A12">
        <w:rPr>
          <w:rFonts w:cs="Calibri"/>
        </w:rPr>
        <w:t xml:space="preserve">examples demonstrate. </w:t>
      </w:r>
      <w:r w:rsidR="005440EC" w:rsidRPr="00BC7A12">
        <w:rPr>
          <w:rFonts w:cs="Calibri"/>
        </w:rPr>
        <w:t xml:space="preserve"> </w:t>
      </w:r>
    </w:p>
    <w:p w14:paraId="1482BA09" w14:textId="304167E5" w:rsidR="0020684B" w:rsidRDefault="008371D0" w:rsidP="00433D9B">
      <w:pPr>
        <w:pStyle w:val="ListParagraph"/>
        <w:numPr>
          <w:ilvl w:val="1"/>
          <w:numId w:val="34"/>
        </w:numPr>
        <w:rPr>
          <w:rFonts w:cs="Calibri"/>
        </w:rPr>
      </w:pPr>
      <w:r w:rsidRPr="00BC7A12">
        <w:rPr>
          <w:rFonts w:cs="Calibri"/>
          <w:i/>
          <w:iCs/>
        </w:rPr>
        <w:t>Index</w:t>
      </w:r>
      <w:r w:rsidR="00D24301" w:rsidRPr="00BC7A12">
        <w:rPr>
          <w:rFonts w:cs="Calibri"/>
          <w:i/>
          <w:iCs/>
        </w:rPr>
        <w:t xml:space="preserve"> </w:t>
      </w:r>
      <w:r w:rsidR="005440EC" w:rsidRPr="00BC7A12">
        <w:rPr>
          <w:rFonts w:cs="Calibri"/>
          <w:i/>
          <w:iCs/>
        </w:rPr>
        <w:t>valuations</w:t>
      </w:r>
      <w:r w:rsidRPr="00BC7A12">
        <w:rPr>
          <w:rFonts w:cs="Calibri"/>
        </w:rPr>
        <w:t>, where a ra</w:t>
      </w:r>
      <w:r w:rsidR="00410919" w:rsidRPr="00BC7A12">
        <w:rPr>
          <w:rFonts w:cs="Calibri"/>
        </w:rPr>
        <w:t>n</w:t>
      </w:r>
      <w:r w:rsidRPr="00BC7A12">
        <w:rPr>
          <w:rFonts w:cs="Calibri"/>
        </w:rPr>
        <w:t xml:space="preserve">ge (e.g. 1-5) of biophysical change or economic impacts are estimated </w:t>
      </w:r>
      <w:r w:rsidR="007001BA" w:rsidRPr="00BC7A12">
        <w:rPr>
          <w:rFonts w:cs="Calibri"/>
        </w:rPr>
        <w:t>and often a coefficient is used as a proxy</w:t>
      </w:r>
      <w:r w:rsidR="00C56DE6" w:rsidRPr="00BC7A12">
        <w:rPr>
          <w:rFonts w:cs="Calibri"/>
        </w:rPr>
        <w:t xml:space="preserve"> for detailed analysis. For example, </w:t>
      </w:r>
      <w:r w:rsidR="00F01263" w:rsidRPr="00BC7A12">
        <w:rPr>
          <w:rFonts w:cs="Calibri"/>
        </w:rPr>
        <w:t xml:space="preserve">several </w:t>
      </w:r>
      <w:r w:rsidR="00C56DE6" w:rsidRPr="00BC7A12">
        <w:rPr>
          <w:rFonts w:cs="Calibri"/>
        </w:rPr>
        <w:t>environmental characteristics can be scored for their contribution to DRR based on the literature, and integrated into single score (</w:t>
      </w:r>
      <w:r w:rsidR="00C56DE6" w:rsidRPr="00BC7A12">
        <w:rPr>
          <w:rFonts w:cs="Calibri"/>
        </w:rPr>
        <w:fldChar w:fldCharType="begin"/>
      </w:r>
      <w:r w:rsidR="00C56DE6" w:rsidRPr="00BC7A12">
        <w:rPr>
          <w:rFonts w:cs="Calibri"/>
        </w:rPr>
        <w:instrText xml:space="preserve"> REF _Ref43369502 \h </w:instrText>
      </w:r>
      <w:r w:rsidR="00FD3388" w:rsidRPr="00BC7A12">
        <w:rPr>
          <w:rFonts w:cs="Calibri"/>
        </w:rPr>
        <w:instrText xml:space="preserve"> \* MERGEFORMAT </w:instrText>
      </w:r>
      <w:r w:rsidR="00C56DE6" w:rsidRPr="00BC7A12">
        <w:rPr>
          <w:rFonts w:cs="Calibri"/>
        </w:rPr>
      </w:r>
      <w:r w:rsidR="00C56DE6" w:rsidRPr="00BC7A12">
        <w:rPr>
          <w:rFonts w:cs="Calibri"/>
        </w:rPr>
        <w:fldChar w:fldCharType="separate"/>
      </w:r>
      <w:r w:rsidR="00657E34" w:rsidRPr="00BC7A12">
        <w:rPr>
          <w:rFonts w:cs="Calibri"/>
        </w:rPr>
        <w:t xml:space="preserve">Table </w:t>
      </w:r>
      <w:r w:rsidR="00657E34" w:rsidRPr="00657E34">
        <w:rPr>
          <w:rFonts w:cs="Calibri"/>
          <w:noProof/>
        </w:rPr>
        <w:t>4</w:t>
      </w:r>
      <w:r w:rsidR="00C56DE6" w:rsidRPr="00BC7A12">
        <w:rPr>
          <w:rFonts w:cs="Calibri"/>
        </w:rPr>
        <w:fldChar w:fldCharType="end"/>
      </w:r>
      <w:r w:rsidR="00C56DE6" w:rsidRPr="00BC7A12">
        <w:rPr>
          <w:rFonts w:cs="Calibri"/>
        </w:rPr>
        <w:t xml:space="preserve">). </w:t>
      </w:r>
      <w:r w:rsidR="0097047A" w:rsidRPr="00BC7A12">
        <w:rPr>
          <w:rFonts w:cs="Calibri"/>
        </w:rPr>
        <w:t xml:space="preserve">Index valuations are </w:t>
      </w:r>
      <w:r w:rsidR="00C56DE6" w:rsidRPr="00BC7A12">
        <w:rPr>
          <w:rFonts w:cs="Calibri"/>
        </w:rPr>
        <w:t xml:space="preserve">defensible and </w:t>
      </w:r>
      <w:r w:rsidR="003A008E" w:rsidRPr="00BC7A12">
        <w:rPr>
          <w:rFonts w:cs="Calibri"/>
        </w:rPr>
        <w:t>can have</w:t>
      </w:r>
      <w:r w:rsidR="00C56DE6" w:rsidRPr="00BC7A12">
        <w:rPr>
          <w:rFonts w:cs="Calibri"/>
        </w:rPr>
        <w:t xml:space="preserve"> utility </w:t>
      </w:r>
      <w:r w:rsidR="003A008E" w:rsidRPr="00BC7A12">
        <w:rPr>
          <w:rFonts w:cs="Calibri"/>
        </w:rPr>
        <w:t xml:space="preserve">to </w:t>
      </w:r>
      <w:r w:rsidR="00C56DE6" w:rsidRPr="00BC7A12">
        <w:rPr>
          <w:rFonts w:cs="Calibri"/>
        </w:rPr>
        <w:t>decision makers</w:t>
      </w:r>
      <w:r w:rsidR="0097047A" w:rsidRPr="00BC7A12">
        <w:rPr>
          <w:rFonts w:cs="Calibri"/>
        </w:rPr>
        <w:t xml:space="preserve">. They provide </w:t>
      </w:r>
      <w:r w:rsidR="00C56DE6" w:rsidRPr="00BC7A12">
        <w:rPr>
          <w:rFonts w:cs="Calibri"/>
        </w:rPr>
        <w:t>approximate contribution</w:t>
      </w:r>
      <w:r w:rsidR="0097047A" w:rsidRPr="00BC7A12">
        <w:rPr>
          <w:rFonts w:cs="Calibri"/>
        </w:rPr>
        <w:t>s</w:t>
      </w:r>
      <w:r w:rsidR="00C56DE6" w:rsidRPr="00BC7A12">
        <w:rPr>
          <w:rFonts w:cs="Calibri"/>
        </w:rPr>
        <w:t xml:space="preserve"> of the coastal wetland to DRR</w:t>
      </w:r>
      <w:r w:rsidR="00C0135E" w:rsidRPr="00BC7A12">
        <w:rPr>
          <w:rFonts w:cs="Calibri"/>
        </w:rPr>
        <w:t xml:space="preserve">. But </w:t>
      </w:r>
      <w:r w:rsidR="0097047A" w:rsidRPr="00BC7A12">
        <w:rPr>
          <w:rFonts w:cs="Calibri"/>
        </w:rPr>
        <w:t xml:space="preserve">they </w:t>
      </w:r>
      <w:r w:rsidR="00C56DE6" w:rsidRPr="00BC7A12">
        <w:rPr>
          <w:rFonts w:cs="Calibri"/>
        </w:rPr>
        <w:t xml:space="preserve">cannot be used for engineering </w:t>
      </w:r>
      <w:r w:rsidR="001C7838" w:rsidRPr="00BC7A12">
        <w:rPr>
          <w:rFonts w:cs="Calibri"/>
        </w:rPr>
        <w:t>or insurance</w:t>
      </w:r>
      <w:r w:rsidR="003A008E" w:rsidRPr="00BC7A12">
        <w:rPr>
          <w:rFonts w:cs="Calibri"/>
        </w:rPr>
        <w:t xml:space="preserve"> purposes</w:t>
      </w:r>
      <w:r w:rsidR="001C7838" w:rsidRPr="00BC7A12">
        <w:rPr>
          <w:rFonts w:cs="Calibri"/>
        </w:rPr>
        <w:t>.</w:t>
      </w:r>
      <w:r w:rsidR="00C56DE6" w:rsidRPr="00BC7A12">
        <w:rPr>
          <w:rFonts w:cs="Calibri"/>
        </w:rPr>
        <w:t xml:space="preserve"> </w:t>
      </w:r>
    </w:p>
    <w:p w14:paraId="757CB284" w14:textId="77777777" w:rsidR="0020684B" w:rsidRDefault="0020684B">
      <w:pPr>
        <w:spacing w:after="200" w:line="276" w:lineRule="auto"/>
        <w:jc w:val="left"/>
        <w:rPr>
          <w:rFonts w:cs="Calibri"/>
        </w:rPr>
      </w:pPr>
      <w:r>
        <w:rPr>
          <w:rFonts w:cs="Calibri"/>
        </w:rPr>
        <w:br w:type="page"/>
      </w:r>
    </w:p>
    <w:p w14:paraId="4744AEE5" w14:textId="77777777" w:rsidR="007001BA" w:rsidRPr="0020684B" w:rsidRDefault="007001BA" w:rsidP="0020684B">
      <w:pPr>
        <w:rPr>
          <w:rFonts w:cs="Calibri"/>
        </w:rPr>
      </w:pPr>
    </w:p>
    <w:p w14:paraId="2E0C75E4" w14:textId="30C74198" w:rsidR="008A3F38" w:rsidRPr="00BC7A12" w:rsidRDefault="008A3F38" w:rsidP="0020684B">
      <w:pPr>
        <w:pStyle w:val="Caption"/>
        <w:keepNext/>
        <w:ind w:left="720"/>
        <w:rPr>
          <w:rFonts w:cs="Calibri"/>
          <w:i w:val="0"/>
          <w:iCs w:val="0"/>
        </w:rPr>
      </w:pPr>
      <w:bookmarkStart w:id="56" w:name="_Ref43369502"/>
      <w:bookmarkStart w:id="57" w:name="_Toc46821743"/>
      <w:r w:rsidRPr="00BC7A12">
        <w:rPr>
          <w:rFonts w:cs="Calibri"/>
          <w:i w:val="0"/>
          <w:iCs w:val="0"/>
        </w:rPr>
        <w:t xml:space="preserve">Table </w:t>
      </w:r>
      <w:r w:rsidRPr="00BC7A12">
        <w:rPr>
          <w:rFonts w:cs="Calibri"/>
          <w:i w:val="0"/>
          <w:iCs w:val="0"/>
        </w:rPr>
        <w:fldChar w:fldCharType="begin"/>
      </w:r>
      <w:r w:rsidRPr="00BC7A12">
        <w:rPr>
          <w:rFonts w:cs="Calibri"/>
          <w:i w:val="0"/>
          <w:iCs w:val="0"/>
        </w:rPr>
        <w:instrText xml:space="preserve"> SEQ Table \* ARABIC </w:instrText>
      </w:r>
      <w:r w:rsidRPr="00BC7A12">
        <w:rPr>
          <w:rFonts w:cs="Calibri"/>
          <w:i w:val="0"/>
          <w:iCs w:val="0"/>
        </w:rPr>
        <w:fldChar w:fldCharType="separate"/>
      </w:r>
      <w:r w:rsidR="00657E34">
        <w:rPr>
          <w:rFonts w:cs="Calibri"/>
          <w:i w:val="0"/>
          <w:iCs w:val="0"/>
          <w:noProof/>
        </w:rPr>
        <w:t>4</w:t>
      </w:r>
      <w:r w:rsidRPr="00BC7A12">
        <w:rPr>
          <w:rFonts w:cs="Calibri"/>
          <w:i w:val="0"/>
          <w:iCs w:val="0"/>
        </w:rPr>
        <w:fldChar w:fldCharType="end"/>
      </w:r>
      <w:bookmarkEnd w:id="56"/>
      <w:r w:rsidRPr="00BC7A12">
        <w:rPr>
          <w:rFonts w:cs="Calibri"/>
          <w:i w:val="0"/>
          <w:iCs w:val="0"/>
        </w:rPr>
        <w:t xml:space="preserve"> Calculation of the coastal protection index based on characteristics of the coastline </w:t>
      </w:r>
      <w:r w:rsidRPr="00BC7A12">
        <w:rPr>
          <w:rFonts w:cs="Calibri"/>
          <w:i w:val="0"/>
          <w:iCs w:val="0"/>
        </w:rPr>
        <w:fldChar w:fldCharType="begin" w:fldLock="1"/>
      </w:r>
      <w:r w:rsidR="008C181A" w:rsidRPr="00BC7A12">
        <w:rPr>
          <w:rFonts w:cs="Calibri"/>
          <w:i w:val="0"/>
          <w:iCs w:val="0"/>
        </w:rPr>
        <w:instrText>ADDIN CSL_CITATION {"citationItems":[{"id":"ITEM-1","itemData":{"DOI":"10.1007/978-3-319-01669-6_671-1","author":[{"dropping-particle":"","family":"Pascal","given":"N;","non-dropping-particle":"","parse-names":false,"suffix":""},{"dropping-particle":"","family":"Molisa","given":"Vatumaraga","non-dropping-particle":"","parse-names":false,"suffix":""},{"dropping-particle":"","family":"Fernandes, L; Brander, L; Wendt, H; Seidl, A; Arena, M; Wini, L; Salcone, J; Leport","given":"G;","non-dropping-particle":"","parse-names":false,"suffix":""}],"container-title":"National marine ecosystem service valuation: Solomon Islands.","id":"ITEM-1","issued":{"date-parts":[["2015"]]},"page":"86","title":"National marine ecosystem service valuation","type":"article-journal"},"uris":["http://www.mendeley.com/documents/?uuid=27ceb08f-5079-4ba0-bc27-2a141989bef8"]}],"mendeley":{"formattedCitation":"(Pascal et al. 2015)","plainTextFormattedCitation":"(Pascal et al. 2015)","previouslyFormattedCitation":"(Pascal et al. 2015)"},"properties":{"noteIndex":0},"schema":"https://github.com/citation-style-language/schema/raw/master/csl-citation.json"}</w:instrText>
      </w:r>
      <w:r w:rsidRPr="00BC7A12">
        <w:rPr>
          <w:rFonts w:cs="Calibri"/>
          <w:i w:val="0"/>
          <w:iCs w:val="0"/>
        </w:rPr>
        <w:fldChar w:fldCharType="separate"/>
      </w:r>
      <w:r w:rsidR="00D95A39" w:rsidRPr="00BC7A12">
        <w:rPr>
          <w:rFonts w:cs="Calibri"/>
          <w:i w:val="0"/>
          <w:iCs w:val="0"/>
          <w:noProof/>
        </w:rPr>
        <w:t>(Pascal et al. 2015)</w:t>
      </w:r>
      <w:bookmarkEnd w:id="57"/>
      <w:r w:rsidRPr="00BC7A12">
        <w:rPr>
          <w:rFonts w:cs="Calibri"/>
          <w:i w:val="0"/>
          <w:iCs w:val="0"/>
        </w:rPr>
        <w:fldChar w:fldCharType="end"/>
      </w:r>
    </w:p>
    <w:tbl>
      <w:tblPr>
        <w:tblStyle w:val="GridTable4"/>
        <w:tblW w:w="0" w:type="auto"/>
        <w:tblInd w:w="-5" w:type="dxa"/>
        <w:tblLook w:val="04A0" w:firstRow="1" w:lastRow="0" w:firstColumn="1" w:lastColumn="0" w:noHBand="0" w:noVBand="1"/>
      </w:tblPr>
      <w:tblGrid>
        <w:gridCol w:w="1528"/>
        <w:gridCol w:w="1614"/>
        <w:gridCol w:w="1488"/>
        <w:gridCol w:w="1570"/>
        <w:gridCol w:w="1750"/>
        <w:gridCol w:w="1071"/>
      </w:tblGrid>
      <w:tr w:rsidR="00F86A3B" w:rsidRPr="00BC7A12" w14:paraId="09B25A8C" w14:textId="77777777" w:rsidTr="000A1DCE">
        <w:trPr>
          <w:cnfStyle w:val="100000000000" w:firstRow="1" w:lastRow="0" w:firstColumn="0" w:lastColumn="0" w:oddVBand="0" w:evenVBand="0" w:oddHBand="0" w:evenHBand="0" w:firstRowFirstColumn="0" w:firstRowLastColumn="0" w:lastRowFirstColumn="0" w:lastRowLastColumn="0"/>
          <w:trHeight w:val="206"/>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4468FDD" w14:textId="252E1342" w:rsidR="00F86A3B" w:rsidRPr="0020684B" w:rsidRDefault="00F86A3B" w:rsidP="00C32075">
            <w:pPr>
              <w:pStyle w:val="ListParagraph"/>
              <w:spacing w:after="0" w:line="240" w:lineRule="auto"/>
              <w:ind w:left="0" w:firstLine="0"/>
              <w:jc w:val="center"/>
              <w:rPr>
                <w:rFonts w:asciiTheme="majorHAnsi" w:hAnsiTheme="majorHAnsi" w:cstheme="majorHAnsi"/>
                <w:sz w:val="20"/>
                <w:szCs w:val="20"/>
              </w:rPr>
            </w:pPr>
            <w:r w:rsidRPr="0020684B">
              <w:rPr>
                <w:rFonts w:asciiTheme="majorHAnsi" w:hAnsiTheme="majorHAnsi" w:cstheme="majorHAnsi"/>
                <w:sz w:val="20"/>
                <w:szCs w:val="20"/>
              </w:rPr>
              <w:t>Factor</w:t>
            </w:r>
          </w:p>
        </w:tc>
        <w:tc>
          <w:tcPr>
            <w:tcW w:w="0" w:type="auto"/>
            <w:gridSpan w:val="5"/>
          </w:tcPr>
          <w:p w14:paraId="551E626A" w14:textId="555BCCD0"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b w:val="0"/>
                <w:bCs w:val="0"/>
                <w:sz w:val="20"/>
                <w:szCs w:val="20"/>
              </w:rPr>
              <w:t>Score</w:t>
            </w:r>
          </w:p>
        </w:tc>
      </w:tr>
      <w:tr w:rsidR="00C32075" w:rsidRPr="00BC7A12" w14:paraId="07248D7B" w14:textId="77777777" w:rsidTr="000A1D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Pr>
          <w:p w14:paraId="1A485EC4" w14:textId="77777777" w:rsidR="00F86A3B" w:rsidRPr="0020684B" w:rsidRDefault="00F86A3B" w:rsidP="00C32075">
            <w:pPr>
              <w:pStyle w:val="ListParagraph"/>
              <w:spacing w:after="0" w:line="240" w:lineRule="auto"/>
              <w:ind w:left="0" w:firstLine="0"/>
              <w:jc w:val="left"/>
              <w:rPr>
                <w:rFonts w:asciiTheme="majorHAnsi" w:hAnsiTheme="majorHAnsi" w:cstheme="majorHAnsi"/>
                <w:sz w:val="20"/>
                <w:szCs w:val="20"/>
              </w:rPr>
            </w:pPr>
          </w:p>
        </w:tc>
        <w:tc>
          <w:tcPr>
            <w:tcW w:w="0" w:type="auto"/>
          </w:tcPr>
          <w:p w14:paraId="656837A1" w14:textId="0C77F004"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b w:val="0"/>
                <w:bCs w:val="0"/>
                <w:sz w:val="20"/>
                <w:szCs w:val="20"/>
              </w:rPr>
              <w:t>Very strong</w:t>
            </w:r>
          </w:p>
        </w:tc>
        <w:tc>
          <w:tcPr>
            <w:tcW w:w="0" w:type="auto"/>
          </w:tcPr>
          <w:p w14:paraId="6A2AFEB1" w14:textId="329772B3"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b w:val="0"/>
                <w:bCs w:val="0"/>
                <w:sz w:val="20"/>
                <w:szCs w:val="20"/>
              </w:rPr>
              <w:t>Strong</w:t>
            </w:r>
          </w:p>
        </w:tc>
        <w:tc>
          <w:tcPr>
            <w:tcW w:w="0" w:type="auto"/>
          </w:tcPr>
          <w:p w14:paraId="0E79B906" w14:textId="29F96C5A"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b w:val="0"/>
                <w:bCs w:val="0"/>
                <w:sz w:val="20"/>
                <w:szCs w:val="20"/>
              </w:rPr>
              <w:t>Medium</w:t>
            </w:r>
          </w:p>
        </w:tc>
        <w:tc>
          <w:tcPr>
            <w:tcW w:w="0" w:type="auto"/>
          </w:tcPr>
          <w:p w14:paraId="6EBBE428" w14:textId="3ECE8F43"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b w:val="0"/>
                <w:bCs w:val="0"/>
                <w:sz w:val="20"/>
                <w:szCs w:val="20"/>
              </w:rPr>
              <w:t>Low</w:t>
            </w:r>
          </w:p>
        </w:tc>
        <w:tc>
          <w:tcPr>
            <w:tcW w:w="0" w:type="auto"/>
          </w:tcPr>
          <w:p w14:paraId="392CCF96" w14:textId="56FC1907"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b w:val="0"/>
                <w:bCs w:val="0"/>
                <w:sz w:val="20"/>
                <w:szCs w:val="20"/>
              </w:rPr>
              <w:t>Null</w:t>
            </w:r>
          </w:p>
        </w:tc>
      </w:tr>
      <w:tr w:rsidR="00C32075" w:rsidRPr="00BC7A12" w14:paraId="0B6BB2D0" w14:textId="77777777" w:rsidTr="000A1D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Pr>
          <w:p w14:paraId="041CBC5D" w14:textId="77777777" w:rsidR="00F86A3B" w:rsidRPr="0020684B" w:rsidRDefault="00F86A3B" w:rsidP="00C32075">
            <w:pPr>
              <w:pStyle w:val="ListParagraph"/>
              <w:spacing w:after="0" w:line="240" w:lineRule="auto"/>
              <w:ind w:left="0" w:firstLine="0"/>
              <w:jc w:val="left"/>
              <w:rPr>
                <w:rFonts w:asciiTheme="majorHAnsi" w:hAnsiTheme="majorHAnsi" w:cstheme="majorHAnsi"/>
                <w:sz w:val="20"/>
                <w:szCs w:val="20"/>
              </w:rPr>
            </w:pPr>
          </w:p>
        </w:tc>
        <w:tc>
          <w:tcPr>
            <w:tcW w:w="0" w:type="auto"/>
          </w:tcPr>
          <w:p w14:paraId="5D72EDD6" w14:textId="1C3CB300"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5</w:t>
            </w:r>
          </w:p>
        </w:tc>
        <w:tc>
          <w:tcPr>
            <w:tcW w:w="0" w:type="auto"/>
          </w:tcPr>
          <w:p w14:paraId="1D1B1179" w14:textId="5FABC590"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4</w:t>
            </w:r>
          </w:p>
        </w:tc>
        <w:tc>
          <w:tcPr>
            <w:tcW w:w="0" w:type="auto"/>
          </w:tcPr>
          <w:p w14:paraId="327A038F" w14:textId="5BC718DA"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3</w:t>
            </w:r>
          </w:p>
        </w:tc>
        <w:tc>
          <w:tcPr>
            <w:tcW w:w="0" w:type="auto"/>
          </w:tcPr>
          <w:p w14:paraId="0DE74C0F" w14:textId="2053EBBE"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2</w:t>
            </w:r>
          </w:p>
        </w:tc>
        <w:tc>
          <w:tcPr>
            <w:tcW w:w="0" w:type="auto"/>
          </w:tcPr>
          <w:p w14:paraId="7D5D9D62" w14:textId="30E38DFE" w:rsidR="00F86A3B" w:rsidRPr="0020684B" w:rsidRDefault="00F86A3B" w:rsidP="00C32075">
            <w:pPr>
              <w:pStyle w:val="ListParagraph"/>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1</w:t>
            </w:r>
          </w:p>
        </w:tc>
      </w:tr>
      <w:tr w:rsidR="00EF6FCA" w:rsidRPr="00BC7A12" w14:paraId="72FC9E9C" w14:textId="77777777" w:rsidTr="000A1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B792EE" w14:textId="2C01DE96" w:rsidR="00F86A3B" w:rsidRPr="0020684B" w:rsidRDefault="00F86A3B" w:rsidP="0020684B">
            <w:pPr>
              <w:pStyle w:val="ListParagraph"/>
              <w:spacing w:after="0" w:line="240" w:lineRule="auto"/>
              <w:ind w:left="-1810" w:firstLine="0"/>
              <w:jc w:val="left"/>
              <w:rPr>
                <w:rFonts w:asciiTheme="majorHAnsi" w:hAnsiTheme="majorHAnsi" w:cstheme="majorHAnsi"/>
                <w:sz w:val="20"/>
                <w:szCs w:val="20"/>
              </w:rPr>
            </w:pPr>
            <w:r w:rsidRPr="0020684B">
              <w:rPr>
                <w:rFonts w:asciiTheme="majorHAnsi" w:hAnsiTheme="majorHAnsi" w:cstheme="majorHAnsi"/>
                <w:sz w:val="20"/>
                <w:szCs w:val="20"/>
              </w:rPr>
              <w:t>Geomorphology</w:t>
            </w:r>
          </w:p>
        </w:tc>
        <w:tc>
          <w:tcPr>
            <w:tcW w:w="0" w:type="auto"/>
            <w:vAlign w:val="center"/>
          </w:tcPr>
          <w:p w14:paraId="468C853C" w14:textId="270973CC" w:rsidR="00F86A3B" w:rsidRPr="0020684B" w:rsidRDefault="00F86A3B" w:rsidP="00C32075">
            <w:pPr>
              <w:pStyle w:val="ListParagraph"/>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Rocky shore</w:t>
            </w:r>
          </w:p>
        </w:tc>
        <w:tc>
          <w:tcPr>
            <w:tcW w:w="0" w:type="auto"/>
            <w:vAlign w:val="center"/>
          </w:tcPr>
          <w:p w14:paraId="64E95A8A"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Mix of rocks/</w:t>
            </w:r>
          </w:p>
          <w:p w14:paraId="67434642"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sediments/</w:t>
            </w:r>
          </w:p>
          <w:p w14:paraId="17E0214C" w14:textId="1AEB41EC" w:rsidR="00F86A3B" w:rsidRPr="0020684B" w:rsidRDefault="00F86A3B" w:rsidP="00C32075">
            <w:pPr>
              <w:pStyle w:val="ListParagraph"/>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mangroves</w:t>
            </w:r>
          </w:p>
        </w:tc>
        <w:tc>
          <w:tcPr>
            <w:tcW w:w="0" w:type="auto"/>
            <w:vAlign w:val="center"/>
          </w:tcPr>
          <w:p w14:paraId="0C6A1390" w14:textId="56EC5941" w:rsidR="00F86A3B" w:rsidRPr="0020684B" w:rsidRDefault="00F86A3B" w:rsidP="00C32075">
            <w:pPr>
              <w:pStyle w:val="ListParagraph"/>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Mangroves</w:t>
            </w:r>
          </w:p>
        </w:tc>
        <w:tc>
          <w:tcPr>
            <w:tcW w:w="0" w:type="auto"/>
            <w:vAlign w:val="center"/>
          </w:tcPr>
          <w:p w14:paraId="5C7D4291" w14:textId="6D405097" w:rsidR="00F86A3B" w:rsidRPr="0020684B" w:rsidRDefault="00F86A3B" w:rsidP="00C32075">
            <w:pPr>
              <w:pStyle w:val="ListParagraph"/>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Sediments</w:t>
            </w:r>
          </w:p>
        </w:tc>
        <w:tc>
          <w:tcPr>
            <w:tcW w:w="0" w:type="auto"/>
            <w:vAlign w:val="center"/>
          </w:tcPr>
          <w:p w14:paraId="4C6FAAEA" w14:textId="3D823704" w:rsidR="00F86A3B" w:rsidRPr="0020684B" w:rsidRDefault="00F86A3B" w:rsidP="00C32075">
            <w:pPr>
              <w:pStyle w:val="ListParagraph"/>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Beaches</w:t>
            </w:r>
          </w:p>
        </w:tc>
      </w:tr>
      <w:tr w:rsidR="00C32075" w:rsidRPr="00BC7A12" w14:paraId="0837E614" w14:textId="77777777" w:rsidTr="000A1DCE">
        <w:tc>
          <w:tcPr>
            <w:cnfStyle w:val="001000000000" w:firstRow="0" w:lastRow="0" w:firstColumn="1" w:lastColumn="0" w:oddVBand="0" w:evenVBand="0" w:oddHBand="0" w:evenHBand="0" w:firstRowFirstColumn="0" w:firstRowLastColumn="0" w:lastRowFirstColumn="0" w:lastRowLastColumn="0"/>
            <w:tcW w:w="0" w:type="auto"/>
            <w:vAlign w:val="center"/>
          </w:tcPr>
          <w:p w14:paraId="20544EF3" w14:textId="344B4806" w:rsidR="00F86A3B" w:rsidRPr="0020684B" w:rsidRDefault="00F86A3B" w:rsidP="00C32075">
            <w:pPr>
              <w:pStyle w:val="ListParagraph"/>
              <w:spacing w:after="0" w:line="240" w:lineRule="auto"/>
              <w:ind w:left="0" w:firstLine="0"/>
              <w:jc w:val="left"/>
              <w:rPr>
                <w:rFonts w:asciiTheme="majorHAnsi" w:hAnsiTheme="majorHAnsi" w:cstheme="majorHAnsi"/>
                <w:sz w:val="20"/>
                <w:szCs w:val="20"/>
              </w:rPr>
            </w:pPr>
            <w:r w:rsidRPr="0020684B">
              <w:rPr>
                <w:rFonts w:asciiTheme="majorHAnsi" w:hAnsiTheme="majorHAnsi" w:cstheme="majorHAnsi"/>
                <w:sz w:val="20"/>
                <w:szCs w:val="20"/>
              </w:rPr>
              <w:t>Coastal exposure</w:t>
            </w:r>
          </w:p>
        </w:tc>
        <w:tc>
          <w:tcPr>
            <w:tcW w:w="0" w:type="auto"/>
            <w:vAlign w:val="center"/>
          </w:tcPr>
          <w:p w14:paraId="5D657AA5" w14:textId="27803CB7"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Protected bay</w:t>
            </w:r>
          </w:p>
        </w:tc>
        <w:tc>
          <w:tcPr>
            <w:tcW w:w="0" w:type="auto"/>
            <w:vAlign w:val="center"/>
          </w:tcPr>
          <w:p w14:paraId="191EF8E4" w14:textId="0A8571A3"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Semi-protected bays</w:t>
            </w:r>
          </w:p>
        </w:tc>
        <w:tc>
          <w:tcPr>
            <w:tcW w:w="0" w:type="auto"/>
            <w:vAlign w:val="center"/>
          </w:tcPr>
          <w:p w14:paraId="543EFA59" w14:textId="775FEE94"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Artificial reefs</w:t>
            </w:r>
          </w:p>
        </w:tc>
        <w:tc>
          <w:tcPr>
            <w:tcW w:w="0" w:type="auto"/>
            <w:vAlign w:val="center"/>
          </w:tcPr>
          <w:p w14:paraId="3201B688"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Low protected bay or</w:t>
            </w:r>
          </w:p>
          <w:p w14:paraId="0F171907" w14:textId="06C455CD"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coast</w:t>
            </w:r>
          </w:p>
        </w:tc>
        <w:tc>
          <w:tcPr>
            <w:tcW w:w="0" w:type="auto"/>
            <w:vAlign w:val="center"/>
          </w:tcPr>
          <w:p w14:paraId="781ED2A1"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No</w:t>
            </w:r>
          </w:p>
          <w:p w14:paraId="0427DC37" w14:textId="5183684B"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protection</w:t>
            </w:r>
          </w:p>
        </w:tc>
      </w:tr>
      <w:tr w:rsidR="00EF6FCA" w:rsidRPr="00BC7A12" w14:paraId="73672128" w14:textId="77777777" w:rsidTr="000A1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24A16E" w14:textId="77777777" w:rsidR="00F86A3B" w:rsidRPr="0020684B" w:rsidRDefault="00F86A3B" w:rsidP="00C32075">
            <w:pPr>
              <w:autoSpaceDE w:val="0"/>
              <w:autoSpaceDN w:val="0"/>
              <w:adjustRightInd w:val="0"/>
              <w:spacing w:after="0" w:line="240" w:lineRule="auto"/>
              <w:jc w:val="left"/>
              <w:rPr>
                <w:rFonts w:asciiTheme="majorHAnsi" w:hAnsiTheme="majorHAnsi" w:cstheme="majorHAnsi"/>
                <w:sz w:val="20"/>
                <w:szCs w:val="20"/>
              </w:rPr>
            </w:pPr>
            <w:r w:rsidRPr="0020684B">
              <w:rPr>
                <w:rFonts w:asciiTheme="majorHAnsi" w:hAnsiTheme="majorHAnsi" w:cstheme="majorHAnsi"/>
                <w:sz w:val="20"/>
                <w:szCs w:val="20"/>
              </w:rPr>
              <w:t>Reef morphology,</w:t>
            </w:r>
          </w:p>
          <w:p w14:paraId="6151D81E" w14:textId="77777777" w:rsidR="00F86A3B" w:rsidRPr="0020684B" w:rsidRDefault="00F86A3B" w:rsidP="00C32075">
            <w:pPr>
              <w:autoSpaceDE w:val="0"/>
              <w:autoSpaceDN w:val="0"/>
              <w:adjustRightInd w:val="0"/>
              <w:spacing w:after="0" w:line="240" w:lineRule="auto"/>
              <w:jc w:val="left"/>
              <w:rPr>
                <w:rFonts w:asciiTheme="majorHAnsi" w:hAnsiTheme="majorHAnsi" w:cstheme="majorHAnsi"/>
                <w:sz w:val="20"/>
                <w:szCs w:val="20"/>
              </w:rPr>
            </w:pPr>
            <w:r w:rsidRPr="0020684B">
              <w:rPr>
                <w:rFonts w:asciiTheme="majorHAnsi" w:hAnsiTheme="majorHAnsi" w:cstheme="majorHAnsi"/>
                <w:sz w:val="20"/>
                <w:szCs w:val="20"/>
              </w:rPr>
              <w:t>area and distance</w:t>
            </w:r>
          </w:p>
          <w:p w14:paraId="1BDCEAF7" w14:textId="77777777" w:rsidR="00F86A3B" w:rsidRPr="0020684B" w:rsidRDefault="00F86A3B" w:rsidP="00C32075">
            <w:pPr>
              <w:autoSpaceDE w:val="0"/>
              <w:autoSpaceDN w:val="0"/>
              <w:adjustRightInd w:val="0"/>
              <w:spacing w:after="0" w:line="240" w:lineRule="auto"/>
              <w:jc w:val="left"/>
              <w:rPr>
                <w:rFonts w:asciiTheme="majorHAnsi" w:hAnsiTheme="majorHAnsi" w:cstheme="majorHAnsi"/>
                <w:sz w:val="20"/>
                <w:szCs w:val="20"/>
              </w:rPr>
            </w:pPr>
            <w:r w:rsidRPr="0020684B">
              <w:rPr>
                <w:rFonts w:asciiTheme="majorHAnsi" w:hAnsiTheme="majorHAnsi" w:cstheme="majorHAnsi"/>
                <w:sz w:val="20"/>
                <w:szCs w:val="20"/>
              </w:rPr>
              <w:t>to coastal physical</w:t>
            </w:r>
          </w:p>
          <w:p w14:paraId="6382344D" w14:textId="052EC712" w:rsidR="00F86A3B" w:rsidRPr="0020684B" w:rsidRDefault="00F86A3B" w:rsidP="00C32075">
            <w:pPr>
              <w:pStyle w:val="ListParagraph"/>
              <w:spacing w:after="0" w:line="240" w:lineRule="auto"/>
              <w:ind w:left="0" w:firstLine="0"/>
              <w:jc w:val="left"/>
              <w:rPr>
                <w:rFonts w:asciiTheme="majorHAnsi" w:hAnsiTheme="majorHAnsi" w:cstheme="majorHAnsi"/>
                <w:sz w:val="20"/>
                <w:szCs w:val="20"/>
              </w:rPr>
            </w:pPr>
            <w:r w:rsidRPr="0020684B">
              <w:rPr>
                <w:rFonts w:asciiTheme="majorHAnsi" w:hAnsiTheme="majorHAnsi" w:cstheme="majorHAnsi"/>
                <w:sz w:val="20"/>
                <w:szCs w:val="20"/>
              </w:rPr>
              <w:t>structure</w:t>
            </w:r>
          </w:p>
        </w:tc>
        <w:tc>
          <w:tcPr>
            <w:tcW w:w="0" w:type="auto"/>
            <w:vAlign w:val="center"/>
          </w:tcPr>
          <w:p w14:paraId="11046B25"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Continuous barrier</w:t>
            </w:r>
          </w:p>
          <w:p w14:paraId="718F3332"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(&gt; 80%) close to the</w:t>
            </w:r>
          </w:p>
          <w:p w14:paraId="151D602B" w14:textId="1DABED51"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coast (&lt; 1 km)</w:t>
            </w:r>
          </w:p>
        </w:tc>
        <w:tc>
          <w:tcPr>
            <w:tcW w:w="0" w:type="auto"/>
            <w:vAlign w:val="center"/>
          </w:tcPr>
          <w:p w14:paraId="439982BC"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Continuous barrier</w:t>
            </w:r>
          </w:p>
          <w:p w14:paraId="73392C0D"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(&gt; 50%), patch reef,</w:t>
            </w:r>
          </w:p>
          <w:p w14:paraId="22FEFE35" w14:textId="735BF30B"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close to the reef</w:t>
            </w:r>
          </w:p>
        </w:tc>
        <w:tc>
          <w:tcPr>
            <w:tcW w:w="0" w:type="auto"/>
            <w:vAlign w:val="center"/>
          </w:tcPr>
          <w:p w14:paraId="5D8A9135"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Fringing reef (width &gt;</w:t>
            </w:r>
          </w:p>
          <w:p w14:paraId="2B6AEDA7" w14:textId="27F19312"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100 m)</w:t>
            </w:r>
          </w:p>
        </w:tc>
        <w:tc>
          <w:tcPr>
            <w:tcW w:w="0" w:type="auto"/>
            <w:vAlign w:val="center"/>
          </w:tcPr>
          <w:p w14:paraId="227E4370"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Coral formation</w:t>
            </w:r>
          </w:p>
          <w:p w14:paraId="402BF490" w14:textId="60EDE163"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discontinuous</w:t>
            </w:r>
          </w:p>
        </w:tc>
        <w:tc>
          <w:tcPr>
            <w:tcW w:w="0" w:type="auto"/>
            <w:vAlign w:val="center"/>
          </w:tcPr>
          <w:p w14:paraId="71520A6E" w14:textId="6ECC1625"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No reef</w:t>
            </w:r>
          </w:p>
        </w:tc>
      </w:tr>
      <w:tr w:rsidR="00C32075" w:rsidRPr="00BC7A12" w14:paraId="5EE90EBA" w14:textId="77777777" w:rsidTr="000A1DCE">
        <w:tc>
          <w:tcPr>
            <w:cnfStyle w:val="001000000000" w:firstRow="0" w:lastRow="0" w:firstColumn="1" w:lastColumn="0" w:oddVBand="0" w:evenVBand="0" w:oddHBand="0" w:evenHBand="0" w:firstRowFirstColumn="0" w:firstRowLastColumn="0" w:lastRowFirstColumn="0" w:lastRowLastColumn="0"/>
            <w:tcW w:w="0" w:type="auto"/>
            <w:vAlign w:val="center"/>
          </w:tcPr>
          <w:p w14:paraId="38736C58" w14:textId="77777777" w:rsidR="00F86A3B" w:rsidRPr="0020684B" w:rsidRDefault="00F86A3B" w:rsidP="00EB1EB8">
            <w:pPr>
              <w:autoSpaceDE w:val="0"/>
              <w:autoSpaceDN w:val="0"/>
              <w:adjustRightInd w:val="0"/>
              <w:spacing w:after="0" w:line="240" w:lineRule="auto"/>
              <w:rPr>
                <w:rFonts w:asciiTheme="majorHAnsi" w:hAnsiTheme="majorHAnsi" w:cstheme="majorHAnsi"/>
                <w:sz w:val="20"/>
                <w:szCs w:val="20"/>
              </w:rPr>
            </w:pPr>
            <w:r w:rsidRPr="0020684B">
              <w:rPr>
                <w:rFonts w:asciiTheme="majorHAnsi" w:hAnsiTheme="majorHAnsi" w:cstheme="majorHAnsi"/>
                <w:sz w:val="20"/>
                <w:szCs w:val="20"/>
              </w:rPr>
              <w:t>Inner slope, crest</w:t>
            </w:r>
          </w:p>
          <w:p w14:paraId="566FFDD5" w14:textId="3F102CEF" w:rsidR="00F86A3B" w:rsidRPr="0020684B" w:rsidRDefault="00F86A3B" w:rsidP="00EB1EB8">
            <w:pPr>
              <w:spacing w:after="0" w:line="240" w:lineRule="auto"/>
              <w:rPr>
                <w:rFonts w:asciiTheme="majorHAnsi" w:hAnsiTheme="majorHAnsi" w:cstheme="majorHAnsi"/>
                <w:sz w:val="20"/>
                <w:szCs w:val="20"/>
              </w:rPr>
            </w:pPr>
            <w:r w:rsidRPr="0020684B">
              <w:rPr>
                <w:rFonts w:asciiTheme="majorHAnsi" w:hAnsiTheme="majorHAnsi" w:cstheme="majorHAnsi"/>
                <w:sz w:val="20"/>
                <w:szCs w:val="20"/>
              </w:rPr>
              <w:t>width</w:t>
            </w:r>
          </w:p>
        </w:tc>
        <w:tc>
          <w:tcPr>
            <w:tcW w:w="0" w:type="auto"/>
            <w:vAlign w:val="center"/>
          </w:tcPr>
          <w:p w14:paraId="1C1185F1"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Very favourable</w:t>
            </w:r>
          </w:p>
          <w:p w14:paraId="674C40D2"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conditions (gentle</w:t>
            </w:r>
          </w:p>
          <w:p w14:paraId="2169A96D" w14:textId="735FA30F"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slope, large crest width)</w:t>
            </w:r>
          </w:p>
        </w:tc>
        <w:tc>
          <w:tcPr>
            <w:tcW w:w="0" w:type="auto"/>
            <w:vAlign w:val="center"/>
          </w:tcPr>
          <w:p w14:paraId="7812FC85"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Favourable</w:t>
            </w:r>
          </w:p>
          <w:p w14:paraId="0B6E8011"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conditions (slope,</w:t>
            </w:r>
          </w:p>
          <w:p w14:paraId="6D95744A" w14:textId="2933C87F"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large crest width)</w:t>
            </w:r>
          </w:p>
        </w:tc>
        <w:tc>
          <w:tcPr>
            <w:tcW w:w="0" w:type="auto"/>
            <w:vAlign w:val="center"/>
          </w:tcPr>
          <w:p w14:paraId="7B78D58F"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Favourable conditions</w:t>
            </w:r>
          </w:p>
          <w:p w14:paraId="65A5C46F"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(at least one condition:</w:t>
            </w:r>
          </w:p>
          <w:p w14:paraId="199B35D8" w14:textId="236DCF56"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slope, crest width)</w:t>
            </w:r>
          </w:p>
        </w:tc>
        <w:tc>
          <w:tcPr>
            <w:tcW w:w="0" w:type="auto"/>
            <w:vAlign w:val="center"/>
          </w:tcPr>
          <w:p w14:paraId="40359CC0"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Reduced favourable</w:t>
            </w:r>
          </w:p>
          <w:p w14:paraId="63CB569A" w14:textId="77777777" w:rsidR="00F86A3B" w:rsidRPr="0020684B" w:rsidRDefault="00F86A3B" w:rsidP="00C3207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conditions (strong slope,</w:t>
            </w:r>
          </w:p>
          <w:p w14:paraId="726D55CA" w14:textId="0AC63E85"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reduced crest width)</w:t>
            </w:r>
          </w:p>
        </w:tc>
        <w:tc>
          <w:tcPr>
            <w:tcW w:w="0" w:type="auto"/>
            <w:vAlign w:val="center"/>
          </w:tcPr>
          <w:p w14:paraId="67811AAB" w14:textId="56711EEA" w:rsidR="00F86A3B" w:rsidRPr="0020684B" w:rsidRDefault="00F86A3B" w:rsidP="00C32075">
            <w:pPr>
              <w:pStyle w:val="ListParagraph"/>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None</w:t>
            </w:r>
          </w:p>
        </w:tc>
      </w:tr>
      <w:tr w:rsidR="00EF6FCA" w:rsidRPr="00BC7A12" w14:paraId="7145DEE7" w14:textId="77777777" w:rsidTr="000A1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E6D209" w14:textId="0C9D9234" w:rsidR="00F86A3B" w:rsidRPr="0020684B" w:rsidRDefault="00F86A3B" w:rsidP="00C32075">
            <w:pPr>
              <w:pStyle w:val="ListParagraph"/>
              <w:spacing w:after="0" w:line="240" w:lineRule="auto"/>
              <w:ind w:left="0" w:firstLine="0"/>
              <w:jc w:val="left"/>
              <w:rPr>
                <w:rFonts w:asciiTheme="majorHAnsi" w:hAnsiTheme="majorHAnsi" w:cstheme="majorHAnsi"/>
                <w:sz w:val="20"/>
                <w:szCs w:val="20"/>
              </w:rPr>
            </w:pPr>
            <w:r w:rsidRPr="0020684B">
              <w:rPr>
                <w:rFonts w:asciiTheme="majorHAnsi" w:hAnsiTheme="majorHAnsi" w:cstheme="majorHAnsi"/>
                <w:sz w:val="20"/>
                <w:szCs w:val="20"/>
              </w:rPr>
              <w:t>Platform slope</w:t>
            </w:r>
          </w:p>
        </w:tc>
        <w:tc>
          <w:tcPr>
            <w:tcW w:w="0" w:type="auto"/>
            <w:vAlign w:val="center"/>
          </w:tcPr>
          <w:p w14:paraId="0B145C4B" w14:textId="66411635" w:rsidR="00F86A3B" w:rsidRPr="0020684B" w:rsidRDefault="00F86A3B" w:rsidP="00C32075">
            <w:pPr>
              <w:pStyle w:val="ListParagraph"/>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6–10%</w:t>
            </w:r>
          </w:p>
        </w:tc>
        <w:tc>
          <w:tcPr>
            <w:tcW w:w="0" w:type="auto"/>
            <w:vAlign w:val="center"/>
          </w:tcPr>
          <w:p w14:paraId="2725657E" w14:textId="1F7858F6" w:rsidR="00F86A3B" w:rsidRPr="0020684B" w:rsidRDefault="00F86A3B" w:rsidP="00C32075">
            <w:pPr>
              <w:pStyle w:val="ListParagraph"/>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2.5–6%</w:t>
            </w:r>
          </w:p>
        </w:tc>
        <w:tc>
          <w:tcPr>
            <w:tcW w:w="0" w:type="auto"/>
            <w:vAlign w:val="center"/>
          </w:tcPr>
          <w:p w14:paraId="60B347BF" w14:textId="46F03814" w:rsidR="00F86A3B" w:rsidRPr="0020684B" w:rsidRDefault="00F86A3B" w:rsidP="00C32075">
            <w:pPr>
              <w:pStyle w:val="ListParagraph"/>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1.1–2.5%</w:t>
            </w:r>
          </w:p>
        </w:tc>
        <w:tc>
          <w:tcPr>
            <w:tcW w:w="0" w:type="auto"/>
            <w:vAlign w:val="center"/>
          </w:tcPr>
          <w:p w14:paraId="58D45456" w14:textId="1A35D2D3" w:rsidR="00F86A3B" w:rsidRPr="0020684B" w:rsidRDefault="00F86A3B" w:rsidP="00C32075">
            <w:pPr>
              <w:pStyle w:val="ListParagraph"/>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0.4–1.1%</w:t>
            </w:r>
          </w:p>
        </w:tc>
        <w:tc>
          <w:tcPr>
            <w:tcW w:w="0" w:type="auto"/>
            <w:vAlign w:val="center"/>
          </w:tcPr>
          <w:p w14:paraId="64B43AEF" w14:textId="5A533C14" w:rsidR="00F86A3B" w:rsidRPr="0020684B" w:rsidRDefault="00F86A3B" w:rsidP="00C32075">
            <w:pPr>
              <w:pStyle w:val="ListParagraph"/>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&lt; 0.4%</w:t>
            </w:r>
          </w:p>
        </w:tc>
      </w:tr>
      <w:tr w:rsidR="00C32075" w:rsidRPr="00BC7A12" w14:paraId="0043121F" w14:textId="77777777" w:rsidTr="000A1DCE">
        <w:tc>
          <w:tcPr>
            <w:cnfStyle w:val="001000000000" w:firstRow="0" w:lastRow="0" w:firstColumn="1" w:lastColumn="0" w:oddVBand="0" w:evenVBand="0" w:oddHBand="0" w:evenHBand="0" w:firstRowFirstColumn="0" w:firstRowLastColumn="0" w:lastRowFirstColumn="0" w:lastRowLastColumn="0"/>
            <w:tcW w:w="0" w:type="auto"/>
            <w:vAlign w:val="center"/>
          </w:tcPr>
          <w:p w14:paraId="18BFE57B" w14:textId="77777777" w:rsidR="000A1DCE" w:rsidRDefault="00F86A3B" w:rsidP="00C32075">
            <w:pPr>
              <w:autoSpaceDE w:val="0"/>
              <w:autoSpaceDN w:val="0"/>
              <w:adjustRightInd w:val="0"/>
              <w:spacing w:after="0" w:line="240" w:lineRule="auto"/>
              <w:jc w:val="left"/>
              <w:rPr>
                <w:rFonts w:asciiTheme="majorHAnsi" w:hAnsiTheme="majorHAnsi" w:cstheme="majorHAnsi"/>
                <w:b w:val="0"/>
                <w:bCs w:val="0"/>
                <w:sz w:val="20"/>
                <w:szCs w:val="20"/>
              </w:rPr>
            </w:pPr>
            <w:r w:rsidRPr="0020684B">
              <w:rPr>
                <w:rFonts w:asciiTheme="majorHAnsi" w:hAnsiTheme="majorHAnsi" w:cstheme="majorHAnsi"/>
                <w:sz w:val="20"/>
                <w:szCs w:val="20"/>
              </w:rPr>
              <w:t xml:space="preserve">Mean depth </w:t>
            </w:r>
          </w:p>
          <w:p w14:paraId="55616570" w14:textId="02A5411F" w:rsidR="00F86A3B" w:rsidRPr="0020684B" w:rsidRDefault="00F86A3B" w:rsidP="00C32075">
            <w:pPr>
              <w:autoSpaceDE w:val="0"/>
              <w:autoSpaceDN w:val="0"/>
              <w:adjustRightInd w:val="0"/>
              <w:spacing w:after="0" w:line="240" w:lineRule="auto"/>
              <w:jc w:val="left"/>
              <w:rPr>
                <w:rFonts w:asciiTheme="majorHAnsi" w:hAnsiTheme="majorHAnsi" w:cstheme="majorHAnsi"/>
                <w:sz w:val="20"/>
                <w:szCs w:val="20"/>
              </w:rPr>
            </w:pPr>
            <w:r w:rsidRPr="0020684B">
              <w:rPr>
                <w:rFonts w:asciiTheme="majorHAnsi" w:hAnsiTheme="majorHAnsi" w:cstheme="majorHAnsi"/>
                <w:sz w:val="20"/>
                <w:szCs w:val="20"/>
              </w:rPr>
              <w:t>(&lt; 1 km</w:t>
            </w:r>
          </w:p>
          <w:p w14:paraId="20853C54" w14:textId="147D4C7C" w:rsidR="00F86A3B" w:rsidRPr="0020684B" w:rsidRDefault="00F86A3B" w:rsidP="00C32075">
            <w:pPr>
              <w:pStyle w:val="ListParagraph"/>
              <w:spacing w:after="0" w:line="240" w:lineRule="auto"/>
              <w:ind w:left="0" w:firstLine="0"/>
              <w:jc w:val="left"/>
              <w:rPr>
                <w:rFonts w:asciiTheme="majorHAnsi" w:hAnsiTheme="majorHAnsi" w:cstheme="majorHAnsi"/>
                <w:sz w:val="20"/>
                <w:szCs w:val="20"/>
              </w:rPr>
            </w:pPr>
            <w:r w:rsidRPr="0020684B">
              <w:rPr>
                <w:rFonts w:asciiTheme="majorHAnsi" w:hAnsiTheme="majorHAnsi" w:cstheme="majorHAnsi"/>
                <w:sz w:val="20"/>
                <w:szCs w:val="20"/>
              </w:rPr>
              <w:t>from the shoreline)</w:t>
            </w:r>
          </w:p>
        </w:tc>
        <w:tc>
          <w:tcPr>
            <w:tcW w:w="0" w:type="auto"/>
            <w:vAlign w:val="center"/>
          </w:tcPr>
          <w:p w14:paraId="32683876" w14:textId="3491BC3A" w:rsidR="00F86A3B" w:rsidRPr="0020684B" w:rsidRDefault="00F86A3B" w:rsidP="00C32075">
            <w:pPr>
              <w:pStyle w:val="ListParagraph"/>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&lt; 2 m</w:t>
            </w:r>
          </w:p>
        </w:tc>
        <w:tc>
          <w:tcPr>
            <w:tcW w:w="0" w:type="auto"/>
            <w:vAlign w:val="center"/>
          </w:tcPr>
          <w:p w14:paraId="634AC774" w14:textId="0028D356" w:rsidR="00F86A3B" w:rsidRPr="0020684B" w:rsidRDefault="00F86A3B" w:rsidP="00C32075">
            <w:pPr>
              <w:pStyle w:val="ListParagraph"/>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&lt; 5 m</w:t>
            </w:r>
          </w:p>
        </w:tc>
        <w:tc>
          <w:tcPr>
            <w:tcW w:w="0" w:type="auto"/>
            <w:vAlign w:val="center"/>
          </w:tcPr>
          <w:p w14:paraId="46D29D02" w14:textId="717C84D6" w:rsidR="00F86A3B" w:rsidRPr="0020684B" w:rsidRDefault="00F86A3B" w:rsidP="00C32075">
            <w:pPr>
              <w:pStyle w:val="ListParagraph"/>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&gt; 5 m</w:t>
            </w:r>
          </w:p>
        </w:tc>
        <w:tc>
          <w:tcPr>
            <w:tcW w:w="0" w:type="auto"/>
            <w:vAlign w:val="center"/>
          </w:tcPr>
          <w:p w14:paraId="18DE36D6" w14:textId="46493434" w:rsidR="00F86A3B" w:rsidRPr="0020684B" w:rsidRDefault="00F86A3B" w:rsidP="00C32075">
            <w:pPr>
              <w:pStyle w:val="ListParagraph"/>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&lt; 10 m</w:t>
            </w:r>
          </w:p>
        </w:tc>
        <w:tc>
          <w:tcPr>
            <w:tcW w:w="0" w:type="auto"/>
            <w:vAlign w:val="center"/>
          </w:tcPr>
          <w:p w14:paraId="1FEA72CE" w14:textId="4775D894" w:rsidR="00F86A3B" w:rsidRPr="0020684B" w:rsidRDefault="00F86A3B" w:rsidP="00C32075">
            <w:pPr>
              <w:pStyle w:val="ListParagraph"/>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&lt; 30 m</w:t>
            </w:r>
          </w:p>
        </w:tc>
      </w:tr>
      <w:tr w:rsidR="00EF6FCA" w:rsidRPr="00BC7A12" w14:paraId="4EBEA770" w14:textId="77777777" w:rsidTr="000A1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1AD51A" w14:textId="424C1A87" w:rsidR="00F86A3B" w:rsidRPr="0020684B" w:rsidRDefault="00F86A3B" w:rsidP="00C32075">
            <w:pPr>
              <w:pStyle w:val="ListParagraph"/>
              <w:spacing w:after="0" w:line="240" w:lineRule="auto"/>
              <w:ind w:left="0" w:firstLine="0"/>
              <w:jc w:val="left"/>
              <w:rPr>
                <w:rFonts w:asciiTheme="majorHAnsi" w:hAnsiTheme="majorHAnsi" w:cstheme="majorHAnsi"/>
                <w:sz w:val="20"/>
                <w:szCs w:val="20"/>
              </w:rPr>
            </w:pPr>
            <w:r w:rsidRPr="0020684B">
              <w:rPr>
                <w:rFonts w:asciiTheme="majorHAnsi" w:hAnsiTheme="majorHAnsi" w:cstheme="majorHAnsi"/>
                <w:sz w:val="20"/>
                <w:szCs w:val="20"/>
              </w:rPr>
              <w:t>Other ecosystems</w:t>
            </w:r>
          </w:p>
        </w:tc>
        <w:tc>
          <w:tcPr>
            <w:tcW w:w="0" w:type="auto"/>
            <w:vAlign w:val="center"/>
          </w:tcPr>
          <w:p w14:paraId="06ADECFD"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Mangroves and</w:t>
            </w:r>
          </w:p>
          <w:p w14:paraId="59696081"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seagrasses &gt; 75%</w:t>
            </w:r>
          </w:p>
          <w:p w14:paraId="286E15DF" w14:textId="3AA8105A"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coastline</w:t>
            </w:r>
          </w:p>
        </w:tc>
        <w:tc>
          <w:tcPr>
            <w:tcW w:w="0" w:type="auto"/>
            <w:vAlign w:val="center"/>
          </w:tcPr>
          <w:p w14:paraId="76080F00"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Mangroves and</w:t>
            </w:r>
          </w:p>
          <w:p w14:paraId="2E346AE3"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seagrasses &gt; 50%</w:t>
            </w:r>
          </w:p>
          <w:p w14:paraId="2249E28E" w14:textId="2BF55D75"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coastline</w:t>
            </w:r>
          </w:p>
        </w:tc>
        <w:tc>
          <w:tcPr>
            <w:tcW w:w="0" w:type="auto"/>
            <w:vAlign w:val="center"/>
          </w:tcPr>
          <w:p w14:paraId="473BF25D"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Mangroves and</w:t>
            </w:r>
          </w:p>
          <w:p w14:paraId="61CDB86B"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seagrasses &gt; 25%</w:t>
            </w:r>
          </w:p>
          <w:p w14:paraId="07853390" w14:textId="2C28CA86"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coastline</w:t>
            </w:r>
          </w:p>
        </w:tc>
        <w:tc>
          <w:tcPr>
            <w:tcW w:w="0" w:type="auto"/>
            <w:vAlign w:val="center"/>
          </w:tcPr>
          <w:p w14:paraId="0E29849D"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Mangroves and</w:t>
            </w:r>
          </w:p>
          <w:p w14:paraId="69D12F1C" w14:textId="77777777" w:rsidR="00F86A3B" w:rsidRPr="0020684B" w:rsidRDefault="00F86A3B" w:rsidP="00C3207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seagrasses &lt; 25%</w:t>
            </w:r>
          </w:p>
          <w:p w14:paraId="1C17C3DA" w14:textId="1909283B"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coastline</w:t>
            </w:r>
          </w:p>
        </w:tc>
        <w:tc>
          <w:tcPr>
            <w:tcW w:w="0" w:type="auto"/>
            <w:vAlign w:val="center"/>
          </w:tcPr>
          <w:p w14:paraId="56C13FEF" w14:textId="2A70D28A" w:rsidR="00F86A3B" w:rsidRPr="0020684B" w:rsidRDefault="00F86A3B" w:rsidP="00C32075">
            <w:pPr>
              <w:pStyle w:val="ListParagraph"/>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0684B">
              <w:rPr>
                <w:rFonts w:asciiTheme="majorHAnsi" w:hAnsiTheme="majorHAnsi" w:cstheme="majorHAnsi"/>
                <w:sz w:val="20"/>
                <w:szCs w:val="20"/>
              </w:rPr>
              <w:t>None</w:t>
            </w:r>
          </w:p>
        </w:tc>
      </w:tr>
    </w:tbl>
    <w:p w14:paraId="6759F6DF" w14:textId="77777777" w:rsidR="00460EBC" w:rsidRPr="00BC7A12" w:rsidRDefault="00460EBC" w:rsidP="007001BA">
      <w:pPr>
        <w:pStyle w:val="ListParagraph"/>
        <w:ind w:left="720" w:firstLine="0"/>
        <w:rPr>
          <w:rFonts w:cs="Calibri"/>
        </w:rPr>
      </w:pPr>
    </w:p>
    <w:p w14:paraId="2B4A8FFB" w14:textId="232865AE" w:rsidR="008C181A" w:rsidRPr="00BC7A12" w:rsidRDefault="008371D0" w:rsidP="001C2F3E">
      <w:pPr>
        <w:pStyle w:val="ListParagraph"/>
        <w:numPr>
          <w:ilvl w:val="1"/>
          <w:numId w:val="34"/>
        </w:numPr>
        <w:rPr>
          <w:rFonts w:cs="Calibri"/>
        </w:rPr>
      </w:pPr>
      <w:r w:rsidRPr="00BC7A12">
        <w:rPr>
          <w:rFonts w:cs="Calibri"/>
          <w:i/>
          <w:iCs/>
        </w:rPr>
        <w:t>Generic models</w:t>
      </w:r>
      <w:r w:rsidRPr="00BC7A12">
        <w:rPr>
          <w:rFonts w:cs="Calibri"/>
        </w:rPr>
        <w:t xml:space="preserve">, such as </w:t>
      </w:r>
      <w:proofErr w:type="spellStart"/>
      <w:r w:rsidRPr="00BC7A12">
        <w:rPr>
          <w:rFonts w:cs="Calibri"/>
        </w:rPr>
        <w:t>InVEST</w:t>
      </w:r>
      <w:proofErr w:type="spellEnd"/>
      <w:r w:rsidR="000664A0" w:rsidRPr="00BC7A12">
        <w:rPr>
          <w:rFonts w:cs="Calibri"/>
        </w:rPr>
        <w:t xml:space="preserve"> </w:t>
      </w:r>
      <w:r w:rsidR="000664A0" w:rsidRPr="00BC7A12">
        <w:rPr>
          <w:rFonts w:cs="Calibri"/>
        </w:rPr>
        <w:fldChar w:fldCharType="begin" w:fldLock="1"/>
      </w:r>
      <w:r w:rsidR="001C4E7E" w:rsidRPr="00BC7A12">
        <w:rPr>
          <w:rFonts w:cs="Calibri"/>
        </w:rPr>
        <w:instrText>ADDIN CSL_CITATION {"citationItems":[{"id":"ITEM-1","itemData":{"URL":"http://releases.naturalcapitalproject.org/invest-userguide/latest/coastal_vulnerability.html","accessed":{"date-parts":[["2020","6","16"]]},"author":[{"dropping-particle":"","family":"The Natural Capital Project","given":"","non-dropping-particle":"","parse-names":false,"suffix":""}],"id":"ITEM-1","issued":{"date-parts":[["2019"]]},"title":"InVEST Coastal Vulnerability Model","type":"webpage"},"uris":["http://www.mendeley.com/documents/?uuid=3911256b-c224-4c3d-be04-06c731b6c827"]}],"mendeley":{"formattedCitation":"(The Natural Capital Project 2019)","plainTextFormattedCitation":"(The Natural Capital Project 2019)","previouslyFormattedCitation":"(The Natural Capital Project 2019)"},"properties":{"noteIndex":0},"schema":"https://github.com/citation-style-language/schema/raw/master/csl-citation.json"}</w:instrText>
      </w:r>
      <w:r w:rsidR="000664A0" w:rsidRPr="00BC7A12">
        <w:rPr>
          <w:rFonts w:cs="Calibri"/>
        </w:rPr>
        <w:fldChar w:fldCharType="separate"/>
      </w:r>
      <w:r w:rsidR="00D24301" w:rsidRPr="00BC7A12">
        <w:rPr>
          <w:rFonts w:cs="Calibri"/>
          <w:noProof/>
        </w:rPr>
        <w:t>(The Natural Capital Project 2019)</w:t>
      </w:r>
      <w:r w:rsidR="000664A0" w:rsidRPr="00BC7A12">
        <w:rPr>
          <w:rFonts w:cs="Calibri"/>
        </w:rPr>
        <w:fldChar w:fldCharType="end"/>
      </w:r>
      <w:r w:rsidR="000664A0" w:rsidRPr="00BC7A12">
        <w:rPr>
          <w:rFonts w:cs="Calibri"/>
        </w:rPr>
        <w:t xml:space="preserve"> </w:t>
      </w:r>
      <w:r w:rsidRPr="00BC7A12">
        <w:rPr>
          <w:rFonts w:cs="Calibri"/>
        </w:rPr>
        <w:t xml:space="preserve">that are designed for </w:t>
      </w:r>
      <w:r w:rsidR="00B15117" w:rsidRPr="00BC7A12">
        <w:rPr>
          <w:rFonts w:cs="Calibri"/>
        </w:rPr>
        <w:t xml:space="preserve">operation </w:t>
      </w:r>
      <w:r w:rsidR="00CE4B52" w:rsidRPr="00BC7A12">
        <w:rPr>
          <w:rFonts w:cs="Calibri"/>
        </w:rPr>
        <w:t xml:space="preserve">by </w:t>
      </w:r>
      <w:proofErr w:type="spellStart"/>
      <w:r w:rsidRPr="00BC7A12">
        <w:rPr>
          <w:rFonts w:cs="Calibri"/>
        </w:rPr>
        <w:t xml:space="preserve">non </w:t>
      </w:r>
      <w:r w:rsidR="00B15117" w:rsidRPr="00BC7A12">
        <w:rPr>
          <w:rFonts w:cs="Calibri"/>
        </w:rPr>
        <w:t>modelling</w:t>
      </w:r>
      <w:proofErr w:type="spellEnd"/>
      <w:r w:rsidR="00B15117" w:rsidRPr="00BC7A12">
        <w:rPr>
          <w:rFonts w:cs="Calibri"/>
        </w:rPr>
        <w:t xml:space="preserve"> </w:t>
      </w:r>
      <w:r w:rsidRPr="00BC7A12">
        <w:rPr>
          <w:rFonts w:cs="Calibri"/>
        </w:rPr>
        <w:t>experts</w:t>
      </w:r>
      <w:r w:rsidR="00B15117" w:rsidRPr="00BC7A12">
        <w:rPr>
          <w:rFonts w:cs="Calibri"/>
        </w:rPr>
        <w:t xml:space="preserve">. </w:t>
      </w:r>
      <w:r w:rsidR="0097047A" w:rsidRPr="00BC7A12">
        <w:rPr>
          <w:rFonts w:cs="Calibri"/>
        </w:rPr>
        <w:t xml:space="preserve">While these models can </w:t>
      </w:r>
      <w:r w:rsidR="00B15117" w:rsidRPr="00BC7A12">
        <w:rPr>
          <w:rFonts w:cs="Calibri"/>
        </w:rPr>
        <w:t xml:space="preserve">be </w:t>
      </w:r>
      <w:proofErr w:type="gramStart"/>
      <w:r w:rsidRPr="00BC7A12">
        <w:rPr>
          <w:rFonts w:cs="Calibri"/>
        </w:rPr>
        <w:t>customized</w:t>
      </w:r>
      <w:proofErr w:type="gramEnd"/>
      <w:r w:rsidR="00B15117" w:rsidRPr="00BC7A12">
        <w:rPr>
          <w:rFonts w:cs="Calibri"/>
        </w:rPr>
        <w:t xml:space="preserve"> </w:t>
      </w:r>
      <w:r w:rsidR="0097047A" w:rsidRPr="00BC7A12">
        <w:rPr>
          <w:rFonts w:cs="Calibri"/>
        </w:rPr>
        <w:t xml:space="preserve">they </w:t>
      </w:r>
      <w:r w:rsidR="00B15117" w:rsidRPr="00BC7A12">
        <w:rPr>
          <w:rFonts w:cs="Calibri"/>
        </w:rPr>
        <w:t>rarely are</w:t>
      </w:r>
      <w:r w:rsidRPr="00BC7A12">
        <w:rPr>
          <w:rFonts w:cs="Calibri"/>
        </w:rPr>
        <w:t>. Six</w:t>
      </w:r>
      <w:r w:rsidR="00B15117" w:rsidRPr="00BC7A12">
        <w:rPr>
          <w:rFonts w:cs="Calibri"/>
        </w:rPr>
        <w:t xml:space="preserve"> additional generic models </w:t>
      </w:r>
      <w:r w:rsidR="00CE4B52" w:rsidRPr="00BC7A12">
        <w:rPr>
          <w:rFonts w:cs="Calibri"/>
        </w:rPr>
        <w:t xml:space="preserve">are </w:t>
      </w:r>
      <w:r w:rsidRPr="00BC7A12">
        <w:rPr>
          <w:rFonts w:cs="Calibri"/>
        </w:rPr>
        <w:t>describe</w:t>
      </w:r>
      <w:r w:rsidR="00CE7E6A" w:rsidRPr="00BC7A12">
        <w:rPr>
          <w:rFonts w:cs="Calibri"/>
        </w:rPr>
        <w:t>d</w:t>
      </w:r>
      <w:r w:rsidRPr="00BC7A12">
        <w:rPr>
          <w:rFonts w:cs="Calibri"/>
        </w:rPr>
        <w:t xml:space="preserve"> in Appendix 3 along with the data required for their use</w:t>
      </w:r>
      <w:r w:rsidR="009550A0" w:rsidRPr="00BC7A12">
        <w:rPr>
          <w:rFonts w:cs="Calibri"/>
        </w:rPr>
        <w:t>.</w:t>
      </w:r>
    </w:p>
    <w:p w14:paraId="1E93F148" w14:textId="77777777" w:rsidR="0097047A" w:rsidRPr="00BC7A12" w:rsidRDefault="009C3C31" w:rsidP="00390B03">
      <w:pPr>
        <w:pStyle w:val="ListParagraph"/>
        <w:numPr>
          <w:ilvl w:val="1"/>
          <w:numId w:val="34"/>
        </w:numPr>
        <w:rPr>
          <w:rFonts w:cs="Calibri"/>
        </w:rPr>
      </w:pPr>
      <w:r w:rsidRPr="00BC7A12">
        <w:rPr>
          <w:rFonts w:cs="Calibri"/>
          <w:i/>
          <w:iCs/>
        </w:rPr>
        <w:t xml:space="preserve">Customized </w:t>
      </w:r>
      <w:r w:rsidR="001C4E7E" w:rsidRPr="00BC7A12">
        <w:rPr>
          <w:rFonts w:cs="Calibri"/>
          <w:i/>
          <w:iCs/>
        </w:rPr>
        <w:t xml:space="preserve">valuation </w:t>
      </w:r>
      <w:r w:rsidR="008371D0" w:rsidRPr="00BC7A12">
        <w:rPr>
          <w:rFonts w:cs="Calibri"/>
          <w:i/>
          <w:iCs/>
        </w:rPr>
        <w:t>models</w:t>
      </w:r>
      <w:r w:rsidR="008371D0" w:rsidRPr="00BC7A12">
        <w:rPr>
          <w:rFonts w:cs="Calibri"/>
        </w:rPr>
        <w:t xml:space="preserve">, </w:t>
      </w:r>
      <w:r w:rsidR="00B734B0" w:rsidRPr="00BC7A12">
        <w:rPr>
          <w:rFonts w:cs="Calibri"/>
        </w:rPr>
        <w:t>usually bespoke</w:t>
      </w:r>
      <w:r w:rsidRPr="00BC7A12">
        <w:rPr>
          <w:rFonts w:cs="Calibri"/>
        </w:rPr>
        <w:t xml:space="preserve"> </w:t>
      </w:r>
      <w:r w:rsidR="008371D0" w:rsidRPr="00BC7A12">
        <w:rPr>
          <w:rFonts w:cs="Calibri"/>
        </w:rPr>
        <w:t xml:space="preserve">exercises that rely on extensive </w:t>
      </w:r>
      <w:r w:rsidR="001C2F3E" w:rsidRPr="00BC7A12">
        <w:rPr>
          <w:rFonts w:cs="Calibri"/>
        </w:rPr>
        <w:t xml:space="preserve">data inputs and </w:t>
      </w:r>
      <w:r w:rsidR="008371D0" w:rsidRPr="00BC7A12">
        <w:rPr>
          <w:rFonts w:cs="Calibri"/>
        </w:rPr>
        <w:t>customization</w:t>
      </w:r>
      <w:r w:rsidRPr="00BC7A12">
        <w:rPr>
          <w:rFonts w:cs="Calibri"/>
        </w:rPr>
        <w:t xml:space="preserve">. </w:t>
      </w:r>
      <w:r w:rsidR="00B15117" w:rsidRPr="00BC7A12">
        <w:rPr>
          <w:rFonts w:cs="Calibri"/>
        </w:rPr>
        <w:t>C</w:t>
      </w:r>
      <w:r w:rsidR="001C2F3E" w:rsidRPr="00BC7A12">
        <w:rPr>
          <w:rFonts w:cs="Calibri"/>
        </w:rPr>
        <w:t>ustomiz</w:t>
      </w:r>
      <w:r w:rsidR="0090395A" w:rsidRPr="00BC7A12">
        <w:rPr>
          <w:rFonts w:cs="Calibri"/>
        </w:rPr>
        <w:t xml:space="preserve">ation is often done by </w:t>
      </w:r>
      <w:r w:rsidR="00B15117" w:rsidRPr="00BC7A12">
        <w:rPr>
          <w:rFonts w:cs="Calibri"/>
        </w:rPr>
        <w:t xml:space="preserve">starting </w:t>
      </w:r>
      <w:r w:rsidR="00CE1AAF" w:rsidRPr="00BC7A12">
        <w:rPr>
          <w:rFonts w:cs="Calibri"/>
        </w:rPr>
        <w:t xml:space="preserve">with </w:t>
      </w:r>
      <w:r w:rsidR="001C2F3E" w:rsidRPr="00BC7A12">
        <w:rPr>
          <w:rFonts w:cs="Calibri"/>
        </w:rPr>
        <w:t>generic models</w:t>
      </w:r>
      <w:r w:rsidR="00CE1AAF" w:rsidRPr="00BC7A12">
        <w:rPr>
          <w:rFonts w:cs="Calibri"/>
        </w:rPr>
        <w:t xml:space="preserve"> and building new components </w:t>
      </w:r>
      <w:r w:rsidR="001C2F3E" w:rsidRPr="00BC7A12">
        <w:rPr>
          <w:rFonts w:cs="Calibri"/>
        </w:rPr>
        <w:fldChar w:fldCharType="begin" w:fldLock="1"/>
      </w:r>
      <w:r w:rsidR="00CE1AAF" w:rsidRPr="00BC7A12">
        <w:rPr>
          <w:rFonts w:cs="Calibri"/>
        </w:rPr>
        <w:instrText>ADDIN CSL_CITATION {"citationItems":[{"id":"ITEM-1","itemData":{"DOI":"10.1016/j.ecss.2013.09.021","ISSN":"02727714","abstract":"Research has established that mangroves can protect lives and property from storms by buffering the impacts of storm surges. However, their effects in attenuating wind velocity and providing protection from wind damage during storms are not known. This study examined whether mangroves attenuate damage from cyclonic winds and found that they provide substantial protection to properties, even relatively far away from mangroves and the coast. We devised a theoretical model of wind protection by mangroves and calibrated and applied this model using data from the 1999 cyclone in the Odisha region of India. The model predicted and quantified the actual level of damage reasonably accurately and showed that mangroves reduced wind damage to houses. The wind protection value of mangroves in reducing house damage amounted to approximately US$177 per hectare at 1999 prices. This provides additional evidence of the storm protection ecosystem services that mangroves supply in the region and an additional reason to invest in mangrove ecosystems to provide better adaptability to coastal disasters such as storms. © 2013 Elsevier Ltd.","author":[{"dropping-particle":"","family":"Das","given":"Saudamini","non-dropping-particle":"","parse-names":false,"suffix":""},{"dropping-particle":"","family":"Crépin","given":"Anne Sophie","non-dropping-particle":"","parse-names":false,"suffix":""}],"container-title":"Estuarine, Coastal and Shelf Science","id":"ITEM-1","issue":"August","issued":{"date-parts":[["2013"]]},"page":"98-107","publisher":"Elsevier Ltd","title":"Mangroves can provide protection against wind damage during storms","type":"article-journal","volume":"134"},"uris":["http://www.mendeley.com/documents/?uuid=045fa952-1a07-4e51-9c6e-2e0bcaef1c59"]}],"mendeley":{"formattedCitation":"(Das &amp; Crépin 2013)","manualFormatting":"(see Das &amp; Crépin 2013 for an example)","plainTextFormattedCitation":"(Das &amp; Crépin 2013)","previouslyFormattedCitation":"(Das &amp; Crépin 2013)"},"properties":{"noteIndex":0},"schema":"https://github.com/citation-style-language/schema/raw/master/csl-citation.json"}</w:instrText>
      </w:r>
      <w:r w:rsidR="001C2F3E" w:rsidRPr="00BC7A12">
        <w:rPr>
          <w:rFonts w:cs="Calibri"/>
        </w:rPr>
        <w:fldChar w:fldCharType="separate"/>
      </w:r>
      <w:r w:rsidR="001C2F3E" w:rsidRPr="00BC7A12">
        <w:rPr>
          <w:rFonts w:cs="Calibri"/>
          <w:noProof/>
        </w:rPr>
        <w:t>(</w:t>
      </w:r>
      <w:r w:rsidR="00CE1AAF" w:rsidRPr="00BC7A12">
        <w:rPr>
          <w:rFonts w:cs="Calibri"/>
          <w:noProof/>
        </w:rPr>
        <w:t xml:space="preserve">see </w:t>
      </w:r>
      <w:r w:rsidR="001C2F3E" w:rsidRPr="00BC7A12">
        <w:rPr>
          <w:rFonts w:cs="Calibri"/>
          <w:noProof/>
        </w:rPr>
        <w:t>Das &amp; Crépin 2013</w:t>
      </w:r>
      <w:r w:rsidR="00CE1AAF" w:rsidRPr="00BC7A12">
        <w:rPr>
          <w:rFonts w:cs="Calibri"/>
          <w:noProof/>
        </w:rPr>
        <w:t xml:space="preserve"> for an example</w:t>
      </w:r>
      <w:r w:rsidR="001C2F3E" w:rsidRPr="00BC7A12">
        <w:rPr>
          <w:rFonts w:cs="Calibri"/>
          <w:noProof/>
        </w:rPr>
        <w:t>)</w:t>
      </w:r>
      <w:r w:rsidR="001C2F3E" w:rsidRPr="00BC7A12">
        <w:rPr>
          <w:rFonts w:cs="Calibri"/>
        </w:rPr>
        <w:fldChar w:fldCharType="end"/>
      </w:r>
      <w:r w:rsidR="009550A0" w:rsidRPr="00BC7A12">
        <w:rPr>
          <w:rFonts w:cs="Calibri"/>
        </w:rPr>
        <w:t>.</w:t>
      </w:r>
      <w:r w:rsidR="001C2F3E" w:rsidRPr="00BC7A12">
        <w:rPr>
          <w:rFonts w:cs="Calibri"/>
        </w:rPr>
        <w:t xml:space="preserve"> F</w:t>
      </w:r>
      <w:r w:rsidR="00215476" w:rsidRPr="00BC7A12">
        <w:rPr>
          <w:rFonts w:cs="Calibri"/>
        </w:rPr>
        <w:t xml:space="preserve">or the development </w:t>
      </w:r>
      <w:r w:rsidR="00D564DC" w:rsidRPr="00BC7A12">
        <w:rPr>
          <w:rFonts w:cs="Calibri"/>
        </w:rPr>
        <w:t>of</w:t>
      </w:r>
      <w:r w:rsidR="000664A0" w:rsidRPr="00BC7A12">
        <w:rPr>
          <w:rFonts w:cs="Calibri"/>
        </w:rPr>
        <w:t xml:space="preserve"> built</w:t>
      </w:r>
      <w:r w:rsidR="00D564DC" w:rsidRPr="00BC7A12">
        <w:rPr>
          <w:rFonts w:cs="Calibri"/>
        </w:rPr>
        <w:t xml:space="preserve"> </w:t>
      </w:r>
      <w:r w:rsidR="008371D0" w:rsidRPr="00BC7A12">
        <w:rPr>
          <w:rFonts w:cs="Calibri"/>
        </w:rPr>
        <w:t xml:space="preserve">infrastructure or insurance products, </w:t>
      </w:r>
      <w:r w:rsidR="001C2F3E" w:rsidRPr="00BC7A12">
        <w:rPr>
          <w:rFonts w:cs="Calibri"/>
        </w:rPr>
        <w:t xml:space="preserve">customized valuation </w:t>
      </w:r>
      <w:r w:rsidR="008371D0" w:rsidRPr="00BC7A12">
        <w:rPr>
          <w:rFonts w:cs="Calibri"/>
        </w:rPr>
        <w:t xml:space="preserve">models are preferred. </w:t>
      </w:r>
    </w:p>
    <w:p w14:paraId="32440810" w14:textId="77777777" w:rsidR="0020684B" w:rsidRDefault="0020684B" w:rsidP="0020684B">
      <w:pPr>
        <w:pStyle w:val="ListParagraph"/>
        <w:ind w:left="0" w:firstLine="0"/>
        <w:rPr>
          <w:rFonts w:cs="Calibri"/>
        </w:rPr>
      </w:pPr>
    </w:p>
    <w:p w14:paraId="2AF44451" w14:textId="650312BB" w:rsidR="00390B03" w:rsidRPr="00BC7A12" w:rsidRDefault="0020684B" w:rsidP="0020684B">
      <w:pPr>
        <w:pStyle w:val="ListParagraph"/>
        <w:ind w:left="0" w:firstLine="0"/>
        <w:rPr>
          <w:rFonts w:cs="Calibri"/>
        </w:rPr>
      </w:pPr>
      <w:r>
        <w:rPr>
          <w:rFonts w:cs="Calibri"/>
        </w:rPr>
        <w:t>A final note on valuation techniques is that a</w:t>
      </w:r>
      <w:r w:rsidR="008371D0" w:rsidRPr="00BC7A12">
        <w:rPr>
          <w:rFonts w:cs="Calibri"/>
        </w:rPr>
        <w:t xml:space="preserve">dvances in Earth observation, modelling and computing are making this </w:t>
      </w:r>
      <w:r w:rsidR="00CE1AAF" w:rsidRPr="00BC7A12">
        <w:rPr>
          <w:rFonts w:cs="Calibri"/>
        </w:rPr>
        <w:t>modelling</w:t>
      </w:r>
      <w:r w:rsidR="0015642C" w:rsidRPr="00BC7A12">
        <w:rPr>
          <w:rFonts w:cs="Calibri"/>
        </w:rPr>
        <w:t xml:space="preserve"> </w:t>
      </w:r>
      <w:r w:rsidR="008371D0" w:rsidRPr="00BC7A12">
        <w:rPr>
          <w:rFonts w:cs="Calibri"/>
        </w:rPr>
        <w:t>easier</w:t>
      </w:r>
      <w:r w:rsidR="00B9526D">
        <w:rPr>
          <w:rFonts w:cs="Calibri"/>
        </w:rPr>
        <w:t>.</w:t>
      </w:r>
      <w:r w:rsidR="009C7016" w:rsidRPr="00BC7A12">
        <w:rPr>
          <w:rFonts w:cs="Calibri"/>
        </w:rPr>
        <w:t xml:space="preserve"> </w:t>
      </w:r>
      <w:r w:rsidR="007D76AF">
        <w:rPr>
          <w:rFonts w:cs="Calibri"/>
        </w:rPr>
        <w:t>T</w:t>
      </w:r>
      <w:r w:rsidR="005D7D1C" w:rsidRPr="00BC7A12">
        <w:rPr>
          <w:rFonts w:cs="Calibri"/>
        </w:rPr>
        <w:t xml:space="preserve">he valuation </w:t>
      </w:r>
      <w:r w:rsidR="008371D0" w:rsidRPr="00BC7A12">
        <w:rPr>
          <w:rFonts w:cs="Calibri"/>
        </w:rPr>
        <w:t xml:space="preserve">techniques </w:t>
      </w:r>
      <w:r w:rsidR="00CE1AAF" w:rsidRPr="00BC7A12">
        <w:rPr>
          <w:rFonts w:cs="Calibri"/>
        </w:rPr>
        <w:t xml:space="preserve">and approaches </w:t>
      </w:r>
      <w:r w:rsidR="006E6FE4" w:rsidRPr="00BC7A12">
        <w:rPr>
          <w:rFonts w:cs="Calibri"/>
        </w:rPr>
        <w:t>can</w:t>
      </w:r>
      <w:r w:rsidR="007D76AF">
        <w:rPr>
          <w:rFonts w:cs="Calibri"/>
        </w:rPr>
        <w:t xml:space="preserve"> also</w:t>
      </w:r>
      <w:r w:rsidR="006E6FE4" w:rsidRPr="00BC7A12">
        <w:rPr>
          <w:rFonts w:cs="Calibri"/>
        </w:rPr>
        <w:t xml:space="preserve"> be </w:t>
      </w:r>
      <w:r w:rsidR="008371D0" w:rsidRPr="00BC7A12">
        <w:rPr>
          <w:rFonts w:cs="Calibri"/>
        </w:rPr>
        <w:t xml:space="preserve">improved with easy access to </w:t>
      </w:r>
      <w:r w:rsidR="0015642C" w:rsidRPr="00BC7A12">
        <w:rPr>
          <w:rFonts w:cs="Calibri"/>
        </w:rPr>
        <w:t>reliable</w:t>
      </w:r>
      <w:r w:rsidR="0097047A" w:rsidRPr="00BC7A12">
        <w:rPr>
          <w:rFonts w:cs="Calibri"/>
        </w:rPr>
        <w:t xml:space="preserve">, properly classified </w:t>
      </w:r>
      <w:r w:rsidR="008371D0" w:rsidRPr="00BC7A12">
        <w:rPr>
          <w:rFonts w:cs="Calibri"/>
        </w:rPr>
        <w:t xml:space="preserve">data. </w:t>
      </w:r>
      <w:r w:rsidR="0097047A" w:rsidRPr="00BC7A12">
        <w:rPr>
          <w:rFonts w:cs="Calibri"/>
        </w:rPr>
        <w:t xml:space="preserve">The insurance industry representatives interviewed for this report noted their interest in such data and that it would improve their coastal insurance </w:t>
      </w:r>
      <w:r w:rsidR="0097047A" w:rsidRPr="00BC7A12">
        <w:rPr>
          <w:rFonts w:cs="Calibri"/>
        </w:rPr>
        <w:lastRenderedPageBreak/>
        <w:t xml:space="preserve">products and reduce the risks to homeowners, businesses, lenders and insurers </w:t>
      </w:r>
      <w:r w:rsidR="0097047A" w:rsidRPr="00BC7A12">
        <w:rPr>
          <w:rFonts w:cs="Calibri"/>
        </w:rPr>
        <w:fldChar w:fldCharType="begin" w:fldLock="1"/>
      </w:r>
      <w:r w:rsidR="008829D2" w:rsidRPr="00BC7A12">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 Stakeholder consultation","type":"article"},"uris":["http://www.mendeley.com/documents/?uuid=bafcc05a-a77b-48ec-bab0-63b9ec400826"]}],"mendeley":{"formattedCitation":"(IDEEA Group 2020b)","manualFormatting":"(Mallon and LaPlastrier IDEEA Group 2020a)","plainTextFormattedCitation":"(IDEEA Group 2020b)","previouslyFormattedCitation":"(IDEEA Group 2020b)"},"properties":{"noteIndex":0},"schema":"https://github.com/citation-style-language/schema/raw/master/csl-citation.json"}</w:instrText>
      </w:r>
      <w:r w:rsidR="0097047A" w:rsidRPr="00BC7A12">
        <w:rPr>
          <w:rFonts w:cs="Calibri"/>
        </w:rPr>
        <w:fldChar w:fldCharType="separate"/>
      </w:r>
      <w:r w:rsidR="0097047A" w:rsidRPr="00BC7A12">
        <w:rPr>
          <w:rFonts w:cs="Calibri"/>
          <w:noProof/>
        </w:rPr>
        <w:t>(Mallon and LaP</w:t>
      </w:r>
      <w:r w:rsidR="0007711D" w:rsidRPr="00BC7A12">
        <w:rPr>
          <w:rFonts w:cs="Calibri"/>
          <w:noProof/>
        </w:rPr>
        <w:t>last</w:t>
      </w:r>
      <w:r w:rsidR="0097047A" w:rsidRPr="00BC7A12">
        <w:rPr>
          <w:rFonts w:cs="Calibri"/>
          <w:noProof/>
        </w:rPr>
        <w:t>rier IDEEA Group 2020</w:t>
      </w:r>
      <w:r w:rsidR="002F3371" w:rsidRPr="00BC7A12">
        <w:rPr>
          <w:rFonts w:cs="Calibri"/>
          <w:noProof/>
        </w:rPr>
        <w:t>a</w:t>
      </w:r>
      <w:r w:rsidR="0097047A" w:rsidRPr="00BC7A12">
        <w:rPr>
          <w:rFonts w:cs="Calibri"/>
          <w:noProof/>
        </w:rPr>
        <w:t>)</w:t>
      </w:r>
      <w:r w:rsidR="0097047A" w:rsidRPr="00BC7A12">
        <w:rPr>
          <w:rFonts w:cs="Calibri"/>
        </w:rPr>
        <w:fldChar w:fldCharType="end"/>
      </w:r>
      <w:r w:rsidR="0007711D" w:rsidRPr="00BC7A12">
        <w:rPr>
          <w:rFonts w:cs="Calibri"/>
        </w:rPr>
        <w:t xml:space="preserve">. </w:t>
      </w:r>
    </w:p>
    <w:p w14:paraId="3C459134" w14:textId="1A018D94" w:rsidR="0007719F" w:rsidRPr="00BC7A12" w:rsidRDefault="00EE2F3D" w:rsidP="0007711D">
      <w:pPr>
        <w:pStyle w:val="ListParagraph"/>
        <w:ind w:left="1440" w:firstLine="0"/>
        <w:rPr>
          <w:rFonts w:cs="Calibri"/>
        </w:rPr>
      </w:pPr>
      <w:r w:rsidRPr="00BC7A12">
        <w:rPr>
          <w:rFonts w:cs="Calibri"/>
          <w:noProof/>
          <w:lang w:eastAsia="en-AU"/>
        </w:rPr>
        <mc:AlternateContent>
          <mc:Choice Requires="wps">
            <w:drawing>
              <wp:anchor distT="45720" distB="45720" distL="114300" distR="114300" simplePos="0" relativeHeight="251668480" behindDoc="0" locked="0" layoutInCell="1" allowOverlap="1" wp14:anchorId="1651397E" wp14:editId="48A11A51">
                <wp:simplePos x="0" y="0"/>
                <wp:positionH relativeFrom="margin">
                  <wp:align>right</wp:align>
                </wp:positionH>
                <wp:positionV relativeFrom="paragraph">
                  <wp:posOffset>268605</wp:posOffset>
                </wp:positionV>
                <wp:extent cx="5890895" cy="4756150"/>
                <wp:effectExtent l="0" t="0" r="14605" b="254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4756150"/>
                        </a:xfrm>
                        <a:prstGeom prst="rect">
                          <a:avLst/>
                        </a:prstGeom>
                        <a:solidFill>
                          <a:srgbClr val="FFFFFF"/>
                        </a:solidFill>
                        <a:ln w="9525">
                          <a:solidFill>
                            <a:srgbClr val="000000"/>
                          </a:solidFill>
                          <a:miter lim="800000"/>
                          <a:headEnd/>
                          <a:tailEnd/>
                        </a:ln>
                      </wps:spPr>
                      <wps:txbx>
                        <w:txbxContent>
                          <w:p w14:paraId="58F68F43" w14:textId="6130E481" w:rsidR="00B9526D" w:rsidRPr="00C53CD4" w:rsidRDefault="00B9526D" w:rsidP="000F4000">
                            <w:pPr>
                              <w:ind w:right="-80"/>
                              <w:rPr>
                                <w:b/>
                                <w:bCs/>
                              </w:rPr>
                            </w:pPr>
                            <w:r w:rsidRPr="00C53CD4">
                              <w:rPr>
                                <w:b/>
                                <w:bCs/>
                              </w:rPr>
                              <w:t xml:space="preserve">Box </w:t>
                            </w:r>
                            <w:r>
                              <w:rPr>
                                <w:b/>
                                <w:bCs/>
                              </w:rPr>
                              <w:t>A</w:t>
                            </w:r>
                            <w:r w:rsidRPr="00C53CD4">
                              <w:rPr>
                                <w:b/>
                                <w:bCs/>
                              </w:rPr>
                              <w:t xml:space="preserve">: Belize </w:t>
                            </w:r>
                            <w:r>
                              <w:rPr>
                                <w:b/>
                                <w:bCs/>
                              </w:rPr>
                              <w:t xml:space="preserve">valuation: best in class </w:t>
                            </w:r>
                          </w:p>
                          <w:p w14:paraId="649FFCD1" w14:textId="342BDC6C" w:rsidR="00B9526D" w:rsidRDefault="00B9526D" w:rsidP="000F4000">
                            <w:pPr>
                              <w:ind w:right="-80"/>
                            </w:pPr>
                            <w:r>
                              <w:t xml:space="preserve">Belize’s ecosystem valuation, rather than being an external exercise, was a part of its Integrated Coastal Zone Management Plan. The Plan was developed through an iterative process that engaged a full range of stakeholders including government officials, environmentalists, fishers, hoteliers, tour operators, among others, all of whom had direct interest in the management of the shoreline. As a result, the explicit local valuation approaches based on InVEST </w:t>
                            </w:r>
                            <w:r>
                              <w:fldChar w:fldCharType="begin" w:fldLock="1"/>
                            </w:r>
                            <w:r>
                              <w:instrText>ADDIN CSL_CITATION {"citationItems":[{"id":"ITEM-1","itemData":{"URL":"http://releases.naturalcapitalproject.org/invest-userguide/latest/coastal_vulnerability.html","accessed":{"date-parts":[["2020","6","16"]]},"author":[{"dropping-particle":"","family":"The Natural Capital Project","given":"","non-dropping-particle":"","parse-names":false,"suffix":""}],"id":"ITEM-1","issued":{"date-parts":[["2019"]]},"title":"InVEST Coastal Vulnerability Model","type":"webpage"},"uris":["http://www.mendeley.com/documents/?uuid=3911256b-c224-4c3d-be04-06c731b6c827"]}],"mendeley":{"formattedCitation":"(The Natural Capital Project 2019)","plainTextFormattedCitation":"(The Natural Capital Project 2019)","previouslyFormattedCitation":"(The Natural Capital Project 2019)"},"properties":{"noteIndex":0},"schema":"https://github.com/citation-style-language/schema/raw/master/csl-citation.json"}</w:instrText>
                            </w:r>
                            <w:r>
                              <w:fldChar w:fldCharType="separate"/>
                            </w:r>
                            <w:r w:rsidRPr="00F22E3A">
                              <w:rPr>
                                <w:noProof/>
                              </w:rPr>
                              <w:t>(The Natural Capital Project 2019)</w:t>
                            </w:r>
                            <w:r>
                              <w:fldChar w:fldCharType="end"/>
                            </w:r>
                            <w:r>
                              <w:t>, influenced the zoning decisions of the Plan.</w:t>
                            </w:r>
                          </w:p>
                          <w:p w14:paraId="26D051DC" w14:textId="19C9C211" w:rsidR="00B9526D" w:rsidRDefault="00B9526D" w:rsidP="000F4000">
                            <w:pPr>
                              <w:ind w:right="-80"/>
                            </w:pPr>
                            <w:r>
                              <w:t xml:space="preserve">The Plan was developed by iteratively exploring development scenarios. The first iteration had three scenarios: </w:t>
                            </w:r>
                          </w:p>
                          <w:p w14:paraId="5BA6E04A" w14:textId="56B7F44E" w:rsidR="00B9526D" w:rsidRDefault="00B9526D" w:rsidP="000F4000">
                            <w:pPr>
                              <w:pStyle w:val="ListParagraph"/>
                              <w:numPr>
                                <w:ilvl w:val="0"/>
                                <w:numId w:val="46"/>
                              </w:numPr>
                              <w:ind w:right="-80"/>
                            </w:pPr>
                            <w:r w:rsidRPr="006838B7">
                              <w:rPr>
                                <w:i/>
                                <w:iCs/>
                              </w:rPr>
                              <w:t>Conservation</w:t>
                            </w:r>
                            <w:r>
                              <w:t xml:space="preserve">, representing the view of environmentalists </w:t>
                            </w:r>
                          </w:p>
                          <w:p w14:paraId="0F86A870" w14:textId="69316991" w:rsidR="00B9526D" w:rsidRDefault="00B9526D" w:rsidP="000F4000">
                            <w:pPr>
                              <w:pStyle w:val="ListParagraph"/>
                              <w:numPr>
                                <w:ilvl w:val="0"/>
                                <w:numId w:val="46"/>
                              </w:numPr>
                              <w:ind w:right="-80"/>
                            </w:pPr>
                            <w:r w:rsidRPr="006838B7">
                              <w:rPr>
                                <w:i/>
                                <w:iCs/>
                              </w:rPr>
                              <w:t>Development</w:t>
                            </w:r>
                            <w:r>
                              <w:t xml:space="preserve">, based on rapid natural resource utilization and urban expansion </w:t>
                            </w:r>
                          </w:p>
                          <w:p w14:paraId="49C05159" w14:textId="443C22A1" w:rsidR="00B9526D" w:rsidRDefault="00B9526D" w:rsidP="000F4000">
                            <w:pPr>
                              <w:pStyle w:val="ListParagraph"/>
                              <w:numPr>
                                <w:ilvl w:val="0"/>
                                <w:numId w:val="46"/>
                              </w:numPr>
                              <w:ind w:right="-80"/>
                            </w:pPr>
                            <w:r w:rsidRPr="006838B7">
                              <w:rPr>
                                <w:i/>
                                <w:iCs/>
                              </w:rPr>
                              <w:t>Informed management</w:t>
                            </w:r>
                            <w:r>
                              <w:t xml:space="preserve">, that balanced conservation and development perspectives </w:t>
                            </w:r>
                          </w:p>
                          <w:p w14:paraId="46559A28" w14:textId="3D388952" w:rsidR="00B9526D" w:rsidRDefault="00B9526D" w:rsidP="000F4000">
                            <w:pPr>
                              <w:ind w:right="-80"/>
                            </w:pPr>
                            <w:r>
                              <w:t xml:space="preserve">After initial data gathering, local stakeholder groups were formed to explore the scenarios. Training, expert interviews, field trips, public comments among other measures were used to ensure acceptance of the process and science. Numerous mapping and InVEST modelling exercises were run (including DRR, fishing, tourism) until the </w:t>
                            </w:r>
                            <w:r w:rsidRPr="00CE1AAF">
                              <w:rPr>
                                <w:i/>
                                <w:iCs/>
                              </w:rPr>
                              <w:t>informed management</w:t>
                            </w:r>
                            <w:r>
                              <w:t xml:space="preserve"> scenario was chosen. Then, four unique versions of the </w:t>
                            </w:r>
                            <w:r w:rsidRPr="00CE1AAF">
                              <w:rPr>
                                <w:i/>
                                <w:iCs/>
                              </w:rPr>
                              <w:t>informed management</w:t>
                            </w:r>
                            <w:r>
                              <w:t xml:space="preserve"> scenario were modelled until a final selection was made. </w:t>
                            </w:r>
                          </w:p>
                          <w:p w14:paraId="5EF92D09" w14:textId="6BB5C6FD" w:rsidR="00B9526D" w:rsidRDefault="00B9526D" w:rsidP="000F4000">
                            <w:pPr>
                              <w:ind w:right="-80"/>
                            </w:pPr>
                            <w:r>
                              <w:t xml:space="preserve">As a result, not only was the DRR value informative, but so were ecosystem service valuations. Moreover, the Plan had broad acceptance and has served as a basis for sustainable development in Belize. </w:t>
                            </w:r>
                            <w:r>
                              <w:rPr>
                                <w:rFonts w:cs="Calibri"/>
                                <w:shd w:val="clear" w:color="auto" w:fill="FFFFFF"/>
                              </w:rPr>
                              <w:fldChar w:fldCharType="begin" w:fldLock="1"/>
                            </w:r>
                            <w:r>
                              <w:rPr>
                                <w:rFonts w:cs="Calibri"/>
                                <w:shd w:val="clear" w:color="auto" w:fill="FFFFFF"/>
                              </w:rPr>
                              <w:instrText>ADDIN CSL_CITATION {"citationItems":[{"id":"ITEM-1","itemData":{"abstract":"This case study highlights a real-world example of developing scenarios to inform coastal and marine spatial planning decisions. In this example, stakeholders engaged in an iterative process of scenario development, data were collected, ecosystem service impacts were assessed, and the results were used to inform national marine policy decisions in Belize. The case study offers background on the policy context and goals, and then delves into the experience with scenarios and draws lessons.","author":[{"dropping-particle":"","family":"Rosenthal","given":"Amy","non-dropping-particle":"","parse-names":false,"suffix":""},{"dropping-particle":"","family":"Verutes","given":"Gregory","non-dropping-particle":"","parse-names":false,"suffix":""},{"dropping-particle":"","family":"Arkema","given":"Katie","non-dropping-particle":"","parse-names":false,"suffix":""},{"dropping-particle":"","family":"Clarke","given":"Chantalle","non-dropping-particle":"","parse-names":false,"suffix":""},{"dropping-particle":"","family":"Canto","given":"Maritza","non-dropping-particle":"","parse-names":false,"suffix":""},{"dropping-particle":"","family":"Rosado","given":"Samir","non-dropping-particle":"","parse-names":false,"suffix":""},{"dropping-particle":"","family":"Wood","given":"Spencer","non-dropping-particle":"","parse-names":false,"suffix":""}],"id":"ITEM-1","issued":{"date-parts":[["2014"]]},"number-of-pages":"14","title":"InVEST Scenarios Case Study: Coastal Belize","type":"report"},"uris":["http://www.mendeley.com/documents/?uuid=41ffd83f-4538-407e-8f7a-170aa76a31f9"]}],"mendeley":{"formattedCitation":"(Rosenthal et al. 2014)","plainTextFormattedCitation":"(Rosenthal et al. 2014)","previouslyFormattedCitation":"(Rosenthal et al. 2014)"},"properties":{"noteIndex":0},"schema":"https://github.com/citation-style-language/schema/raw/master/csl-citation.json"}</w:instrText>
                            </w:r>
                            <w:r>
                              <w:rPr>
                                <w:rFonts w:cs="Calibri"/>
                                <w:shd w:val="clear" w:color="auto" w:fill="FFFFFF"/>
                              </w:rPr>
                              <w:fldChar w:fldCharType="separate"/>
                            </w:r>
                            <w:r w:rsidRPr="00AF0268">
                              <w:rPr>
                                <w:rFonts w:cs="Calibri"/>
                                <w:noProof/>
                                <w:shd w:val="clear" w:color="auto" w:fill="FFFFFF"/>
                              </w:rPr>
                              <w:t>(Rosenthal et al. 2014)</w:t>
                            </w:r>
                            <w:r>
                              <w:rPr>
                                <w:rFonts w:cs="Calibri"/>
                                <w:shd w:val="clear" w:color="auto" w:fill="FFFFFF"/>
                              </w:rPr>
                              <w:fldChar w:fldCharType="end"/>
                            </w:r>
                          </w:p>
                          <w:p w14:paraId="23452FDC" w14:textId="77777777" w:rsidR="00B9526D" w:rsidRDefault="00B9526D" w:rsidP="000F4000">
                            <w:pPr>
                              <w:ind w:right="-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1397E" id="_x0000_t202" coordsize="21600,21600" o:spt="202" path="m,l,21600r21600,l21600,xe">
                <v:stroke joinstyle="miter"/>
                <v:path gradientshapeok="t" o:connecttype="rect"/>
              </v:shapetype>
              <v:shape id="Text Box 2" o:spid="_x0000_s1026" type="#_x0000_t202" style="position:absolute;left:0;text-align:left;margin-left:412.65pt;margin-top:21.15pt;width:463.85pt;height:374.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">
                <v:textbox>
                  <w:txbxContent>
                    <w:p w14:paraId="58F68F43" w14:textId="6130E481" w:rsidR="00B9526D" w:rsidRPr="00C53CD4" w:rsidRDefault="00B9526D" w:rsidP="000F4000">
                      <w:pPr>
                        <w:ind w:right="-80"/>
                        <w:rPr>
                          <w:b/>
                          <w:bCs/>
                        </w:rPr>
                      </w:pPr>
                      <w:r w:rsidRPr="00C53CD4">
                        <w:rPr>
                          <w:b/>
                          <w:bCs/>
                        </w:rPr>
                        <w:t xml:space="preserve">Box </w:t>
                      </w:r>
                      <w:r>
                        <w:rPr>
                          <w:b/>
                          <w:bCs/>
                        </w:rPr>
                        <w:t>A</w:t>
                      </w:r>
                      <w:r w:rsidRPr="00C53CD4">
                        <w:rPr>
                          <w:b/>
                          <w:bCs/>
                        </w:rPr>
                        <w:t xml:space="preserve">: Belize </w:t>
                      </w:r>
                      <w:r>
                        <w:rPr>
                          <w:b/>
                          <w:bCs/>
                        </w:rPr>
                        <w:t xml:space="preserve">valuation: best in class </w:t>
                      </w:r>
                    </w:p>
                    <w:p w14:paraId="649FFCD1" w14:textId="342BDC6C" w:rsidR="00B9526D" w:rsidRDefault="00B9526D" w:rsidP="000F4000">
                      <w:pPr>
                        <w:ind w:right="-80"/>
                      </w:pPr>
                      <w:r>
                        <w:t xml:space="preserve">Belize’s ecosystem valuation, rather than being an external exercise, was a part of its Integrated Coastal Zone Management Plan. The Plan was developed through an iterative process that engaged a full range of stakeholders including government officials, environmentalists, fishers, hoteliers, tour operators, among others, all of whom had direct interest in the management of the shoreline. As a result, the explicit local valuation approaches based on InVEST </w:t>
                      </w:r>
                      <w:r>
                        <w:fldChar w:fldCharType="begin" w:fldLock="1"/>
                      </w:r>
                      <w:r>
                        <w:instrText>ADDIN CSL_CITATION {"citationItems":[{"id":"ITEM-1","itemData":{"URL":"http://releases.naturalcapitalproject.org/invest-userguide/latest/coastal_vulnerability.html","accessed":{"date-parts":[["2020","6","16"]]},"author":[{"dropping-particle":"","family":"The Natural Capital Project","given":"","non-dropping-particle":"","parse-names":false,"suffix":""}],"id":"ITEM-1","issued":{"date-parts":[["2019"]]},"title":"InVEST Coastal Vulnerability Model","type":"webpage"},"uris":["http://www.mendeley.com/documents/?uuid=3911256b-c224-4c3d-be04-06c731b6c827"]}],"mendeley":{"formattedCitation":"(The Natural Capital Project 2019)","plainTextFormattedCitation":"(The Natural Capital Project 2019)","previouslyFormattedCitation":"(The Natural Capital Project 2019)"},"properties":{"noteIndex":0},"schema":"https://github.com/citation-style-language/schema/raw/master/csl-citation.json"}</w:instrText>
                      </w:r>
                      <w:r>
                        <w:fldChar w:fldCharType="separate"/>
                      </w:r>
                      <w:r w:rsidRPr="00F22E3A">
                        <w:rPr>
                          <w:noProof/>
                        </w:rPr>
                        <w:t>(The Natural Capital Project 2019)</w:t>
                      </w:r>
                      <w:r>
                        <w:fldChar w:fldCharType="end"/>
                      </w:r>
                      <w:r>
                        <w:t>, influenced the zoning decisions of the Plan.</w:t>
                      </w:r>
                    </w:p>
                    <w:p w14:paraId="26D051DC" w14:textId="19C9C211" w:rsidR="00B9526D" w:rsidRDefault="00B9526D" w:rsidP="000F4000">
                      <w:pPr>
                        <w:ind w:right="-80"/>
                      </w:pPr>
                      <w:r>
                        <w:t xml:space="preserve">The Plan was developed by iteratively exploring development scenarios. The first iteration had three scenarios: </w:t>
                      </w:r>
                    </w:p>
                    <w:p w14:paraId="5BA6E04A" w14:textId="56B7F44E" w:rsidR="00B9526D" w:rsidRDefault="00B9526D" w:rsidP="000F4000">
                      <w:pPr>
                        <w:pStyle w:val="ListParagraph"/>
                        <w:numPr>
                          <w:ilvl w:val="0"/>
                          <w:numId w:val="46"/>
                        </w:numPr>
                        <w:ind w:right="-80"/>
                      </w:pPr>
                      <w:r w:rsidRPr="006838B7">
                        <w:rPr>
                          <w:i/>
                          <w:iCs/>
                        </w:rPr>
                        <w:t>Conservation</w:t>
                      </w:r>
                      <w:r>
                        <w:t xml:space="preserve">, representing the view of environmentalists </w:t>
                      </w:r>
                    </w:p>
                    <w:p w14:paraId="0F86A870" w14:textId="69316991" w:rsidR="00B9526D" w:rsidRDefault="00B9526D" w:rsidP="000F4000">
                      <w:pPr>
                        <w:pStyle w:val="ListParagraph"/>
                        <w:numPr>
                          <w:ilvl w:val="0"/>
                          <w:numId w:val="46"/>
                        </w:numPr>
                        <w:ind w:right="-80"/>
                      </w:pPr>
                      <w:r w:rsidRPr="006838B7">
                        <w:rPr>
                          <w:i/>
                          <w:iCs/>
                        </w:rPr>
                        <w:t>Development</w:t>
                      </w:r>
                      <w:r>
                        <w:t xml:space="preserve">, based on rapid natural resource utilization and urban expansion </w:t>
                      </w:r>
                    </w:p>
                    <w:p w14:paraId="49C05159" w14:textId="443C22A1" w:rsidR="00B9526D" w:rsidRDefault="00B9526D" w:rsidP="000F4000">
                      <w:pPr>
                        <w:pStyle w:val="ListParagraph"/>
                        <w:numPr>
                          <w:ilvl w:val="0"/>
                          <w:numId w:val="46"/>
                        </w:numPr>
                        <w:ind w:right="-80"/>
                      </w:pPr>
                      <w:r w:rsidRPr="006838B7">
                        <w:rPr>
                          <w:i/>
                          <w:iCs/>
                        </w:rPr>
                        <w:t>Informed management</w:t>
                      </w:r>
                      <w:r>
                        <w:t xml:space="preserve">, that balanced conservation and development perspectives </w:t>
                      </w:r>
                    </w:p>
                    <w:p w14:paraId="46559A28" w14:textId="3D388952" w:rsidR="00B9526D" w:rsidRDefault="00B9526D" w:rsidP="000F4000">
                      <w:pPr>
                        <w:ind w:right="-80"/>
                      </w:pPr>
                      <w:r>
                        <w:t xml:space="preserve">After initial data gathering, local stakeholder groups were formed to explore the scenarios. Training, expert interviews, field trips, public comments among other measures were used to ensure acceptance of the process and science. Numerous mapping and InVEST modelling exercises were run (including DRR, fishing, tourism) until the </w:t>
                      </w:r>
                      <w:r w:rsidRPr="00CE1AAF">
                        <w:rPr>
                          <w:i/>
                          <w:iCs/>
                        </w:rPr>
                        <w:t>informed management</w:t>
                      </w:r>
                      <w:r>
                        <w:t xml:space="preserve"> scenario was chosen. Then, four unique versions of the </w:t>
                      </w:r>
                      <w:r w:rsidRPr="00CE1AAF">
                        <w:rPr>
                          <w:i/>
                          <w:iCs/>
                        </w:rPr>
                        <w:t>informed management</w:t>
                      </w:r>
                      <w:r>
                        <w:t xml:space="preserve"> scenario were modelled until a final selection was made. </w:t>
                      </w:r>
                    </w:p>
                    <w:p w14:paraId="5EF92D09" w14:textId="6BB5C6FD" w:rsidR="00B9526D" w:rsidRDefault="00B9526D" w:rsidP="000F4000">
                      <w:pPr>
                        <w:ind w:right="-80"/>
                      </w:pPr>
                      <w:r>
                        <w:t xml:space="preserve">As a result, not only was the DRR value informative, but so were ecosystem service valuations. Moreover, the Plan had broad acceptance and has served as a basis for sustainable development in Belize. </w:t>
                      </w:r>
                      <w:r>
                        <w:rPr>
                          <w:rFonts w:cs="Calibri"/>
                          <w:shd w:val="clear" w:color="auto" w:fill="FFFFFF"/>
                        </w:rPr>
                        <w:fldChar w:fldCharType="begin" w:fldLock="1"/>
                      </w:r>
                      <w:r>
                        <w:rPr>
                          <w:rFonts w:cs="Calibri"/>
                          <w:shd w:val="clear" w:color="auto" w:fill="FFFFFF"/>
                        </w:rPr>
                        <w:instrText>ADDIN CSL_CITATION {"citationItems":[{"id":"ITEM-1","itemData":{"abstract":"This case study highlights a real-world example of developing scenarios to inform coastal and marine spatial planning decisions. In this example, stakeholders engaged in an iterative process of scenario development, data were collected, ecosystem service impacts were assessed, and the results were used to inform national marine policy decisions in Belize. The case study offers background on the policy context and goals, and then delves into the experience with scenarios and draws lessons.","author":[{"dropping-particle":"","family":"Rosenthal","given":"Amy","non-dropping-particle":"","parse-names":false,"suffix":""},{"dropping-particle":"","family":"Verutes","given":"Gregory","non-dropping-particle":"","parse-names":false,"suffix":""},{"dropping-particle":"","family":"Arkema","given":"Katie","non-dropping-particle":"","parse-names":false,"suffix":""},{"dropping-particle":"","family":"Clarke","given":"Chantalle","non-dropping-particle":"","parse-names":false,"suffix":""},{"dropping-particle":"","family":"Canto","given":"Maritza","non-dropping-particle":"","parse-names":false,"suffix":""},{"dropping-particle":"","family":"Rosado","given":"Samir","non-dropping-particle":"","parse-names":false,"suffix":""},{"dropping-particle":"","family":"Wood","given":"Spencer","non-dropping-particle":"","parse-names":false,"suffix":""}],"id":"ITEM-1","issued":{"date-parts":[["2014"]]},"number-of-pages":"14","title":"InVEST Scenarios Case Study: Coastal Belize","type":"report"},"uris":["http://www.mendeley.com/documents/?uuid=41ffd83f-4538-407e-8f7a-170aa76a31f9"]}],"mendeley":{"formattedCitation":"(Rosenthal et al. 2014)","plainTextFormattedCitation":"(Rosenthal et al. 2014)","previouslyFormattedCitation":"(Rosenthal et al. 2014)"},"properties":{"noteIndex":0},"schema":"https://github.com/citation-style-language/schema/raw/master/csl-citation.json"}</w:instrText>
                      </w:r>
                      <w:r>
                        <w:rPr>
                          <w:rFonts w:cs="Calibri"/>
                          <w:shd w:val="clear" w:color="auto" w:fill="FFFFFF"/>
                        </w:rPr>
                        <w:fldChar w:fldCharType="separate"/>
                      </w:r>
                      <w:r w:rsidRPr="00AF0268">
                        <w:rPr>
                          <w:rFonts w:cs="Calibri"/>
                          <w:noProof/>
                          <w:shd w:val="clear" w:color="auto" w:fill="FFFFFF"/>
                        </w:rPr>
                        <w:t>(Rosenthal et al. 2014)</w:t>
                      </w:r>
                      <w:r>
                        <w:rPr>
                          <w:rFonts w:cs="Calibri"/>
                          <w:shd w:val="clear" w:color="auto" w:fill="FFFFFF"/>
                        </w:rPr>
                        <w:fldChar w:fldCharType="end"/>
                      </w:r>
                    </w:p>
                    <w:p w14:paraId="23452FDC" w14:textId="77777777" w:rsidR="00B9526D" w:rsidRDefault="00B9526D" w:rsidP="000F4000">
                      <w:pPr>
                        <w:ind w:right="-80"/>
                      </w:pPr>
                    </w:p>
                  </w:txbxContent>
                </v:textbox>
                <w10:wrap type="topAndBottom" anchorx="margin"/>
              </v:shape>
            </w:pict>
          </mc:Fallback>
        </mc:AlternateContent>
      </w:r>
    </w:p>
    <w:p w14:paraId="59D7DEA5" w14:textId="4834B551" w:rsidR="00976FD6" w:rsidRPr="00BC7A12" w:rsidRDefault="00976FD6" w:rsidP="0071639F">
      <w:pPr>
        <w:rPr>
          <w:rFonts w:cs="Calibri"/>
        </w:rPr>
      </w:pPr>
      <w:r w:rsidRPr="00BC7A12">
        <w:rPr>
          <w:rFonts w:cs="Calibri"/>
        </w:rPr>
        <w:t xml:space="preserve"> </w:t>
      </w:r>
    </w:p>
    <w:p w14:paraId="41186305" w14:textId="460A1554" w:rsidR="00920B96" w:rsidRPr="00BC7A12" w:rsidRDefault="00920B96" w:rsidP="0071639F">
      <w:pPr>
        <w:rPr>
          <w:rFonts w:cs="Calibri"/>
        </w:rPr>
      </w:pPr>
    </w:p>
    <w:p w14:paraId="135D7397" w14:textId="6758CD6C" w:rsidR="0071639F" w:rsidRPr="00BC7A12" w:rsidRDefault="0071639F">
      <w:pPr>
        <w:spacing w:after="200" w:line="276" w:lineRule="auto"/>
        <w:jc w:val="left"/>
        <w:rPr>
          <w:rFonts w:cs="Calibri"/>
        </w:rPr>
      </w:pPr>
      <w:r w:rsidRPr="00BC7A12">
        <w:rPr>
          <w:rFonts w:cs="Calibri"/>
        </w:rPr>
        <w:br w:type="page"/>
      </w:r>
    </w:p>
    <w:p w14:paraId="37118B72" w14:textId="5636ED35" w:rsidR="00E66118" w:rsidRPr="00BC7A12" w:rsidRDefault="00E66118" w:rsidP="00E66118">
      <w:pPr>
        <w:pStyle w:val="Heading2"/>
        <w:rPr>
          <w:rFonts w:cs="Calibri"/>
        </w:rPr>
      </w:pPr>
      <w:bookmarkStart w:id="58" w:name="_Toc46822311"/>
      <w:r w:rsidRPr="00BC7A12">
        <w:rPr>
          <w:rFonts w:cs="Calibri"/>
        </w:rPr>
        <w:lastRenderedPageBreak/>
        <w:t>Pacific island nations</w:t>
      </w:r>
      <w:bookmarkEnd w:id="58"/>
      <w:r w:rsidRPr="00BC7A12">
        <w:rPr>
          <w:rFonts w:cs="Calibri"/>
        </w:rPr>
        <w:t xml:space="preserve"> </w:t>
      </w:r>
    </w:p>
    <w:p w14:paraId="5E286118" w14:textId="69502EEA" w:rsidR="00B96287" w:rsidRPr="00BC7A12" w:rsidRDefault="0080457E" w:rsidP="00E04192">
      <w:pPr>
        <w:rPr>
          <w:rFonts w:cs="Calibri"/>
        </w:rPr>
      </w:pPr>
      <w:r w:rsidRPr="00BC7A12">
        <w:rPr>
          <w:rFonts w:cs="Calibri"/>
        </w:rPr>
        <w:t>Under the Ramsar Convention</w:t>
      </w:r>
      <w:r w:rsidR="00B42E83" w:rsidRPr="00BC7A12">
        <w:rPr>
          <w:rFonts w:cs="Calibri"/>
        </w:rPr>
        <w:t xml:space="preserve"> on Wetlands,</w:t>
      </w:r>
      <w:r w:rsidRPr="00BC7A12">
        <w:rPr>
          <w:rFonts w:cs="Calibri"/>
        </w:rPr>
        <w:t xml:space="preserve"> </w:t>
      </w:r>
      <w:r w:rsidR="00CE4B52" w:rsidRPr="00BC7A12">
        <w:rPr>
          <w:rFonts w:cs="Calibri"/>
        </w:rPr>
        <w:t xml:space="preserve">Australia is part of the Oceania Region, </w:t>
      </w:r>
      <w:r w:rsidRPr="00BC7A12">
        <w:rPr>
          <w:rFonts w:cs="Calibri"/>
        </w:rPr>
        <w:t>and has</w:t>
      </w:r>
      <w:r w:rsidR="00CE4B52" w:rsidRPr="00BC7A12">
        <w:rPr>
          <w:rFonts w:cs="Calibri"/>
        </w:rPr>
        <w:t xml:space="preserve"> an inter</w:t>
      </w:r>
      <w:r w:rsidRPr="00BC7A12">
        <w:rPr>
          <w:rFonts w:cs="Calibri"/>
        </w:rPr>
        <w:t>e</w:t>
      </w:r>
      <w:r w:rsidR="00CE4B52" w:rsidRPr="00BC7A12">
        <w:rPr>
          <w:rFonts w:cs="Calibri"/>
        </w:rPr>
        <w:t xml:space="preserve">st in </w:t>
      </w:r>
      <w:r w:rsidRPr="00BC7A12">
        <w:rPr>
          <w:rFonts w:cs="Calibri"/>
        </w:rPr>
        <w:t xml:space="preserve">promoting coastal wetland management in that Region, including in Pacific island Contracting Parties. </w:t>
      </w:r>
      <w:r w:rsidR="00B42E83" w:rsidRPr="00BC7A12">
        <w:rPr>
          <w:rFonts w:cs="Calibri"/>
        </w:rPr>
        <w:t xml:space="preserve">Members of the Group include Australia, Fiji, Kiribati, Marshall Islands, New Zealand, Palau, Papua New </w:t>
      </w:r>
      <w:proofErr w:type="gramStart"/>
      <w:r w:rsidR="00B42E83" w:rsidRPr="00BC7A12">
        <w:rPr>
          <w:rFonts w:cs="Calibri"/>
        </w:rPr>
        <w:t>Guinea</w:t>
      </w:r>
      <w:proofErr w:type="gramEnd"/>
      <w:r w:rsidR="00B42E83" w:rsidRPr="00BC7A12">
        <w:rPr>
          <w:rFonts w:cs="Calibri"/>
        </w:rPr>
        <w:t xml:space="preserve"> and Samoa. </w:t>
      </w:r>
      <w:r w:rsidR="00E04192" w:rsidRPr="00BC7A12">
        <w:rPr>
          <w:rFonts w:cs="Calibri"/>
        </w:rPr>
        <w:t xml:space="preserve">The value of coastal wetlands in the Pacific island nations has been challenged by development pressures. In competing for global </w:t>
      </w:r>
      <w:r w:rsidR="00B96287" w:rsidRPr="00BC7A12">
        <w:rPr>
          <w:rFonts w:cs="Calibri"/>
        </w:rPr>
        <w:t>tourism revenue, coastal wetland</w:t>
      </w:r>
      <w:r w:rsidR="00E04192" w:rsidRPr="00BC7A12">
        <w:rPr>
          <w:rFonts w:cs="Calibri"/>
        </w:rPr>
        <w:t xml:space="preserve">s </w:t>
      </w:r>
      <w:r w:rsidR="00B96287" w:rsidRPr="00BC7A12">
        <w:rPr>
          <w:rFonts w:cs="Calibri"/>
        </w:rPr>
        <w:t>have been replaced by resort</w:t>
      </w:r>
      <w:r w:rsidR="00E04192" w:rsidRPr="00BC7A12">
        <w:rPr>
          <w:rFonts w:cs="Calibri"/>
        </w:rPr>
        <w:t>s</w:t>
      </w:r>
      <w:r w:rsidR="00B96287" w:rsidRPr="00BC7A12">
        <w:rPr>
          <w:rFonts w:cs="Calibri"/>
        </w:rPr>
        <w:t xml:space="preserve">, golf courses, cruise ship terminals and </w:t>
      </w:r>
      <w:r w:rsidR="00E04192" w:rsidRPr="00BC7A12">
        <w:rPr>
          <w:rFonts w:cs="Calibri"/>
        </w:rPr>
        <w:t xml:space="preserve">retail centres. As a result, areas where wetlands have been removed or degraded are facing increasing risk from sea level rise </w:t>
      </w:r>
      <w:r w:rsidR="00B96287" w:rsidRPr="00BC7A12">
        <w:rPr>
          <w:rFonts w:cs="Calibri"/>
        </w:rPr>
        <w:t>and storm</w:t>
      </w:r>
      <w:r w:rsidR="00E04192" w:rsidRPr="00BC7A12">
        <w:rPr>
          <w:rFonts w:cs="Calibri"/>
        </w:rPr>
        <w:t>s</w:t>
      </w:r>
      <w:r w:rsidR="00B96287" w:rsidRPr="00BC7A12">
        <w:rPr>
          <w:rFonts w:cs="Calibri"/>
        </w:rPr>
        <w:t>.</w:t>
      </w:r>
      <w:r w:rsidR="00E04192" w:rsidRPr="00BC7A12">
        <w:rPr>
          <w:rFonts w:cs="Calibri"/>
        </w:rPr>
        <w:t xml:space="preserve"> </w:t>
      </w:r>
      <w:r w:rsidR="00B96287" w:rsidRPr="00BC7A12">
        <w:rPr>
          <w:rFonts w:cs="Calibri"/>
        </w:rPr>
        <w:t xml:space="preserve"> </w:t>
      </w:r>
      <w:r w:rsidR="00772376" w:rsidRPr="00BC7A12">
        <w:rPr>
          <w:rFonts w:cs="Calibri"/>
        </w:rPr>
        <w:t xml:space="preserve">Valuation exercises have been undertaken to inform these types of decisions. </w:t>
      </w:r>
    </w:p>
    <w:p w14:paraId="7D0841F3" w14:textId="3480E32F" w:rsidR="00772376" w:rsidRPr="00BC7A12" w:rsidRDefault="00772376" w:rsidP="00E04192">
      <w:pPr>
        <w:rPr>
          <w:rFonts w:cs="Calibri"/>
        </w:rPr>
      </w:pPr>
      <w:r w:rsidRPr="00BC7A12">
        <w:rPr>
          <w:rFonts w:cs="Calibri"/>
        </w:rPr>
        <w:t xml:space="preserve">A </w:t>
      </w:r>
      <w:r w:rsidR="005A6532" w:rsidRPr="00BC7A12">
        <w:rPr>
          <w:rFonts w:cs="Calibri"/>
        </w:rPr>
        <w:t xml:space="preserve">total of </w:t>
      </w:r>
      <w:r w:rsidRPr="00BC7A12">
        <w:rPr>
          <w:rFonts w:cs="Calibri"/>
        </w:rPr>
        <w:t>10 DRR v</w:t>
      </w:r>
      <w:r w:rsidR="00E04192" w:rsidRPr="00BC7A12">
        <w:rPr>
          <w:rFonts w:cs="Calibri"/>
        </w:rPr>
        <w:t xml:space="preserve">aluations </w:t>
      </w:r>
      <w:r w:rsidRPr="00BC7A12">
        <w:rPr>
          <w:rFonts w:cs="Calibri"/>
        </w:rPr>
        <w:t xml:space="preserve">studies </w:t>
      </w:r>
      <w:r w:rsidR="003B493F" w:rsidRPr="00BC7A12">
        <w:rPr>
          <w:rFonts w:cs="Calibri"/>
        </w:rPr>
        <w:t xml:space="preserve">from </w:t>
      </w:r>
      <w:r w:rsidR="00972D9B" w:rsidRPr="00BC7A12">
        <w:rPr>
          <w:rFonts w:cs="Calibri"/>
        </w:rPr>
        <w:t>Fiji,</w:t>
      </w:r>
      <w:r w:rsidR="00EB7D12" w:rsidRPr="00BC7A12">
        <w:rPr>
          <w:rFonts w:cs="Calibri"/>
        </w:rPr>
        <w:t xml:space="preserve"> </w:t>
      </w:r>
      <w:r w:rsidR="00C66523" w:rsidRPr="00BC7A12">
        <w:rPr>
          <w:rFonts w:cs="Calibri"/>
        </w:rPr>
        <w:t>Kiribati, Samoa</w:t>
      </w:r>
      <w:r w:rsidR="00972D9B" w:rsidRPr="00BC7A12">
        <w:rPr>
          <w:rFonts w:cs="Calibri"/>
        </w:rPr>
        <w:t xml:space="preserve">, Solomon Island, </w:t>
      </w:r>
      <w:proofErr w:type="gramStart"/>
      <w:r w:rsidR="00972D9B" w:rsidRPr="00BC7A12">
        <w:rPr>
          <w:rFonts w:cs="Calibri"/>
        </w:rPr>
        <w:t>Tonga</w:t>
      </w:r>
      <w:proofErr w:type="gramEnd"/>
      <w:r w:rsidR="00C66523" w:rsidRPr="00BC7A12">
        <w:rPr>
          <w:rFonts w:cs="Calibri"/>
        </w:rPr>
        <w:t xml:space="preserve"> and the </w:t>
      </w:r>
      <w:r w:rsidR="00972D9B" w:rsidRPr="00BC7A12">
        <w:rPr>
          <w:rFonts w:cs="Calibri"/>
        </w:rPr>
        <w:t>Vanuatu</w:t>
      </w:r>
      <w:r w:rsidR="003B493F" w:rsidRPr="00BC7A12">
        <w:rPr>
          <w:rFonts w:cs="Calibri"/>
        </w:rPr>
        <w:t xml:space="preserve"> have been captured</w:t>
      </w:r>
      <w:r w:rsidRPr="00BC7A12">
        <w:rPr>
          <w:rFonts w:cs="Calibri"/>
        </w:rPr>
        <w:t>. The</w:t>
      </w:r>
      <w:r w:rsidR="003B493F" w:rsidRPr="00BC7A12">
        <w:rPr>
          <w:rFonts w:cs="Calibri"/>
        </w:rPr>
        <w:t>y</w:t>
      </w:r>
      <w:r w:rsidRPr="00BC7A12">
        <w:rPr>
          <w:rFonts w:cs="Calibri"/>
        </w:rPr>
        <w:t xml:space="preserve"> value </w:t>
      </w:r>
      <w:r w:rsidR="00C66523" w:rsidRPr="00BC7A12">
        <w:rPr>
          <w:rFonts w:cs="Calibri"/>
        </w:rPr>
        <w:t xml:space="preserve">22 unique coastal wetlands and wetland groups (e.g. North Coast of Viti </w:t>
      </w:r>
      <w:proofErr w:type="spellStart"/>
      <w:r w:rsidR="00C66523" w:rsidRPr="00BC7A12">
        <w:rPr>
          <w:rFonts w:cs="Calibri"/>
        </w:rPr>
        <w:t>Levu</w:t>
      </w:r>
      <w:proofErr w:type="spellEnd"/>
      <w:r w:rsidR="00C66523" w:rsidRPr="00BC7A12">
        <w:rPr>
          <w:rFonts w:cs="Calibri"/>
        </w:rPr>
        <w:t>)</w:t>
      </w:r>
      <w:r w:rsidR="00106A9E" w:rsidRPr="00BC7A12">
        <w:rPr>
          <w:rFonts w:cs="Calibri"/>
        </w:rPr>
        <w:t xml:space="preserve"> (</w:t>
      </w:r>
      <w:r w:rsidR="00106A9E" w:rsidRPr="00BC7A12">
        <w:rPr>
          <w:rFonts w:cs="Calibri"/>
        </w:rPr>
        <w:fldChar w:fldCharType="begin"/>
      </w:r>
      <w:r w:rsidR="00106A9E" w:rsidRPr="00BC7A12">
        <w:rPr>
          <w:rFonts w:cs="Calibri"/>
        </w:rPr>
        <w:instrText xml:space="preserve"> REF _Ref43049857 \h </w:instrText>
      </w:r>
      <w:r w:rsidR="00FD3388" w:rsidRPr="00BC7A12">
        <w:rPr>
          <w:rFonts w:cs="Calibri"/>
        </w:rPr>
        <w:instrText xml:space="preserve"> \* MERGEFORMAT </w:instrText>
      </w:r>
      <w:r w:rsidR="00106A9E" w:rsidRPr="00BC7A12">
        <w:rPr>
          <w:rFonts w:cs="Calibri"/>
        </w:rPr>
      </w:r>
      <w:r w:rsidR="00106A9E" w:rsidRPr="00BC7A12">
        <w:rPr>
          <w:rFonts w:cs="Calibri"/>
        </w:rPr>
        <w:fldChar w:fldCharType="separate"/>
      </w:r>
      <w:r w:rsidR="00657E34" w:rsidRPr="00BC7A12">
        <w:rPr>
          <w:rFonts w:cs="Calibri"/>
        </w:rPr>
        <w:t xml:space="preserve">Table </w:t>
      </w:r>
      <w:r w:rsidR="00657E34" w:rsidRPr="00657E34">
        <w:rPr>
          <w:rFonts w:cs="Calibri"/>
          <w:noProof/>
        </w:rPr>
        <w:t>5</w:t>
      </w:r>
      <w:r w:rsidR="00106A9E" w:rsidRPr="00BC7A12">
        <w:rPr>
          <w:rFonts w:cs="Calibri"/>
        </w:rPr>
        <w:fldChar w:fldCharType="end"/>
      </w:r>
      <w:r w:rsidR="00106A9E" w:rsidRPr="00BC7A12">
        <w:rPr>
          <w:rFonts w:cs="Calibri"/>
        </w:rPr>
        <w:t>)</w:t>
      </w:r>
      <w:r w:rsidR="00C66523" w:rsidRPr="00BC7A12">
        <w:rPr>
          <w:rFonts w:cs="Calibri"/>
        </w:rPr>
        <w:t xml:space="preserve">. </w:t>
      </w:r>
      <w:r w:rsidR="00B954AE" w:rsidRPr="00BC7A12">
        <w:rPr>
          <w:rFonts w:cs="Calibri"/>
        </w:rPr>
        <w:t xml:space="preserve">Of these, </w:t>
      </w:r>
      <w:r w:rsidR="00C66523" w:rsidRPr="00BC7A12">
        <w:rPr>
          <w:rFonts w:cs="Calibri"/>
        </w:rPr>
        <w:t xml:space="preserve">18 were focused on coral reefs, 2 on intertidal marshes and 2 intertidal forested wetlands. </w:t>
      </w:r>
      <w:r w:rsidR="00B954AE" w:rsidRPr="00BC7A12">
        <w:rPr>
          <w:rFonts w:cs="Calibri"/>
        </w:rPr>
        <w:t xml:space="preserve">A total of </w:t>
      </w:r>
      <w:r w:rsidR="00C66523" w:rsidRPr="00BC7A12">
        <w:rPr>
          <w:rFonts w:cs="Calibri"/>
        </w:rPr>
        <w:t>2</w:t>
      </w:r>
      <w:r w:rsidR="00121404" w:rsidRPr="00BC7A12">
        <w:rPr>
          <w:rFonts w:cs="Calibri"/>
        </w:rPr>
        <w:t>0</w:t>
      </w:r>
      <w:r w:rsidR="00C66523" w:rsidRPr="00BC7A12">
        <w:rPr>
          <w:rFonts w:cs="Calibri"/>
        </w:rPr>
        <w:t xml:space="preserve"> </w:t>
      </w:r>
      <w:r w:rsidR="00CD6093" w:rsidRPr="00BC7A12">
        <w:rPr>
          <w:rFonts w:cs="Calibri"/>
        </w:rPr>
        <w:t xml:space="preserve">valuations </w:t>
      </w:r>
      <w:r w:rsidR="002C5F05" w:rsidRPr="00BC7A12">
        <w:rPr>
          <w:rFonts w:cs="Calibri"/>
        </w:rPr>
        <w:t xml:space="preserve">used EDF </w:t>
      </w:r>
      <w:r w:rsidR="00C66523" w:rsidRPr="00BC7A12">
        <w:rPr>
          <w:rFonts w:cs="Calibri"/>
        </w:rPr>
        <w:t>technique</w:t>
      </w:r>
      <w:r w:rsidR="00CD6093" w:rsidRPr="00BC7A12">
        <w:rPr>
          <w:rFonts w:cs="Calibri"/>
        </w:rPr>
        <w:t>s</w:t>
      </w:r>
      <w:r w:rsidR="0014079B" w:rsidRPr="00BC7A12">
        <w:rPr>
          <w:rFonts w:cs="Calibri"/>
        </w:rPr>
        <w:t xml:space="preserve">. </w:t>
      </w:r>
      <w:r w:rsidR="002C5F05" w:rsidRPr="00BC7A12">
        <w:rPr>
          <w:rFonts w:cs="Calibri"/>
        </w:rPr>
        <w:t xml:space="preserve">One used replacement </w:t>
      </w:r>
      <w:r w:rsidR="0014079B" w:rsidRPr="00BC7A12">
        <w:rPr>
          <w:rFonts w:cs="Calibri"/>
        </w:rPr>
        <w:t>cost</w:t>
      </w:r>
      <w:r w:rsidR="00F00D00" w:rsidRPr="00BC7A12">
        <w:rPr>
          <w:rFonts w:cs="Calibri"/>
        </w:rPr>
        <w:t xml:space="preserve"> </w:t>
      </w:r>
      <w:proofErr w:type="gramStart"/>
      <w:r w:rsidR="00F00D00" w:rsidRPr="00BC7A12">
        <w:rPr>
          <w:rFonts w:cs="Calibri"/>
        </w:rPr>
        <w:t>techniques</w:t>
      </w:r>
      <w:proofErr w:type="gramEnd"/>
      <w:r w:rsidR="0014079B" w:rsidRPr="00BC7A12">
        <w:rPr>
          <w:rFonts w:cs="Calibri"/>
        </w:rPr>
        <w:t>—</w:t>
      </w:r>
      <w:r w:rsidR="00F2345A" w:rsidRPr="00BC7A12">
        <w:rPr>
          <w:rFonts w:cs="Calibri"/>
        </w:rPr>
        <w:t xml:space="preserve">the costs of a </w:t>
      </w:r>
      <w:r w:rsidR="0014079B" w:rsidRPr="00BC7A12">
        <w:rPr>
          <w:rFonts w:cs="Calibri"/>
        </w:rPr>
        <w:t>seawall in Samoa.</w:t>
      </w:r>
      <w:r w:rsidR="00121404" w:rsidRPr="00BC7A12">
        <w:rPr>
          <w:rFonts w:cs="Calibri"/>
        </w:rPr>
        <w:t xml:space="preserve"> Another the production function—the index from Kiribati. </w:t>
      </w:r>
      <w:proofErr w:type="gramStart"/>
      <w:r w:rsidR="00F2345A" w:rsidRPr="00BC7A12">
        <w:rPr>
          <w:rFonts w:cs="Calibri"/>
        </w:rPr>
        <w:t>All</w:t>
      </w:r>
      <w:r w:rsidR="007E6588" w:rsidRPr="00BC7A12">
        <w:rPr>
          <w:rFonts w:cs="Calibri"/>
        </w:rPr>
        <w:t xml:space="preserve"> </w:t>
      </w:r>
      <w:r w:rsidR="00F2345A" w:rsidRPr="00BC7A12">
        <w:rPr>
          <w:rFonts w:cs="Calibri"/>
        </w:rPr>
        <w:t>of</w:t>
      </w:r>
      <w:proofErr w:type="gramEnd"/>
      <w:r w:rsidR="00F2345A" w:rsidRPr="00BC7A12">
        <w:rPr>
          <w:rFonts w:cs="Calibri"/>
        </w:rPr>
        <w:t xml:space="preserve"> these </w:t>
      </w:r>
      <w:r w:rsidR="003B493F" w:rsidRPr="00BC7A12">
        <w:rPr>
          <w:rFonts w:cs="Calibri"/>
        </w:rPr>
        <w:t>studies were conducted as part of coastal planning efforts</w:t>
      </w:r>
      <w:r w:rsidR="00E042F1" w:rsidRPr="00BC7A12">
        <w:rPr>
          <w:rFonts w:cs="Calibri"/>
        </w:rPr>
        <w:t>.</w:t>
      </w:r>
      <w:r w:rsidR="0014079B" w:rsidRPr="00BC7A12">
        <w:rPr>
          <w:rFonts w:cs="Calibri"/>
        </w:rPr>
        <w:t xml:space="preserve"> </w:t>
      </w:r>
    </w:p>
    <w:p w14:paraId="3BC696E1" w14:textId="744CEE9F" w:rsidR="00106A9E" w:rsidRPr="00BC7A12" w:rsidRDefault="00106A9E" w:rsidP="00106A9E">
      <w:pPr>
        <w:pStyle w:val="Caption"/>
        <w:keepNext/>
        <w:rPr>
          <w:rFonts w:cs="Calibri"/>
          <w:i w:val="0"/>
          <w:iCs w:val="0"/>
        </w:rPr>
      </w:pPr>
      <w:bookmarkStart w:id="59" w:name="_Ref43049857"/>
      <w:bookmarkStart w:id="60" w:name="_Toc46821744"/>
      <w:r w:rsidRPr="00BC7A12">
        <w:rPr>
          <w:rFonts w:cs="Calibri"/>
          <w:i w:val="0"/>
          <w:iCs w:val="0"/>
        </w:rPr>
        <w:t xml:space="preserve">Table </w:t>
      </w:r>
      <w:r w:rsidR="0015503F" w:rsidRPr="00BC7A12">
        <w:rPr>
          <w:rFonts w:cs="Calibri"/>
          <w:i w:val="0"/>
          <w:iCs w:val="0"/>
        </w:rPr>
        <w:fldChar w:fldCharType="begin"/>
      </w:r>
      <w:r w:rsidR="0015503F" w:rsidRPr="00BC7A12">
        <w:rPr>
          <w:rFonts w:cs="Calibri"/>
          <w:i w:val="0"/>
          <w:iCs w:val="0"/>
        </w:rPr>
        <w:instrText xml:space="preserve"> SEQ Table \* ARABIC </w:instrText>
      </w:r>
      <w:r w:rsidR="0015503F" w:rsidRPr="00BC7A12">
        <w:rPr>
          <w:rFonts w:cs="Calibri"/>
          <w:i w:val="0"/>
          <w:iCs w:val="0"/>
        </w:rPr>
        <w:fldChar w:fldCharType="separate"/>
      </w:r>
      <w:r w:rsidR="00657E34">
        <w:rPr>
          <w:rFonts w:cs="Calibri"/>
          <w:i w:val="0"/>
          <w:iCs w:val="0"/>
          <w:noProof/>
        </w:rPr>
        <w:t>5</w:t>
      </w:r>
      <w:r w:rsidR="0015503F" w:rsidRPr="00BC7A12">
        <w:rPr>
          <w:rFonts w:cs="Calibri"/>
          <w:i w:val="0"/>
          <w:iCs w:val="0"/>
          <w:noProof/>
        </w:rPr>
        <w:fldChar w:fldCharType="end"/>
      </w:r>
      <w:bookmarkEnd w:id="59"/>
      <w:r w:rsidRPr="00BC7A12">
        <w:rPr>
          <w:rFonts w:cs="Calibri"/>
          <w:i w:val="0"/>
          <w:iCs w:val="0"/>
        </w:rPr>
        <w:t xml:space="preserve"> Valuation studies from the Pacific</w:t>
      </w:r>
      <w:bookmarkEnd w:id="60"/>
    </w:p>
    <w:tbl>
      <w:tblPr>
        <w:tblStyle w:val="GridTable4"/>
        <w:tblW w:w="0" w:type="auto"/>
        <w:tblLook w:val="04A0" w:firstRow="1" w:lastRow="0" w:firstColumn="1" w:lastColumn="0" w:noHBand="0" w:noVBand="1"/>
      </w:tblPr>
      <w:tblGrid>
        <w:gridCol w:w="1000"/>
        <w:gridCol w:w="1208"/>
        <w:gridCol w:w="1387"/>
        <w:gridCol w:w="1442"/>
        <w:gridCol w:w="2378"/>
        <w:gridCol w:w="1601"/>
      </w:tblGrid>
      <w:tr w:rsidR="00CF4359" w:rsidRPr="00BC7A12" w14:paraId="7C23B67C" w14:textId="77777777" w:rsidTr="00EF3E19">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848484" w:themeFill="text1" w:themeFillTint="99"/>
            <w:noWrap/>
            <w:hideMark/>
          </w:tcPr>
          <w:p w14:paraId="15E796EF" w14:textId="77777777" w:rsidR="00CF4359" w:rsidRPr="00BC7A12" w:rsidRDefault="00CF4359" w:rsidP="00CF4359">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Country</w:t>
            </w:r>
          </w:p>
        </w:tc>
        <w:tc>
          <w:tcPr>
            <w:tcW w:w="0" w:type="auto"/>
            <w:shd w:val="clear" w:color="auto" w:fill="848484" w:themeFill="text1" w:themeFillTint="99"/>
            <w:noWrap/>
            <w:hideMark/>
          </w:tcPr>
          <w:p w14:paraId="7096127B" w14:textId="77777777" w:rsidR="00CF4359" w:rsidRPr="00BC7A12" w:rsidRDefault="00CF4359" w:rsidP="00CF4359">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BC7A12">
              <w:rPr>
                <w:rFonts w:eastAsia="Times New Roman" w:cs="Calibri"/>
                <w:color w:val="000000"/>
                <w:sz w:val="20"/>
                <w:szCs w:val="20"/>
                <w:lang w:eastAsia="en-AU"/>
              </w:rPr>
              <w:t xml:space="preserve">Wetland </w:t>
            </w:r>
          </w:p>
        </w:tc>
        <w:tc>
          <w:tcPr>
            <w:tcW w:w="0" w:type="auto"/>
            <w:shd w:val="clear" w:color="auto" w:fill="848484" w:themeFill="text1" w:themeFillTint="99"/>
            <w:noWrap/>
            <w:hideMark/>
          </w:tcPr>
          <w:p w14:paraId="484FF9B6" w14:textId="77777777" w:rsidR="00CF4359" w:rsidRPr="00BC7A12" w:rsidRDefault="00CF4359" w:rsidP="00CF4359">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BC7A12">
              <w:rPr>
                <w:rFonts w:eastAsia="Times New Roman" w:cs="Calibri"/>
                <w:color w:val="000000"/>
                <w:sz w:val="20"/>
                <w:szCs w:val="20"/>
                <w:lang w:eastAsia="en-AU"/>
              </w:rPr>
              <w:t>Ecosystem type</w:t>
            </w:r>
          </w:p>
        </w:tc>
        <w:tc>
          <w:tcPr>
            <w:tcW w:w="2341" w:type="dxa"/>
            <w:shd w:val="clear" w:color="auto" w:fill="848484" w:themeFill="text1" w:themeFillTint="99"/>
            <w:noWrap/>
            <w:hideMark/>
          </w:tcPr>
          <w:p w14:paraId="3F2B8CDD" w14:textId="77777777" w:rsidR="00CF4359" w:rsidRPr="00BC7A12" w:rsidRDefault="00CF4359" w:rsidP="00CF4359">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BC7A12">
              <w:rPr>
                <w:rFonts w:eastAsia="Times New Roman" w:cs="Calibri"/>
                <w:color w:val="000000"/>
                <w:sz w:val="20"/>
                <w:szCs w:val="20"/>
                <w:lang w:eastAsia="en-AU"/>
              </w:rPr>
              <w:t>Valuation technique</w:t>
            </w:r>
          </w:p>
        </w:tc>
        <w:tc>
          <w:tcPr>
            <w:tcW w:w="3963" w:type="dxa"/>
            <w:shd w:val="clear" w:color="auto" w:fill="848484" w:themeFill="text1" w:themeFillTint="99"/>
            <w:noWrap/>
            <w:hideMark/>
          </w:tcPr>
          <w:p w14:paraId="719C018F" w14:textId="77777777" w:rsidR="00BA1E03" w:rsidRPr="00BC7A12" w:rsidRDefault="00CF4359" w:rsidP="00CF4359">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eastAsia="en-AU"/>
              </w:rPr>
            </w:pPr>
            <w:r w:rsidRPr="00BC7A12">
              <w:rPr>
                <w:rFonts w:eastAsia="Times New Roman" w:cs="Calibri"/>
                <w:color w:val="000000"/>
                <w:sz w:val="20"/>
                <w:szCs w:val="20"/>
                <w:lang w:eastAsia="en-AU"/>
              </w:rPr>
              <w:t>Value</w:t>
            </w:r>
          </w:p>
          <w:p w14:paraId="04C7DAA6" w14:textId="2458CB6D" w:rsidR="00CF4359" w:rsidRPr="00BC7A12" w:rsidRDefault="00BA1E03" w:rsidP="00CF4359">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eastAsia="en-AU"/>
              </w:rPr>
            </w:pPr>
            <w:r w:rsidRPr="00BC7A12">
              <w:rPr>
                <w:rFonts w:eastAsia="Times New Roman" w:cs="Calibri"/>
                <w:b w:val="0"/>
                <w:bCs w:val="0"/>
                <w:color w:val="000000"/>
                <w:sz w:val="20"/>
                <w:szCs w:val="20"/>
                <w:lang w:eastAsia="en-AU"/>
              </w:rPr>
              <w:t>(annually)</w:t>
            </w:r>
          </w:p>
        </w:tc>
        <w:tc>
          <w:tcPr>
            <w:tcW w:w="0" w:type="auto"/>
            <w:shd w:val="clear" w:color="auto" w:fill="848484" w:themeFill="text1" w:themeFillTint="99"/>
            <w:noWrap/>
            <w:hideMark/>
          </w:tcPr>
          <w:p w14:paraId="021BB60D" w14:textId="77777777" w:rsidR="00CF4359" w:rsidRPr="00BC7A12" w:rsidRDefault="00CF4359" w:rsidP="00CF4359">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BC7A12">
              <w:rPr>
                <w:rFonts w:eastAsia="Times New Roman" w:cs="Calibri"/>
                <w:color w:val="000000"/>
                <w:sz w:val="20"/>
                <w:szCs w:val="20"/>
                <w:lang w:eastAsia="en-AU"/>
              </w:rPr>
              <w:t>Reference</w:t>
            </w:r>
          </w:p>
        </w:tc>
      </w:tr>
      <w:tr w:rsidR="00CF4359" w:rsidRPr="00BC7A12" w14:paraId="79F490F5" w14:textId="77777777" w:rsidTr="00F203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1CA1DF"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Fiji</w:t>
            </w:r>
          </w:p>
        </w:tc>
        <w:tc>
          <w:tcPr>
            <w:tcW w:w="0" w:type="auto"/>
            <w:noWrap/>
            <w:hideMark/>
          </w:tcPr>
          <w:p w14:paraId="427AA4EE" w14:textId="7CCA2708"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South coast of Viti </w:t>
            </w:r>
            <w:proofErr w:type="spellStart"/>
            <w:r w:rsidRPr="00BC7A12">
              <w:rPr>
                <w:rFonts w:eastAsia="Times New Roman" w:cs="Calibri"/>
                <w:color w:val="000000"/>
                <w:sz w:val="16"/>
                <w:szCs w:val="16"/>
                <w:lang w:eastAsia="en-AU"/>
              </w:rPr>
              <w:t>Levu</w:t>
            </w:r>
            <w:proofErr w:type="spellEnd"/>
          </w:p>
        </w:tc>
        <w:tc>
          <w:tcPr>
            <w:tcW w:w="0" w:type="auto"/>
            <w:noWrap/>
            <w:hideMark/>
          </w:tcPr>
          <w:p w14:paraId="76160BC9"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46CF14B5"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115A32CE" w14:textId="7D80DC9A" w:rsidR="00CF4359" w:rsidRPr="00BC7A12" w:rsidRDefault="00531298"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 (2014) </w:t>
            </w:r>
            <w:r w:rsidR="00CF4359" w:rsidRPr="00BC7A12">
              <w:rPr>
                <w:rFonts w:eastAsia="Times New Roman" w:cs="Calibri"/>
                <w:color w:val="000000"/>
                <w:sz w:val="16"/>
                <w:szCs w:val="16"/>
                <w:lang w:eastAsia="en-AU"/>
              </w:rPr>
              <w:t>2,796,764-5,813,205</w:t>
            </w:r>
            <w:r w:rsidRPr="00BC7A12">
              <w:rPr>
                <w:rFonts w:eastAsia="Times New Roman" w:cs="Calibri"/>
                <w:color w:val="000000"/>
                <w:sz w:val="16"/>
                <w:szCs w:val="16"/>
                <w:lang w:eastAsia="en-AU"/>
              </w:rPr>
              <w:t xml:space="preserve"> </w:t>
            </w:r>
          </w:p>
        </w:tc>
        <w:tc>
          <w:tcPr>
            <w:tcW w:w="0" w:type="auto"/>
            <w:noWrap/>
            <w:hideMark/>
          </w:tcPr>
          <w:p w14:paraId="4C5BD483"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Gonzalez, et al., 2015</w:t>
            </w:r>
          </w:p>
        </w:tc>
      </w:tr>
      <w:tr w:rsidR="00CF4359" w:rsidRPr="00BC7A12" w14:paraId="2DEC0D54"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6A125F"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Fiji</w:t>
            </w:r>
          </w:p>
        </w:tc>
        <w:tc>
          <w:tcPr>
            <w:tcW w:w="0" w:type="auto"/>
            <w:noWrap/>
            <w:hideMark/>
          </w:tcPr>
          <w:p w14:paraId="1E4F9AA9" w14:textId="0328AC11"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North coast of Viti </w:t>
            </w:r>
            <w:proofErr w:type="spellStart"/>
            <w:r w:rsidRPr="00BC7A12">
              <w:rPr>
                <w:rFonts w:eastAsia="Times New Roman" w:cs="Calibri"/>
                <w:color w:val="000000"/>
                <w:sz w:val="16"/>
                <w:szCs w:val="16"/>
                <w:lang w:eastAsia="en-AU"/>
              </w:rPr>
              <w:t>Levu</w:t>
            </w:r>
            <w:proofErr w:type="spellEnd"/>
          </w:p>
        </w:tc>
        <w:tc>
          <w:tcPr>
            <w:tcW w:w="0" w:type="auto"/>
            <w:noWrap/>
            <w:hideMark/>
          </w:tcPr>
          <w:p w14:paraId="6EECF832"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13FA75DA"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0A87DE07" w14:textId="539BEF23" w:rsidR="00CF4359" w:rsidRPr="00BC7A12" w:rsidRDefault="00531298"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US$(2014) </w:t>
            </w:r>
            <w:r w:rsidR="00CF4359" w:rsidRPr="00BC7A12">
              <w:rPr>
                <w:rFonts w:eastAsia="Times New Roman" w:cs="Calibri"/>
                <w:color w:val="000000"/>
                <w:sz w:val="16"/>
                <w:szCs w:val="16"/>
                <w:lang w:eastAsia="en-AU"/>
              </w:rPr>
              <w:t xml:space="preserve">2,139,373-3,565,6235 </w:t>
            </w:r>
          </w:p>
        </w:tc>
        <w:tc>
          <w:tcPr>
            <w:tcW w:w="0" w:type="auto"/>
            <w:noWrap/>
            <w:hideMark/>
          </w:tcPr>
          <w:p w14:paraId="195D5E01"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Gonzalez, et al., 2015</w:t>
            </w:r>
          </w:p>
        </w:tc>
      </w:tr>
      <w:tr w:rsidR="00CF4359" w:rsidRPr="00BC7A12" w14:paraId="13C51934" w14:textId="77777777" w:rsidTr="00F203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C8157F"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Fiji</w:t>
            </w:r>
          </w:p>
        </w:tc>
        <w:tc>
          <w:tcPr>
            <w:tcW w:w="0" w:type="auto"/>
            <w:noWrap/>
            <w:hideMark/>
          </w:tcPr>
          <w:p w14:paraId="3DED9C01" w14:textId="0AAF736E"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South coast of Vanua </w:t>
            </w:r>
            <w:proofErr w:type="spellStart"/>
            <w:r w:rsidRPr="00BC7A12">
              <w:rPr>
                <w:rFonts w:eastAsia="Times New Roman" w:cs="Calibri"/>
                <w:color w:val="000000"/>
                <w:sz w:val="16"/>
                <w:szCs w:val="16"/>
                <w:lang w:eastAsia="en-AU"/>
              </w:rPr>
              <w:t>Levu</w:t>
            </w:r>
            <w:proofErr w:type="spellEnd"/>
          </w:p>
        </w:tc>
        <w:tc>
          <w:tcPr>
            <w:tcW w:w="0" w:type="auto"/>
            <w:noWrap/>
            <w:hideMark/>
          </w:tcPr>
          <w:p w14:paraId="5F86974C"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49671CA5"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13C2BE36" w14:textId="203200D6" w:rsidR="00CF4359" w:rsidRPr="00BC7A12" w:rsidRDefault="00531298"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US$(2014) </w:t>
            </w:r>
            <w:r w:rsidR="00CF4359" w:rsidRPr="00BC7A12">
              <w:rPr>
                <w:rFonts w:eastAsia="Times New Roman" w:cs="Calibri"/>
                <w:color w:val="000000"/>
                <w:sz w:val="16"/>
                <w:szCs w:val="16"/>
                <w:lang w:eastAsia="en-AU"/>
              </w:rPr>
              <w:t xml:space="preserve">529,362-882,270 </w:t>
            </w:r>
          </w:p>
        </w:tc>
        <w:tc>
          <w:tcPr>
            <w:tcW w:w="0" w:type="auto"/>
            <w:noWrap/>
            <w:hideMark/>
          </w:tcPr>
          <w:p w14:paraId="3107D00C"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Gonzalez, et al., 2015</w:t>
            </w:r>
          </w:p>
        </w:tc>
      </w:tr>
      <w:tr w:rsidR="00CF4359" w:rsidRPr="00BC7A12" w14:paraId="20A4F35A"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64A640"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Fiji</w:t>
            </w:r>
          </w:p>
        </w:tc>
        <w:tc>
          <w:tcPr>
            <w:tcW w:w="0" w:type="auto"/>
            <w:noWrap/>
            <w:hideMark/>
          </w:tcPr>
          <w:p w14:paraId="2F4AAE3B" w14:textId="708BD5D6"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North coast of Vanua </w:t>
            </w:r>
            <w:proofErr w:type="spellStart"/>
            <w:r w:rsidRPr="00BC7A12">
              <w:rPr>
                <w:rFonts w:eastAsia="Times New Roman" w:cs="Calibri"/>
                <w:color w:val="000000"/>
                <w:sz w:val="16"/>
                <w:szCs w:val="16"/>
                <w:lang w:eastAsia="en-AU"/>
              </w:rPr>
              <w:t>Levu</w:t>
            </w:r>
            <w:proofErr w:type="spellEnd"/>
          </w:p>
        </w:tc>
        <w:tc>
          <w:tcPr>
            <w:tcW w:w="0" w:type="auto"/>
            <w:noWrap/>
            <w:hideMark/>
          </w:tcPr>
          <w:p w14:paraId="5F0AE420"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3FDE7F89"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55CF716D" w14:textId="3956D388" w:rsidR="00CF4359" w:rsidRPr="00BC7A12" w:rsidRDefault="00F26448"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US$(2014) </w:t>
            </w:r>
            <w:r w:rsidR="00CF4359" w:rsidRPr="00BC7A12">
              <w:rPr>
                <w:rFonts w:eastAsia="Times New Roman" w:cs="Calibri"/>
                <w:color w:val="000000"/>
                <w:sz w:val="16"/>
                <w:szCs w:val="16"/>
                <w:lang w:eastAsia="en-AU"/>
              </w:rPr>
              <w:t xml:space="preserve">283,852-473,086 </w:t>
            </w:r>
          </w:p>
        </w:tc>
        <w:tc>
          <w:tcPr>
            <w:tcW w:w="0" w:type="auto"/>
            <w:noWrap/>
            <w:hideMark/>
          </w:tcPr>
          <w:p w14:paraId="123F4774"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Gonzalez, et al., 2015</w:t>
            </w:r>
          </w:p>
        </w:tc>
      </w:tr>
      <w:tr w:rsidR="00CF4359" w:rsidRPr="00BC7A12" w14:paraId="59B71283" w14:textId="77777777" w:rsidTr="00F203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187EBC"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Fiji</w:t>
            </w:r>
          </w:p>
        </w:tc>
        <w:tc>
          <w:tcPr>
            <w:tcW w:w="0" w:type="auto"/>
            <w:noWrap/>
            <w:hideMark/>
          </w:tcPr>
          <w:p w14:paraId="0DC2F799" w14:textId="3F9764AC"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All coral reefs</w:t>
            </w:r>
          </w:p>
        </w:tc>
        <w:tc>
          <w:tcPr>
            <w:tcW w:w="0" w:type="auto"/>
            <w:noWrap/>
            <w:hideMark/>
          </w:tcPr>
          <w:p w14:paraId="0BA16175"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492473CF"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167BAFC8" w14:textId="52FDCE50" w:rsidR="00CF4359" w:rsidRPr="00BC7A12" w:rsidRDefault="00F26448"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US$(2014) </w:t>
            </w:r>
            <w:r w:rsidR="00CF4359" w:rsidRPr="00BC7A12">
              <w:rPr>
                <w:rFonts w:eastAsia="Times New Roman" w:cs="Calibri"/>
                <w:color w:val="000000"/>
                <w:sz w:val="16"/>
                <w:szCs w:val="16"/>
                <w:lang w:eastAsia="en-AU"/>
              </w:rPr>
              <w:t xml:space="preserve">6,368,785-10,614,642 </w:t>
            </w:r>
          </w:p>
        </w:tc>
        <w:tc>
          <w:tcPr>
            <w:tcW w:w="0" w:type="auto"/>
            <w:noWrap/>
            <w:hideMark/>
          </w:tcPr>
          <w:p w14:paraId="22134E7F"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Gonzalez, et al., 2015</w:t>
            </w:r>
          </w:p>
        </w:tc>
      </w:tr>
      <w:tr w:rsidR="00CF4359" w:rsidRPr="00BC7A12" w14:paraId="2CA02D5D"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4E0427"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Fiji</w:t>
            </w:r>
          </w:p>
        </w:tc>
        <w:tc>
          <w:tcPr>
            <w:tcW w:w="0" w:type="auto"/>
            <w:hideMark/>
          </w:tcPr>
          <w:p w14:paraId="4F0240D5"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Viti </w:t>
            </w:r>
            <w:proofErr w:type="spellStart"/>
            <w:r w:rsidRPr="00BC7A12">
              <w:rPr>
                <w:rFonts w:eastAsia="Times New Roman" w:cs="Calibri"/>
                <w:color w:val="000000"/>
                <w:sz w:val="16"/>
                <w:szCs w:val="16"/>
                <w:lang w:eastAsia="en-AU"/>
              </w:rPr>
              <w:t>Levu</w:t>
            </w:r>
            <w:proofErr w:type="spellEnd"/>
            <w:r w:rsidRPr="00BC7A12">
              <w:rPr>
                <w:rFonts w:eastAsia="Times New Roman" w:cs="Calibri"/>
                <w:color w:val="000000"/>
                <w:sz w:val="16"/>
                <w:szCs w:val="16"/>
                <w:lang w:eastAsia="en-AU"/>
              </w:rPr>
              <w:t xml:space="preserve"> and Vanua </w:t>
            </w:r>
            <w:proofErr w:type="spellStart"/>
            <w:r w:rsidRPr="00BC7A12">
              <w:rPr>
                <w:rFonts w:eastAsia="Times New Roman" w:cs="Calibri"/>
                <w:color w:val="000000"/>
                <w:sz w:val="16"/>
                <w:szCs w:val="16"/>
                <w:lang w:eastAsia="en-AU"/>
              </w:rPr>
              <w:t>Levu</w:t>
            </w:r>
            <w:proofErr w:type="spellEnd"/>
            <w:r w:rsidRPr="00BC7A12">
              <w:rPr>
                <w:rFonts w:eastAsia="Times New Roman" w:cs="Calibri"/>
                <w:color w:val="000000"/>
                <w:sz w:val="16"/>
                <w:szCs w:val="16"/>
                <w:lang w:eastAsia="en-AU"/>
              </w:rPr>
              <w:t xml:space="preserve"> </w:t>
            </w:r>
          </w:p>
        </w:tc>
        <w:tc>
          <w:tcPr>
            <w:tcW w:w="0" w:type="auto"/>
            <w:noWrap/>
            <w:hideMark/>
          </w:tcPr>
          <w:p w14:paraId="247DFE1A"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I — Intertidal forested marshes</w:t>
            </w:r>
          </w:p>
        </w:tc>
        <w:tc>
          <w:tcPr>
            <w:tcW w:w="2341" w:type="dxa"/>
            <w:hideMark/>
          </w:tcPr>
          <w:p w14:paraId="1089F34E"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1747B23B" w14:textId="6DE0BEF5" w:rsidR="00CF4359" w:rsidRPr="00BC7A12" w:rsidRDefault="00F26448"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US$(2015) </w:t>
            </w:r>
            <w:r w:rsidR="00CF4359" w:rsidRPr="00BC7A12">
              <w:rPr>
                <w:rFonts w:eastAsia="Times New Roman" w:cs="Calibri"/>
                <w:color w:val="000000"/>
                <w:sz w:val="16"/>
                <w:szCs w:val="16"/>
                <w:lang w:eastAsia="en-AU"/>
              </w:rPr>
              <w:t>88,000-610,000 USD</w:t>
            </w:r>
            <w:r w:rsidRPr="00BC7A12">
              <w:rPr>
                <w:rFonts w:eastAsia="Times New Roman" w:cs="Calibri"/>
                <w:color w:val="000000"/>
                <w:sz w:val="16"/>
                <w:szCs w:val="16"/>
                <w:lang w:eastAsia="en-AU"/>
              </w:rPr>
              <w:t xml:space="preserve"> </w:t>
            </w:r>
          </w:p>
        </w:tc>
        <w:tc>
          <w:tcPr>
            <w:tcW w:w="0" w:type="auto"/>
            <w:noWrap/>
            <w:hideMark/>
          </w:tcPr>
          <w:p w14:paraId="348D526F"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Atkinson, et al., 2016</w:t>
            </w:r>
          </w:p>
        </w:tc>
      </w:tr>
      <w:tr w:rsidR="00CF4359" w:rsidRPr="00BC7A12" w14:paraId="3A784F4E" w14:textId="77777777" w:rsidTr="00F20359">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0" w:type="auto"/>
            <w:noWrap/>
            <w:hideMark/>
          </w:tcPr>
          <w:p w14:paraId="17F915BD"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Kiribati</w:t>
            </w:r>
          </w:p>
        </w:tc>
        <w:tc>
          <w:tcPr>
            <w:tcW w:w="0" w:type="auto"/>
            <w:noWrap/>
            <w:hideMark/>
          </w:tcPr>
          <w:p w14:paraId="49C3BC0A"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All of Kiribati</w:t>
            </w:r>
          </w:p>
        </w:tc>
        <w:tc>
          <w:tcPr>
            <w:tcW w:w="0" w:type="auto"/>
            <w:noWrap/>
            <w:hideMark/>
          </w:tcPr>
          <w:p w14:paraId="7511B74D"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43B205D9" w14:textId="07565E81" w:rsidR="00CF4359" w:rsidRPr="00BC7A12" w:rsidRDefault="003B493F"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Production function </w:t>
            </w:r>
          </w:p>
        </w:tc>
        <w:tc>
          <w:tcPr>
            <w:tcW w:w="3963" w:type="dxa"/>
            <w:hideMark/>
          </w:tcPr>
          <w:p w14:paraId="1F973FDC" w14:textId="6AB77C08" w:rsidR="00CF4359" w:rsidRPr="00BC7A12" w:rsidRDefault="006A1058"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I</w:t>
            </w:r>
            <w:r w:rsidR="00CF4359" w:rsidRPr="00BC7A12">
              <w:rPr>
                <w:rFonts w:eastAsia="Times New Roman" w:cs="Calibri"/>
                <w:color w:val="000000"/>
                <w:sz w:val="16"/>
                <w:szCs w:val="16"/>
                <w:lang w:eastAsia="en-AU"/>
              </w:rPr>
              <w:t xml:space="preserve">ndex of 2, 2, 2, and 3 (out of 5) for North Tarawa, South Tarawa, </w:t>
            </w:r>
            <w:proofErr w:type="spellStart"/>
            <w:r w:rsidR="00CF4359" w:rsidRPr="00BC7A12">
              <w:rPr>
                <w:rFonts w:eastAsia="Times New Roman" w:cs="Calibri"/>
                <w:color w:val="000000"/>
                <w:sz w:val="16"/>
                <w:szCs w:val="16"/>
                <w:lang w:eastAsia="en-AU"/>
              </w:rPr>
              <w:t>Abaiang</w:t>
            </w:r>
            <w:proofErr w:type="spellEnd"/>
            <w:r w:rsidR="00CF4359" w:rsidRPr="00BC7A12">
              <w:rPr>
                <w:rFonts w:eastAsia="Times New Roman" w:cs="Calibri"/>
                <w:color w:val="000000"/>
                <w:sz w:val="16"/>
                <w:szCs w:val="16"/>
                <w:lang w:eastAsia="en-AU"/>
              </w:rPr>
              <w:t xml:space="preserve"> and Kiritimati respectively</w:t>
            </w:r>
          </w:p>
        </w:tc>
        <w:tc>
          <w:tcPr>
            <w:tcW w:w="0" w:type="auto"/>
            <w:noWrap/>
            <w:hideMark/>
          </w:tcPr>
          <w:p w14:paraId="08798F3A"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Rouatu</w:t>
            </w:r>
            <w:proofErr w:type="spellEnd"/>
            <w:r w:rsidRPr="00BC7A12">
              <w:rPr>
                <w:rFonts w:eastAsia="Times New Roman" w:cs="Calibri"/>
                <w:color w:val="000000"/>
                <w:sz w:val="16"/>
                <w:szCs w:val="16"/>
                <w:lang w:eastAsia="en-AU"/>
              </w:rPr>
              <w:t>, et al. 2017</w:t>
            </w:r>
          </w:p>
        </w:tc>
      </w:tr>
      <w:tr w:rsidR="00CF4359" w:rsidRPr="00BC7A12" w14:paraId="3A174259"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8735C2"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Samoa</w:t>
            </w:r>
          </w:p>
        </w:tc>
        <w:tc>
          <w:tcPr>
            <w:tcW w:w="0" w:type="auto"/>
            <w:noWrap/>
            <w:hideMark/>
          </w:tcPr>
          <w:p w14:paraId="422625D3" w14:textId="6C857A89"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Sataoa</w:t>
            </w:r>
            <w:proofErr w:type="spellEnd"/>
            <w:r w:rsidRPr="00BC7A12">
              <w:rPr>
                <w:rFonts w:eastAsia="Times New Roman" w:cs="Calibri"/>
                <w:color w:val="000000"/>
                <w:sz w:val="16"/>
                <w:szCs w:val="16"/>
                <w:lang w:eastAsia="en-AU"/>
              </w:rPr>
              <w:t xml:space="preserve"> and </w:t>
            </w:r>
            <w:proofErr w:type="spellStart"/>
            <w:r w:rsidRPr="00BC7A12">
              <w:rPr>
                <w:rFonts w:eastAsia="Times New Roman" w:cs="Calibri"/>
                <w:color w:val="000000"/>
                <w:sz w:val="16"/>
                <w:szCs w:val="16"/>
                <w:lang w:eastAsia="en-AU"/>
              </w:rPr>
              <w:t>Sa’anapu</w:t>
            </w:r>
            <w:proofErr w:type="spellEnd"/>
          </w:p>
        </w:tc>
        <w:tc>
          <w:tcPr>
            <w:tcW w:w="0" w:type="auto"/>
            <w:noWrap/>
            <w:hideMark/>
          </w:tcPr>
          <w:p w14:paraId="4C85DB08"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I — Intertidal forested marshes</w:t>
            </w:r>
          </w:p>
        </w:tc>
        <w:tc>
          <w:tcPr>
            <w:tcW w:w="2341" w:type="dxa"/>
            <w:hideMark/>
          </w:tcPr>
          <w:p w14:paraId="46309168"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Replacement costs </w:t>
            </w:r>
          </w:p>
        </w:tc>
        <w:tc>
          <w:tcPr>
            <w:tcW w:w="3963" w:type="dxa"/>
            <w:noWrap/>
            <w:hideMark/>
          </w:tcPr>
          <w:p w14:paraId="504711E8" w14:textId="7004D4B7" w:rsidR="00CF4359" w:rsidRPr="00BC7A12" w:rsidRDefault="00F26448"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WST$(2001) </w:t>
            </w:r>
            <w:r w:rsidR="00CF4359" w:rsidRPr="00BC7A12">
              <w:rPr>
                <w:rFonts w:eastAsia="Times New Roman" w:cs="Calibri"/>
                <w:color w:val="000000"/>
                <w:sz w:val="16"/>
                <w:szCs w:val="16"/>
                <w:lang w:eastAsia="en-AU"/>
              </w:rPr>
              <w:t xml:space="preserve">6,425,000 </w:t>
            </w:r>
          </w:p>
        </w:tc>
        <w:tc>
          <w:tcPr>
            <w:tcW w:w="0" w:type="auto"/>
            <w:noWrap/>
            <w:hideMark/>
          </w:tcPr>
          <w:p w14:paraId="5186C3ED" w14:textId="6939CB8B" w:rsidR="00CF4359" w:rsidRPr="00BC7A12" w:rsidRDefault="006D1ED1"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Mohd-Shahwahid</w:t>
            </w:r>
            <w:proofErr w:type="spellEnd"/>
            <w:r w:rsidRPr="00BC7A12">
              <w:rPr>
                <w:rFonts w:eastAsia="Times New Roman" w:cs="Calibri"/>
                <w:color w:val="000000"/>
                <w:sz w:val="16"/>
                <w:szCs w:val="16"/>
                <w:lang w:eastAsia="en-AU"/>
              </w:rPr>
              <w:t xml:space="preserve"> </w:t>
            </w:r>
            <w:r w:rsidR="00CF4359" w:rsidRPr="00BC7A12">
              <w:rPr>
                <w:rFonts w:eastAsia="Times New Roman" w:cs="Calibri"/>
                <w:color w:val="000000"/>
                <w:sz w:val="16"/>
                <w:szCs w:val="16"/>
                <w:lang w:eastAsia="en-AU"/>
              </w:rPr>
              <w:t>and McNally, 2001</w:t>
            </w:r>
          </w:p>
        </w:tc>
      </w:tr>
      <w:tr w:rsidR="00CF4359" w:rsidRPr="00BC7A12" w14:paraId="2B237E55" w14:textId="77777777" w:rsidTr="00F203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5935B6"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Solomon Islands</w:t>
            </w:r>
          </w:p>
        </w:tc>
        <w:tc>
          <w:tcPr>
            <w:tcW w:w="0" w:type="auto"/>
            <w:hideMark/>
          </w:tcPr>
          <w:p w14:paraId="5E6E57BD"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Guadalcanal</w:t>
            </w:r>
          </w:p>
        </w:tc>
        <w:tc>
          <w:tcPr>
            <w:tcW w:w="0" w:type="auto"/>
            <w:noWrap/>
            <w:hideMark/>
          </w:tcPr>
          <w:p w14:paraId="4A28D895"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1C09ADB0"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3A58FF72" w14:textId="620AAC6C" w:rsidR="00CF4359" w:rsidRPr="00BC7A12" w:rsidRDefault="00BA1E03"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US$(2013) </w:t>
            </w:r>
            <w:r w:rsidR="00CF4359" w:rsidRPr="00BC7A12">
              <w:rPr>
                <w:rFonts w:eastAsia="Times New Roman" w:cs="Calibri"/>
                <w:color w:val="000000"/>
                <w:sz w:val="16"/>
                <w:szCs w:val="16"/>
                <w:lang w:eastAsia="en-AU"/>
              </w:rPr>
              <w:t xml:space="preserve">3,348,522-5,580,869 </w:t>
            </w:r>
          </w:p>
        </w:tc>
        <w:tc>
          <w:tcPr>
            <w:tcW w:w="0" w:type="auto"/>
            <w:noWrap/>
            <w:hideMark/>
          </w:tcPr>
          <w:p w14:paraId="034C8F56"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Arena, et al., 2015</w:t>
            </w:r>
          </w:p>
        </w:tc>
      </w:tr>
      <w:tr w:rsidR="00CF4359" w:rsidRPr="00BC7A12" w14:paraId="70ADD176"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B23D2E"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Tonga</w:t>
            </w:r>
          </w:p>
        </w:tc>
        <w:tc>
          <w:tcPr>
            <w:tcW w:w="0" w:type="auto"/>
            <w:hideMark/>
          </w:tcPr>
          <w:p w14:paraId="4FE1BDF7"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Tongatapu</w:t>
            </w:r>
            <w:proofErr w:type="spellEnd"/>
          </w:p>
        </w:tc>
        <w:tc>
          <w:tcPr>
            <w:tcW w:w="0" w:type="auto"/>
            <w:noWrap/>
            <w:hideMark/>
          </w:tcPr>
          <w:p w14:paraId="224185AC"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46B1E243"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314208D2" w14:textId="287DA9E0" w:rsidR="00CF4359" w:rsidRPr="00BC7A12" w:rsidRDefault="00BA1E03"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USD$(2013) </w:t>
            </w:r>
            <w:r w:rsidR="00CF4359" w:rsidRPr="00BC7A12">
              <w:rPr>
                <w:rFonts w:eastAsia="Times New Roman" w:cs="Calibri"/>
                <w:color w:val="000000"/>
                <w:sz w:val="16"/>
                <w:szCs w:val="16"/>
                <w:lang w:eastAsia="en-AU"/>
              </w:rPr>
              <w:t xml:space="preserve">6,525,251-10,875,418 </w:t>
            </w:r>
          </w:p>
        </w:tc>
        <w:tc>
          <w:tcPr>
            <w:tcW w:w="0" w:type="auto"/>
            <w:noWrap/>
            <w:hideMark/>
          </w:tcPr>
          <w:p w14:paraId="4D592A05"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Salcone</w:t>
            </w:r>
            <w:proofErr w:type="spellEnd"/>
            <w:r w:rsidRPr="00BC7A12">
              <w:rPr>
                <w:rFonts w:eastAsia="Times New Roman" w:cs="Calibri"/>
                <w:color w:val="000000"/>
                <w:sz w:val="16"/>
                <w:szCs w:val="16"/>
                <w:lang w:eastAsia="en-AU"/>
              </w:rPr>
              <w:t>, et al., 2015</w:t>
            </w:r>
          </w:p>
        </w:tc>
      </w:tr>
      <w:tr w:rsidR="00CF4359" w:rsidRPr="00BC7A12" w14:paraId="2B74B276" w14:textId="77777777" w:rsidTr="00F203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499F4A"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hideMark/>
          </w:tcPr>
          <w:p w14:paraId="3E70CACD" w14:textId="4695F614"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Crab bay</w:t>
            </w:r>
          </w:p>
        </w:tc>
        <w:tc>
          <w:tcPr>
            <w:tcW w:w="0" w:type="auto"/>
            <w:noWrap/>
            <w:hideMark/>
          </w:tcPr>
          <w:p w14:paraId="0820EA0D"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H — Intertidal marshes</w:t>
            </w:r>
          </w:p>
        </w:tc>
        <w:tc>
          <w:tcPr>
            <w:tcW w:w="2341" w:type="dxa"/>
            <w:hideMark/>
          </w:tcPr>
          <w:p w14:paraId="71BFA473"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6014C4AA" w14:textId="0D2E208B" w:rsidR="00CF4359" w:rsidRPr="00BC7A12" w:rsidRDefault="00BA1E03"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INT$</w:t>
            </w:r>
            <w:proofErr w:type="gramStart"/>
            <w:r w:rsidRPr="00BC7A12">
              <w:rPr>
                <w:rFonts w:eastAsia="Times New Roman" w:cs="Calibri"/>
                <w:color w:val="000000"/>
                <w:sz w:val="16"/>
                <w:szCs w:val="16"/>
                <w:lang w:eastAsia="en-AU"/>
              </w:rPr>
              <w:t>US(</w:t>
            </w:r>
            <w:proofErr w:type="gramEnd"/>
            <w:r w:rsidRPr="00BC7A12">
              <w:rPr>
                <w:rFonts w:eastAsia="Times New Roman" w:cs="Calibri"/>
                <w:color w:val="000000"/>
                <w:sz w:val="16"/>
                <w:szCs w:val="16"/>
                <w:lang w:eastAsia="en-AU"/>
              </w:rPr>
              <w:t xml:space="preserve">2001) </w:t>
            </w:r>
            <w:r w:rsidR="00CF4359" w:rsidRPr="00BC7A12">
              <w:rPr>
                <w:rFonts w:eastAsia="Times New Roman" w:cs="Calibri"/>
                <w:color w:val="000000"/>
                <w:sz w:val="16"/>
                <w:szCs w:val="16"/>
                <w:lang w:eastAsia="en-AU"/>
              </w:rPr>
              <w:t>93</w:t>
            </w:r>
            <w:r w:rsidRPr="00BC7A12">
              <w:rPr>
                <w:rFonts w:eastAsia="Times New Roman" w:cs="Calibri"/>
                <w:color w:val="000000"/>
                <w:sz w:val="16"/>
                <w:szCs w:val="16"/>
                <w:lang w:eastAsia="en-AU"/>
              </w:rPr>
              <w:t xml:space="preserve"> </w:t>
            </w:r>
            <w:r w:rsidR="00CF4359" w:rsidRPr="00BC7A12">
              <w:rPr>
                <w:rFonts w:eastAsia="Times New Roman" w:cs="Calibri"/>
                <w:color w:val="000000"/>
                <w:sz w:val="16"/>
                <w:szCs w:val="16"/>
                <w:lang w:eastAsia="en-AU"/>
              </w:rPr>
              <w:t>per h</w:t>
            </w:r>
            <w:r w:rsidR="0080457E" w:rsidRPr="00BC7A12">
              <w:rPr>
                <w:rFonts w:eastAsia="Times New Roman" w:cs="Calibri"/>
                <w:color w:val="000000"/>
                <w:sz w:val="16"/>
                <w:szCs w:val="16"/>
                <w:lang w:eastAsia="en-AU"/>
              </w:rPr>
              <w:t>e</w:t>
            </w:r>
            <w:r w:rsidR="00CF4359" w:rsidRPr="00BC7A12">
              <w:rPr>
                <w:rFonts w:eastAsia="Times New Roman" w:cs="Calibri"/>
                <w:color w:val="000000"/>
                <w:sz w:val="16"/>
                <w:szCs w:val="16"/>
                <w:lang w:eastAsia="en-AU"/>
              </w:rPr>
              <w:t>ctare</w:t>
            </w:r>
          </w:p>
        </w:tc>
        <w:tc>
          <w:tcPr>
            <w:tcW w:w="0" w:type="auto"/>
            <w:noWrap/>
            <w:hideMark/>
          </w:tcPr>
          <w:p w14:paraId="17C99563"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Bulu, et al., 2014</w:t>
            </w:r>
          </w:p>
        </w:tc>
      </w:tr>
      <w:tr w:rsidR="00CF4359" w:rsidRPr="00BC7A12" w14:paraId="78B80219" w14:textId="77777777" w:rsidTr="00F20359">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36EF14E3"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noWrap/>
            <w:hideMark/>
          </w:tcPr>
          <w:p w14:paraId="0D010EE7" w14:textId="3C3B3611"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Eratap</w:t>
            </w:r>
            <w:proofErr w:type="spellEnd"/>
          </w:p>
        </w:tc>
        <w:tc>
          <w:tcPr>
            <w:tcW w:w="0" w:type="auto"/>
            <w:noWrap/>
            <w:hideMark/>
          </w:tcPr>
          <w:p w14:paraId="7CA55D80"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H — Intertidal marshes</w:t>
            </w:r>
          </w:p>
        </w:tc>
        <w:tc>
          <w:tcPr>
            <w:tcW w:w="2341" w:type="dxa"/>
            <w:hideMark/>
          </w:tcPr>
          <w:p w14:paraId="6F00F06F"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1214B2C3" w14:textId="3DA33815" w:rsidR="00CF4359" w:rsidRPr="00BC7A12" w:rsidRDefault="00BA1E03"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INT$</w:t>
            </w:r>
            <w:proofErr w:type="gramStart"/>
            <w:r w:rsidRPr="00BC7A12">
              <w:rPr>
                <w:rFonts w:eastAsia="Times New Roman" w:cs="Calibri"/>
                <w:color w:val="000000"/>
                <w:sz w:val="16"/>
                <w:szCs w:val="16"/>
                <w:lang w:eastAsia="en-AU"/>
              </w:rPr>
              <w:t>US(</w:t>
            </w:r>
            <w:proofErr w:type="gramEnd"/>
            <w:r w:rsidRPr="00BC7A12">
              <w:rPr>
                <w:rFonts w:eastAsia="Times New Roman" w:cs="Calibri"/>
                <w:color w:val="000000"/>
                <w:sz w:val="16"/>
                <w:szCs w:val="16"/>
                <w:lang w:eastAsia="en-AU"/>
              </w:rPr>
              <w:t xml:space="preserve">2001) </w:t>
            </w:r>
            <w:r w:rsidR="00CF4359" w:rsidRPr="00BC7A12">
              <w:rPr>
                <w:rFonts w:eastAsia="Times New Roman" w:cs="Calibri"/>
                <w:color w:val="000000"/>
                <w:sz w:val="16"/>
                <w:szCs w:val="16"/>
                <w:lang w:eastAsia="en-AU"/>
              </w:rPr>
              <w:t>3</w:t>
            </w:r>
            <w:r w:rsidRPr="00BC7A12">
              <w:rPr>
                <w:rFonts w:eastAsia="Times New Roman" w:cs="Calibri"/>
                <w:color w:val="000000"/>
                <w:sz w:val="16"/>
                <w:szCs w:val="16"/>
                <w:lang w:eastAsia="en-AU"/>
              </w:rPr>
              <w:t>,</w:t>
            </w:r>
            <w:r w:rsidR="00CF4359" w:rsidRPr="00BC7A12">
              <w:rPr>
                <w:rFonts w:eastAsia="Times New Roman" w:cs="Calibri"/>
                <w:color w:val="000000"/>
                <w:sz w:val="16"/>
                <w:szCs w:val="16"/>
                <w:lang w:eastAsia="en-AU"/>
              </w:rPr>
              <w:t>426</w:t>
            </w:r>
            <w:r w:rsidRPr="00BC7A12">
              <w:rPr>
                <w:rFonts w:eastAsia="Times New Roman" w:cs="Calibri"/>
                <w:color w:val="000000"/>
                <w:sz w:val="16"/>
                <w:szCs w:val="16"/>
                <w:lang w:eastAsia="en-AU"/>
              </w:rPr>
              <w:t xml:space="preserve"> per</w:t>
            </w:r>
            <w:r w:rsidR="00CF4359" w:rsidRPr="00BC7A12">
              <w:rPr>
                <w:rFonts w:eastAsia="Times New Roman" w:cs="Calibri"/>
                <w:color w:val="000000"/>
                <w:sz w:val="16"/>
                <w:szCs w:val="16"/>
                <w:lang w:eastAsia="en-AU"/>
              </w:rPr>
              <w:t xml:space="preserve"> h</w:t>
            </w:r>
            <w:r w:rsidR="0080457E" w:rsidRPr="00BC7A12">
              <w:rPr>
                <w:rFonts w:eastAsia="Times New Roman" w:cs="Calibri"/>
                <w:color w:val="000000"/>
                <w:sz w:val="16"/>
                <w:szCs w:val="16"/>
                <w:lang w:eastAsia="en-AU"/>
              </w:rPr>
              <w:t>e</w:t>
            </w:r>
            <w:r w:rsidR="00CF4359" w:rsidRPr="00BC7A12">
              <w:rPr>
                <w:rFonts w:eastAsia="Times New Roman" w:cs="Calibri"/>
                <w:color w:val="000000"/>
                <w:sz w:val="16"/>
                <w:szCs w:val="16"/>
                <w:lang w:eastAsia="en-AU"/>
              </w:rPr>
              <w:t>ctare</w:t>
            </w:r>
          </w:p>
        </w:tc>
        <w:tc>
          <w:tcPr>
            <w:tcW w:w="0" w:type="auto"/>
            <w:noWrap/>
            <w:hideMark/>
          </w:tcPr>
          <w:p w14:paraId="3F1A8DA0"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Bulu, et al., 2014</w:t>
            </w:r>
          </w:p>
        </w:tc>
      </w:tr>
      <w:tr w:rsidR="00CF4359" w:rsidRPr="00BC7A12" w14:paraId="5C0EC7B9" w14:textId="77777777" w:rsidTr="00F203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356428"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noWrap/>
            <w:hideMark/>
          </w:tcPr>
          <w:p w14:paraId="09501BBD"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Emua</w:t>
            </w:r>
            <w:proofErr w:type="spellEnd"/>
          </w:p>
        </w:tc>
        <w:tc>
          <w:tcPr>
            <w:tcW w:w="0" w:type="auto"/>
            <w:noWrap/>
            <w:hideMark/>
          </w:tcPr>
          <w:p w14:paraId="6144E6E4"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2B5AB2BD"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5187C471" w14:textId="7E67DDE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EU</w:t>
            </w:r>
            <w:proofErr w:type="gramStart"/>
            <w:r w:rsidRPr="00BC7A12">
              <w:rPr>
                <w:rFonts w:eastAsia="Times New Roman" w:cs="Calibri"/>
                <w:color w:val="000000"/>
                <w:sz w:val="16"/>
                <w:szCs w:val="16"/>
                <w:lang w:eastAsia="en-AU"/>
              </w:rPr>
              <w:t>€(</w:t>
            </w:r>
            <w:proofErr w:type="gramEnd"/>
            <w:r w:rsidRPr="00BC7A12">
              <w:rPr>
                <w:rFonts w:eastAsia="Times New Roman" w:cs="Calibri"/>
                <w:color w:val="000000"/>
                <w:sz w:val="16"/>
                <w:szCs w:val="16"/>
                <w:lang w:eastAsia="en-AU"/>
              </w:rPr>
              <w:t xml:space="preserve">2009) </w:t>
            </w:r>
            <w:r w:rsidR="00BA1E03" w:rsidRPr="00BC7A12">
              <w:rPr>
                <w:rFonts w:eastAsia="Times New Roman" w:cs="Calibri"/>
                <w:color w:val="000000"/>
                <w:sz w:val="16"/>
                <w:szCs w:val="16"/>
                <w:lang w:eastAsia="en-AU"/>
              </w:rPr>
              <w:t>136</w:t>
            </w:r>
          </w:p>
        </w:tc>
        <w:tc>
          <w:tcPr>
            <w:tcW w:w="0" w:type="auto"/>
            <w:noWrap/>
            <w:hideMark/>
          </w:tcPr>
          <w:p w14:paraId="6087FD56"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2011</w:t>
            </w:r>
          </w:p>
        </w:tc>
      </w:tr>
      <w:tr w:rsidR="00CF4359" w:rsidRPr="00BC7A12" w14:paraId="7A629299"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10EB3C"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noWrap/>
            <w:hideMark/>
          </w:tcPr>
          <w:p w14:paraId="2A1D2D46"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Piliura</w:t>
            </w:r>
            <w:proofErr w:type="spellEnd"/>
          </w:p>
        </w:tc>
        <w:tc>
          <w:tcPr>
            <w:tcW w:w="0" w:type="auto"/>
            <w:noWrap/>
            <w:hideMark/>
          </w:tcPr>
          <w:p w14:paraId="3C5E8D0E"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12561586"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0B847B71" w14:textId="3ED5FED0"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EU</w:t>
            </w:r>
            <w:proofErr w:type="gramStart"/>
            <w:r w:rsidRPr="00BC7A12">
              <w:rPr>
                <w:rFonts w:eastAsia="Times New Roman" w:cs="Calibri"/>
                <w:color w:val="000000"/>
                <w:sz w:val="16"/>
                <w:szCs w:val="16"/>
                <w:lang w:eastAsia="en-AU"/>
              </w:rPr>
              <w:t>€(</w:t>
            </w:r>
            <w:proofErr w:type="gramEnd"/>
            <w:r w:rsidRPr="00BC7A12">
              <w:rPr>
                <w:rFonts w:eastAsia="Times New Roman" w:cs="Calibri"/>
                <w:color w:val="000000"/>
                <w:sz w:val="16"/>
                <w:szCs w:val="16"/>
                <w:lang w:eastAsia="en-AU"/>
              </w:rPr>
              <w:t>2009)</w:t>
            </w:r>
            <w:r w:rsidR="00BA1E03" w:rsidRPr="00BC7A12">
              <w:rPr>
                <w:rFonts w:eastAsia="Times New Roman" w:cs="Calibri"/>
                <w:color w:val="000000"/>
                <w:sz w:val="16"/>
                <w:szCs w:val="16"/>
                <w:lang w:eastAsia="en-AU"/>
              </w:rPr>
              <w:t xml:space="preserve"> 816</w:t>
            </w:r>
            <w:r w:rsidRPr="00BC7A12">
              <w:rPr>
                <w:rFonts w:eastAsia="Times New Roman" w:cs="Calibri"/>
                <w:color w:val="000000"/>
                <w:sz w:val="16"/>
                <w:szCs w:val="16"/>
                <w:lang w:eastAsia="en-AU"/>
              </w:rPr>
              <w:t xml:space="preserve"> </w:t>
            </w:r>
          </w:p>
        </w:tc>
        <w:tc>
          <w:tcPr>
            <w:tcW w:w="0" w:type="auto"/>
            <w:noWrap/>
            <w:hideMark/>
          </w:tcPr>
          <w:p w14:paraId="748055A5"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2011</w:t>
            </w:r>
          </w:p>
        </w:tc>
      </w:tr>
      <w:tr w:rsidR="00CF4359" w:rsidRPr="00BC7A12" w14:paraId="27E75445" w14:textId="77777777" w:rsidTr="00F203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9EFAEF"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noWrap/>
            <w:hideMark/>
          </w:tcPr>
          <w:p w14:paraId="180D6656"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Unakap</w:t>
            </w:r>
            <w:proofErr w:type="spellEnd"/>
          </w:p>
        </w:tc>
        <w:tc>
          <w:tcPr>
            <w:tcW w:w="0" w:type="auto"/>
            <w:noWrap/>
            <w:hideMark/>
          </w:tcPr>
          <w:p w14:paraId="551BBDF8"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2453ACEF"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hideMark/>
          </w:tcPr>
          <w:p w14:paraId="391E1E7F" w14:textId="125523C9"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EU</w:t>
            </w:r>
            <w:proofErr w:type="gramStart"/>
            <w:r w:rsidRPr="00BC7A12">
              <w:rPr>
                <w:rFonts w:eastAsia="Times New Roman" w:cs="Calibri"/>
                <w:color w:val="000000"/>
                <w:sz w:val="16"/>
                <w:szCs w:val="16"/>
                <w:lang w:eastAsia="en-AU"/>
              </w:rPr>
              <w:t>€(</w:t>
            </w:r>
            <w:proofErr w:type="gramEnd"/>
            <w:r w:rsidRPr="00BC7A12">
              <w:rPr>
                <w:rFonts w:eastAsia="Times New Roman" w:cs="Calibri"/>
                <w:color w:val="000000"/>
                <w:sz w:val="16"/>
                <w:szCs w:val="16"/>
                <w:lang w:eastAsia="en-AU"/>
              </w:rPr>
              <w:t>2009)</w:t>
            </w:r>
            <w:r w:rsidR="00BA1E03" w:rsidRPr="00BC7A12">
              <w:rPr>
                <w:rFonts w:eastAsia="Times New Roman" w:cs="Calibri"/>
                <w:color w:val="000000"/>
                <w:sz w:val="16"/>
                <w:szCs w:val="16"/>
                <w:lang w:eastAsia="en-AU"/>
              </w:rPr>
              <w:t xml:space="preserve"> 816</w:t>
            </w:r>
            <w:r w:rsidRPr="00BC7A12">
              <w:rPr>
                <w:rFonts w:eastAsia="Times New Roman" w:cs="Calibri"/>
                <w:color w:val="000000"/>
                <w:sz w:val="16"/>
                <w:szCs w:val="16"/>
                <w:lang w:eastAsia="en-AU"/>
              </w:rPr>
              <w:t xml:space="preserve"> </w:t>
            </w:r>
          </w:p>
        </w:tc>
        <w:tc>
          <w:tcPr>
            <w:tcW w:w="0" w:type="auto"/>
            <w:noWrap/>
            <w:hideMark/>
          </w:tcPr>
          <w:p w14:paraId="5384C786"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2011</w:t>
            </w:r>
          </w:p>
        </w:tc>
      </w:tr>
      <w:tr w:rsidR="00CF4359" w:rsidRPr="00BC7A12" w14:paraId="45FD90D1"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98A6D1"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noWrap/>
            <w:hideMark/>
          </w:tcPr>
          <w:p w14:paraId="2B449245"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Laonamoa</w:t>
            </w:r>
            <w:proofErr w:type="spellEnd"/>
          </w:p>
        </w:tc>
        <w:tc>
          <w:tcPr>
            <w:tcW w:w="0" w:type="auto"/>
            <w:noWrap/>
            <w:hideMark/>
          </w:tcPr>
          <w:p w14:paraId="00AC1BBD"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65B0DDC0"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4D380284" w14:textId="5EC7E333"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EU</w:t>
            </w:r>
            <w:proofErr w:type="gramStart"/>
            <w:r w:rsidRPr="00BC7A12">
              <w:rPr>
                <w:rFonts w:eastAsia="Times New Roman" w:cs="Calibri"/>
                <w:color w:val="000000"/>
                <w:sz w:val="16"/>
                <w:szCs w:val="16"/>
                <w:lang w:eastAsia="en-AU"/>
              </w:rPr>
              <w:t>€(</w:t>
            </w:r>
            <w:proofErr w:type="gramEnd"/>
            <w:r w:rsidRPr="00BC7A12">
              <w:rPr>
                <w:rFonts w:eastAsia="Times New Roman" w:cs="Calibri"/>
                <w:color w:val="000000"/>
                <w:sz w:val="16"/>
                <w:szCs w:val="16"/>
                <w:lang w:eastAsia="en-AU"/>
              </w:rPr>
              <w:t xml:space="preserve">2009) </w:t>
            </w:r>
            <w:r w:rsidR="00BA1E03" w:rsidRPr="00BC7A12">
              <w:rPr>
                <w:rFonts w:eastAsia="Times New Roman" w:cs="Calibri"/>
                <w:color w:val="000000"/>
                <w:sz w:val="16"/>
                <w:szCs w:val="16"/>
                <w:lang w:eastAsia="en-AU"/>
              </w:rPr>
              <w:t>1,088</w:t>
            </w:r>
          </w:p>
        </w:tc>
        <w:tc>
          <w:tcPr>
            <w:tcW w:w="0" w:type="auto"/>
            <w:noWrap/>
            <w:hideMark/>
          </w:tcPr>
          <w:p w14:paraId="78C5593E"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2011</w:t>
            </w:r>
          </w:p>
        </w:tc>
      </w:tr>
      <w:tr w:rsidR="00CF4359" w:rsidRPr="00BC7A12" w14:paraId="29DC21EA" w14:textId="77777777" w:rsidTr="00F203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A96DFB"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lastRenderedPageBreak/>
              <w:t>Vanuatu</w:t>
            </w:r>
          </w:p>
        </w:tc>
        <w:tc>
          <w:tcPr>
            <w:tcW w:w="0" w:type="auto"/>
            <w:noWrap/>
            <w:hideMark/>
          </w:tcPr>
          <w:p w14:paraId="1DECF7AC"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Worasifiu</w:t>
            </w:r>
            <w:proofErr w:type="spellEnd"/>
          </w:p>
        </w:tc>
        <w:tc>
          <w:tcPr>
            <w:tcW w:w="0" w:type="auto"/>
            <w:noWrap/>
            <w:hideMark/>
          </w:tcPr>
          <w:p w14:paraId="26E651E2"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6CE0211E"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6D6369D1" w14:textId="5370CC2D"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EU</w:t>
            </w:r>
            <w:proofErr w:type="gramStart"/>
            <w:r w:rsidRPr="00BC7A12">
              <w:rPr>
                <w:rFonts w:eastAsia="Times New Roman" w:cs="Calibri"/>
                <w:color w:val="000000"/>
                <w:sz w:val="16"/>
                <w:szCs w:val="16"/>
                <w:lang w:eastAsia="en-AU"/>
              </w:rPr>
              <w:t>€(</w:t>
            </w:r>
            <w:proofErr w:type="gramEnd"/>
            <w:r w:rsidRPr="00BC7A12">
              <w:rPr>
                <w:rFonts w:eastAsia="Times New Roman" w:cs="Calibri"/>
                <w:color w:val="000000"/>
                <w:sz w:val="16"/>
                <w:szCs w:val="16"/>
                <w:lang w:eastAsia="en-AU"/>
              </w:rPr>
              <w:t>2009)</w:t>
            </w:r>
            <w:r w:rsidR="00BA1E03" w:rsidRPr="00BC7A12">
              <w:rPr>
                <w:rFonts w:eastAsia="Times New Roman" w:cs="Calibri"/>
                <w:color w:val="000000"/>
                <w:sz w:val="16"/>
                <w:szCs w:val="16"/>
                <w:lang w:eastAsia="en-AU"/>
              </w:rPr>
              <w:t xml:space="preserve"> 272</w:t>
            </w:r>
            <w:r w:rsidRPr="00BC7A12">
              <w:rPr>
                <w:rFonts w:eastAsia="Times New Roman" w:cs="Calibri"/>
                <w:color w:val="000000"/>
                <w:sz w:val="16"/>
                <w:szCs w:val="16"/>
                <w:lang w:eastAsia="en-AU"/>
              </w:rPr>
              <w:t xml:space="preserve"> </w:t>
            </w:r>
          </w:p>
        </w:tc>
        <w:tc>
          <w:tcPr>
            <w:tcW w:w="0" w:type="auto"/>
            <w:noWrap/>
            <w:hideMark/>
          </w:tcPr>
          <w:p w14:paraId="19DF62C0"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2011</w:t>
            </w:r>
          </w:p>
        </w:tc>
      </w:tr>
      <w:tr w:rsidR="00CF4359" w:rsidRPr="00BC7A12" w14:paraId="188DE377"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0DD064"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noWrap/>
            <w:hideMark/>
          </w:tcPr>
          <w:p w14:paraId="160089FC"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West coast of Efate</w:t>
            </w:r>
          </w:p>
        </w:tc>
        <w:tc>
          <w:tcPr>
            <w:tcW w:w="0" w:type="auto"/>
            <w:noWrap/>
            <w:hideMark/>
          </w:tcPr>
          <w:p w14:paraId="2DBA538D"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60241B3E"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6435FD40" w14:textId="63FDA1C2" w:rsidR="00CF4359" w:rsidRPr="00BC7A12" w:rsidRDefault="00BA1E03"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US$(2013) </w:t>
            </w:r>
            <w:r w:rsidR="00CF4359" w:rsidRPr="00BC7A12">
              <w:rPr>
                <w:rFonts w:eastAsia="Times New Roman" w:cs="Calibri"/>
                <w:color w:val="000000"/>
                <w:sz w:val="16"/>
                <w:szCs w:val="16"/>
                <w:lang w:eastAsia="en-AU"/>
              </w:rPr>
              <w:t xml:space="preserve">8,398,740-13,997,901 </w:t>
            </w:r>
          </w:p>
        </w:tc>
        <w:tc>
          <w:tcPr>
            <w:tcW w:w="0" w:type="auto"/>
            <w:noWrap/>
            <w:hideMark/>
          </w:tcPr>
          <w:p w14:paraId="06417764"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2015</w:t>
            </w:r>
          </w:p>
        </w:tc>
      </w:tr>
      <w:tr w:rsidR="00CF4359" w:rsidRPr="00BC7A12" w14:paraId="5209CFD7" w14:textId="77777777" w:rsidTr="00F2035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5BFF2F"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noWrap/>
            <w:hideMark/>
          </w:tcPr>
          <w:p w14:paraId="62597554"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East coast of Efate</w:t>
            </w:r>
          </w:p>
        </w:tc>
        <w:tc>
          <w:tcPr>
            <w:tcW w:w="0" w:type="auto"/>
            <w:noWrap/>
            <w:hideMark/>
          </w:tcPr>
          <w:p w14:paraId="1CF70DC1"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4CD770B7"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000C00E3" w14:textId="7F3373E7" w:rsidR="00CF4359" w:rsidRPr="00BC7A12" w:rsidRDefault="00DD08BE"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USD$(2013) </w:t>
            </w:r>
            <w:r w:rsidR="00CF4359" w:rsidRPr="00BC7A12">
              <w:rPr>
                <w:rFonts w:eastAsia="Times New Roman" w:cs="Calibri"/>
                <w:color w:val="000000"/>
                <w:sz w:val="16"/>
                <w:szCs w:val="16"/>
                <w:lang w:eastAsia="en-AU"/>
              </w:rPr>
              <w:t xml:space="preserve">764,701-1,274,502 </w:t>
            </w:r>
          </w:p>
        </w:tc>
        <w:tc>
          <w:tcPr>
            <w:tcW w:w="0" w:type="auto"/>
            <w:noWrap/>
            <w:hideMark/>
          </w:tcPr>
          <w:p w14:paraId="678AC739"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2015</w:t>
            </w:r>
          </w:p>
        </w:tc>
      </w:tr>
      <w:tr w:rsidR="00CF4359" w:rsidRPr="00BC7A12" w14:paraId="240C85DC"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77556D"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noWrap/>
            <w:hideMark/>
          </w:tcPr>
          <w:p w14:paraId="46152D22"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Malekula</w:t>
            </w:r>
            <w:proofErr w:type="spellEnd"/>
          </w:p>
        </w:tc>
        <w:tc>
          <w:tcPr>
            <w:tcW w:w="0" w:type="auto"/>
            <w:noWrap/>
            <w:hideMark/>
          </w:tcPr>
          <w:p w14:paraId="357158D4"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586990EF"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64EA0B72" w14:textId="2965AEDC" w:rsidR="00CF4359" w:rsidRPr="00BC7A12" w:rsidRDefault="00DD08BE"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USD$(2013) </w:t>
            </w:r>
            <w:r w:rsidR="00CF4359" w:rsidRPr="00BC7A12">
              <w:rPr>
                <w:rFonts w:eastAsia="Times New Roman" w:cs="Calibri"/>
                <w:color w:val="000000"/>
                <w:sz w:val="16"/>
                <w:szCs w:val="16"/>
                <w:lang w:eastAsia="en-AU"/>
              </w:rPr>
              <w:t xml:space="preserve">783,695-1,306,159 </w:t>
            </w:r>
          </w:p>
        </w:tc>
        <w:tc>
          <w:tcPr>
            <w:tcW w:w="0" w:type="auto"/>
            <w:noWrap/>
            <w:hideMark/>
          </w:tcPr>
          <w:p w14:paraId="01C60077"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2015</w:t>
            </w:r>
          </w:p>
        </w:tc>
      </w:tr>
      <w:tr w:rsidR="00CF4359" w:rsidRPr="00BC7A12" w14:paraId="32F5D074" w14:textId="77777777" w:rsidTr="00F2035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781E59"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noWrap/>
            <w:hideMark/>
          </w:tcPr>
          <w:p w14:paraId="0E30E326"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Espiritu Santo</w:t>
            </w:r>
          </w:p>
        </w:tc>
        <w:tc>
          <w:tcPr>
            <w:tcW w:w="0" w:type="auto"/>
            <w:noWrap/>
            <w:hideMark/>
          </w:tcPr>
          <w:p w14:paraId="0486DFBB"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4541C1E1"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06B7B061" w14:textId="2FC16A00" w:rsidR="00CF4359" w:rsidRPr="00BC7A12" w:rsidRDefault="00DD08BE"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USD$(2013) </w:t>
            </w:r>
            <w:r w:rsidR="00CF4359" w:rsidRPr="00BC7A12">
              <w:rPr>
                <w:rFonts w:eastAsia="Times New Roman" w:cs="Calibri"/>
                <w:color w:val="000000"/>
                <w:sz w:val="16"/>
                <w:szCs w:val="16"/>
                <w:lang w:eastAsia="en-AU"/>
              </w:rPr>
              <w:t xml:space="preserve">2,899,934-4,833,224 </w:t>
            </w:r>
          </w:p>
        </w:tc>
        <w:tc>
          <w:tcPr>
            <w:tcW w:w="0" w:type="auto"/>
            <w:noWrap/>
            <w:hideMark/>
          </w:tcPr>
          <w:p w14:paraId="4FF63255" w14:textId="77777777" w:rsidR="00CF4359" w:rsidRPr="00BC7A12" w:rsidRDefault="00CF4359" w:rsidP="006A10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2015</w:t>
            </w:r>
          </w:p>
        </w:tc>
      </w:tr>
      <w:tr w:rsidR="00CF4359" w:rsidRPr="00BC7A12" w14:paraId="33B4083E" w14:textId="77777777" w:rsidTr="00F20359">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4AC95C" w14:textId="77777777" w:rsidR="00CF4359" w:rsidRPr="00BC7A12" w:rsidRDefault="00CF4359" w:rsidP="006A1058">
            <w:pPr>
              <w:spacing w:after="0" w:line="240" w:lineRule="auto"/>
              <w:jc w:val="left"/>
              <w:rPr>
                <w:rFonts w:eastAsia="Times New Roman" w:cs="Calibri"/>
                <w:color w:val="000000"/>
                <w:sz w:val="20"/>
                <w:szCs w:val="20"/>
                <w:lang w:eastAsia="en-AU"/>
              </w:rPr>
            </w:pPr>
            <w:r w:rsidRPr="00BC7A12">
              <w:rPr>
                <w:rFonts w:eastAsia="Times New Roman" w:cs="Calibri"/>
                <w:color w:val="000000"/>
                <w:sz w:val="20"/>
                <w:szCs w:val="20"/>
                <w:lang w:eastAsia="en-AU"/>
              </w:rPr>
              <w:t>Vanuatu</w:t>
            </w:r>
          </w:p>
        </w:tc>
        <w:tc>
          <w:tcPr>
            <w:tcW w:w="0" w:type="auto"/>
            <w:hideMark/>
          </w:tcPr>
          <w:p w14:paraId="1F1B9262"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Efate, </w:t>
            </w:r>
            <w:proofErr w:type="spellStart"/>
            <w:r w:rsidRPr="00BC7A12">
              <w:rPr>
                <w:rFonts w:eastAsia="Times New Roman" w:cs="Calibri"/>
                <w:color w:val="000000"/>
                <w:sz w:val="16"/>
                <w:szCs w:val="16"/>
                <w:lang w:eastAsia="en-AU"/>
              </w:rPr>
              <w:t>Malekula</w:t>
            </w:r>
            <w:proofErr w:type="spellEnd"/>
            <w:r w:rsidRPr="00BC7A12">
              <w:rPr>
                <w:rFonts w:eastAsia="Times New Roman" w:cs="Calibri"/>
                <w:color w:val="000000"/>
                <w:sz w:val="16"/>
                <w:szCs w:val="16"/>
                <w:lang w:eastAsia="en-AU"/>
              </w:rPr>
              <w:t xml:space="preserve"> and Espiritu Santo</w:t>
            </w:r>
          </w:p>
        </w:tc>
        <w:tc>
          <w:tcPr>
            <w:tcW w:w="0" w:type="auto"/>
            <w:noWrap/>
            <w:hideMark/>
          </w:tcPr>
          <w:p w14:paraId="7FCB89C5"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C — Coral reefs</w:t>
            </w:r>
          </w:p>
        </w:tc>
        <w:tc>
          <w:tcPr>
            <w:tcW w:w="2341" w:type="dxa"/>
            <w:hideMark/>
          </w:tcPr>
          <w:p w14:paraId="3E715868"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w:t>
            </w:r>
          </w:p>
        </w:tc>
        <w:tc>
          <w:tcPr>
            <w:tcW w:w="3963" w:type="dxa"/>
            <w:noWrap/>
            <w:hideMark/>
          </w:tcPr>
          <w:p w14:paraId="1D5961C7" w14:textId="570D0711" w:rsidR="00CF4359" w:rsidRPr="00BC7A12" w:rsidRDefault="00DD08BE"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 xml:space="preserve">USD$(2013) </w:t>
            </w:r>
            <w:r w:rsidR="00CF4359" w:rsidRPr="00BC7A12">
              <w:rPr>
                <w:rFonts w:eastAsia="Times New Roman" w:cs="Calibri"/>
                <w:color w:val="000000"/>
                <w:sz w:val="16"/>
                <w:szCs w:val="16"/>
                <w:lang w:eastAsia="en-AU"/>
              </w:rPr>
              <w:t>13,776,056-22,960,093</w:t>
            </w:r>
          </w:p>
        </w:tc>
        <w:tc>
          <w:tcPr>
            <w:tcW w:w="0" w:type="auto"/>
            <w:noWrap/>
            <w:hideMark/>
          </w:tcPr>
          <w:p w14:paraId="0908DA86" w14:textId="77777777" w:rsidR="00CF4359" w:rsidRPr="00BC7A12" w:rsidRDefault="00CF4359" w:rsidP="006A10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C7A12">
              <w:rPr>
                <w:rFonts w:eastAsia="Times New Roman" w:cs="Calibri"/>
                <w:color w:val="000000"/>
                <w:sz w:val="16"/>
                <w:szCs w:val="16"/>
                <w:lang w:eastAsia="en-AU"/>
              </w:rPr>
              <w:t>Pascal, et al., 2015</w:t>
            </w:r>
          </w:p>
        </w:tc>
      </w:tr>
    </w:tbl>
    <w:p w14:paraId="7D457D32" w14:textId="64635251" w:rsidR="00CF4359" w:rsidRPr="00BC7A12" w:rsidRDefault="00CF4359" w:rsidP="009D41C0">
      <w:pPr>
        <w:rPr>
          <w:rFonts w:cs="Calibri"/>
        </w:rPr>
        <w:sectPr w:rsidR="00CF4359" w:rsidRPr="00BC7A12" w:rsidSect="00A077A7">
          <w:headerReference w:type="default" r:id="rId22"/>
          <w:footerReference w:type="default" r:id="rId23"/>
          <w:headerReference w:type="first" r:id="rId24"/>
          <w:pgSz w:w="11906" w:h="16838" w:code="9"/>
          <w:pgMar w:top="1440" w:right="1440" w:bottom="1440" w:left="1440" w:header="432" w:footer="374" w:gutter="0"/>
          <w:cols w:space="708"/>
          <w:titlePg/>
          <w:docGrid w:linePitch="360"/>
        </w:sectPr>
      </w:pPr>
    </w:p>
    <w:p w14:paraId="2DC8D36B" w14:textId="63B6298B" w:rsidR="00CC1246" w:rsidRPr="00BC7A12" w:rsidRDefault="006F7CF5" w:rsidP="00C33404">
      <w:pPr>
        <w:pStyle w:val="Heading1"/>
        <w:rPr>
          <w:rFonts w:ascii="Calibri" w:hAnsi="Calibri" w:cs="Calibri"/>
        </w:rPr>
      </w:pPr>
      <w:bookmarkStart w:id="61" w:name="_Ref43924607"/>
      <w:bookmarkStart w:id="62" w:name="_Toc46822312"/>
      <w:r w:rsidRPr="00BC7A12">
        <w:rPr>
          <w:rFonts w:ascii="Calibri" w:hAnsi="Calibri" w:cs="Calibri"/>
        </w:rPr>
        <w:lastRenderedPageBreak/>
        <w:t>Valuation of Australia’s coastal wetlands</w:t>
      </w:r>
      <w:bookmarkEnd w:id="61"/>
      <w:bookmarkEnd w:id="62"/>
      <w:r w:rsidRPr="00BC7A12">
        <w:rPr>
          <w:rFonts w:ascii="Calibri" w:hAnsi="Calibri" w:cs="Calibri"/>
        </w:rPr>
        <w:t xml:space="preserve"> </w:t>
      </w:r>
    </w:p>
    <w:p w14:paraId="46245810" w14:textId="740AF3AB" w:rsidR="000E16BA" w:rsidRPr="00BC7A12" w:rsidRDefault="00147236" w:rsidP="009D41C0">
      <w:pPr>
        <w:rPr>
          <w:rFonts w:cs="Calibri"/>
        </w:rPr>
      </w:pPr>
      <w:r w:rsidRPr="00BC7A12">
        <w:rPr>
          <w:rFonts w:cs="Calibri"/>
        </w:rPr>
        <w:t>Valuation of DRR ecosystem services provided</w:t>
      </w:r>
      <w:r w:rsidR="000F357B" w:rsidRPr="00BC7A12">
        <w:rPr>
          <w:rFonts w:cs="Calibri"/>
        </w:rPr>
        <w:t xml:space="preserve"> by</w:t>
      </w:r>
      <w:r w:rsidRPr="00BC7A12">
        <w:rPr>
          <w:rFonts w:cs="Calibri"/>
        </w:rPr>
        <w:t xml:space="preserve"> Australia’s coastal wetlands appears to be </w:t>
      </w:r>
      <w:r w:rsidR="000E16BA" w:rsidRPr="00BC7A12">
        <w:rPr>
          <w:rFonts w:cs="Calibri"/>
        </w:rPr>
        <w:t xml:space="preserve">moving from the category </w:t>
      </w:r>
      <w:r w:rsidR="000F357B" w:rsidRPr="00BC7A12">
        <w:rPr>
          <w:rFonts w:cs="Calibri"/>
        </w:rPr>
        <w:t xml:space="preserve">of </w:t>
      </w:r>
      <w:r w:rsidR="000E16BA" w:rsidRPr="00BC7A12">
        <w:rPr>
          <w:rFonts w:cs="Calibri"/>
        </w:rPr>
        <w:t xml:space="preserve">awareness raising </w:t>
      </w:r>
      <w:r w:rsidR="00EE2F3D" w:rsidRPr="00BC7A12">
        <w:rPr>
          <w:rFonts w:cs="Calibri"/>
        </w:rPr>
        <w:t>approaches</w:t>
      </w:r>
      <w:r w:rsidR="000E16BA" w:rsidRPr="00BC7A12">
        <w:rPr>
          <w:rFonts w:cs="Calibri"/>
        </w:rPr>
        <w:t xml:space="preserve"> to those based on explicit local valuation </w:t>
      </w:r>
      <w:r w:rsidR="004F6F3C" w:rsidRPr="00BC7A12">
        <w:rPr>
          <w:rFonts w:cs="Calibri"/>
        </w:rPr>
        <w:t>approaches.</w:t>
      </w:r>
      <w:r w:rsidRPr="00BC7A12">
        <w:rPr>
          <w:rFonts w:cs="Calibri"/>
        </w:rPr>
        <w:t xml:space="preserve"> </w:t>
      </w:r>
      <w:r w:rsidR="000E16BA" w:rsidRPr="00BC7A12">
        <w:rPr>
          <w:rFonts w:cs="Calibri"/>
        </w:rPr>
        <w:t>While</w:t>
      </w:r>
      <w:r w:rsidR="00D4220F" w:rsidRPr="00BC7A12">
        <w:rPr>
          <w:rFonts w:cs="Calibri"/>
        </w:rPr>
        <w:t xml:space="preserve"> benefit transfer valuations</w:t>
      </w:r>
      <w:r w:rsidR="000E16BA" w:rsidRPr="00BC7A12">
        <w:rPr>
          <w:rFonts w:cs="Calibri"/>
        </w:rPr>
        <w:t xml:space="preserve"> </w:t>
      </w:r>
      <w:r w:rsidR="00E25193" w:rsidRPr="00BC7A12">
        <w:rPr>
          <w:rFonts w:cs="Calibri"/>
        </w:rPr>
        <w:t xml:space="preserve">are still being conducted, </w:t>
      </w:r>
      <w:r w:rsidR="000E16BA" w:rsidRPr="00BC7A12">
        <w:rPr>
          <w:rFonts w:cs="Calibri"/>
        </w:rPr>
        <w:t>t</w:t>
      </w:r>
      <w:r w:rsidR="00A11C3D" w:rsidRPr="00BC7A12">
        <w:rPr>
          <w:rFonts w:cs="Calibri"/>
        </w:rPr>
        <w:t>here has been a</w:t>
      </w:r>
      <w:r w:rsidR="00323373" w:rsidRPr="00BC7A12">
        <w:rPr>
          <w:rFonts w:cs="Calibri"/>
        </w:rPr>
        <w:t xml:space="preserve">n increased </w:t>
      </w:r>
      <w:r w:rsidR="004D0860" w:rsidRPr="00BC7A12">
        <w:rPr>
          <w:rFonts w:cs="Calibri"/>
        </w:rPr>
        <w:t xml:space="preserve">use of the expected damage function (EDF) </w:t>
      </w:r>
      <w:r w:rsidR="000E16BA" w:rsidRPr="00BC7A12">
        <w:rPr>
          <w:rFonts w:cs="Calibri"/>
        </w:rPr>
        <w:t xml:space="preserve">and replacement </w:t>
      </w:r>
      <w:r w:rsidR="000F357B" w:rsidRPr="00BC7A12">
        <w:rPr>
          <w:rFonts w:cs="Calibri"/>
        </w:rPr>
        <w:t xml:space="preserve">cost </w:t>
      </w:r>
      <w:r w:rsidR="004D0860" w:rsidRPr="00BC7A12">
        <w:rPr>
          <w:rFonts w:cs="Calibri"/>
        </w:rPr>
        <w:t>techniques</w:t>
      </w:r>
      <w:r w:rsidR="000F357B" w:rsidRPr="00BC7A12">
        <w:rPr>
          <w:rFonts w:cs="Calibri"/>
        </w:rPr>
        <w:t>,</w:t>
      </w:r>
      <w:r w:rsidR="009F5438" w:rsidRPr="00BC7A12">
        <w:rPr>
          <w:rFonts w:cs="Calibri"/>
        </w:rPr>
        <w:t xml:space="preserve"> especially for adaptation planning. </w:t>
      </w:r>
    </w:p>
    <w:p w14:paraId="4FCB47DC" w14:textId="686A5322" w:rsidR="002F3371" w:rsidRPr="00BC7A12" w:rsidRDefault="00E25193" w:rsidP="00323373">
      <w:pPr>
        <w:rPr>
          <w:rFonts w:cs="Calibri"/>
        </w:rPr>
      </w:pPr>
      <w:r w:rsidRPr="00BC7A12">
        <w:rPr>
          <w:rFonts w:cs="Calibri"/>
        </w:rPr>
        <w:t xml:space="preserve">Over the past </w:t>
      </w:r>
      <w:r w:rsidR="004363F8" w:rsidRPr="00BC7A12">
        <w:rPr>
          <w:rFonts w:cs="Calibri"/>
        </w:rPr>
        <w:t>decade</w:t>
      </w:r>
      <w:r w:rsidRPr="00BC7A12">
        <w:rPr>
          <w:rFonts w:cs="Calibri"/>
        </w:rPr>
        <w:t>,</w:t>
      </w:r>
      <w:r w:rsidR="004363F8" w:rsidRPr="00BC7A12">
        <w:rPr>
          <w:rFonts w:cs="Calibri"/>
        </w:rPr>
        <w:t xml:space="preserve"> </w:t>
      </w:r>
      <w:r w:rsidR="00193381">
        <w:rPr>
          <w:rFonts w:cs="Calibri"/>
        </w:rPr>
        <w:t>most</w:t>
      </w:r>
      <w:r w:rsidR="004363F8" w:rsidRPr="00BC7A12">
        <w:rPr>
          <w:rFonts w:cs="Calibri"/>
        </w:rPr>
        <w:t xml:space="preserve"> mainland </w:t>
      </w:r>
      <w:r w:rsidR="00323373" w:rsidRPr="00BC7A12">
        <w:rPr>
          <w:rFonts w:cs="Calibri"/>
        </w:rPr>
        <w:t>Australia’s coastal wetlands DRR ecosystem services have been valued</w:t>
      </w:r>
      <w:r w:rsidR="00193381">
        <w:rPr>
          <w:rFonts w:cs="Calibri"/>
        </w:rPr>
        <w:t xml:space="preserve"> </w:t>
      </w:r>
      <w:r w:rsidR="00193381" w:rsidRPr="00193381">
        <w:rPr>
          <w:rFonts w:cs="Calibri"/>
        </w:rPr>
        <w:t>through six studies of 28 wetlands or wetland groups</w:t>
      </w:r>
      <w:r w:rsidR="00193381" w:rsidRPr="00193381">
        <w:rPr>
          <w:rStyle w:val="FootnoteReference"/>
          <w:rFonts w:cs="Calibri"/>
        </w:rPr>
        <w:footnoteReference w:id="7"/>
      </w:r>
      <w:r w:rsidR="00193381" w:rsidRPr="00193381">
        <w:rPr>
          <w:rFonts w:cs="Calibri"/>
        </w:rPr>
        <w:t xml:space="preserve"> (</w:t>
      </w:r>
      <w:r w:rsidR="00193381" w:rsidRPr="00193381">
        <w:rPr>
          <w:rFonts w:cs="Calibri"/>
        </w:rPr>
        <w:fldChar w:fldCharType="begin"/>
      </w:r>
      <w:r w:rsidR="00193381" w:rsidRPr="00193381">
        <w:rPr>
          <w:rFonts w:cs="Calibri"/>
        </w:rPr>
        <w:instrText xml:space="preserve"> REF _Ref43800797 \h  \* MERGEFORMAT </w:instrText>
      </w:r>
      <w:r w:rsidR="00193381" w:rsidRPr="00193381">
        <w:rPr>
          <w:rFonts w:cs="Calibri"/>
        </w:rPr>
      </w:r>
      <w:r w:rsidR="00193381" w:rsidRPr="00193381">
        <w:rPr>
          <w:rFonts w:cs="Calibri"/>
        </w:rPr>
        <w:fldChar w:fldCharType="separate"/>
      </w:r>
      <w:r w:rsidR="00657E34">
        <w:rPr>
          <w:rFonts w:cs="Calibri"/>
          <w:b/>
          <w:bCs/>
          <w:lang w:val="en-US"/>
        </w:rPr>
        <w:t>Error! Reference source not found.</w:t>
      </w:r>
      <w:r w:rsidR="00193381" w:rsidRPr="00193381">
        <w:rPr>
          <w:rFonts w:cs="Calibri"/>
        </w:rPr>
        <w:fldChar w:fldCharType="end"/>
      </w:r>
      <w:r w:rsidR="00193381" w:rsidRPr="00193381">
        <w:rPr>
          <w:rFonts w:cs="Calibri"/>
        </w:rPr>
        <w:t>).</w:t>
      </w:r>
      <w:r w:rsidR="00193381" w:rsidRPr="00BC7A12">
        <w:rPr>
          <w:rFonts w:cs="Calibri"/>
        </w:rPr>
        <w:t xml:space="preserve"> </w:t>
      </w:r>
      <w:r w:rsidR="00844C94">
        <w:rPr>
          <w:rFonts w:cs="Calibri"/>
        </w:rPr>
        <w:t>Fifteen</w:t>
      </w:r>
      <w:r w:rsidR="00C657B1">
        <w:rPr>
          <w:rFonts w:cs="Calibri"/>
        </w:rPr>
        <w:t xml:space="preserve"> </w:t>
      </w:r>
      <w:r w:rsidR="003F1519">
        <w:rPr>
          <w:rFonts w:cs="Calibri"/>
        </w:rPr>
        <w:t xml:space="preserve">were conducted </w:t>
      </w:r>
      <w:r w:rsidR="00C657B1">
        <w:rPr>
          <w:rFonts w:cs="Calibri"/>
        </w:rPr>
        <w:t xml:space="preserve">as </w:t>
      </w:r>
      <w:r w:rsidR="00193381">
        <w:rPr>
          <w:rFonts w:cs="Calibri"/>
        </w:rPr>
        <w:t xml:space="preserve">awareness raising approaches—benefit </w:t>
      </w:r>
      <w:r w:rsidR="00193381" w:rsidRPr="00BC7A12">
        <w:rPr>
          <w:rFonts w:cs="Calibri"/>
        </w:rPr>
        <w:t xml:space="preserve">transfer techniques </w:t>
      </w:r>
      <w:r w:rsidR="00193381" w:rsidRPr="00BC7A12">
        <w:rPr>
          <w:rFonts w:cs="Calibri"/>
        </w:rPr>
        <w:fldChar w:fldCharType="begin" w:fldLock="1"/>
      </w:r>
      <w:r w:rsidR="00193381" w:rsidRPr="00BC7A12">
        <w:rPr>
          <w:rFonts w:cs="Calibri"/>
        </w:rPr>
        <w:instrText>ADDIN CSL_CITATION {"citationItems":[{"id":"ITEM-1","itemData":{"DOI":"10.3389/fmars.2020.00453","abstract":"Temperate Australia has extensive and diverse coast and marine habitats throughout its inshore and offshore waters. The region includes the southernmost extent of mangroves, over 500 estuaries and coastal embayments, home to extensive meadows of seagrasses and tidal saltmarsh. In areas of hard substrate, rocky reefs are abundant and productive with large forests of macroalgae. Coastal regions can be densely populated by humans and often habitats can be degraded, polluted or lost, while some remain relatively isolated and pristine. These habitats provide services to society including provision of food, regulate our climate through sequestration of carbon, treating our waste and protecting our shorelines from damage from storms. Coastal areas are culturally importantly hubs for recreation and tourism. Habitat mapping demonstrates diverse habitats throughout temperate Australia, but a formal investigation of services provided by these habitats has been lacking. This review of ecosystem services provided by coast and marine environments throughout temperate Australia reveals vast and productive ecosystems that provide multiple ecosystem services, substantial value to the Australian economy and contribute to the health and well-being of people who live in, visit of benefit from services or products from these regions. Some of these are considered within traditional economic metrics such as provision of wild catch fisheries, but this review demonstrates that regulation and maintenance services including waste treatment and protecting shorelines from extreme events are under recognized, and their value is substantial. However, consistent with many locations globally, coast and marine habitats are under threat from increasing development, sewage, agricultural, industrial discharges, urban runoff and climate chang sewage, agricultural, industrial discharges, urban runoff and climate change. Resultantly, temperate Australian coast and marine habitat extent and condition is generally declining in many regions, putting the provision of services and benefits to the community at risk. Continued degraded or lost habitats indicate current management frameworks are not capturing the full risk from development and there are winners and losers in trade off decision making. Incorporating ecosystem services in decision making may allow an integrated approach to management, and acknowledgment of services provided could prevent habitats from being undervalued against economic…","author":[{"dropping-particle":"","family":"Gaylard","given":"Sam","non-dropping-particle":"","parse-names":false,"suffix":""},{"dropping-particle":"","family":"Waycott","given":"Michelle","non-dropping-particle":"","parse-names":false,"suffix":""},{"dropping-particle":"","family":"Lavery","given":"Paul","non-dropping-particle":"","parse-names":false,"suffix":""},{"dropping-particle":"","family":"Guthrie","given":"Amanda G","non-dropping-particle":"","parse-names":false,"suffix":""}],"container-title":"Frontiers in Marine Science","id":"ITEM-1","issue":"June","issued":{"date-parts":[["2020"]]},"page":"1-15","title":"Review of Coast and Marine Ecosystems in Temperate Australia Demonstrates a Wealth of Ecosystem Services","type":"article-journal","volume":"7"},"uris":["http://www.mendeley.com/documents/?uuid=9c8f459b-619e-4bf6-805b-926253cffbe3"]}],"mendeley":{"formattedCitation":"(Gaylard et al. 2020)","manualFormatting":"(Gaylard et al. 2020, see Box B)","plainTextFormattedCitation":"(Gaylard et al. 2020)","previouslyFormattedCitation":"(Gaylard et al. 2020)"},"properties":{"noteIndex":0},"schema":"https://github.com/citation-style-language/schema/raw/master/csl-citation.json"}</w:instrText>
      </w:r>
      <w:r w:rsidR="00193381" w:rsidRPr="00BC7A12">
        <w:rPr>
          <w:rFonts w:cs="Calibri"/>
        </w:rPr>
        <w:fldChar w:fldCharType="separate"/>
      </w:r>
      <w:r w:rsidR="00193381" w:rsidRPr="00BC7A12">
        <w:rPr>
          <w:rFonts w:cs="Calibri"/>
          <w:noProof/>
        </w:rPr>
        <w:t>(Gaylard et al. 2020, see Box B)</w:t>
      </w:r>
      <w:r w:rsidR="00193381" w:rsidRPr="00BC7A12">
        <w:rPr>
          <w:rFonts w:cs="Calibri"/>
        </w:rPr>
        <w:fldChar w:fldCharType="end"/>
      </w:r>
      <w:r w:rsidR="00193381" w:rsidRPr="00BC7A12">
        <w:rPr>
          <w:rFonts w:cs="Calibri"/>
        </w:rPr>
        <w:t xml:space="preserve"> and expected damage function technique</w:t>
      </w:r>
      <w:r w:rsidR="00193381">
        <w:rPr>
          <w:rFonts w:cs="Calibri"/>
        </w:rPr>
        <w:t>s</w:t>
      </w:r>
      <w:r w:rsidR="00193381" w:rsidRPr="00BC7A12">
        <w:rPr>
          <w:rFonts w:cs="Calibri"/>
        </w:rPr>
        <w:t xml:space="preserve"> </w:t>
      </w:r>
      <w:r w:rsidR="00193381" w:rsidRPr="00BC7A12">
        <w:rPr>
          <w:rFonts w:cs="Calibri"/>
        </w:rPr>
        <w:fldChar w:fldCharType="begin" w:fldLock="1"/>
      </w:r>
      <w:r w:rsidR="00193381" w:rsidRPr="00BC7A12">
        <w:rPr>
          <w:rFonts w:cs="Calibri"/>
        </w:rPr>
        <w:instrText>ADDIN CSL_CITATION {"citationItems":[{"id":"ITEM-1","itemData":{"DOI":"10.1038/s41598-018-21217-z","ISSN":"20452322","abstract":"Coastal wetlands are increasingly recognised for their pivotal role in mitigating the growing threats from cyclones (including hurricanes) in a changing climate. There is, however, insufficient information about the economic value of coastal wetlands for cyclone mitigation, particularly at regional scales. Analysis of data from 1990-2012 shows that the variation of cyclone frequencies is related to EI Niño strength in the Pacific Ocean adjacent to Australia, but not China. Among the cyclones hitting the two countries, there are significant relationships between the ratio of total economic damage to gross domestic production (TD/GDP) and wetland area within cyclone swaths in Australia, and wetland area plus minimum cyclone pressure despite a weak relationship in China. The TD/GDP ratio is significantly higher in China than in Australia. Despite their extensive and growing occurrence, seawalls in China appear not to play a critical role in cyclone mitigation, and cannot replace coastal wetlands, which provide other efficient ecosystem services. The economic values of coastal wetlands in Australia and China are respectively estimated at US$52.88 billion and 198.67 billion yr-1 for cyclone mitigation, albeit with large within-country geographic variation. This study highlights the urgency to integrate this value into existing valuations of coastal wetlands.","author":[{"dropping-particle":"","family":"Ouyang","given":"Xiaoguang","non-dropping-particle":"","parse-names":false,"suffix":""},{"dropping-particle":"","family":"Lee","given":"Shing Yip","non-dropping-particle":"","parse-names":false,"suffix":""},{"dropping-particle":"","family":"Connolly","given":"Rod M.","non-dropping-particle":"","parse-names":false,"suffix":""},{"dropping-particle":"","family":"Kainz","given":"Martin J.","non-dropping-particle":"","parse-names":false,"suffix":""}],"container-title":"Scientific Reports","id":"ITEM-1","issue":"1","issued":{"date-parts":[["2018"]]},"page":"1-9","publisher":"Springer US","title":"Spatially-explicit valuation of coastal wetlands for cyclone mitigation in Australia and China","type":"article-journal","volume":"8"},"uris":["http://www.mendeley.com/documents/?uuid=f753a80c-32df-451d-b873-8404b0db5519"]}],"mendeley":{"formattedCitation":"(Ouyang et al. 2018)","plainTextFormattedCitation":"(Ouyang et al. 2018)","previouslyFormattedCitation":"(Ouyang et al. 2018)"},"properties":{"noteIndex":0},"schema":"https://github.com/citation-style-language/schema/raw/master/csl-citation.json"}</w:instrText>
      </w:r>
      <w:r w:rsidR="00193381" w:rsidRPr="00BC7A12">
        <w:rPr>
          <w:rFonts w:cs="Calibri"/>
        </w:rPr>
        <w:fldChar w:fldCharType="separate"/>
      </w:r>
      <w:r w:rsidR="00193381" w:rsidRPr="00BC7A12">
        <w:rPr>
          <w:rFonts w:cs="Calibri"/>
          <w:noProof/>
        </w:rPr>
        <w:t>(Ouyang et al. 2018)</w:t>
      </w:r>
      <w:r w:rsidR="00193381" w:rsidRPr="00BC7A12">
        <w:rPr>
          <w:rFonts w:cs="Calibri"/>
        </w:rPr>
        <w:fldChar w:fldCharType="end"/>
      </w:r>
      <w:r w:rsidR="00323373" w:rsidRPr="00193381">
        <w:rPr>
          <w:rFonts w:cs="Calibri"/>
        </w:rPr>
        <w:t>.</w:t>
      </w:r>
      <w:r w:rsidR="00F8759E" w:rsidRPr="00193381">
        <w:rPr>
          <w:rFonts w:cs="Calibri"/>
        </w:rPr>
        <w:t xml:space="preserve"> </w:t>
      </w:r>
      <w:r w:rsidR="00EE2F3D" w:rsidRPr="00BC7A12">
        <w:rPr>
          <w:rFonts w:cs="Calibri"/>
        </w:rPr>
        <w:t xml:space="preserve">While these valuations cover </w:t>
      </w:r>
      <w:r w:rsidR="002F3371" w:rsidRPr="00BC7A12">
        <w:rPr>
          <w:rFonts w:cs="Calibri"/>
        </w:rPr>
        <w:t xml:space="preserve">the full extent of </w:t>
      </w:r>
      <w:r w:rsidR="00EE2F3D" w:rsidRPr="00BC7A12">
        <w:rPr>
          <w:rFonts w:cs="Calibri"/>
        </w:rPr>
        <w:t xml:space="preserve">coastal wetlands, </w:t>
      </w:r>
      <w:r w:rsidR="002F3371" w:rsidRPr="00BC7A12">
        <w:rPr>
          <w:rFonts w:cs="Calibri"/>
        </w:rPr>
        <w:t>they</w:t>
      </w:r>
      <w:r w:rsidR="00EE2F3D" w:rsidRPr="00BC7A12">
        <w:rPr>
          <w:rFonts w:cs="Calibri"/>
        </w:rPr>
        <w:t xml:space="preserve"> were </w:t>
      </w:r>
      <w:r w:rsidR="002F3371" w:rsidRPr="00BC7A12">
        <w:rPr>
          <w:rFonts w:cs="Calibri"/>
        </w:rPr>
        <w:t xml:space="preserve">geographically </w:t>
      </w:r>
      <w:r w:rsidR="00EE2F3D" w:rsidRPr="00BC7A12">
        <w:rPr>
          <w:rFonts w:cs="Calibri"/>
        </w:rPr>
        <w:t xml:space="preserve">broad geographic scales and </w:t>
      </w:r>
      <w:r w:rsidR="002F3371" w:rsidRPr="00BC7A12">
        <w:rPr>
          <w:rFonts w:cs="Calibri"/>
        </w:rPr>
        <w:t xml:space="preserve">for </w:t>
      </w:r>
      <w:r w:rsidR="00EB311E">
        <w:rPr>
          <w:rFonts w:cs="Calibri"/>
        </w:rPr>
        <w:t xml:space="preserve">only </w:t>
      </w:r>
      <w:r w:rsidR="004242B3">
        <w:rPr>
          <w:rFonts w:cs="Calibri"/>
        </w:rPr>
        <w:t xml:space="preserve">the </w:t>
      </w:r>
      <w:r w:rsidR="00EE2F3D" w:rsidRPr="00BC7A12">
        <w:rPr>
          <w:rFonts w:cs="Calibri"/>
        </w:rPr>
        <w:t>natural hazards</w:t>
      </w:r>
      <w:r w:rsidR="00EB311E">
        <w:rPr>
          <w:rFonts w:cs="Calibri"/>
        </w:rPr>
        <w:t xml:space="preserve"> </w:t>
      </w:r>
      <w:r w:rsidR="004242B3">
        <w:rPr>
          <w:rFonts w:cs="Calibri"/>
        </w:rPr>
        <w:t xml:space="preserve">of (1) </w:t>
      </w:r>
      <w:r w:rsidR="00EB311E">
        <w:rPr>
          <w:rFonts w:cs="Calibri"/>
        </w:rPr>
        <w:t>flood damage from cyclones</w:t>
      </w:r>
      <w:r w:rsidR="004242B3">
        <w:rPr>
          <w:rFonts w:cs="Calibri"/>
        </w:rPr>
        <w:t xml:space="preserve"> throughout Australia and (2) coastal erosion from storms in temperate Australia</w:t>
      </w:r>
      <w:r w:rsidR="00EE2F3D" w:rsidRPr="00BC7A12">
        <w:rPr>
          <w:rFonts w:cs="Calibri"/>
        </w:rPr>
        <w:t xml:space="preserve">. </w:t>
      </w:r>
      <w:r w:rsidR="002F3371" w:rsidRPr="00BC7A12">
        <w:rPr>
          <w:rFonts w:cs="Calibri"/>
        </w:rPr>
        <w:t xml:space="preserve">While not useful for coastal planning, </w:t>
      </w:r>
      <w:r w:rsidR="00C95344">
        <w:rPr>
          <w:rFonts w:cs="Calibri"/>
        </w:rPr>
        <w:t xml:space="preserve">they </w:t>
      </w:r>
      <w:r w:rsidR="002F3371" w:rsidRPr="00BC7A12">
        <w:rPr>
          <w:rFonts w:cs="Calibri"/>
        </w:rPr>
        <w:t xml:space="preserve">can be used to raise awareness of the economic benefits of </w:t>
      </w:r>
      <w:r w:rsidR="00C95344">
        <w:rPr>
          <w:rFonts w:cs="Calibri"/>
        </w:rPr>
        <w:t xml:space="preserve">maintaining </w:t>
      </w:r>
      <w:r w:rsidR="002F3371" w:rsidRPr="00BC7A12">
        <w:rPr>
          <w:rFonts w:cs="Calibri"/>
        </w:rPr>
        <w:t xml:space="preserve">coastal wetlands. </w:t>
      </w:r>
    </w:p>
    <w:p w14:paraId="77129024" w14:textId="1FE46CCB" w:rsidR="00AD1065" w:rsidRDefault="00C95344" w:rsidP="00323373">
      <w:pPr>
        <w:rPr>
          <w:rFonts w:cs="Calibri"/>
        </w:rPr>
      </w:pPr>
      <w:r>
        <w:rPr>
          <w:rFonts w:cs="Calibri"/>
        </w:rPr>
        <w:t xml:space="preserve">Twelve </w:t>
      </w:r>
      <w:r w:rsidR="00791C02" w:rsidRPr="00BC7A12">
        <w:rPr>
          <w:rFonts w:cs="Calibri"/>
        </w:rPr>
        <w:t xml:space="preserve">valuations used explicit local </w:t>
      </w:r>
      <w:r w:rsidR="009E447A" w:rsidRPr="00BC7A12">
        <w:rPr>
          <w:rFonts w:cs="Calibri"/>
        </w:rPr>
        <w:t xml:space="preserve">valuation </w:t>
      </w:r>
      <w:r w:rsidR="004F6F3C" w:rsidRPr="00BC7A12">
        <w:rPr>
          <w:rFonts w:cs="Calibri"/>
        </w:rPr>
        <w:t>approaches</w:t>
      </w:r>
      <w:r w:rsidR="00413B3A" w:rsidRPr="00BC7A12">
        <w:rPr>
          <w:rFonts w:cs="Calibri"/>
        </w:rPr>
        <w:t xml:space="preserve">, combining elements of </w:t>
      </w:r>
      <w:r w:rsidR="00327065" w:rsidRPr="00BC7A12">
        <w:rPr>
          <w:rFonts w:cs="Calibri"/>
        </w:rPr>
        <w:t xml:space="preserve">expected damage function, </w:t>
      </w:r>
      <w:r w:rsidR="00413B3A" w:rsidRPr="00BC7A12">
        <w:rPr>
          <w:rFonts w:cs="Calibri"/>
        </w:rPr>
        <w:t xml:space="preserve">production function </w:t>
      </w:r>
      <w:r w:rsidR="004244D5" w:rsidRPr="00BC7A12">
        <w:rPr>
          <w:rFonts w:cs="Calibri"/>
        </w:rPr>
        <w:t>and replacement cost techniques.</w:t>
      </w:r>
      <w:r w:rsidR="00791C02" w:rsidRPr="00BC7A12">
        <w:rPr>
          <w:rFonts w:cs="Calibri"/>
        </w:rPr>
        <w:t xml:space="preserve"> </w:t>
      </w:r>
      <w:r w:rsidR="00413B3A" w:rsidRPr="00BC7A12">
        <w:rPr>
          <w:rFonts w:cs="Calibri"/>
        </w:rPr>
        <w:t xml:space="preserve">While this report did not explore the </w:t>
      </w:r>
      <w:r w:rsidR="00570628" w:rsidRPr="00BC7A12">
        <w:rPr>
          <w:rFonts w:cs="Calibri"/>
        </w:rPr>
        <w:t>intent of these valuations in detail,</w:t>
      </w:r>
      <w:r w:rsidR="00413B3A" w:rsidRPr="00BC7A12">
        <w:rPr>
          <w:rFonts w:cs="Calibri"/>
        </w:rPr>
        <w:t xml:space="preserve"> </w:t>
      </w:r>
      <w:r w:rsidR="007B679E" w:rsidRPr="00BC7A12">
        <w:rPr>
          <w:rFonts w:cs="Calibri"/>
        </w:rPr>
        <w:t xml:space="preserve">all 28 were </w:t>
      </w:r>
      <w:r w:rsidR="00570628" w:rsidRPr="00BC7A12">
        <w:rPr>
          <w:rFonts w:cs="Calibri"/>
        </w:rPr>
        <w:t xml:space="preserve">likely undertaken to deepen understanding or advance the knowledge for coastal planning efforts. </w:t>
      </w:r>
    </w:p>
    <w:p w14:paraId="173C85EE" w14:textId="4AB1812D" w:rsidR="004A28DF" w:rsidRPr="00BC7A12" w:rsidRDefault="00C95344" w:rsidP="00323373">
      <w:pPr>
        <w:rPr>
          <w:rFonts w:cs="Calibri"/>
        </w:rPr>
      </w:pPr>
      <w:r>
        <w:rPr>
          <w:rFonts w:cs="Calibri"/>
        </w:rPr>
        <w:t xml:space="preserve">The final valuation study </w:t>
      </w:r>
      <w:r w:rsidR="00EB311E">
        <w:rPr>
          <w:rFonts w:cs="Calibri"/>
        </w:rPr>
        <w:fldChar w:fldCharType="begin" w:fldLock="1"/>
      </w:r>
      <w:r w:rsidR="00F179E1">
        <w:rPr>
          <w:rFonts w:cs="Calibri"/>
        </w:rPr>
        <w:instrText>ADDIN CSL_CITATION {"citationItems":[{"id":"ITEM-1","itemData":{"abstract":"If you need to access this document in a language other than English, please call the Translating and Interpreting Service (TIS National) on 131 450 and ask them to telephone Library Services on +61 7 3224 8412. This publication can be made available in an alternative format (e.g. large print or audiotape) on request for people with vision impairment; phone +61 7 3224 8412 or email &lt;library@ehp.qld.gov.au&gt;.","author":[{"dropping-particle":"","family":"Department of Environment and Heritage Protection","given":"","non-dropping-particle":"","parse-names":false,"suffix":""}],"id":"ITEM-1","issued":{"date-parts":[["2012"]]},"title":"Natural assets for flood and cyclone resilience: Synthesis of scientific evidence on the role of natural assets to reduce the human impacts of floods and cyclones","type":"article-journal"},"uris":["http://www.mendeley.com/documents/?uuid=87c566b3-5448-41da-841a-4dc324b71e50"]}],"mendeley":{"formattedCitation":"(Department of Environment and Heritage Protection 2012)","plainTextFormattedCitation":"(Department of Environment and Heritage Protection 2012)","previouslyFormattedCitation":"(Department of Environment and Heritage Protection 2012)"},"properties":{"noteIndex":0},"schema":"https://github.com/citation-style-language/schema/raw/master/csl-citation.json"}</w:instrText>
      </w:r>
      <w:r w:rsidR="00EB311E">
        <w:rPr>
          <w:rFonts w:cs="Calibri"/>
        </w:rPr>
        <w:fldChar w:fldCharType="separate"/>
      </w:r>
      <w:r w:rsidR="00EB311E" w:rsidRPr="00EB311E">
        <w:rPr>
          <w:rFonts w:cs="Calibri"/>
          <w:noProof/>
        </w:rPr>
        <w:t>(Department of Environment and Heritage Protection 2012)</w:t>
      </w:r>
      <w:r w:rsidR="00EB311E">
        <w:rPr>
          <w:rFonts w:cs="Calibri"/>
        </w:rPr>
        <w:fldChar w:fldCharType="end"/>
      </w:r>
      <w:r w:rsidR="00EB311E">
        <w:rPr>
          <w:rFonts w:cs="Calibri"/>
        </w:rPr>
        <w:t xml:space="preserve"> used production function techniques and did not produce an economic value. This study demonstrates the biophysical modelling central to explicit local valuation techniques. With an understanding of how wave energy is dissipated by mangroves, the reduced economic damage to human property can be determined. </w:t>
      </w:r>
    </w:p>
    <w:p w14:paraId="3ECBFC13" w14:textId="2AF3C1E9" w:rsidR="002A710F" w:rsidRPr="00BC7A12" w:rsidRDefault="00C95344" w:rsidP="00323373">
      <w:pPr>
        <w:rPr>
          <w:rFonts w:cs="Calibri"/>
        </w:rPr>
      </w:pPr>
      <w:r>
        <w:rPr>
          <w:rFonts w:cs="Calibri"/>
        </w:rPr>
        <w:t>The most current study,</w:t>
      </w:r>
      <w:r w:rsidR="00570628" w:rsidRPr="00BC7A12">
        <w:rPr>
          <w:rFonts w:cs="Calibri"/>
        </w:rPr>
        <w:t xml:space="preserve"> is the ongoing Mapping Ocean Wealth project </w:t>
      </w:r>
      <w:r w:rsidR="00570628" w:rsidRPr="00BC7A12">
        <w:rPr>
          <w:rFonts w:cs="Calibri"/>
        </w:rPr>
        <w:fldChar w:fldCharType="begin" w:fldLock="1"/>
      </w:r>
      <w:r w:rsidR="00570628" w:rsidRPr="00BC7A12">
        <w:rPr>
          <w:rFonts w:cs="Calibri"/>
        </w:rPr>
        <w:instrText>ADDIN CSL_CITATION {"citationItems":[{"id":"ITEM-1","itemData":{"ISBN":"9780648567721","author":[{"dropping-particle":"","family":"Carnell, P.E, Reeves, S.E, Nicholson, E.","given":"Macreadie","non-dropping-particle":"","parse-names":false,"suffix":""},{"dropping-particle":"","family":"P. Ierodiaconou, D., Young, M., Kelvin, J.","given":"Janes","non-dropping-particle":"","parse-names":false,"suffix":""},{"dropping-particle":"","family":"H., Navarro, A., Fitzsimons, J., Gillies","given":"C.L.","non-dropping-particle":"","parse-names":false,"suffix":""}],"id":"ITEM-1","issued":{"date-parts":[["2019"]]},"number-of-pages":"1-14","title":"Mapping Ocean Wealth Australia: The value of coastal wetlands to people and nature","type":"book"},"uris":["http://www.mendeley.com/documents/?uuid=adffe741-eb52-4ce7-bac4-8dbd9bf8040f"]}],"mendeley":{"formattedCitation":"(Carnell, P.E, Reeves, S.E, Nicholson, E. et al. 2019)","plainTextFormattedCitation":"(Carnell, P.E, Reeves, S.E, Nicholson, E. et al. 2019)","previouslyFormattedCitation":"(Carnell, P.E, Reeves, S.E, Nicholson, E. et al. 2019)"},"properties":{"noteIndex":0},"schema":"https://github.com/citation-style-language/schema/raw/master/csl-citation.json"}</w:instrText>
      </w:r>
      <w:r w:rsidR="00570628" w:rsidRPr="00BC7A12">
        <w:rPr>
          <w:rFonts w:cs="Calibri"/>
        </w:rPr>
        <w:fldChar w:fldCharType="separate"/>
      </w:r>
      <w:r w:rsidR="00570628" w:rsidRPr="00BC7A12">
        <w:rPr>
          <w:rFonts w:cs="Calibri"/>
          <w:noProof/>
        </w:rPr>
        <w:t>(Carnell, P.E, Reeves, S.E, Nicholson, E. et al. 2019)</w:t>
      </w:r>
      <w:r w:rsidR="00570628" w:rsidRPr="00BC7A12">
        <w:rPr>
          <w:rFonts w:cs="Calibri"/>
        </w:rPr>
        <w:fldChar w:fldCharType="end"/>
      </w:r>
      <w:r w:rsidR="00570628" w:rsidRPr="00BC7A12">
        <w:rPr>
          <w:rFonts w:cs="Calibri"/>
        </w:rPr>
        <w:t xml:space="preserve">. While the full analysis is under review, the project was integrated with adaptation planning efforts in Port Phillip Bay and Western </w:t>
      </w:r>
      <w:r w:rsidR="00854EC9" w:rsidRPr="00BC7A12">
        <w:rPr>
          <w:rFonts w:cs="Calibri"/>
        </w:rPr>
        <w:t>Port</w:t>
      </w:r>
      <w:r w:rsidR="00C657B1">
        <w:rPr>
          <w:rFonts w:cs="Calibri"/>
        </w:rPr>
        <w:t xml:space="preserve"> in Victoria</w:t>
      </w:r>
      <w:r w:rsidR="00854EC9" w:rsidRPr="00BC7A12">
        <w:rPr>
          <w:rFonts w:cs="Calibri"/>
        </w:rPr>
        <w:t>.</w:t>
      </w:r>
      <w:r w:rsidR="006A342B" w:rsidRPr="00BC7A12">
        <w:rPr>
          <w:rFonts w:cs="Calibri"/>
        </w:rPr>
        <w:t xml:space="preserve"> The planning is exploring how the impacts of climate change </w:t>
      </w:r>
      <w:r w:rsidR="002A710F" w:rsidRPr="00BC7A12">
        <w:rPr>
          <w:rFonts w:cs="Calibri"/>
        </w:rPr>
        <w:t xml:space="preserve">are likely to </w:t>
      </w:r>
      <w:r w:rsidR="004244D5" w:rsidRPr="00BC7A12">
        <w:rPr>
          <w:rFonts w:cs="Calibri"/>
        </w:rPr>
        <w:t xml:space="preserve">cause coastal wetland locations to migrate, </w:t>
      </w:r>
      <w:r w:rsidR="002A710F" w:rsidRPr="00BC7A12">
        <w:rPr>
          <w:rFonts w:cs="Calibri"/>
        </w:rPr>
        <w:t xml:space="preserve">how this might impact the delivery of ecosystem services and </w:t>
      </w:r>
      <w:r w:rsidR="003F1519">
        <w:rPr>
          <w:rFonts w:cs="Calibri"/>
        </w:rPr>
        <w:t xml:space="preserve">what restoration efforts could be </w:t>
      </w:r>
      <w:r w:rsidR="002A710F" w:rsidRPr="00BC7A12">
        <w:rPr>
          <w:rFonts w:cs="Calibri"/>
        </w:rPr>
        <w:t xml:space="preserve">implemented </w:t>
      </w:r>
      <w:r w:rsidR="00570628" w:rsidRPr="00BC7A12">
        <w:rPr>
          <w:rFonts w:cs="Calibri"/>
        </w:rPr>
        <w:fldChar w:fldCharType="begin" w:fldLock="1"/>
      </w:r>
      <w:r w:rsidR="008829D2" w:rsidRPr="00BC7A12">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 Stakeholder consultation","type":"article"},"uris":["http://www.mendeley.com/documents/?uuid=bafcc05a-a77b-48ec-bab0-63b9ec400826"]}],"mendeley":{"formattedCitation":"(IDEEA Group 2020b)","manualFormatting":"(Ferns in IDEEA Group 2020a)","plainTextFormattedCitation":"(IDEEA Group 2020b)","previouslyFormattedCitation":"(IDEEA Group 2020b)"},"properties":{"noteIndex":0},"schema":"https://github.com/citation-style-language/schema/raw/master/csl-citation.json"}</w:instrText>
      </w:r>
      <w:r w:rsidR="00570628" w:rsidRPr="00BC7A12">
        <w:rPr>
          <w:rFonts w:cs="Calibri"/>
        </w:rPr>
        <w:fldChar w:fldCharType="separate"/>
      </w:r>
      <w:r w:rsidR="00570628" w:rsidRPr="00BC7A12">
        <w:rPr>
          <w:rFonts w:cs="Calibri"/>
          <w:noProof/>
        </w:rPr>
        <w:t>(Ferns in IDEEA Group 2020a)</w:t>
      </w:r>
      <w:r w:rsidR="00570628" w:rsidRPr="00BC7A12">
        <w:rPr>
          <w:rFonts w:cs="Calibri"/>
        </w:rPr>
        <w:fldChar w:fldCharType="end"/>
      </w:r>
      <w:r w:rsidR="002A710F" w:rsidRPr="00BC7A12">
        <w:rPr>
          <w:rFonts w:cs="Calibri"/>
        </w:rPr>
        <w:t xml:space="preserve">. </w:t>
      </w:r>
    </w:p>
    <w:p w14:paraId="79682ED6" w14:textId="466235D3" w:rsidR="008020F9" w:rsidRPr="00BC7A12" w:rsidRDefault="00611DE4" w:rsidP="00895831">
      <w:pPr>
        <w:rPr>
          <w:rFonts w:cs="Calibri"/>
        </w:rPr>
      </w:pPr>
      <w:r w:rsidRPr="00BC7A12">
        <w:rPr>
          <w:rFonts w:cs="Calibri"/>
        </w:rPr>
        <w:t>Mapping Ocean Wealth</w:t>
      </w:r>
      <w:r w:rsidR="003C3725" w:rsidRPr="00BC7A12">
        <w:rPr>
          <w:rFonts w:cs="Calibri"/>
        </w:rPr>
        <w:t xml:space="preserve"> used the </w:t>
      </w:r>
      <w:proofErr w:type="spellStart"/>
      <w:r w:rsidR="003C3725" w:rsidRPr="00BC7A12">
        <w:rPr>
          <w:rFonts w:cs="Calibri"/>
        </w:rPr>
        <w:t>InVEST</w:t>
      </w:r>
      <w:proofErr w:type="spellEnd"/>
      <w:r w:rsidR="003C3725" w:rsidRPr="00BC7A12">
        <w:rPr>
          <w:rFonts w:cs="Calibri"/>
        </w:rPr>
        <w:t xml:space="preserve"> generic model </w:t>
      </w:r>
      <w:r w:rsidR="003C3725" w:rsidRPr="00BC7A12">
        <w:rPr>
          <w:rFonts w:cs="Calibri"/>
        </w:rPr>
        <w:fldChar w:fldCharType="begin" w:fldLock="1"/>
      </w:r>
      <w:r w:rsidR="003C3725" w:rsidRPr="00BC7A12">
        <w:rPr>
          <w:rFonts w:cs="Calibri"/>
        </w:rPr>
        <w:instrText>ADDIN CSL_CITATION {"citationItems":[{"id":"ITEM-1","itemData":{"URL":"http://releases.naturalcapitalproject.org/invest-userguide/latest/coastal_vulnerability.html","accessed":{"date-parts":[["2020","6","16"]]},"author":[{"dropping-particle":"","family":"The Natural Capital Project","given":"","non-dropping-particle":"","parse-names":false,"suffix":""}],"id":"ITEM-1","issued":{"date-parts":[["2019"]]},"title":"InVEST Coastal Vulnerability Model","type":"webpage"},"uris":["http://www.mendeley.com/documents/?uuid=3911256b-c224-4c3d-be04-06c731b6c827"]}],"mendeley":{"formattedCitation":"(The Natural Capital Project 2019)","plainTextFormattedCitation":"(The Natural Capital Project 2019)","previouslyFormattedCitation":"(The Natural Capital Project 2019)"},"properties":{"noteIndex":0},"schema":"https://github.com/citation-style-language/schema/raw/master/csl-citation.json"}</w:instrText>
      </w:r>
      <w:r w:rsidR="003C3725" w:rsidRPr="00BC7A12">
        <w:rPr>
          <w:rFonts w:cs="Calibri"/>
        </w:rPr>
        <w:fldChar w:fldCharType="separate"/>
      </w:r>
      <w:r w:rsidR="003C3725" w:rsidRPr="00BC7A12">
        <w:rPr>
          <w:rFonts w:cs="Calibri"/>
          <w:noProof/>
        </w:rPr>
        <w:t>(The Natural Capital Project 2019)</w:t>
      </w:r>
      <w:r w:rsidR="003C3725" w:rsidRPr="00BC7A12">
        <w:rPr>
          <w:rFonts w:cs="Calibri"/>
        </w:rPr>
        <w:fldChar w:fldCharType="end"/>
      </w:r>
      <w:r w:rsidR="003C3725" w:rsidRPr="00BC7A12">
        <w:rPr>
          <w:rFonts w:cs="Calibri"/>
        </w:rPr>
        <w:t xml:space="preserve">. This avoided the costs of building a new model, but still enabled explicit local valuation to be conducted. </w:t>
      </w:r>
      <w:r w:rsidR="004F6F3C" w:rsidRPr="00BC7A12">
        <w:rPr>
          <w:rFonts w:cs="Calibri"/>
        </w:rPr>
        <w:t xml:space="preserve">There was also extensive data collection and classification, including the use of SEEA natural capital accounting standard, </w:t>
      </w:r>
      <w:r w:rsidR="003C3725" w:rsidRPr="00BC7A12">
        <w:rPr>
          <w:rFonts w:cs="Calibri"/>
        </w:rPr>
        <w:t xml:space="preserve">and </w:t>
      </w:r>
      <w:r w:rsidR="00C41763" w:rsidRPr="00BC7A12">
        <w:rPr>
          <w:rFonts w:cs="Calibri"/>
        </w:rPr>
        <w:t xml:space="preserve">the valuation was integrated </w:t>
      </w:r>
      <w:r w:rsidR="003C3725" w:rsidRPr="00BC7A12">
        <w:rPr>
          <w:rFonts w:cs="Calibri"/>
        </w:rPr>
        <w:t xml:space="preserve">with </w:t>
      </w:r>
      <w:r w:rsidR="00327065" w:rsidRPr="00BC7A12">
        <w:rPr>
          <w:rFonts w:cs="Calibri"/>
        </w:rPr>
        <w:t xml:space="preserve">coastal planning </w:t>
      </w:r>
      <w:r w:rsidR="003C3725" w:rsidRPr="00BC7A12">
        <w:rPr>
          <w:rFonts w:cs="Calibri"/>
        </w:rPr>
        <w:t>processes.</w:t>
      </w:r>
      <w:r w:rsidR="00327065" w:rsidRPr="00BC7A12">
        <w:rPr>
          <w:rFonts w:cs="Calibri"/>
        </w:rPr>
        <w:t xml:space="preserve"> Local </w:t>
      </w:r>
      <w:r w:rsidR="007B679E" w:rsidRPr="00BC7A12">
        <w:rPr>
          <w:rFonts w:cs="Calibri"/>
        </w:rPr>
        <w:t>decision makers</w:t>
      </w:r>
      <w:r w:rsidR="00327065" w:rsidRPr="00BC7A12">
        <w:rPr>
          <w:rFonts w:cs="Calibri"/>
        </w:rPr>
        <w:t xml:space="preserve"> </w:t>
      </w:r>
      <w:r w:rsidR="004F6F3C" w:rsidRPr="00BC7A12">
        <w:rPr>
          <w:rFonts w:cs="Calibri"/>
        </w:rPr>
        <w:t xml:space="preserve">were engaged, increasing the </w:t>
      </w:r>
      <w:r w:rsidR="003C3725" w:rsidRPr="00BC7A12">
        <w:rPr>
          <w:rFonts w:cs="Calibri"/>
        </w:rPr>
        <w:t>study’s</w:t>
      </w:r>
      <w:r w:rsidR="00F22E3A" w:rsidRPr="00BC7A12">
        <w:rPr>
          <w:rFonts w:cs="Calibri"/>
        </w:rPr>
        <w:t xml:space="preserve"> likelihood of </w:t>
      </w:r>
      <w:r w:rsidR="00327065" w:rsidRPr="00BC7A12">
        <w:rPr>
          <w:rFonts w:cs="Calibri"/>
        </w:rPr>
        <w:t>influencing decision making.</w:t>
      </w:r>
      <w:r w:rsidR="00F22E3A" w:rsidRPr="00BC7A12">
        <w:rPr>
          <w:rFonts w:cs="Calibri"/>
        </w:rPr>
        <w:t xml:space="preserve"> This</w:t>
      </w:r>
      <w:r w:rsidR="00C41763" w:rsidRPr="00BC7A12">
        <w:rPr>
          <w:rFonts w:cs="Calibri"/>
        </w:rPr>
        <w:t xml:space="preserve"> is contrasted</w:t>
      </w:r>
      <w:r w:rsidR="000F357B" w:rsidRPr="00BC7A12">
        <w:rPr>
          <w:rFonts w:cs="Calibri"/>
        </w:rPr>
        <w:t xml:space="preserve"> </w:t>
      </w:r>
      <w:r w:rsidR="00F22E3A" w:rsidRPr="00BC7A12">
        <w:rPr>
          <w:rFonts w:cs="Calibri"/>
        </w:rPr>
        <w:t xml:space="preserve">with the </w:t>
      </w:r>
      <w:r w:rsidR="003C3725" w:rsidRPr="00BC7A12">
        <w:rPr>
          <w:rFonts w:cs="Calibri"/>
        </w:rPr>
        <w:t xml:space="preserve">awareness raising valuation </w:t>
      </w:r>
      <w:r w:rsidR="004F6F3C" w:rsidRPr="00BC7A12">
        <w:rPr>
          <w:rFonts w:cs="Calibri"/>
        </w:rPr>
        <w:t>approaches</w:t>
      </w:r>
      <w:r w:rsidR="003C3725" w:rsidRPr="00BC7A12">
        <w:rPr>
          <w:rFonts w:cs="Calibri"/>
        </w:rPr>
        <w:t xml:space="preserve">, such as those based </w:t>
      </w:r>
      <w:r w:rsidR="000F357B" w:rsidRPr="00BC7A12">
        <w:rPr>
          <w:rFonts w:cs="Calibri"/>
        </w:rPr>
        <w:t xml:space="preserve">on </w:t>
      </w:r>
      <w:r w:rsidR="00F22E3A" w:rsidRPr="00BC7A12">
        <w:rPr>
          <w:rFonts w:cs="Calibri"/>
        </w:rPr>
        <w:t>benefit transfer</w:t>
      </w:r>
      <w:r w:rsidR="004F6F3C" w:rsidRPr="00BC7A12">
        <w:rPr>
          <w:rFonts w:cs="Calibri"/>
        </w:rPr>
        <w:t xml:space="preserve"> techniques</w:t>
      </w:r>
      <w:r w:rsidR="00F22E3A" w:rsidRPr="00BC7A12">
        <w:rPr>
          <w:rFonts w:cs="Calibri"/>
        </w:rPr>
        <w:t xml:space="preserve"> </w:t>
      </w:r>
      <w:r w:rsidR="00F22E3A" w:rsidRPr="00BC7A12">
        <w:rPr>
          <w:rFonts w:cs="Calibri"/>
        </w:rPr>
        <w:fldChar w:fldCharType="begin" w:fldLock="1"/>
      </w:r>
      <w:r w:rsidR="007B679E" w:rsidRPr="00BC7A12">
        <w:rPr>
          <w:rFonts w:cs="Calibri"/>
        </w:rPr>
        <w:instrText>ADDIN CSL_CITATION {"citationItems":[{"id":"ITEM-1","itemData":{"DOI":"10.3389/fmars.2020.00453","abstract":"Temperate Australia has extensive and diverse coast and marine habitats throughout its inshore and offshore waters. The region includes the southernmost extent of mangroves, over 500 estuaries and coastal embayments, home to extensive meadows of seagrasses and tidal saltmarsh. In areas of hard substrate, rocky reefs are abundant and productive with large forests of macroalgae. Coastal regions can be densely populated by humans and often habitats can be degraded, polluted or lost, while some remain relatively isolated and pristine. These habitats provide services to society including provision of food, regulate our climate through sequestration of carbon, treating our waste and protecting our shorelines from damage from storms. Coastal areas are culturally importantly hubs for recreation and tourism. Habitat mapping demonstrates diverse habitats throughout temperate Australia, but a formal investigation of services provided by these habitats has been lacking. This review of ecosystem services provided by coast and marine environments throughout temperate Australia reveals vast and productive ecosystems that provide multiple ecosystem services, substantial value to the Australian economy and contribute to the health and well-being of people who live in, visit of benefit from services or products from these regions. Some of these are considered within traditional economic metrics such as provision of wild catch fisheries, but this review demonstrates that regulation and maintenance services including waste treatment and protecting shorelines from extreme events are under recognized, and their value is substantial. However, consistent with many locations globally, coast and marine habitats are under threat from increasing development, sewage, agricultural, industrial discharges, urban runoff and climate chang sewage, agricultural, industrial discharges, urban runoff and climate change. Resultantly, temperate Australian coast and marine habitat extent and condition is generally declining in many regions, putting the provision of services and benefits to the community at risk. Continued degraded or lost habitats indicate current management frameworks are not capturing the full risk from development and there are winners and losers in trade off decision making. Incorporating ecosystem services in decision making may allow an integrated approach to management, and acknowledgment of services provided could prevent habitats from being undervalued against economic…","author":[{"dropping-particle":"","family":"Gaylard","given":"Sam","non-dropping-particle":"","parse-names":false,"suffix":""},{"dropping-particle":"","family":"Waycott","given":"Michelle","non-dropping-particle":"","parse-names":false,"suffix":""},{"dropping-particle":"","family":"Lavery","given":"Paul","non-dropping-particle":"","parse-names":false,"suffix":""},{"dropping-particle":"","family":"Guthrie","given":"Amanda G","non-dropping-particle":"","parse-names":false,"suffix":""}],"container-title":"Frontiers in Marine Science","id":"ITEM-1","issue":"June","issued":{"date-parts":[["2020"]]},"page":"1-15","title":"Review of Coast and Marine Ecosystems in Temperate Australia Demonstrates a Wealth of Ecosystem Services","type":"article-journal","volume":"7"},"uris":["http://www.mendeley.com/documents/?uuid=9c8f459b-619e-4bf6-805b-926253cffbe3"]}],"mendeley":{"formattedCitation":"(Gaylard et al. 2020)","manualFormatting":"(Gaylard et al. 2020 see Box B)","plainTextFormattedCitation":"(Gaylard et al. 2020)","previouslyFormattedCitation":"(Gaylard et al. 2020)"},"properties":{"noteIndex":0},"schema":"https://github.com/citation-style-language/schema/raw/master/csl-citation.json"}</w:instrText>
      </w:r>
      <w:r w:rsidR="00F22E3A" w:rsidRPr="00BC7A12">
        <w:rPr>
          <w:rFonts w:cs="Calibri"/>
        </w:rPr>
        <w:fldChar w:fldCharType="separate"/>
      </w:r>
      <w:r w:rsidR="00F22E3A" w:rsidRPr="00BC7A12">
        <w:rPr>
          <w:rFonts w:cs="Calibri"/>
          <w:noProof/>
        </w:rPr>
        <w:t>(Gaylard et al. 2020</w:t>
      </w:r>
      <w:r w:rsidR="004F6F3C" w:rsidRPr="00BC7A12">
        <w:rPr>
          <w:rFonts w:cs="Calibri"/>
          <w:noProof/>
        </w:rPr>
        <w:t xml:space="preserve"> see</w:t>
      </w:r>
      <w:r w:rsidR="007B679E" w:rsidRPr="00BC7A12">
        <w:rPr>
          <w:rFonts w:cs="Calibri"/>
          <w:noProof/>
        </w:rPr>
        <w:t xml:space="preserve"> B</w:t>
      </w:r>
      <w:r w:rsidR="004F6F3C" w:rsidRPr="00BC7A12">
        <w:rPr>
          <w:rFonts w:cs="Calibri"/>
          <w:noProof/>
        </w:rPr>
        <w:t>ox B</w:t>
      </w:r>
      <w:r w:rsidR="00F22E3A" w:rsidRPr="00BC7A12">
        <w:rPr>
          <w:rFonts w:cs="Calibri"/>
          <w:noProof/>
        </w:rPr>
        <w:t>)</w:t>
      </w:r>
      <w:r w:rsidR="00F22E3A" w:rsidRPr="00BC7A12">
        <w:rPr>
          <w:rFonts w:cs="Calibri"/>
        </w:rPr>
        <w:fldChar w:fldCharType="end"/>
      </w:r>
      <w:r w:rsidR="00C41763" w:rsidRPr="00BC7A12">
        <w:rPr>
          <w:rFonts w:cs="Calibri"/>
        </w:rPr>
        <w:t>,</w:t>
      </w:r>
      <w:r w:rsidR="00F22E3A" w:rsidRPr="00BC7A12">
        <w:rPr>
          <w:rFonts w:cs="Calibri"/>
        </w:rPr>
        <w:t xml:space="preserve"> that</w:t>
      </w:r>
      <w:r w:rsidR="00C41763" w:rsidRPr="00BC7A12">
        <w:rPr>
          <w:rFonts w:cs="Calibri"/>
        </w:rPr>
        <w:t xml:space="preserve"> are </w:t>
      </w:r>
      <w:r w:rsidR="00F22E3A" w:rsidRPr="00BC7A12">
        <w:rPr>
          <w:rFonts w:cs="Calibri"/>
        </w:rPr>
        <w:t xml:space="preserve">unlikely to influence </w:t>
      </w:r>
      <w:r w:rsidR="003C3725" w:rsidRPr="00BC7A12">
        <w:rPr>
          <w:rFonts w:cs="Calibri"/>
        </w:rPr>
        <w:t xml:space="preserve">coastal </w:t>
      </w:r>
      <w:r w:rsidR="00F22E3A" w:rsidRPr="00BC7A12">
        <w:rPr>
          <w:rFonts w:cs="Calibri"/>
        </w:rPr>
        <w:t>planning.</w:t>
      </w:r>
      <w:bookmarkStart w:id="63" w:name="_Ref43986929"/>
      <w:r w:rsidR="00895831" w:rsidRPr="00BC7A12">
        <w:rPr>
          <w:rFonts w:cs="Calibri"/>
        </w:rPr>
        <w:t xml:space="preserve"> </w:t>
      </w:r>
    </w:p>
    <w:p w14:paraId="200277E2" w14:textId="3ABF7780" w:rsidR="007B679E" w:rsidRPr="00BC7A12" w:rsidRDefault="007B679E" w:rsidP="00895831">
      <w:pPr>
        <w:rPr>
          <w:rFonts w:cs="Calibri"/>
        </w:rPr>
        <w:sectPr w:rsidR="007B679E" w:rsidRPr="00BC7A12" w:rsidSect="008D327D">
          <w:pgSz w:w="11906" w:h="16838" w:code="9"/>
          <w:pgMar w:top="1440" w:right="1440" w:bottom="1440" w:left="1440" w:header="432" w:footer="374" w:gutter="0"/>
          <w:cols w:space="708"/>
          <w:titlePg/>
          <w:docGrid w:linePitch="360"/>
        </w:sectPr>
      </w:pPr>
      <w:r w:rsidRPr="00BC7A12">
        <w:rPr>
          <w:rFonts w:cs="Calibri"/>
          <w:noProof/>
          <w:lang w:eastAsia="en-AU"/>
        </w:rPr>
        <w:lastRenderedPageBreak/>
        <mc:AlternateContent>
          <mc:Choice Requires="wps">
            <w:drawing>
              <wp:anchor distT="45720" distB="45720" distL="114300" distR="114300" simplePos="0" relativeHeight="251670528" behindDoc="0" locked="0" layoutInCell="1" allowOverlap="1" wp14:anchorId="5E584117" wp14:editId="7AC5F627">
                <wp:simplePos x="0" y="0"/>
                <wp:positionH relativeFrom="column">
                  <wp:posOffset>0</wp:posOffset>
                </wp:positionH>
                <wp:positionV relativeFrom="paragraph">
                  <wp:posOffset>331470</wp:posOffset>
                </wp:positionV>
                <wp:extent cx="5740400" cy="1727200"/>
                <wp:effectExtent l="0" t="0" r="12700" b="2540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727200"/>
                        </a:xfrm>
                        <a:prstGeom prst="rect">
                          <a:avLst/>
                        </a:prstGeom>
                        <a:solidFill>
                          <a:srgbClr val="FFFFFF"/>
                        </a:solidFill>
                        <a:ln w="9525">
                          <a:solidFill>
                            <a:srgbClr val="000000"/>
                          </a:solidFill>
                          <a:miter lim="800000"/>
                          <a:headEnd/>
                          <a:tailEnd/>
                        </a:ln>
                      </wps:spPr>
                      <wps:txbx>
                        <w:txbxContent>
                          <w:p w14:paraId="722A69F9" w14:textId="77777777" w:rsidR="00B9526D" w:rsidRDefault="00B9526D" w:rsidP="007B679E">
                            <w:r w:rsidRPr="008020F9">
                              <w:rPr>
                                <w:b/>
                                <w:bCs/>
                              </w:rPr>
                              <w:t xml:space="preserve">Box </w:t>
                            </w:r>
                            <w:r>
                              <w:rPr>
                                <w:b/>
                                <w:bCs/>
                              </w:rPr>
                              <w:t>B</w:t>
                            </w:r>
                            <w:r w:rsidRPr="008020F9">
                              <w:rPr>
                                <w:b/>
                                <w:bCs/>
                              </w:rPr>
                              <w:t>: Australia benefit transfer</w:t>
                            </w:r>
                            <w:r>
                              <w:rPr>
                                <w:b/>
                                <w:bCs/>
                              </w:rPr>
                              <w:t xml:space="preserve"> study </w:t>
                            </w:r>
                          </w:p>
                          <w:p w14:paraId="6030785B" w14:textId="41F27C5B" w:rsidR="00B9526D" w:rsidRPr="008020F9" w:rsidRDefault="00B9526D" w:rsidP="007B679E">
                            <w:pPr>
                              <w:rPr>
                                <w:b/>
                                <w:bCs/>
                              </w:rPr>
                            </w:pPr>
                            <w:r>
                              <w:t xml:space="preserve">To demonstrate the wealth of values from ecosystem services enabled by Australia’s temperate marine ecosystems, the DRR ecosystem services from salt marshes and mangroves were valued. The results were a per year, per hectare values of between INT$(2019) 2.57 and 11,506 </w:t>
                            </w:r>
                            <w:r>
                              <w:fldChar w:fldCharType="begin" w:fldLock="1"/>
                            </w:r>
                            <w:r>
                              <w:instrText>ADDIN CSL_CITATION {"citationItems":[{"id":"ITEM-1","itemData":{"DOI":"10.3389/fmars.2020.00453","abstract":"Temperate Australia has extensive and diverse coast and marine habitats throughout its inshore and offshore waters. The region includes the southernmost extent of mangroves, over 500 estuaries and coastal embayments, home to extensive meadows of seagrasses and tidal saltmarsh. In areas of hard substrate, rocky reefs are abundant and productive with large forests of macroalgae. Coastal regions can be densely populated by humans and often habitats can be degraded, polluted or lost, while some remain relatively isolated and pristine. These habitats provide services to society including provision of food, regulate our climate through sequestration of carbon, treating our waste and protecting our shorelines from damage from storms. Coastal areas are culturally importantly hubs for recreation and tourism. Habitat mapping demonstrates diverse habitats throughout temperate Australia, but a formal investigation of services provided by these habitats has been lacking. This review of ecosystem services provided by coast and marine environments throughout temperate Australia reveals vast and productive ecosystems that provide multiple ecosystem services, substantial value to the Australian economy and contribute to the health and well-being of people who live in, visit of benefit from services or products from these regions. Some of these are considered within traditional economic metrics such as provision of wild catch fisheries, but this review demonstrates that regulation and maintenance services including waste treatment and protecting shorelines from extreme events are under recognized, and their value is substantial. However, consistent with many locations globally, coast and marine habitats are under threat from increasing development, sewage, agricultural, industrial discharges, urban runoff and climate chang sewage, agricultural, industrial discharges, urban runoff and climate change. Resultantly, temperate Australian coast and marine habitat extent and condition is generally declining in many regions, putting the provision of services and benefits to the community at risk. Continued degraded or lost habitats indicate current management frameworks are not capturing the full risk from development and there are winners and losers in trade off decision making. Incorporating ecosystem services in decision making may allow an integrated approach to management, and acknowledgment of services provided could prevent habitats from being undervalued against economic…","author":[{"dropping-particle":"","family":"Gaylard","given":"Sam","non-dropping-particle":"","parse-names":false,"suffix":""},{"dropping-particle":"","family":"Waycott","given":"Michelle","non-dropping-particle":"","parse-names":false,"suffix":""},{"dropping-particle":"","family":"Lavery","given":"Paul","non-dropping-particle":"","parse-names":false,"suffix":""},{"dropping-particle":"","family":"Guthrie","given":"Amanda G","non-dropping-particle":"","parse-names":false,"suffix":""}],"container-title":"Frontiers in Marine Science","id":"ITEM-1","issue":"June","issued":{"date-parts":[["2020"]]},"page":"1-15","title":"Review of Coast and Marine Ecosystems in Temperate Australia Demonstrates a Wealth of Ecosystem Services","type":"article-journal","volume":"7"},"uris":["http://www.mendeley.com/documents/?uuid=9c8f459b-619e-4bf6-805b-926253cffbe3"]}],"mendeley":{"formattedCitation":"(Gaylard et al. 2020)","plainTextFormattedCitation":"(Gaylard et al. 2020)","previouslyFormattedCitation":"(Gaylard et al. 2020)"},"properties":{"noteIndex":0},"schema":"https://github.com/citation-style-language/schema/raw/master/csl-citation.json"}</w:instrText>
                            </w:r>
                            <w:r>
                              <w:fldChar w:fldCharType="separate"/>
                            </w:r>
                            <w:r w:rsidRPr="00F22E3A">
                              <w:rPr>
                                <w:noProof/>
                              </w:rPr>
                              <w:t>(Gaylard et al. 2020)</w:t>
                            </w:r>
                            <w:r>
                              <w:fldChar w:fldCharType="end"/>
                            </w:r>
                            <w:r>
                              <w:t>. These ranges, common for benefit transfer techniques, do not adequately inform coastal management, as a wetland being considered for conversion could have a value anywhere in this range.</w:t>
                            </w:r>
                          </w:p>
                          <w:p w14:paraId="3E86217C" w14:textId="77777777" w:rsidR="00B9526D" w:rsidRDefault="00B9526D" w:rsidP="007B6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84117" id="_x0000_s1027" type="#_x0000_t202" style="position:absolute;left:0;text-align:left;margin-left:0;margin-top:26.1pt;width:452pt;height:13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">
                <v:textbox>
                  <w:txbxContent>
                    <w:p w14:paraId="722A69F9" w14:textId="77777777" w:rsidR="00B9526D" w:rsidRDefault="00B9526D" w:rsidP="007B679E">
                      <w:r w:rsidRPr="008020F9">
                        <w:rPr>
                          <w:b/>
                          <w:bCs/>
                        </w:rPr>
                        <w:t xml:space="preserve">Box </w:t>
                      </w:r>
                      <w:r>
                        <w:rPr>
                          <w:b/>
                          <w:bCs/>
                        </w:rPr>
                        <w:t>B</w:t>
                      </w:r>
                      <w:r w:rsidRPr="008020F9">
                        <w:rPr>
                          <w:b/>
                          <w:bCs/>
                        </w:rPr>
                        <w:t>: Australia benefit transfer</w:t>
                      </w:r>
                      <w:r>
                        <w:rPr>
                          <w:b/>
                          <w:bCs/>
                        </w:rPr>
                        <w:t xml:space="preserve"> study </w:t>
                      </w:r>
                    </w:p>
                    <w:p w14:paraId="6030785B" w14:textId="41F27C5B" w:rsidR="00B9526D" w:rsidRPr="008020F9" w:rsidRDefault="00B9526D" w:rsidP="007B679E">
                      <w:pPr>
                        <w:rPr>
                          <w:b/>
                          <w:bCs/>
                        </w:rPr>
                      </w:pPr>
                      <w:r>
                        <w:t xml:space="preserve">To demonstrate the wealth of values from ecosystem services enabled by Australia’s temperate marine ecosystems, the DRR ecosystem services from salt marshes and mangroves were valued. The results were a per year, per hectare values of between INT$(2019) 2.57 and 11,506 </w:t>
                      </w:r>
                      <w:r>
                        <w:fldChar w:fldCharType="begin" w:fldLock="1"/>
                      </w:r>
                      <w:r>
                        <w:instrText>ADDIN CSL_CITATION {"citationItems":[{"id":"ITEM-1","itemData":{"DOI":"10.3389/fmars.2020.00453","abstract":"Temperate Australia has extensive and diverse coast and marine habitats throughout its inshore and offshore waters. The region includes the southernmost extent of mangroves, over 500 estuaries and coastal embayments, home to extensive meadows of seagrasses and tidal saltmarsh. In areas of hard substrate, rocky reefs are abundant and productive with large forests of macroalgae. Coastal regions can be densely populated by humans and often habitats can be degraded, polluted or lost, while some remain relatively isolated and pristine. These habitats provide services to society including provision of food, regulate our climate through sequestration of carbon, treating our waste and protecting our shorelines from damage from storms. Coastal areas are culturally importantly hubs for recreation and tourism. Habitat mapping demonstrates diverse habitats throughout temperate Australia, but a formal investigation of services provided by these habitats has been lacking. This review of ecosystem services provided by coast and marine environments throughout temperate Australia reveals vast and productive ecosystems that provide multiple ecosystem services, substantial value to the Australian economy and contribute to the health and well-being of people who live in, visit of benefit from services or products from these regions. Some of these are considered within traditional economic metrics such as provision of wild catch fisheries, but this review demonstrates that regulation and maintenance services including waste treatment and protecting shorelines from extreme events are under recognized, and their value is substantial. However, consistent with many locations globally, coast and marine habitats are under threat from increasing development, sewage, agricultural, industrial discharges, urban runoff and climate chang sewage, agricultural, industrial discharges, urban runoff and climate change. Resultantly, temperate Australian coast and marine habitat extent and condition is generally declining in many regions, putting the provision of services and benefits to the community at risk. Continued degraded or lost habitats indicate current management frameworks are not capturing the full risk from development and there are winners and losers in trade off decision making. Incorporating ecosystem services in decision making may allow an integrated approach to management, and acknowledgment of services provided could prevent habitats from being undervalued against economic…","author":[{"dropping-particle":"","family":"Gaylard","given":"Sam","non-dropping-particle":"","parse-names":false,"suffix":""},{"dropping-particle":"","family":"Waycott","given":"Michelle","non-dropping-particle":"","parse-names":false,"suffix":""},{"dropping-particle":"","family":"Lavery","given":"Paul","non-dropping-particle":"","parse-names":false,"suffix":""},{"dropping-particle":"","family":"Guthrie","given":"Amanda G","non-dropping-particle":"","parse-names":false,"suffix":""}],"container-title":"Frontiers in Marine Science","id":"ITEM-1","issue":"June","issued":{"date-parts":[["2020"]]},"page":"1-15","title":"Review of Coast and Marine Ecosystems in Temperate Australia Demonstrates a Wealth of Ecosystem Services","type":"article-journal","volume":"7"},"uris":["http://www.mendeley.com/documents/?uuid=9c8f459b-619e-4bf6-805b-926253cffbe3"]}],"mendeley":{"formattedCitation":"(Gaylard et al. 2020)","plainTextFormattedCitation":"(Gaylard et al. 2020)","previouslyFormattedCitation":"(Gaylard et al. 2020)"},"properties":{"noteIndex":0},"schema":"https://github.com/citation-style-language/schema/raw/master/csl-citation.json"}</w:instrText>
                      </w:r>
                      <w:r>
                        <w:fldChar w:fldCharType="separate"/>
                      </w:r>
                      <w:r w:rsidRPr="00F22E3A">
                        <w:rPr>
                          <w:noProof/>
                        </w:rPr>
                        <w:t>(Gaylard et al. 2020)</w:t>
                      </w:r>
                      <w:r>
                        <w:fldChar w:fldCharType="end"/>
                      </w:r>
                      <w:r>
                        <w:t>. These ranges, common for benefit transfer techniques, do not adequately inform coastal management, as a wetland being considered for conversion could have a value anywhere in this range.</w:t>
                      </w:r>
                    </w:p>
                    <w:p w14:paraId="3E86217C" w14:textId="77777777" w:rsidR="00B9526D" w:rsidRDefault="00B9526D" w:rsidP="007B679E"/>
                  </w:txbxContent>
                </v:textbox>
                <w10:wrap type="topAndBottom"/>
              </v:shape>
            </w:pict>
          </mc:Fallback>
        </mc:AlternateContent>
      </w:r>
    </w:p>
    <w:p w14:paraId="3026FE9B" w14:textId="2169C811" w:rsidR="00997C36" w:rsidRPr="00BC7A12" w:rsidRDefault="00997C36" w:rsidP="00997C36">
      <w:pPr>
        <w:pStyle w:val="Caption"/>
        <w:keepNext/>
        <w:rPr>
          <w:rFonts w:cs="Calibri"/>
        </w:rPr>
      </w:pPr>
      <w:bookmarkStart w:id="64" w:name="_Toc46821745"/>
      <w:r w:rsidRPr="00BC7A12">
        <w:rPr>
          <w:rFonts w:cs="Calibri"/>
        </w:rPr>
        <w:lastRenderedPageBreak/>
        <w:t xml:space="preserve">Table </w:t>
      </w:r>
      <w:r w:rsidR="005C2E7C" w:rsidRPr="00BC7A12">
        <w:rPr>
          <w:rFonts w:cs="Calibri"/>
          <w:noProof/>
        </w:rPr>
        <w:fldChar w:fldCharType="begin"/>
      </w:r>
      <w:r w:rsidR="005C2E7C" w:rsidRPr="00BC7A12">
        <w:rPr>
          <w:rFonts w:cs="Calibri"/>
          <w:noProof/>
        </w:rPr>
        <w:instrText xml:space="preserve"> SEQ Table \* ARABIC </w:instrText>
      </w:r>
      <w:r w:rsidR="005C2E7C" w:rsidRPr="00BC7A12">
        <w:rPr>
          <w:rFonts w:cs="Calibri"/>
          <w:noProof/>
        </w:rPr>
        <w:fldChar w:fldCharType="separate"/>
      </w:r>
      <w:r w:rsidR="00657E34">
        <w:rPr>
          <w:rFonts w:cs="Calibri"/>
          <w:noProof/>
        </w:rPr>
        <w:t>6</w:t>
      </w:r>
      <w:r w:rsidR="005C2E7C" w:rsidRPr="00BC7A12">
        <w:rPr>
          <w:rFonts w:cs="Calibri"/>
          <w:noProof/>
        </w:rPr>
        <w:fldChar w:fldCharType="end"/>
      </w:r>
      <w:bookmarkEnd w:id="63"/>
      <w:r w:rsidRPr="00BC7A12">
        <w:rPr>
          <w:rFonts w:cs="Calibri"/>
        </w:rPr>
        <w:t xml:space="preserve"> Australian valuation studies</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950"/>
        <w:gridCol w:w="2617"/>
        <w:gridCol w:w="2407"/>
        <w:gridCol w:w="1105"/>
        <w:gridCol w:w="1364"/>
        <w:gridCol w:w="1105"/>
        <w:gridCol w:w="924"/>
        <w:gridCol w:w="1930"/>
        <w:gridCol w:w="1191"/>
      </w:tblGrid>
      <w:tr w:rsidR="000A1DCE" w:rsidRPr="00BC7A12" w14:paraId="78259E2E" w14:textId="77777777" w:rsidTr="00A53825">
        <w:trPr>
          <w:trHeight w:val="290"/>
          <w:tblHeader/>
        </w:trPr>
        <w:tc>
          <w:tcPr>
            <w:tcW w:w="355" w:type="dxa"/>
            <w:tcBorders>
              <w:top w:val="single" w:sz="4" w:space="0" w:color="auto"/>
              <w:left w:val="single" w:sz="4" w:space="0" w:color="auto"/>
              <w:bottom w:val="single" w:sz="4" w:space="0" w:color="auto"/>
              <w:right w:val="single" w:sz="4" w:space="0" w:color="auto"/>
            </w:tcBorders>
            <w:shd w:val="clear" w:color="auto" w:fill="848484" w:themeFill="text1" w:themeFillTint="99"/>
            <w:noWrap/>
            <w:vAlign w:val="center"/>
            <w:hideMark/>
          </w:tcPr>
          <w:p w14:paraId="63024803" w14:textId="77777777" w:rsidR="000A1DCE" w:rsidRPr="00BC7A12" w:rsidRDefault="000A1DCE">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 </w:t>
            </w:r>
          </w:p>
        </w:tc>
        <w:tc>
          <w:tcPr>
            <w:tcW w:w="950" w:type="dxa"/>
            <w:tcBorders>
              <w:top w:val="single" w:sz="4" w:space="0" w:color="auto"/>
              <w:left w:val="single" w:sz="4" w:space="0" w:color="auto"/>
              <w:bottom w:val="single" w:sz="4" w:space="0" w:color="auto"/>
              <w:right w:val="single" w:sz="4" w:space="0" w:color="auto"/>
            </w:tcBorders>
            <w:shd w:val="clear" w:color="auto" w:fill="848484" w:themeFill="text1" w:themeFillTint="99"/>
            <w:vAlign w:val="center"/>
            <w:hideMark/>
          </w:tcPr>
          <w:p w14:paraId="699194C5" w14:textId="77777777" w:rsidR="000A1DCE" w:rsidRPr="00BC7A12" w:rsidRDefault="000A1DCE">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Study (6)</w:t>
            </w:r>
          </w:p>
        </w:tc>
        <w:tc>
          <w:tcPr>
            <w:tcW w:w="2617" w:type="dxa"/>
            <w:tcBorders>
              <w:top w:val="single" w:sz="4" w:space="0" w:color="auto"/>
              <w:left w:val="single" w:sz="4" w:space="0" w:color="auto"/>
              <w:bottom w:val="single" w:sz="4" w:space="0" w:color="auto"/>
              <w:right w:val="single" w:sz="4" w:space="0" w:color="auto"/>
            </w:tcBorders>
            <w:shd w:val="clear" w:color="auto" w:fill="848484" w:themeFill="text1" w:themeFillTint="99"/>
            <w:noWrap/>
            <w:vAlign w:val="center"/>
            <w:hideMark/>
          </w:tcPr>
          <w:p w14:paraId="1105492C" w14:textId="77777777" w:rsidR="000A1DCE" w:rsidRPr="00BC7A12" w:rsidRDefault="000A1DCE">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 xml:space="preserve">Wetland/wetland group </w:t>
            </w:r>
          </w:p>
        </w:tc>
        <w:tc>
          <w:tcPr>
            <w:tcW w:w="2407" w:type="dxa"/>
            <w:tcBorders>
              <w:top w:val="single" w:sz="4" w:space="0" w:color="auto"/>
              <w:left w:val="single" w:sz="4" w:space="0" w:color="auto"/>
              <w:bottom w:val="single" w:sz="4" w:space="0" w:color="auto"/>
              <w:right w:val="single" w:sz="4" w:space="0" w:color="auto"/>
            </w:tcBorders>
            <w:shd w:val="clear" w:color="auto" w:fill="848484" w:themeFill="text1" w:themeFillTint="99"/>
            <w:noWrap/>
            <w:vAlign w:val="center"/>
            <w:hideMark/>
          </w:tcPr>
          <w:p w14:paraId="12D4DD47" w14:textId="77777777" w:rsidR="000A1DCE" w:rsidRPr="00BC7A12" w:rsidRDefault="000A1DCE">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Ecosystem type</w:t>
            </w:r>
          </w:p>
        </w:tc>
        <w:tc>
          <w:tcPr>
            <w:tcW w:w="1105" w:type="dxa"/>
            <w:tcBorders>
              <w:top w:val="single" w:sz="4" w:space="0" w:color="auto"/>
              <w:left w:val="single" w:sz="4" w:space="0" w:color="auto"/>
              <w:bottom w:val="single" w:sz="4" w:space="0" w:color="auto"/>
              <w:right w:val="single" w:sz="4" w:space="0" w:color="auto"/>
            </w:tcBorders>
            <w:shd w:val="clear" w:color="auto" w:fill="848484" w:themeFill="text1" w:themeFillTint="99"/>
            <w:vAlign w:val="center"/>
            <w:hideMark/>
          </w:tcPr>
          <w:p w14:paraId="0B399A6E" w14:textId="77777777" w:rsidR="000A1DCE" w:rsidRPr="00BC7A12" w:rsidRDefault="000A1DCE">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Description</w:t>
            </w:r>
          </w:p>
        </w:tc>
        <w:tc>
          <w:tcPr>
            <w:tcW w:w="1364" w:type="dxa"/>
            <w:tcBorders>
              <w:top w:val="single" w:sz="4" w:space="0" w:color="auto"/>
              <w:left w:val="single" w:sz="4" w:space="0" w:color="auto"/>
              <w:bottom w:val="single" w:sz="4" w:space="0" w:color="auto"/>
              <w:right w:val="single" w:sz="4" w:space="0" w:color="auto"/>
            </w:tcBorders>
            <w:shd w:val="clear" w:color="auto" w:fill="848484" w:themeFill="text1" w:themeFillTint="99"/>
            <w:vAlign w:val="center"/>
            <w:hideMark/>
          </w:tcPr>
          <w:p w14:paraId="3BE612D4" w14:textId="77777777" w:rsidR="000A1DCE" w:rsidRPr="00BC7A12" w:rsidRDefault="000A1DCE">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Commissioned by</w:t>
            </w:r>
          </w:p>
        </w:tc>
        <w:tc>
          <w:tcPr>
            <w:tcW w:w="1105" w:type="dxa"/>
            <w:tcBorders>
              <w:top w:val="single" w:sz="4" w:space="0" w:color="auto"/>
              <w:left w:val="single" w:sz="4" w:space="0" w:color="auto"/>
              <w:bottom w:val="single" w:sz="4" w:space="0" w:color="auto"/>
              <w:right w:val="single" w:sz="4" w:space="0" w:color="auto"/>
            </w:tcBorders>
            <w:shd w:val="clear" w:color="auto" w:fill="848484" w:themeFill="text1" w:themeFillTint="99"/>
            <w:vAlign w:val="center"/>
            <w:hideMark/>
          </w:tcPr>
          <w:p w14:paraId="046D1095" w14:textId="77777777" w:rsidR="000A1DCE" w:rsidRPr="00BC7A12" w:rsidRDefault="000A1DCE">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Valuation technique</w:t>
            </w:r>
          </w:p>
        </w:tc>
        <w:tc>
          <w:tcPr>
            <w:tcW w:w="924" w:type="dxa"/>
            <w:tcBorders>
              <w:top w:val="single" w:sz="4" w:space="0" w:color="auto"/>
              <w:left w:val="single" w:sz="4" w:space="0" w:color="auto"/>
              <w:bottom w:val="single" w:sz="4" w:space="0" w:color="auto"/>
              <w:right w:val="single" w:sz="4" w:space="0" w:color="auto"/>
            </w:tcBorders>
            <w:shd w:val="clear" w:color="auto" w:fill="848484" w:themeFill="text1" w:themeFillTint="99"/>
          </w:tcPr>
          <w:p w14:paraId="73B7FC77" w14:textId="07ECD314" w:rsidR="000A1DCE" w:rsidRPr="00BC7A12" w:rsidRDefault="000A1DCE">
            <w:pPr>
              <w:spacing w:after="0" w:line="240" w:lineRule="auto"/>
              <w:jc w:val="left"/>
              <w:rPr>
                <w:rFonts w:eastAsia="Times New Roman" w:cs="Calibri"/>
                <w:b/>
                <w:bCs/>
                <w:color w:val="000000"/>
                <w:sz w:val="16"/>
                <w:szCs w:val="16"/>
                <w:lang w:eastAsia="en-AU"/>
              </w:rPr>
            </w:pPr>
            <w:r>
              <w:rPr>
                <w:rFonts w:eastAsia="Times New Roman" w:cs="Calibri"/>
                <w:b/>
                <w:bCs/>
                <w:color w:val="000000"/>
                <w:sz w:val="16"/>
                <w:szCs w:val="16"/>
                <w:lang w:eastAsia="en-AU"/>
              </w:rPr>
              <w:t>Valuation approach</w:t>
            </w:r>
          </w:p>
        </w:tc>
        <w:tc>
          <w:tcPr>
            <w:tcW w:w="1930" w:type="dxa"/>
            <w:tcBorders>
              <w:top w:val="single" w:sz="4" w:space="0" w:color="auto"/>
              <w:left w:val="single" w:sz="4" w:space="0" w:color="auto"/>
              <w:bottom w:val="single" w:sz="4" w:space="0" w:color="auto"/>
              <w:right w:val="single" w:sz="4" w:space="0" w:color="auto"/>
            </w:tcBorders>
            <w:shd w:val="clear" w:color="auto" w:fill="848484" w:themeFill="text1" w:themeFillTint="99"/>
            <w:noWrap/>
            <w:vAlign w:val="center"/>
            <w:hideMark/>
          </w:tcPr>
          <w:p w14:paraId="6721D521" w14:textId="58D4B887" w:rsidR="000A1DCE" w:rsidRPr="00BC7A12" w:rsidRDefault="000A1DCE">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 xml:space="preserve">Value </w:t>
            </w:r>
          </w:p>
        </w:tc>
        <w:tc>
          <w:tcPr>
            <w:tcW w:w="1191" w:type="dxa"/>
            <w:tcBorders>
              <w:top w:val="single" w:sz="4" w:space="0" w:color="auto"/>
              <w:left w:val="single" w:sz="4" w:space="0" w:color="auto"/>
              <w:bottom w:val="single" w:sz="4" w:space="0" w:color="auto"/>
              <w:right w:val="single" w:sz="4" w:space="0" w:color="auto"/>
            </w:tcBorders>
            <w:shd w:val="clear" w:color="auto" w:fill="848484" w:themeFill="text1" w:themeFillTint="99"/>
            <w:vAlign w:val="center"/>
            <w:hideMark/>
          </w:tcPr>
          <w:p w14:paraId="17FA4B40" w14:textId="77777777" w:rsidR="000A1DCE" w:rsidRPr="00BC7A12" w:rsidRDefault="000A1DCE">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 xml:space="preserve">Use of results </w:t>
            </w:r>
          </w:p>
        </w:tc>
      </w:tr>
      <w:tr w:rsidR="000A1DCE" w:rsidRPr="00BC7A12" w14:paraId="44DFFA62" w14:textId="77777777" w:rsidTr="00A53825">
        <w:trPr>
          <w:trHeight w:val="449"/>
        </w:trPr>
        <w:tc>
          <w:tcPr>
            <w:tcW w:w="355" w:type="dxa"/>
            <w:tcBorders>
              <w:top w:val="single" w:sz="4" w:space="0" w:color="auto"/>
              <w:left w:val="single" w:sz="4" w:space="0" w:color="auto"/>
              <w:bottom w:val="single" w:sz="4" w:space="0" w:color="auto"/>
              <w:right w:val="single" w:sz="4" w:space="0" w:color="auto"/>
            </w:tcBorders>
            <w:noWrap/>
            <w:vAlign w:val="center"/>
          </w:tcPr>
          <w:p w14:paraId="563232EF" w14:textId="77777777" w:rsidR="000A1DCE" w:rsidRPr="00BC7A12" w:rsidRDefault="000A1DCE" w:rsidP="00997C36">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vAlign w:val="center"/>
            <w:hideMark/>
          </w:tcPr>
          <w:p w14:paraId="5ED8EE23"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DEHP, 2012</w:t>
            </w:r>
          </w:p>
        </w:tc>
        <w:tc>
          <w:tcPr>
            <w:tcW w:w="2617" w:type="dxa"/>
            <w:tcBorders>
              <w:top w:val="single" w:sz="4" w:space="0" w:color="auto"/>
              <w:left w:val="single" w:sz="4" w:space="0" w:color="auto"/>
              <w:bottom w:val="single" w:sz="4" w:space="0" w:color="auto"/>
              <w:right w:val="single" w:sz="4" w:space="0" w:color="auto"/>
            </w:tcBorders>
            <w:noWrap/>
            <w:vAlign w:val="center"/>
            <w:hideMark/>
          </w:tcPr>
          <w:p w14:paraId="4334A376" w14:textId="35FB7F53"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Cocoa Creek, Townsville, QLD</w:t>
            </w:r>
          </w:p>
        </w:tc>
        <w:tc>
          <w:tcPr>
            <w:tcW w:w="2407" w:type="dxa"/>
            <w:tcBorders>
              <w:top w:val="single" w:sz="4" w:space="0" w:color="auto"/>
              <w:left w:val="single" w:sz="4" w:space="0" w:color="auto"/>
              <w:bottom w:val="single" w:sz="4" w:space="0" w:color="auto"/>
              <w:right w:val="single" w:sz="4" w:space="0" w:color="auto"/>
            </w:tcBorders>
            <w:noWrap/>
            <w:vAlign w:val="center"/>
            <w:hideMark/>
          </w:tcPr>
          <w:p w14:paraId="556FAB2D"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I — Intertidal forested wetlands</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806B7DD"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Government report on the flood and cyclone protection provided by natural assets</w:t>
            </w:r>
          </w:p>
        </w:tc>
        <w:tc>
          <w:tcPr>
            <w:tcW w:w="1364" w:type="dxa"/>
            <w:tcBorders>
              <w:top w:val="single" w:sz="4" w:space="0" w:color="auto"/>
              <w:left w:val="single" w:sz="4" w:space="0" w:color="auto"/>
              <w:bottom w:val="single" w:sz="4" w:space="0" w:color="auto"/>
              <w:right w:val="single" w:sz="4" w:space="0" w:color="auto"/>
            </w:tcBorders>
            <w:vAlign w:val="center"/>
            <w:hideMark/>
          </w:tcPr>
          <w:p w14:paraId="74C85CF1"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None</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5A28A94" w14:textId="1AFF597E"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Production function </w:t>
            </w:r>
          </w:p>
        </w:tc>
        <w:tc>
          <w:tcPr>
            <w:tcW w:w="924" w:type="dxa"/>
            <w:tcBorders>
              <w:top w:val="single" w:sz="4" w:space="0" w:color="auto"/>
              <w:left w:val="single" w:sz="4" w:space="0" w:color="auto"/>
              <w:bottom w:val="single" w:sz="4" w:space="0" w:color="auto"/>
              <w:right w:val="single" w:sz="4" w:space="0" w:color="auto"/>
            </w:tcBorders>
            <w:vAlign w:val="center"/>
          </w:tcPr>
          <w:p w14:paraId="3AF46DBA" w14:textId="407185E3" w:rsidR="000A1DCE" w:rsidRPr="00BC7A12" w:rsidRDefault="00A53825">
            <w:pPr>
              <w:spacing w:after="0" w:line="240" w:lineRule="auto"/>
              <w:jc w:val="left"/>
              <w:rPr>
                <w:rFonts w:eastAsia="Times New Roman" w:cs="Calibri"/>
                <w:color w:val="000000"/>
                <w:sz w:val="16"/>
                <w:szCs w:val="16"/>
                <w:lang w:eastAsia="en-AU"/>
              </w:rPr>
            </w:pPr>
            <w:r>
              <w:rPr>
                <w:rFonts w:eastAsia="Times New Roman" w:cs="Calibri"/>
                <w:color w:val="000000"/>
                <w:sz w:val="16"/>
                <w:szCs w:val="16"/>
                <w:lang w:eastAsia="en-AU"/>
              </w:rPr>
              <w:t xml:space="preserve">Explicit local valuation </w:t>
            </w:r>
            <w:r w:rsidR="000A1DCE">
              <w:rPr>
                <w:rFonts w:eastAsia="Times New Roman" w:cs="Calibri"/>
                <w:color w:val="000000"/>
                <w:sz w:val="16"/>
                <w:szCs w:val="16"/>
                <w:lang w:eastAsia="en-AU"/>
              </w:rPr>
              <w:t xml:space="preserve"> </w:t>
            </w:r>
          </w:p>
        </w:tc>
        <w:tc>
          <w:tcPr>
            <w:tcW w:w="1930" w:type="dxa"/>
            <w:tcBorders>
              <w:top w:val="single" w:sz="4" w:space="0" w:color="auto"/>
              <w:left w:val="single" w:sz="4" w:space="0" w:color="auto"/>
              <w:bottom w:val="single" w:sz="4" w:space="0" w:color="auto"/>
              <w:right w:val="single" w:sz="4" w:space="0" w:color="auto"/>
            </w:tcBorders>
            <w:vAlign w:val="center"/>
            <w:hideMark/>
          </w:tcPr>
          <w:p w14:paraId="07AB2184" w14:textId="745D50DF"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Townsville: 50 per cent of wave energy transmitted through 230m of mangroves, less than 20 percent of energy transmitted through 310m</w:t>
            </w:r>
          </w:p>
        </w:tc>
        <w:tc>
          <w:tcPr>
            <w:tcW w:w="1191" w:type="dxa"/>
            <w:tcBorders>
              <w:top w:val="single" w:sz="4" w:space="0" w:color="auto"/>
              <w:left w:val="single" w:sz="4" w:space="0" w:color="auto"/>
              <w:bottom w:val="single" w:sz="4" w:space="0" w:color="auto"/>
              <w:right w:val="single" w:sz="4" w:space="0" w:color="auto"/>
            </w:tcBorders>
            <w:vAlign w:val="center"/>
          </w:tcPr>
          <w:p w14:paraId="4B317EF3" w14:textId="226C50EF"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Contributed to coastal management efforts </w:t>
            </w:r>
          </w:p>
        </w:tc>
      </w:tr>
      <w:tr w:rsidR="000A1DCE" w:rsidRPr="00BC7A12" w14:paraId="07FF481C"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954DBA" w14:textId="77777777" w:rsidR="000A1DCE" w:rsidRPr="00BC7A12" w:rsidRDefault="000A1DCE" w:rsidP="00997C36">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D3C763"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Oxford Economics, 2009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95139B"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Great Barrier Reef </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1DF7DA"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C—Coral reef</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BA382B" w14:textId="45FA7EC6"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Report on the effects of bleaching on the Great Barrier Reef</w:t>
            </w:r>
          </w:p>
        </w:tc>
        <w:tc>
          <w:tcPr>
            <w:tcW w:w="1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099884"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Commissioned by the Great Barrier Reef Foundation</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2D0A6B"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Replacement cost</w:t>
            </w:r>
          </w:p>
        </w:tc>
        <w:tc>
          <w:tcPr>
            <w:tcW w:w="9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A519D" w14:textId="4157955D" w:rsidR="000A1DCE" w:rsidRPr="00BC7A12" w:rsidRDefault="00A53825">
            <w:pPr>
              <w:spacing w:after="0" w:line="240" w:lineRule="auto"/>
              <w:jc w:val="left"/>
              <w:rPr>
                <w:rFonts w:eastAsia="Times New Roman" w:cs="Calibri"/>
                <w:color w:val="000000"/>
                <w:sz w:val="16"/>
                <w:szCs w:val="16"/>
                <w:lang w:eastAsia="en-AU"/>
              </w:rPr>
            </w:pPr>
            <w:r>
              <w:rPr>
                <w:rFonts w:eastAsia="Times New Roman" w:cs="Calibri"/>
                <w:color w:val="000000"/>
                <w:sz w:val="16"/>
                <w:szCs w:val="16"/>
                <w:lang w:eastAsia="en-AU"/>
              </w:rPr>
              <w:t xml:space="preserve">Awareness raising </w:t>
            </w:r>
            <w:r w:rsidR="00CD36EF">
              <w:rPr>
                <w:rFonts w:eastAsia="Times New Roman" w:cs="Calibri"/>
                <w:color w:val="000000"/>
                <w:sz w:val="16"/>
                <w:szCs w:val="16"/>
                <w:lang w:eastAsia="en-AU"/>
              </w:rPr>
              <w:t xml:space="preserve">valuation </w:t>
            </w: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F59E7B" w14:textId="4E225601"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AUD$10 billion over 25 years (AUD$1 billion for Cairns)</w:t>
            </w: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CDDF61" w14:textId="718F2082"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Contributed to Great Barrier Reef management </w:t>
            </w:r>
          </w:p>
        </w:tc>
      </w:tr>
      <w:tr w:rsidR="000A1DCE" w:rsidRPr="00BC7A12" w14:paraId="0254557E"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noWrap/>
            <w:vAlign w:val="center"/>
          </w:tcPr>
          <w:p w14:paraId="677E12AA" w14:textId="77777777" w:rsidR="000A1DCE" w:rsidRPr="00BC7A12" w:rsidRDefault="000A1DCE" w:rsidP="00997C36">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vAlign w:val="center"/>
            <w:hideMark/>
          </w:tcPr>
          <w:p w14:paraId="6A9F024F" w14:textId="77777777" w:rsidR="000A1DCE" w:rsidRPr="00BC7A12" w:rsidRDefault="000A1DCE">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Whiteoak</w:t>
            </w:r>
            <w:proofErr w:type="spellEnd"/>
            <w:r w:rsidRPr="00BC7A12">
              <w:rPr>
                <w:rFonts w:eastAsia="Times New Roman" w:cs="Calibri"/>
                <w:color w:val="000000"/>
                <w:sz w:val="16"/>
                <w:szCs w:val="16"/>
                <w:lang w:eastAsia="en-AU"/>
              </w:rPr>
              <w:t>, et al., 2012</w:t>
            </w:r>
          </w:p>
        </w:tc>
        <w:tc>
          <w:tcPr>
            <w:tcW w:w="26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2888E2"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Moreton Bay </w:t>
            </w:r>
          </w:p>
        </w:tc>
        <w:tc>
          <w:tcPr>
            <w:tcW w:w="2407" w:type="dxa"/>
            <w:tcBorders>
              <w:top w:val="single" w:sz="4" w:space="0" w:color="auto"/>
              <w:left w:val="single" w:sz="4" w:space="0" w:color="auto"/>
              <w:bottom w:val="single" w:sz="4" w:space="0" w:color="auto"/>
              <w:right w:val="single" w:sz="4" w:space="0" w:color="auto"/>
            </w:tcBorders>
            <w:noWrap/>
            <w:vAlign w:val="center"/>
            <w:hideMark/>
          </w:tcPr>
          <w:p w14:paraId="3B182D6E"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Coastal wetlands</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9939B05"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Literature review on the economic value of ecosystem services provided by wetlands</w:t>
            </w:r>
          </w:p>
        </w:tc>
        <w:tc>
          <w:tcPr>
            <w:tcW w:w="1364" w:type="dxa"/>
            <w:tcBorders>
              <w:top w:val="single" w:sz="4" w:space="0" w:color="auto"/>
              <w:left w:val="single" w:sz="4" w:space="0" w:color="auto"/>
              <w:bottom w:val="single" w:sz="4" w:space="0" w:color="auto"/>
              <w:right w:val="single" w:sz="4" w:space="0" w:color="auto"/>
            </w:tcBorders>
            <w:vAlign w:val="center"/>
            <w:hideMark/>
          </w:tcPr>
          <w:p w14:paraId="1EAEE24A"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Commissioned by the Department of Sustainability, Environment, Water, Population and Communities</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62BF1B2" w14:textId="77777777"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 (Avoided damage cost)</w:t>
            </w:r>
          </w:p>
        </w:tc>
        <w:tc>
          <w:tcPr>
            <w:tcW w:w="924" w:type="dxa"/>
            <w:tcBorders>
              <w:top w:val="single" w:sz="4" w:space="0" w:color="auto"/>
              <w:left w:val="single" w:sz="4" w:space="0" w:color="auto"/>
              <w:bottom w:val="single" w:sz="4" w:space="0" w:color="auto"/>
              <w:right w:val="single" w:sz="4" w:space="0" w:color="auto"/>
            </w:tcBorders>
            <w:vAlign w:val="center"/>
          </w:tcPr>
          <w:p w14:paraId="2414E963" w14:textId="3B75D40B" w:rsidR="000A1DCE" w:rsidRPr="00BC7A12" w:rsidRDefault="00CD36EF">
            <w:pPr>
              <w:spacing w:after="0" w:line="240" w:lineRule="auto"/>
              <w:jc w:val="left"/>
              <w:rPr>
                <w:rFonts w:eastAsia="Times New Roman" w:cs="Calibri"/>
                <w:color w:val="000000"/>
                <w:sz w:val="16"/>
                <w:szCs w:val="16"/>
                <w:lang w:eastAsia="en-AU"/>
              </w:rPr>
            </w:pPr>
            <w:r>
              <w:rPr>
                <w:rFonts w:eastAsia="Times New Roman" w:cs="Calibri"/>
                <w:color w:val="000000"/>
                <w:sz w:val="16"/>
                <w:szCs w:val="16"/>
                <w:lang w:eastAsia="en-AU"/>
              </w:rPr>
              <w:t>Awareness</w:t>
            </w:r>
            <w:r w:rsidR="00A53825">
              <w:rPr>
                <w:rFonts w:eastAsia="Times New Roman" w:cs="Calibri"/>
                <w:color w:val="000000"/>
                <w:sz w:val="16"/>
                <w:szCs w:val="16"/>
                <w:lang w:eastAsia="en-AU"/>
              </w:rPr>
              <w:t xml:space="preserve"> raising </w:t>
            </w:r>
            <w:r>
              <w:rPr>
                <w:rFonts w:eastAsia="Times New Roman" w:cs="Calibri"/>
                <w:color w:val="000000"/>
                <w:sz w:val="16"/>
                <w:szCs w:val="16"/>
                <w:lang w:eastAsia="en-AU"/>
              </w:rPr>
              <w:t xml:space="preserve">valuation </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EE41813" w14:textId="3C29A111"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AUD$16,200/dwelling affected</w:t>
            </w:r>
          </w:p>
        </w:tc>
        <w:tc>
          <w:tcPr>
            <w:tcW w:w="1191" w:type="dxa"/>
            <w:tcBorders>
              <w:top w:val="single" w:sz="4" w:space="0" w:color="auto"/>
              <w:left w:val="single" w:sz="4" w:space="0" w:color="auto"/>
              <w:bottom w:val="single" w:sz="4" w:space="0" w:color="auto"/>
              <w:right w:val="single" w:sz="4" w:space="0" w:color="auto"/>
            </w:tcBorders>
            <w:vAlign w:val="center"/>
          </w:tcPr>
          <w:p w14:paraId="1F7C65A6" w14:textId="15742465" w:rsidR="000A1DCE" w:rsidRPr="00BC7A12" w:rsidRDefault="000A1DCE">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Contributed to valuation policy discussion </w:t>
            </w:r>
          </w:p>
        </w:tc>
      </w:tr>
      <w:tr w:rsidR="00A53825" w:rsidRPr="00BC7A12" w14:paraId="1874C4ED"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60817C" w14:textId="77777777" w:rsidR="00A53825" w:rsidRPr="00BC7A12" w:rsidRDefault="00A53825" w:rsidP="00997C36">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547387"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7E0C7CE"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Port Phillip Bay &amp; Bellarine Peninsula </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5DE16E"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B — Marine subtidal aquatic beds</w:t>
            </w:r>
          </w:p>
        </w:tc>
        <w:tc>
          <w:tcPr>
            <w:tcW w:w="1105"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2D9E309F"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Report on the values provided by coastal wetlands in Australia</w:t>
            </w:r>
          </w:p>
        </w:tc>
        <w:tc>
          <w:tcPr>
            <w:tcW w:w="1364"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28BC20C0"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Funded and supported by The Nature Conservancy, Deakin University, The Thomas Foundation, HSBC Australia, The Ian Potter Foundation, Victorian Government, NSW </w:t>
            </w:r>
            <w:proofErr w:type="gramStart"/>
            <w:r w:rsidRPr="00BC7A12">
              <w:rPr>
                <w:rFonts w:eastAsia="Times New Roman" w:cs="Calibri"/>
                <w:color w:val="000000"/>
                <w:sz w:val="16"/>
                <w:szCs w:val="16"/>
                <w:lang w:eastAsia="en-AU"/>
              </w:rPr>
              <w:t>Government</w:t>
            </w:r>
            <w:proofErr w:type="gramEnd"/>
            <w:r w:rsidRPr="00BC7A12">
              <w:rPr>
                <w:rFonts w:eastAsia="Times New Roman" w:cs="Calibri"/>
                <w:color w:val="000000"/>
                <w:sz w:val="16"/>
                <w:szCs w:val="16"/>
                <w:lang w:eastAsia="en-AU"/>
              </w:rPr>
              <w:t xml:space="preserve"> and </w:t>
            </w:r>
            <w:r w:rsidRPr="00BC7A12">
              <w:rPr>
                <w:rFonts w:eastAsia="Times New Roman" w:cs="Calibri"/>
                <w:color w:val="000000"/>
                <w:sz w:val="16"/>
                <w:szCs w:val="16"/>
                <w:lang w:eastAsia="en-AU"/>
              </w:rPr>
              <w:lastRenderedPageBreak/>
              <w:t>the Australian Research Council</w:t>
            </w:r>
          </w:p>
        </w:tc>
        <w:tc>
          <w:tcPr>
            <w:tcW w:w="1105"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441292F" w14:textId="2A87E0E2"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lastRenderedPageBreak/>
              <w:t>Expected damage function and replacement cost</w:t>
            </w:r>
          </w:p>
        </w:tc>
        <w:tc>
          <w:tcPr>
            <w:tcW w:w="924"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731E7B9" w14:textId="076DE929" w:rsidR="00A53825" w:rsidRPr="00BC7A12" w:rsidRDefault="00A53825">
            <w:pPr>
              <w:spacing w:after="0" w:line="240" w:lineRule="auto"/>
              <w:jc w:val="left"/>
              <w:rPr>
                <w:rFonts w:eastAsia="Times New Roman" w:cs="Calibri"/>
                <w:color w:val="000000"/>
                <w:sz w:val="16"/>
                <w:szCs w:val="16"/>
                <w:lang w:eastAsia="en-AU"/>
              </w:rPr>
            </w:pPr>
            <w:r>
              <w:rPr>
                <w:rFonts w:eastAsia="Times New Roman" w:cs="Calibri"/>
                <w:color w:val="000000"/>
                <w:sz w:val="16"/>
                <w:szCs w:val="16"/>
                <w:lang w:eastAsia="en-AU"/>
              </w:rPr>
              <w:t xml:space="preserve">Explicit local valuation </w:t>
            </w: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D5DC32" w14:textId="514A3722"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AUD$(2019) 89,010,000 </w:t>
            </w:r>
          </w:p>
        </w:tc>
        <w:tc>
          <w:tcPr>
            <w:tcW w:w="119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16D4820" w14:textId="265445E4"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Analysis is ongoing and is intended to inform coastal adaptation planning and restoration. </w:t>
            </w:r>
          </w:p>
        </w:tc>
      </w:tr>
      <w:tr w:rsidR="00A53825" w:rsidRPr="00BC7A12" w14:paraId="5E5DE2F2"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B36EA5" w14:textId="77777777" w:rsidR="00A53825" w:rsidRPr="00BC7A12" w:rsidRDefault="00A53825" w:rsidP="00997C36">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A892C6"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6137FD0"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Port Phillip Bay &amp; Bellarine Peninsula </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1B05C9"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I — Intertidal forested wetlands</w:t>
            </w:r>
          </w:p>
        </w:tc>
        <w:tc>
          <w:tcPr>
            <w:tcW w:w="1105" w:type="dxa"/>
            <w:vMerge/>
            <w:tcBorders>
              <w:left w:val="single" w:sz="4" w:space="0" w:color="auto"/>
              <w:right w:val="single" w:sz="4" w:space="0" w:color="auto"/>
            </w:tcBorders>
            <w:shd w:val="clear" w:color="auto" w:fill="F2F2F2" w:themeFill="background1" w:themeFillShade="F2"/>
            <w:vAlign w:val="center"/>
            <w:hideMark/>
          </w:tcPr>
          <w:p w14:paraId="68B9C4D6" w14:textId="77777777" w:rsidR="00A53825" w:rsidRPr="00BC7A12" w:rsidRDefault="00A53825">
            <w:pPr>
              <w:spacing w:after="0" w:line="256" w:lineRule="auto"/>
              <w:jc w:val="left"/>
              <w:rPr>
                <w:rFonts w:eastAsia="Times New Roman" w:cs="Calibri"/>
                <w:color w:val="000000"/>
                <w:sz w:val="16"/>
                <w:szCs w:val="16"/>
                <w:lang w:eastAsia="en-AU"/>
              </w:rPr>
            </w:pPr>
          </w:p>
        </w:tc>
        <w:tc>
          <w:tcPr>
            <w:tcW w:w="1364" w:type="dxa"/>
            <w:vMerge/>
            <w:tcBorders>
              <w:left w:val="single" w:sz="4" w:space="0" w:color="auto"/>
              <w:right w:val="single" w:sz="4" w:space="0" w:color="auto"/>
            </w:tcBorders>
            <w:shd w:val="clear" w:color="auto" w:fill="F2F2F2" w:themeFill="background1" w:themeFillShade="F2"/>
            <w:vAlign w:val="center"/>
            <w:hideMark/>
          </w:tcPr>
          <w:p w14:paraId="39C13742" w14:textId="77777777" w:rsidR="00A53825" w:rsidRPr="00BC7A12" w:rsidRDefault="00A53825">
            <w:pPr>
              <w:spacing w:after="0" w:line="256" w:lineRule="auto"/>
              <w:jc w:val="left"/>
              <w:rPr>
                <w:rFonts w:eastAsia="Times New Roman" w:cs="Calibri"/>
                <w:color w:val="000000"/>
                <w:sz w:val="16"/>
                <w:szCs w:val="16"/>
                <w:lang w:eastAsia="en-AU"/>
              </w:rPr>
            </w:pPr>
          </w:p>
        </w:tc>
        <w:tc>
          <w:tcPr>
            <w:tcW w:w="1105" w:type="dxa"/>
            <w:vMerge/>
            <w:tcBorders>
              <w:left w:val="single" w:sz="4" w:space="0" w:color="auto"/>
              <w:right w:val="single" w:sz="4" w:space="0" w:color="auto"/>
            </w:tcBorders>
            <w:shd w:val="clear" w:color="auto" w:fill="F2F2F2" w:themeFill="background1" w:themeFillShade="F2"/>
            <w:vAlign w:val="center"/>
            <w:hideMark/>
          </w:tcPr>
          <w:p w14:paraId="4471BFEF" w14:textId="77777777" w:rsidR="00A53825" w:rsidRPr="00BC7A12" w:rsidRDefault="00A53825">
            <w:pPr>
              <w:spacing w:after="0" w:line="256" w:lineRule="auto"/>
              <w:jc w:val="left"/>
              <w:rPr>
                <w:rFonts w:eastAsia="Times New Roman" w:cs="Calibri"/>
                <w:color w:val="000000"/>
                <w:sz w:val="16"/>
                <w:szCs w:val="16"/>
                <w:lang w:eastAsia="en-AU"/>
              </w:rPr>
            </w:pPr>
          </w:p>
        </w:tc>
        <w:tc>
          <w:tcPr>
            <w:tcW w:w="924" w:type="dxa"/>
            <w:vMerge/>
            <w:tcBorders>
              <w:left w:val="single" w:sz="4" w:space="0" w:color="auto"/>
              <w:right w:val="single" w:sz="4" w:space="0" w:color="auto"/>
            </w:tcBorders>
            <w:shd w:val="clear" w:color="auto" w:fill="F2F2F2" w:themeFill="background1" w:themeFillShade="F2"/>
            <w:vAlign w:val="center"/>
          </w:tcPr>
          <w:p w14:paraId="729FC353" w14:textId="77777777" w:rsidR="00A53825" w:rsidRPr="00BC7A12" w:rsidRDefault="00A53825">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DD0F4F" w14:textId="40936BEA"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AUD$(2019) 20,200,000 </w:t>
            </w:r>
          </w:p>
        </w:tc>
        <w:tc>
          <w:tcPr>
            <w:tcW w:w="1191" w:type="dxa"/>
            <w:vMerge/>
            <w:tcBorders>
              <w:left w:val="single" w:sz="4" w:space="0" w:color="auto"/>
              <w:right w:val="single" w:sz="4" w:space="0" w:color="auto"/>
            </w:tcBorders>
            <w:shd w:val="clear" w:color="auto" w:fill="F2F2F2" w:themeFill="background1" w:themeFillShade="F2"/>
            <w:vAlign w:val="center"/>
          </w:tcPr>
          <w:p w14:paraId="6DA14195" w14:textId="77777777" w:rsidR="00A53825" w:rsidRPr="00BC7A12" w:rsidRDefault="00A53825">
            <w:pPr>
              <w:spacing w:after="0" w:line="240" w:lineRule="auto"/>
              <w:jc w:val="left"/>
              <w:rPr>
                <w:rFonts w:eastAsia="Times New Roman" w:cs="Calibri"/>
                <w:color w:val="000000"/>
                <w:sz w:val="16"/>
                <w:szCs w:val="16"/>
                <w:highlight w:val="yellow"/>
                <w:lang w:eastAsia="en-AU"/>
              </w:rPr>
            </w:pPr>
          </w:p>
        </w:tc>
      </w:tr>
      <w:tr w:rsidR="00A53825" w:rsidRPr="00BC7A12" w14:paraId="08100100"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D83475" w14:textId="77777777" w:rsidR="00A53825" w:rsidRPr="00BC7A12" w:rsidRDefault="00A53825" w:rsidP="00997C36">
            <w:pPr>
              <w:pStyle w:val="ListParagraph"/>
              <w:numPr>
                <w:ilvl w:val="0"/>
                <w:numId w:val="35"/>
              </w:numPr>
              <w:spacing w:after="0" w:line="240" w:lineRule="auto"/>
              <w:jc w:val="center"/>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613E7A"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CA69D38"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Port Phillip Bay &amp; Bellarine Peninsula </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EA5173"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H — Intertidal marshes</w:t>
            </w:r>
          </w:p>
        </w:tc>
        <w:tc>
          <w:tcPr>
            <w:tcW w:w="1105" w:type="dxa"/>
            <w:vMerge/>
            <w:tcBorders>
              <w:left w:val="single" w:sz="4" w:space="0" w:color="auto"/>
              <w:right w:val="single" w:sz="4" w:space="0" w:color="auto"/>
            </w:tcBorders>
            <w:shd w:val="clear" w:color="auto" w:fill="F2F2F2" w:themeFill="background1" w:themeFillShade="F2"/>
            <w:vAlign w:val="center"/>
            <w:hideMark/>
          </w:tcPr>
          <w:p w14:paraId="0E437608" w14:textId="77777777" w:rsidR="00A53825" w:rsidRPr="00BC7A12" w:rsidRDefault="00A53825">
            <w:pPr>
              <w:spacing w:after="0" w:line="256" w:lineRule="auto"/>
              <w:jc w:val="left"/>
              <w:rPr>
                <w:rFonts w:eastAsia="Times New Roman" w:cs="Calibri"/>
                <w:color w:val="000000"/>
                <w:sz w:val="16"/>
                <w:szCs w:val="16"/>
                <w:lang w:eastAsia="en-AU"/>
              </w:rPr>
            </w:pPr>
          </w:p>
        </w:tc>
        <w:tc>
          <w:tcPr>
            <w:tcW w:w="1364" w:type="dxa"/>
            <w:vMerge/>
            <w:tcBorders>
              <w:left w:val="single" w:sz="4" w:space="0" w:color="auto"/>
              <w:right w:val="single" w:sz="4" w:space="0" w:color="auto"/>
            </w:tcBorders>
            <w:shd w:val="clear" w:color="auto" w:fill="F2F2F2" w:themeFill="background1" w:themeFillShade="F2"/>
            <w:vAlign w:val="center"/>
            <w:hideMark/>
          </w:tcPr>
          <w:p w14:paraId="4D13CECC" w14:textId="77777777" w:rsidR="00A53825" w:rsidRPr="00BC7A12" w:rsidRDefault="00A53825">
            <w:pPr>
              <w:spacing w:after="0" w:line="256" w:lineRule="auto"/>
              <w:jc w:val="left"/>
              <w:rPr>
                <w:rFonts w:eastAsia="Times New Roman" w:cs="Calibri"/>
                <w:color w:val="000000"/>
                <w:sz w:val="16"/>
                <w:szCs w:val="16"/>
                <w:lang w:eastAsia="en-AU"/>
              </w:rPr>
            </w:pPr>
          </w:p>
        </w:tc>
        <w:tc>
          <w:tcPr>
            <w:tcW w:w="1105" w:type="dxa"/>
            <w:vMerge/>
            <w:tcBorders>
              <w:left w:val="single" w:sz="4" w:space="0" w:color="auto"/>
              <w:right w:val="single" w:sz="4" w:space="0" w:color="auto"/>
            </w:tcBorders>
            <w:shd w:val="clear" w:color="auto" w:fill="F2F2F2" w:themeFill="background1" w:themeFillShade="F2"/>
            <w:vAlign w:val="center"/>
            <w:hideMark/>
          </w:tcPr>
          <w:p w14:paraId="0BF1434D" w14:textId="77777777" w:rsidR="00A53825" w:rsidRPr="00BC7A12" w:rsidRDefault="00A53825">
            <w:pPr>
              <w:spacing w:after="0" w:line="256" w:lineRule="auto"/>
              <w:jc w:val="left"/>
              <w:rPr>
                <w:rFonts w:eastAsia="Times New Roman" w:cs="Calibri"/>
                <w:color w:val="000000"/>
                <w:sz w:val="16"/>
                <w:szCs w:val="16"/>
                <w:lang w:eastAsia="en-AU"/>
              </w:rPr>
            </w:pPr>
          </w:p>
        </w:tc>
        <w:tc>
          <w:tcPr>
            <w:tcW w:w="924" w:type="dxa"/>
            <w:vMerge/>
            <w:tcBorders>
              <w:left w:val="single" w:sz="4" w:space="0" w:color="auto"/>
              <w:right w:val="single" w:sz="4" w:space="0" w:color="auto"/>
            </w:tcBorders>
            <w:shd w:val="clear" w:color="auto" w:fill="F2F2F2" w:themeFill="background1" w:themeFillShade="F2"/>
            <w:vAlign w:val="center"/>
          </w:tcPr>
          <w:p w14:paraId="294840D7" w14:textId="77777777" w:rsidR="00A53825" w:rsidRPr="00BC7A12" w:rsidRDefault="00A53825">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AF969F" w14:textId="761546C1"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AUD$(2019) 29,888,0000 </w:t>
            </w:r>
          </w:p>
        </w:tc>
        <w:tc>
          <w:tcPr>
            <w:tcW w:w="1191" w:type="dxa"/>
            <w:vMerge/>
            <w:tcBorders>
              <w:left w:val="single" w:sz="4" w:space="0" w:color="auto"/>
              <w:right w:val="single" w:sz="4" w:space="0" w:color="auto"/>
            </w:tcBorders>
            <w:shd w:val="clear" w:color="auto" w:fill="F2F2F2" w:themeFill="background1" w:themeFillShade="F2"/>
            <w:vAlign w:val="center"/>
          </w:tcPr>
          <w:p w14:paraId="08322DB4" w14:textId="77777777" w:rsidR="00A53825" w:rsidRPr="00BC7A12" w:rsidRDefault="00A53825">
            <w:pPr>
              <w:spacing w:after="0" w:line="240" w:lineRule="auto"/>
              <w:jc w:val="left"/>
              <w:rPr>
                <w:rFonts w:eastAsia="Times New Roman" w:cs="Calibri"/>
                <w:color w:val="000000"/>
                <w:sz w:val="16"/>
                <w:szCs w:val="16"/>
                <w:lang w:eastAsia="en-AU"/>
              </w:rPr>
            </w:pPr>
          </w:p>
        </w:tc>
      </w:tr>
      <w:tr w:rsidR="00A53825" w:rsidRPr="00BC7A12" w14:paraId="212EAADD"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9030FB9" w14:textId="77777777" w:rsidR="00A53825" w:rsidRPr="00BC7A12" w:rsidRDefault="00A53825" w:rsidP="00997C36">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7F2B49"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AC6BC1"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Western Port</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AEBBF4"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B — Marine subtidal aquatic beds</w:t>
            </w:r>
          </w:p>
        </w:tc>
        <w:tc>
          <w:tcPr>
            <w:tcW w:w="1105" w:type="dxa"/>
            <w:vMerge/>
            <w:tcBorders>
              <w:left w:val="single" w:sz="4" w:space="0" w:color="auto"/>
              <w:right w:val="single" w:sz="4" w:space="0" w:color="auto"/>
            </w:tcBorders>
            <w:shd w:val="clear" w:color="auto" w:fill="F2F2F2" w:themeFill="background1" w:themeFillShade="F2"/>
            <w:vAlign w:val="center"/>
            <w:hideMark/>
          </w:tcPr>
          <w:p w14:paraId="116D6E9D" w14:textId="77777777" w:rsidR="00A53825" w:rsidRPr="00BC7A12" w:rsidRDefault="00A53825">
            <w:pPr>
              <w:spacing w:after="0" w:line="256" w:lineRule="auto"/>
              <w:jc w:val="left"/>
              <w:rPr>
                <w:rFonts w:eastAsia="Times New Roman" w:cs="Calibri"/>
                <w:color w:val="000000"/>
                <w:sz w:val="16"/>
                <w:szCs w:val="16"/>
                <w:lang w:eastAsia="en-AU"/>
              </w:rPr>
            </w:pPr>
          </w:p>
        </w:tc>
        <w:tc>
          <w:tcPr>
            <w:tcW w:w="1364" w:type="dxa"/>
            <w:vMerge/>
            <w:tcBorders>
              <w:left w:val="single" w:sz="4" w:space="0" w:color="auto"/>
              <w:right w:val="single" w:sz="4" w:space="0" w:color="auto"/>
            </w:tcBorders>
            <w:shd w:val="clear" w:color="auto" w:fill="F2F2F2" w:themeFill="background1" w:themeFillShade="F2"/>
            <w:vAlign w:val="center"/>
            <w:hideMark/>
          </w:tcPr>
          <w:p w14:paraId="2E3930F6" w14:textId="77777777" w:rsidR="00A53825" w:rsidRPr="00BC7A12" w:rsidRDefault="00A53825">
            <w:pPr>
              <w:spacing w:after="0" w:line="256" w:lineRule="auto"/>
              <w:jc w:val="left"/>
              <w:rPr>
                <w:rFonts w:eastAsia="Times New Roman" w:cs="Calibri"/>
                <w:color w:val="000000"/>
                <w:sz w:val="16"/>
                <w:szCs w:val="16"/>
                <w:lang w:eastAsia="en-AU"/>
              </w:rPr>
            </w:pPr>
          </w:p>
        </w:tc>
        <w:tc>
          <w:tcPr>
            <w:tcW w:w="1105" w:type="dxa"/>
            <w:vMerge/>
            <w:tcBorders>
              <w:left w:val="single" w:sz="4" w:space="0" w:color="auto"/>
              <w:right w:val="single" w:sz="4" w:space="0" w:color="auto"/>
            </w:tcBorders>
            <w:shd w:val="clear" w:color="auto" w:fill="F2F2F2" w:themeFill="background1" w:themeFillShade="F2"/>
            <w:vAlign w:val="center"/>
            <w:hideMark/>
          </w:tcPr>
          <w:p w14:paraId="6318227C" w14:textId="77777777" w:rsidR="00A53825" w:rsidRPr="00BC7A12" w:rsidRDefault="00A53825">
            <w:pPr>
              <w:spacing w:after="0" w:line="256" w:lineRule="auto"/>
              <w:jc w:val="left"/>
              <w:rPr>
                <w:rFonts w:eastAsia="Times New Roman" w:cs="Calibri"/>
                <w:color w:val="000000"/>
                <w:sz w:val="16"/>
                <w:szCs w:val="16"/>
                <w:lang w:eastAsia="en-AU"/>
              </w:rPr>
            </w:pPr>
          </w:p>
        </w:tc>
        <w:tc>
          <w:tcPr>
            <w:tcW w:w="924" w:type="dxa"/>
            <w:vMerge/>
            <w:tcBorders>
              <w:left w:val="single" w:sz="4" w:space="0" w:color="auto"/>
              <w:right w:val="single" w:sz="4" w:space="0" w:color="auto"/>
            </w:tcBorders>
            <w:shd w:val="clear" w:color="auto" w:fill="F2F2F2" w:themeFill="background1" w:themeFillShade="F2"/>
            <w:vAlign w:val="center"/>
          </w:tcPr>
          <w:p w14:paraId="2C3E8085" w14:textId="77777777" w:rsidR="00A53825" w:rsidRPr="00BC7A12" w:rsidRDefault="00A53825">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EFD613" w14:textId="53EC5324"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AUD$(2019) 470,000 </w:t>
            </w:r>
          </w:p>
        </w:tc>
        <w:tc>
          <w:tcPr>
            <w:tcW w:w="1191" w:type="dxa"/>
            <w:vMerge/>
            <w:tcBorders>
              <w:left w:val="single" w:sz="4" w:space="0" w:color="auto"/>
              <w:right w:val="single" w:sz="4" w:space="0" w:color="auto"/>
            </w:tcBorders>
            <w:shd w:val="clear" w:color="auto" w:fill="F2F2F2" w:themeFill="background1" w:themeFillShade="F2"/>
            <w:vAlign w:val="center"/>
          </w:tcPr>
          <w:p w14:paraId="1EF46761" w14:textId="77777777" w:rsidR="00A53825" w:rsidRPr="00BC7A12" w:rsidRDefault="00A53825">
            <w:pPr>
              <w:spacing w:after="0" w:line="240" w:lineRule="auto"/>
              <w:jc w:val="left"/>
              <w:rPr>
                <w:rFonts w:eastAsia="Times New Roman" w:cs="Calibri"/>
                <w:color w:val="000000"/>
                <w:sz w:val="16"/>
                <w:szCs w:val="16"/>
                <w:lang w:eastAsia="en-AU"/>
              </w:rPr>
            </w:pPr>
          </w:p>
        </w:tc>
      </w:tr>
      <w:tr w:rsidR="00A53825" w:rsidRPr="00BC7A12" w14:paraId="729D17CD"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5DA3B9" w14:textId="77777777" w:rsidR="00A53825" w:rsidRPr="00BC7A12" w:rsidRDefault="00A53825" w:rsidP="00997C36">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5EB5F8"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77A2B1"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Western Port</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A9319A"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I — Intertidal forested wetlands</w:t>
            </w:r>
          </w:p>
        </w:tc>
        <w:tc>
          <w:tcPr>
            <w:tcW w:w="1105" w:type="dxa"/>
            <w:vMerge/>
            <w:tcBorders>
              <w:left w:val="single" w:sz="4" w:space="0" w:color="auto"/>
              <w:right w:val="single" w:sz="4" w:space="0" w:color="auto"/>
            </w:tcBorders>
            <w:shd w:val="clear" w:color="auto" w:fill="F2F2F2" w:themeFill="background1" w:themeFillShade="F2"/>
            <w:vAlign w:val="center"/>
            <w:hideMark/>
          </w:tcPr>
          <w:p w14:paraId="2EE0977F" w14:textId="77777777" w:rsidR="00A53825" w:rsidRPr="00BC7A12" w:rsidRDefault="00A53825">
            <w:pPr>
              <w:spacing w:after="0" w:line="256" w:lineRule="auto"/>
              <w:jc w:val="left"/>
              <w:rPr>
                <w:rFonts w:eastAsia="Times New Roman" w:cs="Calibri"/>
                <w:color w:val="000000"/>
                <w:sz w:val="16"/>
                <w:szCs w:val="16"/>
                <w:lang w:eastAsia="en-AU"/>
              </w:rPr>
            </w:pPr>
          </w:p>
        </w:tc>
        <w:tc>
          <w:tcPr>
            <w:tcW w:w="1364" w:type="dxa"/>
            <w:vMerge/>
            <w:tcBorders>
              <w:left w:val="single" w:sz="4" w:space="0" w:color="auto"/>
              <w:right w:val="single" w:sz="4" w:space="0" w:color="auto"/>
            </w:tcBorders>
            <w:shd w:val="clear" w:color="auto" w:fill="F2F2F2" w:themeFill="background1" w:themeFillShade="F2"/>
            <w:vAlign w:val="center"/>
            <w:hideMark/>
          </w:tcPr>
          <w:p w14:paraId="79209F9A" w14:textId="77777777" w:rsidR="00A53825" w:rsidRPr="00BC7A12" w:rsidRDefault="00A53825">
            <w:pPr>
              <w:spacing w:after="0" w:line="256" w:lineRule="auto"/>
              <w:jc w:val="left"/>
              <w:rPr>
                <w:rFonts w:eastAsia="Times New Roman" w:cs="Calibri"/>
                <w:color w:val="000000"/>
                <w:sz w:val="16"/>
                <w:szCs w:val="16"/>
                <w:lang w:eastAsia="en-AU"/>
              </w:rPr>
            </w:pPr>
          </w:p>
        </w:tc>
        <w:tc>
          <w:tcPr>
            <w:tcW w:w="1105" w:type="dxa"/>
            <w:vMerge/>
            <w:tcBorders>
              <w:left w:val="single" w:sz="4" w:space="0" w:color="auto"/>
              <w:right w:val="single" w:sz="4" w:space="0" w:color="auto"/>
            </w:tcBorders>
            <w:shd w:val="clear" w:color="auto" w:fill="F2F2F2" w:themeFill="background1" w:themeFillShade="F2"/>
            <w:vAlign w:val="center"/>
            <w:hideMark/>
          </w:tcPr>
          <w:p w14:paraId="7397C72F" w14:textId="77777777" w:rsidR="00A53825" w:rsidRPr="00BC7A12" w:rsidRDefault="00A53825">
            <w:pPr>
              <w:spacing w:after="0" w:line="256" w:lineRule="auto"/>
              <w:jc w:val="left"/>
              <w:rPr>
                <w:rFonts w:eastAsia="Times New Roman" w:cs="Calibri"/>
                <w:color w:val="000000"/>
                <w:sz w:val="16"/>
                <w:szCs w:val="16"/>
                <w:lang w:eastAsia="en-AU"/>
              </w:rPr>
            </w:pPr>
          </w:p>
        </w:tc>
        <w:tc>
          <w:tcPr>
            <w:tcW w:w="924" w:type="dxa"/>
            <w:vMerge/>
            <w:tcBorders>
              <w:left w:val="single" w:sz="4" w:space="0" w:color="auto"/>
              <w:right w:val="single" w:sz="4" w:space="0" w:color="auto"/>
            </w:tcBorders>
            <w:shd w:val="clear" w:color="auto" w:fill="F2F2F2" w:themeFill="background1" w:themeFillShade="F2"/>
            <w:vAlign w:val="center"/>
          </w:tcPr>
          <w:p w14:paraId="310AE892" w14:textId="77777777" w:rsidR="00A53825" w:rsidRPr="00BC7A12" w:rsidRDefault="00A53825">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C15A2D" w14:textId="74D52C21"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AUD$(2019) 2,910,000 </w:t>
            </w:r>
          </w:p>
        </w:tc>
        <w:tc>
          <w:tcPr>
            <w:tcW w:w="1191" w:type="dxa"/>
            <w:vMerge/>
            <w:tcBorders>
              <w:left w:val="single" w:sz="4" w:space="0" w:color="auto"/>
              <w:right w:val="single" w:sz="4" w:space="0" w:color="auto"/>
            </w:tcBorders>
            <w:shd w:val="clear" w:color="auto" w:fill="F2F2F2" w:themeFill="background1" w:themeFillShade="F2"/>
            <w:vAlign w:val="center"/>
          </w:tcPr>
          <w:p w14:paraId="34AD2CD1" w14:textId="77777777" w:rsidR="00A53825" w:rsidRPr="00BC7A12" w:rsidRDefault="00A53825">
            <w:pPr>
              <w:spacing w:after="0" w:line="240" w:lineRule="auto"/>
              <w:jc w:val="left"/>
              <w:rPr>
                <w:rFonts w:eastAsia="Times New Roman" w:cs="Calibri"/>
                <w:color w:val="000000"/>
                <w:sz w:val="16"/>
                <w:szCs w:val="16"/>
                <w:lang w:eastAsia="en-AU"/>
              </w:rPr>
            </w:pPr>
          </w:p>
        </w:tc>
      </w:tr>
      <w:tr w:rsidR="00A53825" w:rsidRPr="00BC7A12" w14:paraId="4227CDEB"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A7176D" w14:textId="77777777" w:rsidR="00A53825" w:rsidRPr="00BC7A12" w:rsidRDefault="00A53825" w:rsidP="00997C36">
            <w:pPr>
              <w:pStyle w:val="ListParagraph"/>
              <w:numPr>
                <w:ilvl w:val="0"/>
                <w:numId w:val="35"/>
              </w:numPr>
              <w:spacing w:after="0" w:line="240" w:lineRule="auto"/>
              <w:jc w:val="center"/>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3A5F22"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60471D"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Western Port</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94DA03" w14:textId="77777777"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H — Intertidal marshes</w:t>
            </w:r>
          </w:p>
        </w:tc>
        <w:tc>
          <w:tcPr>
            <w:tcW w:w="1105" w:type="dxa"/>
            <w:vMerge/>
            <w:tcBorders>
              <w:left w:val="single" w:sz="4" w:space="0" w:color="auto"/>
              <w:right w:val="single" w:sz="4" w:space="0" w:color="auto"/>
            </w:tcBorders>
            <w:shd w:val="clear" w:color="auto" w:fill="F2F2F2" w:themeFill="background1" w:themeFillShade="F2"/>
            <w:vAlign w:val="center"/>
            <w:hideMark/>
          </w:tcPr>
          <w:p w14:paraId="737C5A96" w14:textId="77777777" w:rsidR="00A53825" w:rsidRPr="00BC7A12" w:rsidRDefault="00A53825">
            <w:pPr>
              <w:spacing w:after="0" w:line="256" w:lineRule="auto"/>
              <w:jc w:val="left"/>
              <w:rPr>
                <w:rFonts w:eastAsia="Times New Roman" w:cs="Calibri"/>
                <w:color w:val="000000"/>
                <w:sz w:val="16"/>
                <w:szCs w:val="16"/>
                <w:lang w:eastAsia="en-AU"/>
              </w:rPr>
            </w:pPr>
          </w:p>
        </w:tc>
        <w:tc>
          <w:tcPr>
            <w:tcW w:w="1364" w:type="dxa"/>
            <w:vMerge/>
            <w:tcBorders>
              <w:left w:val="single" w:sz="4" w:space="0" w:color="auto"/>
              <w:right w:val="single" w:sz="4" w:space="0" w:color="auto"/>
            </w:tcBorders>
            <w:shd w:val="clear" w:color="auto" w:fill="F2F2F2" w:themeFill="background1" w:themeFillShade="F2"/>
            <w:vAlign w:val="center"/>
            <w:hideMark/>
          </w:tcPr>
          <w:p w14:paraId="04AC20DC" w14:textId="77777777" w:rsidR="00A53825" w:rsidRPr="00BC7A12" w:rsidRDefault="00A53825">
            <w:pPr>
              <w:spacing w:after="0" w:line="256" w:lineRule="auto"/>
              <w:jc w:val="left"/>
              <w:rPr>
                <w:rFonts w:eastAsia="Times New Roman" w:cs="Calibri"/>
                <w:color w:val="000000"/>
                <w:sz w:val="16"/>
                <w:szCs w:val="16"/>
                <w:lang w:eastAsia="en-AU"/>
              </w:rPr>
            </w:pPr>
          </w:p>
        </w:tc>
        <w:tc>
          <w:tcPr>
            <w:tcW w:w="1105" w:type="dxa"/>
            <w:vMerge/>
            <w:tcBorders>
              <w:left w:val="single" w:sz="4" w:space="0" w:color="auto"/>
              <w:right w:val="single" w:sz="4" w:space="0" w:color="auto"/>
            </w:tcBorders>
            <w:shd w:val="clear" w:color="auto" w:fill="F2F2F2" w:themeFill="background1" w:themeFillShade="F2"/>
            <w:vAlign w:val="center"/>
            <w:hideMark/>
          </w:tcPr>
          <w:p w14:paraId="5A754ED8" w14:textId="77777777" w:rsidR="00A53825" w:rsidRPr="00BC7A12" w:rsidRDefault="00A53825">
            <w:pPr>
              <w:spacing w:after="0" w:line="256" w:lineRule="auto"/>
              <w:jc w:val="left"/>
              <w:rPr>
                <w:rFonts w:eastAsia="Times New Roman" w:cs="Calibri"/>
                <w:color w:val="000000"/>
                <w:sz w:val="16"/>
                <w:szCs w:val="16"/>
                <w:lang w:eastAsia="en-AU"/>
              </w:rPr>
            </w:pPr>
          </w:p>
        </w:tc>
        <w:tc>
          <w:tcPr>
            <w:tcW w:w="924" w:type="dxa"/>
            <w:vMerge/>
            <w:tcBorders>
              <w:left w:val="single" w:sz="4" w:space="0" w:color="auto"/>
              <w:right w:val="single" w:sz="4" w:space="0" w:color="auto"/>
            </w:tcBorders>
            <w:shd w:val="clear" w:color="auto" w:fill="F2F2F2" w:themeFill="background1" w:themeFillShade="F2"/>
            <w:vAlign w:val="center"/>
          </w:tcPr>
          <w:p w14:paraId="4631B88C" w14:textId="77777777" w:rsidR="00A53825" w:rsidRPr="00BC7A12" w:rsidRDefault="00A53825">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5E93C7" w14:textId="0A89092D" w:rsidR="00A53825" w:rsidRPr="00BC7A12" w:rsidRDefault="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AUD$(2019) 1,170,000 </w:t>
            </w:r>
          </w:p>
        </w:tc>
        <w:tc>
          <w:tcPr>
            <w:tcW w:w="1191" w:type="dxa"/>
            <w:vMerge/>
            <w:tcBorders>
              <w:left w:val="single" w:sz="4" w:space="0" w:color="auto"/>
              <w:right w:val="single" w:sz="4" w:space="0" w:color="auto"/>
            </w:tcBorders>
            <w:shd w:val="clear" w:color="auto" w:fill="F2F2F2" w:themeFill="background1" w:themeFillShade="F2"/>
            <w:vAlign w:val="center"/>
          </w:tcPr>
          <w:p w14:paraId="045814EF" w14:textId="77777777" w:rsidR="00A53825" w:rsidRPr="00BC7A12" w:rsidRDefault="00A53825">
            <w:pPr>
              <w:spacing w:after="0" w:line="240" w:lineRule="auto"/>
              <w:jc w:val="left"/>
              <w:rPr>
                <w:rFonts w:eastAsia="Times New Roman" w:cs="Calibri"/>
                <w:color w:val="000000"/>
                <w:sz w:val="16"/>
                <w:szCs w:val="16"/>
                <w:lang w:eastAsia="en-AU"/>
              </w:rPr>
            </w:pPr>
          </w:p>
        </w:tc>
      </w:tr>
      <w:tr w:rsidR="00A53825" w:rsidRPr="00BC7A12" w14:paraId="40E30CD2"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F00966" w14:textId="77777777" w:rsidR="00A53825" w:rsidRPr="00BC7A12" w:rsidRDefault="00A53825" w:rsidP="003A178A">
            <w:pPr>
              <w:pStyle w:val="ListParagraph"/>
              <w:numPr>
                <w:ilvl w:val="0"/>
                <w:numId w:val="35"/>
              </w:numPr>
              <w:spacing w:after="0" w:line="240" w:lineRule="auto"/>
              <w:jc w:val="center"/>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55FF4" w14:textId="56130570"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5EDB93" w14:textId="43F1EB2E"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cs="Calibri"/>
                <w:color w:val="000000"/>
                <w:sz w:val="16"/>
                <w:szCs w:val="16"/>
              </w:rPr>
              <w:t>Southeast Australia</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1A5844" w14:textId="25D70BEB"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Coastal wetlands </w:t>
            </w:r>
          </w:p>
        </w:tc>
        <w:tc>
          <w:tcPr>
            <w:tcW w:w="1105" w:type="dxa"/>
            <w:vMerge/>
            <w:tcBorders>
              <w:left w:val="single" w:sz="4" w:space="0" w:color="auto"/>
              <w:right w:val="single" w:sz="4" w:space="0" w:color="auto"/>
            </w:tcBorders>
            <w:shd w:val="clear" w:color="auto" w:fill="F2F2F2" w:themeFill="background1" w:themeFillShade="F2"/>
            <w:vAlign w:val="center"/>
          </w:tcPr>
          <w:p w14:paraId="0AB8F595"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1364" w:type="dxa"/>
            <w:vMerge/>
            <w:tcBorders>
              <w:left w:val="single" w:sz="4" w:space="0" w:color="auto"/>
              <w:right w:val="single" w:sz="4" w:space="0" w:color="auto"/>
            </w:tcBorders>
            <w:shd w:val="clear" w:color="auto" w:fill="F2F2F2" w:themeFill="background1" w:themeFillShade="F2"/>
            <w:vAlign w:val="center"/>
          </w:tcPr>
          <w:p w14:paraId="74B2168A"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1105" w:type="dxa"/>
            <w:vMerge/>
            <w:tcBorders>
              <w:left w:val="single" w:sz="4" w:space="0" w:color="auto"/>
              <w:right w:val="single" w:sz="4" w:space="0" w:color="auto"/>
            </w:tcBorders>
            <w:shd w:val="clear" w:color="auto" w:fill="F2F2F2" w:themeFill="background1" w:themeFillShade="F2"/>
            <w:vAlign w:val="center"/>
          </w:tcPr>
          <w:p w14:paraId="6F179BEC"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924" w:type="dxa"/>
            <w:vMerge/>
            <w:tcBorders>
              <w:left w:val="single" w:sz="4" w:space="0" w:color="auto"/>
              <w:right w:val="single" w:sz="4" w:space="0" w:color="auto"/>
            </w:tcBorders>
            <w:shd w:val="clear" w:color="auto" w:fill="F2F2F2" w:themeFill="background1" w:themeFillShade="F2"/>
            <w:vAlign w:val="center"/>
          </w:tcPr>
          <w:p w14:paraId="15976308" w14:textId="77777777" w:rsidR="00A53825" w:rsidRPr="00BC7A12" w:rsidRDefault="00A53825" w:rsidP="003A178A">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7C5AD3C" w14:textId="7C81AB59"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AUD$3.6 billion by 2090</w:t>
            </w:r>
          </w:p>
        </w:tc>
        <w:tc>
          <w:tcPr>
            <w:tcW w:w="1191" w:type="dxa"/>
            <w:vMerge/>
            <w:tcBorders>
              <w:left w:val="single" w:sz="4" w:space="0" w:color="auto"/>
              <w:right w:val="single" w:sz="4" w:space="0" w:color="auto"/>
            </w:tcBorders>
            <w:shd w:val="clear" w:color="auto" w:fill="F2F2F2" w:themeFill="background1" w:themeFillShade="F2"/>
            <w:vAlign w:val="center"/>
          </w:tcPr>
          <w:p w14:paraId="7593C46A" w14:textId="77777777" w:rsidR="00A53825" w:rsidRPr="00BC7A12" w:rsidRDefault="00A53825" w:rsidP="003A178A">
            <w:pPr>
              <w:spacing w:after="0" w:line="240" w:lineRule="auto"/>
              <w:jc w:val="left"/>
              <w:rPr>
                <w:rFonts w:eastAsia="Times New Roman" w:cs="Calibri"/>
                <w:color w:val="000000"/>
                <w:sz w:val="16"/>
                <w:szCs w:val="16"/>
                <w:lang w:eastAsia="en-AU"/>
              </w:rPr>
            </w:pPr>
          </w:p>
        </w:tc>
      </w:tr>
      <w:tr w:rsidR="00A53825" w:rsidRPr="00BC7A12" w14:paraId="0BC84528"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6FA6EF" w14:textId="77777777" w:rsidR="00A53825" w:rsidRPr="00BC7A12" w:rsidRDefault="00A53825" w:rsidP="003A178A">
            <w:pPr>
              <w:pStyle w:val="ListParagraph"/>
              <w:numPr>
                <w:ilvl w:val="0"/>
                <w:numId w:val="35"/>
              </w:numPr>
              <w:spacing w:after="0" w:line="240" w:lineRule="auto"/>
              <w:jc w:val="center"/>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640614" w14:textId="32C47028"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49EC47" w14:textId="32D822B9"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cs="Calibri"/>
                <w:color w:val="000000"/>
                <w:sz w:val="16"/>
                <w:szCs w:val="16"/>
              </w:rPr>
              <w:t>Southeast Australia</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FA56C7" w14:textId="628327C3"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Salt</w:t>
            </w:r>
            <w:r>
              <w:rPr>
                <w:rFonts w:eastAsia="Times New Roman" w:cs="Calibri"/>
                <w:color w:val="000000"/>
                <w:sz w:val="16"/>
                <w:szCs w:val="16"/>
                <w:lang w:eastAsia="en-AU"/>
              </w:rPr>
              <w:t xml:space="preserve"> </w:t>
            </w:r>
            <w:r w:rsidRPr="00BC7A12">
              <w:rPr>
                <w:rFonts w:eastAsia="Times New Roman" w:cs="Calibri"/>
                <w:color w:val="000000"/>
                <w:sz w:val="16"/>
                <w:szCs w:val="16"/>
                <w:lang w:eastAsia="en-AU"/>
              </w:rPr>
              <w:t>marshes</w:t>
            </w:r>
          </w:p>
        </w:tc>
        <w:tc>
          <w:tcPr>
            <w:tcW w:w="1105" w:type="dxa"/>
            <w:vMerge/>
            <w:tcBorders>
              <w:left w:val="single" w:sz="4" w:space="0" w:color="auto"/>
              <w:right w:val="single" w:sz="4" w:space="0" w:color="auto"/>
            </w:tcBorders>
            <w:shd w:val="clear" w:color="auto" w:fill="F2F2F2" w:themeFill="background1" w:themeFillShade="F2"/>
            <w:vAlign w:val="center"/>
          </w:tcPr>
          <w:p w14:paraId="0BDFFB38"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1364" w:type="dxa"/>
            <w:vMerge/>
            <w:tcBorders>
              <w:left w:val="single" w:sz="4" w:space="0" w:color="auto"/>
              <w:right w:val="single" w:sz="4" w:space="0" w:color="auto"/>
            </w:tcBorders>
            <w:shd w:val="clear" w:color="auto" w:fill="F2F2F2" w:themeFill="background1" w:themeFillShade="F2"/>
            <w:vAlign w:val="center"/>
          </w:tcPr>
          <w:p w14:paraId="2AB54E8A"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1105" w:type="dxa"/>
            <w:vMerge/>
            <w:tcBorders>
              <w:left w:val="single" w:sz="4" w:space="0" w:color="auto"/>
              <w:right w:val="single" w:sz="4" w:space="0" w:color="auto"/>
            </w:tcBorders>
            <w:shd w:val="clear" w:color="auto" w:fill="F2F2F2" w:themeFill="background1" w:themeFillShade="F2"/>
            <w:vAlign w:val="center"/>
          </w:tcPr>
          <w:p w14:paraId="0892CAA5"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924" w:type="dxa"/>
            <w:vMerge/>
            <w:tcBorders>
              <w:left w:val="single" w:sz="4" w:space="0" w:color="auto"/>
              <w:right w:val="single" w:sz="4" w:space="0" w:color="auto"/>
            </w:tcBorders>
            <w:shd w:val="clear" w:color="auto" w:fill="F2F2F2" w:themeFill="background1" w:themeFillShade="F2"/>
            <w:vAlign w:val="center"/>
          </w:tcPr>
          <w:p w14:paraId="13CCCF73" w14:textId="77777777" w:rsidR="00A53825" w:rsidRPr="00BC7A12" w:rsidRDefault="00A53825" w:rsidP="003A178A">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274CC80" w14:textId="6BBEDA62"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AUD$(2019) 720 </w:t>
            </w:r>
            <w:proofErr w:type="gramStart"/>
            <w:r w:rsidRPr="00BC7A12">
              <w:rPr>
                <w:rFonts w:eastAsia="Times New Roman" w:cs="Calibri"/>
                <w:color w:val="000000"/>
                <w:sz w:val="16"/>
                <w:szCs w:val="16"/>
                <w:lang w:eastAsia="en-AU"/>
              </w:rPr>
              <w:t>million  by</w:t>
            </w:r>
            <w:proofErr w:type="gramEnd"/>
            <w:r w:rsidRPr="00BC7A12">
              <w:rPr>
                <w:rFonts w:eastAsia="Times New Roman" w:cs="Calibri"/>
                <w:color w:val="000000"/>
                <w:sz w:val="16"/>
                <w:szCs w:val="16"/>
                <w:lang w:eastAsia="en-AU"/>
              </w:rPr>
              <w:t xml:space="preserve"> 2090</w:t>
            </w:r>
          </w:p>
        </w:tc>
        <w:tc>
          <w:tcPr>
            <w:tcW w:w="1191" w:type="dxa"/>
            <w:vMerge/>
            <w:tcBorders>
              <w:left w:val="single" w:sz="4" w:space="0" w:color="auto"/>
              <w:right w:val="single" w:sz="4" w:space="0" w:color="auto"/>
            </w:tcBorders>
            <w:shd w:val="clear" w:color="auto" w:fill="F2F2F2" w:themeFill="background1" w:themeFillShade="F2"/>
            <w:vAlign w:val="center"/>
          </w:tcPr>
          <w:p w14:paraId="55D5F296" w14:textId="77777777" w:rsidR="00A53825" w:rsidRPr="00BC7A12" w:rsidRDefault="00A53825" w:rsidP="003A178A">
            <w:pPr>
              <w:spacing w:after="0" w:line="240" w:lineRule="auto"/>
              <w:jc w:val="left"/>
              <w:rPr>
                <w:rFonts w:eastAsia="Times New Roman" w:cs="Calibri"/>
                <w:color w:val="000000"/>
                <w:sz w:val="16"/>
                <w:szCs w:val="16"/>
                <w:lang w:eastAsia="en-AU"/>
              </w:rPr>
            </w:pPr>
          </w:p>
        </w:tc>
      </w:tr>
      <w:tr w:rsidR="00A53825" w:rsidRPr="00BC7A12" w14:paraId="7D8AB47C"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11BFCA" w14:textId="77777777" w:rsidR="00A53825" w:rsidRPr="00BC7A12" w:rsidRDefault="00A53825" w:rsidP="003A178A">
            <w:pPr>
              <w:pStyle w:val="ListParagraph"/>
              <w:numPr>
                <w:ilvl w:val="0"/>
                <w:numId w:val="35"/>
              </w:numPr>
              <w:spacing w:after="0" w:line="240" w:lineRule="auto"/>
              <w:jc w:val="center"/>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75AF5" w14:textId="350F7989"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695A25" w14:textId="28B8D2F9"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cs="Calibri"/>
                <w:color w:val="000000"/>
                <w:sz w:val="16"/>
                <w:szCs w:val="16"/>
              </w:rPr>
              <w:t>Southeast Australia</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B421EC" w14:textId="38909FF1"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Mangroves</w:t>
            </w:r>
          </w:p>
        </w:tc>
        <w:tc>
          <w:tcPr>
            <w:tcW w:w="1105" w:type="dxa"/>
            <w:vMerge/>
            <w:tcBorders>
              <w:left w:val="single" w:sz="4" w:space="0" w:color="auto"/>
              <w:right w:val="single" w:sz="4" w:space="0" w:color="auto"/>
            </w:tcBorders>
            <w:shd w:val="clear" w:color="auto" w:fill="F2F2F2" w:themeFill="background1" w:themeFillShade="F2"/>
            <w:vAlign w:val="center"/>
          </w:tcPr>
          <w:p w14:paraId="75862476"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1364" w:type="dxa"/>
            <w:vMerge/>
            <w:tcBorders>
              <w:left w:val="single" w:sz="4" w:space="0" w:color="auto"/>
              <w:right w:val="single" w:sz="4" w:space="0" w:color="auto"/>
            </w:tcBorders>
            <w:shd w:val="clear" w:color="auto" w:fill="F2F2F2" w:themeFill="background1" w:themeFillShade="F2"/>
            <w:vAlign w:val="center"/>
          </w:tcPr>
          <w:p w14:paraId="3631B8E1"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1105" w:type="dxa"/>
            <w:vMerge/>
            <w:tcBorders>
              <w:left w:val="single" w:sz="4" w:space="0" w:color="auto"/>
              <w:right w:val="single" w:sz="4" w:space="0" w:color="auto"/>
            </w:tcBorders>
            <w:shd w:val="clear" w:color="auto" w:fill="F2F2F2" w:themeFill="background1" w:themeFillShade="F2"/>
            <w:vAlign w:val="center"/>
          </w:tcPr>
          <w:p w14:paraId="2C8E6CE0"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924" w:type="dxa"/>
            <w:vMerge/>
            <w:tcBorders>
              <w:left w:val="single" w:sz="4" w:space="0" w:color="auto"/>
              <w:right w:val="single" w:sz="4" w:space="0" w:color="auto"/>
            </w:tcBorders>
            <w:shd w:val="clear" w:color="auto" w:fill="F2F2F2" w:themeFill="background1" w:themeFillShade="F2"/>
            <w:vAlign w:val="center"/>
          </w:tcPr>
          <w:p w14:paraId="19BB5626" w14:textId="77777777" w:rsidR="00A53825" w:rsidRPr="00BC7A12" w:rsidRDefault="00A53825" w:rsidP="003A178A">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EF39EBF" w14:textId="333F2D58"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AUD$(2019) 1.86 billion by 2090</w:t>
            </w:r>
          </w:p>
        </w:tc>
        <w:tc>
          <w:tcPr>
            <w:tcW w:w="1191" w:type="dxa"/>
            <w:vMerge/>
            <w:tcBorders>
              <w:left w:val="single" w:sz="4" w:space="0" w:color="auto"/>
              <w:right w:val="single" w:sz="4" w:space="0" w:color="auto"/>
            </w:tcBorders>
            <w:shd w:val="clear" w:color="auto" w:fill="F2F2F2" w:themeFill="background1" w:themeFillShade="F2"/>
            <w:vAlign w:val="center"/>
          </w:tcPr>
          <w:p w14:paraId="131DE945" w14:textId="77777777" w:rsidR="00A53825" w:rsidRPr="00BC7A12" w:rsidRDefault="00A53825" w:rsidP="003A178A">
            <w:pPr>
              <w:spacing w:after="0" w:line="240" w:lineRule="auto"/>
              <w:jc w:val="left"/>
              <w:rPr>
                <w:rFonts w:eastAsia="Times New Roman" w:cs="Calibri"/>
                <w:color w:val="000000"/>
                <w:sz w:val="16"/>
                <w:szCs w:val="16"/>
                <w:lang w:eastAsia="en-AU"/>
              </w:rPr>
            </w:pPr>
          </w:p>
        </w:tc>
      </w:tr>
      <w:tr w:rsidR="00A53825" w:rsidRPr="00BC7A12" w14:paraId="31EB2E41" w14:textId="77777777" w:rsidTr="00A53825">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3AF0A2" w14:textId="77777777" w:rsidR="00A53825" w:rsidRPr="00BC7A12" w:rsidRDefault="00A53825" w:rsidP="003A178A">
            <w:pPr>
              <w:pStyle w:val="ListParagraph"/>
              <w:numPr>
                <w:ilvl w:val="0"/>
                <w:numId w:val="35"/>
              </w:numPr>
              <w:spacing w:after="0" w:line="240" w:lineRule="auto"/>
              <w:jc w:val="center"/>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2E4CCB" w14:textId="2DB64FCB"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44EEB3" w14:textId="55826409"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cs="Calibri"/>
                <w:color w:val="000000"/>
                <w:sz w:val="16"/>
                <w:szCs w:val="16"/>
              </w:rPr>
              <w:t>Southeast Australia</w:t>
            </w:r>
          </w:p>
        </w:tc>
        <w:tc>
          <w:tcPr>
            <w:tcW w:w="2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861288" w14:textId="1B52C4D5"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Seagrass</w:t>
            </w:r>
          </w:p>
        </w:tc>
        <w:tc>
          <w:tcPr>
            <w:tcW w:w="1105"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581CC84"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1364"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4F8FA703"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1105"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55070DBB" w14:textId="77777777" w:rsidR="00A53825" w:rsidRPr="00BC7A12" w:rsidRDefault="00A53825" w:rsidP="003A178A">
            <w:pPr>
              <w:spacing w:after="0" w:line="256" w:lineRule="auto"/>
              <w:jc w:val="left"/>
              <w:rPr>
                <w:rFonts w:eastAsia="Times New Roman" w:cs="Calibri"/>
                <w:color w:val="000000"/>
                <w:sz w:val="16"/>
                <w:szCs w:val="16"/>
                <w:lang w:eastAsia="en-AU"/>
              </w:rPr>
            </w:pPr>
          </w:p>
        </w:tc>
        <w:tc>
          <w:tcPr>
            <w:tcW w:w="924"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58DD0CE1" w14:textId="77777777" w:rsidR="00A53825" w:rsidRPr="00BC7A12" w:rsidRDefault="00A53825" w:rsidP="003A178A">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AA6B181" w14:textId="42E4A6BA" w:rsidR="00A53825" w:rsidRPr="00BC7A12" w:rsidRDefault="00A53825" w:rsidP="003A178A">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AUD$(2019) 82.7 million by 2090</w:t>
            </w:r>
          </w:p>
        </w:tc>
        <w:tc>
          <w:tcPr>
            <w:tcW w:w="119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7F44AED" w14:textId="77777777" w:rsidR="00A53825" w:rsidRPr="00BC7A12" w:rsidRDefault="00A53825" w:rsidP="003A178A">
            <w:pPr>
              <w:spacing w:after="0" w:line="240" w:lineRule="auto"/>
              <w:jc w:val="left"/>
              <w:rPr>
                <w:rFonts w:eastAsia="Times New Roman" w:cs="Calibri"/>
                <w:color w:val="000000"/>
                <w:sz w:val="16"/>
                <w:szCs w:val="16"/>
                <w:lang w:eastAsia="en-AU"/>
              </w:rPr>
            </w:pPr>
          </w:p>
        </w:tc>
      </w:tr>
      <w:tr w:rsidR="00A53825" w:rsidRPr="00BC7A12" w14:paraId="3D797440"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noWrap/>
            <w:vAlign w:val="center"/>
          </w:tcPr>
          <w:p w14:paraId="0C1399F3" w14:textId="77777777" w:rsidR="00A53825" w:rsidRPr="00BC7A12" w:rsidRDefault="00A53825" w:rsidP="00BC36BD">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vAlign w:val="center"/>
            <w:hideMark/>
          </w:tcPr>
          <w:p w14:paraId="6705B021" w14:textId="7777777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c>
          <w:tcPr>
            <w:tcW w:w="26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42CC4F" w14:textId="7777777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Total NT</w:t>
            </w:r>
          </w:p>
        </w:tc>
        <w:tc>
          <w:tcPr>
            <w:tcW w:w="2407" w:type="dxa"/>
            <w:vMerge w:val="restart"/>
            <w:tcBorders>
              <w:top w:val="single" w:sz="4" w:space="0" w:color="auto"/>
              <w:left w:val="single" w:sz="4" w:space="0" w:color="auto"/>
              <w:bottom w:val="single" w:sz="4" w:space="0" w:color="auto"/>
              <w:right w:val="single" w:sz="4" w:space="0" w:color="auto"/>
            </w:tcBorders>
            <w:noWrap/>
            <w:vAlign w:val="center"/>
            <w:hideMark/>
          </w:tcPr>
          <w:p w14:paraId="7DA4E93B" w14:textId="7777777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Coastal wetlands</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501A58B6" w14:textId="122AF091"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Valuation of cyclone mitigation provided by coastal wetlands in Australia versus seawalls in</w:t>
            </w:r>
          </w:p>
          <w:p w14:paraId="3A948A46" w14:textId="62B65EF9"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China. </w:t>
            </w:r>
          </w:p>
        </w:tc>
        <w:tc>
          <w:tcPr>
            <w:tcW w:w="1364" w:type="dxa"/>
            <w:vMerge w:val="restart"/>
            <w:tcBorders>
              <w:top w:val="single" w:sz="4" w:space="0" w:color="auto"/>
              <w:left w:val="single" w:sz="4" w:space="0" w:color="auto"/>
              <w:bottom w:val="single" w:sz="4" w:space="0" w:color="auto"/>
              <w:right w:val="single" w:sz="4" w:space="0" w:color="auto"/>
            </w:tcBorders>
            <w:vAlign w:val="center"/>
            <w:hideMark/>
          </w:tcPr>
          <w:p w14:paraId="6F89736C" w14:textId="7777777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Academic paper with no funding from the</w:t>
            </w:r>
            <w:r w:rsidRPr="00BC7A12">
              <w:rPr>
                <w:rFonts w:cs="Calibri"/>
              </w:rPr>
              <w:t xml:space="preserve"> “</w:t>
            </w:r>
            <w:r w:rsidRPr="00BC7A12">
              <w:rPr>
                <w:rFonts w:eastAsia="Times New Roman" w:cs="Calibri"/>
                <w:color w:val="000000"/>
                <w:sz w:val="16"/>
                <w:szCs w:val="16"/>
                <w:lang w:eastAsia="en-AU"/>
              </w:rPr>
              <w:t>public, commercial, or not-for-profit sectors.”</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071DE7D4" w14:textId="7777777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Expected damage function (Avoided damage cost)</w:t>
            </w:r>
          </w:p>
        </w:tc>
        <w:tc>
          <w:tcPr>
            <w:tcW w:w="924" w:type="dxa"/>
            <w:vMerge w:val="restart"/>
            <w:tcBorders>
              <w:top w:val="single" w:sz="4" w:space="0" w:color="auto"/>
              <w:left w:val="single" w:sz="4" w:space="0" w:color="auto"/>
              <w:right w:val="single" w:sz="4" w:space="0" w:color="auto"/>
            </w:tcBorders>
            <w:vAlign w:val="center"/>
          </w:tcPr>
          <w:p w14:paraId="50431555" w14:textId="436EB23D" w:rsidR="00A53825" w:rsidRPr="00BC7A12" w:rsidRDefault="00A53825" w:rsidP="00BC36BD">
            <w:pPr>
              <w:spacing w:after="0" w:line="240" w:lineRule="auto"/>
              <w:jc w:val="left"/>
              <w:rPr>
                <w:rFonts w:eastAsia="Times New Roman" w:cs="Calibri"/>
                <w:color w:val="000000"/>
                <w:sz w:val="16"/>
                <w:szCs w:val="16"/>
                <w:lang w:eastAsia="en-AU"/>
              </w:rPr>
            </w:pPr>
            <w:r>
              <w:rPr>
                <w:rFonts w:eastAsia="Times New Roman" w:cs="Calibri"/>
                <w:color w:val="000000"/>
                <w:sz w:val="16"/>
                <w:szCs w:val="16"/>
                <w:lang w:eastAsia="en-AU"/>
              </w:rPr>
              <w:t xml:space="preserve">Awareness raising valuation </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1537195" w14:textId="3343EF60"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USD$(2011) avg. 49,240</w:t>
            </w:r>
            <w:r w:rsidRPr="00BC7A12">
              <w:rPr>
                <w:rFonts w:cs="Calibri"/>
                <w:color w:val="000000"/>
                <w:sz w:val="16"/>
                <w:szCs w:val="16"/>
              </w:rPr>
              <w:t>/year/hectare</w:t>
            </w:r>
          </w:p>
        </w:tc>
        <w:tc>
          <w:tcPr>
            <w:tcW w:w="1191" w:type="dxa"/>
            <w:vMerge w:val="restart"/>
            <w:tcBorders>
              <w:top w:val="single" w:sz="4" w:space="0" w:color="auto"/>
              <w:left w:val="single" w:sz="4" w:space="0" w:color="auto"/>
              <w:right w:val="single" w:sz="4" w:space="0" w:color="auto"/>
            </w:tcBorders>
            <w:vAlign w:val="center"/>
          </w:tcPr>
          <w:p w14:paraId="19391222" w14:textId="61BE19F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Contributed to overall discussion on the importance of wetland valuation and conservation and additional valuations in China.  </w:t>
            </w:r>
            <w:r w:rsidRPr="00BC7A12">
              <w:rPr>
                <w:rFonts w:eastAsia="Times New Roman" w:cs="Calibri"/>
                <w:color w:val="000000"/>
                <w:sz w:val="16"/>
                <w:szCs w:val="16"/>
                <w:lang w:eastAsia="en-AU"/>
              </w:rPr>
              <w:fldChar w:fldCharType="begin" w:fldLock="1"/>
            </w:r>
            <w:r w:rsidRPr="00BC7A12">
              <w:rPr>
                <w:rFonts w:eastAsia="Times New Roman" w:cs="Calibri"/>
                <w:color w:val="000000"/>
                <w:sz w:val="16"/>
                <w:szCs w:val="16"/>
                <w:lang w:eastAsia="en-AU"/>
              </w:rPr>
              <w:instrText>ADDIN CSL_CITATION {"citationItems":[{"id":"ITEM-1","itemData":{"author":[{"dropping-particle":"","family":"Ouyang","given":"Xiaoguang","non-dropping-particle":"","parse-names":false,"suffix":""}],"id":"ITEM-1","issued":{"date-parts":[["2020"]]},"page":"1","title":"Email correspondence with Xiaoguang Ouyang","type":"article"},"uris":["http://www.mendeley.com/documents/?uuid=b636ef25-47c1-449e-8cb2-1756dcaa51cb"]}],"mendeley":{"formattedCitation":"(Ouyang 2020)","plainTextFormattedCitation":"(Ouyang 2020)","previouslyFormattedCitation":"(Ouyang 2020)"},"properties":{"noteIndex":0},"schema":"https://github.com/citation-style-language/schema/raw/master/csl-citation.json"}</w:instrText>
            </w:r>
            <w:r w:rsidRPr="00BC7A12">
              <w:rPr>
                <w:rFonts w:eastAsia="Times New Roman" w:cs="Calibri"/>
                <w:color w:val="000000"/>
                <w:sz w:val="16"/>
                <w:szCs w:val="16"/>
                <w:lang w:eastAsia="en-AU"/>
              </w:rPr>
              <w:fldChar w:fldCharType="separate"/>
            </w:r>
            <w:r w:rsidRPr="00BC7A12">
              <w:rPr>
                <w:rFonts w:eastAsia="Times New Roman" w:cs="Calibri"/>
                <w:noProof/>
                <w:color w:val="000000"/>
                <w:sz w:val="16"/>
                <w:szCs w:val="16"/>
                <w:lang w:eastAsia="en-AU"/>
              </w:rPr>
              <w:t>(Ouyang 2020)</w:t>
            </w:r>
            <w:r w:rsidRPr="00BC7A12">
              <w:rPr>
                <w:rFonts w:eastAsia="Times New Roman" w:cs="Calibri"/>
                <w:color w:val="000000"/>
                <w:sz w:val="16"/>
                <w:szCs w:val="16"/>
                <w:lang w:eastAsia="en-AU"/>
              </w:rPr>
              <w:fldChar w:fldCharType="end"/>
            </w:r>
          </w:p>
        </w:tc>
      </w:tr>
      <w:tr w:rsidR="00A53825" w:rsidRPr="00BC7A12" w14:paraId="2684FA19"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noWrap/>
            <w:vAlign w:val="center"/>
          </w:tcPr>
          <w:p w14:paraId="776D832E" w14:textId="77777777" w:rsidR="00A53825" w:rsidRPr="00BC7A12" w:rsidRDefault="00A53825" w:rsidP="00BC36BD">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vAlign w:val="center"/>
            <w:hideMark/>
          </w:tcPr>
          <w:p w14:paraId="3F4E63F0" w14:textId="7777777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c>
          <w:tcPr>
            <w:tcW w:w="26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5CBB24" w14:textId="7777777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Total QLD</w:t>
            </w:r>
          </w:p>
        </w:tc>
        <w:tc>
          <w:tcPr>
            <w:tcW w:w="2407" w:type="dxa"/>
            <w:vMerge/>
            <w:tcBorders>
              <w:top w:val="single" w:sz="4" w:space="0" w:color="auto"/>
              <w:left w:val="single" w:sz="4" w:space="0" w:color="auto"/>
              <w:bottom w:val="single" w:sz="4" w:space="0" w:color="auto"/>
              <w:right w:val="single" w:sz="4" w:space="0" w:color="auto"/>
            </w:tcBorders>
            <w:vAlign w:val="center"/>
            <w:hideMark/>
          </w:tcPr>
          <w:p w14:paraId="29841C76" w14:textId="77777777" w:rsidR="00A53825" w:rsidRPr="00BC7A12" w:rsidRDefault="00A53825" w:rsidP="00BC36BD">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4C44A02D" w14:textId="77777777" w:rsidR="00A53825" w:rsidRPr="00BC7A12" w:rsidRDefault="00A53825" w:rsidP="00BC36BD">
            <w:pPr>
              <w:spacing w:after="0" w:line="256" w:lineRule="auto"/>
              <w:jc w:val="left"/>
              <w:rPr>
                <w:rFonts w:eastAsia="Times New Roman" w:cs="Calibri"/>
                <w:color w:val="000000"/>
                <w:sz w:val="16"/>
                <w:szCs w:val="16"/>
                <w:lang w:eastAsia="en-AU"/>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7FC1B8DC" w14:textId="77777777" w:rsidR="00A53825" w:rsidRPr="00BC7A12" w:rsidRDefault="00A53825" w:rsidP="00BC36BD">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45DDB9F2" w14:textId="77777777" w:rsidR="00A53825" w:rsidRPr="00BC7A12" w:rsidRDefault="00A53825" w:rsidP="00BC36BD">
            <w:pPr>
              <w:spacing w:after="0" w:line="256" w:lineRule="auto"/>
              <w:jc w:val="left"/>
              <w:rPr>
                <w:rFonts w:eastAsia="Times New Roman" w:cs="Calibri"/>
                <w:color w:val="000000"/>
                <w:sz w:val="16"/>
                <w:szCs w:val="16"/>
                <w:lang w:eastAsia="en-AU"/>
              </w:rPr>
            </w:pPr>
          </w:p>
        </w:tc>
        <w:tc>
          <w:tcPr>
            <w:tcW w:w="924" w:type="dxa"/>
            <w:vMerge/>
            <w:tcBorders>
              <w:left w:val="single" w:sz="4" w:space="0" w:color="auto"/>
              <w:right w:val="single" w:sz="4" w:space="0" w:color="auto"/>
            </w:tcBorders>
            <w:vAlign w:val="center"/>
          </w:tcPr>
          <w:p w14:paraId="7840045B" w14:textId="77777777" w:rsidR="00A53825" w:rsidRPr="00BC7A12" w:rsidRDefault="00A53825" w:rsidP="00BC36BD">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663353A6" w14:textId="38964774"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USD$(2011) avg. 39,067</w:t>
            </w:r>
            <w:r w:rsidRPr="00BC7A12">
              <w:rPr>
                <w:rFonts w:cs="Calibri"/>
                <w:color w:val="000000"/>
                <w:sz w:val="16"/>
                <w:szCs w:val="16"/>
              </w:rPr>
              <w:t>/year/hectare</w:t>
            </w:r>
          </w:p>
        </w:tc>
        <w:tc>
          <w:tcPr>
            <w:tcW w:w="1191" w:type="dxa"/>
            <w:vMerge/>
            <w:tcBorders>
              <w:left w:val="single" w:sz="4" w:space="0" w:color="auto"/>
              <w:right w:val="single" w:sz="4" w:space="0" w:color="auto"/>
            </w:tcBorders>
            <w:vAlign w:val="center"/>
          </w:tcPr>
          <w:p w14:paraId="5A1D063B" w14:textId="77777777" w:rsidR="00A53825" w:rsidRPr="00BC7A12" w:rsidRDefault="00A53825" w:rsidP="00BC36BD">
            <w:pPr>
              <w:spacing w:after="0" w:line="240" w:lineRule="auto"/>
              <w:jc w:val="left"/>
              <w:rPr>
                <w:rFonts w:eastAsia="Times New Roman" w:cs="Calibri"/>
                <w:color w:val="000000"/>
                <w:sz w:val="16"/>
                <w:szCs w:val="16"/>
                <w:lang w:eastAsia="en-AU"/>
              </w:rPr>
            </w:pPr>
          </w:p>
        </w:tc>
      </w:tr>
      <w:tr w:rsidR="00A53825" w:rsidRPr="00BC7A12" w14:paraId="3670C8BF"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noWrap/>
            <w:vAlign w:val="center"/>
          </w:tcPr>
          <w:p w14:paraId="567B63CD" w14:textId="77777777" w:rsidR="00A53825" w:rsidRPr="00BC7A12" w:rsidRDefault="00A53825" w:rsidP="00BC36BD">
            <w:pPr>
              <w:pStyle w:val="ListParagraph"/>
              <w:numPr>
                <w:ilvl w:val="0"/>
                <w:numId w:val="35"/>
              </w:numPr>
              <w:spacing w:after="0" w:line="240" w:lineRule="auto"/>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vAlign w:val="center"/>
            <w:hideMark/>
          </w:tcPr>
          <w:p w14:paraId="56B09DB1" w14:textId="7777777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c>
          <w:tcPr>
            <w:tcW w:w="26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9E708F" w14:textId="77777777"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Total WA</w:t>
            </w:r>
          </w:p>
        </w:tc>
        <w:tc>
          <w:tcPr>
            <w:tcW w:w="2407" w:type="dxa"/>
            <w:vMerge/>
            <w:tcBorders>
              <w:top w:val="single" w:sz="4" w:space="0" w:color="auto"/>
              <w:left w:val="single" w:sz="4" w:space="0" w:color="auto"/>
              <w:bottom w:val="single" w:sz="4" w:space="0" w:color="auto"/>
              <w:right w:val="single" w:sz="4" w:space="0" w:color="auto"/>
            </w:tcBorders>
            <w:vAlign w:val="center"/>
            <w:hideMark/>
          </w:tcPr>
          <w:p w14:paraId="6950EEF2" w14:textId="77777777" w:rsidR="00A53825" w:rsidRPr="00BC7A12" w:rsidRDefault="00A53825" w:rsidP="00BC36BD">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60EBA150" w14:textId="77777777" w:rsidR="00A53825" w:rsidRPr="00BC7A12" w:rsidRDefault="00A53825" w:rsidP="00BC36BD">
            <w:pPr>
              <w:spacing w:after="0" w:line="256" w:lineRule="auto"/>
              <w:jc w:val="left"/>
              <w:rPr>
                <w:rFonts w:eastAsia="Times New Roman" w:cs="Calibri"/>
                <w:color w:val="000000"/>
                <w:sz w:val="16"/>
                <w:szCs w:val="16"/>
                <w:lang w:eastAsia="en-AU"/>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4A986D60" w14:textId="77777777" w:rsidR="00A53825" w:rsidRPr="00BC7A12" w:rsidRDefault="00A53825" w:rsidP="00BC36BD">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54A8EA9E" w14:textId="77777777" w:rsidR="00A53825" w:rsidRPr="00BC7A12" w:rsidRDefault="00A53825" w:rsidP="00BC36BD">
            <w:pPr>
              <w:spacing w:after="0" w:line="256" w:lineRule="auto"/>
              <w:jc w:val="left"/>
              <w:rPr>
                <w:rFonts w:eastAsia="Times New Roman" w:cs="Calibri"/>
                <w:color w:val="000000"/>
                <w:sz w:val="16"/>
                <w:szCs w:val="16"/>
                <w:lang w:eastAsia="en-AU"/>
              </w:rPr>
            </w:pPr>
          </w:p>
        </w:tc>
        <w:tc>
          <w:tcPr>
            <w:tcW w:w="924" w:type="dxa"/>
            <w:vMerge/>
            <w:tcBorders>
              <w:left w:val="single" w:sz="4" w:space="0" w:color="auto"/>
              <w:bottom w:val="single" w:sz="4" w:space="0" w:color="auto"/>
              <w:right w:val="single" w:sz="4" w:space="0" w:color="auto"/>
            </w:tcBorders>
            <w:vAlign w:val="center"/>
          </w:tcPr>
          <w:p w14:paraId="0DE5DCDA" w14:textId="77777777" w:rsidR="00A53825" w:rsidRPr="00BC7A12" w:rsidRDefault="00A53825" w:rsidP="00BC36BD">
            <w:pPr>
              <w:spacing w:after="0" w:line="240" w:lineRule="auto"/>
              <w:jc w:val="left"/>
              <w:rPr>
                <w:rFonts w:eastAsia="Times New Roman" w:cs="Calibri"/>
                <w:color w:val="000000"/>
                <w:sz w:val="16"/>
                <w:szCs w:val="16"/>
                <w:lang w:eastAsia="en-AU"/>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6F3D9B11" w14:textId="4AF40162" w:rsidR="00A53825" w:rsidRPr="00BC7A12" w:rsidRDefault="00A53825" w:rsidP="00BC36BD">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USD$(2011) avg. 44,502</w:t>
            </w:r>
            <w:r w:rsidRPr="00BC7A12">
              <w:rPr>
                <w:rFonts w:cs="Calibri"/>
                <w:color w:val="000000"/>
                <w:sz w:val="16"/>
                <w:szCs w:val="16"/>
              </w:rPr>
              <w:t>/year/hectare</w:t>
            </w:r>
          </w:p>
        </w:tc>
        <w:tc>
          <w:tcPr>
            <w:tcW w:w="1191" w:type="dxa"/>
            <w:vMerge/>
            <w:tcBorders>
              <w:left w:val="single" w:sz="4" w:space="0" w:color="auto"/>
              <w:bottom w:val="single" w:sz="4" w:space="0" w:color="auto"/>
              <w:right w:val="single" w:sz="4" w:space="0" w:color="auto"/>
            </w:tcBorders>
            <w:vAlign w:val="center"/>
          </w:tcPr>
          <w:p w14:paraId="2972DC0E" w14:textId="77777777" w:rsidR="00A53825" w:rsidRPr="00BC7A12" w:rsidRDefault="00A53825" w:rsidP="00BC36BD">
            <w:pPr>
              <w:spacing w:after="0" w:line="240" w:lineRule="auto"/>
              <w:jc w:val="left"/>
              <w:rPr>
                <w:rFonts w:eastAsia="Times New Roman" w:cs="Calibri"/>
                <w:color w:val="000000"/>
                <w:sz w:val="16"/>
                <w:szCs w:val="16"/>
                <w:lang w:eastAsia="en-AU"/>
              </w:rPr>
            </w:pPr>
          </w:p>
        </w:tc>
      </w:tr>
      <w:tr w:rsidR="00A53825" w:rsidRPr="00BC7A12" w14:paraId="48E2C760"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D2220D"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11E51"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A50236"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WA Temperate</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52A3F6"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H — Intertidal marshes</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69061C" w14:textId="77777777" w:rsidR="00A53825" w:rsidRPr="00BC7A12" w:rsidRDefault="00A53825" w:rsidP="00A53825">
            <w:pPr>
              <w:spacing w:after="0" w:line="240" w:lineRule="auto"/>
              <w:jc w:val="left"/>
              <w:rPr>
                <w:rFonts w:cs="Calibri"/>
                <w:color w:val="000000"/>
                <w:sz w:val="16"/>
                <w:szCs w:val="16"/>
              </w:rPr>
            </w:pPr>
            <w:r w:rsidRPr="00BC7A12">
              <w:rPr>
                <w:rFonts w:cs="Calibri"/>
                <w:color w:val="000000"/>
                <w:sz w:val="16"/>
                <w:szCs w:val="16"/>
              </w:rPr>
              <w:t>A benefit transfer study of the DRR and other values from temperate coastal wetlands</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1C2FAD" w14:textId="77777777" w:rsidR="00A53825" w:rsidRPr="00BC7A12" w:rsidRDefault="00A53825" w:rsidP="00A53825">
            <w:pPr>
              <w:spacing w:after="0" w:line="240" w:lineRule="auto"/>
              <w:jc w:val="left"/>
              <w:rPr>
                <w:rFonts w:cs="Calibri"/>
                <w:color w:val="000000"/>
                <w:sz w:val="16"/>
                <w:szCs w:val="16"/>
              </w:rPr>
            </w:pPr>
            <w:r w:rsidRPr="00BC7A12">
              <w:rPr>
                <w:rFonts w:cs="Calibri"/>
                <w:color w:val="000000"/>
                <w:sz w:val="16"/>
                <w:szCs w:val="16"/>
              </w:rPr>
              <w:t>Academic, funded by an Australian Government Research Training Program Scholarship</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5DA89C" w14:textId="77777777" w:rsidR="00A53825" w:rsidRPr="00BC7A12" w:rsidRDefault="00A53825" w:rsidP="00A53825">
            <w:pPr>
              <w:spacing w:after="0" w:line="240" w:lineRule="auto"/>
              <w:jc w:val="left"/>
              <w:rPr>
                <w:rFonts w:cs="Calibri"/>
                <w:color w:val="000000"/>
                <w:sz w:val="16"/>
                <w:szCs w:val="16"/>
              </w:rPr>
            </w:pPr>
            <w:r w:rsidRPr="00BC7A12">
              <w:rPr>
                <w:rFonts w:cs="Calibri"/>
                <w:color w:val="000000"/>
                <w:sz w:val="16"/>
                <w:szCs w:val="16"/>
              </w:rPr>
              <w:t>Benefit transfer</w:t>
            </w:r>
          </w:p>
        </w:tc>
        <w:tc>
          <w:tcPr>
            <w:tcW w:w="924"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A91F697" w14:textId="6F1B94F7" w:rsidR="00A53825" w:rsidRPr="00BC7A12" w:rsidRDefault="00A53825" w:rsidP="00A53825">
            <w:pPr>
              <w:spacing w:after="0" w:line="240" w:lineRule="auto"/>
              <w:jc w:val="left"/>
              <w:rPr>
                <w:rFonts w:cs="Calibri"/>
                <w:color w:val="000000"/>
                <w:sz w:val="16"/>
                <w:szCs w:val="16"/>
              </w:rPr>
            </w:pPr>
            <w:r>
              <w:rPr>
                <w:rFonts w:eastAsia="Times New Roman" w:cs="Calibri"/>
                <w:color w:val="000000"/>
                <w:sz w:val="16"/>
                <w:szCs w:val="16"/>
                <w:lang w:eastAsia="en-AU"/>
              </w:rPr>
              <w:t xml:space="preserve">Awareness raising valuation </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1A3B51" w14:textId="46565F4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INT$(2019) 2.57-11,505/ year/hectare</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6279AD" w14:textId="77777777" w:rsidR="00A53825" w:rsidRPr="00BC7A12" w:rsidRDefault="00A53825" w:rsidP="00A53825">
            <w:pPr>
              <w:spacing w:after="0" w:line="240" w:lineRule="auto"/>
              <w:jc w:val="left"/>
              <w:rPr>
                <w:rFonts w:cs="Calibri"/>
                <w:color w:val="000000"/>
                <w:sz w:val="16"/>
                <w:szCs w:val="16"/>
              </w:rPr>
            </w:pPr>
            <w:r w:rsidRPr="00BC7A12">
              <w:rPr>
                <w:rFonts w:cs="Calibri"/>
                <w:color w:val="000000"/>
                <w:sz w:val="16"/>
                <w:szCs w:val="16"/>
              </w:rPr>
              <w:t xml:space="preserve">None (academic study) </w:t>
            </w:r>
          </w:p>
        </w:tc>
      </w:tr>
      <w:tr w:rsidR="00A53825" w:rsidRPr="00BC7A12" w14:paraId="1D949322"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078C6F"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A36102"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CD45AB"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SA</w:t>
            </w:r>
          </w:p>
        </w:tc>
        <w:tc>
          <w:tcPr>
            <w:tcW w:w="24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F696F3"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09BC59"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8B7487"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0242DA"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shd w:val="clear" w:color="auto" w:fill="F2F2F2" w:themeFill="background1" w:themeFillShade="F2"/>
            <w:vAlign w:val="center"/>
          </w:tcPr>
          <w:p w14:paraId="46F138B8"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CB5692" w14:textId="4CADE9DA"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C513C7" w14:textId="77777777" w:rsidR="00A53825" w:rsidRPr="00BC7A12" w:rsidRDefault="00A53825" w:rsidP="00A53825">
            <w:pPr>
              <w:spacing w:after="0" w:line="256" w:lineRule="auto"/>
              <w:jc w:val="left"/>
              <w:rPr>
                <w:rFonts w:cs="Calibri"/>
                <w:color w:val="000000"/>
                <w:sz w:val="16"/>
                <w:szCs w:val="16"/>
              </w:rPr>
            </w:pPr>
          </w:p>
        </w:tc>
      </w:tr>
      <w:tr w:rsidR="00A53825" w:rsidRPr="00BC7A12" w14:paraId="33B939FC"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DD5105"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7A2C92"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0CAB43"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TAS</w:t>
            </w:r>
          </w:p>
        </w:tc>
        <w:tc>
          <w:tcPr>
            <w:tcW w:w="24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131B75"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11237A"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8B0691"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87BD46"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shd w:val="clear" w:color="auto" w:fill="F2F2F2" w:themeFill="background1" w:themeFillShade="F2"/>
            <w:vAlign w:val="center"/>
          </w:tcPr>
          <w:p w14:paraId="0CD74583"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74DCAE" w14:textId="2F19D398"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42C62C" w14:textId="77777777" w:rsidR="00A53825" w:rsidRPr="00BC7A12" w:rsidRDefault="00A53825" w:rsidP="00A53825">
            <w:pPr>
              <w:spacing w:after="0" w:line="256" w:lineRule="auto"/>
              <w:jc w:val="left"/>
              <w:rPr>
                <w:rFonts w:cs="Calibri"/>
                <w:color w:val="000000"/>
                <w:sz w:val="16"/>
                <w:szCs w:val="16"/>
              </w:rPr>
            </w:pPr>
          </w:p>
        </w:tc>
      </w:tr>
      <w:tr w:rsidR="00A53825" w:rsidRPr="00BC7A12" w14:paraId="2705E137"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F254A2"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A5C4C2"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7A34A0"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VIC</w:t>
            </w:r>
          </w:p>
        </w:tc>
        <w:tc>
          <w:tcPr>
            <w:tcW w:w="24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41920D"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8CD1D8"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5B0C21"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ED44D3"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shd w:val="clear" w:color="auto" w:fill="F2F2F2" w:themeFill="background1" w:themeFillShade="F2"/>
            <w:vAlign w:val="center"/>
          </w:tcPr>
          <w:p w14:paraId="43E6235E"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762FA3" w14:textId="39927D85"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F0E6A04" w14:textId="77777777" w:rsidR="00A53825" w:rsidRPr="00BC7A12" w:rsidRDefault="00A53825" w:rsidP="00A53825">
            <w:pPr>
              <w:spacing w:after="0" w:line="256" w:lineRule="auto"/>
              <w:jc w:val="left"/>
              <w:rPr>
                <w:rFonts w:cs="Calibri"/>
                <w:color w:val="000000"/>
                <w:sz w:val="16"/>
                <w:szCs w:val="16"/>
              </w:rPr>
            </w:pPr>
          </w:p>
        </w:tc>
      </w:tr>
      <w:tr w:rsidR="00A53825" w:rsidRPr="00BC7A12" w14:paraId="06182CDD"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9DB294"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D8A910"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DAA7B8"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NSW</w:t>
            </w:r>
          </w:p>
        </w:tc>
        <w:tc>
          <w:tcPr>
            <w:tcW w:w="24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61470A"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EF1496"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F5A30C"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7CD40E"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shd w:val="clear" w:color="auto" w:fill="F2F2F2" w:themeFill="background1" w:themeFillShade="F2"/>
            <w:vAlign w:val="center"/>
          </w:tcPr>
          <w:p w14:paraId="4A179166"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E00EFA" w14:textId="6EE7B4FF"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7AB6A41" w14:textId="77777777" w:rsidR="00A53825" w:rsidRPr="00BC7A12" w:rsidRDefault="00A53825" w:rsidP="00A53825">
            <w:pPr>
              <w:spacing w:after="0" w:line="256" w:lineRule="auto"/>
              <w:jc w:val="left"/>
              <w:rPr>
                <w:rFonts w:cs="Calibri"/>
                <w:color w:val="000000"/>
                <w:sz w:val="16"/>
                <w:szCs w:val="16"/>
              </w:rPr>
            </w:pPr>
          </w:p>
        </w:tc>
      </w:tr>
      <w:tr w:rsidR="00A53825" w:rsidRPr="00BC7A12" w14:paraId="36397CF5"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7DC777"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5A0E60"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E65329"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QLD Temperate</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114760"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I — Intertidal forested wetlands</w:t>
            </w: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EC14E7"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EAB265"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CA8350"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shd w:val="clear" w:color="auto" w:fill="F2F2F2" w:themeFill="background1" w:themeFillShade="F2"/>
            <w:vAlign w:val="center"/>
          </w:tcPr>
          <w:p w14:paraId="62719C54" w14:textId="77777777" w:rsidR="00A53825" w:rsidRPr="00BC7A12" w:rsidRDefault="00A53825" w:rsidP="00A53825">
            <w:pPr>
              <w:spacing w:after="0" w:line="240" w:lineRule="auto"/>
              <w:jc w:val="left"/>
              <w:rPr>
                <w:rFonts w:cs="Calibri"/>
                <w:color w:val="000000"/>
                <w:sz w:val="16"/>
                <w:szCs w:val="16"/>
              </w:rPr>
            </w:pPr>
          </w:p>
        </w:tc>
        <w:tc>
          <w:tcPr>
            <w:tcW w:w="19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C7DDD" w14:textId="0531CC2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INT$(2018) 44-11,477/year/hectare</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2154D0A" w14:textId="77777777" w:rsidR="00A53825" w:rsidRPr="00BC7A12" w:rsidRDefault="00A53825" w:rsidP="00A53825">
            <w:pPr>
              <w:spacing w:after="0" w:line="256" w:lineRule="auto"/>
              <w:jc w:val="left"/>
              <w:rPr>
                <w:rFonts w:cs="Calibri"/>
                <w:color w:val="000000"/>
                <w:sz w:val="16"/>
                <w:szCs w:val="16"/>
              </w:rPr>
            </w:pPr>
          </w:p>
        </w:tc>
      </w:tr>
      <w:tr w:rsidR="00A53825" w:rsidRPr="00BC7A12" w14:paraId="02FF1ECB"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7B9473"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FAEAA0"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07D6B6"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WA Temperate</w:t>
            </w:r>
          </w:p>
        </w:tc>
        <w:tc>
          <w:tcPr>
            <w:tcW w:w="2407" w:type="dxa"/>
            <w:vMerge/>
            <w:tcBorders>
              <w:top w:val="single" w:sz="4" w:space="0" w:color="auto"/>
              <w:left w:val="single" w:sz="4" w:space="0" w:color="auto"/>
              <w:bottom w:val="single" w:sz="4" w:space="0" w:color="auto"/>
              <w:right w:val="single" w:sz="4" w:space="0" w:color="auto"/>
            </w:tcBorders>
            <w:vAlign w:val="center"/>
            <w:hideMark/>
          </w:tcPr>
          <w:p w14:paraId="0DC4F51D"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57FC09B7"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7B0D8373"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5078C80A"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vAlign w:val="center"/>
          </w:tcPr>
          <w:p w14:paraId="4B6888EF"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vAlign w:val="center"/>
            <w:hideMark/>
          </w:tcPr>
          <w:p w14:paraId="449F0BD0" w14:textId="3B872A24"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494FEC9" w14:textId="77777777" w:rsidR="00A53825" w:rsidRPr="00BC7A12" w:rsidRDefault="00A53825" w:rsidP="00A53825">
            <w:pPr>
              <w:spacing w:after="0" w:line="256" w:lineRule="auto"/>
              <w:jc w:val="left"/>
              <w:rPr>
                <w:rFonts w:cs="Calibri"/>
                <w:color w:val="000000"/>
                <w:sz w:val="16"/>
                <w:szCs w:val="16"/>
              </w:rPr>
            </w:pPr>
          </w:p>
        </w:tc>
      </w:tr>
      <w:tr w:rsidR="00A53825" w:rsidRPr="00BC7A12" w14:paraId="6BAA17DC"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4D06F3"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104A67"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03561D"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SA</w:t>
            </w:r>
          </w:p>
        </w:tc>
        <w:tc>
          <w:tcPr>
            <w:tcW w:w="2407" w:type="dxa"/>
            <w:vMerge/>
            <w:tcBorders>
              <w:top w:val="single" w:sz="4" w:space="0" w:color="auto"/>
              <w:left w:val="single" w:sz="4" w:space="0" w:color="auto"/>
              <w:bottom w:val="single" w:sz="4" w:space="0" w:color="auto"/>
              <w:right w:val="single" w:sz="4" w:space="0" w:color="auto"/>
            </w:tcBorders>
            <w:vAlign w:val="center"/>
            <w:hideMark/>
          </w:tcPr>
          <w:p w14:paraId="1D0B8AC0"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5ED6B706"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6E3841C2"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7F3FB4D8"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vAlign w:val="center"/>
          </w:tcPr>
          <w:p w14:paraId="0FD286B1"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vAlign w:val="center"/>
            <w:hideMark/>
          </w:tcPr>
          <w:p w14:paraId="4A09CEF6" w14:textId="045A1B36"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5557D05" w14:textId="77777777" w:rsidR="00A53825" w:rsidRPr="00BC7A12" w:rsidRDefault="00A53825" w:rsidP="00A53825">
            <w:pPr>
              <w:spacing w:after="0" w:line="256" w:lineRule="auto"/>
              <w:jc w:val="left"/>
              <w:rPr>
                <w:rFonts w:cs="Calibri"/>
                <w:color w:val="000000"/>
                <w:sz w:val="16"/>
                <w:szCs w:val="16"/>
              </w:rPr>
            </w:pPr>
          </w:p>
        </w:tc>
      </w:tr>
      <w:tr w:rsidR="00A53825" w:rsidRPr="00BC7A12" w14:paraId="128B6A28"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623440"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7B79A8"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F6E5FE"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TAS</w:t>
            </w:r>
          </w:p>
        </w:tc>
        <w:tc>
          <w:tcPr>
            <w:tcW w:w="2407" w:type="dxa"/>
            <w:vMerge/>
            <w:tcBorders>
              <w:top w:val="single" w:sz="4" w:space="0" w:color="auto"/>
              <w:left w:val="single" w:sz="4" w:space="0" w:color="auto"/>
              <w:bottom w:val="single" w:sz="4" w:space="0" w:color="auto"/>
              <w:right w:val="single" w:sz="4" w:space="0" w:color="auto"/>
            </w:tcBorders>
            <w:vAlign w:val="center"/>
            <w:hideMark/>
          </w:tcPr>
          <w:p w14:paraId="1EE21173"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61C429E3"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3D87E3C0"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21390103"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vAlign w:val="center"/>
          </w:tcPr>
          <w:p w14:paraId="1C9E200A"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vAlign w:val="center"/>
            <w:hideMark/>
          </w:tcPr>
          <w:p w14:paraId="22E895C6" w14:textId="1A85DDE3"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FC6A3EC" w14:textId="77777777" w:rsidR="00A53825" w:rsidRPr="00BC7A12" w:rsidRDefault="00A53825" w:rsidP="00A53825">
            <w:pPr>
              <w:spacing w:after="0" w:line="256" w:lineRule="auto"/>
              <w:jc w:val="left"/>
              <w:rPr>
                <w:rFonts w:cs="Calibri"/>
                <w:color w:val="000000"/>
                <w:sz w:val="16"/>
                <w:szCs w:val="16"/>
              </w:rPr>
            </w:pPr>
          </w:p>
        </w:tc>
      </w:tr>
      <w:tr w:rsidR="00A53825" w:rsidRPr="00BC7A12" w14:paraId="7384F487"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7436B5"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637DBE"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DBC082" w14:textId="77777777" w:rsidR="00A53825" w:rsidRPr="00BC7A12" w:rsidRDefault="00A53825" w:rsidP="00A53825">
            <w:pPr>
              <w:spacing w:after="0" w:line="240" w:lineRule="auto"/>
              <w:jc w:val="left"/>
              <w:rPr>
                <w:rFonts w:eastAsia="Times New Roman" w:cs="Calibri"/>
                <w:color w:val="000000"/>
                <w:sz w:val="16"/>
                <w:szCs w:val="16"/>
                <w:lang w:eastAsia="en-AU"/>
              </w:rPr>
            </w:pPr>
            <w:r w:rsidRPr="00BC7A12">
              <w:rPr>
                <w:rFonts w:cs="Calibri"/>
                <w:color w:val="000000"/>
                <w:sz w:val="16"/>
                <w:szCs w:val="16"/>
              </w:rPr>
              <w:t>Total VIC</w:t>
            </w:r>
          </w:p>
        </w:tc>
        <w:tc>
          <w:tcPr>
            <w:tcW w:w="2407" w:type="dxa"/>
            <w:vMerge/>
            <w:tcBorders>
              <w:top w:val="single" w:sz="4" w:space="0" w:color="auto"/>
              <w:left w:val="single" w:sz="4" w:space="0" w:color="auto"/>
              <w:bottom w:val="single" w:sz="4" w:space="0" w:color="auto"/>
              <w:right w:val="single" w:sz="4" w:space="0" w:color="auto"/>
            </w:tcBorders>
            <w:vAlign w:val="center"/>
            <w:hideMark/>
          </w:tcPr>
          <w:p w14:paraId="3A7516F1"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38FDDB9D"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7DDEFB7C"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6E62C200"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vAlign w:val="center"/>
          </w:tcPr>
          <w:p w14:paraId="2189DFB9"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vAlign w:val="center"/>
            <w:hideMark/>
          </w:tcPr>
          <w:p w14:paraId="5DB960E0" w14:textId="793FD98D"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BC65A5A" w14:textId="77777777" w:rsidR="00A53825" w:rsidRPr="00BC7A12" w:rsidRDefault="00A53825" w:rsidP="00A53825">
            <w:pPr>
              <w:spacing w:after="0" w:line="256" w:lineRule="auto"/>
              <w:jc w:val="left"/>
              <w:rPr>
                <w:rFonts w:cs="Calibri"/>
                <w:color w:val="000000"/>
                <w:sz w:val="16"/>
                <w:szCs w:val="16"/>
              </w:rPr>
            </w:pPr>
          </w:p>
        </w:tc>
      </w:tr>
      <w:tr w:rsidR="00A53825" w:rsidRPr="00BC7A12" w14:paraId="3B74E730"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A5C3F9"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5BF4B5"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C7A803" w14:textId="77777777" w:rsidR="00A53825" w:rsidRPr="00BC7A12" w:rsidRDefault="00A53825" w:rsidP="00A53825">
            <w:pPr>
              <w:spacing w:after="0" w:line="240" w:lineRule="auto"/>
              <w:jc w:val="left"/>
              <w:rPr>
                <w:rFonts w:cs="Calibri"/>
                <w:color w:val="000000"/>
                <w:sz w:val="16"/>
                <w:szCs w:val="16"/>
              </w:rPr>
            </w:pPr>
            <w:r w:rsidRPr="00BC7A12">
              <w:rPr>
                <w:rFonts w:cs="Calibri"/>
                <w:color w:val="000000"/>
                <w:sz w:val="16"/>
                <w:szCs w:val="16"/>
              </w:rPr>
              <w:t>Total NWS</w:t>
            </w:r>
          </w:p>
        </w:tc>
        <w:tc>
          <w:tcPr>
            <w:tcW w:w="2407" w:type="dxa"/>
            <w:vMerge/>
            <w:tcBorders>
              <w:top w:val="single" w:sz="4" w:space="0" w:color="auto"/>
              <w:left w:val="single" w:sz="4" w:space="0" w:color="auto"/>
              <w:bottom w:val="single" w:sz="4" w:space="0" w:color="auto"/>
              <w:right w:val="single" w:sz="4" w:space="0" w:color="auto"/>
            </w:tcBorders>
            <w:vAlign w:val="center"/>
            <w:hideMark/>
          </w:tcPr>
          <w:p w14:paraId="28852FEB"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188C0006"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4DE99BC1"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16091016"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right w:val="single" w:sz="4" w:space="0" w:color="auto"/>
            </w:tcBorders>
            <w:vAlign w:val="center"/>
          </w:tcPr>
          <w:p w14:paraId="7D112C95"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vAlign w:val="center"/>
            <w:hideMark/>
          </w:tcPr>
          <w:p w14:paraId="74BACEB7" w14:textId="41588C75"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D99418F" w14:textId="77777777" w:rsidR="00A53825" w:rsidRPr="00BC7A12" w:rsidRDefault="00A53825" w:rsidP="00A53825">
            <w:pPr>
              <w:spacing w:after="0" w:line="256" w:lineRule="auto"/>
              <w:jc w:val="left"/>
              <w:rPr>
                <w:rFonts w:cs="Calibri"/>
                <w:color w:val="000000"/>
                <w:sz w:val="16"/>
                <w:szCs w:val="16"/>
              </w:rPr>
            </w:pPr>
          </w:p>
        </w:tc>
      </w:tr>
      <w:tr w:rsidR="00A53825" w:rsidRPr="00BC7A12" w14:paraId="66608E7E" w14:textId="77777777" w:rsidTr="00844C94">
        <w:trPr>
          <w:trHeight w:val="290"/>
        </w:trPr>
        <w:tc>
          <w:tcPr>
            <w:tcW w:w="3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D5E6EB" w14:textId="77777777" w:rsidR="00A53825" w:rsidRPr="00BC7A12" w:rsidRDefault="00A53825" w:rsidP="00A53825">
            <w:pPr>
              <w:pStyle w:val="ListParagraph"/>
              <w:numPr>
                <w:ilvl w:val="0"/>
                <w:numId w:val="35"/>
              </w:numPr>
              <w:spacing w:after="0" w:line="240" w:lineRule="auto"/>
              <w:jc w:val="right"/>
              <w:rPr>
                <w:rFonts w:eastAsia="Times New Roman" w:cs="Calibri"/>
                <w:color w:val="000000"/>
                <w:sz w:val="16"/>
                <w:szCs w:val="16"/>
                <w:lang w:eastAsia="en-AU"/>
              </w:rPr>
            </w:pPr>
          </w:p>
        </w:tc>
        <w:tc>
          <w:tcPr>
            <w:tcW w:w="9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88DFA" w14:textId="77777777" w:rsidR="00A53825" w:rsidRPr="00BC7A12" w:rsidRDefault="00A53825" w:rsidP="00A53825">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Gaylard</w:t>
            </w:r>
            <w:proofErr w:type="spellEnd"/>
            <w:r w:rsidRPr="00BC7A12">
              <w:rPr>
                <w:rFonts w:eastAsia="Times New Roman" w:cs="Calibri"/>
                <w:color w:val="000000"/>
                <w:sz w:val="16"/>
                <w:szCs w:val="16"/>
                <w:lang w:eastAsia="en-AU"/>
              </w:rPr>
              <w:t xml:space="preserve"> et al., 2020</w:t>
            </w:r>
          </w:p>
        </w:tc>
        <w:tc>
          <w:tcPr>
            <w:tcW w:w="2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3B8A09" w14:textId="77777777" w:rsidR="00A53825" w:rsidRPr="00BC7A12" w:rsidRDefault="00A53825" w:rsidP="00A53825">
            <w:pPr>
              <w:spacing w:after="0" w:line="240" w:lineRule="auto"/>
              <w:jc w:val="left"/>
              <w:rPr>
                <w:rFonts w:cs="Calibri"/>
                <w:color w:val="000000"/>
                <w:sz w:val="16"/>
                <w:szCs w:val="16"/>
              </w:rPr>
            </w:pPr>
            <w:r w:rsidRPr="00BC7A12">
              <w:rPr>
                <w:rFonts w:cs="Calibri"/>
                <w:color w:val="000000"/>
                <w:sz w:val="16"/>
                <w:szCs w:val="16"/>
              </w:rPr>
              <w:t>Total QLD Temperate</w:t>
            </w:r>
          </w:p>
        </w:tc>
        <w:tc>
          <w:tcPr>
            <w:tcW w:w="2407" w:type="dxa"/>
            <w:vMerge/>
            <w:tcBorders>
              <w:top w:val="single" w:sz="4" w:space="0" w:color="auto"/>
              <w:left w:val="single" w:sz="4" w:space="0" w:color="auto"/>
              <w:bottom w:val="single" w:sz="4" w:space="0" w:color="auto"/>
              <w:right w:val="single" w:sz="4" w:space="0" w:color="auto"/>
            </w:tcBorders>
            <w:vAlign w:val="center"/>
            <w:hideMark/>
          </w:tcPr>
          <w:p w14:paraId="752B496B"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18AC7905" w14:textId="77777777" w:rsidR="00A53825" w:rsidRPr="00BC7A12" w:rsidRDefault="00A53825" w:rsidP="00A53825">
            <w:pPr>
              <w:spacing w:after="0" w:line="256" w:lineRule="auto"/>
              <w:jc w:val="left"/>
              <w:rPr>
                <w:rFonts w:cs="Calibri"/>
                <w:color w:val="000000"/>
                <w:sz w:val="16"/>
                <w:szCs w:val="16"/>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2BAB8511" w14:textId="77777777" w:rsidR="00A53825" w:rsidRPr="00BC7A12" w:rsidRDefault="00A53825" w:rsidP="00A53825">
            <w:pPr>
              <w:spacing w:after="0" w:line="256" w:lineRule="auto"/>
              <w:jc w:val="left"/>
              <w:rPr>
                <w:rFonts w:cs="Calibri"/>
                <w:color w:val="000000"/>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6E1CA541" w14:textId="77777777" w:rsidR="00A53825" w:rsidRPr="00BC7A12" w:rsidRDefault="00A53825" w:rsidP="00A53825">
            <w:pPr>
              <w:spacing w:after="0" w:line="256" w:lineRule="auto"/>
              <w:jc w:val="left"/>
              <w:rPr>
                <w:rFonts w:cs="Calibri"/>
                <w:color w:val="000000"/>
                <w:sz w:val="16"/>
                <w:szCs w:val="16"/>
              </w:rPr>
            </w:pPr>
          </w:p>
        </w:tc>
        <w:tc>
          <w:tcPr>
            <w:tcW w:w="924" w:type="dxa"/>
            <w:vMerge/>
            <w:tcBorders>
              <w:left w:val="single" w:sz="4" w:space="0" w:color="auto"/>
              <w:bottom w:val="single" w:sz="4" w:space="0" w:color="auto"/>
              <w:right w:val="single" w:sz="4" w:space="0" w:color="auto"/>
            </w:tcBorders>
            <w:vAlign w:val="center"/>
          </w:tcPr>
          <w:p w14:paraId="67DD6FF4" w14:textId="77777777" w:rsidR="00A53825" w:rsidRPr="00BC7A12" w:rsidRDefault="00A53825" w:rsidP="00A53825">
            <w:pPr>
              <w:spacing w:after="0" w:line="256" w:lineRule="auto"/>
              <w:jc w:val="left"/>
              <w:rPr>
                <w:rFonts w:eastAsia="Times New Roman" w:cs="Calibri"/>
                <w:color w:val="000000"/>
                <w:sz w:val="16"/>
                <w:szCs w:val="16"/>
                <w:lang w:eastAsia="en-AU"/>
              </w:rPr>
            </w:pPr>
          </w:p>
        </w:tc>
        <w:tc>
          <w:tcPr>
            <w:tcW w:w="1930" w:type="dxa"/>
            <w:vMerge/>
            <w:tcBorders>
              <w:top w:val="single" w:sz="4" w:space="0" w:color="auto"/>
              <w:left w:val="single" w:sz="4" w:space="0" w:color="auto"/>
              <w:bottom w:val="single" w:sz="4" w:space="0" w:color="auto"/>
              <w:right w:val="single" w:sz="4" w:space="0" w:color="auto"/>
            </w:tcBorders>
            <w:vAlign w:val="center"/>
            <w:hideMark/>
          </w:tcPr>
          <w:p w14:paraId="5BFCA4C6" w14:textId="16E8464B" w:rsidR="00A53825" w:rsidRPr="00BC7A12" w:rsidRDefault="00A53825" w:rsidP="00A53825">
            <w:pPr>
              <w:spacing w:after="0" w:line="256" w:lineRule="auto"/>
              <w:jc w:val="left"/>
              <w:rPr>
                <w:rFonts w:eastAsia="Times New Roman" w:cs="Calibri"/>
                <w:color w:val="000000"/>
                <w:sz w:val="16"/>
                <w:szCs w:val="16"/>
                <w:lang w:eastAsia="en-A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64A2B02" w14:textId="77777777" w:rsidR="00A53825" w:rsidRPr="00BC7A12" w:rsidRDefault="00A53825" w:rsidP="00A53825">
            <w:pPr>
              <w:spacing w:after="0" w:line="256" w:lineRule="auto"/>
              <w:jc w:val="left"/>
              <w:rPr>
                <w:rFonts w:cs="Calibri"/>
                <w:color w:val="000000"/>
                <w:sz w:val="16"/>
                <w:szCs w:val="16"/>
              </w:rPr>
            </w:pPr>
          </w:p>
        </w:tc>
      </w:tr>
    </w:tbl>
    <w:p w14:paraId="6E5B78CA" w14:textId="77777777" w:rsidR="0039484D" w:rsidRPr="00BC7A12" w:rsidRDefault="0039484D">
      <w:pPr>
        <w:spacing w:after="200" w:line="276" w:lineRule="auto"/>
        <w:jc w:val="left"/>
        <w:rPr>
          <w:rFonts w:cs="Calibri"/>
        </w:rPr>
        <w:sectPr w:rsidR="0039484D" w:rsidRPr="00BC7A12" w:rsidSect="0039484D">
          <w:pgSz w:w="16838" w:h="11906" w:orient="landscape" w:code="9"/>
          <w:pgMar w:top="1440" w:right="1440" w:bottom="1440" w:left="1440" w:header="432" w:footer="374" w:gutter="0"/>
          <w:cols w:space="708"/>
          <w:titlePg/>
          <w:docGrid w:linePitch="360"/>
        </w:sectPr>
      </w:pPr>
    </w:p>
    <w:p w14:paraId="5843AA9B" w14:textId="77777777" w:rsidR="00657E34" w:rsidRPr="00BC7A12" w:rsidRDefault="00487A7A" w:rsidP="00895831">
      <w:pPr>
        <w:rPr>
          <w:rFonts w:cs="Calibri"/>
        </w:rPr>
      </w:pPr>
      <w:r w:rsidRPr="00BC7A12">
        <w:rPr>
          <w:rFonts w:cs="Calibri"/>
        </w:rPr>
        <w:lastRenderedPageBreak/>
        <w:t>With regards to Australia’s 6</w:t>
      </w:r>
      <w:r w:rsidR="009E1D17" w:rsidRPr="00BC7A12">
        <w:rPr>
          <w:rFonts w:cs="Calibri"/>
        </w:rPr>
        <w:t>6</w:t>
      </w:r>
      <w:r w:rsidRPr="00BC7A12">
        <w:rPr>
          <w:rFonts w:cs="Calibri"/>
        </w:rPr>
        <w:t xml:space="preserve"> Ramsar sites, </w:t>
      </w:r>
      <w:r w:rsidR="00786EAE" w:rsidRPr="00BC7A12">
        <w:rPr>
          <w:rFonts w:cs="Calibri"/>
        </w:rPr>
        <w:t>2</w:t>
      </w:r>
      <w:r w:rsidR="00E32E26" w:rsidRPr="00BC7A12">
        <w:rPr>
          <w:rFonts w:cs="Calibri"/>
        </w:rPr>
        <w:t>4</w:t>
      </w:r>
      <w:r w:rsidR="005D4DB4" w:rsidRPr="00BC7A12">
        <w:rPr>
          <w:rFonts w:cs="Calibri"/>
        </w:rPr>
        <w:t xml:space="preserve"> </w:t>
      </w:r>
      <w:r w:rsidRPr="00BC7A12">
        <w:rPr>
          <w:rFonts w:cs="Calibri"/>
        </w:rPr>
        <w:t>of them (</w:t>
      </w:r>
      <w:r w:rsidR="004721F4" w:rsidRPr="00BC7A12">
        <w:rPr>
          <w:rFonts w:cs="Calibri"/>
        </w:rPr>
        <w:t>39</w:t>
      </w:r>
      <w:r w:rsidRPr="00BC7A12">
        <w:rPr>
          <w:rFonts w:cs="Calibri"/>
        </w:rPr>
        <w:t xml:space="preserve"> percent)</w:t>
      </w:r>
      <w:r w:rsidR="0071639F" w:rsidRPr="00BC7A12">
        <w:rPr>
          <w:rFonts w:cs="Calibri"/>
        </w:rPr>
        <w:t xml:space="preserve"> have been valued for their DRR ecosystem services. </w:t>
      </w:r>
      <w:r w:rsidR="00FF0302" w:rsidRPr="00BC7A12">
        <w:rPr>
          <w:rFonts w:cs="Calibri"/>
        </w:rPr>
        <w:t>(</w:t>
      </w:r>
      <w:r w:rsidR="00FF0302" w:rsidRPr="00BC7A12">
        <w:rPr>
          <w:rFonts w:cs="Calibri"/>
        </w:rPr>
        <w:fldChar w:fldCharType="begin"/>
      </w:r>
      <w:r w:rsidR="00FF0302" w:rsidRPr="00BC7A12">
        <w:rPr>
          <w:rFonts w:cs="Calibri"/>
        </w:rPr>
        <w:instrText xml:space="preserve"> REF _Ref43839069 \h </w:instrText>
      </w:r>
      <w:r w:rsidR="00BC7A12">
        <w:rPr>
          <w:rFonts w:cs="Calibri"/>
        </w:rPr>
        <w:instrText xml:space="preserve"> \* MERGEFORMAT </w:instrText>
      </w:r>
      <w:r w:rsidR="00FF0302" w:rsidRPr="00BC7A12">
        <w:rPr>
          <w:rFonts w:cs="Calibri"/>
        </w:rPr>
      </w:r>
      <w:r w:rsidR="00FF0302" w:rsidRPr="00BC7A12">
        <w:rPr>
          <w:rFonts w:cs="Calibri"/>
        </w:rPr>
        <w:fldChar w:fldCharType="separate"/>
      </w:r>
      <w:r w:rsidR="00657E34" w:rsidRPr="00BC7A12">
        <w:rPr>
          <w:rFonts w:cs="Calibri"/>
        </w:rPr>
        <w:t xml:space="preserve">Table </w:t>
      </w:r>
      <w:r w:rsidR="00657E34">
        <w:rPr>
          <w:rFonts w:cs="Calibri"/>
          <w:noProof/>
        </w:rPr>
        <w:t>7</w:t>
      </w:r>
      <w:r w:rsidR="00FF0302" w:rsidRPr="00BC7A12">
        <w:rPr>
          <w:rFonts w:cs="Calibri"/>
        </w:rPr>
        <w:fldChar w:fldCharType="end"/>
      </w:r>
      <w:r w:rsidR="00FF0302" w:rsidRPr="00BC7A12">
        <w:rPr>
          <w:rFonts w:cs="Calibri"/>
        </w:rPr>
        <w:t>)</w:t>
      </w:r>
      <w:r w:rsidRPr="00BC7A12">
        <w:rPr>
          <w:rFonts w:cs="Calibri"/>
        </w:rPr>
        <w:t>.</w:t>
      </w:r>
      <w:r w:rsidR="00986B61" w:rsidRPr="00BC7A12">
        <w:rPr>
          <w:rFonts w:cs="Calibri"/>
        </w:rPr>
        <w:t xml:space="preserve"> </w:t>
      </w:r>
      <w:r w:rsidR="0071639F" w:rsidRPr="00BC7A12">
        <w:rPr>
          <w:rFonts w:cs="Calibri"/>
        </w:rPr>
        <w:t xml:space="preserve">This is one half of all 25 coastal Ramsar sites. </w:t>
      </w:r>
      <w:r w:rsidR="004D3F5A" w:rsidRPr="00BC7A12">
        <w:rPr>
          <w:rFonts w:cs="Calibri"/>
        </w:rPr>
        <w:t>However, b</w:t>
      </w:r>
      <w:r w:rsidR="00986B61" w:rsidRPr="00BC7A12">
        <w:rPr>
          <w:rFonts w:cs="Calibri"/>
        </w:rPr>
        <w:t>ecause these studies use different datasets and criteria for determin</w:t>
      </w:r>
      <w:r w:rsidR="000F357B" w:rsidRPr="00BC7A12">
        <w:rPr>
          <w:rFonts w:cs="Calibri"/>
        </w:rPr>
        <w:t>ing</w:t>
      </w:r>
      <w:r w:rsidR="00986B61" w:rsidRPr="00BC7A12">
        <w:rPr>
          <w:rFonts w:cs="Calibri"/>
        </w:rPr>
        <w:t xml:space="preserve"> the extent of a wetland (e.g. habitat type, ecosystem type), it is difficult to integrate these with the list of wetland</w:t>
      </w:r>
      <w:r w:rsidR="00FF0302" w:rsidRPr="00BC7A12">
        <w:rPr>
          <w:rFonts w:cs="Calibri"/>
        </w:rPr>
        <w:t>s</w:t>
      </w:r>
      <w:r w:rsidR="00986B61" w:rsidRPr="00BC7A12">
        <w:rPr>
          <w:rFonts w:cs="Calibri"/>
        </w:rPr>
        <w:t xml:space="preserve"> </w:t>
      </w:r>
      <w:r w:rsidR="00327065" w:rsidRPr="00BC7A12">
        <w:rPr>
          <w:rFonts w:cs="Calibri"/>
        </w:rPr>
        <w:t xml:space="preserve">in </w:t>
      </w:r>
      <w:r w:rsidR="00327065" w:rsidRPr="00BC7A12">
        <w:rPr>
          <w:rFonts w:cs="Calibri"/>
        </w:rPr>
        <w:fldChar w:fldCharType="begin"/>
      </w:r>
      <w:r w:rsidR="00327065" w:rsidRPr="00BC7A12">
        <w:rPr>
          <w:rFonts w:cs="Calibri"/>
        </w:rPr>
        <w:instrText xml:space="preserve"> REF _Ref43986929 \h </w:instrText>
      </w:r>
      <w:r w:rsidR="00BC7A12">
        <w:rPr>
          <w:rFonts w:cs="Calibri"/>
        </w:rPr>
        <w:instrText xml:space="preserve"> \* MERGEFORMAT </w:instrText>
      </w:r>
      <w:r w:rsidR="00327065" w:rsidRPr="00BC7A12">
        <w:rPr>
          <w:rFonts w:cs="Calibri"/>
        </w:rPr>
      </w:r>
      <w:r w:rsidR="00327065" w:rsidRPr="00BC7A12">
        <w:rPr>
          <w:rFonts w:cs="Calibri"/>
        </w:rPr>
        <w:fldChar w:fldCharType="separate"/>
      </w:r>
      <w:r w:rsidR="00657E34" w:rsidRPr="00BC7A12">
        <w:rPr>
          <w:rFonts w:cs="Calibri"/>
        </w:rPr>
        <w:t xml:space="preserve"> </w:t>
      </w:r>
    </w:p>
    <w:p w14:paraId="36F4D3D3" w14:textId="77777777" w:rsidR="00657E34" w:rsidRPr="00BC7A12" w:rsidRDefault="00657E34" w:rsidP="00895831">
      <w:pPr>
        <w:rPr>
          <w:rFonts w:cs="Calibri"/>
          <w:noProof/>
        </w:rPr>
        <w:sectPr w:rsidR="00657E34" w:rsidRPr="00BC7A12" w:rsidSect="008D327D">
          <w:pgSz w:w="11906" w:h="16838" w:code="9"/>
          <w:pgMar w:top="1440" w:right="1440" w:bottom="1440" w:left="1440" w:header="432" w:footer="374" w:gutter="0"/>
          <w:cols w:space="708"/>
          <w:titlePg/>
          <w:docGrid w:linePitch="360"/>
        </w:sectPr>
      </w:pPr>
    </w:p>
    <w:p w14:paraId="531546AB" w14:textId="67FDEC19" w:rsidR="009D038C" w:rsidRPr="00BC7A12" w:rsidRDefault="00657E34" w:rsidP="009D41C0">
      <w:pPr>
        <w:rPr>
          <w:rFonts w:cs="Calibri"/>
        </w:rPr>
      </w:pPr>
      <w:r w:rsidRPr="00BC7A12">
        <w:rPr>
          <w:rFonts w:cs="Calibri"/>
        </w:rPr>
        <w:lastRenderedPageBreak/>
        <w:t xml:space="preserve">Table </w:t>
      </w:r>
      <w:r>
        <w:rPr>
          <w:rFonts w:cs="Calibri"/>
          <w:noProof/>
        </w:rPr>
        <w:t>6</w:t>
      </w:r>
      <w:r w:rsidR="00327065" w:rsidRPr="00BC7A12">
        <w:rPr>
          <w:rFonts w:cs="Calibri"/>
        </w:rPr>
        <w:fldChar w:fldCharType="end"/>
      </w:r>
      <w:r w:rsidR="00327065" w:rsidRPr="00BC7A12">
        <w:rPr>
          <w:rFonts w:cs="Calibri"/>
        </w:rPr>
        <w:t>.</w:t>
      </w:r>
      <w:r w:rsidR="00986B61" w:rsidRPr="00BC7A12">
        <w:rPr>
          <w:rFonts w:cs="Calibri"/>
        </w:rPr>
        <w:t xml:space="preserve"> </w:t>
      </w:r>
      <w:r w:rsidR="007B679E" w:rsidRPr="00BC7A12">
        <w:rPr>
          <w:rFonts w:cs="Calibri"/>
        </w:rPr>
        <w:t xml:space="preserve">Only the Port Phillip Bay and Bellarine Peninsula studies use local explicit valuation approaches and </w:t>
      </w:r>
      <w:r w:rsidR="00DC213C">
        <w:rPr>
          <w:rFonts w:cs="Calibri"/>
        </w:rPr>
        <w:t xml:space="preserve">are </w:t>
      </w:r>
      <w:r w:rsidR="007B679E" w:rsidRPr="00BC7A12">
        <w:rPr>
          <w:rFonts w:cs="Calibri"/>
        </w:rPr>
        <w:t xml:space="preserve">therefore likely to inform coastal planning.  </w:t>
      </w:r>
    </w:p>
    <w:p w14:paraId="5954E872" w14:textId="555B37C2" w:rsidR="004721F4" w:rsidRPr="00BC7A12" w:rsidRDefault="004721F4" w:rsidP="004721F4">
      <w:pPr>
        <w:pStyle w:val="Caption"/>
        <w:keepNext/>
        <w:rPr>
          <w:rFonts w:cs="Calibri"/>
        </w:rPr>
      </w:pPr>
      <w:bookmarkStart w:id="65" w:name="_Ref43839069"/>
      <w:bookmarkStart w:id="66" w:name="_Toc46821746"/>
      <w:r w:rsidRPr="00BC7A12">
        <w:rPr>
          <w:rFonts w:cs="Calibri"/>
        </w:rPr>
        <w:t xml:space="preserve">Table </w:t>
      </w:r>
      <w:r w:rsidR="005C2E7C" w:rsidRPr="00BC7A12">
        <w:rPr>
          <w:rFonts w:cs="Calibri"/>
          <w:noProof/>
        </w:rPr>
        <w:fldChar w:fldCharType="begin"/>
      </w:r>
      <w:r w:rsidR="005C2E7C" w:rsidRPr="00BC7A12">
        <w:rPr>
          <w:rFonts w:cs="Calibri"/>
          <w:noProof/>
        </w:rPr>
        <w:instrText xml:space="preserve"> SEQ Table \* ARABIC </w:instrText>
      </w:r>
      <w:r w:rsidR="005C2E7C" w:rsidRPr="00BC7A12">
        <w:rPr>
          <w:rFonts w:cs="Calibri"/>
          <w:noProof/>
        </w:rPr>
        <w:fldChar w:fldCharType="separate"/>
      </w:r>
      <w:r w:rsidR="00657E34">
        <w:rPr>
          <w:rFonts w:cs="Calibri"/>
          <w:noProof/>
        </w:rPr>
        <w:t>7</w:t>
      </w:r>
      <w:r w:rsidR="005C2E7C" w:rsidRPr="00BC7A12">
        <w:rPr>
          <w:rFonts w:cs="Calibri"/>
          <w:noProof/>
        </w:rPr>
        <w:fldChar w:fldCharType="end"/>
      </w:r>
      <w:bookmarkEnd w:id="65"/>
      <w:r w:rsidRPr="00BC7A12">
        <w:rPr>
          <w:rFonts w:cs="Calibri"/>
        </w:rPr>
        <w:t xml:space="preserve"> Valuation studies at Ramsar wetlands</w:t>
      </w:r>
      <w:bookmarkEnd w:id="66"/>
    </w:p>
    <w:tbl>
      <w:tblPr>
        <w:tblW w:w="5925" w:type="dxa"/>
        <w:tblLook w:val="04A0" w:firstRow="1" w:lastRow="0" w:firstColumn="1" w:lastColumn="0" w:noHBand="0" w:noVBand="1"/>
      </w:tblPr>
      <w:tblGrid>
        <w:gridCol w:w="742"/>
        <w:gridCol w:w="2763"/>
        <w:gridCol w:w="720"/>
        <w:gridCol w:w="1700"/>
      </w:tblGrid>
      <w:tr w:rsidR="00E32E26" w:rsidRPr="00BC7A12" w14:paraId="4531352D" w14:textId="77777777" w:rsidTr="00EF3E19">
        <w:trPr>
          <w:trHeight w:val="290"/>
        </w:trPr>
        <w:tc>
          <w:tcPr>
            <w:tcW w:w="742" w:type="dxa"/>
            <w:tcBorders>
              <w:top w:val="single" w:sz="4" w:space="0" w:color="auto"/>
              <w:left w:val="single" w:sz="4" w:space="0" w:color="auto"/>
              <w:bottom w:val="single" w:sz="4" w:space="0" w:color="auto"/>
              <w:right w:val="single" w:sz="4" w:space="0" w:color="auto"/>
            </w:tcBorders>
            <w:shd w:val="clear" w:color="auto" w:fill="848484" w:themeFill="text1" w:themeFillTint="99"/>
            <w:noWrap/>
            <w:vAlign w:val="bottom"/>
            <w:hideMark/>
          </w:tcPr>
          <w:p w14:paraId="2A07DF73" w14:textId="1FAF4A32" w:rsidR="00E32E26" w:rsidRPr="00BC7A12" w:rsidRDefault="00E32E26" w:rsidP="00E32E26">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Ramsar number</w:t>
            </w:r>
          </w:p>
        </w:tc>
        <w:tc>
          <w:tcPr>
            <w:tcW w:w="2763" w:type="dxa"/>
            <w:tcBorders>
              <w:top w:val="single" w:sz="4" w:space="0" w:color="auto"/>
              <w:left w:val="nil"/>
              <w:bottom w:val="single" w:sz="4" w:space="0" w:color="auto"/>
              <w:right w:val="single" w:sz="4" w:space="0" w:color="auto"/>
            </w:tcBorders>
            <w:shd w:val="clear" w:color="auto" w:fill="848484" w:themeFill="text1" w:themeFillTint="99"/>
            <w:noWrap/>
            <w:vAlign w:val="bottom"/>
            <w:hideMark/>
          </w:tcPr>
          <w:p w14:paraId="0B13FA80" w14:textId="77777777" w:rsidR="00E32E26" w:rsidRPr="00BC7A12" w:rsidRDefault="00E32E26" w:rsidP="00E32E26">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Name</w:t>
            </w:r>
          </w:p>
        </w:tc>
        <w:tc>
          <w:tcPr>
            <w:tcW w:w="720" w:type="dxa"/>
            <w:tcBorders>
              <w:top w:val="single" w:sz="4" w:space="0" w:color="auto"/>
              <w:left w:val="nil"/>
              <w:bottom w:val="single" w:sz="4" w:space="0" w:color="auto"/>
              <w:right w:val="single" w:sz="4" w:space="0" w:color="auto"/>
            </w:tcBorders>
            <w:shd w:val="clear" w:color="auto" w:fill="848484" w:themeFill="text1" w:themeFillTint="99"/>
            <w:noWrap/>
            <w:vAlign w:val="bottom"/>
            <w:hideMark/>
          </w:tcPr>
          <w:p w14:paraId="187DAB10" w14:textId="77777777" w:rsidR="00E32E26" w:rsidRPr="00BC7A12" w:rsidRDefault="00E32E26" w:rsidP="00E32E26">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State</w:t>
            </w:r>
          </w:p>
        </w:tc>
        <w:tc>
          <w:tcPr>
            <w:tcW w:w="1700" w:type="dxa"/>
            <w:tcBorders>
              <w:top w:val="single" w:sz="4" w:space="0" w:color="auto"/>
              <w:left w:val="nil"/>
              <w:bottom w:val="single" w:sz="4" w:space="0" w:color="auto"/>
              <w:right w:val="single" w:sz="4" w:space="0" w:color="auto"/>
            </w:tcBorders>
            <w:shd w:val="clear" w:color="auto" w:fill="848484" w:themeFill="text1" w:themeFillTint="99"/>
            <w:noWrap/>
            <w:vAlign w:val="bottom"/>
            <w:hideMark/>
          </w:tcPr>
          <w:p w14:paraId="28183EE2" w14:textId="77777777" w:rsidR="00E32E26" w:rsidRPr="00BC7A12" w:rsidRDefault="00E32E26" w:rsidP="00E32E26">
            <w:pPr>
              <w:spacing w:after="0" w:line="240" w:lineRule="auto"/>
              <w:jc w:val="left"/>
              <w:rPr>
                <w:rFonts w:eastAsia="Times New Roman" w:cs="Calibri"/>
                <w:b/>
                <w:bCs/>
                <w:color w:val="000000"/>
                <w:sz w:val="16"/>
                <w:szCs w:val="16"/>
                <w:lang w:eastAsia="en-AU"/>
              </w:rPr>
            </w:pPr>
            <w:r w:rsidRPr="00BC7A12">
              <w:rPr>
                <w:rFonts w:eastAsia="Times New Roman" w:cs="Calibri"/>
                <w:b/>
                <w:bCs/>
                <w:color w:val="000000"/>
                <w:sz w:val="16"/>
                <w:szCs w:val="16"/>
                <w:lang w:eastAsia="en-AU"/>
              </w:rPr>
              <w:t xml:space="preserve">Study </w:t>
            </w:r>
          </w:p>
        </w:tc>
      </w:tr>
      <w:tr w:rsidR="00E32E26" w:rsidRPr="00BC7A12" w14:paraId="4980B511"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0BD1C75B"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1</w:t>
            </w:r>
          </w:p>
        </w:tc>
        <w:tc>
          <w:tcPr>
            <w:tcW w:w="2763" w:type="dxa"/>
            <w:tcBorders>
              <w:top w:val="nil"/>
              <w:left w:val="nil"/>
              <w:bottom w:val="single" w:sz="4" w:space="0" w:color="auto"/>
              <w:right w:val="single" w:sz="4" w:space="0" w:color="auto"/>
            </w:tcBorders>
            <w:shd w:val="clear" w:color="auto" w:fill="auto"/>
            <w:noWrap/>
            <w:vAlign w:val="center"/>
            <w:hideMark/>
          </w:tcPr>
          <w:p w14:paraId="09D9B6E4"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Cobourg Peninsula</w:t>
            </w:r>
          </w:p>
        </w:tc>
        <w:tc>
          <w:tcPr>
            <w:tcW w:w="720" w:type="dxa"/>
            <w:tcBorders>
              <w:top w:val="nil"/>
              <w:left w:val="nil"/>
              <w:bottom w:val="single" w:sz="4" w:space="0" w:color="auto"/>
              <w:right w:val="single" w:sz="4" w:space="0" w:color="auto"/>
            </w:tcBorders>
            <w:shd w:val="clear" w:color="000000" w:fill="FFFFFF"/>
            <w:vAlign w:val="center"/>
            <w:hideMark/>
          </w:tcPr>
          <w:p w14:paraId="004A1196"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NT</w:t>
            </w:r>
          </w:p>
        </w:tc>
        <w:tc>
          <w:tcPr>
            <w:tcW w:w="1700" w:type="dxa"/>
            <w:tcBorders>
              <w:top w:val="nil"/>
              <w:left w:val="nil"/>
              <w:bottom w:val="single" w:sz="4" w:space="0" w:color="auto"/>
              <w:right w:val="single" w:sz="4" w:space="0" w:color="auto"/>
            </w:tcBorders>
            <w:shd w:val="clear" w:color="auto" w:fill="auto"/>
            <w:noWrap/>
            <w:vAlign w:val="center"/>
            <w:hideMark/>
          </w:tcPr>
          <w:p w14:paraId="34916948"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17E90E8F"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69AF2118"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2</w:t>
            </w:r>
          </w:p>
        </w:tc>
        <w:tc>
          <w:tcPr>
            <w:tcW w:w="2763" w:type="dxa"/>
            <w:tcBorders>
              <w:top w:val="nil"/>
              <w:left w:val="nil"/>
              <w:bottom w:val="single" w:sz="4" w:space="0" w:color="auto"/>
              <w:right w:val="single" w:sz="4" w:space="0" w:color="auto"/>
            </w:tcBorders>
            <w:shd w:val="clear" w:color="auto" w:fill="auto"/>
            <w:noWrap/>
            <w:vAlign w:val="center"/>
            <w:hideMark/>
          </w:tcPr>
          <w:p w14:paraId="7E958057"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Kakadu National Park</w:t>
            </w:r>
          </w:p>
        </w:tc>
        <w:tc>
          <w:tcPr>
            <w:tcW w:w="720" w:type="dxa"/>
            <w:tcBorders>
              <w:top w:val="nil"/>
              <w:left w:val="nil"/>
              <w:bottom w:val="single" w:sz="4" w:space="0" w:color="auto"/>
              <w:right w:val="single" w:sz="4" w:space="0" w:color="auto"/>
            </w:tcBorders>
            <w:shd w:val="clear" w:color="000000" w:fill="FFFFFF"/>
            <w:vAlign w:val="center"/>
            <w:hideMark/>
          </w:tcPr>
          <w:p w14:paraId="486975A7"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NT</w:t>
            </w:r>
          </w:p>
        </w:tc>
        <w:tc>
          <w:tcPr>
            <w:tcW w:w="1700" w:type="dxa"/>
            <w:tcBorders>
              <w:top w:val="nil"/>
              <w:left w:val="nil"/>
              <w:bottom w:val="single" w:sz="4" w:space="0" w:color="auto"/>
              <w:right w:val="single" w:sz="4" w:space="0" w:color="auto"/>
            </w:tcBorders>
            <w:shd w:val="clear" w:color="auto" w:fill="auto"/>
            <w:noWrap/>
            <w:vAlign w:val="center"/>
            <w:hideMark/>
          </w:tcPr>
          <w:p w14:paraId="10D35ED0"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01502862" w14:textId="77777777" w:rsidTr="0087124D">
        <w:trPr>
          <w:trHeight w:val="29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2E031E1"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13</w:t>
            </w:r>
          </w:p>
        </w:tc>
        <w:tc>
          <w:tcPr>
            <w:tcW w:w="2763" w:type="dxa"/>
            <w:tcBorders>
              <w:top w:val="nil"/>
              <w:left w:val="nil"/>
              <w:bottom w:val="single" w:sz="4" w:space="0" w:color="auto"/>
              <w:right w:val="single" w:sz="4" w:space="0" w:color="auto"/>
            </w:tcBorders>
            <w:shd w:val="clear" w:color="auto" w:fill="auto"/>
            <w:noWrap/>
            <w:vAlign w:val="center"/>
            <w:hideMark/>
          </w:tcPr>
          <w:p w14:paraId="4DE66BD7"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Corner Inlet</w:t>
            </w:r>
          </w:p>
        </w:tc>
        <w:tc>
          <w:tcPr>
            <w:tcW w:w="720" w:type="dxa"/>
            <w:tcBorders>
              <w:top w:val="nil"/>
              <w:left w:val="nil"/>
              <w:bottom w:val="single" w:sz="4" w:space="0" w:color="auto"/>
              <w:right w:val="single" w:sz="4" w:space="0" w:color="auto"/>
            </w:tcBorders>
            <w:shd w:val="clear" w:color="auto" w:fill="auto"/>
            <w:vAlign w:val="center"/>
            <w:hideMark/>
          </w:tcPr>
          <w:p w14:paraId="1BC3EE8D"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VIC</w:t>
            </w:r>
          </w:p>
        </w:tc>
        <w:tc>
          <w:tcPr>
            <w:tcW w:w="1700" w:type="dxa"/>
            <w:tcBorders>
              <w:top w:val="nil"/>
              <w:left w:val="nil"/>
              <w:bottom w:val="single" w:sz="4" w:space="0" w:color="auto"/>
              <w:right w:val="single" w:sz="4" w:space="0" w:color="auto"/>
            </w:tcBorders>
            <w:shd w:val="clear" w:color="auto" w:fill="auto"/>
            <w:noWrap/>
            <w:vAlign w:val="center"/>
            <w:hideMark/>
          </w:tcPr>
          <w:p w14:paraId="46A349B9"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r>
      <w:tr w:rsidR="00E32E26" w:rsidRPr="00BC7A12" w14:paraId="360A1EC6" w14:textId="77777777" w:rsidTr="0087124D">
        <w:trPr>
          <w:trHeight w:val="29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B29F9D6"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18</w:t>
            </w:r>
          </w:p>
        </w:tc>
        <w:tc>
          <w:tcPr>
            <w:tcW w:w="2763" w:type="dxa"/>
            <w:tcBorders>
              <w:top w:val="nil"/>
              <w:left w:val="nil"/>
              <w:bottom w:val="single" w:sz="4" w:space="0" w:color="auto"/>
              <w:right w:val="single" w:sz="4" w:space="0" w:color="auto"/>
            </w:tcBorders>
            <w:shd w:val="clear" w:color="auto" w:fill="auto"/>
            <w:noWrap/>
            <w:vAlign w:val="center"/>
            <w:hideMark/>
          </w:tcPr>
          <w:p w14:paraId="14627677"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Port Phillip Bay &amp; Bellarine Peninsula</w:t>
            </w:r>
          </w:p>
        </w:tc>
        <w:tc>
          <w:tcPr>
            <w:tcW w:w="720" w:type="dxa"/>
            <w:tcBorders>
              <w:top w:val="nil"/>
              <w:left w:val="nil"/>
              <w:bottom w:val="single" w:sz="4" w:space="0" w:color="auto"/>
              <w:right w:val="single" w:sz="4" w:space="0" w:color="auto"/>
            </w:tcBorders>
            <w:shd w:val="clear" w:color="auto" w:fill="auto"/>
            <w:vAlign w:val="center"/>
            <w:hideMark/>
          </w:tcPr>
          <w:p w14:paraId="20676BA7"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VIC</w:t>
            </w:r>
          </w:p>
        </w:tc>
        <w:tc>
          <w:tcPr>
            <w:tcW w:w="1700" w:type="dxa"/>
            <w:tcBorders>
              <w:top w:val="nil"/>
              <w:left w:val="nil"/>
              <w:bottom w:val="single" w:sz="4" w:space="0" w:color="auto"/>
              <w:right w:val="single" w:sz="4" w:space="0" w:color="auto"/>
            </w:tcBorders>
            <w:shd w:val="clear" w:color="auto" w:fill="auto"/>
            <w:noWrap/>
            <w:vAlign w:val="center"/>
            <w:hideMark/>
          </w:tcPr>
          <w:p w14:paraId="3A99B6E4"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r>
      <w:tr w:rsidR="00E32E26" w:rsidRPr="00BC7A12" w14:paraId="1CA80A2E" w14:textId="77777777" w:rsidTr="0087124D">
        <w:trPr>
          <w:trHeight w:val="29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D4B5285"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19</w:t>
            </w:r>
          </w:p>
        </w:tc>
        <w:tc>
          <w:tcPr>
            <w:tcW w:w="2763" w:type="dxa"/>
            <w:tcBorders>
              <w:top w:val="nil"/>
              <w:left w:val="nil"/>
              <w:bottom w:val="single" w:sz="4" w:space="0" w:color="auto"/>
              <w:right w:val="single" w:sz="4" w:space="0" w:color="auto"/>
            </w:tcBorders>
            <w:shd w:val="clear" w:color="auto" w:fill="auto"/>
            <w:noWrap/>
            <w:vAlign w:val="center"/>
            <w:hideMark/>
          </w:tcPr>
          <w:p w14:paraId="0DA981D3"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Western Port</w:t>
            </w:r>
          </w:p>
        </w:tc>
        <w:tc>
          <w:tcPr>
            <w:tcW w:w="720" w:type="dxa"/>
            <w:tcBorders>
              <w:top w:val="nil"/>
              <w:left w:val="nil"/>
              <w:bottom w:val="single" w:sz="4" w:space="0" w:color="auto"/>
              <w:right w:val="single" w:sz="4" w:space="0" w:color="auto"/>
            </w:tcBorders>
            <w:shd w:val="clear" w:color="auto" w:fill="auto"/>
            <w:vAlign w:val="center"/>
            <w:hideMark/>
          </w:tcPr>
          <w:p w14:paraId="3AE63666"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VIC</w:t>
            </w:r>
          </w:p>
        </w:tc>
        <w:tc>
          <w:tcPr>
            <w:tcW w:w="1700" w:type="dxa"/>
            <w:tcBorders>
              <w:top w:val="nil"/>
              <w:left w:val="nil"/>
              <w:bottom w:val="single" w:sz="4" w:space="0" w:color="auto"/>
              <w:right w:val="single" w:sz="4" w:space="0" w:color="auto"/>
            </w:tcBorders>
            <w:shd w:val="clear" w:color="auto" w:fill="auto"/>
            <w:noWrap/>
            <w:vAlign w:val="center"/>
            <w:hideMark/>
          </w:tcPr>
          <w:p w14:paraId="2CC1AA1E"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r>
      <w:tr w:rsidR="00E32E26" w:rsidRPr="00BC7A12" w14:paraId="01CDBFA8" w14:textId="77777777" w:rsidTr="0087124D">
        <w:trPr>
          <w:trHeight w:val="29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59B52E9"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21</w:t>
            </w:r>
          </w:p>
        </w:tc>
        <w:tc>
          <w:tcPr>
            <w:tcW w:w="2763" w:type="dxa"/>
            <w:tcBorders>
              <w:top w:val="nil"/>
              <w:left w:val="nil"/>
              <w:bottom w:val="single" w:sz="4" w:space="0" w:color="auto"/>
              <w:right w:val="single" w:sz="4" w:space="0" w:color="auto"/>
            </w:tcBorders>
            <w:shd w:val="clear" w:color="auto" w:fill="auto"/>
            <w:noWrap/>
            <w:vAlign w:val="center"/>
            <w:hideMark/>
          </w:tcPr>
          <w:p w14:paraId="62C8AA6E"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Gippsland Lakes</w:t>
            </w:r>
          </w:p>
        </w:tc>
        <w:tc>
          <w:tcPr>
            <w:tcW w:w="720" w:type="dxa"/>
            <w:tcBorders>
              <w:top w:val="nil"/>
              <w:left w:val="nil"/>
              <w:bottom w:val="single" w:sz="4" w:space="0" w:color="auto"/>
              <w:right w:val="single" w:sz="4" w:space="0" w:color="auto"/>
            </w:tcBorders>
            <w:shd w:val="clear" w:color="auto" w:fill="auto"/>
            <w:vAlign w:val="center"/>
            <w:hideMark/>
          </w:tcPr>
          <w:p w14:paraId="473F2C7B"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VIC</w:t>
            </w:r>
          </w:p>
        </w:tc>
        <w:tc>
          <w:tcPr>
            <w:tcW w:w="1700" w:type="dxa"/>
            <w:tcBorders>
              <w:top w:val="nil"/>
              <w:left w:val="nil"/>
              <w:bottom w:val="single" w:sz="4" w:space="0" w:color="auto"/>
              <w:right w:val="single" w:sz="4" w:space="0" w:color="auto"/>
            </w:tcBorders>
            <w:shd w:val="clear" w:color="auto" w:fill="auto"/>
            <w:noWrap/>
            <w:vAlign w:val="center"/>
            <w:hideMark/>
          </w:tcPr>
          <w:p w14:paraId="5D9A4173"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r>
      <w:tr w:rsidR="00E32E26" w:rsidRPr="00BC7A12" w14:paraId="114FAF62"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4D3E5291"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23</w:t>
            </w:r>
          </w:p>
        </w:tc>
        <w:tc>
          <w:tcPr>
            <w:tcW w:w="2763" w:type="dxa"/>
            <w:tcBorders>
              <w:top w:val="nil"/>
              <w:left w:val="nil"/>
              <w:bottom w:val="single" w:sz="4" w:space="0" w:color="auto"/>
              <w:right w:val="single" w:sz="4" w:space="0" w:color="auto"/>
            </w:tcBorders>
            <w:shd w:val="clear" w:color="auto" w:fill="auto"/>
            <w:noWrap/>
            <w:vAlign w:val="center"/>
            <w:hideMark/>
          </w:tcPr>
          <w:p w14:paraId="6AF269E7" w14:textId="77777777" w:rsidR="00E32E26" w:rsidRPr="00BC7A12" w:rsidRDefault="00E32E26" w:rsidP="00E32E26">
            <w:pPr>
              <w:spacing w:after="0" w:line="240" w:lineRule="auto"/>
              <w:jc w:val="left"/>
              <w:rPr>
                <w:rFonts w:eastAsia="Times New Roman" w:cs="Calibri"/>
                <w:color w:val="000000"/>
                <w:sz w:val="16"/>
                <w:szCs w:val="16"/>
                <w:lang w:eastAsia="en-AU"/>
              </w:rPr>
            </w:pPr>
            <w:proofErr w:type="spellStart"/>
            <w:r w:rsidRPr="00BC7A12">
              <w:rPr>
                <w:rFonts w:eastAsia="Times New Roman" w:cs="Calibri"/>
                <w:color w:val="000000"/>
                <w:sz w:val="16"/>
                <w:szCs w:val="16"/>
                <w:lang w:eastAsia="en-AU"/>
              </w:rPr>
              <w:t>Towra</w:t>
            </w:r>
            <w:proofErr w:type="spellEnd"/>
            <w:r w:rsidRPr="00BC7A12">
              <w:rPr>
                <w:rFonts w:eastAsia="Times New Roman" w:cs="Calibri"/>
                <w:color w:val="000000"/>
                <w:sz w:val="16"/>
                <w:szCs w:val="16"/>
                <w:lang w:eastAsia="en-AU"/>
              </w:rPr>
              <w:t xml:space="preserve"> Point Nature Reserve</w:t>
            </w:r>
          </w:p>
        </w:tc>
        <w:tc>
          <w:tcPr>
            <w:tcW w:w="720" w:type="dxa"/>
            <w:tcBorders>
              <w:top w:val="nil"/>
              <w:left w:val="nil"/>
              <w:bottom w:val="single" w:sz="4" w:space="0" w:color="auto"/>
              <w:right w:val="single" w:sz="4" w:space="0" w:color="auto"/>
            </w:tcBorders>
            <w:shd w:val="clear" w:color="000000" w:fill="FFFFFF"/>
            <w:vAlign w:val="center"/>
            <w:hideMark/>
          </w:tcPr>
          <w:p w14:paraId="70D5C2F8"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NSW</w:t>
            </w:r>
          </w:p>
        </w:tc>
        <w:tc>
          <w:tcPr>
            <w:tcW w:w="1700" w:type="dxa"/>
            <w:tcBorders>
              <w:top w:val="nil"/>
              <w:left w:val="nil"/>
              <w:bottom w:val="single" w:sz="4" w:space="0" w:color="auto"/>
              <w:right w:val="single" w:sz="4" w:space="0" w:color="auto"/>
            </w:tcBorders>
            <w:shd w:val="clear" w:color="auto" w:fill="auto"/>
            <w:noWrap/>
            <w:vAlign w:val="center"/>
            <w:hideMark/>
          </w:tcPr>
          <w:p w14:paraId="53A58E44"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r>
      <w:tr w:rsidR="00E32E26" w:rsidRPr="00BC7A12" w14:paraId="468B76CD"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3907EC90"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24</w:t>
            </w:r>
          </w:p>
        </w:tc>
        <w:tc>
          <w:tcPr>
            <w:tcW w:w="2763" w:type="dxa"/>
            <w:tcBorders>
              <w:top w:val="nil"/>
              <w:left w:val="nil"/>
              <w:bottom w:val="single" w:sz="4" w:space="0" w:color="auto"/>
              <w:right w:val="single" w:sz="4" w:space="0" w:color="auto"/>
            </w:tcBorders>
            <w:shd w:val="clear" w:color="auto" w:fill="auto"/>
            <w:noWrap/>
            <w:vAlign w:val="center"/>
            <w:hideMark/>
          </w:tcPr>
          <w:p w14:paraId="000B1F5E"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Hunter Estuary Wetlands</w:t>
            </w:r>
          </w:p>
        </w:tc>
        <w:tc>
          <w:tcPr>
            <w:tcW w:w="720" w:type="dxa"/>
            <w:tcBorders>
              <w:top w:val="nil"/>
              <w:left w:val="nil"/>
              <w:bottom w:val="single" w:sz="4" w:space="0" w:color="auto"/>
              <w:right w:val="single" w:sz="4" w:space="0" w:color="auto"/>
            </w:tcBorders>
            <w:shd w:val="clear" w:color="000000" w:fill="FFFFFF"/>
            <w:vAlign w:val="center"/>
            <w:hideMark/>
          </w:tcPr>
          <w:p w14:paraId="45BEFE76"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NSW</w:t>
            </w:r>
          </w:p>
        </w:tc>
        <w:tc>
          <w:tcPr>
            <w:tcW w:w="1700" w:type="dxa"/>
            <w:tcBorders>
              <w:top w:val="nil"/>
              <w:left w:val="nil"/>
              <w:bottom w:val="single" w:sz="4" w:space="0" w:color="auto"/>
              <w:right w:val="single" w:sz="4" w:space="0" w:color="auto"/>
            </w:tcBorders>
            <w:shd w:val="clear" w:color="auto" w:fill="auto"/>
            <w:noWrap/>
            <w:vAlign w:val="center"/>
            <w:hideMark/>
          </w:tcPr>
          <w:p w14:paraId="4B34E03E"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r>
      <w:tr w:rsidR="00E32E26" w:rsidRPr="00BC7A12" w14:paraId="05A27D0A"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6F596CDD"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31</w:t>
            </w:r>
          </w:p>
        </w:tc>
        <w:tc>
          <w:tcPr>
            <w:tcW w:w="2763" w:type="dxa"/>
            <w:tcBorders>
              <w:top w:val="nil"/>
              <w:left w:val="nil"/>
              <w:bottom w:val="single" w:sz="4" w:space="0" w:color="auto"/>
              <w:right w:val="single" w:sz="4" w:space="0" w:color="auto"/>
            </w:tcBorders>
            <w:shd w:val="clear" w:color="auto" w:fill="auto"/>
            <w:noWrap/>
            <w:vAlign w:val="center"/>
            <w:hideMark/>
          </w:tcPr>
          <w:p w14:paraId="54B244AF"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Ord River Floodplain</w:t>
            </w:r>
          </w:p>
        </w:tc>
        <w:tc>
          <w:tcPr>
            <w:tcW w:w="720" w:type="dxa"/>
            <w:tcBorders>
              <w:top w:val="nil"/>
              <w:left w:val="nil"/>
              <w:bottom w:val="single" w:sz="4" w:space="0" w:color="auto"/>
              <w:right w:val="single" w:sz="4" w:space="0" w:color="auto"/>
            </w:tcBorders>
            <w:shd w:val="clear" w:color="000000" w:fill="FFFFFF"/>
            <w:vAlign w:val="center"/>
            <w:hideMark/>
          </w:tcPr>
          <w:p w14:paraId="5601C4B7"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WA</w:t>
            </w:r>
          </w:p>
        </w:tc>
        <w:tc>
          <w:tcPr>
            <w:tcW w:w="1700" w:type="dxa"/>
            <w:tcBorders>
              <w:top w:val="nil"/>
              <w:left w:val="nil"/>
              <w:bottom w:val="single" w:sz="4" w:space="0" w:color="auto"/>
              <w:right w:val="single" w:sz="4" w:space="0" w:color="auto"/>
            </w:tcBorders>
            <w:shd w:val="clear" w:color="auto" w:fill="auto"/>
            <w:noWrap/>
            <w:vAlign w:val="center"/>
            <w:hideMark/>
          </w:tcPr>
          <w:p w14:paraId="1CE483D6"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156AEDDF" w14:textId="77777777" w:rsidTr="0087124D">
        <w:trPr>
          <w:trHeight w:val="34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45A3A95F"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33</w:t>
            </w:r>
          </w:p>
        </w:tc>
        <w:tc>
          <w:tcPr>
            <w:tcW w:w="2763" w:type="dxa"/>
            <w:tcBorders>
              <w:top w:val="nil"/>
              <w:left w:val="nil"/>
              <w:bottom w:val="single" w:sz="4" w:space="0" w:color="auto"/>
              <w:right w:val="single" w:sz="4" w:space="0" w:color="auto"/>
            </w:tcBorders>
            <w:shd w:val="clear" w:color="auto" w:fill="auto"/>
            <w:noWrap/>
            <w:vAlign w:val="center"/>
            <w:hideMark/>
          </w:tcPr>
          <w:p w14:paraId="32A578F4"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Roebuck Bay</w:t>
            </w:r>
          </w:p>
        </w:tc>
        <w:tc>
          <w:tcPr>
            <w:tcW w:w="720" w:type="dxa"/>
            <w:tcBorders>
              <w:top w:val="nil"/>
              <w:left w:val="nil"/>
              <w:bottom w:val="single" w:sz="4" w:space="0" w:color="auto"/>
              <w:right w:val="single" w:sz="4" w:space="0" w:color="auto"/>
            </w:tcBorders>
            <w:shd w:val="clear" w:color="000000" w:fill="FFFFFF"/>
            <w:vAlign w:val="center"/>
            <w:hideMark/>
          </w:tcPr>
          <w:p w14:paraId="111E0182"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WA</w:t>
            </w:r>
          </w:p>
        </w:tc>
        <w:tc>
          <w:tcPr>
            <w:tcW w:w="1700" w:type="dxa"/>
            <w:tcBorders>
              <w:top w:val="nil"/>
              <w:left w:val="nil"/>
              <w:bottom w:val="single" w:sz="4" w:space="0" w:color="auto"/>
              <w:right w:val="single" w:sz="4" w:space="0" w:color="auto"/>
            </w:tcBorders>
            <w:shd w:val="clear" w:color="auto" w:fill="auto"/>
            <w:noWrap/>
            <w:vAlign w:val="center"/>
            <w:hideMark/>
          </w:tcPr>
          <w:p w14:paraId="472C9C09"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24E16E71"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42344D5E"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34</w:t>
            </w:r>
          </w:p>
        </w:tc>
        <w:tc>
          <w:tcPr>
            <w:tcW w:w="2763" w:type="dxa"/>
            <w:tcBorders>
              <w:top w:val="nil"/>
              <w:left w:val="nil"/>
              <w:bottom w:val="single" w:sz="4" w:space="0" w:color="auto"/>
              <w:right w:val="single" w:sz="4" w:space="0" w:color="auto"/>
            </w:tcBorders>
            <w:shd w:val="clear" w:color="auto" w:fill="auto"/>
            <w:noWrap/>
            <w:vAlign w:val="center"/>
            <w:hideMark/>
          </w:tcPr>
          <w:p w14:paraId="6B88E251"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Eighty-mile Beach</w:t>
            </w:r>
          </w:p>
        </w:tc>
        <w:tc>
          <w:tcPr>
            <w:tcW w:w="720" w:type="dxa"/>
            <w:tcBorders>
              <w:top w:val="nil"/>
              <w:left w:val="nil"/>
              <w:bottom w:val="single" w:sz="4" w:space="0" w:color="auto"/>
              <w:right w:val="single" w:sz="4" w:space="0" w:color="auto"/>
            </w:tcBorders>
            <w:shd w:val="clear" w:color="000000" w:fill="FFFFFF"/>
            <w:vAlign w:val="center"/>
            <w:hideMark/>
          </w:tcPr>
          <w:p w14:paraId="7D5F2F17"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WA</w:t>
            </w:r>
          </w:p>
        </w:tc>
        <w:tc>
          <w:tcPr>
            <w:tcW w:w="1700" w:type="dxa"/>
            <w:tcBorders>
              <w:top w:val="nil"/>
              <w:left w:val="nil"/>
              <w:bottom w:val="single" w:sz="4" w:space="0" w:color="auto"/>
              <w:right w:val="single" w:sz="4" w:space="0" w:color="auto"/>
            </w:tcBorders>
            <w:shd w:val="clear" w:color="auto" w:fill="auto"/>
            <w:noWrap/>
            <w:vAlign w:val="center"/>
            <w:hideMark/>
          </w:tcPr>
          <w:p w14:paraId="479E7453"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70254C7B" w14:textId="77777777" w:rsidTr="0087124D">
        <w:trPr>
          <w:trHeight w:val="29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756BA2B"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35</w:t>
            </w:r>
          </w:p>
        </w:tc>
        <w:tc>
          <w:tcPr>
            <w:tcW w:w="2763" w:type="dxa"/>
            <w:tcBorders>
              <w:top w:val="nil"/>
              <w:left w:val="nil"/>
              <w:bottom w:val="single" w:sz="4" w:space="0" w:color="auto"/>
              <w:right w:val="single" w:sz="4" w:space="0" w:color="auto"/>
            </w:tcBorders>
            <w:shd w:val="clear" w:color="auto" w:fill="auto"/>
            <w:noWrap/>
            <w:vAlign w:val="center"/>
            <w:hideMark/>
          </w:tcPr>
          <w:p w14:paraId="5530EAA6"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Forrestdale and </w:t>
            </w:r>
            <w:proofErr w:type="spellStart"/>
            <w:r w:rsidRPr="00BC7A12">
              <w:rPr>
                <w:rFonts w:eastAsia="Times New Roman" w:cs="Calibri"/>
                <w:color w:val="000000"/>
                <w:sz w:val="16"/>
                <w:szCs w:val="16"/>
                <w:lang w:eastAsia="en-AU"/>
              </w:rPr>
              <w:t>Thomsons</w:t>
            </w:r>
            <w:proofErr w:type="spellEnd"/>
            <w:r w:rsidRPr="00BC7A12">
              <w:rPr>
                <w:rFonts w:eastAsia="Times New Roman" w:cs="Calibri"/>
                <w:color w:val="000000"/>
                <w:sz w:val="16"/>
                <w:szCs w:val="16"/>
                <w:lang w:eastAsia="en-AU"/>
              </w:rPr>
              <w:t xml:space="preserve"> Lakes</w:t>
            </w:r>
          </w:p>
        </w:tc>
        <w:tc>
          <w:tcPr>
            <w:tcW w:w="720" w:type="dxa"/>
            <w:tcBorders>
              <w:top w:val="nil"/>
              <w:left w:val="nil"/>
              <w:bottom w:val="single" w:sz="4" w:space="0" w:color="auto"/>
              <w:right w:val="single" w:sz="4" w:space="0" w:color="auto"/>
            </w:tcBorders>
            <w:shd w:val="clear" w:color="000000" w:fill="FFFFFF"/>
            <w:vAlign w:val="center"/>
            <w:hideMark/>
          </w:tcPr>
          <w:p w14:paraId="50A6B2DA"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WA</w:t>
            </w:r>
          </w:p>
        </w:tc>
        <w:tc>
          <w:tcPr>
            <w:tcW w:w="1700" w:type="dxa"/>
            <w:tcBorders>
              <w:top w:val="nil"/>
              <w:left w:val="nil"/>
              <w:bottom w:val="single" w:sz="4" w:space="0" w:color="auto"/>
              <w:right w:val="single" w:sz="4" w:space="0" w:color="auto"/>
            </w:tcBorders>
            <w:shd w:val="clear" w:color="auto" w:fill="auto"/>
            <w:noWrap/>
            <w:vAlign w:val="center"/>
            <w:hideMark/>
          </w:tcPr>
          <w:p w14:paraId="26283927"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0F9544FB"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61F3F72E"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36</w:t>
            </w:r>
          </w:p>
        </w:tc>
        <w:tc>
          <w:tcPr>
            <w:tcW w:w="2763" w:type="dxa"/>
            <w:tcBorders>
              <w:top w:val="nil"/>
              <w:left w:val="nil"/>
              <w:bottom w:val="single" w:sz="4" w:space="0" w:color="auto"/>
              <w:right w:val="single" w:sz="4" w:space="0" w:color="auto"/>
            </w:tcBorders>
            <w:shd w:val="clear" w:color="auto" w:fill="auto"/>
            <w:noWrap/>
            <w:vAlign w:val="center"/>
            <w:hideMark/>
          </w:tcPr>
          <w:p w14:paraId="675E7A26"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Peel-</w:t>
            </w:r>
            <w:proofErr w:type="spellStart"/>
            <w:r w:rsidRPr="00BC7A12">
              <w:rPr>
                <w:rFonts w:eastAsia="Times New Roman" w:cs="Calibri"/>
                <w:color w:val="000000"/>
                <w:sz w:val="16"/>
                <w:szCs w:val="16"/>
                <w:lang w:eastAsia="en-AU"/>
              </w:rPr>
              <w:t>Yalgorup</w:t>
            </w:r>
            <w:proofErr w:type="spellEnd"/>
            <w:r w:rsidRPr="00BC7A12">
              <w:rPr>
                <w:rFonts w:eastAsia="Times New Roman" w:cs="Calibri"/>
                <w:color w:val="000000"/>
                <w:sz w:val="16"/>
                <w:szCs w:val="16"/>
                <w:lang w:eastAsia="en-AU"/>
              </w:rPr>
              <w:t xml:space="preserve"> System</w:t>
            </w:r>
          </w:p>
        </w:tc>
        <w:tc>
          <w:tcPr>
            <w:tcW w:w="720" w:type="dxa"/>
            <w:tcBorders>
              <w:top w:val="nil"/>
              <w:left w:val="nil"/>
              <w:bottom w:val="single" w:sz="4" w:space="0" w:color="auto"/>
              <w:right w:val="single" w:sz="4" w:space="0" w:color="auto"/>
            </w:tcBorders>
            <w:shd w:val="clear" w:color="000000" w:fill="FFFFFF"/>
            <w:vAlign w:val="center"/>
            <w:hideMark/>
          </w:tcPr>
          <w:p w14:paraId="2E80E6DC"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WA</w:t>
            </w:r>
          </w:p>
        </w:tc>
        <w:tc>
          <w:tcPr>
            <w:tcW w:w="1700" w:type="dxa"/>
            <w:tcBorders>
              <w:top w:val="nil"/>
              <w:left w:val="nil"/>
              <w:bottom w:val="single" w:sz="4" w:space="0" w:color="auto"/>
              <w:right w:val="single" w:sz="4" w:space="0" w:color="auto"/>
            </w:tcBorders>
            <w:shd w:val="clear" w:color="auto" w:fill="auto"/>
            <w:noWrap/>
            <w:vAlign w:val="center"/>
            <w:hideMark/>
          </w:tcPr>
          <w:p w14:paraId="222564B5"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1B7D3044"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6C8400C3"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38</w:t>
            </w:r>
          </w:p>
        </w:tc>
        <w:tc>
          <w:tcPr>
            <w:tcW w:w="2763" w:type="dxa"/>
            <w:tcBorders>
              <w:top w:val="nil"/>
              <w:left w:val="nil"/>
              <w:bottom w:val="single" w:sz="4" w:space="0" w:color="auto"/>
              <w:right w:val="single" w:sz="4" w:space="0" w:color="auto"/>
            </w:tcBorders>
            <w:shd w:val="clear" w:color="auto" w:fill="auto"/>
            <w:noWrap/>
            <w:vAlign w:val="center"/>
            <w:hideMark/>
          </w:tcPr>
          <w:p w14:paraId="1F1E1FCB"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Vasse-</w:t>
            </w:r>
            <w:proofErr w:type="spellStart"/>
            <w:r w:rsidRPr="00BC7A12">
              <w:rPr>
                <w:rFonts w:eastAsia="Times New Roman" w:cs="Calibri"/>
                <w:color w:val="000000"/>
                <w:sz w:val="16"/>
                <w:szCs w:val="16"/>
                <w:lang w:eastAsia="en-AU"/>
              </w:rPr>
              <w:t>Wonnerup</w:t>
            </w:r>
            <w:proofErr w:type="spellEnd"/>
            <w:r w:rsidRPr="00BC7A12">
              <w:rPr>
                <w:rFonts w:eastAsia="Times New Roman" w:cs="Calibri"/>
                <w:color w:val="000000"/>
                <w:sz w:val="16"/>
                <w:szCs w:val="16"/>
                <w:lang w:eastAsia="en-AU"/>
              </w:rPr>
              <w:t xml:space="preserve"> System</w:t>
            </w:r>
          </w:p>
        </w:tc>
        <w:tc>
          <w:tcPr>
            <w:tcW w:w="720" w:type="dxa"/>
            <w:tcBorders>
              <w:top w:val="nil"/>
              <w:left w:val="nil"/>
              <w:bottom w:val="single" w:sz="4" w:space="0" w:color="auto"/>
              <w:right w:val="single" w:sz="4" w:space="0" w:color="auto"/>
            </w:tcBorders>
            <w:shd w:val="clear" w:color="000000" w:fill="FFFFFF"/>
            <w:vAlign w:val="center"/>
            <w:hideMark/>
          </w:tcPr>
          <w:p w14:paraId="61B67866"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WA</w:t>
            </w:r>
          </w:p>
        </w:tc>
        <w:tc>
          <w:tcPr>
            <w:tcW w:w="1700" w:type="dxa"/>
            <w:tcBorders>
              <w:top w:val="nil"/>
              <w:left w:val="nil"/>
              <w:bottom w:val="single" w:sz="4" w:space="0" w:color="auto"/>
              <w:right w:val="single" w:sz="4" w:space="0" w:color="auto"/>
            </w:tcBorders>
            <w:shd w:val="clear" w:color="auto" w:fill="auto"/>
            <w:noWrap/>
            <w:vAlign w:val="center"/>
            <w:hideMark/>
          </w:tcPr>
          <w:p w14:paraId="3035D01A"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2DD5C452"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2CB16ABC"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39</w:t>
            </w:r>
          </w:p>
        </w:tc>
        <w:tc>
          <w:tcPr>
            <w:tcW w:w="2763" w:type="dxa"/>
            <w:tcBorders>
              <w:top w:val="nil"/>
              <w:left w:val="nil"/>
              <w:bottom w:val="single" w:sz="4" w:space="0" w:color="auto"/>
              <w:right w:val="single" w:sz="4" w:space="0" w:color="auto"/>
            </w:tcBorders>
            <w:shd w:val="clear" w:color="auto" w:fill="auto"/>
            <w:noWrap/>
            <w:vAlign w:val="center"/>
            <w:hideMark/>
          </w:tcPr>
          <w:p w14:paraId="2D587375"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Lake Warden System</w:t>
            </w:r>
          </w:p>
        </w:tc>
        <w:tc>
          <w:tcPr>
            <w:tcW w:w="720" w:type="dxa"/>
            <w:tcBorders>
              <w:top w:val="nil"/>
              <w:left w:val="nil"/>
              <w:bottom w:val="single" w:sz="4" w:space="0" w:color="auto"/>
              <w:right w:val="single" w:sz="4" w:space="0" w:color="auto"/>
            </w:tcBorders>
            <w:shd w:val="clear" w:color="000000" w:fill="FFFFFF"/>
            <w:vAlign w:val="center"/>
            <w:hideMark/>
          </w:tcPr>
          <w:p w14:paraId="35521C15"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WA</w:t>
            </w:r>
          </w:p>
        </w:tc>
        <w:tc>
          <w:tcPr>
            <w:tcW w:w="1700" w:type="dxa"/>
            <w:tcBorders>
              <w:top w:val="nil"/>
              <w:left w:val="nil"/>
              <w:bottom w:val="single" w:sz="4" w:space="0" w:color="auto"/>
              <w:right w:val="single" w:sz="4" w:space="0" w:color="auto"/>
            </w:tcBorders>
            <w:shd w:val="clear" w:color="auto" w:fill="auto"/>
            <w:noWrap/>
            <w:vAlign w:val="center"/>
            <w:hideMark/>
          </w:tcPr>
          <w:p w14:paraId="2A0C1D88"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4F25FE2A"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7CD9566D"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41</w:t>
            </w:r>
          </w:p>
        </w:tc>
        <w:tc>
          <w:tcPr>
            <w:tcW w:w="2763" w:type="dxa"/>
            <w:tcBorders>
              <w:top w:val="nil"/>
              <w:left w:val="nil"/>
              <w:bottom w:val="single" w:sz="4" w:space="0" w:color="auto"/>
              <w:right w:val="single" w:sz="4" w:space="0" w:color="auto"/>
            </w:tcBorders>
            <w:shd w:val="clear" w:color="auto" w:fill="auto"/>
            <w:noWrap/>
            <w:vAlign w:val="center"/>
            <w:hideMark/>
          </w:tcPr>
          <w:p w14:paraId="38D58F3B"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Moreton Bay</w:t>
            </w:r>
          </w:p>
        </w:tc>
        <w:tc>
          <w:tcPr>
            <w:tcW w:w="720" w:type="dxa"/>
            <w:tcBorders>
              <w:top w:val="nil"/>
              <w:left w:val="nil"/>
              <w:bottom w:val="single" w:sz="4" w:space="0" w:color="auto"/>
              <w:right w:val="single" w:sz="4" w:space="0" w:color="auto"/>
            </w:tcBorders>
            <w:shd w:val="clear" w:color="000000" w:fill="FFFFFF"/>
            <w:vAlign w:val="center"/>
            <w:hideMark/>
          </w:tcPr>
          <w:p w14:paraId="73E4992E"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QLD</w:t>
            </w:r>
          </w:p>
        </w:tc>
        <w:tc>
          <w:tcPr>
            <w:tcW w:w="1700" w:type="dxa"/>
            <w:tcBorders>
              <w:top w:val="nil"/>
              <w:left w:val="nil"/>
              <w:bottom w:val="single" w:sz="4" w:space="0" w:color="auto"/>
              <w:right w:val="single" w:sz="4" w:space="0" w:color="auto"/>
            </w:tcBorders>
            <w:shd w:val="clear" w:color="auto" w:fill="auto"/>
            <w:noWrap/>
            <w:vAlign w:val="center"/>
            <w:hideMark/>
          </w:tcPr>
          <w:p w14:paraId="23D5763E"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5D69181A"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7F9482B2"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42</w:t>
            </w:r>
          </w:p>
        </w:tc>
        <w:tc>
          <w:tcPr>
            <w:tcW w:w="2763" w:type="dxa"/>
            <w:tcBorders>
              <w:top w:val="nil"/>
              <w:left w:val="nil"/>
              <w:bottom w:val="single" w:sz="4" w:space="0" w:color="auto"/>
              <w:right w:val="single" w:sz="4" w:space="0" w:color="auto"/>
            </w:tcBorders>
            <w:shd w:val="clear" w:color="auto" w:fill="auto"/>
            <w:noWrap/>
            <w:vAlign w:val="center"/>
            <w:hideMark/>
          </w:tcPr>
          <w:p w14:paraId="7F66E703"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Bowling Green Bay</w:t>
            </w:r>
          </w:p>
        </w:tc>
        <w:tc>
          <w:tcPr>
            <w:tcW w:w="720" w:type="dxa"/>
            <w:tcBorders>
              <w:top w:val="nil"/>
              <w:left w:val="nil"/>
              <w:bottom w:val="single" w:sz="4" w:space="0" w:color="auto"/>
              <w:right w:val="single" w:sz="4" w:space="0" w:color="auto"/>
            </w:tcBorders>
            <w:shd w:val="clear" w:color="000000" w:fill="FFFFFF"/>
            <w:vAlign w:val="center"/>
            <w:hideMark/>
          </w:tcPr>
          <w:p w14:paraId="29B96423"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QLD</w:t>
            </w:r>
          </w:p>
        </w:tc>
        <w:tc>
          <w:tcPr>
            <w:tcW w:w="1700" w:type="dxa"/>
            <w:tcBorders>
              <w:top w:val="nil"/>
              <w:left w:val="nil"/>
              <w:bottom w:val="single" w:sz="4" w:space="0" w:color="auto"/>
              <w:right w:val="single" w:sz="4" w:space="0" w:color="auto"/>
            </w:tcBorders>
            <w:shd w:val="clear" w:color="auto" w:fill="auto"/>
            <w:noWrap/>
            <w:vAlign w:val="center"/>
            <w:hideMark/>
          </w:tcPr>
          <w:p w14:paraId="48436AE8"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7C997EB6"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23CE84C6"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44</w:t>
            </w:r>
          </w:p>
        </w:tc>
        <w:tc>
          <w:tcPr>
            <w:tcW w:w="2763" w:type="dxa"/>
            <w:tcBorders>
              <w:top w:val="nil"/>
              <w:left w:val="nil"/>
              <w:bottom w:val="single" w:sz="4" w:space="0" w:color="auto"/>
              <w:right w:val="single" w:sz="4" w:space="0" w:color="auto"/>
            </w:tcBorders>
            <w:shd w:val="clear" w:color="auto" w:fill="auto"/>
            <w:noWrap/>
            <w:vAlign w:val="center"/>
            <w:hideMark/>
          </w:tcPr>
          <w:p w14:paraId="44C865EA"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Shoalwater and Corio Bays Area </w:t>
            </w:r>
          </w:p>
        </w:tc>
        <w:tc>
          <w:tcPr>
            <w:tcW w:w="720" w:type="dxa"/>
            <w:tcBorders>
              <w:top w:val="nil"/>
              <w:left w:val="nil"/>
              <w:bottom w:val="single" w:sz="4" w:space="0" w:color="auto"/>
              <w:right w:val="single" w:sz="4" w:space="0" w:color="auto"/>
            </w:tcBorders>
            <w:shd w:val="clear" w:color="000000" w:fill="FFFFFF"/>
            <w:vAlign w:val="center"/>
            <w:hideMark/>
          </w:tcPr>
          <w:p w14:paraId="56FA8E82"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QLD</w:t>
            </w:r>
          </w:p>
        </w:tc>
        <w:tc>
          <w:tcPr>
            <w:tcW w:w="1700" w:type="dxa"/>
            <w:tcBorders>
              <w:top w:val="nil"/>
              <w:left w:val="nil"/>
              <w:bottom w:val="single" w:sz="4" w:space="0" w:color="auto"/>
              <w:right w:val="single" w:sz="4" w:space="0" w:color="auto"/>
            </w:tcBorders>
            <w:shd w:val="clear" w:color="auto" w:fill="auto"/>
            <w:noWrap/>
            <w:vAlign w:val="center"/>
            <w:hideMark/>
          </w:tcPr>
          <w:p w14:paraId="6539FC86"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55C9514C"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279F0ABF"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51</w:t>
            </w:r>
          </w:p>
        </w:tc>
        <w:tc>
          <w:tcPr>
            <w:tcW w:w="2763" w:type="dxa"/>
            <w:tcBorders>
              <w:top w:val="nil"/>
              <w:left w:val="nil"/>
              <w:bottom w:val="single" w:sz="4" w:space="0" w:color="auto"/>
              <w:right w:val="single" w:sz="4" w:space="0" w:color="auto"/>
            </w:tcBorders>
            <w:shd w:val="clear" w:color="auto" w:fill="auto"/>
            <w:noWrap/>
            <w:vAlign w:val="center"/>
            <w:hideMark/>
          </w:tcPr>
          <w:p w14:paraId="1B6C1A54"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 xml:space="preserve">Great Sandy Strait </w:t>
            </w:r>
          </w:p>
        </w:tc>
        <w:tc>
          <w:tcPr>
            <w:tcW w:w="720" w:type="dxa"/>
            <w:tcBorders>
              <w:top w:val="nil"/>
              <w:left w:val="nil"/>
              <w:bottom w:val="single" w:sz="4" w:space="0" w:color="auto"/>
              <w:right w:val="single" w:sz="4" w:space="0" w:color="auto"/>
            </w:tcBorders>
            <w:shd w:val="clear" w:color="000000" w:fill="FFFFFF"/>
            <w:vAlign w:val="center"/>
            <w:hideMark/>
          </w:tcPr>
          <w:p w14:paraId="1D3AD34C"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QLD</w:t>
            </w:r>
          </w:p>
        </w:tc>
        <w:tc>
          <w:tcPr>
            <w:tcW w:w="1700" w:type="dxa"/>
            <w:tcBorders>
              <w:top w:val="nil"/>
              <w:left w:val="nil"/>
              <w:bottom w:val="single" w:sz="4" w:space="0" w:color="auto"/>
              <w:right w:val="single" w:sz="4" w:space="0" w:color="auto"/>
            </w:tcBorders>
            <w:shd w:val="clear" w:color="auto" w:fill="auto"/>
            <w:noWrap/>
            <w:vAlign w:val="center"/>
            <w:hideMark/>
          </w:tcPr>
          <w:p w14:paraId="74C8C8B9"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3CD2EE33" w14:textId="77777777" w:rsidTr="0087124D">
        <w:trPr>
          <w:trHeight w:val="290"/>
        </w:trPr>
        <w:tc>
          <w:tcPr>
            <w:tcW w:w="742" w:type="dxa"/>
            <w:tcBorders>
              <w:top w:val="nil"/>
              <w:left w:val="single" w:sz="4" w:space="0" w:color="auto"/>
              <w:bottom w:val="single" w:sz="4" w:space="0" w:color="auto"/>
              <w:right w:val="single" w:sz="4" w:space="0" w:color="auto"/>
            </w:tcBorders>
            <w:shd w:val="clear" w:color="000000" w:fill="FFFFFF"/>
            <w:vAlign w:val="center"/>
            <w:hideMark/>
          </w:tcPr>
          <w:p w14:paraId="2740C6A0"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52</w:t>
            </w:r>
          </w:p>
        </w:tc>
        <w:tc>
          <w:tcPr>
            <w:tcW w:w="2763" w:type="dxa"/>
            <w:tcBorders>
              <w:top w:val="nil"/>
              <w:left w:val="nil"/>
              <w:bottom w:val="single" w:sz="4" w:space="0" w:color="auto"/>
              <w:right w:val="single" w:sz="4" w:space="0" w:color="auto"/>
            </w:tcBorders>
            <w:shd w:val="clear" w:color="auto" w:fill="auto"/>
            <w:noWrap/>
            <w:vAlign w:val="center"/>
            <w:hideMark/>
          </w:tcPr>
          <w:p w14:paraId="7B109ED2"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Myall Lakes</w:t>
            </w:r>
          </w:p>
        </w:tc>
        <w:tc>
          <w:tcPr>
            <w:tcW w:w="720" w:type="dxa"/>
            <w:tcBorders>
              <w:top w:val="nil"/>
              <w:left w:val="nil"/>
              <w:bottom w:val="single" w:sz="4" w:space="0" w:color="auto"/>
              <w:right w:val="single" w:sz="4" w:space="0" w:color="auto"/>
            </w:tcBorders>
            <w:shd w:val="clear" w:color="000000" w:fill="FFFFFF"/>
            <w:vAlign w:val="center"/>
            <w:hideMark/>
          </w:tcPr>
          <w:p w14:paraId="47A9CF0E"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NSW</w:t>
            </w:r>
          </w:p>
        </w:tc>
        <w:tc>
          <w:tcPr>
            <w:tcW w:w="1700" w:type="dxa"/>
            <w:tcBorders>
              <w:top w:val="nil"/>
              <w:left w:val="nil"/>
              <w:bottom w:val="single" w:sz="4" w:space="0" w:color="auto"/>
              <w:right w:val="single" w:sz="4" w:space="0" w:color="auto"/>
            </w:tcBorders>
            <w:shd w:val="clear" w:color="auto" w:fill="auto"/>
            <w:noWrap/>
            <w:vAlign w:val="center"/>
            <w:hideMark/>
          </w:tcPr>
          <w:p w14:paraId="58793429"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r>
      <w:tr w:rsidR="00E32E26" w:rsidRPr="00BC7A12" w14:paraId="2B720619" w14:textId="77777777" w:rsidTr="0087124D">
        <w:trPr>
          <w:trHeight w:val="29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308E430"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54</w:t>
            </w:r>
          </w:p>
        </w:tc>
        <w:tc>
          <w:tcPr>
            <w:tcW w:w="2763" w:type="dxa"/>
            <w:tcBorders>
              <w:top w:val="nil"/>
              <w:left w:val="nil"/>
              <w:bottom w:val="single" w:sz="4" w:space="0" w:color="auto"/>
              <w:right w:val="single" w:sz="4" w:space="0" w:color="auto"/>
            </w:tcBorders>
            <w:shd w:val="clear" w:color="auto" w:fill="auto"/>
            <w:noWrap/>
            <w:vAlign w:val="center"/>
            <w:hideMark/>
          </w:tcPr>
          <w:p w14:paraId="0726A7C2"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Becher Point Wetlands</w:t>
            </w:r>
          </w:p>
        </w:tc>
        <w:tc>
          <w:tcPr>
            <w:tcW w:w="720" w:type="dxa"/>
            <w:tcBorders>
              <w:top w:val="nil"/>
              <w:left w:val="nil"/>
              <w:bottom w:val="single" w:sz="4" w:space="0" w:color="auto"/>
              <w:right w:val="single" w:sz="4" w:space="0" w:color="auto"/>
            </w:tcBorders>
            <w:shd w:val="clear" w:color="000000" w:fill="FFFFFF"/>
            <w:vAlign w:val="center"/>
            <w:hideMark/>
          </w:tcPr>
          <w:p w14:paraId="70FE784C"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WA</w:t>
            </w:r>
          </w:p>
        </w:tc>
        <w:tc>
          <w:tcPr>
            <w:tcW w:w="1700" w:type="dxa"/>
            <w:tcBorders>
              <w:top w:val="nil"/>
              <w:left w:val="nil"/>
              <w:bottom w:val="single" w:sz="4" w:space="0" w:color="auto"/>
              <w:right w:val="single" w:sz="4" w:space="0" w:color="auto"/>
            </w:tcBorders>
            <w:shd w:val="clear" w:color="auto" w:fill="auto"/>
            <w:noWrap/>
            <w:vAlign w:val="center"/>
            <w:hideMark/>
          </w:tcPr>
          <w:p w14:paraId="6D59DCA1"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0C0B8879" w14:textId="77777777" w:rsidTr="0087124D">
        <w:trPr>
          <w:trHeight w:val="29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060BF6D"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55</w:t>
            </w:r>
          </w:p>
        </w:tc>
        <w:tc>
          <w:tcPr>
            <w:tcW w:w="2763" w:type="dxa"/>
            <w:tcBorders>
              <w:top w:val="nil"/>
              <w:left w:val="nil"/>
              <w:bottom w:val="single" w:sz="4" w:space="0" w:color="auto"/>
              <w:right w:val="single" w:sz="4" w:space="0" w:color="auto"/>
            </w:tcBorders>
            <w:shd w:val="clear" w:color="auto" w:fill="auto"/>
            <w:noWrap/>
            <w:vAlign w:val="center"/>
            <w:hideMark/>
          </w:tcPr>
          <w:p w14:paraId="2A9CAA57"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Lake Gore</w:t>
            </w:r>
          </w:p>
        </w:tc>
        <w:tc>
          <w:tcPr>
            <w:tcW w:w="720" w:type="dxa"/>
            <w:tcBorders>
              <w:top w:val="nil"/>
              <w:left w:val="nil"/>
              <w:bottom w:val="single" w:sz="4" w:space="0" w:color="auto"/>
              <w:right w:val="single" w:sz="4" w:space="0" w:color="auto"/>
            </w:tcBorders>
            <w:shd w:val="clear" w:color="000000" w:fill="FFFFFF"/>
            <w:vAlign w:val="center"/>
            <w:hideMark/>
          </w:tcPr>
          <w:p w14:paraId="573F9B1A"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WA</w:t>
            </w:r>
          </w:p>
        </w:tc>
        <w:tc>
          <w:tcPr>
            <w:tcW w:w="1700" w:type="dxa"/>
            <w:tcBorders>
              <w:top w:val="nil"/>
              <w:left w:val="nil"/>
              <w:bottom w:val="single" w:sz="4" w:space="0" w:color="auto"/>
              <w:right w:val="single" w:sz="4" w:space="0" w:color="auto"/>
            </w:tcBorders>
            <w:shd w:val="clear" w:color="auto" w:fill="auto"/>
            <w:noWrap/>
            <w:vAlign w:val="center"/>
            <w:hideMark/>
          </w:tcPr>
          <w:p w14:paraId="3E2E29EF"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Ouyang et al., 2018</w:t>
            </w:r>
          </w:p>
        </w:tc>
      </w:tr>
      <w:tr w:rsidR="00E32E26" w:rsidRPr="00BC7A12" w14:paraId="2AC3B65F" w14:textId="77777777" w:rsidTr="0087124D">
        <w:trPr>
          <w:trHeight w:val="29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17F4AD9"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57</w:t>
            </w:r>
          </w:p>
        </w:tc>
        <w:tc>
          <w:tcPr>
            <w:tcW w:w="2763" w:type="dxa"/>
            <w:tcBorders>
              <w:top w:val="nil"/>
              <w:left w:val="nil"/>
              <w:bottom w:val="single" w:sz="4" w:space="0" w:color="auto"/>
              <w:right w:val="single" w:sz="4" w:space="0" w:color="auto"/>
            </w:tcBorders>
            <w:shd w:val="clear" w:color="auto" w:fill="auto"/>
            <w:noWrap/>
            <w:vAlign w:val="center"/>
            <w:hideMark/>
          </w:tcPr>
          <w:p w14:paraId="7B6725D8"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Edithvale-Seaford Wetlands</w:t>
            </w:r>
          </w:p>
        </w:tc>
        <w:tc>
          <w:tcPr>
            <w:tcW w:w="720" w:type="dxa"/>
            <w:tcBorders>
              <w:top w:val="nil"/>
              <w:left w:val="nil"/>
              <w:bottom w:val="single" w:sz="4" w:space="0" w:color="auto"/>
              <w:right w:val="single" w:sz="4" w:space="0" w:color="auto"/>
            </w:tcBorders>
            <w:shd w:val="clear" w:color="auto" w:fill="auto"/>
            <w:vAlign w:val="center"/>
            <w:hideMark/>
          </w:tcPr>
          <w:p w14:paraId="3F23C675"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VIC</w:t>
            </w:r>
          </w:p>
        </w:tc>
        <w:tc>
          <w:tcPr>
            <w:tcW w:w="1700" w:type="dxa"/>
            <w:tcBorders>
              <w:top w:val="nil"/>
              <w:left w:val="nil"/>
              <w:bottom w:val="single" w:sz="4" w:space="0" w:color="auto"/>
              <w:right w:val="single" w:sz="4" w:space="0" w:color="auto"/>
            </w:tcBorders>
            <w:shd w:val="clear" w:color="auto" w:fill="auto"/>
            <w:noWrap/>
            <w:vAlign w:val="center"/>
            <w:hideMark/>
          </w:tcPr>
          <w:p w14:paraId="5A813B10"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r>
      <w:tr w:rsidR="00E32E26" w:rsidRPr="00BC7A12" w14:paraId="666E34F9" w14:textId="77777777" w:rsidTr="0087124D">
        <w:trPr>
          <w:trHeight w:val="29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1382105" w14:textId="77777777" w:rsidR="00E32E26" w:rsidRPr="00BC7A12" w:rsidRDefault="00E32E26" w:rsidP="00617DB7">
            <w:pPr>
              <w:spacing w:after="0" w:line="240" w:lineRule="auto"/>
              <w:jc w:val="right"/>
              <w:rPr>
                <w:rFonts w:eastAsia="Times New Roman" w:cs="Calibri"/>
                <w:color w:val="000000"/>
                <w:sz w:val="16"/>
                <w:szCs w:val="16"/>
                <w:lang w:eastAsia="en-AU"/>
              </w:rPr>
            </w:pPr>
            <w:r w:rsidRPr="00BC7A12">
              <w:rPr>
                <w:rFonts w:eastAsia="Times New Roman" w:cs="Calibri"/>
                <w:color w:val="000000"/>
                <w:sz w:val="16"/>
                <w:szCs w:val="16"/>
                <w:lang w:eastAsia="en-AU"/>
              </w:rPr>
              <w:t>67</w:t>
            </w:r>
          </w:p>
        </w:tc>
        <w:tc>
          <w:tcPr>
            <w:tcW w:w="2763" w:type="dxa"/>
            <w:tcBorders>
              <w:top w:val="nil"/>
              <w:left w:val="nil"/>
              <w:bottom w:val="single" w:sz="4" w:space="0" w:color="auto"/>
              <w:right w:val="single" w:sz="4" w:space="0" w:color="auto"/>
            </w:tcBorders>
            <w:shd w:val="clear" w:color="auto" w:fill="auto"/>
            <w:noWrap/>
            <w:vAlign w:val="center"/>
            <w:hideMark/>
          </w:tcPr>
          <w:p w14:paraId="515793BC"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Glenelg Estuary and Discovery Bay Wetlands</w:t>
            </w:r>
          </w:p>
        </w:tc>
        <w:tc>
          <w:tcPr>
            <w:tcW w:w="720" w:type="dxa"/>
            <w:tcBorders>
              <w:top w:val="nil"/>
              <w:left w:val="nil"/>
              <w:bottom w:val="single" w:sz="4" w:space="0" w:color="auto"/>
              <w:right w:val="single" w:sz="4" w:space="0" w:color="auto"/>
            </w:tcBorders>
            <w:shd w:val="clear" w:color="auto" w:fill="auto"/>
            <w:vAlign w:val="center"/>
            <w:hideMark/>
          </w:tcPr>
          <w:p w14:paraId="27CB61C0" w14:textId="15AE0BEC" w:rsidR="00E32E26" w:rsidRPr="00BC7A12" w:rsidRDefault="0087124D"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VIC</w:t>
            </w:r>
          </w:p>
        </w:tc>
        <w:tc>
          <w:tcPr>
            <w:tcW w:w="1700" w:type="dxa"/>
            <w:tcBorders>
              <w:top w:val="nil"/>
              <w:left w:val="nil"/>
              <w:bottom w:val="single" w:sz="4" w:space="0" w:color="auto"/>
              <w:right w:val="single" w:sz="4" w:space="0" w:color="auto"/>
            </w:tcBorders>
            <w:shd w:val="clear" w:color="auto" w:fill="auto"/>
            <w:noWrap/>
            <w:vAlign w:val="center"/>
            <w:hideMark/>
          </w:tcPr>
          <w:p w14:paraId="4071BD0B" w14:textId="77777777" w:rsidR="00E32E26" w:rsidRPr="00BC7A12" w:rsidRDefault="00E32E26" w:rsidP="00E32E26">
            <w:pPr>
              <w:spacing w:after="0" w:line="240" w:lineRule="auto"/>
              <w:jc w:val="left"/>
              <w:rPr>
                <w:rFonts w:eastAsia="Times New Roman" w:cs="Calibri"/>
                <w:color w:val="000000"/>
                <w:sz w:val="16"/>
                <w:szCs w:val="16"/>
                <w:lang w:eastAsia="en-AU"/>
              </w:rPr>
            </w:pPr>
            <w:r w:rsidRPr="00BC7A12">
              <w:rPr>
                <w:rFonts w:eastAsia="Times New Roman" w:cs="Calibri"/>
                <w:color w:val="000000"/>
                <w:sz w:val="16"/>
                <w:szCs w:val="16"/>
                <w:lang w:eastAsia="en-AU"/>
              </w:rPr>
              <w:t>Carnell, et al., 2019</w:t>
            </w:r>
          </w:p>
        </w:tc>
      </w:tr>
    </w:tbl>
    <w:p w14:paraId="1BF7D349" w14:textId="77777777" w:rsidR="007B679E" w:rsidRPr="00BC7A12" w:rsidRDefault="007B679E">
      <w:pPr>
        <w:spacing w:after="200" w:line="276" w:lineRule="auto"/>
        <w:jc w:val="left"/>
        <w:rPr>
          <w:rFonts w:cs="Calibri"/>
        </w:rPr>
      </w:pPr>
    </w:p>
    <w:p w14:paraId="1CE8692A" w14:textId="5956961E" w:rsidR="00327065" w:rsidRPr="00BC7A12" w:rsidRDefault="00327065">
      <w:pPr>
        <w:spacing w:after="200" w:line="276" w:lineRule="auto"/>
        <w:jc w:val="left"/>
        <w:rPr>
          <w:rFonts w:cs="Calibri"/>
        </w:rPr>
      </w:pPr>
      <w:r w:rsidRPr="00BC7A12">
        <w:rPr>
          <w:rFonts w:cs="Calibri"/>
        </w:rPr>
        <w:t>Consistent</w:t>
      </w:r>
      <w:r w:rsidR="00FB04C8" w:rsidRPr="00BC7A12">
        <w:rPr>
          <w:rFonts w:cs="Calibri"/>
        </w:rPr>
        <w:t xml:space="preserve"> with previous studies on </w:t>
      </w:r>
      <w:r w:rsidRPr="00BC7A12">
        <w:rPr>
          <w:rFonts w:cs="Calibri"/>
        </w:rPr>
        <w:t>Australia’s development planning and</w:t>
      </w:r>
      <w:r w:rsidR="00FB04C8" w:rsidRPr="00BC7A12">
        <w:rPr>
          <w:rFonts w:cs="Calibri"/>
        </w:rPr>
        <w:t xml:space="preserve"> management, </w:t>
      </w:r>
      <w:r w:rsidR="00FB04C8" w:rsidRPr="008566AD">
        <w:rPr>
          <w:rFonts w:cs="Calibri"/>
        </w:rPr>
        <w:fldChar w:fldCharType="begin" w:fldLock="1"/>
      </w:r>
      <w:r w:rsidR="00FB04C8" w:rsidRPr="008566AD">
        <w:rPr>
          <w:rFonts w:cs="Calibri"/>
        </w:rPr>
        <w:instrText>ADDIN CSL_CITATION {"citationItems":[{"id":"ITEM-1","itemData":{"DOI":"10.1016/j.ecoser.2019.100943","ISSN":"22120416","abstract":"The concept of ecosystem services (ES) aims to quantify the contribution of ecosystems to human welfare. Past research has revealed a range of attitudes and levels of understanding among policy makers or practitioners to this concept. This study investigated the experience of environmental decision makers with the application of ES, using the state of Victoria, Australia as a case study. Analysis of data from 20 interview participants indicated that impediments to implementing ES included structural and governance deficiencies, lack of public and private leadership, complexity of language, and the lack of sustained, long-term investment. Proposed solutions include standardised measurement and reporting, improved communication tools, and potential commercial investment in ES through government regulated markets. The study revealed that ES concepts have arrived at a moment of change in Victoria. They can potentially provide a basis for better environmental management decisions, however, many respondents felt implementation has stalled. Implementing complex policy change requires sustained effort. Active political leadership, a supporting advocacy coalition, and explicit theory on mechanisms to implement ES are required if the concept is to be widely adopted by decision makers in public or private spheres.","author":[{"dropping-particle":"","family":"Keenan","given":"Rodney J.","non-dropping-particle":"","parse-names":false,"suffix":""},{"dropping-particle":"","family":"Pozza","given":"Greg","non-dropping-particle":"","parse-names":false,"suffix":""},{"dropping-particle":"","family":"Fitzsimons","given":"James A.","non-dropping-particle":"","parse-names":false,"suffix":""}],"container-title":"Ecosystem Services","id":"ITEM-1","issue":"June","issued":{"date-parts":[["2019"]]},"page":"100943","publisher":"Elsevier B.V.","title":"Ecosystem services in environmental policy: Barriers and opportunities for increased adoption","type":"article-journal","volume":"38"},"uris":["http://www.mendeley.com/documents/?uuid=cd7fb9ea-ab43-409e-8553-457f19649836"]},{"id":"ITEM-2","itemData":{"DOI":"10.1016/j.ecoser.2012.07.010","ISSN":"22120416","abstract":"We review the environmental challenges, cultures and institutions in Australia that have allowed the concept of ecosystem services to be tested and adapted. In some instance the nation has embraced the opportunities offered with ecosystem services forming the core of several large-scale reforms and collaborations that have considered dependence of humans on ecosystems. In other ways, however, the opportunities have been overlooked as Australia lacks effective institutions to consider human-environment interactions holistically and strategically. The term \"ecosystem services\" appears widely but it is mostly used superficially: often with reference to only a few services. The full suite of services, benefits and beneficiaries if humans and the natural environment are to coexist in the long-term have not been systematically included in decision making and management. Insights are distilled that may be useful in the application of ecosystem services in other parts of the world. Stable and well-funded regional natural resource and river basin management institutions have vital roles. Governance reforms at the national and state (provincial scales) are also needed to apply ecosystem service frameworks and improve accountability for implementation of policy agreements. © 2012 Elsevier B.V.","author":[{"dropping-particle":"","family":"Pittock","given":"J.","non-dropping-particle":"","parse-names":false,"suffix":""},{"dropping-particle":"","family":"Cork","given":"S.","non-dropping-particle":"","parse-names":false,"suffix":""},{"dropping-particle":"","family":"Maynard","given":"S.","non-dropping-particle":"","parse-names":false,"suffix":""}],"container-title":"Ecosystem Services","id":"ITEM-2","issue":"1","issued":{"date-parts":[["2012","7"]]},"number-of-pages":"111-120","publisher":"Elsevier","title":"The state of the application of ecosystems services in Australia","type":"report","volume":"1"},"uris":["http://www.mendeley.com/documents/?uuid=9b36c9fd-3c45-460a-9ffd-0e082426d46e"]},{"id":"ITEM-3","itemData":{"DOI":"10.1016/j.jenvman.2016.04.014","ISSN":"03014797","abstract":"Economic valuation of ecosystem services is widely advocated as being useful to support ecosystem management decision-making. However, the extent to which it is actually used or considered useful in decision-making is poorly documented. This literature blindspot is explored with an application to coastal and marine ecosystems management in Australia. Based on a nation-wide survey of eighty-eight decision-makers representing a diversity of management organizations, the perceived usefulness and level of use of economic valuation of ecosystem services, in support of coastal and marine management, are examined. A large majority of decision-makers are found to be familiar with economic valuation and consider it useful - even necessary - in decision-making, although this varies across groups of decision-makers. However, most decision-makers never or rarely use economic valuation. The perceived level of importance and trust in estimated dollar values differ across ecosystem services, and are especially high for values that relate to commercial activities. A number of factors are also found to influence respondent's use of economic valuation. Such findings concur with conclusions from other studies on the usefulness and use of ESV in environmental management decision-making. They also demonstrate the strength of the survey-based approach developed in this application to examine this issue in a variety of contexts.","author":[{"dropping-particle":"","family":"Marre","given":"Jean-Baptiste","non-dropping-particle":"","parse-names":false,"suffix":""},{"dropping-particle":"","family":"Thébaud","given":"Olivier","non-dropping-particle":"","parse-names":false,"suffix":""},{"dropping-particle":"","family":"Pascoe","given":"Sean","non-dropping-particle":"","parse-names":false,"suffix":""},{"dropping-particle":"","family":"Jennings","given":"Sarah","non-dropping-particle":"","parse-names":false,"suffix":""},{"dropping-particle":"","family":"Boncoeur","given":"Jean","non-dropping-particle":"","parse-names":false,"suffix":""},{"dropping-particle":"","family":"Coglan","given":"Louisa","non-dropping-particle":"","parse-names":false,"suffix":""}],"container-title":"Journal of Environmental Management","id":"ITEM-3","issue":"178","issued":{"date-parts":[["2016","8"]]},"page":"52-62","title":"Is economic valuation of ecosystem services useful to decision-makers? Lessons learned from Australian coastal and marine management","type":"article-journal","volume":"178"},"uris":["http://www.mendeley.com/documents/?uuid=73d3b3c9-2449-4c04-b2b6-6aa5a2341835"]},{"id":"ITEM-4","itemData":{"author":[{"dropping-particle":"","family":"Clark","given":"G.F.","non-dropping-particle":"","parse-names":false,"suffix":""},{"dropping-particle":"","family":"Johnston","given":"E.L.","non-dropping-particle":"","parse-names":false,"suffix":""}],"id":"ITEM-4","issued":{"date-parts":[["2017"]]},"publisher-place":"Canberra","title":"Australia state of the environment 2016: coasts, independent report to the Australian Government Minister for Environment and Energy","type":"report"},"uris":["http://www.mendeley.com/documents/?uuid=05d5dfc1-cd1b-45b9-b529-42373925a6c9"]},{"id":"ITEM-5","itemData":{"DOI":"10.1016/j.marpol.2015.02.011","ISSN":"0308597X","abstract":"The use and influence of ecosystem services valuation in management decision-making, particularly as it relates to coastal zone management, remains largely unexplored in the academic literature. A recent Australia-wide survey of decision-makers involved in coastal zone management examined if, how and to what extent economic valuation of coastal and marine ecosystem services is used in, and influences, decision-making in Australia. The survey also identified a set of cases where economic valuation of ecosystem services was used for decision-making, and reasons why economic values may or may not be considered in the decision-making process. This paper details the method and results from this survey. Overall, there is strong empirical evidence that economic valuation of ecosystem services is used, but with important variation across coastal and marine management contexts. However, the impact of ecosystem services valuation on policy appears to be globally weak.","author":[{"dropping-particle":"","family":"Marre","given":"Jean-Baptiste","non-dropping-particle":"","parse-names":false,"suffix":""},{"dropping-particle":"","family":"Thebaud","given":"Olivier","non-dropping-particle":"","parse-names":false,"suffix":""},{"dropping-particle":"","family":"Pascoe","given":"Sean","non-dropping-particle":"","parse-names":false,"suffix":""},{"dropping-particle":"","family":"Jennings","given":"Sarah","non-dropping-particle":"","parse-names":false,"suffix":""},{"dropping-particle":"","family":"Boncoeur","given":"Jean","non-dropping-particle":"","parse-names":false,"suffix":""},{"dropping-particle":"","family":"Coglan","given":"Louisa","non-dropping-particle":"","parse-names":false,"suffix":""}],"container-title":"Marine Policy","id":"ITEM-5","issued":{"date-parts":[["2015","6"]]},"page":"117-124","publisher":"Elsevier","title":"The use of ecosystem services valuation in Australian coastal zone management","type":"article-journal","volume":"56"},"uris":["http://www.mendeley.com/documents/?uuid=8973e02c-a50d-4e9b-ab6b-81befa1d2c96"]}],"mendeley":{"formattedCitation":"(Keenan et al. 2019, Pittock et al. 2012, Marre et al. 2016, Clark &amp; Johnston 2017, Marre et al. 2015)","plainTextFormattedCitation":"(Keenan et al. 2019, Pittock et al. 2012, Marre et al. 2016, Clark &amp; Johnston 2017, Marre et al. 2015)","previouslyFormattedCitation":"(Keenan et al. 2019, Pittock et al. 2012, Marre et al. 2016, Clark &amp; Johnston 2017, Marre et al. 2015)"},"properties":{"noteIndex":0},"schema":"https://github.com/citation-style-language/schema/raw/master/csl-citation.json"}</w:instrText>
      </w:r>
      <w:r w:rsidR="00FB04C8" w:rsidRPr="008566AD">
        <w:rPr>
          <w:rFonts w:cs="Calibri"/>
        </w:rPr>
        <w:fldChar w:fldCharType="separate"/>
      </w:r>
      <w:r w:rsidR="00FB04C8" w:rsidRPr="008566AD">
        <w:rPr>
          <w:rFonts w:cs="Calibri"/>
          <w:noProof/>
        </w:rPr>
        <w:t>(Keenan et al. 2019, Pittock et al. 2012, Marre et al. 2016, Clark &amp; Johnston 2017, Marre et al. 2015)</w:t>
      </w:r>
      <w:r w:rsidR="00FB04C8" w:rsidRPr="008566AD">
        <w:rPr>
          <w:rFonts w:cs="Calibri"/>
        </w:rPr>
        <w:fldChar w:fldCharType="end"/>
      </w:r>
      <w:r w:rsidR="00FB04C8" w:rsidRPr="008566AD">
        <w:rPr>
          <w:rFonts w:cs="Calibri"/>
        </w:rPr>
        <w:t xml:space="preserve"> this reports’ engagement with state and local </w:t>
      </w:r>
      <w:r w:rsidR="009E6AB9" w:rsidRPr="008566AD">
        <w:rPr>
          <w:rFonts w:cs="Calibri"/>
        </w:rPr>
        <w:t xml:space="preserve">decision makers </w:t>
      </w:r>
      <w:r w:rsidR="00FB04C8" w:rsidRPr="008566AD">
        <w:rPr>
          <w:rFonts w:cs="Calibri"/>
        </w:rPr>
        <w:t xml:space="preserve">noted </w:t>
      </w:r>
      <w:r w:rsidR="008566AD">
        <w:rPr>
          <w:rFonts w:cs="Calibri"/>
        </w:rPr>
        <w:t xml:space="preserve">their general awareness </w:t>
      </w:r>
      <w:r w:rsidR="00DC213C">
        <w:rPr>
          <w:rFonts w:cs="Calibri"/>
        </w:rPr>
        <w:t xml:space="preserve">of </w:t>
      </w:r>
      <w:r w:rsidR="00FB04C8" w:rsidRPr="008566AD">
        <w:rPr>
          <w:rFonts w:cs="Calibri"/>
        </w:rPr>
        <w:t xml:space="preserve">monetary valuation of </w:t>
      </w:r>
      <w:r w:rsidR="00DC213C">
        <w:rPr>
          <w:rFonts w:cs="Calibri"/>
        </w:rPr>
        <w:t xml:space="preserve">coastal </w:t>
      </w:r>
      <w:r w:rsidR="00FB04C8" w:rsidRPr="008566AD">
        <w:rPr>
          <w:rFonts w:cs="Calibri"/>
        </w:rPr>
        <w:t xml:space="preserve">DRR ecosystem services </w:t>
      </w:r>
      <w:r w:rsidR="00FB04C8" w:rsidRPr="008566AD">
        <w:rPr>
          <w:rFonts w:cs="Calibri"/>
        </w:rPr>
        <w:fldChar w:fldCharType="begin" w:fldLock="1"/>
      </w:r>
      <w:r w:rsidR="008829D2" w:rsidRPr="008566AD">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 Stakeholder consultation","type":"article"},"uris":["http://www.mendeley.com/documents/?uuid=bafcc05a-a77b-48ec-bab0-63b9ec400826"]}],"mendeley":{"formattedCitation":"(IDEEA Group 2020b)","plainTextFormattedCitation":"(IDEEA Group 2020b)","previouslyFormattedCitation":"(IDEEA Group 2020b)"},"properties":{"noteIndex":0},"schema":"https://github.com/citation-style-language/schema/raw/master/csl-citation.json"}</w:instrText>
      </w:r>
      <w:r w:rsidR="00FB04C8" w:rsidRPr="008566AD">
        <w:rPr>
          <w:rFonts w:cs="Calibri"/>
        </w:rPr>
        <w:fldChar w:fldCharType="separate"/>
      </w:r>
      <w:r w:rsidR="008829D2" w:rsidRPr="008566AD">
        <w:rPr>
          <w:rFonts w:cs="Calibri"/>
          <w:noProof/>
        </w:rPr>
        <w:t>(IDEEA Group 2020b)</w:t>
      </w:r>
      <w:r w:rsidR="00FB04C8" w:rsidRPr="008566AD">
        <w:rPr>
          <w:rFonts w:cs="Calibri"/>
        </w:rPr>
        <w:fldChar w:fldCharType="end"/>
      </w:r>
      <w:r w:rsidR="00C31207" w:rsidRPr="008566AD">
        <w:rPr>
          <w:rFonts w:cs="Calibri"/>
        </w:rPr>
        <w:t>.</w:t>
      </w:r>
      <w:r w:rsidR="00FB04C8" w:rsidRPr="008566AD">
        <w:rPr>
          <w:rFonts w:cs="Calibri"/>
        </w:rPr>
        <w:t xml:space="preserve"> </w:t>
      </w:r>
      <w:r w:rsidR="001F7A90" w:rsidRPr="008566AD">
        <w:rPr>
          <w:rFonts w:cs="Calibri"/>
        </w:rPr>
        <w:t xml:space="preserve">The stakeholders felt the </w:t>
      </w:r>
      <w:r w:rsidR="002277DB" w:rsidRPr="008566AD">
        <w:rPr>
          <w:rFonts w:cs="Calibri"/>
        </w:rPr>
        <w:t xml:space="preserve">available </w:t>
      </w:r>
      <w:r w:rsidR="001F7A90" w:rsidRPr="008566AD">
        <w:rPr>
          <w:rFonts w:cs="Calibri"/>
        </w:rPr>
        <w:t xml:space="preserve">valuations could not be used for local decision making </w:t>
      </w:r>
      <w:r w:rsidR="001F7A90" w:rsidRPr="008566AD">
        <w:rPr>
          <w:rFonts w:cs="Calibri"/>
        </w:rPr>
        <w:fldChar w:fldCharType="begin" w:fldLock="1"/>
      </w:r>
      <w:r w:rsidR="008829D2" w:rsidRPr="008566AD">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 Stakeholder consultation","type":"article"},"uris":["http://www.mendeley.com/documents/?uuid=bafcc05a-a77b-48ec-bab0-63b9ec400826"]}],"mendeley":{"formattedCitation":"(IDEEA Group 2020b)","plainTextFormattedCitation":"(IDEEA Group 2020b)","previouslyFormattedCitation":"(IDEEA Group 2020b)"},"properties":{"noteIndex":0},"schema":"https://github.com/citation-style-language/schema/raw/master/csl-citation.json"}</w:instrText>
      </w:r>
      <w:r w:rsidR="001F7A90" w:rsidRPr="008566AD">
        <w:rPr>
          <w:rFonts w:cs="Calibri"/>
        </w:rPr>
        <w:fldChar w:fldCharType="separate"/>
      </w:r>
      <w:r w:rsidR="008829D2" w:rsidRPr="008566AD">
        <w:rPr>
          <w:rFonts w:cs="Calibri"/>
          <w:noProof/>
        </w:rPr>
        <w:t>(IDEEA Group 2020b)</w:t>
      </w:r>
      <w:r w:rsidR="001F7A90" w:rsidRPr="008566AD">
        <w:rPr>
          <w:rFonts w:cs="Calibri"/>
        </w:rPr>
        <w:fldChar w:fldCharType="end"/>
      </w:r>
      <w:r w:rsidR="001F7A90" w:rsidRPr="008566AD">
        <w:rPr>
          <w:rFonts w:cs="Calibri"/>
        </w:rPr>
        <w:t xml:space="preserve">. The one exception to this this is the work </w:t>
      </w:r>
      <w:r w:rsidR="00FB04C8" w:rsidRPr="008566AD">
        <w:rPr>
          <w:rFonts w:cs="Calibri"/>
        </w:rPr>
        <w:t xml:space="preserve">of </w:t>
      </w:r>
      <w:r w:rsidR="00DC213C">
        <w:rPr>
          <w:rFonts w:cs="Calibri"/>
        </w:rPr>
        <w:t xml:space="preserve">the </w:t>
      </w:r>
      <w:r w:rsidR="00FB04C8" w:rsidRPr="008566AD">
        <w:rPr>
          <w:rFonts w:cs="Calibri"/>
        </w:rPr>
        <w:t xml:space="preserve">Mapping Ocean Wealth </w:t>
      </w:r>
      <w:r w:rsidR="00403E86" w:rsidRPr="008566AD">
        <w:rPr>
          <w:rFonts w:cs="Calibri"/>
        </w:rPr>
        <w:fldChar w:fldCharType="begin" w:fldLock="1"/>
      </w:r>
      <w:r w:rsidR="00D457D0" w:rsidRPr="008566AD">
        <w:rPr>
          <w:rFonts w:cs="Calibri"/>
        </w:rPr>
        <w:instrText>ADDIN CSL_CITATION {"citationItems":[{"id":"ITEM-1","itemData":{"ISBN":"9780648567721","author":[{"dropping-particle":"","family":"Carnell, P.E, Reeves, S.E, Nicholson, E.","given":"Macreadie","non-dropping-particle":"","parse-names":false,"suffix":""},{"dropping-particle":"","family":"P. Ierodiaconou, D., Young, M., Kelvin, J.","given":"Janes","non-dropping-particle":"","parse-names":false,"suffix":""},{"dropping-particle":"","family":"H., Navarro, A., Fitzsimons, J., Gillies","given":"C.L.","non-dropping-particle":"","parse-names":false,"suffix":""}],"id":"ITEM-1","issued":{"date-parts":[["2019"]]},"number-of-pages":"1-14","title":"Mapping Ocean Wealth Australia: The value of coastal wetlands to people and nature","type":"book"},"uris":["http://www.mendeley.com/documents/?uuid=adffe741-eb52-4ce7-bac4-8dbd9bf8040f"]}],"mendeley":{"formattedCitation":"(Carnell, P.E, Reeves, S.E, Nicholson, E. et al. 2019)","plainTextFormattedCitation":"(Carnell, P.E, Reeves, S.E, Nicholson, E. et al. 2019)","previouslyFormattedCitation":"(Carnell, P.E, Reeves, S.E, Nicholson, E. et al. 2019)"},"properties":{"noteIndex":0},"schema":"https://github.com/citation-style-language/schema/raw/master/csl-citation.json"}</w:instrText>
      </w:r>
      <w:r w:rsidR="00403E86" w:rsidRPr="008566AD">
        <w:rPr>
          <w:rFonts w:cs="Calibri"/>
        </w:rPr>
        <w:fldChar w:fldCharType="separate"/>
      </w:r>
      <w:r w:rsidR="00403E86" w:rsidRPr="008566AD">
        <w:rPr>
          <w:rFonts w:cs="Calibri"/>
          <w:noProof/>
        </w:rPr>
        <w:t>(Carnell, P.E, Reeves, S.E, Nicholson, E. et al. 2019)</w:t>
      </w:r>
      <w:r w:rsidR="00403E86" w:rsidRPr="008566AD">
        <w:rPr>
          <w:rFonts w:cs="Calibri"/>
        </w:rPr>
        <w:fldChar w:fldCharType="end"/>
      </w:r>
      <w:r w:rsidR="00403E86" w:rsidRPr="00BC7A12">
        <w:rPr>
          <w:rFonts w:cs="Calibri"/>
        </w:rPr>
        <w:t xml:space="preserve"> </w:t>
      </w:r>
      <w:r w:rsidR="00FB04C8" w:rsidRPr="00BC7A12">
        <w:rPr>
          <w:rFonts w:cs="Calibri"/>
        </w:rPr>
        <w:t xml:space="preserve">project that </w:t>
      </w:r>
      <w:r w:rsidR="00D9216E" w:rsidRPr="00BC7A12">
        <w:rPr>
          <w:rFonts w:cs="Calibri"/>
        </w:rPr>
        <w:t>worked collaboratively with local</w:t>
      </w:r>
      <w:r w:rsidR="004E6678" w:rsidRPr="00BC7A12">
        <w:rPr>
          <w:rFonts w:cs="Calibri"/>
        </w:rPr>
        <w:t xml:space="preserve"> decision makers. </w:t>
      </w:r>
      <w:r w:rsidR="003F1519">
        <w:rPr>
          <w:rFonts w:cs="Calibri"/>
        </w:rPr>
        <w:t xml:space="preserve">However, given </w:t>
      </w:r>
      <w:r w:rsidR="00DC213C">
        <w:rPr>
          <w:rFonts w:cs="Calibri"/>
        </w:rPr>
        <w:t>an appropriate</w:t>
      </w:r>
      <w:r w:rsidR="003F1519">
        <w:rPr>
          <w:rFonts w:cs="Calibri"/>
        </w:rPr>
        <w:t xml:space="preserve"> state or national policy context, such studies would have more efficacy. </w:t>
      </w:r>
    </w:p>
    <w:p w14:paraId="13D13062" w14:textId="5A6202E9" w:rsidR="00FD33CA" w:rsidRPr="00BC7A12" w:rsidRDefault="00FD33CA" w:rsidP="00104625">
      <w:pPr>
        <w:pStyle w:val="Heading1"/>
        <w:rPr>
          <w:rFonts w:ascii="Calibri" w:hAnsi="Calibri" w:cs="Calibri"/>
        </w:rPr>
      </w:pPr>
      <w:bookmarkStart w:id="67" w:name="_Toc46822313"/>
      <w:r w:rsidRPr="00BC7A12">
        <w:rPr>
          <w:rFonts w:ascii="Calibri" w:hAnsi="Calibri" w:cs="Calibri"/>
        </w:rPr>
        <w:t xml:space="preserve">Decision making </w:t>
      </w:r>
      <w:r w:rsidR="00496F12">
        <w:rPr>
          <w:rFonts w:ascii="Calibri" w:hAnsi="Calibri" w:cs="Calibri"/>
        </w:rPr>
        <w:t>contexts</w:t>
      </w:r>
      <w:bookmarkEnd w:id="67"/>
      <w:r w:rsidR="00496F12">
        <w:rPr>
          <w:rFonts w:ascii="Calibri" w:hAnsi="Calibri" w:cs="Calibri"/>
        </w:rPr>
        <w:t xml:space="preserve"> </w:t>
      </w:r>
    </w:p>
    <w:p w14:paraId="11207303" w14:textId="0F338F97" w:rsidR="00EA1758" w:rsidRDefault="004F6F3C" w:rsidP="00BB3E4D">
      <w:pPr>
        <w:rPr>
          <w:rFonts w:eastAsia="Times New Roman" w:cs="Calibri"/>
        </w:rPr>
      </w:pPr>
      <w:r w:rsidRPr="00BC7A12">
        <w:rPr>
          <w:rFonts w:eastAsia="Times New Roman" w:cs="Calibri"/>
        </w:rPr>
        <w:t xml:space="preserve">The majority of coastal management decisions in Australia </w:t>
      </w:r>
      <w:r w:rsidR="0027337D" w:rsidRPr="00BC7A12">
        <w:rPr>
          <w:rFonts w:eastAsia="Times New Roman" w:cs="Calibri"/>
        </w:rPr>
        <w:t xml:space="preserve">are made </w:t>
      </w:r>
      <w:r w:rsidR="00BB3E4D" w:rsidRPr="00BC7A12">
        <w:rPr>
          <w:rFonts w:eastAsia="Times New Roman" w:cs="Calibri"/>
        </w:rPr>
        <w:t>by</w:t>
      </w:r>
      <w:r w:rsidR="0027337D" w:rsidRPr="00BC7A12">
        <w:rPr>
          <w:rFonts w:eastAsia="Times New Roman" w:cs="Calibri"/>
        </w:rPr>
        <w:t xml:space="preserve"> local council, state and territory level governments</w:t>
      </w:r>
      <w:r w:rsidR="006127EA" w:rsidRPr="00BC7A12">
        <w:rPr>
          <w:rFonts w:eastAsia="Times New Roman" w:cs="Calibri"/>
        </w:rPr>
        <w:t xml:space="preserve"> through </w:t>
      </w:r>
      <w:r w:rsidR="00F60DA3" w:rsidRPr="00BC7A12">
        <w:rPr>
          <w:rFonts w:eastAsia="Times New Roman" w:cs="Calibri"/>
        </w:rPr>
        <w:t xml:space="preserve">coastal </w:t>
      </w:r>
      <w:r w:rsidR="006127EA" w:rsidRPr="00BC7A12">
        <w:rPr>
          <w:rFonts w:eastAsia="Times New Roman" w:cs="Calibri"/>
        </w:rPr>
        <w:t xml:space="preserve">spatial planning, ecosystem-based </w:t>
      </w:r>
      <w:r w:rsidR="00F60DA3" w:rsidRPr="00BC7A12">
        <w:rPr>
          <w:rFonts w:eastAsia="Times New Roman" w:cs="Calibri"/>
        </w:rPr>
        <w:t xml:space="preserve">coastal </w:t>
      </w:r>
      <w:r w:rsidR="006127EA" w:rsidRPr="00BC7A12">
        <w:rPr>
          <w:rFonts w:eastAsia="Times New Roman" w:cs="Calibri"/>
        </w:rPr>
        <w:t xml:space="preserve">planning or </w:t>
      </w:r>
      <w:r w:rsidR="006127EA" w:rsidRPr="00BC7A12">
        <w:rPr>
          <w:rFonts w:eastAsia="Times New Roman" w:cs="Calibri"/>
        </w:rPr>
        <w:lastRenderedPageBreak/>
        <w:t>similar approaches</w:t>
      </w:r>
      <w:r w:rsidR="0027337D" w:rsidRPr="00BC7A12">
        <w:rPr>
          <w:rFonts w:eastAsia="Times New Roman" w:cs="Calibri"/>
        </w:rPr>
        <w:t xml:space="preserve"> </w:t>
      </w:r>
      <w:r w:rsidR="00BB3E4D" w:rsidRPr="00BC7A12">
        <w:rPr>
          <w:rFonts w:eastAsia="Times New Roman" w:cs="Calibri"/>
        </w:rPr>
        <w:fldChar w:fldCharType="begin" w:fldLock="1"/>
      </w:r>
      <w:r w:rsidR="00C273F8" w:rsidRPr="00BC7A12">
        <w:rPr>
          <w:rFonts w:eastAsia="Times New Roman" w:cs="Calibri"/>
        </w:rPr>
        <w:instrText>ADDIN CSL_CITATION {"citationItems":[{"id":"ITEM-1","itemData":{"author":[{"dropping-particle":"","family":"Clark","given":"G.F.","non-dropping-particle":"","parse-names":false,"suffix":""},{"dropping-particle":"","family":"Johnston","given":"E.L.","non-dropping-particle":"","parse-names":false,"suffix":""}],"id":"ITEM-1","issued":{"date-parts":[["2017"]]},"publisher-place":"Canberra","title":"Australia state of the environment 2016: coasts, independent report to the Australian Government Minister for Environment and Energy","type":"report"},"uris":["http://www.mendeley.com/documents/?uuid=05d5dfc1-cd1b-45b9-b529-42373925a6c9"]}],"mendeley":{"formattedCitation":"(Clark &amp; Johnston 2017)","plainTextFormattedCitation":"(Clark &amp; Johnston 2017)","previouslyFormattedCitation":"(Clark &amp; Johnston 2017)"},"properties":{"noteIndex":0},"schema":"https://github.com/citation-style-language/schema/raw/master/csl-citation.json"}</w:instrText>
      </w:r>
      <w:r w:rsidR="00BB3E4D" w:rsidRPr="00BC7A12">
        <w:rPr>
          <w:rFonts w:eastAsia="Times New Roman" w:cs="Calibri"/>
        </w:rPr>
        <w:fldChar w:fldCharType="separate"/>
      </w:r>
      <w:r w:rsidR="00BB3E4D" w:rsidRPr="00BC7A12">
        <w:rPr>
          <w:rFonts w:eastAsia="Times New Roman" w:cs="Calibri"/>
          <w:noProof/>
        </w:rPr>
        <w:t>(Clark &amp; Johnston 2017)</w:t>
      </w:r>
      <w:r w:rsidR="00BB3E4D" w:rsidRPr="00BC7A12">
        <w:rPr>
          <w:rFonts w:eastAsia="Times New Roman" w:cs="Calibri"/>
        </w:rPr>
        <w:fldChar w:fldCharType="end"/>
      </w:r>
      <w:r w:rsidR="00292B0F" w:rsidRPr="00BC7A12">
        <w:rPr>
          <w:rFonts w:eastAsia="Times New Roman" w:cs="Calibri"/>
        </w:rPr>
        <w:t>.</w:t>
      </w:r>
      <w:r w:rsidR="009C6173" w:rsidRPr="00BC7A12">
        <w:rPr>
          <w:rFonts w:eastAsia="Times New Roman" w:cs="Calibri"/>
        </w:rPr>
        <w:t xml:space="preserve"> </w:t>
      </w:r>
      <w:r w:rsidR="00EA1758">
        <w:rPr>
          <w:rFonts w:eastAsia="Times New Roman" w:cs="Calibri"/>
        </w:rPr>
        <w:t xml:space="preserve">Federal policies </w:t>
      </w:r>
      <w:r w:rsidR="00DC213C">
        <w:rPr>
          <w:rFonts w:eastAsia="Times New Roman" w:cs="Calibri"/>
        </w:rPr>
        <w:t xml:space="preserve">also </w:t>
      </w:r>
      <w:r w:rsidR="00EA1758">
        <w:rPr>
          <w:rFonts w:eastAsia="Times New Roman" w:cs="Calibri"/>
        </w:rPr>
        <w:t>exist that support local coastal planning, such as disaster funding arrangements</w:t>
      </w:r>
      <w:r w:rsidR="000A3DE3">
        <w:rPr>
          <w:rFonts w:eastAsia="Times New Roman" w:cs="Calibri"/>
        </w:rPr>
        <w:t xml:space="preserve">. They </w:t>
      </w:r>
      <w:r w:rsidR="00EA1758">
        <w:rPr>
          <w:rFonts w:eastAsia="Times New Roman" w:cs="Calibri"/>
        </w:rPr>
        <w:t xml:space="preserve">can be informed by awareness raising valuation approaches. In addition, there are integrated coastal zone management frameworks that </w:t>
      </w:r>
      <w:r w:rsidR="006C2162" w:rsidRPr="00BC7A12">
        <w:rPr>
          <w:rFonts w:eastAsia="Times New Roman" w:cs="Calibri"/>
        </w:rPr>
        <w:t xml:space="preserve">could </w:t>
      </w:r>
      <w:r w:rsidR="0019126C">
        <w:rPr>
          <w:rFonts w:eastAsia="Times New Roman" w:cs="Calibri"/>
        </w:rPr>
        <w:t xml:space="preserve">shift </w:t>
      </w:r>
      <w:r w:rsidR="006C2162" w:rsidRPr="00BC7A12">
        <w:rPr>
          <w:rFonts w:eastAsia="Times New Roman" w:cs="Calibri"/>
        </w:rPr>
        <w:t>planning</w:t>
      </w:r>
      <w:r w:rsidR="006127EA" w:rsidRPr="00BC7A12">
        <w:rPr>
          <w:rFonts w:eastAsia="Times New Roman" w:cs="Calibri"/>
        </w:rPr>
        <w:t xml:space="preserve"> to </w:t>
      </w:r>
      <w:r w:rsidR="00895AC2" w:rsidRPr="00BC7A12">
        <w:rPr>
          <w:rFonts w:eastAsia="Times New Roman" w:cs="Calibri"/>
        </w:rPr>
        <w:t xml:space="preserve">state, national or interjurisdictional governmental </w:t>
      </w:r>
      <w:r w:rsidR="003F1519">
        <w:rPr>
          <w:rFonts w:eastAsia="Times New Roman" w:cs="Calibri"/>
        </w:rPr>
        <w:t>bodies.</w:t>
      </w:r>
      <w:r w:rsidR="00EA1758">
        <w:rPr>
          <w:rFonts w:eastAsia="Times New Roman" w:cs="Calibri"/>
        </w:rPr>
        <w:t xml:space="preserve"> </w:t>
      </w:r>
      <w:r w:rsidR="006127EA" w:rsidRPr="00BC7A12">
        <w:rPr>
          <w:rFonts w:eastAsia="Times New Roman" w:cs="Calibri"/>
        </w:rPr>
        <w:t xml:space="preserve">But even </w:t>
      </w:r>
      <w:r w:rsidR="006C2162" w:rsidRPr="00BC7A12">
        <w:rPr>
          <w:rFonts w:eastAsia="Times New Roman" w:cs="Calibri"/>
        </w:rPr>
        <w:t xml:space="preserve">with </w:t>
      </w:r>
      <w:r w:rsidR="006127EA" w:rsidRPr="00BC7A12">
        <w:rPr>
          <w:rFonts w:eastAsia="Times New Roman" w:cs="Calibri"/>
        </w:rPr>
        <w:t xml:space="preserve">such a shift, </w:t>
      </w:r>
      <w:r w:rsidR="006C2162" w:rsidRPr="00BC7A12">
        <w:rPr>
          <w:rFonts w:eastAsia="Times New Roman" w:cs="Calibri"/>
        </w:rPr>
        <w:t xml:space="preserve">local governments are likely to </w:t>
      </w:r>
      <w:r w:rsidR="00D36F3C" w:rsidRPr="00BC7A12">
        <w:rPr>
          <w:rFonts w:eastAsia="Times New Roman" w:cs="Calibri"/>
        </w:rPr>
        <w:t xml:space="preserve">continue playing </w:t>
      </w:r>
      <w:r w:rsidR="006C2162" w:rsidRPr="00BC7A12">
        <w:rPr>
          <w:rFonts w:eastAsia="Times New Roman" w:cs="Calibri"/>
        </w:rPr>
        <w:t>a</w:t>
      </w:r>
      <w:r w:rsidRPr="00BC7A12">
        <w:rPr>
          <w:rFonts w:eastAsia="Times New Roman" w:cs="Calibri"/>
        </w:rPr>
        <w:t xml:space="preserve">n influential </w:t>
      </w:r>
      <w:r w:rsidR="004333F8" w:rsidRPr="00BC7A12">
        <w:rPr>
          <w:rFonts w:eastAsia="Times New Roman" w:cs="Calibri"/>
        </w:rPr>
        <w:t xml:space="preserve">role. </w:t>
      </w:r>
    </w:p>
    <w:p w14:paraId="2F3F998B" w14:textId="49D585E3" w:rsidR="00CC3BBF" w:rsidRDefault="00EA1758" w:rsidP="00BB3E4D">
      <w:pPr>
        <w:rPr>
          <w:rFonts w:eastAsia="Times New Roman" w:cs="Calibri"/>
        </w:rPr>
      </w:pPr>
      <w:r>
        <w:rPr>
          <w:rFonts w:eastAsia="Times New Roman" w:cs="Calibri"/>
        </w:rPr>
        <w:t xml:space="preserve">As a result, to influence </w:t>
      </w:r>
      <w:r w:rsidR="000A3DE3">
        <w:rPr>
          <w:rFonts w:eastAsia="Times New Roman" w:cs="Calibri"/>
        </w:rPr>
        <w:t xml:space="preserve">local </w:t>
      </w:r>
      <w:r>
        <w:rPr>
          <w:rFonts w:eastAsia="Times New Roman" w:cs="Calibri"/>
        </w:rPr>
        <w:t xml:space="preserve">coastal planning, information and analysis needs to </w:t>
      </w:r>
      <w:r w:rsidR="007D76AF">
        <w:rPr>
          <w:rFonts w:eastAsia="Times New Roman" w:cs="Calibri"/>
        </w:rPr>
        <w:t xml:space="preserve">be </w:t>
      </w:r>
      <w:r w:rsidR="00EE0B3B">
        <w:rPr>
          <w:rFonts w:eastAsia="Times New Roman" w:cs="Calibri"/>
        </w:rPr>
        <w:t xml:space="preserve">conducted at the appropriate geographic </w:t>
      </w:r>
      <w:r>
        <w:rPr>
          <w:rFonts w:eastAsia="Times New Roman" w:cs="Calibri"/>
        </w:rPr>
        <w:t xml:space="preserve">scale and readily accepted by local decision makers. </w:t>
      </w:r>
    </w:p>
    <w:p w14:paraId="6E3AAB9F" w14:textId="5BDE9A68" w:rsidR="001C5271" w:rsidRPr="00BC7A12" w:rsidRDefault="001C5271" w:rsidP="001C5271">
      <w:pPr>
        <w:rPr>
          <w:rFonts w:eastAsia="Times New Roman" w:cs="Calibri"/>
        </w:rPr>
      </w:pPr>
      <w:r w:rsidRPr="00BC7A12">
        <w:rPr>
          <w:rFonts w:eastAsia="Times New Roman" w:cs="Calibri"/>
        </w:rPr>
        <w:t>There are two key pathways where valuation can influence local decisions: (</w:t>
      </w:r>
      <w:proofErr w:type="spellStart"/>
      <w:r w:rsidRPr="00BC7A12">
        <w:rPr>
          <w:rFonts w:eastAsia="Times New Roman" w:cs="Calibri"/>
        </w:rPr>
        <w:t>i</w:t>
      </w:r>
      <w:proofErr w:type="spellEnd"/>
      <w:r w:rsidRPr="00BC7A12">
        <w:rPr>
          <w:rFonts w:eastAsia="Times New Roman" w:cs="Calibri"/>
        </w:rPr>
        <w:t xml:space="preserve">) informing regulatory actions and (ii) supporting </w:t>
      </w:r>
      <w:r w:rsidR="00E23FAE" w:rsidRPr="00BC7A12">
        <w:rPr>
          <w:rFonts w:eastAsia="Times New Roman" w:cs="Calibri"/>
        </w:rPr>
        <w:t>cost benefit analysis.</w:t>
      </w:r>
      <w:r w:rsidRPr="00BC7A12">
        <w:rPr>
          <w:rFonts w:eastAsia="Times New Roman" w:cs="Calibri"/>
        </w:rPr>
        <w:t xml:space="preserve">  </w:t>
      </w:r>
    </w:p>
    <w:p w14:paraId="1659EE53" w14:textId="77777777" w:rsidR="005D2ECF" w:rsidRPr="00BC7A12" w:rsidRDefault="005D2ECF" w:rsidP="00FD33CA">
      <w:pPr>
        <w:spacing w:after="0" w:line="240" w:lineRule="auto"/>
        <w:jc w:val="left"/>
        <w:rPr>
          <w:rFonts w:eastAsia="Times New Roman" w:cs="Calibri"/>
        </w:rPr>
      </w:pPr>
    </w:p>
    <w:p w14:paraId="3731EE07" w14:textId="580780F4" w:rsidR="00FD33CA" w:rsidRPr="00BC7A12" w:rsidRDefault="00D6345A" w:rsidP="006127EA">
      <w:pPr>
        <w:pStyle w:val="Heading2"/>
        <w:rPr>
          <w:rFonts w:cs="Calibri"/>
        </w:rPr>
      </w:pPr>
      <w:bookmarkStart w:id="68" w:name="_Toc46822314"/>
      <w:r w:rsidRPr="00BC7A12">
        <w:rPr>
          <w:rFonts w:cs="Calibri"/>
        </w:rPr>
        <w:t>Regulatory actions</w:t>
      </w:r>
      <w:bookmarkEnd w:id="68"/>
      <w:r w:rsidRPr="00BC7A12">
        <w:rPr>
          <w:rFonts w:cs="Calibri"/>
        </w:rPr>
        <w:t xml:space="preserve"> </w:t>
      </w:r>
    </w:p>
    <w:p w14:paraId="1C09076E" w14:textId="69C9DE27" w:rsidR="003248F0" w:rsidRPr="00BC7A12" w:rsidRDefault="00F60DA3" w:rsidP="00C273F8">
      <w:pPr>
        <w:rPr>
          <w:rFonts w:cs="Calibri"/>
        </w:rPr>
      </w:pPr>
      <w:r w:rsidRPr="00BC7A12">
        <w:rPr>
          <w:rFonts w:cs="Calibri"/>
        </w:rPr>
        <w:t>Some c</w:t>
      </w:r>
      <w:r w:rsidR="0021370A" w:rsidRPr="00BC7A12">
        <w:rPr>
          <w:rFonts w:cs="Calibri"/>
        </w:rPr>
        <w:t xml:space="preserve">oastal </w:t>
      </w:r>
      <w:r w:rsidR="00D6345A" w:rsidRPr="00BC7A12">
        <w:rPr>
          <w:rFonts w:cs="Calibri"/>
        </w:rPr>
        <w:t>wetland</w:t>
      </w:r>
      <w:r w:rsidR="0085303B" w:rsidRPr="00BC7A12">
        <w:rPr>
          <w:rFonts w:cs="Calibri"/>
        </w:rPr>
        <w:t>s</w:t>
      </w:r>
      <w:r w:rsidR="00D6345A" w:rsidRPr="00BC7A12">
        <w:rPr>
          <w:rFonts w:cs="Calibri"/>
        </w:rPr>
        <w:t xml:space="preserve"> </w:t>
      </w:r>
      <w:r w:rsidR="00531298" w:rsidRPr="00BC7A12">
        <w:rPr>
          <w:rFonts w:cs="Calibri"/>
        </w:rPr>
        <w:t>are regulated</w:t>
      </w:r>
      <w:r w:rsidR="00D6345A" w:rsidRPr="00BC7A12">
        <w:rPr>
          <w:rFonts w:cs="Calibri"/>
        </w:rPr>
        <w:t xml:space="preserve"> under the </w:t>
      </w:r>
      <w:r w:rsidR="00D6345A" w:rsidRPr="00BC7A12">
        <w:rPr>
          <w:rFonts w:cs="Calibri"/>
          <w:i/>
        </w:rPr>
        <w:t xml:space="preserve">Environment Protection and Biodiversity Conservation Act 1999 </w:t>
      </w:r>
      <w:r w:rsidR="00D6345A" w:rsidRPr="00BC7A12">
        <w:rPr>
          <w:rFonts w:cs="Calibri"/>
        </w:rPr>
        <w:t>(EPBC Act) if they</w:t>
      </w:r>
      <w:r w:rsidR="0021370A" w:rsidRPr="00BC7A12">
        <w:rPr>
          <w:rFonts w:cs="Calibri"/>
        </w:rPr>
        <w:t xml:space="preserve"> are </w:t>
      </w:r>
      <w:r w:rsidR="00DC213C">
        <w:rPr>
          <w:rFonts w:cs="Calibri"/>
        </w:rPr>
        <w:t>listed</w:t>
      </w:r>
      <w:r w:rsidR="00DC213C" w:rsidRPr="00BC7A12">
        <w:rPr>
          <w:rFonts w:cs="Calibri"/>
        </w:rPr>
        <w:t xml:space="preserve"> </w:t>
      </w:r>
      <w:r w:rsidR="0021370A" w:rsidRPr="00BC7A12">
        <w:rPr>
          <w:rFonts w:cs="Calibri"/>
        </w:rPr>
        <w:t xml:space="preserve">as a Ramsar wetland, contain nationally threatened species, ecological </w:t>
      </w:r>
      <w:r w:rsidR="006127EA" w:rsidRPr="00BC7A12">
        <w:rPr>
          <w:rFonts w:cs="Calibri"/>
        </w:rPr>
        <w:t>communities,</w:t>
      </w:r>
      <w:r w:rsidR="0021370A" w:rsidRPr="00BC7A12">
        <w:rPr>
          <w:rFonts w:cs="Calibri"/>
        </w:rPr>
        <w:t xml:space="preserve"> or migratory species.</w:t>
      </w:r>
      <w:r w:rsidR="007D31B6" w:rsidRPr="00BC7A12">
        <w:rPr>
          <w:rFonts w:cs="Calibri"/>
        </w:rPr>
        <w:t xml:space="preserve"> </w:t>
      </w:r>
      <w:r w:rsidRPr="00BC7A12">
        <w:rPr>
          <w:rFonts w:cs="Calibri"/>
        </w:rPr>
        <w:t xml:space="preserve">The </w:t>
      </w:r>
      <w:r w:rsidR="007D31B6" w:rsidRPr="00BC7A12">
        <w:rPr>
          <w:rFonts w:cs="Calibri"/>
        </w:rPr>
        <w:t xml:space="preserve">EPBC Act has </w:t>
      </w:r>
      <w:r w:rsidRPr="00BC7A12">
        <w:rPr>
          <w:rFonts w:cs="Calibri"/>
        </w:rPr>
        <w:t>an important role in</w:t>
      </w:r>
      <w:r w:rsidR="00A54A9A" w:rsidRPr="00BC7A12">
        <w:rPr>
          <w:rFonts w:cs="Calibri"/>
        </w:rPr>
        <w:t xml:space="preserve"> maintaining the ecosystem services provided by wetland</w:t>
      </w:r>
      <w:r w:rsidRPr="00BC7A12">
        <w:rPr>
          <w:rFonts w:cs="Calibri"/>
        </w:rPr>
        <w:t>s</w:t>
      </w:r>
      <w:r w:rsidR="00A54A9A" w:rsidRPr="00BC7A12">
        <w:rPr>
          <w:rFonts w:cs="Calibri"/>
        </w:rPr>
        <w:t xml:space="preserve">. </w:t>
      </w:r>
    </w:p>
    <w:p w14:paraId="623E9072" w14:textId="005C7588" w:rsidR="00F60DA3" w:rsidRPr="00BC7A12" w:rsidRDefault="00A54A9A" w:rsidP="002A090E">
      <w:pPr>
        <w:rPr>
          <w:rFonts w:cs="Calibri"/>
        </w:rPr>
      </w:pPr>
      <w:r w:rsidRPr="00BC7A12">
        <w:rPr>
          <w:rFonts w:cs="Calibri"/>
        </w:rPr>
        <w:t xml:space="preserve">However, these </w:t>
      </w:r>
      <w:r w:rsidR="00F76A2A" w:rsidRPr="00BC7A12">
        <w:rPr>
          <w:rFonts w:cs="Calibri"/>
        </w:rPr>
        <w:t xml:space="preserve">regulations </w:t>
      </w:r>
      <w:r w:rsidRPr="00BC7A12">
        <w:rPr>
          <w:rFonts w:cs="Calibri"/>
        </w:rPr>
        <w:t xml:space="preserve">do not </w:t>
      </w:r>
      <w:r w:rsidR="00F60DA3" w:rsidRPr="00BC7A12">
        <w:rPr>
          <w:rFonts w:cs="Calibri"/>
        </w:rPr>
        <w:t xml:space="preserve">effectively </w:t>
      </w:r>
      <w:r w:rsidR="00C964E8" w:rsidRPr="00BC7A12">
        <w:rPr>
          <w:rFonts w:cs="Calibri"/>
        </w:rPr>
        <w:t xml:space="preserve">address </w:t>
      </w:r>
      <w:r w:rsidRPr="00BC7A12">
        <w:rPr>
          <w:rFonts w:cs="Calibri"/>
        </w:rPr>
        <w:t xml:space="preserve">the broader </w:t>
      </w:r>
      <w:r w:rsidR="00F76A2A" w:rsidRPr="00BC7A12">
        <w:rPr>
          <w:rFonts w:cs="Calibri"/>
        </w:rPr>
        <w:t>landscape</w:t>
      </w:r>
      <w:r w:rsidR="00C964E8" w:rsidRPr="00BC7A12">
        <w:rPr>
          <w:rFonts w:cs="Calibri"/>
        </w:rPr>
        <w:t>s</w:t>
      </w:r>
      <w:r w:rsidR="00F76A2A" w:rsidRPr="00BC7A12">
        <w:rPr>
          <w:rFonts w:cs="Calibri"/>
        </w:rPr>
        <w:t xml:space="preserve"> and seascape</w:t>
      </w:r>
      <w:r w:rsidR="00C964E8" w:rsidRPr="00BC7A12">
        <w:rPr>
          <w:rFonts w:cs="Calibri"/>
        </w:rPr>
        <w:t>s</w:t>
      </w:r>
      <w:r w:rsidR="003248F0" w:rsidRPr="00BC7A12">
        <w:rPr>
          <w:rFonts w:cs="Calibri"/>
        </w:rPr>
        <w:t>.</w:t>
      </w:r>
      <w:r w:rsidR="00F76A2A" w:rsidRPr="00BC7A12">
        <w:rPr>
          <w:rFonts w:cs="Calibri"/>
        </w:rPr>
        <w:t xml:space="preserve"> </w:t>
      </w:r>
      <w:r w:rsidR="003248F0" w:rsidRPr="00BC7A12">
        <w:rPr>
          <w:rFonts w:cs="Calibri"/>
        </w:rPr>
        <w:t xml:space="preserve">For example, </w:t>
      </w:r>
      <w:r w:rsidR="00F76A2A" w:rsidRPr="00BC7A12">
        <w:rPr>
          <w:rFonts w:cs="Calibri"/>
        </w:rPr>
        <w:t>Bowling Green Bay in northern Queensland is a Ramsar listed wetland</w:t>
      </w:r>
      <w:r w:rsidR="003248F0" w:rsidRPr="00BC7A12">
        <w:rPr>
          <w:rFonts w:cs="Calibri"/>
        </w:rPr>
        <w:t xml:space="preserve">. The </w:t>
      </w:r>
      <w:r w:rsidR="00F76A2A" w:rsidRPr="00BC7A12">
        <w:rPr>
          <w:rFonts w:cs="Calibri"/>
        </w:rPr>
        <w:t xml:space="preserve">catchment </w:t>
      </w:r>
      <w:r w:rsidR="003248F0" w:rsidRPr="00BC7A12">
        <w:rPr>
          <w:rFonts w:cs="Calibri"/>
        </w:rPr>
        <w:t xml:space="preserve">in which it resides </w:t>
      </w:r>
      <w:r w:rsidR="00F76A2A" w:rsidRPr="00BC7A12">
        <w:rPr>
          <w:rFonts w:cs="Calibri"/>
        </w:rPr>
        <w:t>has been modified for agricultural production</w:t>
      </w:r>
      <w:r w:rsidR="003248F0" w:rsidRPr="00BC7A12">
        <w:rPr>
          <w:rFonts w:cs="Calibri"/>
        </w:rPr>
        <w:t xml:space="preserve">, delivering </w:t>
      </w:r>
      <w:r w:rsidR="00F76A2A" w:rsidRPr="00BC7A12">
        <w:rPr>
          <w:rFonts w:cs="Calibri"/>
        </w:rPr>
        <w:t xml:space="preserve">high nutrient, </w:t>
      </w:r>
      <w:proofErr w:type="gramStart"/>
      <w:r w:rsidR="00F76A2A" w:rsidRPr="00BC7A12">
        <w:rPr>
          <w:rFonts w:cs="Calibri"/>
        </w:rPr>
        <w:t>sediments</w:t>
      </w:r>
      <w:proofErr w:type="gramEnd"/>
      <w:r w:rsidR="00F76A2A" w:rsidRPr="00BC7A12">
        <w:rPr>
          <w:rFonts w:cs="Calibri"/>
        </w:rPr>
        <w:t xml:space="preserve"> and herbicides </w:t>
      </w:r>
      <w:r w:rsidR="003248F0" w:rsidRPr="00BC7A12">
        <w:rPr>
          <w:rFonts w:cs="Calibri"/>
        </w:rPr>
        <w:t xml:space="preserve">to the </w:t>
      </w:r>
      <w:r w:rsidR="00F76A2A" w:rsidRPr="00BC7A12">
        <w:rPr>
          <w:rFonts w:cs="Calibri"/>
        </w:rPr>
        <w:t xml:space="preserve">wetland. </w:t>
      </w:r>
      <w:r w:rsidR="005555BB" w:rsidRPr="00BC7A12">
        <w:rPr>
          <w:rFonts w:cs="Calibri"/>
        </w:rPr>
        <w:t xml:space="preserve">These </w:t>
      </w:r>
      <w:r w:rsidR="00F60DA3" w:rsidRPr="00BC7A12">
        <w:rPr>
          <w:rFonts w:cs="Calibri"/>
        </w:rPr>
        <w:t xml:space="preserve">land use </w:t>
      </w:r>
      <w:r w:rsidR="003767D2" w:rsidRPr="00BC7A12">
        <w:rPr>
          <w:rFonts w:cs="Calibri"/>
        </w:rPr>
        <w:t>impacts</w:t>
      </w:r>
      <w:r w:rsidR="00F60DA3" w:rsidRPr="00BC7A12">
        <w:rPr>
          <w:rFonts w:cs="Calibri"/>
        </w:rPr>
        <w:t xml:space="preserve"> </w:t>
      </w:r>
      <w:r w:rsidR="003767D2" w:rsidRPr="00BC7A12">
        <w:rPr>
          <w:rFonts w:cs="Calibri"/>
        </w:rPr>
        <w:t xml:space="preserve">to wetlands </w:t>
      </w:r>
      <w:r w:rsidR="00F60DA3" w:rsidRPr="00BC7A12">
        <w:rPr>
          <w:rFonts w:cs="Calibri"/>
        </w:rPr>
        <w:t>(which are not related to a specific action or decision)</w:t>
      </w:r>
      <w:r w:rsidR="002277DB">
        <w:rPr>
          <w:rFonts w:cs="Calibri"/>
        </w:rPr>
        <w:t xml:space="preserve"> </w:t>
      </w:r>
      <w:r w:rsidR="003767D2" w:rsidRPr="00BC7A12">
        <w:rPr>
          <w:rFonts w:cs="Calibri"/>
        </w:rPr>
        <w:t xml:space="preserve">are beyond </w:t>
      </w:r>
      <w:r w:rsidR="00F60DA3" w:rsidRPr="00BC7A12">
        <w:rPr>
          <w:rFonts w:cs="Calibri"/>
        </w:rPr>
        <w:t xml:space="preserve">the </w:t>
      </w:r>
      <w:r w:rsidR="005555BB" w:rsidRPr="00BC7A12">
        <w:rPr>
          <w:rFonts w:cs="Calibri"/>
        </w:rPr>
        <w:t>reach</w:t>
      </w:r>
      <w:r w:rsidR="00F60DA3" w:rsidRPr="00BC7A12">
        <w:rPr>
          <w:rFonts w:cs="Calibri"/>
        </w:rPr>
        <w:t xml:space="preserve"> of the EPBC Act</w:t>
      </w:r>
      <w:r w:rsidR="005555BB" w:rsidRPr="00BC7A12">
        <w:rPr>
          <w:rFonts w:cs="Calibri"/>
        </w:rPr>
        <w:t xml:space="preserve">, </w:t>
      </w:r>
      <w:r w:rsidR="00F60DA3" w:rsidRPr="00BC7A12">
        <w:rPr>
          <w:rFonts w:cs="Calibri"/>
        </w:rPr>
        <w:t>resulting in</w:t>
      </w:r>
      <w:r w:rsidR="00F76A2A" w:rsidRPr="00BC7A12">
        <w:rPr>
          <w:rFonts w:cs="Calibri"/>
        </w:rPr>
        <w:t xml:space="preserve"> coastal wetland degradation </w:t>
      </w:r>
      <w:r w:rsidR="003767D2" w:rsidRPr="00BC7A12">
        <w:rPr>
          <w:rFonts w:cs="Calibri"/>
        </w:rPr>
        <w:t xml:space="preserve">and loss. </w:t>
      </w:r>
      <w:r w:rsidR="00F60DA3" w:rsidRPr="00BC7A12">
        <w:rPr>
          <w:rFonts w:cs="Calibri"/>
        </w:rPr>
        <w:t xml:space="preserve">State and territory environmental assessment legislation </w:t>
      </w:r>
      <w:r w:rsidR="00DC213C">
        <w:rPr>
          <w:rFonts w:cs="Calibri"/>
        </w:rPr>
        <w:t xml:space="preserve">generally </w:t>
      </w:r>
      <w:r w:rsidR="00F60DA3" w:rsidRPr="00BC7A12">
        <w:rPr>
          <w:rFonts w:cs="Calibri"/>
        </w:rPr>
        <w:t>operates in a similar way</w:t>
      </w:r>
      <w:r w:rsidR="00BA2A18" w:rsidRPr="00BC7A12">
        <w:rPr>
          <w:rFonts w:cs="Calibri"/>
        </w:rPr>
        <w:t xml:space="preserve">, focused on a single species or protected areas and not the broader landscape. </w:t>
      </w:r>
    </w:p>
    <w:p w14:paraId="7D3A33ED" w14:textId="6227B3C7" w:rsidR="00D6345A" w:rsidRPr="00BC7A12" w:rsidRDefault="002A090E" w:rsidP="002A090E">
      <w:pPr>
        <w:rPr>
          <w:rFonts w:cs="Calibri"/>
        </w:rPr>
      </w:pPr>
      <w:r w:rsidRPr="00BC7A12">
        <w:rPr>
          <w:rFonts w:cs="Calibri"/>
        </w:rPr>
        <w:t xml:space="preserve">Coastal planning </w:t>
      </w:r>
      <w:r w:rsidR="00F179E1">
        <w:rPr>
          <w:rFonts w:cs="Calibri"/>
        </w:rPr>
        <w:t xml:space="preserve">and strategic environmental assessments </w:t>
      </w:r>
      <w:r w:rsidRPr="00BC7A12">
        <w:rPr>
          <w:rFonts w:cs="Calibri"/>
        </w:rPr>
        <w:t xml:space="preserve">provide an </w:t>
      </w:r>
      <w:proofErr w:type="gramStart"/>
      <w:r w:rsidRPr="00BC7A12">
        <w:rPr>
          <w:rFonts w:cs="Calibri"/>
        </w:rPr>
        <w:t>opportunit</w:t>
      </w:r>
      <w:r w:rsidR="00F179E1">
        <w:rPr>
          <w:rFonts w:cs="Calibri"/>
        </w:rPr>
        <w:t>ies</w:t>
      </w:r>
      <w:proofErr w:type="gramEnd"/>
      <w:r w:rsidRPr="00BC7A12">
        <w:rPr>
          <w:rFonts w:cs="Calibri"/>
        </w:rPr>
        <w:t xml:space="preserve"> </w:t>
      </w:r>
      <w:r w:rsidR="00521757" w:rsidRPr="00BC7A12">
        <w:rPr>
          <w:rFonts w:cs="Calibri"/>
        </w:rPr>
        <w:t>address some of these issues.</w:t>
      </w:r>
      <w:r w:rsidRPr="00BC7A12">
        <w:rPr>
          <w:rFonts w:cs="Calibri"/>
        </w:rPr>
        <w:t xml:space="preserve"> </w:t>
      </w:r>
    </w:p>
    <w:p w14:paraId="311E981A" w14:textId="518A4EF2" w:rsidR="00C273F8" w:rsidRPr="00BC7A12" w:rsidRDefault="00C273F8" w:rsidP="00C273F8">
      <w:pPr>
        <w:rPr>
          <w:rFonts w:cs="Calibri"/>
          <w:sz w:val="21"/>
          <w:szCs w:val="21"/>
          <w:shd w:val="clear" w:color="auto" w:fill="FFFFFF"/>
        </w:rPr>
      </w:pPr>
    </w:p>
    <w:p w14:paraId="34C3B87F" w14:textId="0BCEE585" w:rsidR="00FD33CA" w:rsidRPr="00BC7A12" w:rsidRDefault="00FD33CA" w:rsidP="008C1384">
      <w:pPr>
        <w:pStyle w:val="Heading3"/>
        <w:rPr>
          <w:rFonts w:cs="Calibri"/>
        </w:rPr>
      </w:pPr>
      <w:bookmarkStart w:id="69" w:name="_Toc46822315"/>
      <w:r w:rsidRPr="00BC7A12">
        <w:rPr>
          <w:rFonts w:cs="Calibri"/>
        </w:rPr>
        <w:t>Disaster Recovery Funding Arrangements</w:t>
      </w:r>
      <w:bookmarkEnd w:id="69"/>
      <w:r w:rsidRPr="00BC7A12">
        <w:rPr>
          <w:rFonts w:cs="Calibri"/>
        </w:rPr>
        <w:t xml:space="preserve"> </w:t>
      </w:r>
    </w:p>
    <w:p w14:paraId="23652E72" w14:textId="2828D680" w:rsidR="00C273F8" w:rsidRDefault="00605E17" w:rsidP="00C273F8">
      <w:pPr>
        <w:rPr>
          <w:rFonts w:cs="Calibri"/>
        </w:rPr>
      </w:pPr>
      <w:r w:rsidRPr="00BC7A12">
        <w:rPr>
          <w:rFonts w:cs="Calibri"/>
        </w:rPr>
        <w:t xml:space="preserve">Disaster Recovery Funding Arrangements and </w:t>
      </w:r>
      <w:r w:rsidR="00F60DA3" w:rsidRPr="00BC7A12">
        <w:rPr>
          <w:rFonts w:cs="Calibri"/>
        </w:rPr>
        <w:t xml:space="preserve">programs </w:t>
      </w:r>
      <w:r w:rsidR="001B667C" w:rsidRPr="00BC7A12">
        <w:rPr>
          <w:rFonts w:cs="Calibri"/>
        </w:rPr>
        <w:t xml:space="preserve">can fund </w:t>
      </w:r>
      <w:r w:rsidR="00A527D0" w:rsidRPr="00BC7A12">
        <w:rPr>
          <w:rFonts w:cs="Calibri"/>
        </w:rPr>
        <w:t xml:space="preserve">up to 75 percent of </w:t>
      </w:r>
      <w:r w:rsidR="001B667C" w:rsidRPr="00BC7A12">
        <w:rPr>
          <w:rFonts w:cs="Calibri"/>
        </w:rPr>
        <w:t>the restoration of coastal wetlands in the event of disasters</w:t>
      </w:r>
      <w:r w:rsidR="008A72DD" w:rsidRPr="00BC7A12">
        <w:rPr>
          <w:rFonts w:cs="Calibri"/>
        </w:rPr>
        <w:t xml:space="preserve"> </w:t>
      </w:r>
      <w:r w:rsidR="008A72DD" w:rsidRPr="00BC7A12">
        <w:rPr>
          <w:rFonts w:cs="Calibri"/>
        </w:rPr>
        <w:fldChar w:fldCharType="begin" w:fldLock="1"/>
      </w:r>
      <w:r w:rsidR="008067C2" w:rsidRPr="00BC7A12">
        <w:rPr>
          <w:rFonts w:cs="Calibri"/>
        </w:rPr>
        <w:instrText>ADDIN CSL_CITATION {"citationItems":[{"id":"ITEM-1","itemData":{"author":[{"dropping-particle":"","family":"Department of Home Affairs","given":"","non-dropping-particle":"","parse-names":false,"suffix":""}],"id":"ITEM-1","issue":"407","issued":{"date-parts":[["2010"]]},"number-of-pages":"1-73","publisher-place":"Canberra","title":"DISASTER RECOVERY FUNDING ARRANGEMENTS 2018","type":"report"},"uris":["http://www.mendeley.com/documents/?uuid=e29a80aa-4bbf-4d89-b2b8-34875b71cfe7"]}],"mendeley":{"formattedCitation":"(Department of Home Affairs 2010)","plainTextFormattedCitation":"(Department of Home Affairs 2010)","previouslyFormattedCitation":"(Department of Home Affairs 2010)"},"properties":{"noteIndex":0},"schema":"https://github.com/citation-style-language/schema/raw/master/csl-citation.json"}</w:instrText>
      </w:r>
      <w:r w:rsidR="008A72DD" w:rsidRPr="00BC7A12">
        <w:rPr>
          <w:rFonts w:cs="Calibri"/>
        </w:rPr>
        <w:fldChar w:fldCharType="separate"/>
      </w:r>
      <w:r w:rsidR="00A527D0" w:rsidRPr="00BC7A12">
        <w:rPr>
          <w:rFonts w:cs="Calibri"/>
          <w:noProof/>
        </w:rPr>
        <w:t>(Department of Home Affairs 2010)</w:t>
      </w:r>
      <w:r w:rsidR="008A72DD" w:rsidRPr="00BC7A12">
        <w:rPr>
          <w:rFonts w:cs="Calibri"/>
        </w:rPr>
        <w:fldChar w:fldCharType="end"/>
      </w:r>
      <w:r w:rsidR="00292B0F" w:rsidRPr="00BC7A12">
        <w:rPr>
          <w:rFonts w:cs="Calibri"/>
        </w:rPr>
        <w:t>.</w:t>
      </w:r>
      <w:r w:rsidR="00497431" w:rsidRPr="00BC7A12">
        <w:rPr>
          <w:rFonts w:cs="Calibri"/>
        </w:rPr>
        <w:t xml:space="preserve"> </w:t>
      </w:r>
      <w:r w:rsidR="001B667C" w:rsidRPr="00BC7A12">
        <w:rPr>
          <w:rFonts w:cs="Calibri"/>
        </w:rPr>
        <w:t xml:space="preserve">Ecosystems that protect </w:t>
      </w:r>
      <w:r w:rsidR="00C11043" w:rsidRPr="00BC7A12">
        <w:rPr>
          <w:rFonts w:cs="Calibri"/>
        </w:rPr>
        <w:t xml:space="preserve">property with the greatest value, especially </w:t>
      </w:r>
      <w:r w:rsidR="001B667C" w:rsidRPr="00BC7A12">
        <w:rPr>
          <w:rFonts w:cs="Calibri"/>
        </w:rPr>
        <w:t xml:space="preserve">if </w:t>
      </w:r>
      <w:r w:rsidR="00F60DA3" w:rsidRPr="00BC7A12">
        <w:rPr>
          <w:rFonts w:cs="Calibri"/>
        </w:rPr>
        <w:t>the property</w:t>
      </w:r>
      <w:r w:rsidR="001B667C" w:rsidRPr="00BC7A12">
        <w:rPr>
          <w:rFonts w:cs="Calibri"/>
        </w:rPr>
        <w:t xml:space="preserve"> enables </w:t>
      </w:r>
      <w:r w:rsidR="00C11043" w:rsidRPr="00BC7A12">
        <w:rPr>
          <w:rFonts w:cs="Calibri"/>
        </w:rPr>
        <w:t xml:space="preserve">essential services such as </w:t>
      </w:r>
      <w:r w:rsidR="0085303B" w:rsidRPr="00BC7A12">
        <w:rPr>
          <w:rFonts w:cs="Calibri"/>
        </w:rPr>
        <w:t xml:space="preserve">a </w:t>
      </w:r>
      <w:r w:rsidR="001B667C" w:rsidRPr="00BC7A12">
        <w:rPr>
          <w:rFonts w:cs="Calibri"/>
        </w:rPr>
        <w:t xml:space="preserve">hospital, </w:t>
      </w:r>
      <w:r w:rsidR="00C11043" w:rsidRPr="00BC7A12">
        <w:rPr>
          <w:rFonts w:cs="Calibri"/>
        </w:rPr>
        <w:t xml:space="preserve">are likely to </w:t>
      </w:r>
      <w:r w:rsidR="001B667C" w:rsidRPr="00BC7A12">
        <w:rPr>
          <w:rFonts w:cs="Calibri"/>
        </w:rPr>
        <w:t>determine the prioriti</w:t>
      </w:r>
      <w:r w:rsidR="009F43F8" w:rsidRPr="00BC7A12">
        <w:rPr>
          <w:rFonts w:cs="Calibri"/>
        </w:rPr>
        <w:t>s</w:t>
      </w:r>
      <w:r w:rsidR="001B667C" w:rsidRPr="00BC7A12">
        <w:rPr>
          <w:rFonts w:cs="Calibri"/>
        </w:rPr>
        <w:t xml:space="preserve">ation of restoration efforts. For example, a coastal wetland protecting a </w:t>
      </w:r>
      <w:r w:rsidR="00BE0CE7" w:rsidRPr="00BC7A12">
        <w:rPr>
          <w:rFonts w:cs="Calibri"/>
        </w:rPr>
        <w:t xml:space="preserve">fire </w:t>
      </w:r>
      <w:r w:rsidR="008A72DD" w:rsidRPr="00BC7A12">
        <w:rPr>
          <w:rFonts w:cs="Calibri"/>
        </w:rPr>
        <w:t xml:space="preserve">station </w:t>
      </w:r>
      <w:r w:rsidR="001B667C" w:rsidRPr="00BC7A12">
        <w:rPr>
          <w:rFonts w:cs="Calibri"/>
        </w:rPr>
        <w:t xml:space="preserve">and large apartment complex will be restored before a coastal wetland protecting a retail establishment </w:t>
      </w:r>
      <w:r w:rsidR="00904F8D" w:rsidRPr="00BC7A12">
        <w:rPr>
          <w:rFonts w:cs="Calibri"/>
        </w:rPr>
        <w:t xml:space="preserve">and urban </w:t>
      </w:r>
      <w:r w:rsidR="007F3705" w:rsidRPr="00BC7A12">
        <w:rPr>
          <w:rFonts w:cs="Calibri"/>
        </w:rPr>
        <w:t xml:space="preserve">park. DRR </w:t>
      </w:r>
      <w:r w:rsidR="00904F8D" w:rsidRPr="00BC7A12">
        <w:rPr>
          <w:rFonts w:cs="Calibri"/>
        </w:rPr>
        <w:t>valuations can inform this prioriti</w:t>
      </w:r>
      <w:r w:rsidR="009F43F8" w:rsidRPr="00BC7A12">
        <w:rPr>
          <w:rFonts w:cs="Calibri"/>
        </w:rPr>
        <w:t>s</w:t>
      </w:r>
      <w:r w:rsidR="00904F8D" w:rsidRPr="00BC7A12">
        <w:rPr>
          <w:rFonts w:cs="Calibri"/>
        </w:rPr>
        <w:t xml:space="preserve">ation </w:t>
      </w:r>
      <w:r w:rsidR="008A72DD" w:rsidRPr="00BC7A12">
        <w:rPr>
          <w:rFonts w:cs="Calibri"/>
        </w:rPr>
        <w:t>but</w:t>
      </w:r>
      <w:r w:rsidR="00A9762F" w:rsidRPr="00BC7A12">
        <w:rPr>
          <w:rFonts w:cs="Calibri"/>
        </w:rPr>
        <w:t xml:space="preserve">, </w:t>
      </w:r>
      <w:proofErr w:type="gramStart"/>
      <w:r w:rsidR="00A9762F" w:rsidRPr="00BC7A12">
        <w:rPr>
          <w:rFonts w:cs="Calibri"/>
        </w:rPr>
        <w:t>in order to</w:t>
      </w:r>
      <w:proofErr w:type="gramEnd"/>
      <w:r w:rsidR="00A9762F" w:rsidRPr="00BC7A12">
        <w:rPr>
          <w:rFonts w:cs="Calibri"/>
        </w:rPr>
        <w:t xml:space="preserve"> do so effectively, must use locally explicit valuation </w:t>
      </w:r>
      <w:r w:rsidR="004F6F3C" w:rsidRPr="00BC7A12">
        <w:rPr>
          <w:rFonts w:cs="Calibri"/>
        </w:rPr>
        <w:t>approaches</w:t>
      </w:r>
      <w:r w:rsidR="007F3705" w:rsidRPr="00BC7A12">
        <w:rPr>
          <w:rFonts w:cs="Calibri"/>
        </w:rPr>
        <w:t>.</w:t>
      </w:r>
      <w:r w:rsidR="008A72DD" w:rsidRPr="00BC7A12">
        <w:rPr>
          <w:rFonts w:cs="Calibri"/>
        </w:rPr>
        <w:t xml:space="preserve"> </w:t>
      </w:r>
    </w:p>
    <w:p w14:paraId="41B9B3FB" w14:textId="0C3A88F7" w:rsidR="00F179E1" w:rsidRDefault="00F179E1" w:rsidP="00C273F8">
      <w:pPr>
        <w:rPr>
          <w:rFonts w:cs="Calibri"/>
        </w:rPr>
      </w:pPr>
    </w:p>
    <w:p w14:paraId="3CA52AF8" w14:textId="2CF00F75" w:rsidR="00F179E1" w:rsidRDefault="00F179E1" w:rsidP="00F179E1">
      <w:pPr>
        <w:pStyle w:val="Heading3"/>
      </w:pPr>
      <w:bookmarkStart w:id="70" w:name="_Toc46822316"/>
      <w:r>
        <w:t>Strategic environmental assessments</w:t>
      </w:r>
      <w:bookmarkEnd w:id="70"/>
    </w:p>
    <w:p w14:paraId="108DB3DA" w14:textId="0B0F6F71" w:rsidR="00F179E1" w:rsidRPr="00BC7A12" w:rsidRDefault="00F179E1" w:rsidP="00C273F8">
      <w:pPr>
        <w:rPr>
          <w:rFonts w:cs="Calibri"/>
        </w:rPr>
      </w:pPr>
      <w:r>
        <w:rPr>
          <w:rFonts w:cs="Calibri"/>
        </w:rPr>
        <w:t xml:space="preserve">State sponsored strategic environmental assessments have been identified as a means to collect data, model and value how ecosystem change </w:t>
      </w:r>
      <w:r w:rsidR="00E74423">
        <w:rPr>
          <w:rFonts w:cs="Calibri"/>
        </w:rPr>
        <w:t>effects</w:t>
      </w:r>
      <w:r>
        <w:rPr>
          <w:rFonts w:cs="Calibri"/>
        </w:rPr>
        <w:t xml:space="preserve"> the delivery of benefits to society </w:t>
      </w:r>
      <w:r>
        <w:rPr>
          <w:rFonts w:cs="Calibri"/>
        </w:rPr>
        <w:fldChar w:fldCharType="begin" w:fldLock="1"/>
      </w:r>
      <w:r w:rsidR="000438FA">
        <w:rPr>
          <w:rFonts w:cs="Calibri"/>
        </w:rPr>
        <w:instrText>ADDIN CSL_CITATION {"citationItems":[{"id":"ITEM-1","itemData":{"DOI":"10.4324/9781315531212-2","ISBN":"9781315531212","author":[{"dropping-particle":"","family":"Geneletti","given":"Davide","non-dropping-particle":"","parse-names":false,"suffix":""}],"container-title":"Mainstreaming Natural Capital and Ecosystem Services into Development Policy","id":"ITEM-1","issued":{"date-parts":[["2019","9","12"]]},"page":"16-39","publisher":"Routledge","title":"Strategic Environmental Assessment as a tool to mainstream ecosystem services in planning","type":"chapter"},"uris":["http://www.mendeley.com/documents/?uuid=685994b6-0e4f-4320-ad96-19a792bfb717"]}],"mendeley":{"formattedCitation":"(Geneletti 2019)","plainTextFormattedCitation":"(Geneletti 2019)","previouslyFormattedCitation":"(Geneletti 2019)"},"properties":{"noteIndex":0},"schema":"https://github.com/citation-style-language/schema/raw/master/csl-citation.json"}</w:instrText>
      </w:r>
      <w:r>
        <w:rPr>
          <w:rFonts w:cs="Calibri"/>
        </w:rPr>
        <w:fldChar w:fldCharType="separate"/>
      </w:r>
      <w:r w:rsidRPr="00F179E1">
        <w:rPr>
          <w:rFonts w:cs="Calibri"/>
          <w:noProof/>
        </w:rPr>
        <w:t>(Geneletti 2019)</w:t>
      </w:r>
      <w:r>
        <w:rPr>
          <w:rFonts w:cs="Calibri"/>
        </w:rPr>
        <w:fldChar w:fldCharType="end"/>
      </w:r>
      <w:r>
        <w:rPr>
          <w:rFonts w:cs="Calibri"/>
        </w:rPr>
        <w:t xml:space="preserve">. </w:t>
      </w:r>
      <w:r w:rsidR="00E74423">
        <w:rPr>
          <w:rFonts w:cs="Calibri"/>
        </w:rPr>
        <w:lastRenderedPageBreak/>
        <w:t xml:space="preserve">Such base analysis could provide public and private sectors with the means to </w:t>
      </w:r>
      <w:proofErr w:type="gramStart"/>
      <w:r w:rsidR="00E74423">
        <w:rPr>
          <w:rFonts w:cs="Calibri"/>
        </w:rPr>
        <w:t>more easily incorporate disaster risk reduction ecosystem services</w:t>
      </w:r>
      <w:proofErr w:type="gramEnd"/>
      <w:r w:rsidR="00E74423">
        <w:rPr>
          <w:rFonts w:cs="Calibri"/>
        </w:rPr>
        <w:t xml:space="preserve"> into coastal planning. </w:t>
      </w:r>
    </w:p>
    <w:p w14:paraId="2D11F9B3" w14:textId="77777777" w:rsidR="00EE0B3B" w:rsidRPr="00BC7A12" w:rsidRDefault="00EE0B3B" w:rsidP="00932A19">
      <w:pPr>
        <w:spacing w:after="0"/>
        <w:jc w:val="left"/>
        <w:rPr>
          <w:rFonts w:eastAsia="Times New Roman" w:cs="Calibri"/>
        </w:rPr>
      </w:pPr>
    </w:p>
    <w:p w14:paraId="6DC8F107" w14:textId="7A54A3D6" w:rsidR="008C1384" w:rsidRPr="00BC7A12" w:rsidRDefault="008C1384" w:rsidP="00813B5D">
      <w:pPr>
        <w:pStyle w:val="Heading2"/>
        <w:rPr>
          <w:rFonts w:cs="Calibri"/>
        </w:rPr>
      </w:pPr>
      <w:bookmarkStart w:id="71" w:name="_Toc46822317"/>
      <w:r w:rsidRPr="00BC7A12">
        <w:rPr>
          <w:rFonts w:cs="Calibri"/>
        </w:rPr>
        <w:t>Cost benefit analysis</w:t>
      </w:r>
      <w:bookmarkEnd w:id="71"/>
      <w:r w:rsidRPr="00BC7A12">
        <w:rPr>
          <w:rFonts w:cs="Calibri"/>
        </w:rPr>
        <w:t xml:space="preserve"> </w:t>
      </w:r>
    </w:p>
    <w:p w14:paraId="2B3B52B1" w14:textId="0C798C07" w:rsidR="00A9762F" w:rsidRPr="00BC7A12" w:rsidRDefault="009D2E86" w:rsidP="00932A19">
      <w:pPr>
        <w:spacing w:after="0"/>
        <w:rPr>
          <w:rFonts w:cs="Calibri"/>
          <w:shd w:val="clear" w:color="auto" w:fill="FFFFFF"/>
        </w:rPr>
      </w:pPr>
      <w:r w:rsidRPr="00BC7A12">
        <w:rPr>
          <w:rFonts w:cs="Calibri"/>
          <w:shd w:val="clear" w:color="auto" w:fill="FFFFFF"/>
        </w:rPr>
        <w:t>Most coastal planning decision</w:t>
      </w:r>
      <w:r w:rsidR="00C95388" w:rsidRPr="00BC7A12">
        <w:rPr>
          <w:rFonts w:cs="Calibri"/>
          <w:shd w:val="clear" w:color="auto" w:fill="FFFFFF"/>
        </w:rPr>
        <w:t>s</w:t>
      </w:r>
      <w:r w:rsidRPr="00BC7A12">
        <w:rPr>
          <w:rFonts w:cs="Calibri"/>
          <w:shd w:val="clear" w:color="auto" w:fill="FFFFFF"/>
        </w:rPr>
        <w:t xml:space="preserve"> require balancing interests among stakeholders </w:t>
      </w:r>
      <w:r w:rsidRPr="00BC7A12">
        <w:rPr>
          <w:rFonts w:cs="Calibri"/>
          <w:shd w:val="clear" w:color="auto" w:fill="FFFFFF"/>
        </w:rPr>
        <w:fldChar w:fldCharType="begin" w:fldLock="1"/>
      </w:r>
      <w:r w:rsidR="006C0755" w:rsidRPr="00BC7A12">
        <w:rPr>
          <w:rFonts w:cs="Calibri"/>
          <w:shd w:val="clear" w:color="auto" w:fill="FFFFFF"/>
        </w:rPr>
        <w:instrText>ADDIN CSL_CITATION {"citationItems":[{"id":"ITEM-1","itemData":{"author":[{"dropping-particle":"","family":"Clark","given":"G.F.","non-dropping-particle":"","parse-names":false,"suffix":""},{"dropping-particle":"","family":"Johnston","given":"E.L.","non-dropping-particle":"","parse-names":false,"suffix":""}],"id":"ITEM-1","issued":{"date-parts":[["2017"]]},"publisher-place":"Canberra","title":"Australia state of the environment 2016: coasts, independent report to the Australian Government Minister for Environment and Energy","type":"report"},"uris":["http://www.mendeley.com/documents/?uuid=05d5dfc1-cd1b-45b9-b529-42373925a6c9"]}],"mendeley":{"formattedCitation":"(Clark &amp; Johnston 2017)","plainTextFormattedCitation":"(Clark &amp; Johnston 2017)","previouslyFormattedCitation":"(Clark &amp; Johnston 2017)"},"properties":{"noteIndex":0},"schema":"https://github.com/citation-style-language/schema/raw/master/csl-citation.json"}</w:instrText>
      </w:r>
      <w:r w:rsidRPr="00BC7A12">
        <w:rPr>
          <w:rFonts w:cs="Calibri"/>
          <w:shd w:val="clear" w:color="auto" w:fill="FFFFFF"/>
        </w:rPr>
        <w:fldChar w:fldCharType="separate"/>
      </w:r>
      <w:r w:rsidRPr="00BC7A12">
        <w:rPr>
          <w:rFonts w:cs="Calibri"/>
          <w:noProof/>
          <w:shd w:val="clear" w:color="auto" w:fill="FFFFFF"/>
        </w:rPr>
        <w:t>(Clark &amp; Johnston 2017)</w:t>
      </w:r>
      <w:r w:rsidRPr="00BC7A12">
        <w:rPr>
          <w:rFonts w:cs="Calibri"/>
          <w:shd w:val="clear" w:color="auto" w:fill="FFFFFF"/>
        </w:rPr>
        <w:fldChar w:fldCharType="end"/>
      </w:r>
      <w:r w:rsidR="00292B0F" w:rsidRPr="00BC7A12">
        <w:rPr>
          <w:rFonts w:cs="Calibri"/>
          <w:shd w:val="clear" w:color="auto" w:fill="FFFFFF"/>
        </w:rPr>
        <w:t>.</w:t>
      </w:r>
      <w:r w:rsidRPr="00BC7A12">
        <w:rPr>
          <w:rFonts w:cs="Calibri"/>
          <w:shd w:val="clear" w:color="auto" w:fill="FFFFFF"/>
        </w:rPr>
        <w:t xml:space="preserve"> </w:t>
      </w:r>
      <w:r w:rsidR="005C71A2" w:rsidRPr="00BC7A12">
        <w:rPr>
          <w:rFonts w:cs="Calibri"/>
          <w:shd w:val="clear" w:color="auto" w:fill="FFFFFF"/>
        </w:rPr>
        <w:t xml:space="preserve">Cost benefit </w:t>
      </w:r>
      <w:r w:rsidR="00E831E1" w:rsidRPr="00BC7A12">
        <w:rPr>
          <w:rFonts w:cs="Calibri"/>
          <w:shd w:val="clear" w:color="auto" w:fill="FFFFFF"/>
        </w:rPr>
        <w:t xml:space="preserve">analysis </w:t>
      </w:r>
      <w:r w:rsidR="007F3705" w:rsidRPr="00BC7A12">
        <w:rPr>
          <w:rFonts w:cs="Calibri"/>
          <w:shd w:val="clear" w:color="auto" w:fill="FFFFFF"/>
        </w:rPr>
        <w:t xml:space="preserve">(CBA) </w:t>
      </w:r>
      <w:r w:rsidR="00E831E1" w:rsidRPr="00BC7A12">
        <w:rPr>
          <w:rFonts w:cs="Calibri"/>
          <w:shd w:val="clear" w:color="auto" w:fill="FFFFFF"/>
        </w:rPr>
        <w:t xml:space="preserve">is a </w:t>
      </w:r>
      <w:r w:rsidR="005C71A2" w:rsidRPr="00BC7A12">
        <w:rPr>
          <w:rFonts w:cs="Calibri"/>
          <w:shd w:val="clear" w:color="auto" w:fill="FFFFFF"/>
        </w:rPr>
        <w:t xml:space="preserve">key part of this </w:t>
      </w:r>
      <w:r w:rsidR="007F3705" w:rsidRPr="00BC7A12">
        <w:rPr>
          <w:rFonts w:cs="Calibri"/>
          <w:shd w:val="clear" w:color="auto" w:fill="FFFFFF"/>
        </w:rPr>
        <w:t xml:space="preserve">balancing </w:t>
      </w:r>
      <w:r w:rsidR="005C71A2" w:rsidRPr="00BC7A12">
        <w:rPr>
          <w:rFonts w:cs="Calibri"/>
          <w:shd w:val="clear" w:color="auto" w:fill="FFFFFF"/>
        </w:rPr>
        <w:t>because it can provide a single unit of comparison</w:t>
      </w:r>
      <w:r w:rsidR="00A9762F" w:rsidRPr="00BC7A12">
        <w:rPr>
          <w:rFonts w:cs="Calibri"/>
          <w:shd w:val="clear" w:color="auto" w:fill="FFFFFF"/>
        </w:rPr>
        <w:t xml:space="preserve"> for several scenarios or options (e.g. protecting the wetland, protecting half of the wetland). </w:t>
      </w:r>
      <w:r w:rsidR="00CF501F" w:rsidRPr="00BC7A12">
        <w:rPr>
          <w:rFonts w:cs="Calibri"/>
          <w:shd w:val="clear" w:color="auto" w:fill="FFFFFF"/>
        </w:rPr>
        <w:t xml:space="preserve">Privately commissioned CBAs </w:t>
      </w:r>
      <w:r w:rsidR="00C95388" w:rsidRPr="00BC7A12">
        <w:rPr>
          <w:rFonts w:cs="Calibri"/>
          <w:shd w:val="clear" w:color="auto" w:fill="FFFFFF"/>
        </w:rPr>
        <w:t>demonstrate</w:t>
      </w:r>
      <w:r w:rsidR="00CF501F" w:rsidRPr="00BC7A12">
        <w:rPr>
          <w:rFonts w:cs="Calibri"/>
          <w:shd w:val="clear" w:color="auto" w:fill="FFFFFF"/>
        </w:rPr>
        <w:t xml:space="preserve"> a net benefit to the company, while state managed CBA for large developments or policies show the net benefit to society. CBA analys</w:t>
      </w:r>
      <w:r w:rsidR="00C95388" w:rsidRPr="00BC7A12">
        <w:rPr>
          <w:rFonts w:cs="Calibri"/>
          <w:shd w:val="clear" w:color="auto" w:fill="FFFFFF"/>
        </w:rPr>
        <w:t>e</w:t>
      </w:r>
      <w:r w:rsidR="00CF501F" w:rsidRPr="00BC7A12">
        <w:rPr>
          <w:rFonts w:cs="Calibri"/>
          <w:shd w:val="clear" w:color="auto" w:fill="FFFFFF"/>
        </w:rPr>
        <w:t xml:space="preserve">s typically analyse the net impacts to different stakeholder groups. </w:t>
      </w:r>
    </w:p>
    <w:p w14:paraId="4FC51F2B" w14:textId="77777777" w:rsidR="00A9762F" w:rsidRPr="00BC7A12" w:rsidRDefault="00A9762F" w:rsidP="00A9762F">
      <w:pPr>
        <w:pStyle w:val="CommentText"/>
        <w:rPr>
          <w:rFonts w:ascii="Calibri" w:hAnsi="Calibri" w:cs="Calibri"/>
        </w:rPr>
      </w:pPr>
    </w:p>
    <w:p w14:paraId="29D32D7A" w14:textId="5525DC4C" w:rsidR="008D327D" w:rsidRPr="00BC7A12" w:rsidRDefault="00A36B7C" w:rsidP="008D327D">
      <w:pPr>
        <w:rPr>
          <w:rFonts w:cs="Calibri"/>
        </w:rPr>
      </w:pPr>
      <w:r w:rsidRPr="00BC7A12">
        <w:rPr>
          <w:rFonts w:cs="Calibri"/>
          <w:shd w:val="clear" w:color="auto" w:fill="FFFFFF"/>
        </w:rPr>
        <w:t xml:space="preserve">The inclusion of ecosystem services in CBA through </w:t>
      </w:r>
      <w:r w:rsidR="0055256A" w:rsidRPr="00BC7A12">
        <w:rPr>
          <w:rFonts w:cs="Calibri"/>
          <w:shd w:val="clear" w:color="auto" w:fill="FFFFFF"/>
        </w:rPr>
        <w:t xml:space="preserve">valuations has been </w:t>
      </w:r>
      <w:r w:rsidR="00FA1250" w:rsidRPr="00BC7A12">
        <w:rPr>
          <w:rFonts w:cs="Calibri"/>
          <w:shd w:val="clear" w:color="auto" w:fill="FFFFFF"/>
        </w:rPr>
        <w:t xml:space="preserve">identified </w:t>
      </w:r>
      <w:r w:rsidR="0063786D" w:rsidRPr="0063786D">
        <w:rPr>
          <w:rFonts w:cs="Calibri"/>
          <w:shd w:val="clear" w:color="auto" w:fill="FFFFFF"/>
        </w:rPr>
        <w:t xml:space="preserve">by many stakeholders </w:t>
      </w:r>
      <w:r w:rsidR="00C95388" w:rsidRPr="00BC7A12">
        <w:rPr>
          <w:rFonts w:cs="Calibri"/>
          <w:shd w:val="clear" w:color="auto" w:fill="FFFFFF"/>
        </w:rPr>
        <w:t xml:space="preserve">as </w:t>
      </w:r>
      <w:r w:rsidR="00C273F8" w:rsidRPr="00BC7A12">
        <w:rPr>
          <w:rFonts w:cs="Calibri"/>
          <w:shd w:val="clear" w:color="auto" w:fill="FFFFFF"/>
        </w:rPr>
        <w:t xml:space="preserve">a useful approach to improving management of Australia’s </w:t>
      </w:r>
      <w:r w:rsidR="0055256A" w:rsidRPr="00BC7A12">
        <w:rPr>
          <w:rFonts w:cs="Calibri"/>
          <w:shd w:val="clear" w:color="auto" w:fill="FFFFFF"/>
        </w:rPr>
        <w:t>coasts</w:t>
      </w:r>
      <w:r w:rsidR="002E7712" w:rsidRPr="00BC7A12">
        <w:rPr>
          <w:rFonts w:cs="Calibri"/>
          <w:shd w:val="clear" w:color="auto" w:fill="FFFFFF"/>
        </w:rPr>
        <w:t xml:space="preserve"> </w:t>
      </w:r>
      <w:r w:rsidR="00C273F8" w:rsidRPr="00BC7A12">
        <w:rPr>
          <w:rFonts w:cs="Calibri"/>
          <w:shd w:val="clear" w:color="auto" w:fill="FFFFFF"/>
        </w:rPr>
        <w:fldChar w:fldCharType="begin" w:fldLock="1"/>
      </w:r>
      <w:r w:rsidR="004A3522" w:rsidRPr="00BC7A12">
        <w:rPr>
          <w:rFonts w:cs="Calibri"/>
          <w:shd w:val="clear" w:color="auto" w:fill="FFFFFF"/>
        </w:rPr>
        <w:instrText>ADDIN CSL_CITATION {"citationItems":[{"id":"ITEM-1","itemData":{"DOI":"10.1016/j.marpol.2015.02.011","ISSN":"0308597X","abstract":"The use and influence of ecosystem services valuation in management decision-making, particularly as it relates to coastal zone management, remains largely unexplored in the academic literature. A recent Australia-wide survey of decision-makers involved in coastal zone management examined if, how and to what extent economic valuation of coastal and marine ecosystem services is used in, and influences, decision-making in Australia. The survey also identified a set of cases where economic valuation of ecosystem services was used for decision-making, and reasons why economic values may or may not be considered in the decision-making process. This paper details the method and results from this survey. Overall, there is strong empirical evidence that economic valuation of ecosystem services is used, but with important variation across coastal and marine management contexts. However, the impact of ecosystem services valuation on policy appears to be globally weak.","author":[{"dropping-particle":"","family":"Marre","given":"Jean-Baptiste","non-dropping-particle":"","parse-names":false,"suffix":""},{"dropping-particle":"","family":"Thebaud","given":"Olivier","non-dropping-particle":"","parse-names":false,"suffix":""},{"dropping-particle":"","family":"Pascoe","given":"Sean","non-dropping-particle":"","parse-names":false,"suffix":""},{"dropping-particle":"","family":"Jennings","given":"Sarah","non-dropping-particle":"","parse-names":false,"suffix":""},{"dropping-particle":"","family":"Boncoeur","given":"Jean","non-dropping-particle":"","parse-names":false,"suffix":""},{"dropping-particle":"","family":"Coglan","given":"Louisa","non-dropping-particle":"","parse-names":false,"suffix":""}],"container-title":"Marine Policy","id":"ITEM-1","issued":{"date-parts":[["2015","6"]]},"page":"117-124","publisher":"Elsevier","title":"The use of ecosystem services valuation in Australian coastal zone management","type":"article-journal","volume":"56"},"uris":["http://www.mendeley.com/documents/?uuid=8973e02c-a50d-4e9b-ab6b-81befa1d2c96"]},{"id":"ITEM-2","itemData":{"author":[{"dropping-particle":"","family":"Clark","given":"G.F.","non-dropping-particle":"","parse-names":false,"suffix":""},{"dropping-particle":"","family":"Johnston","given":"E.L.","non-dropping-particle":"","parse-names":false,"suffix":""}],"id":"ITEM-2","issued":{"date-parts":[["2017"]]},"publisher-place":"Canberra","title":"Australia state of the environment 2016: coasts, independent report to the Australian Government Minister for Environment and Energy","type":"report"},"uris":["http://www.mendeley.com/documents/?uuid=05d5dfc1-cd1b-45b9-b529-42373925a6c9"]}],"mendeley":{"formattedCitation":"(Marre et al. 2015, Clark &amp; Johnston 2017)","plainTextFormattedCitation":"(Marre et al. 2015, Clark &amp; Johnston 2017)","previouslyFormattedCitation":"(Marre et al. 2015, Clark &amp; Johnston 2017)"},"properties":{"noteIndex":0},"schema":"https://github.com/citation-style-language/schema/raw/master/csl-citation.json"}</w:instrText>
      </w:r>
      <w:r w:rsidR="00C273F8" w:rsidRPr="00BC7A12">
        <w:rPr>
          <w:rFonts w:cs="Calibri"/>
          <w:shd w:val="clear" w:color="auto" w:fill="FFFFFF"/>
        </w:rPr>
        <w:fldChar w:fldCharType="separate"/>
      </w:r>
      <w:r w:rsidR="002E7712" w:rsidRPr="00BC7A12">
        <w:rPr>
          <w:rFonts w:cs="Calibri"/>
          <w:noProof/>
          <w:shd w:val="clear" w:color="auto" w:fill="FFFFFF"/>
        </w:rPr>
        <w:t>(Marre et al. 2015, Clark &amp; Johnston 2017)</w:t>
      </w:r>
      <w:r w:rsidR="00C273F8" w:rsidRPr="00BC7A12">
        <w:rPr>
          <w:rFonts w:cs="Calibri"/>
          <w:shd w:val="clear" w:color="auto" w:fill="FFFFFF"/>
        </w:rPr>
        <w:fldChar w:fldCharType="end"/>
      </w:r>
      <w:r w:rsidR="00292B0F" w:rsidRPr="00BC7A12">
        <w:rPr>
          <w:rFonts w:cs="Calibri"/>
          <w:shd w:val="clear" w:color="auto" w:fill="FFFFFF"/>
        </w:rPr>
        <w:t>.</w:t>
      </w:r>
      <w:r w:rsidR="004A3522" w:rsidRPr="00BC7A12">
        <w:rPr>
          <w:rFonts w:cs="Calibri"/>
          <w:shd w:val="clear" w:color="auto" w:fill="FFFFFF"/>
        </w:rPr>
        <w:t xml:space="preserve"> There are examples of Australian frameworks for incorporating ecosystem services values into CBA </w:t>
      </w:r>
      <w:r w:rsidR="004A3522" w:rsidRPr="00BC7A12">
        <w:rPr>
          <w:rFonts w:cs="Calibri"/>
          <w:shd w:val="clear" w:color="auto" w:fill="FFFFFF"/>
        </w:rPr>
        <w:fldChar w:fldCharType="begin" w:fldLock="1"/>
      </w:r>
      <w:r w:rsidR="00F62D05" w:rsidRPr="00BC7A12">
        <w:rPr>
          <w:rFonts w:cs="Calibri"/>
          <w:shd w:val="clear" w:color="auto" w:fill="FFFFFF"/>
        </w:rPr>
        <w:instrText>ADDIN CSL_CITATION {"citationItems":[{"id":"ITEM-1","itemData":{"DOI":"10.1080/15715124.2013.865635","ISSN":"18142060","abstract":"ABSTRACT: During the past decade the concept of ecosystem services (ES) – the benefits that nature provides to humans – has increasingly been embraced as a promising avenue towards sustainable resource management. Initially pitched to incentive-based biodiversity conservation, the ES concept is now being applied to a diversity of environmental resources in a multitude of policy, planning and management contexts. In the context of water planning, the ES concept is increasingly rivalling the Integrated Water Resource Management paradigm. Despite the omnipresence of the ES language, significant challenges remain in terms of ES implementation and governance. This paper reports on lessons learnt from the collaborative development of an ES Framework within the context of statutory water allocation planning in Australia. The Framework consists of seven components, three of which match key planning steps in existing Australian statutory water planning guidelines. Central to the Framework is a benefits table for water planning. The benefits table is based on the ‘ES cascade’ model, a metaphor which makes clear distinctions between ecosystem processes, functions, services, benefits, values and beneficiaries. The benefits table is intended for bidirectional use, confronting demands of water system beneficiaries with the biophysical mechanisms that render the services. The Framework is innovative in three ways. First, it was jointly designed with Australia's national water agency (the National Water Commission), based on statutory guidelines for water planning and management. Second, it addresses a statutory requirement for water planning processes to better consider public benefits from aquatic systems, thus providing a direct incentive for water planners to engage with the Framework. Third, the Framework emphasizes the need for comprehensive, a-priori analysis of ES beneficiaries. Comprehensive evaluation of the ES Framework will be required to document successful applications and share lessons learnt amongst the water planning and ES research communities.","author":[{"dropping-particle":"","family":"Plant","given":"Roel","non-dropping-particle":"","parse-names":false,"suffix":""},{"dropping-particle":"","family":"Prior","given":"Timothy","non-dropping-particle":"","parse-names":false,"suffix":""}],"container-title":"International Journal of River Basin Management","id":"ITEM-1","issued":{"date-parts":[["2014"]]},"title":"An ecosystem services framework to support statutory water allocation planning in Australia","type":"article-journal"},"uris":["http://www.mendeley.com/documents/?uuid=6c498af5-eb8e-4cc9-be84-b374fb92bb4d"]},{"id":"ITEM-2","itemData":{"ISBN":"9781922136022","abstract":"Water planning in Australia has a well-established tradition of incorporating benefits associated with consumptive uses of water from aquatic systems, for example irrigation and bulk town water supply. Less emphasis has been placed on identifying and incorporating additional ‘ecosystem service’ benefits such as flood mitigation, improved drainage, better water quality and lower water treatment costs. Because of their ‘non-market’ nature, these benefits are difficult to value quantitatively. Other non-extractive ‘ecosystem service’ benefits of aquatic systems that support our wellbeing, for instance recreational amenity and cultural values, are even more difficult to quantify. This Waterlines report aims to encourage a more comprehensive, systematic and transparent consideration of the multiple benefits of aquatic systems in water planning. It will better equip water planners and managers to account for these broader ecosystems services and apply this concept in practice, by helping them to identify, describe, explain and communicate their public benefits. The approach has been designed to complement current planning practices by providing ideas, tools and examples that can be taken up at several points in water plan development. It will support explicit identification and consideration of public benefits and ecosystem services, as is recognised in Australian water policies including the National Water Initiative.","author":[{"dropping-particle":"","family":"Plant","given":"Roel","non-dropping-particle":"","parse-names":false,"suffix":""},{"dropping-particle":"","family":"Taylor","given":"Clare","non-dropping-particle":"","parse-names":false,"suffix":""},{"dropping-particle":"","family":"Hamstead","given":"Mark","non-dropping-particle":"","parse-names":false,"suffix":""},{"dropping-particle":"","family":"Prior","given":"Tim","non-dropping-particle":"","parse-names":false,"suffix":""}],"container-title":"Waterlines Report Series","id":"ITEM-2","issue":"87","issued":{"date-parts":[["2012"]]},"publisher-place":"Canberra","title":"Recognising the broader benefits of aquatic systems in water planning : an ecosystem sPlant, R et al. 2012, Recognising the broader benefits of aquatic systems in water planning : an ecosystem services approach, Canberra, &lt;http://archive.nwc.gov.au/librar","type":"report"},"uris":["http://www.mendeley.com/documents/?uuid=f2f61a0d-fda5-4310-9976-32b0804fb592"]}],"mendeley":{"formattedCitation":"(Plant &amp; Prior 2014, Plant et al. 2012)","plainTextFormattedCitation":"(Plant &amp; Prior 2014, Plant et al. 2012)","previouslyFormattedCitation":"(Plant &amp; Prior 2014, Plant et al. 2012)"},"properties":{"noteIndex":0},"schema":"https://github.com/citation-style-language/schema/raw/master/csl-citation.json"}</w:instrText>
      </w:r>
      <w:r w:rsidR="004A3522" w:rsidRPr="00BC7A12">
        <w:rPr>
          <w:rFonts w:cs="Calibri"/>
          <w:shd w:val="clear" w:color="auto" w:fill="FFFFFF"/>
        </w:rPr>
        <w:fldChar w:fldCharType="separate"/>
      </w:r>
      <w:r w:rsidR="004A3522" w:rsidRPr="00BC7A12">
        <w:rPr>
          <w:rFonts w:cs="Calibri"/>
          <w:noProof/>
          <w:shd w:val="clear" w:color="auto" w:fill="FFFFFF"/>
        </w:rPr>
        <w:t>(Plant &amp; Prior 2014, Plant et al. 2012)</w:t>
      </w:r>
      <w:r w:rsidR="004A3522" w:rsidRPr="00BC7A12">
        <w:rPr>
          <w:rFonts w:cs="Calibri"/>
          <w:shd w:val="clear" w:color="auto" w:fill="FFFFFF"/>
        </w:rPr>
        <w:fldChar w:fldCharType="end"/>
      </w:r>
      <w:r w:rsidR="00C90054" w:rsidRPr="00BC7A12">
        <w:rPr>
          <w:rFonts w:cs="Calibri"/>
          <w:shd w:val="clear" w:color="auto" w:fill="FFFFFF"/>
        </w:rPr>
        <w:t>.</w:t>
      </w:r>
      <w:r w:rsidR="004A3522" w:rsidRPr="00BC7A12">
        <w:rPr>
          <w:rFonts w:cs="Calibri"/>
          <w:shd w:val="clear" w:color="auto" w:fill="FFFFFF"/>
        </w:rPr>
        <w:t xml:space="preserve"> </w:t>
      </w:r>
      <w:r w:rsidR="00B84090" w:rsidRPr="00BC7A12">
        <w:rPr>
          <w:rFonts w:cs="Calibri"/>
          <w:shd w:val="clear" w:color="auto" w:fill="FFFFFF"/>
        </w:rPr>
        <w:t>CBA’s</w:t>
      </w:r>
      <w:r w:rsidR="00932A19" w:rsidRPr="00BC7A12">
        <w:rPr>
          <w:rFonts w:cs="Calibri"/>
          <w:shd w:val="clear" w:color="auto" w:fill="FFFFFF"/>
        </w:rPr>
        <w:t xml:space="preserve"> efficacy lies in ensuring that decision makers understand and trust the valuation that is conducted </w:t>
      </w:r>
      <w:r w:rsidR="00932A19" w:rsidRPr="00BC7A12">
        <w:rPr>
          <w:rFonts w:cs="Calibri"/>
          <w:shd w:val="clear" w:color="auto" w:fill="FFFFFF"/>
        </w:rPr>
        <w:fldChar w:fldCharType="begin" w:fldLock="1"/>
      </w:r>
      <w:r w:rsidR="008A72DD" w:rsidRPr="00BC7A12">
        <w:rPr>
          <w:rFonts w:cs="Calibri"/>
          <w:shd w:val="clear" w:color="auto" w:fill="FFFFFF"/>
        </w:rPr>
        <w:instrText>ADDIN CSL_CITATION {"citationItems":[{"id":"ITEM-1","itemData":{"DOI":"10.1016/j.envsci.2016.06.003","ISSN":"18736416","abstract":"Ecosystem services support human livelihoods and economies but are declining in many places. Ecosystem service assessments estimate the benefits that nature provides to people and can be used to evaluate trade-offs in impacts and changes resulting from land use decisions. Such assessments can affect the capacity of decision-makers to make sustainable land use decisions, but the actual impact of such projects on decision-maker attitudes is almost entirely unstudied. We addressed this knowledge gap by evaluating the impact of an ecosystem service assessment on decision-makers in California. We asked how decision-makers' understanding of and attitudes about ecosystem services changed \"pre-\" and \"post-\" assessments and between treatment groups where ecosystem services were assessed and a comparison group where ecosystem services were not assessed. Mixed methods included regression models to estimate the treatment effect of the assessment (using a difference-in-differences approach), as well as interviews and direct observations to further understand how decision-makers responded to the assessment. Regression results showed small increases relative to the comparison group in decision-maker understanding of ecosystem services and perceived relevance of ecosystem services to their work. Interviews confirmed that decision-makers learned specific ways that they could use ecosystem services in conservation and development decisions and believed that doing so would improve outcomes. These results demonstrate how ecosystem services assessments can facilitate a conceptual shift in the minds of decision-makers, which is a necessary ingredient for subsequent policy impact. Impact evaluation studies of this type - that estimate a counterfactual and explore rival explanations for observed outcomes - are needed to truly understand whether ecosystem service projects impact decision-makers and, ultimately, produce outcomes for environmental and human well-being.","author":[{"dropping-particle":"","family":"Posner","given":"Stephen","non-dropping-particle":"","parse-names":false,"suffix":""},{"dropping-particle":"","family":"Getz","given":"Christy","non-dropping-particle":"","parse-names":false,"suffix":""},{"dropping-particle":"","family":"Ricketts","given":"Taylor","non-dropping-particle":"","parse-names":false,"suffix":""}],"container-title":"Environmental Science and Policy","id":"ITEM-1","issued":{"date-parts":[["2016"]]},"page":"30-37","publisher":"Elsevier Ltd","title":"Evaluating the impact of ecosystem service assessments on decision-makers","type":"article-journal","volume":"64"},"uris":["http://www.mendeley.com/documents/?uuid=aff97781-2fb4-45e0-850d-24e5a55e8984"]}],"mendeley":{"formattedCitation":"(Posner et al. 2016)","plainTextFormattedCitation":"(Posner et al. 2016)","previouslyFormattedCitation":"(Posner et al. 2016)"},"properties":{"noteIndex":0},"schema":"https://github.com/citation-style-language/schema/raw/master/csl-citation.json"}</w:instrText>
      </w:r>
      <w:r w:rsidR="00932A19" w:rsidRPr="00BC7A12">
        <w:rPr>
          <w:rFonts w:cs="Calibri"/>
          <w:shd w:val="clear" w:color="auto" w:fill="FFFFFF"/>
        </w:rPr>
        <w:fldChar w:fldCharType="separate"/>
      </w:r>
      <w:r w:rsidR="00932A19" w:rsidRPr="00BC7A12">
        <w:rPr>
          <w:rFonts w:cs="Calibri"/>
          <w:noProof/>
          <w:shd w:val="clear" w:color="auto" w:fill="FFFFFF"/>
        </w:rPr>
        <w:t>(Posner et al. 2016)</w:t>
      </w:r>
      <w:r w:rsidR="00932A19" w:rsidRPr="00BC7A12">
        <w:rPr>
          <w:rFonts w:cs="Calibri"/>
          <w:shd w:val="clear" w:color="auto" w:fill="FFFFFF"/>
        </w:rPr>
        <w:fldChar w:fldCharType="end"/>
      </w:r>
      <w:r w:rsidR="00292B0F" w:rsidRPr="00BC7A12">
        <w:rPr>
          <w:rFonts w:cs="Calibri"/>
          <w:shd w:val="clear" w:color="auto" w:fill="FFFFFF"/>
        </w:rPr>
        <w:t>.</w:t>
      </w:r>
      <w:r w:rsidR="00932A19" w:rsidRPr="00BC7A12">
        <w:rPr>
          <w:rFonts w:cs="Calibri"/>
          <w:shd w:val="clear" w:color="auto" w:fill="FFFFFF"/>
        </w:rPr>
        <w:t xml:space="preserve"> This requires careful engagement and leadership internal to the planning processes. </w:t>
      </w:r>
      <w:r w:rsidR="008D327D" w:rsidRPr="00BC7A12">
        <w:rPr>
          <w:rFonts w:cs="Calibri"/>
        </w:rPr>
        <w:t>This integration can also improve the incorporation of local knowledge from non</w:t>
      </w:r>
      <w:r w:rsidR="00C61E2B" w:rsidRPr="00BC7A12">
        <w:rPr>
          <w:rFonts w:cs="Calibri"/>
        </w:rPr>
        <w:t>-</w:t>
      </w:r>
      <w:r w:rsidR="008D327D" w:rsidRPr="00BC7A12">
        <w:rPr>
          <w:rFonts w:cs="Calibri"/>
        </w:rPr>
        <w:t xml:space="preserve">experts, strengthening analysis. </w:t>
      </w:r>
      <w:r w:rsidR="008A72DD" w:rsidRPr="00BC7A12">
        <w:rPr>
          <w:rFonts w:cs="Calibri"/>
          <w:shd w:val="clear" w:color="auto" w:fill="FFFFFF"/>
        </w:rPr>
        <w:t xml:space="preserve">But this does not discount </w:t>
      </w:r>
      <w:r w:rsidR="00C95388" w:rsidRPr="00BC7A12">
        <w:rPr>
          <w:rFonts w:cs="Calibri"/>
          <w:shd w:val="clear" w:color="auto" w:fill="FFFFFF"/>
        </w:rPr>
        <w:t>the need to have</w:t>
      </w:r>
      <w:r w:rsidR="00E831E1" w:rsidRPr="00BC7A12">
        <w:rPr>
          <w:rFonts w:cs="Calibri"/>
          <w:shd w:val="clear" w:color="auto" w:fill="FFFFFF"/>
        </w:rPr>
        <w:t xml:space="preserve"> effective valuation </w:t>
      </w:r>
      <w:r w:rsidR="00860A53" w:rsidRPr="00BC7A12">
        <w:rPr>
          <w:rFonts w:cs="Calibri"/>
          <w:shd w:val="clear" w:color="auto" w:fill="FFFFFF"/>
        </w:rPr>
        <w:t xml:space="preserve">techniques that are defensible. </w:t>
      </w:r>
      <w:r w:rsidR="007F3705" w:rsidRPr="00BC7A12">
        <w:rPr>
          <w:rFonts w:cs="Calibri"/>
          <w:shd w:val="clear" w:color="auto" w:fill="FFFFFF"/>
        </w:rPr>
        <w:t xml:space="preserve">Indeed, well executed valuations have influenced the creation of marine parks, </w:t>
      </w:r>
      <w:r w:rsidR="00E605EA" w:rsidRPr="00BC7A12">
        <w:rPr>
          <w:rFonts w:cs="Calibri"/>
          <w:shd w:val="clear" w:color="auto" w:fill="FFFFFF"/>
        </w:rPr>
        <w:t>introduction</w:t>
      </w:r>
      <w:r w:rsidR="006C0755" w:rsidRPr="00BC7A12">
        <w:rPr>
          <w:rFonts w:cs="Calibri"/>
          <w:shd w:val="clear" w:color="auto" w:fill="FFFFFF"/>
        </w:rPr>
        <w:t xml:space="preserve"> of </w:t>
      </w:r>
      <w:r w:rsidR="007F3705" w:rsidRPr="00BC7A12">
        <w:rPr>
          <w:rFonts w:cs="Calibri"/>
          <w:shd w:val="clear" w:color="auto" w:fill="FFFFFF"/>
        </w:rPr>
        <w:t xml:space="preserve">visitor fees to parks and </w:t>
      </w:r>
      <w:r w:rsidR="006C0755" w:rsidRPr="00BC7A12">
        <w:rPr>
          <w:rFonts w:cs="Calibri"/>
          <w:shd w:val="clear" w:color="auto" w:fill="FFFFFF"/>
        </w:rPr>
        <w:t>limiting of extractive activities</w:t>
      </w:r>
      <w:r w:rsidR="00FA1250" w:rsidRPr="00BC7A12">
        <w:rPr>
          <w:rFonts w:cs="Calibri"/>
          <w:shd w:val="clear" w:color="auto" w:fill="FFFFFF"/>
        </w:rPr>
        <w:t xml:space="preserve"> around the world</w:t>
      </w:r>
      <w:r w:rsidR="006C0755" w:rsidRPr="00BC7A12">
        <w:rPr>
          <w:rFonts w:cs="Calibri"/>
          <w:shd w:val="clear" w:color="auto" w:fill="FFFFFF"/>
        </w:rPr>
        <w:t xml:space="preserve"> </w:t>
      </w:r>
      <w:r w:rsidR="006C0755" w:rsidRPr="00BC7A12">
        <w:rPr>
          <w:rFonts w:cs="Calibri"/>
          <w:shd w:val="clear" w:color="auto" w:fill="FFFFFF"/>
        </w:rPr>
        <w:fldChar w:fldCharType="begin" w:fldLock="1"/>
      </w:r>
      <w:r w:rsidR="008F3709" w:rsidRPr="00BC7A12">
        <w:rPr>
          <w:rFonts w:cs="Calibri"/>
          <w:shd w:val="clear" w:color="auto" w:fill="FFFFFF"/>
        </w:rPr>
        <w:instrText>ADDIN CSL_CITATION {"citationItems":[{"id":"ITEM-1","itemData":{"DOI":"http://dx.doi.org/10.1787/5jm2f6w8b25l-en","abstract":"There are now a large number of valuation studies on the benefits of biodiversity and on ecosystem services, the services provided by different ecosystems (ESS). Both ideas have been used to elicit values from nature but in recent years the research community has focussed on ESS as the main organising framework, with some additional use of the biodiversity concept to value entities that have intrinsic value and are of an extraordinary nature. Estimates are available for the services from most habitats, by type of ecosystem service, usually expressed in USD per hectare per year. Coverage varies by habitat and region, as does the quality of the assessment, but it is possible now to carry out an estimation of changes in values for a number of ecosystem services a result of the introduction of a new policy or of a physical investment that modifies the ecosystem. While this is a positive development, there remain some issues to be resolved. One is the possibility of double-counting of services when using the standard categories of provisioning, regulating/supporting and cultural ESS. Regulating and supporting services are the basis of the provisioning services and so value estimates for the two cannot always be added up. For example, air pollution absorption is often valued using the cost of alternative ways of reducing the pollutants from the atmosphere while recreation is often valued in terms of willingness-to-pay (WTP) through stated preference methods. The literature reveals wide spatial variability in values for services by habitat. This factor has been underscored in the recent research that values ESS on a spatial basis, such as the global assessments conducted as part of The Economics of Ecosystems and Biodiversity (TEEB) and the national ecosystem assessments (NEA) in the UK. At the local level, there are relatively few studies that actually conduct a full blown cost-benefit analysis relative to the number of studies that estimate the value of ESS. One reason is the need to estimate changes in ESS as a function of a policy change, rather than value the ESS in their current form, and difficulties in linking policy changes to changes in ESS. A number of other key points emerge from the review. One relates to the role of benefit transfer compared to primary data collection. For policy assessment and cost-benefit analysis, primary data collection seems to be required quite often. This may reflect the literature surveyed, which was from leading journals…","author":[{"dropping-particle":"","family":"Markandya","given":"A.","non-dropping-particle":"","parse-names":false,"suffix":""}],"id":"ITEM-1","issue":"101","issued":{"date-parts":[["2016"]]},"number-of-pages":"278","publisher-place":"Paris","title":"Cost Benefit Analysis and the Environment:How to best cover impacts on biodiversity and ecosystem services","type":"report"},"uris":["http://www.mendeley.com/documents/?uuid=c0b20b65-27ef-4225-b77d-f5a9af7a3cd4"]}],"mendeley":{"formattedCitation":"(Markandya 2016)","plainTextFormattedCitation":"(Markandya 2016)","previouslyFormattedCitation":"(Markandya 2016)"},"properties":{"noteIndex":0},"schema":"https://github.com/citation-style-language/schema/raw/master/csl-citation.json"}</w:instrText>
      </w:r>
      <w:r w:rsidR="006C0755" w:rsidRPr="00BC7A12">
        <w:rPr>
          <w:rFonts w:cs="Calibri"/>
          <w:shd w:val="clear" w:color="auto" w:fill="FFFFFF"/>
        </w:rPr>
        <w:fldChar w:fldCharType="separate"/>
      </w:r>
      <w:r w:rsidR="006C0755" w:rsidRPr="00BC7A12">
        <w:rPr>
          <w:rFonts w:cs="Calibri"/>
          <w:noProof/>
          <w:shd w:val="clear" w:color="auto" w:fill="FFFFFF"/>
        </w:rPr>
        <w:t>(Markandya 2016)</w:t>
      </w:r>
      <w:r w:rsidR="006C0755" w:rsidRPr="00BC7A12">
        <w:rPr>
          <w:rFonts w:cs="Calibri"/>
          <w:shd w:val="clear" w:color="auto" w:fill="FFFFFF"/>
        </w:rPr>
        <w:fldChar w:fldCharType="end"/>
      </w:r>
      <w:r w:rsidR="00292B0F" w:rsidRPr="00BC7A12">
        <w:rPr>
          <w:rFonts w:cs="Calibri"/>
          <w:shd w:val="clear" w:color="auto" w:fill="FFFFFF"/>
        </w:rPr>
        <w:t>.</w:t>
      </w:r>
      <w:r w:rsidR="008D327D" w:rsidRPr="00BC7A12">
        <w:rPr>
          <w:rFonts w:cs="Calibri"/>
          <w:shd w:val="clear" w:color="auto" w:fill="FFFFFF"/>
        </w:rPr>
        <w:t xml:space="preserve"> </w:t>
      </w:r>
    </w:p>
    <w:p w14:paraId="21ABBDF7" w14:textId="4E11C867" w:rsidR="009D2E86" w:rsidRPr="00BC7A12" w:rsidRDefault="006C0755" w:rsidP="008D327D">
      <w:pPr>
        <w:rPr>
          <w:rFonts w:cs="Calibri"/>
          <w:shd w:val="clear" w:color="auto" w:fill="FFFFFF"/>
        </w:rPr>
      </w:pPr>
      <w:r w:rsidRPr="00BC7A12">
        <w:rPr>
          <w:rFonts w:cs="Calibri"/>
          <w:shd w:val="clear" w:color="auto" w:fill="FFFFFF"/>
        </w:rPr>
        <w:t xml:space="preserve">Beyond </w:t>
      </w:r>
      <w:r w:rsidR="00EF5A06" w:rsidRPr="00BC7A12">
        <w:rPr>
          <w:rFonts w:cs="Calibri"/>
          <w:shd w:val="clear" w:color="auto" w:fill="FFFFFF"/>
        </w:rPr>
        <w:t xml:space="preserve">thorough </w:t>
      </w:r>
      <w:r w:rsidRPr="00BC7A12">
        <w:rPr>
          <w:rFonts w:cs="Calibri"/>
          <w:shd w:val="clear" w:color="auto" w:fill="FFFFFF"/>
        </w:rPr>
        <w:t>stakeholder engagement</w:t>
      </w:r>
      <w:r w:rsidR="00632269" w:rsidRPr="00BC7A12">
        <w:rPr>
          <w:rFonts w:cs="Calibri"/>
          <w:shd w:val="clear" w:color="auto" w:fill="FFFFFF"/>
        </w:rPr>
        <w:t xml:space="preserve"> (e.g. clear policy question</w:t>
      </w:r>
      <w:r w:rsidR="00133F23" w:rsidRPr="00BC7A12">
        <w:rPr>
          <w:rFonts w:cs="Calibri"/>
          <w:shd w:val="clear" w:color="auto" w:fill="FFFFFF"/>
        </w:rPr>
        <w:t>/choice</w:t>
      </w:r>
      <w:r w:rsidR="00632269" w:rsidRPr="00BC7A12">
        <w:rPr>
          <w:rFonts w:cs="Calibri"/>
          <w:shd w:val="clear" w:color="auto" w:fill="FFFFFF"/>
        </w:rPr>
        <w:t xml:space="preserve">, effective communications and access to decision makers, clear presentation of </w:t>
      </w:r>
      <w:r w:rsidR="00AB07FB" w:rsidRPr="00BC7A12">
        <w:rPr>
          <w:rFonts w:cs="Calibri"/>
          <w:shd w:val="clear" w:color="auto" w:fill="FFFFFF"/>
        </w:rPr>
        <w:t xml:space="preserve">techniques </w:t>
      </w:r>
      <w:r w:rsidR="00632269" w:rsidRPr="00BC7A12">
        <w:rPr>
          <w:rFonts w:cs="Calibri"/>
          <w:shd w:val="clear" w:color="auto" w:fill="FFFFFF"/>
        </w:rPr>
        <w:t>and assumptions)</w:t>
      </w:r>
      <w:r w:rsidRPr="00BC7A12">
        <w:rPr>
          <w:rFonts w:cs="Calibri"/>
          <w:shd w:val="clear" w:color="auto" w:fill="FFFFFF"/>
        </w:rPr>
        <w:t>,</w:t>
      </w:r>
      <w:r w:rsidR="00632269" w:rsidRPr="00BC7A12">
        <w:rPr>
          <w:rFonts w:cs="Calibri"/>
          <w:shd w:val="clear" w:color="auto" w:fill="FFFFFF"/>
        </w:rPr>
        <w:t xml:space="preserve"> </w:t>
      </w:r>
      <w:r w:rsidR="00784A18" w:rsidRPr="00BC7A12">
        <w:rPr>
          <w:rFonts w:cs="Calibri"/>
          <w:shd w:val="clear" w:color="auto" w:fill="FFFFFF"/>
        </w:rPr>
        <w:fldChar w:fldCharType="begin" w:fldLock="1"/>
      </w:r>
      <w:r w:rsidR="00A07253" w:rsidRPr="00BC7A12">
        <w:rPr>
          <w:rFonts w:cs="Calibri"/>
          <w:shd w:val="clear" w:color="auto" w:fill="FFFFFF"/>
        </w:rPr>
        <w:instrText>ADDIN CSL_CITATION {"citationItems":[{"id":"ITEM-1","itemData":{"abstract":"Coastal ecosystems are valuable to people and economies across the Caribbean, but are threatened by human pressures. Ecosystem valuation can make the economic case for protection of coastal ecosystems, but in many cases valuation studies have had a limited impact on decision making regarding coastal resource use in the Caribbean. Drawing on the lessons learned from coastal valuations that have successfully informed decision making in the Caribbean, this guidebook leads valuation practitioners through the three phases of a valuation effort to inform decision making: 1. Scoping 2. Analysis 3. Outreach and Use of Results.","author":[{"dropping-particle":"","family":"Waite","given":"Richard","non-dropping-particle":"","parse-names":false,"suffix":""},{"dropping-particle":"","family":"Burke","given":"Lauretta","non-dropping-particle":"","parse-names":false,"suffix":""},{"dropping-particle":"","family":"Gray","given":"Erin","non-dropping-particle":"","parse-names":false,"suffix":""},{"dropping-particle":"","family":"Beukering","given":"Pieter","non-dropping-particle":"van","parse-names":false,"suffix":""},{"dropping-particle":"","family":"Brander","given":"Luke","non-dropping-particle":"","parse-names":false,"suffix":""},{"dropping-particle":"","family":"McKenzie","given":"Emily","non-dropping-particle":"","parse-names":false,"suffix":""},{"dropping-particle":"","family":"Pendleton","given":"Linwood","non-dropping-particle":"","parse-names":false,"suffix":""},{"dropping-particle":"","family":"Schuhmann","given":"Peter","non-dropping-particle":"","parse-names":false,"suffix":""},{"dropping-particle":"","family":"Tompkins","given":"Emma","non-dropping-particle":"","parse-names":false,"suffix":""}],"id":"ITEM-1","issued":{"date-parts":[["2014"]]},"number-of-pages":"78","publisher-place":"Washington D. C.","title":"Coastal Capital: Ecosystem Valuation for Decision Making in the Caribbean","type":"report"},"uris":["http://www.mendeley.com/documents/?uuid=752b11fb-386f-484a-a522-3dcb90eada54"]}],"mendeley":{"formattedCitation":"(Waite et al. 2014)","plainTextFormattedCitation":"(Waite et al. 2014)","previouslyFormattedCitation":"(Waite et al. 2014)"},"properties":{"noteIndex":0},"schema":"https://github.com/citation-style-language/schema/raw/master/csl-citation.json"}</w:instrText>
      </w:r>
      <w:r w:rsidR="00784A18" w:rsidRPr="00BC7A12">
        <w:rPr>
          <w:rFonts w:cs="Calibri"/>
          <w:shd w:val="clear" w:color="auto" w:fill="FFFFFF"/>
        </w:rPr>
        <w:fldChar w:fldCharType="separate"/>
      </w:r>
      <w:r w:rsidR="00784A18" w:rsidRPr="00BC7A12">
        <w:rPr>
          <w:rFonts w:cs="Calibri"/>
          <w:noProof/>
          <w:shd w:val="clear" w:color="auto" w:fill="FFFFFF"/>
        </w:rPr>
        <w:t>(Waite et al. 2014)</w:t>
      </w:r>
      <w:r w:rsidR="00784A18" w:rsidRPr="00BC7A12">
        <w:rPr>
          <w:rFonts w:cs="Calibri"/>
          <w:shd w:val="clear" w:color="auto" w:fill="FFFFFF"/>
        </w:rPr>
        <w:fldChar w:fldCharType="end"/>
      </w:r>
      <w:r w:rsidRPr="00BC7A12">
        <w:rPr>
          <w:rFonts w:cs="Calibri"/>
          <w:shd w:val="clear" w:color="auto" w:fill="FFFFFF"/>
        </w:rPr>
        <w:t xml:space="preserve"> </w:t>
      </w:r>
      <w:r w:rsidR="00FA1250" w:rsidRPr="00BC7A12">
        <w:rPr>
          <w:rFonts w:cs="Calibri"/>
          <w:shd w:val="clear" w:color="auto" w:fill="FFFFFF"/>
        </w:rPr>
        <w:t xml:space="preserve">effective </w:t>
      </w:r>
      <w:r w:rsidR="008F3709" w:rsidRPr="00BC7A12">
        <w:rPr>
          <w:rFonts w:cs="Calibri"/>
          <w:shd w:val="clear" w:color="auto" w:fill="FFFFFF"/>
        </w:rPr>
        <w:t>valuation</w:t>
      </w:r>
      <w:r w:rsidR="00FA1250" w:rsidRPr="00BC7A12">
        <w:rPr>
          <w:rFonts w:cs="Calibri"/>
          <w:shd w:val="clear" w:color="auto" w:fill="FFFFFF"/>
        </w:rPr>
        <w:t>s</w:t>
      </w:r>
      <w:r w:rsidR="008F3709" w:rsidRPr="00BC7A12">
        <w:rPr>
          <w:rFonts w:cs="Calibri"/>
          <w:shd w:val="clear" w:color="auto" w:fill="FFFFFF"/>
        </w:rPr>
        <w:t xml:space="preserve"> for CBA should:</w:t>
      </w:r>
    </w:p>
    <w:p w14:paraId="02FC1196" w14:textId="6CF6953C" w:rsidR="00C27575" w:rsidRPr="00BC7A12" w:rsidRDefault="00C27575" w:rsidP="00932A19">
      <w:pPr>
        <w:pStyle w:val="ListParagraph"/>
        <w:numPr>
          <w:ilvl w:val="0"/>
          <w:numId w:val="36"/>
        </w:numPr>
        <w:spacing w:after="0"/>
        <w:rPr>
          <w:rFonts w:cs="Calibri"/>
          <w:shd w:val="clear" w:color="auto" w:fill="FFFFFF"/>
        </w:rPr>
      </w:pPr>
      <w:r w:rsidRPr="00BC7A12">
        <w:rPr>
          <w:rFonts w:cs="Calibri"/>
          <w:shd w:val="clear" w:color="auto" w:fill="FFFFFF"/>
        </w:rPr>
        <w:t xml:space="preserve">Be locally explicit in their scale so that </w:t>
      </w:r>
      <w:r w:rsidR="00C95388" w:rsidRPr="00BC7A12">
        <w:rPr>
          <w:rFonts w:cs="Calibri"/>
          <w:shd w:val="clear" w:color="auto" w:fill="FFFFFF"/>
        </w:rPr>
        <w:t xml:space="preserve">it </w:t>
      </w:r>
      <w:r w:rsidR="008F3709" w:rsidRPr="00BC7A12">
        <w:rPr>
          <w:rFonts w:cs="Calibri"/>
          <w:shd w:val="clear" w:color="auto" w:fill="FFFFFF"/>
        </w:rPr>
        <w:t xml:space="preserve">matches the needs of decision makers </w:t>
      </w:r>
      <w:r w:rsidR="008F3709" w:rsidRPr="00BC7A12">
        <w:rPr>
          <w:rFonts w:cs="Calibri"/>
          <w:shd w:val="clear" w:color="auto" w:fill="FFFFFF"/>
        </w:rPr>
        <w:fldChar w:fldCharType="begin" w:fldLock="1"/>
      </w:r>
      <w:r w:rsidR="008F3709" w:rsidRPr="00BC7A12">
        <w:rPr>
          <w:rFonts w:cs="Calibri"/>
          <w:shd w:val="clear" w:color="auto" w:fill="FFFFFF"/>
        </w:rPr>
        <w:instrText>ADDIN CSL_CITATION {"citationItems":[{"id":"ITEM-1","itemData":{"DOI":"10.1016/j.ecoser.2019.100943","ISSN":"22120416","abstract":"The concept of ecosystem services (ES) aims to quantify the contribution of ecosystems to human welfare. Past research has revealed a range of attitudes and levels of understanding among policy makers or practitioners to this concept. This study investigated the experience of environmental decision makers with the application of ES, using the state of Victoria, Australia as a case study. Analysis of data from 20 interview participants indicated that impediments to implementing ES included structural and governance deficiencies, lack of public and private leadership, complexity of language, and the lack of sustained, long-term investment. Proposed solutions include standardised measurement and reporting, improved communication tools, and potential commercial investment in ES through government regulated markets. The study revealed that ES concepts have arrived at a moment of change in Victoria. They can potentially provide a basis for better environmental management decisions, however, many respondents felt implementation has stalled. Implementing complex policy change requires sustained effort. Active political leadership, a supporting advocacy coalition, and explicit theory on mechanisms to implement ES are required if the concept is to be widely adopted by decision makers in public or private spheres.","author":[{"dropping-particle":"","family":"Keenan","given":"Rodney J.","non-dropping-particle":"","parse-names":false,"suffix":""},{"dropping-particle":"","family":"Pozza","given":"Greg","non-dropping-particle":"","parse-names":false,"suffix":""},{"dropping-particle":"","family":"Fitzsimons","given":"James A.","non-dropping-particle":"","parse-names":false,"suffix":""}],"container-title":"Ecosystem Services","id":"ITEM-1","issue":"June","issued":{"date-parts":[["2019"]]},"page":"100943","publisher":"Elsevier B.V.","title":"Ecosystem services in environmental policy: Barriers and opportunities for increased adoption","type":"article-journal","volume":"38"},"uris":["http://www.mendeley.com/documents/?uuid=cd7fb9ea-ab43-409e-8553-457f19649836"]}],"mendeley":{"formattedCitation":"(Keenan et al. 2019)","plainTextFormattedCitation":"(Keenan et al. 2019)","previouslyFormattedCitation":"(Keenan et al. 2019)"},"properties":{"noteIndex":0},"schema":"https://github.com/citation-style-language/schema/raw/master/csl-citation.json"}</w:instrText>
      </w:r>
      <w:r w:rsidR="008F3709" w:rsidRPr="00BC7A12">
        <w:rPr>
          <w:rFonts w:cs="Calibri"/>
          <w:shd w:val="clear" w:color="auto" w:fill="FFFFFF"/>
        </w:rPr>
        <w:fldChar w:fldCharType="separate"/>
      </w:r>
      <w:r w:rsidR="008F3709" w:rsidRPr="00BC7A12">
        <w:rPr>
          <w:rFonts w:cs="Calibri"/>
          <w:noProof/>
          <w:shd w:val="clear" w:color="auto" w:fill="FFFFFF"/>
        </w:rPr>
        <w:t>(Keenan et al. 2019)</w:t>
      </w:r>
      <w:r w:rsidR="008F3709" w:rsidRPr="00BC7A12">
        <w:rPr>
          <w:rFonts w:cs="Calibri"/>
          <w:shd w:val="clear" w:color="auto" w:fill="FFFFFF"/>
        </w:rPr>
        <w:fldChar w:fldCharType="end"/>
      </w:r>
    </w:p>
    <w:p w14:paraId="7E771734" w14:textId="3B6638CC" w:rsidR="008F3709" w:rsidRPr="00BC7A12" w:rsidRDefault="008F3709" w:rsidP="00932A19">
      <w:pPr>
        <w:pStyle w:val="ListParagraph"/>
        <w:numPr>
          <w:ilvl w:val="0"/>
          <w:numId w:val="36"/>
        </w:numPr>
        <w:spacing w:after="0"/>
        <w:rPr>
          <w:rFonts w:cs="Calibri"/>
          <w:shd w:val="clear" w:color="auto" w:fill="FFFFFF"/>
        </w:rPr>
      </w:pPr>
      <w:r w:rsidRPr="00BC7A12">
        <w:rPr>
          <w:rFonts w:cs="Calibri"/>
          <w:shd w:val="clear" w:color="auto" w:fill="FFFFFF"/>
        </w:rPr>
        <w:t xml:space="preserve">Be spatially explicit in the biophysical and economic modelling </w:t>
      </w:r>
      <w:r w:rsidRPr="00BC7A12">
        <w:rPr>
          <w:rFonts w:cs="Calibri"/>
          <w:shd w:val="clear" w:color="auto" w:fill="FFFFFF"/>
        </w:rPr>
        <w:fldChar w:fldCharType="begin" w:fldLock="1"/>
      </w:r>
      <w:r w:rsidR="00A77A26">
        <w:rPr>
          <w:rFonts w:cs="Calibri"/>
          <w:shd w:val="clear" w:color="auto" w:fill="FFFFFF"/>
        </w:rPr>
        <w:instrText>ADDIN CSL_CITATION {"citationItems":[{"id":"ITEM-1","itemData":{"DOI":"10.1111/faf.12479","ISSN":"1467-2960","abstract":"Accuracy in representing, communicating and reporting science is critical to the translation 3 of science into knowledge. Any lack of accuracy degrades the quality and reliability of 4 consequent decisions. One common cause of inaccuracy is the use of superseded 5 paradigmatic concepts with a lack of careful validation. This leads to evidentiary dissonance 6 (an apparent abundance of evidence with little basis in actual reported scientific findings). 7 We illustrate the nature and consequences of evidentiary dissonance using the example of 8 estimates of the value of mangroves to fisheries, which are key motivators of decision- 9 making around land-use activities in mangroves systems, mangrove restoration and 10 disturbance offset initiatives. Causes include the use of inappropriate or inaccurate data, and 11 inadequate support for reasoning used to develop estimates of fisheries value. Evidentiary 12 dissonance in linking estimates to scientific understanding has produced a citable and cited 13 body of work with tenuous foundations in current ecological understanding, and a body of 14 literature that is likely to lead to unrealistic expectations, misdirected and wasted resources, 15 and perverse management outcomes.","author":[{"dropping-particle":"","family":"Sheaves","given":"Marcus","non-dropping-particle":"","parse-names":false,"suffix":""},{"dropping-particle":"","family":"Abrantes","given":"Kátya","non-dropping-particle":"","parse-names":false,"suffix":""},{"dropping-particle":"","family":"Barnett","given":"Adam","non-dropping-particle":"","parse-names":false,"suffix":""},{"dropping-particle":"","family":"Benham","given":"Claudia","non-dropping-particle":"","parse-names":false,"suffix":""},{"dropping-particle":"","family":"Dale","given":"Patricia","non-dropping-particle":"","parse-names":false,"suffix":""},{"dropping-particle":"","family":"Mattone","given":"Carlo","non-dropping-particle":"","parse-names":false,"suffix":""},{"dropping-particle":"","family":"Sheaves","given":"Alison","non-dropping-particle":"","parse-names":false,"suffix":""},{"dropping-particle":"","family":"Waltham","given":"N.J.","non-dropping-particle":"","parse-names":false,"suffix":""},{"dropping-particle":"","family":"Bradley","given":"Michael","non-dropping-particle":"","parse-names":false,"suffix":""}],"container-title":"Fish and Fisheries","id":"ITEM-1","issue":"June","issued":{"date-parts":[["2020","6","18"]]},"page":"faf.12479","title":"The consequences of paradigm change and poorly validated science: The example of the value of mangroves to fisheries","type":"article-journal"},"uris":["http://www.mendeley.com/documents/?uuid=9c6f4295-340e-4a54-9792-1e03943567e0"]}],"mendeley":{"formattedCitation":"(Sheaves et al. 2020)","plainTextFormattedCitation":"(Sheaves et al. 2020)","previouslyFormattedCitation":"(Sheaves et al. 2020)"},"properties":{"noteIndex":0},"schema":"https://github.com/citation-style-language/schema/raw/master/csl-citation.json"}</w:instrText>
      </w:r>
      <w:r w:rsidRPr="00BC7A12">
        <w:rPr>
          <w:rFonts w:cs="Calibri"/>
          <w:shd w:val="clear" w:color="auto" w:fill="FFFFFF"/>
        </w:rPr>
        <w:fldChar w:fldCharType="separate"/>
      </w:r>
      <w:r w:rsidRPr="00BC7A12">
        <w:rPr>
          <w:rFonts w:cs="Calibri"/>
          <w:noProof/>
          <w:shd w:val="clear" w:color="auto" w:fill="FFFFFF"/>
        </w:rPr>
        <w:t>(Sheaves et al. 2020)</w:t>
      </w:r>
      <w:r w:rsidRPr="00BC7A12">
        <w:rPr>
          <w:rFonts w:cs="Calibri"/>
          <w:shd w:val="clear" w:color="auto" w:fill="FFFFFF"/>
        </w:rPr>
        <w:fldChar w:fldCharType="end"/>
      </w:r>
    </w:p>
    <w:p w14:paraId="71307CFE" w14:textId="6429B4F3" w:rsidR="00C27575" w:rsidRPr="00BC7A12" w:rsidRDefault="00C27575" w:rsidP="008F3709">
      <w:pPr>
        <w:pStyle w:val="ListParagraph"/>
        <w:numPr>
          <w:ilvl w:val="0"/>
          <w:numId w:val="36"/>
        </w:numPr>
        <w:spacing w:after="0"/>
        <w:rPr>
          <w:rFonts w:cs="Calibri"/>
          <w:shd w:val="clear" w:color="auto" w:fill="FFFFFF"/>
        </w:rPr>
      </w:pPr>
      <w:r w:rsidRPr="00BC7A12">
        <w:rPr>
          <w:rFonts w:cs="Calibri"/>
          <w:shd w:val="clear" w:color="auto" w:fill="FFFFFF"/>
        </w:rPr>
        <w:t>Minimi</w:t>
      </w:r>
      <w:r w:rsidR="00624EFB" w:rsidRPr="00BC7A12">
        <w:rPr>
          <w:rFonts w:cs="Calibri"/>
          <w:shd w:val="clear" w:color="auto" w:fill="FFFFFF"/>
        </w:rPr>
        <w:t>s</w:t>
      </w:r>
      <w:r w:rsidRPr="00BC7A12">
        <w:rPr>
          <w:rFonts w:cs="Calibri"/>
          <w:shd w:val="clear" w:color="auto" w:fill="FFFFFF"/>
        </w:rPr>
        <w:t xml:space="preserve">e </w:t>
      </w:r>
      <w:r w:rsidR="008F3709" w:rsidRPr="00BC7A12">
        <w:rPr>
          <w:rFonts w:cs="Calibri"/>
          <w:shd w:val="clear" w:color="auto" w:fill="FFFFFF"/>
        </w:rPr>
        <w:t xml:space="preserve">double counting </w:t>
      </w:r>
      <w:r w:rsidR="008F3709" w:rsidRPr="00BC7A12">
        <w:rPr>
          <w:rFonts w:cs="Calibri"/>
          <w:shd w:val="clear" w:color="auto" w:fill="FFFFFF"/>
        </w:rPr>
        <w:fldChar w:fldCharType="begin" w:fldLock="1"/>
      </w:r>
      <w:r w:rsidR="001030F0" w:rsidRPr="00BC7A12">
        <w:rPr>
          <w:rFonts w:cs="Calibri"/>
          <w:shd w:val="clear" w:color="auto" w:fill="FFFFFF"/>
        </w:rPr>
        <w:instrText>ADDIN CSL_CITATION {"citationItems":[{"id":"ITEM-1","itemData":{"DOI":"http://dx.doi.org/10.1787/5jm2f6w8b25l-en","abstract":"There are now a large number of valuation studies on the benefits of biodiversity and on ecosystem services, the services provided by different ecosystems (ESS). Both ideas have been used to elicit values from nature but in recent years the research community has focussed on ESS as the main organising framework, with some additional use of the biodiversity concept to value entities that have intrinsic value and are of an extraordinary nature. Estimates are available for the services from most habitats, by type of ecosystem service, usually expressed in USD per hectare per year. Coverage varies by habitat and region, as does the quality of the assessment, but it is possible now to carry out an estimation of changes in values for a number of ecosystem services a result of the introduction of a new policy or of a physical investment that modifies the ecosystem. While this is a positive development, there remain some issues to be resolved. One is the possibility of double-counting of services when using the standard categories of provisioning, regulating/supporting and cultural ESS. Regulating and supporting services are the basis of the provisioning services and so value estimates for the two cannot always be added up. For example, air pollution absorption is often valued using the cost of alternative ways of reducing the pollutants from the atmosphere while recreation is often valued in terms of willingness-to-pay (WTP) through stated preference methods. The literature reveals wide spatial variability in values for services by habitat. This factor has been underscored in the recent research that values ESS on a spatial basis, such as the global assessments conducted as part of The Economics of Ecosystems and Biodiversity (TEEB) and the national ecosystem assessments (NEA) in the UK. At the local level, there are relatively few studies that actually conduct a full blown cost-benefit analysis relative to the number of studies that estimate the value of ESS. One reason is the need to estimate changes in ESS as a function of a policy change, rather than value the ESS in their current form, and difficulties in linking policy changes to changes in ESS. A number of other key points emerge from the review. One relates to the role of benefit transfer compared to primary data collection. For policy assessment and cost-benefit analysis, primary data collection seems to be required quite often. This may reflect the literature surveyed, which was from leading journals…","author":[{"dropping-particle":"","family":"Markandya","given":"A.","non-dropping-particle":"","parse-names":false,"suffix":""}],"id":"ITEM-1","issue":"101","issued":{"date-parts":[["2016"]]},"number-of-pages":"278","publisher-place":"Paris","title":"Cost Benefit Analysis and the Environment:How to best cover impacts on biodiversity and ecosystem services","type":"report"},"uris":["http://www.mendeley.com/documents/?uuid=c0b20b65-27ef-4225-b77d-f5a9af7a3cd4"]},{"id":"ITEM-2","itemData":{"DOI":"10.1016/j.ecoser.2012.07.010","ISSN":"22120416","abstract":"We review the environmental challenges, cultures and institutions in Australia that have allowed the concept of ecosystem services to be tested and adapted. In some instance the nation has embraced the opportunities offered with ecosystem services forming the core of several large-scale reforms and collaborations that have considered dependence of humans on ecosystems. In other ways, however, the opportunities have been overlooked as Australia lacks effective institutions to consider human-environment interactions holistically and strategically. The term \"ecosystem services\" appears widely but it is mostly used superficially: often with reference to only a few services. The full suite of services, benefits and beneficiaries if humans and the natural environment are to coexist in the long-term have not been systematically included in decision making and management. Insights are distilled that may be useful in the application of ecosystem services in other parts of the world. Stable and well-funded regional natural resource and river basin management institutions have vital roles. Governance reforms at the national and state (provincial scales) are also needed to apply ecosystem service frameworks and improve accountability for implementation of policy agreements. © 2012 Elsevier B.V.","author":[{"dropping-particle":"","family":"Pittock","given":"J.","non-dropping-particle":"","parse-names":false,"suffix":""},{"dropping-particle":"","family":"Cork","given":"S.","non-dropping-particle":"","parse-names":false,"suffix":""},{"dropping-particle":"","family":"Maynard","given":"S.","non-dropping-particle":"","parse-names":false,"suffix":""}],"container-title":"Ecosystem Services","id":"ITEM-2","issue":"1","issued":{"date-parts":[["2012","7"]]},"number-of-pages":"111-120","publisher":"Elsevier","title":"The state of the application of ecosystems services in Australia","type":"report","volume":"1"},"uris":["http://www.mendeley.com/documents/?uuid=9b36c9fd-3c45-460a-9ffd-0e082426d46e"]}],"mendeley":{"formattedCitation":"(Markandya 2016, Pittock et al. 2012)","plainTextFormattedCitation":"(Markandya 2016, Pittock et al. 2012)","previouslyFormattedCitation":"(Markandya 2016, Pittock et al. 2012)"},"properties":{"noteIndex":0},"schema":"https://github.com/citation-style-language/schema/raw/master/csl-citation.json"}</w:instrText>
      </w:r>
      <w:r w:rsidR="008F3709" w:rsidRPr="00BC7A12">
        <w:rPr>
          <w:rFonts w:cs="Calibri"/>
          <w:shd w:val="clear" w:color="auto" w:fill="FFFFFF"/>
        </w:rPr>
        <w:fldChar w:fldCharType="separate"/>
      </w:r>
      <w:r w:rsidR="00FF4606" w:rsidRPr="00BC7A12">
        <w:rPr>
          <w:rFonts w:cs="Calibri"/>
          <w:noProof/>
          <w:shd w:val="clear" w:color="auto" w:fill="FFFFFF"/>
        </w:rPr>
        <w:t>(Markandya 2016, Pittock et al. 2012)</w:t>
      </w:r>
      <w:r w:rsidR="008F3709" w:rsidRPr="00BC7A12">
        <w:rPr>
          <w:rFonts w:cs="Calibri"/>
          <w:shd w:val="clear" w:color="auto" w:fill="FFFFFF"/>
        </w:rPr>
        <w:fldChar w:fldCharType="end"/>
      </w:r>
    </w:p>
    <w:p w14:paraId="781F7559" w14:textId="4974EF4D" w:rsidR="008F3709" w:rsidRPr="00BC7A12" w:rsidRDefault="008F3709" w:rsidP="008F3709">
      <w:pPr>
        <w:pStyle w:val="ListParagraph"/>
        <w:numPr>
          <w:ilvl w:val="0"/>
          <w:numId w:val="36"/>
        </w:numPr>
        <w:spacing w:after="0"/>
        <w:rPr>
          <w:rFonts w:cs="Calibri"/>
          <w:shd w:val="clear" w:color="auto" w:fill="FFFFFF"/>
        </w:rPr>
      </w:pPr>
      <w:r w:rsidRPr="00BC7A12">
        <w:rPr>
          <w:rFonts w:cs="Calibri"/>
          <w:shd w:val="clear" w:color="auto" w:fill="FFFFFF"/>
        </w:rPr>
        <w:t>Allow multiple ecosystem services to be integrated</w:t>
      </w:r>
      <w:r w:rsidR="00AF0268" w:rsidRPr="00BC7A12">
        <w:rPr>
          <w:rFonts w:cs="Calibri"/>
          <w:shd w:val="clear" w:color="auto" w:fill="FFFFFF"/>
        </w:rPr>
        <w:t xml:space="preserve"> through use of final ecosystem services concepts </w:t>
      </w:r>
      <w:r w:rsidR="00AF0268" w:rsidRPr="00BC7A12">
        <w:rPr>
          <w:rFonts w:cs="Calibri"/>
          <w:shd w:val="clear" w:color="auto" w:fill="FFFFFF"/>
        </w:rPr>
        <w:fldChar w:fldCharType="begin" w:fldLock="1"/>
      </w:r>
      <w:r w:rsidR="00FA1250" w:rsidRPr="00BC7A12">
        <w:rPr>
          <w:rFonts w:cs="Calibri"/>
          <w:shd w:val="clear" w:color="auto" w:fill="FFFFFF"/>
        </w:rPr>
        <w:instrText>ADDIN CSL_CITATION {"citationItems":[{"id":"ITEM-1","itemData":{"DOI":"10.1007/978-3-319-70899-7_7","ISBN":"9783319708997","abstract":"Los enfoques de los servicios ecosistémicos son importantes para el rendimiento comercial. Sin embargo, la falta de sistemas de clasificación de servicios ecosistémicos suficientemente detallados y utilizados comúnmente impide que las empresas se beneficien plenamente de ellos. La perspectiva final de los servicios ecosistémicos, incorporada por el Sistema de Clasificación Final de Bienes y Servicios Ecosistémicos (FEGS-CS) y el Sistema Nacional de Clasificación de Servicios Ecosistémicos (NESCS), ofrece un camino a través de cuellos de botella clave para la integración de servicios ecosistémicos en la toma de decisiones corporativas. contabilidad. En comparación con otros sistemas, estos son más fáciles de usar, mejoran el análisis de materialidad y ayudan a la participación de las partes interesadas. Además, su potencial para mejorar la precisión de la valoración los hace preferibles para la contabilidad del capital natural. Es probable que las empresas que adoptan esta perspectiva final de los servicios ecosistémicos (FES) obtengan estos 152 C. Rhodes et al. los beneficios inmediatos y la ventaja del primer jugador, ya que esta perspectiva de FES está a punto de convertirse en una práctica estándar.","author":[{"dropping-particle":"","family":"Rhodes","given":"Charles R","non-dropping-particle":"","parse-names":false,"suffix":""},{"dropping-particle":"","family":"Finisdore","given":"John","non-dropping-particle":"","parse-names":false,"suffix":""},{"dropping-particle":"","family":"Dvarskas","given":"Anthony","non-dropping-particle":"","parse-names":false,"suffix":""},{"dropping-particle":"","family":"Houdet","given":"Joël","non-dropping-particle":"","parse-names":false,"suffix":""},{"dropping-particle":"","family":"Corona","given":"Joel","non-dropping-particle":"","parse-names":false,"suffix":""},{"dropping-particle":"","family":"Maynard","given":"Simone","non-dropping-particle":"","parse-names":false,"suffix":""}],"id":"ITEM-1","issued":{"date-parts":[["2018"]]},"number-of-pages":"151-187","title":"Final Ecosystem Services for Corporate Metrics and Performance","type":"book"},"uris":["http://www.mendeley.com/documents/?uuid=807b80b1-a23a-4789-ae5f-69c3b8d45ed2"]}],"mendeley":{"formattedCitation":"(Rhodes et al. 2018)","plainTextFormattedCitation":"(Rhodes et al. 2018)","previouslyFormattedCitation":"(Rhodes et al. 2018)"},"properties":{"noteIndex":0},"schema":"https://github.com/citation-style-language/schema/raw/master/csl-citation.json"}</w:instrText>
      </w:r>
      <w:r w:rsidR="00AF0268" w:rsidRPr="00BC7A12">
        <w:rPr>
          <w:rFonts w:cs="Calibri"/>
          <w:shd w:val="clear" w:color="auto" w:fill="FFFFFF"/>
        </w:rPr>
        <w:fldChar w:fldCharType="separate"/>
      </w:r>
      <w:r w:rsidR="00AF0268" w:rsidRPr="00BC7A12">
        <w:rPr>
          <w:rFonts w:cs="Calibri"/>
          <w:noProof/>
          <w:shd w:val="clear" w:color="auto" w:fill="FFFFFF"/>
        </w:rPr>
        <w:t>(Rhodes et al. 2018)</w:t>
      </w:r>
      <w:r w:rsidR="00AF0268" w:rsidRPr="00BC7A12">
        <w:rPr>
          <w:rFonts w:cs="Calibri"/>
          <w:shd w:val="clear" w:color="auto" w:fill="FFFFFF"/>
        </w:rPr>
        <w:fldChar w:fldCharType="end"/>
      </w:r>
      <w:r w:rsidRPr="00BC7A12">
        <w:rPr>
          <w:rFonts w:cs="Calibri"/>
          <w:shd w:val="clear" w:color="auto" w:fill="FFFFFF"/>
        </w:rPr>
        <w:t xml:space="preserve"> </w:t>
      </w:r>
    </w:p>
    <w:p w14:paraId="5AD28CB8" w14:textId="7425D0D6" w:rsidR="008F3709" w:rsidRPr="00BC7A12" w:rsidRDefault="008F3709" w:rsidP="00292B0F">
      <w:pPr>
        <w:pStyle w:val="ListParagraph"/>
        <w:numPr>
          <w:ilvl w:val="0"/>
          <w:numId w:val="36"/>
        </w:numPr>
        <w:ind w:left="714" w:hanging="357"/>
        <w:rPr>
          <w:rFonts w:cs="Calibri"/>
          <w:shd w:val="clear" w:color="auto" w:fill="FFFFFF"/>
        </w:rPr>
      </w:pPr>
      <w:r w:rsidRPr="00BC7A12">
        <w:rPr>
          <w:rFonts w:cs="Calibri"/>
          <w:shd w:val="clear" w:color="auto" w:fill="FFFFFF"/>
        </w:rPr>
        <w:t xml:space="preserve">Consider alternative development scenarios </w:t>
      </w:r>
      <w:r w:rsidR="00AF0268" w:rsidRPr="00BC7A12">
        <w:rPr>
          <w:rFonts w:cs="Calibri"/>
          <w:shd w:val="clear" w:color="auto" w:fill="FFFFFF"/>
        </w:rPr>
        <w:fldChar w:fldCharType="begin" w:fldLock="1"/>
      </w:r>
      <w:r w:rsidR="00AF0268" w:rsidRPr="00BC7A12">
        <w:rPr>
          <w:rFonts w:cs="Calibri"/>
          <w:shd w:val="clear" w:color="auto" w:fill="FFFFFF"/>
        </w:rPr>
        <w:instrText>ADDIN CSL_CITATION {"citationItems":[{"id":"ITEM-1","itemData":{"abstract":"This case study highlights a real-world example of developing scenarios to inform coastal and marine spatial planning decisions. In this example, stakeholders engaged in an iterative process of scenario development, data were collected, ecosystem service impacts were assessed, and the results were used to inform national marine policy decisions in Belize. The case study offers background on the policy context and goals, and then delves into the experience with scenarios and draws lessons.","author":[{"dropping-particle":"","family":"Rosenthal","given":"Amy","non-dropping-particle":"","parse-names":false,"suffix":""},{"dropping-particle":"","family":"Verutes","given":"Gregory","non-dropping-particle":"","parse-names":false,"suffix":""},{"dropping-particle":"","family":"Arkema","given":"Katie","non-dropping-particle":"","parse-names":false,"suffix":""},{"dropping-particle":"","family":"Clarke","given":"Chantalle","non-dropping-particle":"","parse-names":false,"suffix":""},{"dropping-particle":"","family":"Canto","given":"Maritza","non-dropping-particle":"","parse-names":false,"suffix":""},{"dropping-particle":"","family":"Rosado","given":"Samir","non-dropping-particle":"","parse-names":false,"suffix":""},{"dropping-particle":"","family":"Wood","given":"Spencer","non-dropping-particle":"","parse-names":false,"suffix":""}],"id":"ITEM-1","issued":{"date-parts":[["2014"]]},"number-of-pages":"14","title":"InVEST Scenarios Case Study: Coastal Belize","type":"report"},"uris":["http://www.mendeley.com/documents/?uuid=41ffd83f-4538-407e-8f7a-170aa76a31f9"]}],"mendeley":{"formattedCitation":"(Rosenthal et al. 2014)","plainTextFormattedCitation":"(Rosenthal et al. 2014)","previouslyFormattedCitation":"(Rosenthal et al. 2014)"},"properties":{"noteIndex":0},"schema":"https://github.com/citation-style-language/schema/raw/master/csl-citation.json"}</w:instrText>
      </w:r>
      <w:r w:rsidR="00AF0268" w:rsidRPr="00BC7A12">
        <w:rPr>
          <w:rFonts w:cs="Calibri"/>
          <w:shd w:val="clear" w:color="auto" w:fill="FFFFFF"/>
        </w:rPr>
        <w:fldChar w:fldCharType="separate"/>
      </w:r>
      <w:r w:rsidR="00AF0268" w:rsidRPr="00BC7A12">
        <w:rPr>
          <w:rFonts w:cs="Calibri"/>
          <w:noProof/>
          <w:shd w:val="clear" w:color="auto" w:fill="FFFFFF"/>
        </w:rPr>
        <w:t>(Rosenthal et al. 2014)</w:t>
      </w:r>
      <w:r w:rsidR="00AF0268" w:rsidRPr="00BC7A12">
        <w:rPr>
          <w:rFonts w:cs="Calibri"/>
          <w:shd w:val="clear" w:color="auto" w:fill="FFFFFF"/>
        </w:rPr>
        <w:fldChar w:fldCharType="end"/>
      </w:r>
    </w:p>
    <w:p w14:paraId="19CED1F3" w14:textId="081FE901" w:rsidR="00850F79" w:rsidRPr="00BC7A12" w:rsidRDefault="00BA2A18" w:rsidP="00FF4606">
      <w:pPr>
        <w:rPr>
          <w:rFonts w:cs="Calibri"/>
        </w:rPr>
      </w:pPr>
      <w:r w:rsidRPr="00BC7A12">
        <w:rPr>
          <w:rFonts w:cs="Calibri"/>
        </w:rPr>
        <w:t xml:space="preserve">There are state and national guidelines for incorporating ecosystem services values into CBA </w:t>
      </w:r>
      <w:r w:rsidRPr="00BC7A12">
        <w:rPr>
          <w:rFonts w:cs="Calibri"/>
        </w:rPr>
        <w:fldChar w:fldCharType="begin" w:fldLock="1"/>
      </w:r>
      <w:r w:rsidR="00A527D0" w:rsidRPr="00BC7A12">
        <w:rPr>
          <w:rFonts w:cs="Calibri"/>
        </w:rPr>
        <w:instrText>ADDIN CSL_CITATION {"citationItems":[{"id":"ITEM-1","itemData":{"author":[{"dropping-particle":"","family":"Office of Best Practice Regulation","given":"","non-dropping-particle":"","parse-names":false,"suffix":""}],"id":"ITEM-1","issue":"February","issued":{"date-parts":[["2016"]]},"page":"1-16","publisher":"Department of the Prime Minister and Cabinet","publisher-place":"Canberra","title":"Environmental Valuation and Uncertainty","type":"article"},"uris":["http://www.mendeley.com/documents/?uuid=41017133-a960-4203-abd6-d3361550ae25"]},{"id":"ITEM-2","itemData":{"abstract":"This research report has been produced by the Office of Best Practice Regulation (OBPR), a division of the Department of the Prime Minister and Cabinet, in consultation with the Department of Environment. It was prompted by a recognised need to improve the quality of guidance material relating to environmental valuation in regulatory impact analysis, and through discussions with community organisations. Its aim is to enhance the capacity of Australian Government departments and agencies to undertake cost-benefit analysis of policies that are likely to have an environmental impact, or that are characterised by significant uncertainty. The particular emphasis in this guide is on the preparation of Regulation Impact Statements (RIS). However, the relatively general nature of the document means it is likely to be of use to a broader audience, including policy officers in other jurisdictions working on initiatives that require environmental valuation. This guide should not be seen as introducing new requirements, or new expectations of what the Office of Best Practice Regulation considers an ‘adequate’ level of analysis in a RIS. The intention of the agencies involved in the production of this guide is to explain clearly the state of the art in incorporating environmental valuation into impact analyses, in order to better meet the Government’s existing best practice regulation requirements as set out in The Australian Government Guide to Regulation (Commonwealth of Australia 2014a) and the Council of Australian Governments’ Best Practice Regulation: a Guide for Ministerial Councils and National Standard Setting Bodies. In this way, it is expected that this guide will support the continual improvement in regulatory impact analysis, particularly for those proposals with significant environmental impacts.","author":[{"dropping-particle":"","family":"Department of the Prime Minister and Cabinet","given":"","non-dropping-particle":"","parse-names":false,"suffix":""}],"id":"ITEM-2","issue":"July","issued":{"date-parts":[["2014"]]},"number-of-pages":"1-45","publisher-place":"Canberra","title":"Research report : Environmental valuation and uncertainty","type":"report"},"uris":["http://www.mendeley.com/documents/?uuid=9a924dda-14ae-40f9-802e-9430bb4b2bc8"]}],"mendeley":{"formattedCitation":"(Office of Best Practice Regulation 2016, Department of the Prime Minister and Cabinet 2014)","plainTextFormattedCitation":"(Office of Best Practice Regulation 2016, Department of the Prime Minister and Cabinet 2014)","previouslyFormattedCitation":"(Office of Best Practice Regulation 2016, Department of the Prime Minister and Cabinet 2014)"},"properties":{"noteIndex":0},"schema":"https://github.com/citation-style-language/schema/raw/master/csl-citation.json"}</w:instrText>
      </w:r>
      <w:r w:rsidRPr="00BC7A12">
        <w:rPr>
          <w:rFonts w:cs="Calibri"/>
        </w:rPr>
        <w:fldChar w:fldCharType="separate"/>
      </w:r>
      <w:r w:rsidRPr="00BC7A12">
        <w:rPr>
          <w:rFonts w:cs="Calibri"/>
          <w:noProof/>
        </w:rPr>
        <w:t>(Office of Best Practice Regulation 2016, Department of the Prime Minister and Cabinet 2014)</w:t>
      </w:r>
      <w:r w:rsidRPr="00BC7A12">
        <w:rPr>
          <w:rFonts w:cs="Calibri"/>
        </w:rPr>
        <w:fldChar w:fldCharType="end"/>
      </w:r>
      <w:r w:rsidRPr="00BC7A12">
        <w:rPr>
          <w:rFonts w:cs="Calibri"/>
        </w:rPr>
        <w:t xml:space="preserve">. </w:t>
      </w:r>
      <w:r w:rsidR="003A38E1" w:rsidRPr="00BC7A12">
        <w:rPr>
          <w:rFonts w:cs="Calibri"/>
        </w:rPr>
        <w:t xml:space="preserve">However, the implementation of this guidance varies across Australian governmental jurisdictions in relation to CBA </w:t>
      </w:r>
      <w:r w:rsidR="00FA1250" w:rsidRPr="00BC7A12">
        <w:rPr>
          <w:rFonts w:cs="Calibri"/>
        </w:rPr>
        <w:fldChar w:fldCharType="begin" w:fldLock="1"/>
      </w:r>
      <w:r w:rsidR="00FF4606" w:rsidRPr="00BC7A12">
        <w:rPr>
          <w:rFonts w:cs="Calibri"/>
        </w:rPr>
        <w:instrText>ADDIN CSL_CITATION {"citationItems":[{"id":"ITEM-1","itemData":{"DOI":"10.1016/j.ecoser.2019.100943","ISSN":"22120416","abstract":"The concept of ecosystem services (ES) aims to quantify the contribution of ecosystems to human welfare. Past research has revealed a range of attitudes and levels of understanding among policy makers or practitioners to this concept. This study investigated the experience of environmental decision makers with the application of ES, using the state of Victoria, Australia as a case study. Analysis of data from 20 interview participants indicated that impediments to implementing ES included structural and governance deficiencies, lack of public and private leadership, complexity of language, and the lack of sustained, long-term investment. Proposed solutions include standardised measurement and reporting, improved communication tools, and potential commercial investment in ES through government regulated markets. The study revealed that ES concepts have arrived at a moment of change in Victoria. They can potentially provide a basis for better environmental management decisions, however, many respondents felt implementation has stalled. Implementing complex policy change requires sustained effort. Active political leadership, a supporting advocacy coalition, and explicit theory on mechanisms to implement ES are required if the concept is to be widely adopted by decision makers in public or private spheres.","author":[{"dropping-particle":"","family":"Keenan","given":"Rodney J.","non-dropping-particle":"","parse-names":false,"suffix":""},{"dropping-particle":"","family":"Pozza","given":"Greg","non-dropping-particle":"","parse-names":false,"suffix":""},{"dropping-particle":"","family":"Fitzsimons","given":"James A.","non-dropping-particle":"","parse-names":false,"suffix":""}],"container-title":"Ecosystem Services","id":"ITEM-1","issue":"June","issued":{"date-parts":[["2019"]]},"page":"100943","publisher":"Elsevier B.V.","title":"Ecosystem services in environmental policy: Barriers and opportunities for increased adoption","type":"article-journal","volume":"38"},"uris":["http://www.mendeley.com/documents/?uuid=cd7fb9ea-ab43-409e-8553-457f19649836"]},{"id":"ITEM-2","itemData":{"DOI":"10.1016/j.ecoser.2012.07.010","ISSN":"22120416","abstract":"We review the environmental challenges, cultures and institutions in Australia that have allowed the concept of ecosystem services to be tested and adapted. In some instance the nation has embraced the opportunities offered with ecosystem services forming the core of several large-scale reforms and collaborations that have considered dependence of humans on ecosystems. In other ways, however, the opportunities have been overlooked as Australia lacks effective institutions to consider human-environment interactions holistically and strategically. The term \"ecosystem services\" appears widely but it is mostly used superficially: often with reference to only a few services. The full suite of services, benefits and beneficiaries if humans and the natural environment are to coexist in the long-term have not been systematically included in decision making and management. Insights are distilled that may be useful in the application of ecosystem services in other parts of the world. Stable and well-funded regional natural resource and river basin management institutions have vital roles. Governance reforms at the national and state (provincial scales) are also needed to apply ecosystem service frameworks and improve accountability for implementation of policy agreements. © 2012 Elsevier B.V.","author":[{"dropping-particle":"","family":"Pittock","given":"J.","non-dropping-particle":"","parse-names":false,"suffix":""},{"dropping-particle":"","family":"Cork","given":"S.","non-dropping-particle":"","parse-names":false,"suffix":""},{"dropping-particle":"","family":"Maynard","given":"S.","non-dropping-particle":"","parse-names":false,"suffix":""}],"container-title":"Ecosystem Services","id":"ITEM-2","issue":"1","issued":{"date-parts":[["2012","7"]]},"number-of-pages":"111-120","publisher":"Elsevier","title":"The state of the application of ecosystems services in Australia","type":"report","volume":"1"},"uris":["http://www.mendeley.com/documents/?uuid=9b36c9fd-3c45-460a-9ffd-0e082426d46e"]}],"mendeley":{"formattedCitation":"(Keenan et al. 2019, Pittock et al. 2012)","plainTextFormattedCitation":"(Keenan et al. 2019, Pittock et al. 2012)","previouslyFormattedCitation":"(Keenan et al. 2019, Pittock et al. 2012)"},"properties":{"noteIndex":0},"schema":"https://github.com/citation-style-language/schema/raw/master/csl-citation.json"}</w:instrText>
      </w:r>
      <w:r w:rsidR="00FA1250" w:rsidRPr="00BC7A12">
        <w:rPr>
          <w:rFonts w:cs="Calibri"/>
        </w:rPr>
        <w:fldChar w:fldCharType="separate"/>
      </w:r>
      <w:r w:rsidR="00FF4606" w:rsidRPr="00BC7A12">
        <w:rPr>
          <w:rFonts w:cs="Calibri"/>
          <w:noProof/>
        </w:rPr>
        <w:t>(Keenan et al. 2019, Pittock et al. 2012)</w:t>
      </w:r>
      <w:r w:rsidR="00FA1250" w:rsidRPr="00BC7A12">
        <w:rPr>
          <w:rFonts w:cs="Calibri"/>
        </w:rPr>
        <w:fldChar w:fldCharType="end"/>
      </w:r>
      <w:r w:rsidR="00292B0F" w:rsidRPr="00BC7A12">
        <w:rPr>
          <w:rFonts w:cs="Calibri"/>
        </w:rPr>
        <w:t>.</w:t>
      </w:r>
      <w:r w:rsidR="00F2053E" w:rsidRPr="00BC7A12">
        <w:rPr>
          <w:rFonts w:cs="Calibri"/>
        </w:rPr>
        <w:t xml:space="preserve"> Budget constraints in CBAs typically </w:t>
      </w:r>
      <w:r w:rsidR="0035208D" w:rsidRPr="00BC7A12">
        <w:rPr>
          <w:rFonts w:cs="Calibri"/>
        </w:rPr>
        <w:t xml:space="preserve">inhibit the collection of data and therefore benefit transfer studies that rely on existing data are used. </w:t>
      </w:r>
      <w:r w:rsidR="00CF3F04" w:rsidRPr="00BC7A12">
        <w:rPr>
          <w:rFonts w:cs="Calibri"/>
        </w:rPr>
        <w:t xml:space="preserve">In </w:t>
      </w:r>
      <w:r w:rsidR="00FA1250" w:rsidRPr="00BC7A12">
        <w:rPr>
          <w:rFonts w:cs="Calibri"/>
        </w:rPr>
        <w:t xml:space="preserve">Australia, and around the globe, </w:t>
      </w:r>
      <w:r w:rsidR="00294F7D" w:rsidRPr="00BC7A12">
        <w:rPr>
          <w:rFonts w:cs="Calibri"/>
        </w:rPr>
        <w:t xml:space="preserve">the general trend has been towards </w:t>
      </w:r>
      <w:r w:rsidR="00026FB4" w:rsidRPr="00BC7A12">
        <w:rPr>
          <w:rFonts w:cs="Calibri"/>
        </w:rPr>
        <w:t>favouring market-based techniques that rely on actual prices such as replacement costs or expected damage function (damage mitigation cost).</w:t>
      </w:r>
      <w:r w:rsidR="00A770F8" w:rsidRPr="00BC7A12">
        <w:rPr>
          <w:rFonts w:cs="Calibri"/>
        </w:rPr>
        <w:t xml:space="preserve"> There is less </w:t>
      </w:r>
      <w:r w:rsidR="00A770F8" w:rsidRPr="00BC7A12">
        <w:rPr>
          <w:rFonts w:cs="Calibri"/>
        </w:rPr>
        <w:lastRenderedPageBreak/>
        <w:t xml:space="preserve">interest in the CBA community for using </w:t>
      </w:r>
      <w:r w:rsidR="00026FB4" w:rsidRPr="00BC7A12">
        <w:rPr>
          <w:rFonts w:cs="Calibri"/>
        </w:rPr>
        <w:t xml:space="preserve"> non-market valuation, revealed preference (hedonic pricing) or stated preference techniques</w:t>
      </w:r>
      <w:r w:rsidR="00A770F8" w:rsidRPr="00BC7A12">
        <w:rPr>
          <w:rFonts w:cs="Calibri"/>
        </w:rPr>
        <w:t>.</w:t>
      </w:r>
      <w:r w:rsidR="00FF4606" w:rsidRPr="00BC7A12">
        <w:rPr>
          <w:rFonts w:cs="Calibri"/>
        </w:rPr>
        <w:t xml:space="preserve"> </w:t>
      </w:r>
      <w:r w:rsidR="001030F0" w:rsidRPr="00BC7A12">
        <w:rPr>
          <w:rFonts w:cs="Calibri"/>
        </w:rPr>
        <w:fldChar w:fldCharType="begin" w:fldLock="1"/>
      </w:r>
      <w:r w:rsidR="00632269" w:rsidRPr="00BC7A12">
        <w:rPr>
          <w:rFonts w:cs="Calibri"/>
        </w:rPr>
        <w:instrText>ADDIN CSL_CITATION {"citationItems":[{"id":"ITEM-1","itemData":{"abstract":"NSW Government Guide to Cost-Benefit Analysis (TPP17-03) i Preface The purpose of this Treasury policy and guidelines paper is to provide guidance and promote a consistent approach to appraisal and evaluation of public projects, programs and policies across the NSW Government. Agencies should use this NSW Government Guide to Cost-Benefit Analysis (Guide) when assessing all significant government projects, programs, policies and regulations. Cost-benefit analysis (CBA) is an evidence based method for systematically organising and presenting information to help government understand all the impacts of policies and projects, including economic, social and environmental impacts. CBA helps decision makers identify the best means to improve social welfare and assess competing proposals. This Guide provides an introductory explanation of CBA for analysts and advisors to government decision makers. The Appendices provide additional technical material and references. This Guide updates and supersedes the 2007 editions of the Treasury Policy and Guidelines Papers NSW Government Guidelines for Economic Appraisal (TPP07-5) and Economic Appraisal -Principles and Procedures Simplified (TPP07-6). Reflecting the advances made in the application of CBA, this Guide outlines many developments while retaining the underlying principles of the previous edition. To ensure its currency the Guide will be reviewed periodically. This Guide should be read in conjunction with other Treasury guidance regarding the development and submission of Business Cases, the NSW Gateway Policy, investor assurance processes and other relevant Government policy requirements.","author":[{"dropping-particle":"","family":"NSW Treasury","given":"","non-dropping-particle":"","parse-names":false,"suffix":""}],"id":"ITEM-1","issue":"March","issued":{"date-parts":[["2017"]]},"number-of-pages":"79","title":"TPP17-03 NSW Government Guide to Cost-Benefit Analysis","type":"report"},"uris":["http://www.mendeley.com/documents/?uuid=66dfb1f7-02e7-4fe3-b852-7650bab0e51b"]}],"mendeley":{"formattedCitation":"(NSW Treasury 2017)","plainTextFormattedCitation":"(NSW Treasury 2017)","previouslyFormattedCitation":"(NSW Treasury 2017)"},"properties":{"noteIndex":0},"schema":"https://github.com/citation-style-language/schema/raw/master/csl-citation.json"}</w:instrText>
      </w:r>
      <w:r w:rsidR="001030F0" w:rsidRPr="00BC7A12">
        <w:rPr>
          <w:rFonts w:cs="Calibri"/>
        </w:rPr>
        <w:fldChar w:fldCharType="separate"/>
      </w:r>
      <w:r w:rsidR="001030F0" w:rsidRPr="00BC7A12">
        <w:rPr>
          <w:rFonts w:cs="Calibri"/>
          <w:noProof/>
        </w:rPr>
        <w:t>(NSW Treasury 2017)</w:t>
      </w:r>
      <w:r w:rsidR="001030F0" w:rsidRPr="00BC7A12">
        <w:rPr>
          <w:rFonts w:cs="Calibri"/>
        </w:rPr>
        <w:fldChar w:fldCharType="end"/>
      </w:r>
      <w:r w:rsidR="00292B0F" w:rsidRPr="00BC7A12">
        <w:rPr>
          <w:rFonts w:cs="Calibri"/>
        </w:rPr>
        <w:t>.</w:t>
      </w:r>
    </w:p>
    <w:p w14:paraId="786F82C4" w14:textId="19F58D2C" w:rsidR="001030F0" w:rsidRPr="00BC7A12" w:rsidRDefault="00521757" w:rsidP="00FD33CA">
      <w:pPr>
        <w:rPr>
          <w:rFonts w:cs="Calibri"/>
          <w:lang w:val="en-US"/>
        </w:rPr>
      </w:pPr>
      <w:r w:rsidRPr="00BC7A12">
        <w:rPr>
          <w:rFonts w:cs="Calibri"/>
          <w:lang w:val="en-US"/>
        </w:rPr>
        <w:t xml:space="preserve">Finally, DRR </w:t>
      </w:r>
      <w:r w:rsidR="00A770F8" w:rsidRPr="00BC7A12">
        <w:rPr>
          <w:rFonts w:cs="Calibri"/>
          <w:lang w:val="en-US"/>
        </w:rPr>
        <w:t xml:space="preserve">is only one </w:t>
      </w:r>
      <w:r w:rsidRPr="00BC7A12">
        <w:rPr>
          <w:rFonts w:cs="Calibri"/>
          <w:lang w:val="en-US"/>
        </w:rPr>
        <w:t xml:space="preserve">ecosystem services that coastal wetlands can provide. CBA analysis should consider the full range of values from recreational </w:t>
      </w:r>
      <w:r w:rsidR="002277DB">
        <w:rPr>
          <w:rFonts w:cs="Calibri"/>
          <w:lang w:val="en-US"/>
        </w:rPr>
        <w:t>and</w:t>
      </w:r>
      <w:r w:rsidR="002277DB" w:rsidRPr="00BC7A12">
        <w:rPr>
          <w:rFonts w:cs="Calibri"/>
          <w:lang w:val="en-US"/>
        </w:rPr>
        <w:t xml:space="preserve"> </w:t>
      </w:r>
      <w:r w:rsidRPr="00BC7A12">
        <w:rPr>
          <w:rFonts w:cs="Calibri"/>
          <w:lang w:val="en-US"/>
        </w:rPr>
        <w:t>fisheries</w:t>
      </w:r>
      <w:r w:rsidR="002277DB">
        <w:rPr>
          <w:rFonts w:cs="Calibri"/>
          <w:lang w:val="en-US"/>
        </w:rPr>
        <w:t xml:space="preserve"> related services</w:t>
      </w:r>
      <w:r w:rsidR="0063786D">
        <w:rPr>
          <w:rFonts w:cs="Calibri"/>
          <w:lang w:val="en-US"/>
        </w:rPr>
        <w:t>,</w:t>
      </w:r>
      <w:r w:rsidRPr="00BC7A12">
        <w:rPr>
          <w:rFonts w:cs="Calibri"/>
          <w:lang w:val="en-US"/>
        </w:rPr>
        <w:t xml:space="preserve"> to </w:t>
      </w:r>
      <w:r w:rsidR="0063786D">
        <w:rPr>
          <w:rFonts w:cs="Calibri"/>
          <w:lang w:val="en-US"/>
        </w:rPr>
        <w:t>potentially</w:t>
      </w:r>
      <w:r w:rsidR="0063786D" w:rsidRPr="00BC7A12">
        <w:rPr>
          <w:rFonts w:cs="Calibri"/>
          <w:lang w:val="en-US"/>
        </w:rPr>
        <w:t xml:space="preserve"> </w:t>
      </w:r>
      <w:r w:rsidRPr="00BC7A12">
        <w:rPr>
          <w:rFonts w:cs="Calibri"/>
          <w:lang w:val="en-US"/>
        </w:rPr>
        <w:t>increase</w:t>
      </w:r>
      <w:r w:rsidR="002277DB">
        <w:rPr>
          <w:rFonts w:cs="Calibri"/>
          <w:lang w:val="en-US"/>
        </w:rPr>
        <w:t>d</w:t>
      </w:r>
      <w:r w:rsidRPr="00BC7A12">
        <w:rPr>
          <w:rFonts w:cs="Calibri"/>
          <w:lang w:val="en-US"/>
        </w:rPr>
        <w:t xml:space="preserve"> presence of mosquitoes. This reinforces the needs for </w:t>
      </w:r>
      <w:r w:rsidR="00A770F8" w:rsidRPr="00BC7A12">
        <w:rPr>
          <w:rFonts w:cs="Calibri"/>
          <w:lang w:val="en-US"/>
        </w:rPr>
        <w:t xml:space="preserve">identifying and measuring ecosystem services using classification systems (see </w:t>
      </w:r>
      <w:r w:rsidR="00A770F8" w:rsidRPr="00BC7A12">
        <w:rPr>
          <w:rFonts w:cs="Calibri"/>
          <w:lang w:val="en-US"/>
        </w:rPr>
        <w:fldChar w:fldCharType="begin"/>
      </w:r>
      <w:r w:rsidR="00A770F8" w:rsidRPr="00BC7A12">
        <w:rPr>
          <w:rFonts w:cs="Calibri"/>
          <w:lang w:val="en-US"/>
        </w:rPr>
        <w:instrText xml:space="preserve"> REF _Ref45441913 \h </w:instrText>
      </w:r>
      <w:r w:rsidR="00BC7A12">
        <w:rPr>
          <w:rFonts w:cs="Calibri"/>
          <w:lang w:val="en-US"/>
        </w:rPr>
        <w:instrText xml:space="preserve"> \* MERGEFORMAT </w:instrText>
      </w:r>
      <w:r w:rsidR="00A770F8" w:rsidRPr="00BC7A12">
        <w:rPr>
          <w:rFonts w:cs="Calibri"/>
          <w:lang w:val="en-US"/>
        </w:rPr>
      </w:r>
      <w:r w:rsidR="00A770F8" w:rsidRPr="00BC7A12">
        <w:rPr>
          <w:rFonts w:cs="Calibri"/>
          <w:lang w:val="en-US"/>
        </w:rPr>
        <w:fldChar w:fldCharType="separate"/>
      </w:r>
      <w:r w:rsidR="00657E34" w:rsidRPr="00BC7A12">
        <w:rPr>
          <w:rFonts w:cs="Calibri"/>
        </w:rPr>
        <w:t>Appendix 5 History of ecosystem services classification</w:t>
      </w:r>
      <w:r w:rsidR="00A770F8" w:rsidRPr="00BC7A12">
        <w:rPr>
          <w:rFonts w:cs="Calibri"/>
          <w:lang w:val="en-US"/>
        </w:rPr>
        <w:fldChar w:fldCharType="end"/>
      </w:r>
      <w:r w:rsidR="00A770F8" w:rsidRPr="00BC7A12">
        <w:rPr>
          <w:rFonts w:cs="Calibri"/>
          <w:lang w:val="en-US"/>
        </w:rPr>
        <w:t xml:space="preserve"> a full discussion). </w:t>
      </w:r>
    </w:p>
    <w:p w14:paraId="290301B7" w14:textId="77777777" w:rsidR="00A770F8" w:rsidRPr="00BC7A12" w:rsidRDefault="00A770F8" w:rsidP="00FD33CA">
      <w:pPr>
        <w:rPr>
          <w:rFonts w:cs="Calibri"/>
          <w:lang w:val="en-US"/>
        </w:rPr>
      </w:pPr>
    </w:p>
    <w:p w14:paraId="1A1466AC" w14:textId="296CB7CE" w:rsidR="0016062E" w:rsidRPr="00BC7A12" w:rsidRDefault="00164A21" w:rsidP="00164A21">
      <w:pPr>
        <w:pStyle w:val="Heading3"/>
        <w:rPr>
          <w:rFonts w:cs="Calibri"/>
          <w:lang w:val="en-US"/>
        </w:rPr>
      </w:pPr>
      <w:bookmarkStart w:id="72" w:name="_Toc46822318"/>
      <w:r w:rsidRPr="00BC7A12">
        <w:rPr>
          <w:rFonts w:cs="Calibri"/>
          <w:lang w:val="en-US"/>
        </w:rPr>
        <w:t>Adaptation</w:t>
      </w:r>
      <w:r w:rsidR="0016062E" w:rsidRPr="00BC7A12">
        <w:rPr>
          <w:rFonts w:cs="Calibri"/>
        </w:rPr>
        <w:t xml:space="preserve"> planning</w:t>
      </w:r>
      <w:bookmarkEnd w:id="72"/>
      <w:r w:rsidR="0016062E" w:rsidRPr="00BC7A12">
        <w:rPr>
          <w:rFonts w:cs="Calibri"/>
          <w:lang w:val="en-US"/>
        </w:rPr>
        <w:t xml:space="preserve"> </w:t>
      </w:r>
    </w:p>
    <w:p w14:paraId="48D4C92C" w14:textId="5F1D21BA" w:rsidR="00A07253" w:rsidRPr="00BC7A12" w:rsidRDefault="005C7472" w:rsidP="00FD33CA">
      <w:pPr>
        <w:rPr>
          <w:rFonts w:cs="Calibri"/>
          <w:lang w:val="en-US"/>
        </w:rPr>
      </w:pPr>
      <w:r w:rsidRPr="00BC7A12">
        <w:rPr>
          <w:rFonts w:cs="Calibri"/>
          <w:lang w:val="en-US"/>
        </w:rPr>
        <w:t xml:space="preserve">DRR valuation in cost benefit analysis </w:t>
      </w:r>
      <w:r w:rsidR="002A090E" w:rsidRPr="00BC7A12">
        <w:rPr>
          <w:rFonts w:cs="Calibri"/>
          <w:lang w:val="en-US"/>
        </w:rPr>
        <w:t xml:space="preserve">may have </w:t>
      </w:r>
      <w:r w:rsidRPr="00BC7A12">
        <w:rPr>
          <w:rFonts w:cs="Calibri"/>
          <w:lang w:val="en-US"/>
        </w:rPr>
        <w:t>the most utility</w:t>
      </w:r>
      <w:r w:rsidR="0035208D" w:rsidRPr="00BC7A12">
        <w:rPr>
          <w:rFonts w:cs="Calibri"/>
          <w:lang w:val="en-US"/>
        </w:rPr>
        <w:t xml:space="preserve"> </w:t>
      </w:r>
      <w:r w:rsidR="008067C2" w:rsidRPr="00BC7A12">
        <w:rPr>
          <w:rFonts w:cs="Calibri"/>
          <w:lang w:val="en-US"/>
        </w:rPr>
        <w:t xml:space="preserve">as a component of </w:t>
      </w:r>
      <w:r w:rsidRPr="00BC7A12">
        <w:rPr>
          <w:rFonts w:cs="Calibri"/>
          <w:lang w:val="en-US"/>
        </w:rPr>
        <w:t>adaptation planning.</w:t>
      </w:r>
      <w:r w:rsidR="0032333D" w:rsidRPr="00BC7A12">
        <w:rPr>
          <w:rFonts w:cs="Calibri"/>
          <w:lang w:val="en-US"/>
        </w:rPr>
        <w:t xml:space="preserve"> </w:t>
      </w:r>
      <w:r w:rsidR="008067C2" w:rsidRPr="00BC7A12">
        <w:rPr>
          <w:rFonts w:cs="Calibri"/>
          <w:lang w:val="en-US"/>
        </w:rPr>
        <w:t>Australia</w:t>
      </w:r>
      <w:r w:rsidR="0063786D">
        <w:rPr>
          <w:rFonts w:cs="Calibri"/>
          <w:lang w:val="en-US"/>
        </w:rPr>
        <w:t>n</w:t>
      </w:r>
      <w:r w:rsidR="008067C2" w:rsidRPr="00BC7A12">
        <w:rPr>
          <w:rFonts w:cs="Calibri"/>
          <w:lang w:val="en-US"/>
        </w:rPr>
        <w:t xml:space="preserve"> guidance for incorporating CBA into coastal adaptation is well documented </w:t>
      </w:r>
      <w:r w:rsidR="008067C2" w:rsidRPr="00BC7A12">
        <w:rPr>
          <w:rFonts w:cs="Calibri"/>
          <w:lang w:val="en-US"/>
        </w:rPr>
        <w:fldChar w:fldCharType="begin" w:fldLock="1"/>
      </w:r>
      <w:r w:rsidR="00CC5FCC" w:rsidRPr="00BC7A12">
        <w:rPr>
          <w:rFonts w:cs="Calibri"/>
          <w:lang w:val="en-US"/>
        </w:rPr>
        <w:instrText>ADDIN CSL_CITATION {"citationItems":[{"id":"ITEM-1","itemData":{"ISBN":"9780994605337","author":[{"dropping-particle":"","family":"Wise","given":"R. M.","non-dropping-particle":"","parse-names":false,"suffix":""},{"dropping-particle":"","family":"Capon","given":"T. R.","non-dropping-particle":"","parse-names":false,"suffix":""}],"id":"ITEM-1","issued":{"date-parts":[["2016"]]},"number-of-pages":"52","publisher-place":"Gold Coast","title":"Assessing costs and benefits of coastal climate adaptation. CoastAdapt Information Manual 4","type":"report"},"uris":["http://www.mendeley.com/documents/?uuid=db2a8394-e7f6-4b26-b2bd-2fd2ef820f1e"]}],"mendeley":{"formattedCitation":"(Wise &amp; Capon 2016)","plainTextFormattedCitation":"(Wise &amp; Capon 2016)","previouslyFormattedCitation":"(Wise &amp; Capon 2016)"},"properties":{"noteIndex":0},"schema":"https://github.com/citation-style-language/schema/raw/master/csl-citation.json"}</w:instrText>
      </w:r>
      <w:r w:rsidR="008067C2" w:rsidRPr="00BC7A12">
        <w:rPr>
          <w:rFonts w:cs="Calibri"/>
          <w:lang w:val="en-US"/>
        </w:rPr>
        <w:fldChar w:fldCharType="separate"/>
      </w:r>
      <w:r w:rsidR="008067C2" w:rsidRPr="00BC7A12">
        <w:rPr>
          <w:rFonts w:cs="Calibri"/>
          <w:noProof/>
          <w:lang w:val="en-US"/>
        </w:rPr>
        <w:t>(Wise &amp; Capon 2016)</w:t>
      </w:r>
      <w:r w:rsidR="008067C2" w:rsidRPr="00BC7A12">
        <w:rPr>
          <w:rFonts w:cs="Calibri"/>
          <w:lang w:val="en-US"/>
        </w:rPr>
        <w:fldChar w:fldCharType="end"/>
      </w:r>
      <w:r w:rsidR="008067C2" w:rsidRPr="00BC7A12">
        <w:rPr>
          <w:rFonts w:cs="Calibri"/>
          <w:lang w:val="en-US"/>
        </w:rPr>
        <w:t xml:space="preserve">. Moreover, there are successful </w:t>
      </w:r>
      <w:r w:rsidR="00DE28E9" w:rsidRPr="00BC7A12">
        <w:rPr>
          <w:rFonts w:cs="Calibri"/>
          <w:lang w:val="en-US"/>
        </w:rPr>
        <w:t>uses</w:t>
      </w:r>
      <w:r w:rsidR="008067C2" w:rsidRPr="00BC7A12">
        <w:rPr>
          <w:rFonts w:cs="Calibri"/>
          <w:lang w:val="en-US"/>
        </w:rPr>
        <w:t xml:space="preserve"> of DRR valuation in cost benefit analysis</w:t>
      </w:r>
      <w:r w:rsidR="00DE28E9" w:rsidRPr="00BC7A12">
        <w:rPr>
          <w:rFonts w:cs="Calibri"/>
          <w:lang w:val="en-US"/>
        </w:rPr>
        <w:t>. One</w:t>
      </w:r>
      <w:r w:rsidR="0032333D" w:rsidRPr="00BC7A12">
        <w:rPr>
          <w:rFonts w:cs="Calibri"/>
          <w:lang w:val="en-US"/>
        </w:rPr>
        <w:t xml:space="preserve"> </w:t>
      </w:r>
      <w:r w:rsidR="00A07253" w:rsidRPr="00BC7A12">
        <w:rPr>
          <w:rFonts w:cs="Calibri"/>
          <w:lang w:val="en-US"/>
        </w:rPr>
        <w:t xml:space="preserve">was </w:t>
      </w:r>
      <w:r w:rsidR="00DE28E9" w:rsidRPr="00BC7A12">
        <w:rPr>
          <w:rFonts w:cs="Calibri"/>
          <w:lang w:val="en-US"/>
        </w:rPr>
        <w:t xml:space="preserve">based on analysis of competing conservation and development </w:t>
      </w:r>
      <w:r w:rsidR="00A07253" w:rsidRPr="00BC7A12">
        <w:rPr>
          <w:rFonts w:cs="Calibri"/>
          <w:lang w:val="en-US"/>
        </w:rPr>
        <w:t xml:space="preserve">scenarios </w:t>
      </w:r>
      <w:r w:rsidR="00A07253" w:rsidRPr="00BC7A12">
        <w:rPr>
          <w:rFonts w:cs="Calibri"/>
          <w:lang w:val="en-US"/>
        </w:rPr>
        <w:fldChar w:fldCharType="begin" w:fldLock="1"/>
      </w:r>
      <w:r w:rsidR="004E4405" w:rsidRPr="00BC7A12">
        <w:rPr>
          <w:rFonts w:cs="Calibri"/>
          <w:lang w:val="en-US"/>
        </w:rPr>
        <w:instrText>ADDIN CSL_CITATION {"citationItems":[{"id":"ITEM-1","itemData":{"abstract":"This case study highlights a real-world example of developing scenarios to inform coastal and marine spatial planning decisions. In this example, stakeholders engaged in an iterative process of scenario development, data were collected, ecosystem service impacts were assessed, and the results were used to inform national marine policy decisions in Belize. The case study offers background on the policy context and goals, and then delves into the experience with scenarios and draws lessons.","author":[{"dropping-particle":"","family":"Rosenthal","given":"Amy","non-dropping-particle":"","parse-names":false,"suffix":""},{"dropping-particle":"","family":"Verutes","given":"Gregory","non-dropping-particle":"","parse-names":false,"suffix":""},{"dropping-particle":"","family":"Arkema","given":"Katie","non-dropping-particle":"","parse-names":false,"suffix":""},{"dropping-particle":"","family":"Clarke","given":"Chantalle","non-dropping-particle":"","parse-names":false,"suffix":""},{"dropping-particle":"","family":"Canto","given":"Maritza","non-dropping-particle":"","parse-names":false,"suffix":""},{"dropping-particle":"","family":"Rosado","given":"Samir","non-dropping-particle":"","parse-names":false,"suffix":""},{"dropping-particle":"","family":"Wood","given":"Spencer","non-dropping-particle":"","parse-names":false,"suffix":""}],"id":"ITEM-1","issued":{"date-parts":[["2014"]]},"number-of-pages":"14","title":"InVEST Scenarios Case Study: Coastal Belize","type":"report"},"uris":["http://www.mendeley.com/documents/?uuid=41ffd83f-4538-407e-8f7a-170aa76a31f9"]}],"mendeley":{"formattedCitation":"(Rosenthal et al. 2014)","manualFormatting":"(Rosenthal et al. 2014 see Box A)","plainTextFormattedCitation":"(Rosenthal et al. 2014)","previouslyFormattedCitation":"(Rosenthal et al. 2014)"},"properties":{"noteIndex":0},"schema":"https://github.com/citation-style-language/schema/raw/master/csl-citation.json"}</w:instrText>
      </w:r>
      <w:r w:rsidR="00A07253" w:rsidRPr="00BC7A12">
        <w:rPr>
          <w:rFonts w:cs="Calibri"/>
          <w:lang w:val="en-US"/>
        </w:rPr>
        <w:fldChar w:fldCharType="separate"/>
      </w:r>
      <w:r w:rsidR="00A07253" w:rsidRPr="00BC7A12">
        <w:rPr>
          <w:rFonts w:cs="Calibri"/>
          <w:noProof/>
          <w:lang w:val="en-US"/>
        </w:rPr>
        <w:t>(Rosenthal et al. 2014</w:t>
      </w:r>
      <w:r w:rsidR="004E4405" w:rsidRPr="00BC7A12">
        <w:rPr>
          <w:rFonts w:cs="Calibri"/>
          <w:noProof/>
          <w:lang w:val="en-US"/>
        </w:rPr>
        <w:t xml:space="preserve"> see Box A</w:t>
      </w:r>
      <w:r w:rsidR="00A07253" w:rsidRPr="00BC7A12">
        <w:rPr>
          <w:rFonts w:cs="Calibri"/>
          <w:noProof/>
          <w:lang w:val="en-US"/>
        </w:rPr>
        <w:t>)</w:t>
      </w:r>
      <w:r w:rsidR="00A07253" w:rsidRPr="00BC7A12">
        <w:rPr>
          <w:rFonts w:cs="Calibri"/>
          <w:lang w:val="en-US"/>
        </w:rPr>
        <w:fldChar w:fldCharType="end"/>
      </w:r>
      <w:r w:rsidR="00A07253" w:rsidRPr="00BC7A12">
        <w:rPr>
          <w:rFonts w:cs="Calibri"/>
          <w:lang w:val="en-US"/>
        </w:rPr>
        <w:t xml:space="preserve">. Australia’s Mapping Ocean Wealth project </w:t>
      </w:r>
      <w:r w:rsidR="004E4405" w:rsidRPr="00BC7A12">
        <w:rPr>
          <w:rFonts w:cs="Calibri"/>
          <w:lang w:val="en-US"/>
        </w:rPr>
        <w:t xml:space="preserve">may be </w:t>
      </w:r>
      <w:r w:rsidR="00294F7D" w:rsidRPr="00BC7A12">
        <w:rPr>
          <w:rFonts w:cs="Calibri"/>
          <w:lang w:val="en-US"/>
        </w:rPr>
        <w:t xml:space="preserve">equally </w:t>
      </w:r>
      <w:r w:rsidR="00A07253" w:rsidRPr="00BC7A12">
        <w:rPr>
          <w:rFonts w:cs="Calibri"/>
          <w:lang w:val="en-US"/>
        </w:rPr>
        <w:t xml:space="preserve">influential because it followed </w:t>
      </w:r>
      <w:r w:rsidR="00A45ACA" w:rsidRPr="00BC7A12">
        <w:rPr>
          <w:rFonts w:cs="Calibri"/>
          <w:lang w:val="en-US"/>
        </w:rPr>
        <w:t xml:space="preserve">a similar process </w:t>
      </w:r>
      <w:r w:rsidR="008067C2" w:rsidRPr="00BC7A12">
        <w:rPr>
          <w:rFonts w:cs="Calibri"/>
          <w:lang w:val="en-US"/>
        </w:rPr>
        <w:t xml:space="preserve">and is </w:t>
      </w:r>
      <w:r w:rsidR="00A45ACA" w:rsidRPr="00BC7A12">
        <w:rPr>
          <w:rFonts w:cs="Calibri"/>
          <w:lang w:val="en-US"/>
        </w:rPr>
        <w:t xml:space="preserve">aligned </w:t>
      </w:r>
      <w:r w:rsidR="004E4405" w:rsidRPr="00BC7A12">
        <w:rPr>
          <w:rFonts w:cs="Calibri"/>
          <w:lang w:val="en-US"/>
        </w:rPr>
        <w:t xml:space="preserve">with the CBA guidance. </w:t>
      </w:r>
      <w:r w:rsidR="00A07253" w:rsidRPr="00BC7A12">
        <w:rPr>
          <w:rFonts w:cs="Calibri"/>
          <w:lang w:val="en-US"/>
        </w:rPr>
        <w:t xml:space="preserve">  </w:t>
      </w:r>
    </w:p>
    <w:p w14:paraId="10AD6305" w14:textId="7BA3B74E" w:rsidR="00A07253" w:rsidRPr="00BC7A12" w:rsidRDefault="007F158A" w:rsidP="00FD33CA">
      <w:pPr>
        <w:rPr>
          <w:rFonts w:cs="Calibri"/>
          <w:lang w:val="en-US"/>
        </w:rPr>
      </w:pPr>
      <w:r w:rsidRPr="00BC7A12">
        <w:rPr>
          <w:rFonts w:cs="Calibri"/>
          <w:lang w:val="en-US"/>
        </w:rPr>
        <w:t xml:space="preserve">This said, often adaptation actions can be implemented through </w:t>
      </w:r>
      <w:r w:rsidR="00DE28E9" w:rsidRPr="00BC7A12">
        <w:rPr>
          <w:rFonts w:cs="Calibri"/>
          <w:lang w:val="en-US"/>
        </w:rPr>
        <w:t xml:space="preserve">disaster planning processes. </w:t>
      </w:r>
      <w:r w:rsidRPr="00BC7A12">
        <w:rPr>
          <w:rFonts w:cs="Calibri"/>
          <w:lang w:val="en-US"/>
        </w:rPr>
        <w:t>By applying the same valuation approaches</w:t>
      </w:r>
      <w:r w:rsidR="0063786D">
        <w:rPr>
          <w:rFonts w:cs="Calibri"/>
          <w:lang w:val="en-US"/>
        </w:rPr>
        <w:t>,</w:t>
      </w:r>
      <w:r w:rsidRPr="00BC7A12">
        <w:rPr>
          <w:rFonts w:cs="Calibri"/>
          <w:lang w:val="en-US"/>
        </w:rPr>
        <w:t xml:space="preserve"> conservation or restoration of coastal wetland may be more likely to be implemented by gaining new advocates </w:t>
      </w:r>
      <w:r w:rsidR="00E83668" w:rsidRPr="00BC7A12">
        <w:rPr>
          <w:rFonts w:cs="Calibri"/>
          <w:lang w:val="en-US"/>
        </w:rPr>
        <w:fldChar w:fldCharType="begin" w:fldLock="1"/>
      </w:r>
      <w:r w:rsidR="008829D2" w:rsidRPr="00BC7A12">
        <w:rPr>
          <w:rFonts w:cs="Calibri"/>
          <w:lang w:val="en-US"/>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2020a)","manualFormatting":"(Cunningham and Jacobs in IDEEA Group 2020","plainTextFormattedCitation":"(IDEEA Group 2020a)","previouslyFormattedCitation":"(IDEEA Group 2020a)"},"properties":{"noteIndex":0},"schema":"https://github.com/citation-style-language/schema/raw/master/csl-citation.json"}</w:instrText>
      </w:r>
      <w:r w:rsidR="00E83668" w:rsidRPr="00BC7A12">
        <w:rPr>
          <w:rFonts w:cs="Calibri"/>
          <w:lang w:val="en-US"/>
        </w:rPr>
        <w:fldChar w:fldCharType="separate"/>
      </w:r>
      <w:r w:rsidR="00E83668" w:rsidRPr="00BC7A12">
        <w:rPr>
          <w:rFonts w:cs="Calibri"/>
          <w:noProof/>
          <w:lang w:val="en-US"/>
        </w:rPr>
        <w:t>(Cunningham and Jacobs in IDEEA Group 2020</w:t>
      </w:r>
      <w:r w:rsidR="00E83668" w:rsidRPr="00BC7A12">
        <w:rPr>
          <w:rFonts w:cs="Calibri"/>
          <w:lang w:val="en-US"/>
        </w:rPr>
        <w:fldChar w:fldCharType="end"/>
      </w:r>
      <w:r w:rsidR="002F3371" w:rsidRPr="00BC7A12">
        <w:rPr>
          <w:rFonts w:cs="Calibri"/>
          <w:lang w:val="en-US"/>
        </w:rPr>
        <w:t>a)</w:t>
      </w:r>
      <w:r w:rsidR="00292B0F" w:rsidRPr="00BC7A12">
        <w:rPr>
          <w:rFonts w:cs="Calibri"/>
          <w:lang w:val="en-US"/>
        </w:rPr>
        <w:t>.</w:t>
      </w:r>
      <w:r w:rsidR="00E83668" w:rsidRPr="00BC7A12">
        <w:rPr>
          <w:rFonts w:cs="Calibri"/>
          <w:lang w:val="en-US"/>
        </w:rPr>
        <w:t xml:space="preserve"> </w:t>
      </w:r>
    </w:p>
    <w:p w14:paraId="0D0B943A" w14:textId="77777777" w:rsidR="00C61E2B" w:rsidRPr="00BC7A12" w:rsidRDefault="00C61E2B" w:rsidP="00FD33CA">
      <w:pPr>
        <w:rPr>
          <w:rFonts w:cs="Calibri"/>
          <w:lang w:val="en-US"/>
        </w:rPr>
      </w:pPr>
    </w:p>
    <w:p w14:paraId="0219581E" w14:textId="3C6DCB86" w:rsidR="00375CB4" w:rsidRPr="00BC7A12" w:rsidRDefault="000B08DD" w:rsidP="001030F0">
      <w:pPr>
        <w:pStyle w:val="Heading3"/>
        <w:rPr>
          <w:rFonts w:cs="Calibri"/>
          <w:lang w:val="en-US"/>
        </w:rPr>
      </w:pPr>
      <w:bookmarkStart w:id="73" w:name="_Toc46822319"/>
      <w:r w:rsidRPr="00BC7A12">
        <w:rPr>
          <w:rFonts w:cs="Calibri"/>
          <w:lang w:val="en-US"/>
        </w:rPr>
        <w:t>Coastal insurance</w:t>
      </w:r>
      <w:r w:rsidR="00750AEA" w:rsidRPr="00BC7A12">
        <w:rPr>
          <w:rFonts w:cs="Calibri"/>
          <w:lang w:val="en-US"/>
        </w:rPr>
        <w:t xml:space="preserve">, real </w:t>
      </w:r>
      <w:proofErr w:type="gramStart"/>
      <w:r w:rsidR="00750AEA" w:rsidRPr="00BC7A12">
        <w:rPr>
          <w:rFonts w:cs="Calibri"/>
          <w:lang w:val="en-US"/>
        </w:rPr>
        <w:t>estate</w:t>
      </w:r>
      <w:proofErr w:type="gramEnd"/>
      <w:r w:rsidR="00750AEA" w:rsidRPr="00BC7A12">
        <w:rPr>
          <w:rFonts w:cs="Calibri"/>
          <w:lang w:val="en-US"/>
        </w:rPr>
        <w:t xml:space="preserve"> and construction industry</w:t>
      </w:r>
      <w:bookmarkEnd w:id="73"/>
      <w:r w:rsidR="00750AEA" w:rsidRPr="00BC7A12">
        <w:rPr>
          <w:rFonts w:cs="Calibri"/>
          <w:lang w:val="en-US"/>
        </w:rPr>
        <w:t xml:space="preserve"> </w:t>
      </w:r>
      <w:r w:rsidRPr="00BC7A12">
        <w:rPr>
          <w:rFonts w:cs="Calibri"/>
          <w:lang w:val="en-US"/>
        </w:rPr>
        <w:t xml:space="preserve"> </w:t>
      </w:r>
    </w:p>
    <w:p w14:paraId="63C005B9" w14:textId="5695C23F" w:rsidR="00E83668" w:rsidRPr="00BC7A12" w:rsidRDefault="007A0C74" w:rsidP="00FD33CA">
      <w:pPr>
        <w:rPr>
          <w:rFonts w:cs="Calibri"/>
          <w:lang w:val="en-US"/>
        </w:rPr>
      </w:pPr>
      <w:r w:rsidRPr="00BC7A12">
        <w:rPr>
          <w:rFonts w:cs="Calibri"/>
          <w:lang w:val="en-US"/>
        </w:rPr>
        <w:t xml:space="preserve">At present, the </w:t>
      </w:r>
      <w:r w:rsidR="00E83668" w:rsidRPr="00BC7A12">
        <w:rPr>
          <w:rFonts w:cs="Calibri"/>
          <w:lang w:val="en-US"/>
        </w:rPr>
        <w:t>Australia</w:t>
      </w:r>
      <w:r w:rsidRPr="00BC7A12">
        <w:rPr>
          <w:rFonts w:cs="Calibri"/>
          <w:lang w:val="en-US"/>
        </w:rPr>
        <w:t>n</w:t>
      </w:r>
      <w:r w:rsidR="00E83668" w:rsidRPr="00BC7A12">
        <w:rPr>
          <w:rFonts w:cs="Calibri"/>
          <w:lang w:val="en-US"/>
        </w:rPr>
        <w:t xml:space="preserve"> real estate market does not sufficiently </w:t>
      </w:r>
      <w:r w:rsidRPr="00BC7A12">
        <w:rPr>
          <w:rFonts w:cs="Calibri"/>
          <w:lang w:val="en-US"/>
        </w:rPr>
        <w:t xml:space="preserve">incorporate </w:t>
      </w:r>
      <w:r w:rsidR="00237122" w:rsidRPr="00BC7A12">
        <w:rPr>
          <w:rFonts w:cs="Calibri"/>
          <w:lang w:val="en-US"/>
        </w:rPr>
        <w:t xml:space="preserve">natural hazard risks into prices. In general, properties </w:t>
      </w:r>
      <w:r w:rsidR="007339FC">
        <w:rPr>
          <w:rFonts w:cs="Calibri"/>
          <w:lang w:val="en-US"/>
        </w:rPr>
        <w:t xml:space="preserve">with higher risk from hazards </w:t>
      </w:r>
      <w:r w:rsidR="00237122" w:rsidRPr="00BC7A12">
        <w:rPr>
          <w:rFonts w:cs="Calibri"/>
          <w:lang w:val="en-US"/>
        </w:rPr>
        <w:t xml:space="preserve">are no more expensive than similar properties with lower risk profiles. In addition, there are no requirements for </w:t>
      </w:r>
      <w:r w:rsidR="00886C35" w:rsidRPr="00BC7A12">
        <w:rPr>
          <w:rFonts w:cs="Calibri"/>
          <w:lang w:val="en-US"/>
        </w:rPr>
        <w:t xml:space="preserve">homeowners to purchase coastal </w:t>
      </w:r>
      <w:r w:rsidR="00237122" w:rsidRPr="00BC7A12">
        <w:rPr>
          <w:rFonts w:cs="Calibri"/>
          <w:lang w:val="en-US"/>
        </w:rPr>
        <w:t xml:space="preserve">disaster insurance </w:t>
      </w:r>
      <w:r w:rsidR="00A53A33" w:rsidRPr="00BC7A12">
        <w:rPr>
          <w:rFonts w:cs="Calibri"/>
          <w:lang w:val="en-US"/>
        </w:rPr>
        <w:t xml:space="preserve">and there is likely only one retail </w:t>
      </w:r>
      <w:r w:rsidR="00886C35" w:rsidRPr="00BC7A12">
        <w:rPr>
          <w:rFonts w:cs="Calibri"/>
          <w:lang w:val="en-US"/>
        </w:rPr>
        <w:t xml:space="preserve">provider </w:t>
      </w:r>
      <w:r w:rsidR="000B08DD" w:rsidRPr="00BC7A12">
        <w:rPr>
          <w:rFonts w:cs="Calibri"/>
          <w:lang w:val="en-US"/>
        </w:rPr>
        <w:t xml:space="preserve">of this insurance </w:t>
      </w:r>
      <w:r w:rsidR="00886C35" w:rsidRPr="00BC7A12">
        <w:rPr>
          <w:rFonts w:cs="Calibri"/>
          <w:lang w:val="en-US"/>
        </w:rPr>
        <w:fldChar w:fldCharType="begin" w:fldLock="1"/>
      </w:r>
      <w:r w:rsidR="008829D2" w:rsidRPr="00BC7A12">
        <w:rPr>
          <w:rFonts w:cs="Calibri"/>
          <w:lang w:val="en-US"/>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2020a)","manualFormatting":"(Mallon in IDEEA Group 2020a)","plainTextFormattedCitation":"(IDEEA Group 2020a)","previouslyFormattedCitation":"(IDEEA Group 2020a)"},"properties":{"noteIndex":0},"schema":"https://github.com/citation-style-language/schema/raw/master/csl-citation.json"}</w:instrText>
      </w:r>
      <w:r w:rsidR="00886C35" w:rsidRPr="00BC7A12">
        <w:rPr>
          <w:rFonts w:cs="Calibri"/>
          <w:lang w:val="en-US"/>
        </w:rPr>
        <w:fldChar w:fldCharType="separate"/>
      </w:r>
      <w:r w:rsidR="00886C35" w:rsidRPr="00BC7A12">
        <w:rPr>
          <w:rFonts w:cs="Calibri"/>
          <w:noProof/>
          <w:lang w:val="en-US"/>
        </w:rPr>
        <w:t>(Mallon in IDEEA Group 2020</w:t>
      </w:r>
      <w:r w:rsidR="002F3371" w:rsidRPr="00BC7A12">
        <w:rPr>
          <w:rFonts w:cs="Calibri"/>
          <w:noProof/>
          <w:lang w:val="en-US"/>
        </w:rPr>
        <w:t>a</w:t>
      </w:r>
      <w:r w:rsidR="00886C35" w:rsidRPr="00BC7A12">
        <w:rPr>
          <w:rFonts w:cs="Calibri"/>
          <w:noProof/>
          <w:lang w:val="en-US"/>
        </w:rPr>
        <w:t>)</w:t>
      </w:r>
      <w:r w:rsidR="00886C35" w:rsidRPr="00BC7A12">
        <w:rPr>
          <w:rFonts w:cs="Calibri"/>
          <w:lang w:val="en-US"/>
        </w:rPr>
        <w:fldChar w:fldCharType="end"/>
      </w:r>
      <w:r w:rsidR="00292B0F" w:rsidRPr="00BC7A12">
        <w:rPr>
          <w:rFonts w:cs="Calibri"/>
          <w:lang w:val="en-US"/>
        </w:rPr>
        <w:t>.</w:t>
      </w:r>
    </w:p>
    <w:p w14:paraId="41BD5469" w14:textId="4D2BCA6D" w:rsidR="00C463C1" w:rsidRPr="00BC7A12" w:rsidRDefault="00BD6D66" w:rsidP="00C463C1">
      <w:pPr>
        <w:rPr>
          <w:rFonts w:cs="Calibri"/>
          <w:lang w:val="en-US"/>
        </w:rPr>
      </w:pPr>
      <w:r w:rsidRPr="00BC7A12">
        <w:rPr>
          <w:rFonts w:cs="Calibri"/>
          <w:lang w:val="en-US"/>
        </w:rPr>
        <w:t xml:space="preserve">The </w:t>
      </w:r>
      <w:r w:rsidR="00FD33CA" w:rsidRPr="00BC7A12">
        <w:rPr>
          <w:rFonts w:cs="Calibri"/>
          <w:lang w:val="en-US"/>
        </w:rPr>
        <w:t xml:space="preserve">insurance industry has been developing </w:t>
      </w:r>
      <w:r w:rsidR="00886C35" w:rsidRPr="00BC7A12">
        <w:rPr>
          <w:rFonts w:cs="Calibri"/>
          <w:lang w:val="en-US"/>
        </w:rPr>
        <w:t xml:space="preserve">numerous </w:t>
      </w:r>
      <w:r w:rsidR="00A53A33" w:rsidRPr="00BC7A12">
        <w:rPr>
          <w:rFonts w:cs="Calibri"/>
          <w:lang w:val="en-US"/>
        </w:rPr>
        <w:t xml:space="preserve">biophysical </w:t>
      </w:r>
      <w:r w:rsidR="00886C35" w:rsidRPr="00BC7A12">
        <w:rPr>
          <w:rFonts w:cs="Calibri"/>
          <w:lang w:val="en-US"/>
        </w:rPr>
        <w:t>models for coastal risk analysis</w:t>
      </w:r>
      <w:r w:rsidRPr="00BC7A12">
        <w:rPr>
          <w:rFonts w:cs="Calibri"/>
          <w:lang w:val="en-US"/>
        </w:rPr>
        <w:t xml:space="preserve"> in </w:t>
      </w:r>
      <w:r w:rsidR="00C13DED" w:rsidRPr="00BC7A12">
        <w:rPr>
          <w:rFonts w:cs="Calibri"/>
          <w:lang w:val="en-US"/>
        </w:rPr>
        <w:t xml:space="preserve">Australia </w:t>
      </w:r>
      <w:r w:rsidR="00C13DED" w:rsidRPr="00BC7A12">
        <w:rPr>
          <w:rFonts w:cs="Calibri"/>
          <w:lang w:val="en-US"/>
        </w:rPr>
        <w:fldChar w:fldCharType="begin" w:fldLock="1"/>
      </w:r>
      <w:r w:rsidR="00C13DED" w:rsidRPr="00BC7A12">
        <w:rPr>
          <w:rFonts w:cs="Calibri"/>
          <w:lang w:val="en-US"/>
        </w:rPr>
        <w:instrText>ADDIN CSL_CITATION {"citationItems":[{"id":"ITEM-1","itemData":{"author":[{"dropping-particle":"","family":"Bruyère","given":"Cindy","non-dropping-particle":"","parse-names":false,"suffix":""},{"dropping-particle":"","family":"Buckley","given":"Bruce","non-dropping-particle":"","parse-names":false,"suffix":""},{"dropping-particle":"","family":"Chan","given":"Peter","non-dropping-particle":"","parse-names":false,"suffix":""},{"dropping-particle":"","family":"Done","given":"James","non-dropping-particle":"","parse-names":false,"suffix":""},{"dropping-particle":"","family":"Dyer","given":"Andrew","non-dropping-particle":"","parse-names":false,"suffix":""},{"dropping-particle":"","family":"Holland","given":"Greg","non-dropping-particle":"","parse-names":false,"suffix":""},{"dropping-particle":"","family":"Leplastrier","given":"Mark","non-dropping-particle":"","parse-names":false,"suffix":""},{"dropping-particle":"","family":"Prein","given":"Andreas","non-dropping-particle":"","parse-names":false,"suffix":""}],"id":"ITEM-1","issue":"November","issued":{"date-parts":[["2019"]]},"number-of-pages":"66","title":"Severe or extreme weather in a changing climate","type":"report"},"uris":["http://www.mendeley.com/documents/?uuid=09bc7c8f-0e05-4d77-94e1-95fafe987129"]}],"mendeley":{"formattedCitation":"(Bruyère et al. 2019)","plainTextFormattedCitation":"(Bruyère et al. 2019)","previouslyFormattedCitation":"(Bruyère et al. 2019)"},"properties":{"noteIndex":0},"schema":"https://github.com/citation-style-language/schema/raw/master/csl-citation.json"}</w:instrText>
      </w:r>
      <w:r w:rsidR="00C13DED" w:rsidRPr="00BC7A12">
        <w:rPr>
          <w:rFonts w:cs="Calibri"/>
          <w:lang w:val="en-US"/>
        </w:rPr>
        <w:fldChar w:fldCharType="separate"/>
      </w:r>
      <w:r w:rsidR="00C13DED" w:rsidRPr="00BC7A12">
        <w:rPr>
          <w:rFonts w:cs="Calibri"/>
          <w:noProof/>
          <w:lang w:val="en-US"/>
        </w:rPr>
        <w:t>(Bruyère et al. 2019)</w:t>
      </w:r>
      <w:r w:rsidR="00C13DED" w:rsidRPr="00BC7A12">
        <w:rPr>
          <w:rFonts w:cs="Calibri"/>
          <w:lang w:val="en-US"/>
        </w:rPr>
        <w:fldChar w:fldCharType="end"/>
      </w:r>
      <w:r w:rsidR="00C13DED" w:rsidRPr="00BC7A12">
        <w:rPr>
          <w:rFonts w:cs="Calibri"/>
          <w:lang w:val="en-US"/>
        </w:rPr>
        <w:t xml:space="preserve">. Such analysis can improve existing products and develop innovative insurance products based on maintaining the health of coastal wetlands </w:t>
      </w:r>
      <w:r w:rsidR="00C13DED" w:rsidRPr="00BC7A12">
        <w:rPr>
          <w:rFonts w:cs="Calibri"/>
          <w:lang w:val="en-US"/>
        </w:rPr>
        <w:fldChar w:fldCharType="begin" w:fldLock="1"/>
      </w:r>
      <w:r w:rsidR="00C13DED" w:rsidRPr="00BC7A12">
        <w:rPr>
          <w:rFonts w:cs="Calibri"/>
          <w:lang w:val="en-US"/>
        </w:rPr>
        <w:instrText>ADDIN CSL_CITATION {"citationItems":[{"id":"ITEM-1","itemData":{"URL":"https://www.swissre.com/our-business/public-sector-solutions/thought-leadership/new-type-of-insurance-to-protect-coral-reefs-economies.html","accessed":{"date-parts":[["2020","7","10"]]},"author":[{"dropping-particle":"","family":"Swiss RE","given":"","non-dropping-particle":"","parse-names":false,"suffix":""}],"container-title":"swissre.com","id":"ITEM-1","issued":{"date-parts":[["2019"]]},"page":"2019-2021","title":"Designing a new type of insurance to protect the coral reefs, economies and the planet","type":"webpage"},"uris":["http://www.mendeley.com/documents/?uuid=bce6ce37-94c7-45ec-baa7-4d18e476b85c"]}],"mendeley":{"formattedCitation":"(Swiss RE 2019)","plainTextFormattedCitation":"(Swiss RE 2019)","previouslyFormattedCitation":"(Swiss RE 2019)"},"properties":{"noteIndex":0},"schema":"https://github.com/citation-style-language/schema/raw/master/csl-citation.json"}</w:instrText>
      </w:r>
      <w:r w:rsidR="00C13DED" w:rsidRPr="00BC7A12">
        <w:rPr>
          <w:rFonts w:cs="Calibri"/>
          <w:lang w:val="en-US"/>
        </w:rPr>
        <w:fldChar w:fldCharType="separate"/>
      </w:r>
      <w:r w:rsidR="00C13DED" w:rsidRPr="00BC7A12">
        <w:rPr>
          <w:rFonts w:cs="Calibri"/>
          <w:noProof/>
          <w:lang w:val="en-US"/>
        </w:rPr>
        <w:t>(Swiss RE 2019)</w:t>
      </w:r>
      <w:r w:rsidR="00C13DED" w:rsidRPr="00BC7A12">
        <w:rPr>
          <w:rFonts w:cs="Calibri"/>
          <w:lang w:val="en-US"/>
        </w:rPr>
        <w:fldChar w:fldCharType="end"/>
      </w:r>
      <w:r w:rsidR="00C13DED" w:rsidRPr="00BC7A12">
        <w:rPr>
          <w:rFonts w:cs="Calibri"/>
          <w:lang w:val="en-US"/>
        </w:rPr>
        <w:t xml:space="preserve">. </w:t>
      </w:r>
      <w:r w:rsidRPr="00BC7A12">
        <w:rPr>
          <w:rFonts w:cs="Calibri"/>
          <w:lang w:val="en-US"/>
        </w:rPr>
        <w:t>However</w:t>
      </w:r>
      <w:r w:rsidR="000B08DD" w:rsidRPr="00BC7A12">
        <w:rPr>
          <w:rFonts w:cs="Calibri"/>
          <w:lang w:val="en-US"/>
        </w:rPr>
        <w:t>,</w:t>
      </w:r>
      <w:r w:rsidRPr="00BC7A12">
        <w:rPr>
          <w:rFonts w:cs="Calibri"/>
          <w:lang w:val="en-US"/>
        </w:rPr>
        <w:t xml:space="preserve"> </w:t>
      </w:r>
      <w:r w:rsidR="00C13DED" w:rsidRPr="00BC7A12">
        <w:rPr>
          <w:rFonts w:cs="Calibri"/>
          <w:lang w:val="en-US"/>
        </w:rPr>
        <w:t xml:space="preserve">Australia’s </w:t>
      </w:r>
      <w:r w:rsidRPr="00BC7A12">
        <w:rPr>
          <w:rFonts w:cs="Calibri"/>
          <w:lang w:val="en-US"/>
        </w:rPr>
        <w:t xml:space="preserve">analysis </w:t>
      </w:r>
      <w:r w:rsidR="00C13DED" w:rsidRPr="00BC7A12">
        <w:rPr>
          <w:rFonts w:cs="Calibri"/>
          <w:lang w:val="en-US"/>
        </w:rPr>
        <w:t>does not include the DRR ecosystem services provided by coastal wetlands.</w:t>
      </w:r>
      <w:r w:rsidR="000B08DD" w:rsidRPr="00BC7A12">
        <w:rPr>
          <w:rFonts w:cs="Calibri"/>
          <w:lang w:val="en-US"/>
        </w:rPr>
        <w:t xml:space="preserve"> </w:t>
      </w:r>
      <w:r w:rsidR="00C463C1" w:rsidRPr="00BC7A12">
        <w:rPr>
          <w:rFonts w:cs="Calibri"/>
          <w:lang w:val="en-US"/>
        </w:rPr>
        <w:t>The data for this explicit local biophysical modeling is rarely available</w:t>
      </w:r>
      <w:r w:rsidR="00C170C5" w:rsidRPr="00BC7A12">
        <w:rPr>
          <w:rFonts w:cs="Calibri"/>
          <w:lang w:val="en-US"/>
        </w:rPr>
        <w:t xml:space="preserve"> in Australia</w:t>
      </w:r>
      <w:r w:rsidR="00C463C1" w:rsidRPr="00BC7A12">
        <w:rPr>
          <w:rFonts w:cs="Calibri"/>
          <w:lang w:val="en-US"/>
        </w:rPr>
        <w:t xml:space="preserve">. When </w:t>
      </w:r>
      <w:r w:rsidR="00C13DED" w:rsidRPr="00BC7A12">
        <w:rPr>
          <w:rFonts w:cs="Calibri"/>
          <w:lang w:val="en-US"/>
        </w:rPr>
        <w:t xml:space="preserve">local government can provide the data, </w:t>
      </w:r>
      <w:r w:rsidR="00C463C1" w:rsidRPr="00BC7A12">
        <w:rPr>
          <w:rFonts w:cs="Calibri"/>
          <w:lang w:val="en-US"/>
        </w:rPr>
        <w:t xml:space="preserve">it is often incomplete or classified inconsistently </w:t>
      </w:r>
      <w:r w:rsidR="00C463C1" w:rsidRPr="00BC7A12">
        <w:rPr>
          <w:rFonts w:cs="Calibri"/>
          <w:lang w:val="en-US"/>
        </w:rPr>
        <w:fldChar w:fldCharType="begin" w:fldLock="1"/>
      </w:r>
      <w:r w:rsidR="008829D2" w:rsidRPr="00BC7A12">
        <w:rPr>
          <w:rFonts w:cs="Calibri"/>
          <w:lang w:val="en-US"/>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2020a)","manualFormatting":"(Mallon and LePlastrier in IDEEA Group 2020a)","plainTextFormattedCitation":"(IDEEA Group 2020a)","previouslyFormattedCitation":"(IDEEA Group 2020a)"},"properties":{"noteIndex":0},"schema":"https://github.com/citation-style-language/schema/raw/master/csl-citation.json"}</w:instrText>
      </w:r>
      <w:r w:rsidR="00C463C1" w:rsidRPr="00BC7A12">
        <w:rPr>
          <w:rFonts w:cs="Calibri"/>
          <w:lang w:val="en-US"/>
        </w:rPr>
        <w:fldChar w:fldCharType="separate"/>
      </w:r>
      <w:r w:rsidR="00C463C1" w:rsidRPr="00BC7A12">
        <w:rPr>
          <w:rFonts w:cs="Calibri"/>
          <w:noProof/>
          <w:lang w:val="en-US"/>
        </w:rPr>
        <w:t>(Mallon and LePlastrier in IDEEA Group 2020</w:t>
      </w:r>
      <w:r w:rsidR="002F3371" w:rsidRPr="00BC7A12">
        <w:rPr>
          <w:rFonts w:cs="Calibri"/>
          <w:noProof/>
          <w:lang w:val="en-US"/>
        </w:rPr>
        <w:t>a</w:t>
      </w:r>
      <w:r w:rsidR="00C463C1" w:rsidRPr="00BC7A12">
        <w:rPr>
          <w:rFonts w:cs="Calibri"/>
          <w:noProof/>
          <w:lang w:val="en-US"/>
        </w:rPr>
        <w:t>)</w:t>
      </w:r>
      <w:r w:rsidR="00C463C1" w:rsidRPr="00BC7A12">
        <w:rPr>
          <w:rFonts w:cs="Calibri"/>
          <w:lang w:val="en-US"/>
        </w:rPr>
        <w:fldChar w:fldCharType="end"/>
      </w:r>
      <w:r w:rsidR="00C463C1" w:rsidRPr="00BC7A12">
        <w:rPr>
          <w:rFonts w:cs="Calibri"/>
          <w:lang w:val="en-US"/>
        </w:rPr>
        <w:t>.</w:t>
      </w:r>
    </w:p>
    <w:p w14:paraId="6C9F7CC9" w14:textId="08F999E9" w:rsidR="00610521" w:rsidRPr="00BC7A12" w:rsidRDefault="00C463C1" w:rsidP="00610521">
      <w:pPr>
        <w:rPr>
          <w:rFonts w:cs="Calibri"/>
          <w:lang w:val="en-US"/>
        </w:rPr>
      </w:pPr>
      <w:r w:rsidRPr="00BC7A12">
        <w:rPr>
          <w:rFonts w:cs="Calibri"/>
          <w:lang w:val="en-US"/>
        </w:rPr>
        <w:t xml:space="preserve">The insurance industry experts interviewed </w:t>
      </w:r>
      <w:r w:rsidR="00C13DED" w:rsidRPr="00BC7A12">
        <w:rPr>
          <w:rFonts w:cs="Calibri"/>
          <w:lang w:val="en-US"/>
        </w:rPr>
        <w:t xml:space="preserve">for this report stressed the </w:t>
      </w:r>
      <w:r w:rsidRPr="00BC7A12">
        <w:rPr>
          <w:rFonts w:cs="Calibri"/>
          <w:lang w:val="en-US"/>
        </w:rPr>
        <w:t xml:space="preserve">importance of </w:t>
      </w:r>
      <w:r w:rsidR="00C13DED" w:rsidRPr="00BC7A12">
        <w:rPr>
          <w:rFonts w:cs="Calibri"/>
          <w:lang w:val="en-US"/>
        </w:rPr>
        <w:t xml:space="preserve">this data. First, there may be liability issues for local governments that have the data but do not make it available. Second, it is beyond the scope of the industry to collect </w:t>
      </w:r>
      <w:r w:rsidR="00C170C5" w:rsidRPr="00BC7A12">
        <w:rPr>
          <w:rFonts w:cs="Calibri"/>
          <w:lang w:val="en-US"/>
        </w:rPr>
        <w:t xml:space="preserve">this data. </w:t>
      </w:r>
      <w:r w:rsidR="00C13DED" w:rsidRPr="00BC7A12">
        <w:rPr>
          <w:rFonts w:cs="Calibri"/>
          <w:lang w:val="en-US"/>
        </w:rPr>
        <w:t>Moreover, the classification demands</w:t>
      </w:r>
      <w:r w:rsidR="00C170C5" w:rsidRPr="00BC7A12">
        <w:rPr>
          <w:rFonts w:cs="Calibri"/>
          <w:lang w:val="en-US"/>
        </w:rPr>
        <w:t xml:space="preserve"> of the data in order to make it consistent nationally,</w:t>
      </w:r>
      <w:r w:rsidR="00C13DED" w:rsidRPr="00BC7A12">
        <w:rPr>
          <w:rFonts w:cs="Calibri"/>
          <w:lang w:val="en-US"/>
        </w:rPr>
        <w:t xml:space="preserve"> call for a </w:t>
      </w:r>
      <w:r w:rsidR="00C170C5" w:rsidRPr="00BC7A12">
        <w:rPr>
          <w:rFonts w:cs="Calibri"/>
          <w:lang w:val="en-US"/>
        </w:rPr>
        <w:t xml:space="preserve">federally </w:t>
      </w:r>
      <w:r w:rsidR="00C13DED" w:rsidRPr="00BC7A12">
        <w:rPr>
          <w:rFonts w:cs="Calibri"/>
          <w:lang w:val="en-US"/>
        </w:rPr>
        <w:t>led effort</w:t>
      </w:r>
      <w:r w:rsidR="00D12723" w:rsidRPr="00BC7A12">
        <w:rPr>
          <w:rFonts w:cs="Calibri"/>
          <w:lang w:val="en-US"/>
        </w:rPr>
        <w:t xml:space="preserve"> </w:t>
      </w:r>
      <w:r w:rsidR="00D12723" w:rsidRPr="00BC7A12">
        <w:rPr>
          <w:rFonts w:cs="Calibri"/>
          <w:lang w:val="en-US"/>
        </w:rPr>
        <w:fldChar w:fldCharType="begin" w:fldLock="1"/>
      </w:r>
      <w:r w:rsidR="008829D2" w:rsidRPr="00BC7A12">
        <w:rPr>
          <w:rFonts w:cs="Calibri"/>
          <w:lang w:val="en-US"/>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2020a)","manualFormatting":"(Mallon and LePlastrier in IDEEA Group 2020a)","plainTextFormattedCitation":"(IDEEA Group 2020a)","previouslyFormattedCitation":"(IDEEA Group 2020a)"},"properties":{"noteIndex":0},"schema":"https://github.com/citation-style-language/schema/raw/master/csl-citation.json"}</w:instrText>
      </w:r>
      <w:r w:rsidR="00D12723" w:rsidRPr="00BC7A12">
        <w:rPr>
          <w:rFonts w:cs="Calibri"/>
          <w:lang w:val="en-US"/>
        </w:rPr>
        <w:fldChar w:fldCharType="separate"/>
      </w:r>
      <w:r w:rsidR="00D12723" w:rsidRPr="00BC7A12">
        <w:rPr>
          <w:rFonts w:cs="Calibri"/>
          <w:noProof/>
          <w:lang w:val="en-US"/>
        </w:rPr>
        <w:t>(Mallon and LePlastrier in IDEEA Group 2020</w:t>
      </w:r>
      <w:r w:rsidR="002F3371" w:rsidRPr="00BC7A12">
        <w:rPr>
          <w:rFonts w:cs="Calibri"/>
          <w:noProof/>
          <w:lang w:val="en-US"/>
        </w:rPr>
        <w:t>a</w:t>
      </w:r>
      <w:r w:rsidR="00D12723" w:rsidRPr="00BC7A12">
        <w:rPr>
          <w:rFonts w:cs="Calibri"/>
          <w:noProof/>
          <w:lang w:val="en-US"/>
        </w:rPr>
        <w:t>)</w:t>
      </w:r>
      <w:r w:rsidR="00D12723" w:rsidRPr="00BC7A12">
        <w:rPr>
          <w:rFonts w:cs="Calibri"/>
          <w:lang w:val="en-US"/>
        </w:rPr>
        <w:fldChar w:fldCharType="end"/>
      </w:r>
      <w:r w:rsidR="00D12723" w:rsidRPr="00BC7A12">
        <w:rPr>
          <w:rFonts w:cs="Calibri"/>
          <w:lang w:val="en-US"/>
        </w:rPr>
        <w:t xml:space="preserve">. </w:t>
      </w:r>
      <w:r w:rsidR="00610521" w:rsidRPr="00BC7A12">
        <w:rPr>
          <w:rFonts w:cs="Calibri"/>
          <w:lang w:val="en-US"/>
        </w:rPr>
        <w:t>This point has also been stressed</w:t>
      </w:r>
      <w:r w:rsidR="00B00A66" w:rsidRPr="00BC7A12">
        <w:rPr>
          <w:rFonts w:cs="Calibri"/>
          <w:lang w:val="en-US"/>
        </w:rPr>
        <w:t xml:space="preserve"> </w:t>
      </w:r>
      <w:r w:rsidR="00C170C5" w:rsidRPr="00BC7A12">
        <w:rPr>
          <w:rFonts w:cs="Calibri"/>
          <w:lang w:val="en-US"/>
        </w:rPr>
        <w:t>to</w:t>
      </w:r>
      <w:r w:rsidR="00B00A66" w:rsidRPr="00BC7A12">
        <w:rPr>
          <w:rFonts w:cs="Calibri"/>
          <w:lang w:val="en-US"/>
        </w:rPr>
        <w:t xml:space="preserve"> the </w:t>
      </w:r>
      <w:r w:rsidR="00C13DED" w:rsidRPr="00BC7A12">
        <w:rPr>
          <w:rFonts w:cs="Calibri"/>
          <w:lang w:val="en-US"/>
        </w:rPr>
        <w:t xml:space="preserve">Royal Commission into </w:t>
      </w:r>
      <w:r w:rsidR="00C13DED" w:rsidRPr="00BC7A12">
        <w:rPr>
          <w:rFonts w:cs="Calibri"/>
          <w:lang w:val="en-US"/>
        </w:rPr>
        <w:lastRenderedPageBreak/>
        <w:t xml:space="preserve">Natural Disaster Arrangements </w:t>
      </w:r>
      <w:r w:rsidR="00C13DED" w:rsidRPr="00BC7A12">
        <w:rPr>
          <w:rFonts w:cs="Calibri"/>
          <w:lang w:val="en-US"/>
        </w:rPr>
        <w:fldChar w:fldCharType="begin" w:fldLock="1"/>
      </w:r>
      <w:r w:rsidR="00896B6F" w:rsidRPr="00BC7A12">
        <w:rPr>
          <w:rFonts w:cs="Calibri"/>
          <w:lang w:val="en-US"/>
        </w:rPr>
        <w:instrText>ADDIN CSL_CITATION {"citationItems":[{"id":"ITEM-1","itemData":{"URL":"https://naturaldisaster.royalcommission.gov.au/","accessed":{"date-parts":[["2020","7","10"]]},"author":[{"dropping-particle":"","family":"The Royal Comission into Natural Disaster Arangements","given":"","non-dropping-particle":"","parse-names":false,"suffix":""}],"container-title":"https://naturaldisaster.royalcommission.gov.au/","id":"ITEM-1","issued":{"date-parts":[["2020"]]},"page":"1-6","title":"Welcome to the Royal Commission Public hearings Read public submissions received 2019-20 Bushfire History Project","type":"webpage"},"uris":["http://www.mendeley.com/documents/?uuid=fe87ecf8-7db9-4cbc-bf31-d05eb321e5ea"]}],"mendeley":{"formattedCitation":"(The Royal Comission into Natural Disaster Arangements 2020)","plainTextFormattedCitation":"(The Royal Comission into Natural Disaster Arangements 2020)","previouslyFormattedCitation":"(The Royal Comission into Natural Disaster Arangements 2020)"},"properties":{"noteIndex":0},"schema":"https://github.com/citation-style-language/schema/raw/master/csl-citation.json"}</w:instrText>
      </w:r>
      <w:r w:rsidR="00C13DED" w:rsidRPr="00BC7A12">
        <w:rPr>
          <w:rFonts w:cs="Calibri"/>
          <w:lang w:val="en-US"/>
        </w:rPr>
        <w:fldChar w:fldCharType="separate"/>
      </w:r>
      <w:r w:rsidR="00C13DED" w:rsidRPr="00BC7A12">
        <w:rPr>
          <w:rFonts w:cs="Calibri"/>
          <w:noProof/>
          <w:lang w:val="en-US"/>
        </w:rPr>
        <w:t>(The Royal Comission into Natural Disaster Arangements 2020)</w:t>
      </w:r>
      <w:r w:rsidR="00C13DED" w:rsidRPr="00BC7A12">
        <w:rPr>
          <w:rFonts w:cs="Calibri"/>
          <w:lang w:val="en-US"/>
        </w:rPr>
        <w:fldChar w:fldCharType="end"/>
      </w:r>
      <w:r w:rsidR="00C13DED" w:rsidRPr="00BC7A12">
        <w:rPr>
          <w:rFonts w:cs="Calibri"/>
          <w:lang w:val="en-US"/>
        </w:rPr>
        <w:t xml:space="preserve"> </w:t>
      </w:r>
      <w:r w:rsidR="00C170C5" w:rsidRPr="00BC7A12">
        <w:rPr>
          <w:rFonts w:cs="Calibri"/>
          <w:lang w:val="en-US"/>
        </w:rPr>
        <w:t>by representatives for the insur</w:t>
      </w:r>
      <w:r w:rsidR="0063786D">
        <w:rPr>
          <w:rFonts w:cs="Calibri"/>
          <w:lang w:val="en-US"/>
        </w:rPr>
        <w:t>ers</w:t>
      </w:r>
      <w:r w:rsidR="00C170C5" w:rsidRPr="00BC7A12">
        <w:rPr>
          <w:rFonts w:cs="Calibri"/>
          <w:lang w:val="en-US"/>
        </w:rPr>
        <w:t xml:space="preserve">. The Commission </w:t>
      </w:r>
      <w:r w:rsidR="00C13DED" w:rsidRPr="00BC7A12">
        <w:rPr>
          <w:rFonts w:cs="Calibri"/>
          <w:lang w:val="en-US"/>
        </w:rPr>
        <w:t>should be releasing its finding in</w:t>
      </w:r>
      <w:r w:rsidR="00D12723" w:rsidRPr="00BC7A12">
        <w:rPr>
          <w:rFonts w:cs="Calibri"/>
          <w:lang w:val="en-US"/>
        </w:rPr>
        <w:t xml:space="preserve"> late 2020</w:t>
      </w:r>
      <w:r w:rsidR="00610521" w:rsidRPr="00BC7A12">
        <w:rPr>
          <w:rFonts w:cs="Calibri"/>
          <w:lang w:val="en-US"/>
        </w:rPr>
        <w:t xml:space="preserve">  </w:t>
      </w:r>
      <w:r w:rsidR="00610521" w:rsidRPr="00BC7A12">
        <w:rPr>
          <w:rFonts w:cs="Calibri"/>
          <w:lang w:val="en-US"/>
        </w:rPr>
        <w:fldChar w:fldCharType="begin" w:fldLock="1"/>
      </w:r>
      <w:r w:rsidR="008829D2" w:rsidRPr="00BC7A12">
        <w:rPr>
          <w:rFonts w:cs="Calibri"/>
          <w:lang w:val="en-US"/>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2020a)","manualFormatting":"(LePlastrier in IDEEA Group 2020a)","plainTextFormattedCitation":"(IDEEA Group 2020a)","previouslyFormattedCitation":"(IDEEA Group 2020a)"},"properties":{"noteIndex":0},"schema":"https://github.com/citation-style-language/schema/raw/master/csl-citation.json"}</w:instrText>
      </w:r>
      <w:r w:rsidR="00610521" w:rsidRPr="00BC7A12">
        <w:rPr>
          <w:rFonts w:cs="Calibri"/>
          <w:lang w:val="en-US"/>
        </w:rPr>
        <w:fldChar w:fldCharType="separate"/>
      </w:r>
      <w:r w:rsidR="00610521" w:rsidRPr="00BC7A12">
        <w:rPr>
          <w:rFonts w:cs="Calibri"/>
          <w:noProof/>
          <w:lang w:val="en-US"/>
        </w:rPr>
        <w:t>(LePlastrier in IDEEA Group 2020</w:t>
      </w:r>
      <w:r w:rsidR="002F3371" w:rsidRPr="00BC7A12">
        <w:rPr>
          <w:rFonts w:cs="Calibri"/>
          <w:noProof/>
          <w:lang w:val="en-US"/>
        </w:rPr>
        <w:t>a</w:t>
      </w:r>
      <w:r w:rsidR="00610521" w:rsidRPr="00BC7A12">
        <w:rPr>
          <w:rFonts w:cs="Calibri"/>
          <w:noProof/>
          <w:lang w:val="en-US"/>
        </w:rPr>
        <w:t>)</w:t>
      </w:r>
      <w:r w:rsidR="00610521" w:rsidRPr="00BC7A12">
        <w:rPr>
          <w:rFonts w:cs="Calibri"/>
          <w:lang w:val="en-US"/>
        </w:rPr>
        <w:fldChar w:fldCharType="end"/>
      </w:r>
      <w:r w:rsidR="00610521" w:rsidRPr="00BC7A12">
        <w:rPr>
          <w:rFonts w:cs="Calibri"/>
          <w:lang w:val="en-US"/>
        </w:rPr>
        <w:t>.</w:t>
      </w:r>
    </w:p>
    <w:p w14:paraId="21C832FF" w14:textId="7F6C5017" w:rsidR="00C170C5" w:rsidRDefault="00E11418" w:rsidP="00FD33CA">
      <w:pPr>
        <w:rPr>
          <w:rFonts w:cs="Calibri"/>
          <w:lang w:val="en-US"/>
        </w:rPr>
      </w:pPr>
      <w:r w:rsidRPr="00BC7A12">
        <w:rPr>
          <w:rFonts w:cs="Calibri"/>
          <w:lang w:val="en-US"/>
        </w:rPr>
        <w:t>Because insurance is so critical to the real estate sector, this improve</w:t>
      </w:r>
      <w:r w:rsidR="0063786D">
        <w:rPr>
          <w:rFonts w:cs="Calibri"/>
          <w:lang w:val="en-US"/>
        </w:rPr>
        <w:t>d</w:t>
      </w:r>
      <w:r w:rsidRPr="00BC7A12">
        <w:rPr>
          <w:rFonts w:cs="Calibri"/>
          <w:lang w:val="en-US"/>
        </w:rPr>
        <w:t xml:space="preserve"> insurance market should </w:t>
      </w:r>
      <w:r w:rsidR="00E74423">
        <w:rPr>
          <w:rFonts w:cs="Calibri"/>
          <w:lang w:val="en-US"/>
        </w:rPr>
        <w:t>generate</w:t>
      </w:r>
      <w:r w:rsidRPr="00BC7A12">
        <w:rPr>
          <w:rFonts w:cs="Calibri"/>
          <w:lang w:val="en-US"/>
        </w:rPr>
        <w:t xml:space="preserve"> market efficiencies by spreading coastal disaster risk throughout the insurance sector. This would bring efficiencies to the r</w:t>
      </w:r>
      <w:r w:rsidR="00B91648" w:rsidRPr="00BC7A12">
        <w:rPr>
          <w:rFonts w:cs="Calibri"/>
          <w:lang w:val="en-US"/>
        </w:rPr>
        <w:t xml:space="preserve">eal estate </w:t>
      </w:r>
      <w:proofErr w:type="gramStart"/>
      <w:r w:rsidR="00B91648" w:rsidRPr="00BC7A12">
        <w:rPr>
          <w:rFonts w:cs="Calibri"/>
          <w:lang w:val="en-US"/>
        </w:rPr>
        <w:t>market, and</w:t>
      </w:r>
      <w:proofErr w:type="gramEnd"/>
      <w:r w:rsidR="00B91648" w:rsidRPr="00BC7A12">
        <w:rPr>
          <w:rFonts w:cs="Calibri"/>
          <w:lang w:val="en-US"/>
        </w:rPr>
        <w:t xml:space="preserve"> influence the degree to which coastal disaster risk is embedded in market prices. Finally, the improved data and biophysical modeling is likely to </w:t>
      </w:r>
      <w:r w:rsidR="00E74423">
        <w:rPr>
          <w:rFonts w:cs="Calibri"/>
          <w:lang w:val="en-US"/>
        </w:rPr>
        <w:t xml:space="preserve">be used by the </w:t>
      </w:r>
      <w:r w:rsidR="00B91648" w:rsidRPr="00BC7A12">
        <w:rPr>
          <w:rFonts w:cs="Calibri"/>
          <w:lang w:val="en-US"/>
        </w:rPr>
        <w:t>construction</w:t>
      </w:r>
      <w:r w:rsidR="00E74423">
        <w:rPr>
          <w:rFonts w:cs="Calibri"/>
          <w:lang w:val="en-US"/>
        </w:rPr>
        <w:t xml:space="preserve"> sector, reducing their </w:t>
      </w:r>
      <w:proofErr w:type="gramStart"/>
      <w:r w:rsidR="00E74423">
        <w:rPr>
          <w:rFonts w:cs="Calibri"/>
          <w:lang w:val="en-US"/>
        </w:rPr>
        <w:t>costs</w:t>
      </w:r>
      <w:proofErr w:type="gramEnd"/>
      <w:r w:rsidR="00E74423">
        <w:rPr>
          <w:rFonts w:cs="Calibri"/>
          <w:lang w:val="en-US"/>
        </w:rPr>
        <w:t xml:space="preserve"> and improving resiliency</w:t>
      </w:r>
      <w:r w:rsidR="00B91648" w:rsidRPr="00BC7A12">
        <w:rPr>
          <w:rFonts w:cs="Calibri"/>
          <w:lang w:val="en-US"/>
        </w:rPr>
        <w:t xml:space="preserve">. </w:t>
      </w:r>
    </w:p>
    <w:p w14:paraId="31EAA5DF" w14:textId="21374C37" w:rsidR="00CC5FCC" w:rsidRPr="00BC7A12" w:rsidRDefault="00CC5FCC" w:rsidP="00CC5FCC">
      <w:pPr>
        <w:pStyle w:val="Heading2"/>
        <w:rPr>
          <w:rFonts w:cs="Calibri"/>
          <w:lang w:val="en-US"/>
        </w:rPr>
      </w:pPr>
      <w:bookmarkStart w:id="74" w:name="_Toc46822320"/>
      <w:r w:rsidRPr="00BC7A12">
        <w:rPr>
          <w:rFonts w:cs="Calibri"/>
          <w:lang w:val="en-US"/>
        </w:rPr>
        <w:t>Non</w:t>
      </w:r>
      <w:r w:rsidR="002277DB">
        <w:rPr>
          <w:rFonts w:cs="Calibri"/>
          <w:lang w:val="en-US"/>
        </w:rPr>
        <w:t>-</w:t>
      </w:r>
      <w:r w:rsidRPr="00BC7A12">
        <w:rPr>
          <w:rFonts w:cs="Calibri"/>
          <w:lang w:val="en-US"/>
        </w:rPr>
        <w:t>monetary alternatives</w:t>
      </w:r>
      <w:bookmarkEnd w:id="74"/>
      <w:r w:rsidRPr="00BC7A12">
        <w:rPr>
          <w:rFonts w:cs="Calibri"/>
          <w:lang w:val="en-US"/>
        </w:rPr>
        <w:t xml:space="preserve"> </w:t>
      </w:r>
    </w:p>
    <w:p w14:paraId="668FC4F5" w14:textId="7C9585B7" w:rsidR="00CC5FCC" w:rsidRDefault="00CC5FCC" w:rsidP="00FD33CA">
      <w:pPr>
        <w:rPr>
          <w:rFonts w:cs="Calibri"/>
          <w:lang w:val="en-US"/>
        </w:rPr>
      </w:pPr>
      <w:r w:rsidRPr="00BC7A12">
        <w:rPr>
          <w:rFonts w:cs="Calibri"/>
          <w:lang w:val="en-US"/>
        </w:rPr>
        <w:t xml:space="preserve">There are alternatives to monetary based CBA. Multiple indicator assessments, multi-criteria analysis, cost effectiveness analysis, expert panels and similar techniques allow qualitative and quantitative social and environmental factors to be considered, sometimes in combination with monetary values. </w:t>
      </w:r>
      <w:r w:rsidR="002277DB">
        <w:rPr>
          <w:rFonts w:cs="Calibri"/>
          <w:lang w:val="en-US"/>
        </w:rPr>
        <w:t>H</w:t>
      </w:r>
      <w:r w:rsidR="002277DB" w:rsidRPr="00BC7A12">
        <w:rPr>
          <w:rFonts w:cs="Calibri"/>
          <w:lang w:val="en-US"/>
        </w:rPr>
        <w:t xml:space="preserve">owever, </w:t>
      </w:r>
      <w:r w:rsidR="002277DB">
        <w:rPr>
          <w:rFonts w:cs="Calibri"/>
          <w:lang w:val="en-US"/>
        </w:rPr>
        <w:t>t</w:t>
      </w:r>
      <w:r w:rsidRPr="00BC7A12">
        <w:rPr>
          <w:rFonts w:cs="Calibri"/>
          <w:lang w:val="en-US"/>
        </w:rPr>
        <w:t>he effectiveness of these alternative</w:t>
      </w:r>
      <w:r w:rsidR="002277DB">
        <w:rPr>
          <w:rFonts w:cs="Calibri"/>
          <w:lang w:val="en-US"/>
        </w:rPr>
        <w:t>s</w:t>
      </w:r>
      <w:r w:rsidRPr="00BC7A12">
        <w:rPr>
          <w:rFonts w:cs="Calibri"/>
          <w:lang w:val="en-US"/>
        </w:rPr>
        <w:t xml:space="preserve"> largely rest</w:t>
      </w:r>
      <w:r w:rsidR="002277DB">
        <w:rPr>
          <w:rFonts w:cs="Calibri"/>
          <w:lang w:val="en-US"/>
        </w:rPr>
        <w:t>s</w:t>
      </w:r>
      <w:r w:rsidRPr="00BC7A12">
        <w:rPr>
          <w:rFonts w:cs="Calibri"/>
          <w:lang w:val="en-US"/>
        </w:rPr>
        <w:t xml:space="preserve"> on strong biophysical modeling or knowledge. Therefore, regardless o</w:t>
      </w:r>
      <w:r w:rsidR="002277DB">
        <w:rPr>
          <w:rFonts w:cs="Calibri"/>
          <w:lang w:val="en-US"/>
        </w:rPr>
        <w:t>f the</w:t>
      </w:r>
      <w:r w:rsidRPr="00BC7A12">
        <w:rPr>
          <w:rFonts w:cs="Calibri"/>
          <w:lang w:val="en-US"/>
        </w:rPr>
        <w:t xml:space="preserve"> decisio</w:t>
      </w:r>
      <w:r w:rsidR="001D5371" w:rsidRPr="00BC7A12">
        <w:rPr>
          <w:rFonts w:cs="Calibri"/>
          <w:lang w:val="en-US"/>
        </w:rPr>
        <w:t xml:space="preserve">n or </w:t>
      </w:r>
      <w:r w:rsidR="002277DB">
        <w:rPr>
          <w:rFonts w:cs="Calibri"/>
          <w:lang w:val="en-US"/>
        </w:rPr>
        <w:t xml:space="preserve">type of </w:t>
      </w:r>
      <w:r w:rsidR="001D5371" w:rsidRPr="00BC7A12">
        <w:rPr>
          <w:rFonts w:cs="Calibri"/>
          <w:lang w:val="en-US"/>
        </w:rPr>
        <w:t>decision</w:t>
      </w:r>
      <w:r w:rsidR="002277DB">
        <w:rPr>
          <w:rFonts w:cs="Calibri"/>
          <w:lang w:val="en-US"/>
        </w:rPr>
        <w:t>-</w:t>
      </w:r>
      <w:r w:rsidR="001D5371" w:rsidRPr="00BC7A12">
        <w:rPr>
          <w:rFonts w:cs="Calibri"/>
          <w:lang w:val="en-US"/>
        </w:rPr>
        <w:t xml:space="preserve">tool being used, modeling and related data are warranted </w:t>
      </w:r>
      <w:r w:rsidRPr="00BC7A12">
        <w:rPr>
          <w:rFonts w:cs="Calibri"/>
          <w:lang w:val="en-US"/>
        </w:rPr>
        <w:fldChar w:fldCharType="begin" w:fldLock="1"/>
      </w:r>
      <w:r w:rsidR="008829D2" w:rsidRPr="00BC7A12">
        <w:rPr>
          <w:rFonts w:cs="Calibri"/>
          <w:lang w:val="en-US"/>
        </w:rPr>
        <w:instrText>ADDIN CSL_CITATION {"citationItems":[{"id":"ITEM-1","itemData":{"author":[{"dropping-particle":"","family":"Hatfield-Dodds","given":"S","non-dropping-particle":"","parse-names":false,"suffix":""}],"container-title":"Anzsee","id":"ITEM-1","issue":"December 2005","issued":{"date-parts":[["2005"]]},"title":"Decision Support for Highly Contested Choices: The Role of Monetised Values and Other Metrics in Pursuit of Sustainability","type":"article-journal"},"uris":["http://www.mendeley.com/documents/?uuid=22c5e5af-1ee4-43b7-8be8-6e006fdea730"]}],"mendeley":{"formattedCitation":"(Hatfield-Dodds 2005)","plainTextFormattedCitation":"(Hatfield-Dodds 2005)","previouslyFormattedCitation":"(Hatfield-Dodds 2005)"},"properties":{"noteIndex":0},"schema":"https://github.com/citation-style-language/schema/raw/master/csl-citation.json"}</w:instrText>
      </w:r>
      <w:r w:rsidRPr="00BC7A12">
        <w:rPr>
          <w:rFonts w:cs="Calibri"/>
          <w:lang w:val="en-US"/>
        </w:rPr>
        <w:fldChar w:fldCharType="separate"/>
      </w:r>
      <w:r w:rsidRPr="00BC7A12">
        <w:rPr>
          <w:rFonts w:cs="Calibri"/>
          <w:noProof/>
          <w:lang w:val="en-US"/>
        </w:rPr>
        <w:t>(Hatfield-Dodds 2005)</w:t>
      </w:r>
      <w:r w:rsidRPr="00BC7A12">
        <w:rPr>
          <w:rFonts w:cs="Calibri"/>
          <w:lang w:val="en-US"/>
        </w:rPr>
        <w:fldChar w:fldCharType="end"/>
      </w:r>
      <w:r w:rsidRPr="00BC7A12">
        <w:rPr>
          <w:rFonts w:cs="Calibri"/>
          <w:lang w:val="en-US"/>
        </w:rPr>
        <w:t xml:space="preserve">. </w:t>
      </w:r>
    </w:p>
    <w:p w14:paraId="29F9A1E7" w14:textId="77777777" w:rsidR="002277DB" w:rsidRPr="00BC7A12" w:rsidRDefault="002277DB" w:rsidP="00FD33CA">
      <w:pPr>
        <w:rPr>
          <w:rFonts w:cs="Calibri"/>
          <w:lang w:val="en-US"/>
        </w:rPr>
      </w:pPr>
    </w:p>
    <w:p w14:paraId="713DE195" w14:textId="77777777" w:rsidR="004E498A" w:rsidRPr="00BC7A12" w:rsidRDefault="004E498A" w:rsidP="004E498A">
      <w:pPr>
        <w:pStyle w:val="Heading1"/>
        <w:rPr>
          <w:rFonts w:ascii="Calibri" w:hAnsi="Calibri" w:cs="Calibri"/>
        </w:rPr>
      </w:pPr>
      <w:bookmarkStart w:id="75" w:name="_Toc46822321"/>
      <w:r w:rsidRPr="00BC7A12">
        <w:rPr>
          <w:rFonts w:ascii="Calibri" w:hAnsi="Calibri" w:cs="Calibri"/>
        </w:rPr>
        <w:t>Gap analysis</w:t>
      </w:r>
      <w:bookmarkEnd w:id="75"/>
      <w:r w:rsidRPr="00BC7A12">
        <w:rPr>
          <w:rFonts w:ascii="Calibri" w:hAnsi="Calibri" w:cs="Calibri"/>
        </w:rPr>
        <w:t xml:space="preserve"> </w:t>
      </w:r>
    </w:p>
    <w:p w14:paraId="14787C49" w14:textId="664CB226" w:rsidR="00750AEA" w:rsidRPr="00BC7A12" w:rsidRDefault="00E11418" w:rsidP="00363FFF">
      <w:pPr>
        <w:rPr>
          <w:rFonts w:cs="Calibri"/>
        </w:rPr>
      </w:pPr>
      <w:r w:rsidRPr="00BC7A12">
        <w:rPr>
          <w:rFonts w:cs="Calibri"/>
        </w:rPr>
        <w:t xml:space="preserve">While other approaches and techniques have utility, </w:t>
      </w:r>
      <w:r w:rsidR="009E447A" w:rsidRPr="00BC7A12">
        <w:rPr>
          <w:rFonts w:cs="Calibri"/>
        </w:rPr>
        <w:t xml:space="preserve">DRR valuation </w:t>
      </w:r>
      <w:r w:rsidR="005E114C" w:rsidRPr="00BC7A12">
        <w:rPr>
          <w:rFonts w:cs="Calibri"/>
        </w:rPr>
        <w:t>is</w:t>
      </w:r>
      <w:r w:rsidR="009E447A" w:rsidRPr="00BC7A12">
        <w:rPr>
          <w:rFonts w:cs="Calibri"/>
        </w:rPr>
        <w:t xml:space="preserve"> most effective at influencing </w:t>
      </w:r>
      <w:r w:rsidR="00750AEA" w:rsidRPr="00BC7A12">
        <w:rPr>
          <w:rFonts w:cs="Calibri"/>
        </w:rPr>
        <w:t xml:space="preserve">coastal planning </w:t>
      </w:r>
      <w:r w:rsidR="009E447A" w:rsidRPr="00BC7A12">
        <w:rPr>
          <w:rFonts w:cs="Calibri"/>
        </w:rPr>
        <w:t xml:space="preserve">decision making </w:t>
      </w:r>
      <w:r w:rsidR="005E114C" w:rsidRPr="00BC7A12">
        <w:rPr>
          <w:rFonts w:cs="Calibri"/>
        </w:rPr>
        <w:t xml:space="preserve">when </w:t>
      </w:r>
      <w:r w:rsidR="009E447A" w:rsidRPr="00BC7A12">
        <w:rPr>
          <w:rFonts w:cs="Calibri"/>
        </w:rPr>
        <w:t xml:space="preserve">it is based on </w:t>
      </w:r>
      <w:r w:rsidR="006E0928" w:rsidRPr="00BC7A12">
        <w:rPr>
          <w:rFonts w:cs="Calibri"/>
        </w:rPr>
        <w:t xml:space="preserve">explicit local valuation </w:t>
      </w:r>
      <w:r w:rsidR="004F6F3C" w:rsidRPr="00BC7A12">
        <w:rPr>
          <w:rFonts w:cs="Calibri"/>
        </w:rPr>
        <w:t>approaches</w:t>
      </w:r>
      <w:r w:rsidR="006E0928" w:rsidRPr="00BC7A12">
        <w:rPr>
          <w:rFonts w:cs="Calibri"/>
        </w:rPr>
        <w:t>.</w:t>
      </w:r>
      <w:r w:rsidR="00363FFF" w:rsidRPr="00BC7A12">
        <w:rPr>
          <w:rFonts w:cs="Calibri"/>
        </w:rPr>
        <w:t xml:space="preserve"> Applying these approaches in turn, is dependent on strong biophysical and economic modelling, as well as the availability of related data </w:t>
      </w:r>
      <w:r w:rsidR="00363FFF" w:rsidRPr="00BC7A12">
        <w:rPr>
          <w:rFonts w:cs="Calibri"/>
        </w:rPr>
        <w:fldChar w:fldCharType="begin" w:fldLock="1"/>
      </w:r>
      <w:r w:rsidR="00363FFF" w:rsidRPr="00BC7A12">
        <w:rPr>
          <w:rFonts w:cs="Calibri"/>
        </w:rPr>
        <w:instrText>ADDIN CSL_CITATION {"citationItems":[{"id":"ITEM-1","itemData":{"abstract":"Episodic flooding along rivers and streams in the lowlands of Western Washington has become a recurrent theme of recent years. Development practices that eliminate or compromise natural systems capacble of controlling runoff appear to be exacerbating flooding problems in many areas. This highlights the importance of the remaining natural systems capable of attenuating flood flows, particularly wetlands, in the region's defenses against increansingly destructive floods. To economists the problem of protecting wetlands for the flood protection services they provide is complicated by the \"public goods\" character of wetlands. Although wetlands provide diverse valued services to humans, the incentives that private property owners have to pratect wetlands mar nevertheless remain low. Wetlands owners can neither easily capture the social benefits that accrue of many others in persuit of the same goals. traditionally goverment is looked to for wetlands protection as a result. In this report we argue that economic valuation of wetlands' flood protection services can provide a string rationale for Western Washington communities to protect their remaining wetlands.After describing the general economic rationale for pricing non-market natural resource services like floop protection and outlining the approaches economists use to establish such values, we show how the \"alternative/substitute cost\" method can be used to produce a proxy for the value of the flood protection services that many wetlands currently provide for free. We illustrate our argumetn by estimating the dollar-per-acre values of wetlands systems ofr flood protection in two Western Washington communities currently experiencing frequent flooding, Lynnwood and Renton. We do this via a variant of the alternative/substitute cost method. Cost estimates for engineered hydrologic enhancements to wetlands currently providing flood protection are used to establish proxies for the value of the flood protection these same wetlands currently provide.","author":[{"dropping-particle":"","family":"Boutwell","given":"J. Luke","non-dropping-particle":"","parse-names":false,"suffix":""},{"dropping-particle":"","family":"Westra","given":"J. W.","non-dropping-particle":"","parse-names":false,"suffix":""}],"container-title":"Southern Agricultural Economics Association’s 2015 Annual Meeting","id":"ITEM-1","issued":{"date-parts":[["2015"]]},"page":"17","publisher-place":"Atlanta, Georgia","title":"The economic value of wetlands as storm buffers","type":"paper-conference"},"uris":["http://www.mendeley.com/documents/?uuid=c760ace7-5bc2-4a77-8b47-240518f2233c"]}],"mendeley":{"formattedCitation":"(Boutwell &amp; Westra 2015)","plainTextFormattedCitation":"(Boutwell &amp; Westra 2015)","previouslyFormattedCitation":"(Boutwell &amp; Westra 2015)"},"properties":{"noteIndex":0},"schema":"https://github.com/citation-style-language/schema/raw/master/csl-citation.json"}</w:instrText>
      </w:r>
      <w:r w:rsidR="00363FFF" w:rsidRPr="00BC7A12">
        <w:rPr>
          <w:rFonts w:cs="Calibri"/>
        </w:rPr>
        <w:fldChar w:fldCharType="separate"/>
      </w:r>
      <w:r w:rsidR="00363FFF" w:rsidRPr="00BC7A12">
        <w:rPr>
          <w:rFonts w:cs="Calibri"/>
          <w:noProof/>
        </w:rPr>
        <w:t>(Boutwell &amp; Westra 2015)</w:t>
      </w:r>
      <w:r w:rsidR="00363FFF" w:rsidRPr="00BC7A12">
        <w:rPr>
          <w:rFonts w:cs="Calibri"/>
        </w:rPr>
        <w:fldChar w:fldCharType="end"/>
      </w:r>
      <w:r w:rsidR="00363FFF" w:rsidRPr="00BC7A12">
        <w:rPr>
          <w:rFonts w:cs="Calibri"/>
        </w:rPr>
        <w:t xml:space="preserve">. </w:t>
      </w:r>
      <w:r w:rsidR="00750AEA" w:rsidRPr="00BC7A12">
        <w:rPr>
          <w:rFonts w:cs="Calibri"/>
        </w:rPr>
        <w:t xml:space="preserve">Moreover, the data and modelling needed for these approaches also has value </w:t>
      </w:r>
      <w:r w:rsidR="0063786D">
        <w:rPr>
          <w:rFonts w:cs="Calibri"/>
        </w:rPr>
        <w:t xml:space="preserve">to </w:t>
      </w:r>
      <w:r w:rsidR="00750AEA" w:rsidRPr="00BC7A12">
        <w:rPr>
          <w:rFonts w:cs="Calibri"/>
        </w:rPr>
        <w:t>the non</w:t>
      </w:r>
      <w:r w:rsidR="002277DB">
        <w:rPr>
          <w:rFonts w:cs="Calibri"/>
        </w:rPr>
        <w:t>-</w:t>
      </w:r>
      <w:r w:rsidR="00750AEA" w:rsidRPr="00BC7A12">
        <w:rPr>
          <w:rFonts w:cs="Calibri"/>
        </w:rPr>
        <w:t xml:space="preserve">monetary alternatives described above as well as the insurance and other industries. </w:t>
      </w:r>
    </w:p>
    <w:p w14:paraId="1B112900" w14:textId="7D32C815" w:rsidR="0086271D" w:rsidRPr="00BC7A12" w:rsidRDefault="00892CA9" w:rsidP="004E498A">
      <w:pPr>
        <w:rPr>
          <w:rFonts w:cs="Calibri"/>
        </w:rPr>
      </w:pPr>
      <w:r w:rsidRPr="00BC7A12">
        <w:rPr>
          <w:rFonts w:cs="Calibri"/>
        </w:rPr>
        <w:t xml:space="preserve">The apparent shift towards explicit local valuation </w:t>
      </w:r>
      <w:r w:rsidR="004F6F3C" w:rsidRPr="00BC7A12">
        <w:rPr>
          <w:rFonts w:cs="Calibri"/>
        </w:rPr>
        <w:t>approaches</w:t>
      </w:r>
      <w:r w:rsidRPr="00BC7A12">
        <w:rPr>
          <w:rFonts w:cs="Calibri"/>
        </w:rPr>
        <w:t xml:space="preserve"> is evidence of this impact to date. </w:t>
      </w:r>
      <w:r w:rsidR="00017616" w:rsidRPr="00BC7A12">
        <w:rPr>
          <w:rFonts w:cs="Calibri"/>
        </w:rPr>
        <w:t xml:space="preserve">But there are pragmatic steps </w:t>
      </w:r>
      <w:r w:rsidR="005E114C" w:rsidRPr="00BC7A12">
        <w:rPr>
          <w:rFonts w:cs="Calibri"/>
        </w:rPr>
        <w:t>that can be taken to</w:t>
      </w:r>
      <w:r w:rsidR="00750AEA" w:rsidRPr="00BC7A12">
        <w:rPr>
          <w:rFonts w:cs="Calibri"/>
        </w:rPr>
        <w:t xml:space="preserve"> maintain this movement.</w:t>
      </w:r>
      <w:r w:rsidRPr="00BC7A12">
        <w:rPr>
          <w:rFonts w:cs="Calibri"/>
        </w:rPr>
        <w:t xml:space="preserve"> They </w:t>
      </w:r>
      <w:proofErr w:type="gramStart"/>
      <w:r w:rsidRPr="00BC7A12">
        <w:rPr>
          <w:rFonts w:cs="Calibri"/>
        </w:rPr>
        <w:t>include:</w:t>
      </w:r>
      <w:proofErr w:type="gramEnd"/>
      <w:r w:rsidRPr="00BC7A12">
        <w:rPr>
          <w:rFonts w:cs="Calibri"/>
        </w:rPr>
        <w:t xml:space="preserve"> </w:t>
      </w:r>
      <w:r w:rsidR="00D2056D" w:rsidRPr="00BC7A12">
        <w:rPr>
          <w:rFonts w:cs="Calibri"/>
        </w:rPr>
        <w:t>forming research partnerships,</w:t>
      </w:r>
      <w:r w:rsidR="005E114C" w:rsidRPr="00BC7A12">
        <w:rPr>
          <w:rFonts w:cs="Calibri"/>
        </w:rPr>
        <w:t xml:space="preserve"> advancing the use of new ecosystem </w:t>
      </w:r>
      <w:r w:rsidR="006F189F" w:rsidRPr="00BC7A12">
        <w:rPr>
          <w:rFonts w:cs="Calibri"/>
        </w:rPr>
        <w:t>typologies</w:t>
      </w:r>
      <w:r w:rsidR="005E114C" w:rsidRPr="00BC7A12">
        <w:rPr>
          <w:rFonts w:cs="Calibri"/>
        </w:rPr>
        <w:t xml:space="preserve">, </w:t>
      </w:r>
      <w:r w:rsidRPr="00BC7A12">
        <w:rPr>
          <w:rFonts w:cs="Calibri"/>
        </w:rPr>
        <w:t xml:space="preserve">adopting ecosystem service classification systems </w:t>
      </w:r>
      <w:r w:rsidR="005E114C" w:rsidRPr="00BC7A12">
        <w:rPr>
          <w:rFonts w:cs="Calibri"/>
        </w:rPr>
        <w:t>and</w:t>
      </w:r>
      <w:r w:rsidR="00B20490" w:rsidRPr="00BC7A12">
        <w:rPr>
          <w:rFonts w:cs="Calibri"/>
        </w:rPr>
        <w:t xml:space="preserve"> improving </w:t>
      </w:r>
      <w:r w:rsidRPr="00BC7A12">
        <w:rPr>
          <w:rFonts w:cs="Calibri"/>
        </w:rPr>
        <w:t xml:space="preserve">collection and classification of </w:t>
      </w:r>
      <w:r w:rsidR="0024473C" w:rsidRPr="00BC7A12">
        <w:rPr>
          <w:rFonts w:cs="Calibri"/>
        </w:rPr>
        <w:t>data.</w:t>
      </w:r>
    </w:p>
    <w:p w14:paraId="2E809FB6" w14:textId="73F9C885" w:rsidR="00A27FE0" w:rsidRPr="00BC7A12" w:rsidRDefault="00A27FE0" w:rsidP="004E498A">
      <w:pPr>
        <w:rPr>
          <w:rFonts w:cs="Calibri"/>
        </w:rPr>
      </w:pPr>
    </w:p>
    <w:p w14:paraId="08597120" w14:textId="603A0373" w:rsidR="004E498A" w:rsidRPr="00BC7A12" w:rsidRDefault="005E114C" w:rsidP="004E498A">
      <w:pPr>
        <w:pStyle w:val="Heading2"/>
        <w:rPr>
          <w:rFonts w:cs="Calibri"/>
        </w:rPr>
      </w:pPr>
      <w:bookmarkStart w:id="76" w:name="_Toc46822322"/>
      <w:r w:rsidRPr="00BC7A12">
        <w:rPr>
          <w:rFonts w:cs="Calibri"/>
        </w:rPr>
        <w:t>Research partnerships</w:t>
      </w:r>
      <w:bookmarkEnd w:id="76"/>
      <w:r w:rsidRPr="00BC7A12">
        <w:rPr>
          <w:rFonts w:cs="Calibri"/>
        </w:rPr>
        <w:t xml:space="preserve"> </w:t>
      </w:r>
    </w:p>
    <w:p w14:paraId="1C6C2257" w14:textId="0C50ED03" w:rsidR="00A27FE0" w:rsidRPr="00BC7A12" w:rsidRDefault="00222128" w:rsidP="004E498A">
      <w:pPr>
        <w:rPr>
          <w:rFonts w:cs="Calibri"/>
        </w:rPr>
      </w:pPr>
      <w:r w:rsidRPr="00BC7A12">
        <w:rPr>
          <w:rFonts w:cs="Calibri"/>
        </w:rPr>
        <w:t xml:space="preserve">The iterative </w:t>
      </w:r>
      <w:r w:rsidR="004E498A" w:rsidRPr="00BC7A12">
        <w:rPr>
          <w:rFonts w:cs="Calibri"/>
        </w:rPr>
        <w:t xml:space="preserve">improvement of biophysical and economic modelling is driven by investments in education, </w:t>
      </w:r>
      <w:proofErr w:type="gramStart"/>
      <w:r w:rsidR="004E498A" w:rsidRPr="00BC7A12">
        <w:rPr>
          <w:rFonts w:cs="Calibri"/>
        </w:rPr>
        <w:t>technology</w:t>
      </w:r>
      <w:proofErr w:type="gramEnd"/>
      <w:r w:rsidR="004E498A" w:rsidRPr="00BC7A12">
        <w:rPr>
          <w:rFonts w:cs="Calibri"/>
        </w:rPr>
        <w:t xml:space="preserve"> and the basic science upon which this modelling rests (e.g. ecology of wetlands). Moreover, </w:t>
      </w:r>
      <w:r w:rsidRPr="00BC7A12">
        <w:rPr>
          <w:rFonts w:cs="Calibri"/>
        </w:rPr>
        <w:t xml:space="preserve">because modelers are </w:t>
      </w:r>
      <w:r w:rsidR="004E498A" w:rsidRPr="00BC7A12">
        <w:rPr>
          <w:rFonts w:cs="Calibri"/>
        </w:rPr>
        <w:t xml:space="preserve">specialists (e.g. water quality, storm surge), the unique knowledge sets of engineers and insurance professionals are likely to </w:t>
      </w:r>
      <w:r w:rsidR="00C42CCA" w:rsidRPr="00BC7A12">
        <w:rPr>
          <w:rFonts w:cs="Calibri"/>
        </w:rPr>
        <w:t xml:space="preserve">add </w:t>
      </w:r>
      <w:r w:rsidR="004E498A" w:rsidRPr="00BC7A12">
        <w:rPr>
          <w:rFonts w:cs="Calibri"/>
        </w:rPr>
        <w:t>value to any DRR modelling conducted by environmental professionals alone</w:t>
      </w:r>
      <w:r w:rsidR="00904A84" w:rsidRPr="00BC7A12">
        <w:rPr>
          <w:rFonts w:cs="Calibri"/>
        </w:rPr>
        <w:t>.</w:t>
      </w:r>
      <w:r w:rsidR="004E498A" w:rsidRPr="00BC7A12">
        <w:rPr>
          <w:rFonts w:cs="Calibri"/>
        </w:rPr>
        <w:t xml:space="preserve"> </w:t>
      </w:r>
      <w:r w:rsidR="004E498A" w:rsidRPr="00BC7A12">
        <w:rPr>
          <w:rFonts w:cs="Calibri"/>
        </w:rPr>
        <w:fldChar w:fldCharType="begin" w:fldLock="1"/>
      </w:r>
      <w:r w:rsidR="00A77A26">
        <w:rPr>
          <w:rFonts w:cs="Calibri"/>
        </w:rPr>
        <w:instrText>ADDIN CSL_CITATION {"citationItems":[{"id":"ITEM-1","itemData":{"URL":"https://www.wm.edu/news/stories/2019/vims-earns-grant-to-improve-coastal-resilience-by-studying-dunes.php","accessed":{"date-parts":[["2020","6","11"]]},"author":[{"dropping-particle":"","family":"Malmquist","given":"David","non-dropping-particle":"","parse-names":false,"suffix":""}],"container-title":"VMIS News","id":"ITEM-1","issued":{"date-parts":[["2020"]]},"page":"1","title":"VIMS earns grant to improve coastal resilience by studying dunes","type":"webpage"},"uris":["http://www.mendeley.com/documents/?uuid=86d25477-b449-4533-9773-8d7dcba4b957"]},{"id":"ITEM-2","itemData":{"abstract":"Flying Fish Point is located north of the Johnstone River mouth in Queensland, downstream of Innisfail in the Cassowary Coast Regional Council area, and has a well-documented history of shoreline erosion/recession. In response, Council has undertaken a variety of mitigation measures over time, including the construction of rock revetments. In early 2017, Council resolved to remediate the existing rock revetment from William to Ruby Street at Flying Fish Point due to poor structure condition. While the design and construction of conventional rock revetments is relatively established, the project became more unique based on requirements from Council to incorporate 'green engineering' design through the application of fish friendly features and other innovative measures. In response, Council and SMEC collaborated with James Cook University's TropWATER division during the revetment design process, with the view to increasing marine habitat and improving aesthetic and environmental values for the community. Council's designer, SMEC, faced a number of challenges throughout the project, ensuring enhanced environmental outcomes did not compromise structural function, performance and statutory tidal works requirements. This paper summarises the 'green engineering', fish friendly features and other innovative measures adopted during this project.","author":[{"dropping-particle":"","family":"Folan","given":"Anthony","non-dropping-particle":"","parse-names":false,"suffix":""},{"dropping-particle":"","family":"Fischer","given":"Justin","non-dropping-particle":"","parse-names":false,"suffix":""},{"dropping-particle":"","family":"Waltham","given":"N.J.","non-dropping-particle":"","parse-names":false,"suffix":""},{"dropping-particle":"","family":"Horton","given":"Peter","non-dropping-particle":"","parse-names":false,"suffix":""}],"container-title":"Australasian Coasts and Ports 2019 Conference","id":"ITEM-2","issue":"September","issued":{"date-parts":[["2019"]]},"page":"411-417","title":"Flying fish point rock revetment upgrade: Application of 'green engineering', fish friendly features and other innovative measures","type":"article-journal"},"uris":["http://www.mendeley.com/documents/?uuid=e28a9c51-9132-4bc2-bfc2-95164f57c76f"]},{"id":"ITEM-3","itemData":{"author":[{"dropping-particle":"","family":"IDEEA Group","given":"","non-dropping-particle":"","parse-names":false,"suffix":""}],"id":"ITEM-3","issued":{"date-parts":[["2020"]]},"publisher":"Department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review","type":"article"},"uris":["http://www.mendeley.com/documents/?uuid=97883741-2b1e-49b5-b4cd-33f743e3d25c"]}],"mendeley":{"formattedCitation":"(Malmquist 2020, Folan et al. 2019, IDEEA Group 2020a)","manualFormatting":"(Malmquist 2020, Folan et al. 2019, Wielgus in IDEEA Group 2020a)","plainTextFormattedCitation":"(Malmquist 2020, Folan et al. 2019, IDEEA Group 2020a)","previouslyFormattedCitation":"(Malmquist 2020, Folan et al. 2019, IDEEA Group 2020a)"},"properties":{"noteIndex":0},"schema":"https://github.com/citation-style-language/schema/raw/master/csl-citation.json"}</w:instrText>
      </w:r>
      <w:r w:rsidR="004E498A" w:rsidRPr="00BC7A12">
        <w:rPr>
          <w:rFonts w:cs="Calibri"/>
        </w:rPr>
        <w:fldChar w:fldCharType="separate"/>
      </w:r>
      <w:r w:rsidR="00F3709A" w:rsidRPr="00BC7A12">
        <w:rPr>
          <w:rFonts w:cs="Calibri"/>
          <w:noProof/>
        </w:rPr>
        <w:t>(Malmquist 2020, Folan et al. 2019, Wielgus in IDEEA Group 2020</w:t>
      </w:r>
      <w:r w:rsidR="002F3371" w:rsidRPr="00BC7A12">
        <w:rPr>
          <w:rFonts w:cs="Calibri"/>
          <w:noProof/>
        </w:rPr>
        <w:t>a</w:t>
      </w:r>
      <w:r w:rsidR="00F3709A" w:rsidRPr="00BC7A12">
        <w:rPr>
          <w:rFonts w:cs="Calibri"/>
          <w:noProof/>
        </w:rPr>
        <w:t>)</w:t>
      </w:r>
      <w:r w:rsidR="004E498A" w:rsidRPr="00BC7A12">
        <w:rPr>
          <w:rFonts w:cs="Calibri"/>
        </w:rPr>
        <w:fldChar w:fldCharType="end"/>
      </w:r>
      <w:r w:rsidR="004E498A" w:rsidRPr="00BC7A12">
        <w:rPr>
          <w:rFonts w:cs="Calibri"/>
        </w:rPr>
        <w:t xml:space="preserve"> Therefore, research partnerships among biological, engineering and insurance modelers </w:t>
      </w:r>
      <w:r w:rsidR="007F7A03" w:rsidRPr="00BC7A12">
        <w:rPr>
          <w:rFonts w:cs="Calibri"/>
        </w:rPr>
        <w:t>should</w:t>
      </w:r>
      <w:r w:rsidR="004E498A" w:rsidRPr="00BC7A12">
        <w:rPr>
          <w:rFonts w:cs="Calibri"/>
        </w:rPr>
        <w:t xml:space="preserve"> prove valuable</w:t>
      </w:r>
      <w:r w:rsidR="00F47B6B" w:rsidRPr="00BC7A12">
        <w:rPr>
          <w:rFonts w:cs="Calibri"/>
        </w:rPr>
        <w:t xml:space="preserve">. </w:t>
      </w:r>
    </w:p>
    <w:p w14:paraId="39EE8F20" w14:textId="77777777" w:rsidR="0086271D" w:rsidRPr="00BC7A12" w:rsidRDefault="0086271D" w:rsidP="004E498A">
      <w:pPr>
        <w:rPr>
          <w:rFonts w:cs="Calibri"/>
        </w:rPr>
      </w:pPr>
    </w:p>
    <w:p w14:paraId="4C9F3AAB" w14:textId="1317039B" w:rsidR="006E0928" w:rsidRPr="00BC7A12" w:rsidRDefault="0024473C" w:rsidP="005E114C">
      <w:pPr>
        <w:pStyle w:val="Heading2"/>
        <w:rPr>
          <w:rFonts w:cs="Calibri"/>
        </w:rPr>
      </w:pPr>
      <w:bookmarkStart w:id="77" w:name="_Toc46822323"/>
      <w:r w:rsidRPr="00BC7A12">
        <w:rPr>
          <w:rFonts w:cs="Calibri"/>
        </w:rPr>
        <w:t xml:space="preserve">Advancing the use of </w:t>
      </w:r>
      <w:r w:rsidR="00A27FE0" w:rsidRPr="00BC7A12">
        <w:rPr>
          <w:rFonts w:cs="Calibri"/>
        </w:rPr>
        <w:t>e</w:t>
      </w:r>
      <w:r w:rsidR="006E0928" w:rsidRPr="00BC7A12">
        <w:rPr>
          <w:rFonts w:cs="Calibri"/>
        </w:rPr>
        <w:t xml:space="preserve">cosystem </w:t>
      </w:r>
      <w:r w:rsidR="006F189F" w:rsidRPr="00BC7A12">
        <w:rPr>
          <w:rFonts w:cs="Calibri"/>
        </w:rPr>
        <w:t>typologies</w:t>
      </w:r>
      <w:bookmarkEnd w:id="77"/>
      <w:r w:rsidR="006F189F" w:rsidRPr="00BC7A12">
        <w:rPr>
          <w:rFonts w:cs="Calibri"/>
        </w:rPr>
        <w:t xml:space="preserve"> </w:t>
      </w:r>
      <w:r w:rsidRPr="00BC7A12">
        <w:rPr>
          <w:rFonts w:cs="Calibri"/>
        </w:rPr>
        <w:t xml:space="preserve"> </w:t>
      </w:r>
    </w:p>
    <w:p w14:paraId="139A9900" w14:textId="44B5724B" w:rsidR="006E0928" w:rsidRPr="00BC7A12" w:rsidRDefault="00B87803" w:rsidP="006E0928">
      <w:pPr>
        <w:rPr>
          <w:rFonts w:cs="Calibri"/>
        </w:rPr>
      </w:pPr>
      <w:r w:rsidRPr="00BC7A12">
        <w:rPr>
          <w:rFonts w:cs="Calibri"/>
        </w:rPr>
        <w:t xml:space="preserve">The biophysical and economic modelling needed for valuation is built on definitions of </w:t>
      </w:r>
      <w:r w:rsidR="006E0928" w:rsidRPr="00BC7A12">
        <w:rPr>
          <w:rFonts w:cs="Calibri"/>
        </w:rPr>
        <w:t>ecosystem type</w:t>
      </w:r>
      <w:r w:rsidRPr="00BC7A12">
        <w:rPr>
          <w:rFonts w:cs="Calibri"/>
        </w:rPr>
        <w:t xml:space="preserve">s. Each </w:t>
      </w:r>
      <w:r w:rsidR="006E0928" w:rsidRPr="00BC7A12">
        <w:rPr>
          <w:rFonts w:cs="Calibri"/>
        </w:rPr>
        <w:t xml:space="preserve">ecosystem type </w:t>
      </w:r>
      <w:r w:rsidRPr="00BC7A12">
        <w:rPr>
          <w:rFonts w:cs="Calibri"/>
        </w:rPr>
        <w:t xml:space="preserve">has its </w:t>
      </w:r>
      <w:r w:rsidR="006E0928" w:rsidRPr="00BC7A12">
        <w:rPr>
          <w:rFonts w:cs="Calibri"/>
        </w:rPr>
        <w:t xml:space="preserve">own biophysical properties. </w:t>
      </w:r>
      <w:r w:rsidR="0029123F" w:rsidRPr="00BC7A12">
        <w:rPr>
          <w:rFonts w:cs="Calibri"/>
        </w:rPr>
        <w:t xml:space="preserve">These </w:t>
      </w:r>
      <w:r w:rsidR="007B6EA5" w:rsidRPr="00BC7A12">
        <w:rPr>
          <w:rFonts w:cs="Calibri"/>
        </w:rPr>
        <w:t>properties</w:t>
      </w:r>
      <w:r w:rsidR="0029123F" w:rsidRPr="00BC7A12">
        <w:rPr>
          <w:rFonts w:cs="Calibri"/>
        </w:rPr>
        <w:t xml:space="preserve"> determine the production of ecosystem functions and processes</w:t>
      </w:r>
      <w:r w:rsidR="00A27FE0" w:rsidRPr="00BC7A12">
        <w:rPr>
          <w:rFonts w:cs="Calibri"/>
        </w:rPr>
        <w:t xml:space="preserve"> and associated supply of </w:t>
      </w:r>
      <w:r w:rsidRPr="00BC7A12">
        <w:rPr>
          <w:rFonts w:cs="Calibri"/>
        </w:rPr>
        <w:t xml:space="preserve">ecosystem </w:t>
      </w:r>
      <w:r w:rsidR="00A27FE0" w:rsidRPr="00BC7A12">
        <w:rPr>
          <w:rFonts w:cs="Calibri"/>
        </w:rPr>
        <w:t>services</w:t>
      </w:r>
      <w:r w:rsidR="007B6EA5" w:rsidRPr="00BC7A12">
        <w:rPr>
          <w:rFonts w:cs="Calibri"/>
        </w:rPr>
        <w:t>.</w:t>
      </w:r>
      <w:r w:rsidR="0029123F" w:rsidRPr="00BC7A12">
        <w:rPr>
          <w:rFonts w:cs="Calibri"/>
        </w:rPr>
        <w:t xml:space="preserve"> </w:t>
      </w:r>
      <w:r w:rsidR="006E0928" w:rsidRPr="00BC7A12">
        <w:rPr>
          <w:rFonts w:cs="Calibri"/>
        </w:rPr>
        <w:t>For example, research shows that the wetland types</w:t>
      </w:r>
      <w:r w:rsidR="00984CEC" w:rsidRPr="00BC7A12">
        <w:rPr>
          <w:rFonts w:cs="Calibri"/>
        </w:rPr>
        <w:t xml:space="preserve"> most effective</w:t>
      </w:r>
      <w:r w:rsidR="006E0928" w:rsidRPr="00BC7A12">
        <w:rPr>
          <w:rFonts w:cs="Calibri"/>
        </w:rPr>
        <w:t xml:space="preserve"> at attenuating wave energy and turbulence are partially submerged and emergent wetlands such as salt marsh, intertidal bottomland </w:t>
      </w:r>
      <w:r w:rsidR="007B6EA5" w:rsidRPr="00BC7A12">
        <w:rPr>
          <w:rFonts w:cs="Calibri"/>
        </w:rPr>
        <w:t>forest and oyster reefs</w:t>
      </w:r>
      <w:r w:rsidR="006E0928" w:rsidRPr="00BC7A12">
        <w:rPr>
          <w:rFonts w:cs="Calibri"/>
        </w:rPr>
        <w:t xml:space="preserve"> </w:t>
      </w:r>
      <w:r w:rsidR="006E0928" w:rsidRPr="00BC7A12">
        <w:rPr>
          <w:rFonts w:cs="Calibri"/>
        </w:rPr>
        <w:fldChar w:fldCharType="begin" w:fldLock="1"/>
      </w:r>
      <w:r w:rsidR="006E0928" w:rsidRPr="00BC7A12">
        <w:rPr>
          <w:rFonts w:cs="Calibri"/>
        </w:rPr>
        <w:instrText>ADDIN CSL_CITATION {"citationItems":[{"id":"ITEM-1","itemData":{"DOI":"10.2112/1551-5036(2004)020[0435:FRAASP]2.0.CO;2","author":[{"dropping-particle":"","family":"Neumeier","given":"Urs","non-dropping-particle":"","parse-names":false,"suffix":""},{"dropping-particle":"","family":"Ciavola","given":"Paolo","non-dropping-particle":"","parse-names":false,"suffix":""}],"container-title":"Journal of Coastal Research","id":"ITEM-1","issue":"2","issued":{"date-parts":[["2004"]]},"page":"435-447","title":"Flow Resistance and Associated Sedimentary Processes in a Spartina maritima Salt-Marsh Article","type":"article-journal","volume":"20"},"uris":["http://www.mendeley.com/documents/?uuid=f4475556-5589-403f-b524-d28c0dd25a70"]}],"mendeley":{"formattedCitation":"(Neumeier &amp; Ciavola 2004)","plainTextFormattedCitation":"(Neumeier &amp; Ciavola 2004)","previouslyFormattedCitation":"(Neumeier &amp; Ciavola 2004)"},"properties":{"noteIndex":0},"schema":"https://github.com/citation-style-language/schema/raw/master/csl-citation.json"}</w:instrText>
      </w:r>
      <w:r w:rsidR="006E0928" w:rsidRPr="00BC7A12">
        <w:rPr>
          <w:rFonts w:cs="Calibri"/>
        </w:rPr>
        <w:fldChar w:fldCharType="separate"/>
      </w:r>
      <w:r w:rsidR="006E0928" w:rsidRPr="00BC7A12">
        <w:rPr>
          <w:rFonts w:cs="Calibri"/>
          <w:noProof/>
        </w:rPr>
        <w:t>(Neumeier &amp; Ciavola 2004)</w:t>
      </w:r>
      <w:r w:rsidR="006E0928" w:rsidRPr="00BC7A12">
        <w:rPr>
          <w:rFonts w:cs="Calibri"/>
        </w:rPr>
        <w:fldChar w:fldCharType="end"/>
      </w:r>
      <w:r w:rsidRPr="00BC7A12">
        <w:rPr>
          <w:rFonts w:cs="Calibri"/>
        </w:rPr>
        <w:t xml:space="preserve">. </w:t>
      </w:r>
    </w:p>
    <w:p w14:paraId="2CEC578A" w14:textId="4F892638" w:rsidR="006E0928" w:rsidRPr="00BC7A12" w:rsidRDefault="00B87803" w:rsidP="006E0928">
      <w:pPr>
        <w:rPr>
          <w:rFonts w:cs="Calibri"/>
        </w:rPr>
      </w:pPr>
      <w:r w:rsidRPr="00BC7A12">
        <w:rPr>
          <w:rFonts w:cs="Calibri"/>
        </w:rPr>
        <w:t>This become</w:t>
      </w:r>
      <w:r w:rsidR="00624EFB" w:rsidRPr="00BC7A12">
        <w:rPr>
          <w:rFonts w:cs="Calibri"/>
        </w:rPr>
        <w:t>s</w:t>
      </w:r>
      <w:r w:rsidRPr="00BC7A12">
        <w:rPr>
          <w:rFonts w:cs="Calibri"/>
        </w:rPr>
        <w:t xml:space="preserve"> especially </w:t>
      </w:r>
      <w:r w:rsidR="006E0928" w:rsidRPr="00BC7A12">
        <w:rPr>
          <w:rFonts w:cs="Calibri"/>
        </w:rPr>
        <w:t xml:space="preserve">important when benefit transfer techniques are used. These techniques depend on transfers of characteristics from reference to study sites (e.g. ecosystem type, wetland extent, distance from human property). Without a clear description of the ecosystem type, transferred values can have error rates of several orders of magnitude. </w:t>
      </w:r>
    </w:p>
    <w:p w14:paraId="01E70800" w14:textId="7D511652" w:rsidR="006E0928" w:rsidRPr="00BC7A12" w:rsidRDefault="006E0928" w:rsidP="006E0928">
      <w:pPr>
        <w:rPr>
          <w:rFonts w:cs="Calibri"/>
        </w:rPr>
      </w:pPr>
      <w:r w:rsidRPr="00BC7A12">
        <w:rPr>
          <w:rFonts w:cs="Calibri"/>
        </w:rPr>
        <w:t>Beyond benefit transfers, as the ecological science of wetlands and related modelling progress</w:t>
      </w:r>
      <w:r w:rsidR="00A515F9" w:rsidRPr="00BC7A12">
        <w:rPr>
          <w:rFonts w:cs="Calibri"/>
        </w:rPr>
        <w:t>es</w:t>
      </w:r>
      <w:r w:rsidRPr="00BC7A12">
        <w:rPr>
          <w:rFonts w:cs="Calibri"/>
        </w:rPr>
        <w:t xml:space="preserve">, ecosystem typologies become more important to speeding analysis, because new learning builds on existing knowledge of an ecosystem type and how it functions. There are also advances in </w:t>
      </w:r>
      <w:r w:rsidR="009F43F8" w:rsidRPr="00BC7A12">
        <w:rPr>
          <w:rFonts w:cs="Calibri"/>
        </w:rPr>
        <w:t>spatial</w:t>
      </w:r>
      <w:r w:rsidRPr="00BC7A12">
        <w:rPr>
          <w:rFonts w:cs="Calibri"/>
        </w:rPr>
        <w:t xml:space="preserve"> data management that require clear delineation among ecosystem types for proper data integration. Ecosystem typologies can allow ecosystem types to be consistently identified and digitally integrated, supporting improved environmental management.  </w:t>
      </w:r>
    </w:p>
    <w:p w14:paraId="59430605" w14:textId="6E6F4378" w:rsidR="00A27FE0" w:rsidRPr="00BC7A12" w:rsidRDefault="00A27FE0" w:rsidP="00997F8C">
      <w:pPr>
        <w:spacing w:after="200" w:line="276" w:lineRule="auto"/>
        <w:rPr>
          <w:rFonts w:cs="Calibri"/>
        </w:rPr>
      </w:pPr>
      <w:r w:rsidRPr="00BC7A12">
        <w:rPr>
          <w:rFonts w:cs="Calibri"/>
        </w:rPr>
        <w:t xml:space="preserve">Although the </w:t>
      </w:r>
      <w:r w:rsidR="006E0928" w:rsidRPr="00BC7A12">
        <w:rPr>
          <w:rFonts w:cs="Calibri"/>
        </w:rPr>
        <w:t xml:space="preserve">Ramsar </w:t>
      </w:r>
      <w:r w:rsidR="006F189F" w:rsidRPr="00BC7A12">
        <w:rPr>
          <w:rFonts w:cs="Calibri"/>
        </w:rPr>
        <w:t>typology</w:t>
      </w:r>
      <w:r w:rsidR="006E0928" w:rsidRPr="00BC7A12">
        <w:rPr>
          <w:rFonts w:cs="Calibri"/>
        </w:rPr>
        <w:t xml:space="preserve"> provide a strong starting point</w:t>
      </w:r>
      <w:r w:rsidRPr="00BC7A12">
        <w:rPr>
          <w:rFonts w:cs="Calibri"/>
        </w:rPr>
        <w:t xml:space="preserve">, </w:t>
      </w:r>
      <w:r w:rsidR="006E0928" w:rsidRPr="00BC7A12">
        <w:rPr>
          <w:rFonts w:cs="Calibri"/>
        </w:rPr>
        <w:t xml:space="preserve">Australia’s National Aquatic Ecosystem </w:t>
      </w:r>
      <w:r w:rsidRPr="00BC7A12">
        <w:rPr>
          <w:rFonts w:cs="Calibri"/>
        </w:rPr>
        <w:t xml:space="preserve">(ANAE) </w:t>
      </w:r>
      <w:r w:rsidR="006E0928" w:rsidRPr="00BC7A12">
        <w:rPr>
          <w:rFonts w:cs="Calibri"/>
        </w:rPr>
        <w:t xml:space="preserve">classification improves on this significantly. It </w:t>
      </w:r>
      <w:r w:rsidRPr="00BC7A12">
        <w:rPr>
          <w:rFonts w:cs="Calibri"/>
        </w:rPr>
        <w:t xml:space="preserve">better </w:t>
      </w:r>
      <w:r w:rsidR="006E0928" w:rsidRPr="00BC7A12">
        <w:rPr>
          <w:rFonts w:cs="Calibri"/>
        </w:rPr>
        <w:t xml:space="preserve">supports the identification of </w:t>
      </w:r>
      <w:r w:rsidR="00A515F9" w:rsidRPr="00BC7A12">
        <w:rPr>
          <w:rFonts w:cs="Calibri"/>
        </w:rPr>
        <w:t>Australia’s</w:t>
      </w:r>
      <w:r w:rsidR="006E0928" w:rsidRPr="00BC7A12">
        <w:rPr>
          <w:rFonts w:cs="Calibri"/>
        </w:rPr>
        <w:t xml:space="preserve"> unique ecosystems</w:t>
      </w:r>
      <w:r w:rsidR="00305465" w:rsidRPr="00BC7A12">
        <w:rPr>
          <w:rFonts w:cs="Calibri"/>
        </w:rPr>
        <w:t xml:space="preserve"> </w:t>
      </w:r>
      <w:r w:rsidR="00305465" w:rsidRPr="00BC7A12">
        <w:rPr>
          <w:rFonts w:cs="Calibri"/>
        </w:rPr>
        <w:fldChar w:fldCharType="begin" w:fldLock="1"/>
      </w:r>
      <w:r w:rsidR="00847A5A" w:rsidRPr="00BC7A12">
        <w:rPr>
          <w:rFonts w:cs="Calibri"/>
        </w:rPr>
        <w:instrText>ADDIN CSL_CITATION {"citationItems":[{"id":"ITEM-1","itemData":{"ISBN":"9781482266191","author":[{"dropping-particle":"","family":"Aquatic Ecosystem Task Group","given":"","non-dropping-particle":"","parse-names":false,"suffix":""}],"id":"ITEM-1","issued":{"date-parts":[["2012"]]},"number-of-pages":"1-40","publisher-place":"Canberra","title":"Aquatic ecosystem toolkit MODULE 2: Interim Australian National Aquatic Ecosystem Classification Framework","type":"report"},"uris":["http://www.mendeley.com/documents/?uuid=7019dd4c-1ae6-43ac-b802-6979064e13d6"]}],"mendeley":{"formattedCitation":"(Aquatic Ecosystem Task Group 2012)","plainTextFormattedCitation":"(Aquatic Ecosystem Task Group 2012)","previouslyFormattedCitation":"(Aquatic Ecosystem Task Group 2012)"},"properties":{"noteIndex":0},"schema":"https://github.com/citation-style-language/schema/raw/master/csl-citation.json"}</w:instrText>
      </w:r>
      <w:r w:rsidR="00305465" w:rsidRPr="00BC7A12">
        <w:rPr>
          <w:rFonts w:cs="Calibri"/>
        </w:rPr>
        <w:fldChar w:fldCharType="separate"/>
      </w:r>
      <w:r w:rsidR="00305465" w:rsidRPr="00BC7A12">
        <w:rPr>
          <w:rFonts w:cs="Calibri"/>
          <w:noProof/>
        </w:rPr>
        <w:t>(Aquatic Ecosystem Task Group 2012)</w:t>
      </w:r>
      <w:r w:rsidR="00305465" w:rsidRPr="00BC7A12">
        <w:rPr>
          <w:rFonts w:cs="Calibri"/>
        </w:rPr>
        <w:fldChar w:fldCharType="end"/>
      </w:r>
      <w:r w:rsidR="00305465" w:rsidRPr="00BC7A12">
        <w:rPr>
          <w:rFonts w:cs="Calibri"/>
        </w:rPr>
        <w:t>.</w:t>
      </w:r>
      <w:r w:rsidR="006E0928" w:rsidRPr="00BC7A12">
        <w:rPr>
          <w:rFonts w:cs="Calibri"/>
        </w:rPr>
        <w:t xml:space="preserve"> Th</w:t>
      </w:r>
      <w:r w:rsidRPr="00BC7A12">
        <w:rPr>
          <w:rFonts w:cs="Calibri"/>
        </w:rPr>
        <w:t>e ANAE classification</w:t>
      </w:r>
      <w:r w:rsidR="006E0928" w:rsidRPr="00BC7A12">
        <w:rPr>
          <w:rFonts w:cs="Calibri"/>
        </w:rPr>
        <w:t xml:space="preserve"> is being used extensively in Queensland</w:t>
      </w:r>
      <w:r w:rsidR="00097E48" w:rsidRPr="00BC7A12">
        <w:rPr>
          <w:rFonts w:cs="Calibri"/>
        </w:rPr>
        <w:t xml:space="preserve"> and </w:t>
      </w:r>
      <w:r w:rsidR="006E0928" w:rsidRPr="00BC7A12">
        <w:rPr>
          <w:rFonts w:cs="Calibri"/>
        </w:rPr>
        <w:t xml:space="preserve">gaining support </w:t>
      </w:r>
      <w:r w:rsidR="00624EFB" w:rsidRPr="00BC7A12">
        <w:rPr>
          <w:rFonts w:cs="Calibri"/>
        </w:rPr>
        <w:t>in the other states</w:t>
      </w:r>
      <w:r w:rsidR="006E0928" w:rsidRPr="00BC7A12">
        <w:rPr>
          <w:rFonts w:cs="Calibri"/>
        </w:rPr>
        <w:t xml:space="preserve">. </w:t>
      </w:r>
    </w:p>
    <w:p w14:paraId="3E155D42" w14:textId="347734B7" w:rsidR="006F1993" w:rsidRDefault="00B87803" w:rsidP="008B3383">
      <w:pPr>
        <w:spacing w:after="200" w:line="276" w:lineRule="auto"/>
        <w:rPr>
          <w:rFonts w:cs="Calibri"/>
        </w:rPr>
      </w:pPr>
      <w:r w:rsidRPr="00BC7A12">
        <w:rPr>
          <w:rFonts w:cs="Calibri"/>
        </w:rPr>
        <w:t xml:space="preserve">Consideration </w:t>
      </w:r>
      <w:r w:rsidR="006E0928" w:rsidRPr="00BC7A12">
        <w:rPr>
          <w:rFonts w:cs="Calibri"/>
        </w:rPr>
        <w:t xml:space="preserve">could </w:t>
      </w:r>
      <w:r w:rsidRPr="00BC7A12">
        <w:rPr>
          <w:rFonts w:cs="Calibri"/>
        </w:rPr>
        <w:t xml:space="preserve">also be given to adopting </w:t>
      </w:r>
      <w:r w:rsidR="00A27FE0" w:rsidRPr="00BC7A12">
        <w:rPr>
          <w:rFonts w:cs="Calibri"/>
        </w:rPr>
        <w:t xml:space="preserve">the </w:t>
      </w:r>
      <w:r w:rsidR="006E0928" w:rsidRPr="00BC7A12">
        <w:rPr>
          <w:rFonts w:cs="Calibri"/>
        </w:rPr>
        <w:t>IUCN’s recently released Global Ecosystem Typology (GET)</w:t>
      </w:r>
      <w:r w:rsidR="007B6EA5" w:rsidRPr="00BC7A12">
        <w:rPr>
          <w:rFonts w:cs="Calibri"/>
        </w:rPr>
        <w:t xml:space="preserve"> </w:t>
      </w:r>
      <w:r w:rsidR="007B6EA5" w:rsidRPr="00BC7A12">
        <w:rPr>
          <w:rFonts w:cs="Calibri"/>
        </w:rPr>
        <w:fldChar w:fldCharType="begin" w:fldLock="1"/>
      </w:r>
      <w:r w:rsidR="007B6EA5" w:rsidRPr="00BC7A12">
        <w:rPr>
          <w:rFonts w:cs="Calibri"/>
        </w:rPr>
        <w:instrText>ADDIN CSL_CITATION {"citationItems":[{"id":"ITEM-1","itemData":{"author":[{"dropping-particle":"","family":"Keith","given":"D.","non-dropping-particle":"","parse-names":false,"suffix":""},{"dropping-particle":"","family":"Ferrer","given":"J.","non-dropping-particle":"","parse-names":false,"suffix":""},{"dropping-particle":"","family":"Nicholson","given":"E.","non-dropping-particle":"","parse-names":false,"suffix":""},{"dropping-particle":"","family":"Bishop","given":"M","non-dropping-particle":"","parse-names":false,"suffix":""},{"dropping-particle":"","family":"Polidoro","given":"B","non-dropping-particle":"","parse-names":false,"suffix":""},{"dropping-particle":"","family":"Ramirez-Llodra","given":"E.","non-dropping-particle":"","parse-names":false,"suffix":""},{"dropping-particle":"","family":"Tozer","given":"M.","non-dropping-particle":"","parse-names":false,"suffix":""},{"dropping-particle":"","family":"Nel","given":"J","non-dropping-particle":"","parse-names":false,"suffix":""},{"dropping-particle":"","family":"Nally","given":"R.","non-dropping-particle":"Mac","parse-names":false,"suffix":""},{"dropping-particle":"","family":"Gregr","given":"E","non-dropping-particle":"","parse-names":false,"suffix":""},{"dropping-particle":"","family":"Watermeyer","given":"K.","non-dropping-particle":"","parse-names":false,"suffix":""},{"dropping-particle":"","family":"Essl","given":"F.","non-dropping-particle":"","parse-names":false,"suffix":""},{"dropping-particle":"","family":"Faber-Langendoen","given":"D.","non-dropping-particle":"","parse-names":false,"suffix":""},{"dropping-particle":"","family":"Franklin","given":"J.","non-dropping-particle":"","parse-names":false,"suffix":""},{"dropping-particle":"","family":"Lehmann","given":"C.","non-dropping-particle":"","parse-names":false,"suffix":""},{"dropping-particle":"","family":"Etter","given":"A.","non-dropping-particle":"","parse-names":false,"suffix":""},{"dropping-particle":"","family":"Roux","given":"D.","non-dropping-particle":"","parse-names":false,"suffix":""},{"dropping-particle":"","family":"Stark","given":"J.","non-dropping-particle":"","parse-names":false,"suffix":""},{"dropping-particle":"","family":"Rowland","given":"J.","non-dropping-particle":"","parse-names":false,"suffix":""},{"dropping-particle":"","family":"Brummitt","given":"N.","non-dropping-particle":"","parse-names":false,"suffix":""},{"dropping-particle":"","family":"Fernandez-Arcaya","given":"U.","non-dropping-particle":"","parse-names":false,"suffix":""},{"dropping-particle":"","family":"Suthers","given":"I.","non-dropping-particle":"","parse-names":false,"suffix":""},{"dropping-particle":"","family":"Wiser","given":"S.","non-dropping-particle":"","parse-names":false,"suffix":""},{"dropping-particle":"","family":"Donohue","given":"I","non-dropping-particle":"","parse-names":false,"suffix":""},{"dropping-particle":"","family":"Jackson","given":"L.","non-dropping-particle":"","parse-names":false,"suffix":""},{"dropping-particle":"","family":"Pennington","given":"T.","non-dropping-particle":"","parse-names":false,"suffix":""},{"dropping-particle":"","family":"Pettorelli","given":"N.","non-dropping-particle":"","parse-names":false,"suffix":""},{"dropping-particle":"","family":"Andrade","given":"Angela","non-dropping-particle":"","parse-names":false,"suffix":""},{"dropping-particle":"","family":"Kontula","given":"Tytti","non-dropping-particle":"","parse-names":false,"suffix":""},{"dropping-particle":"","family":"Lindgaard","given":"Arild","non-dropping-particle":"","parse-names":false,"suffix":""},{"dropping-particle":"","family":"Tahvanainan","given":"Teemu","non-dropping-particle":"","parse-names":false,"suffix":""},{"dropping-particle":"","family":"Terauds","given":"Aleks","non-dropping-particle":"","parse-names":false,"suffix":""},{"dropping-particle":"","family":"Venter","given":"Oscar","non-dropping-particle":"","parse-names":false,"suffix":""},{"dropping-particle":"","family":"Watson","given":"James E. M.","non-dropping-particle":"","parse-names":false,"suffix":""},{"dropping-particle":"","family":"Chadwick","given":"Michael A","non-dropping-particle":"","parse-names":false,"suffix":""},{"dropping-particle":"","family":"Murray","given":"Nicholas J.","non-dropping-particle":"","parse-names":false,"suffix":""},{"dropping-particle":"","family":"Moat","given":"Justin","non-dropping-particle":"","parse-names":false,"suffix":""},{"dropping-particle":"","family":"Pliscoff","given":"Patricio","non-dropping-particle":"","parse-names":false,"suffix":""},{"dropping-particle":"","family":"Zager","given":"Irene","non-dropping-particle":"","parse-names":false,"suffix":""},{"dropping-particle":"","family":"Kingsford","given":"Richard T.","non-dropping-particle":"","parse-names":false,"suffix":""}],"id":"ITEM-1","issue":"February","issued":{"date-parts":[["2020"]]},"page":"172","title":"The IUCN Global Ecosystem Typology v1.01: Descriptive profiles for Biomes and Ecosystem Functional Groups","type":"article-journal"},"uris":["http://www.mendeley.com/documents/?uuid=989fc240-8308-4d41-8e49-6881ed43eb54"]}],"mendeley":{"formattedCitation":"(Keith et al. 2020)","plainTextFormattedCitation":"(Keith et al. 2020)","previouslyFormattedCitation":"(Keith et al. 2020)"},"properties":{"noteIndex":0},"schema":"https://github.com/citation-style-language/schema/raw/master/csl-citation.json"}</w:instrText>
      </w:r>
      <w:r w:rsidR="007B6EA5" w:rsidRPr="00BC7A12">
        <w:rPr>
          <w:rFonts w:cs="Calibri"/>
        </w:rPr>
        <w:fldChar w:fldCharType="separate"/>
      </w:r>
      <w:r w:rsidR="007B6EA5" w:rsidRPr="00BC7A12">
        <w:rPr>
          <w:rFonts w:cs="Calibri"/>
          <w:noProof/>
        </w:rPr>
        <w:t>(Keith et al. 2020)</w:t>
      </w:r>
      <w:r w:rsidR="007B6EA5" w:rsidRPr="00BC7A12">
        <w:rPr>
          <w:rFonts w:cs="Calibri"/>
        </w:rPr>
        <w:fldChar w:fldCharType="end"/>
      </w:r>
      <w:r w:rsidR="00EE0B3B">
        <w:rPr>
          <w:rFonts w:cs="Calibri"/>
        </w:rPr>
        <w:t xml:space="preserve">. It is </w:t>
      </w:r>
      <w:r w:rsidR="00321184">
        <w:rPr>
          <w:rFonts w:cs="Calibri"/>
        </w:rPr>
        <w:t xml:space="preserve">intended for adoption at the next IUCN World Congress and to underpin ecosystem types </w:t>
      </w:r>
      <w:r w:rsidR="00EE0B3B">
        <w:rPr>
          <w:rFonts w:cs="Calibri"/>
        </w:rPr>
        <w:t xml:space="preserve">in </w:t>
      </w:r>
      <w:r w:rsidR="00321184">
        <w:rPr>
          <w:rFonts w:cs="Calibri"/>
        </w:rPr>
        <w:t>the UN System of Environmental-Economic Accounting</w:t>
      </w:r>
      <w:r w:rsidR="007B6EA5" w:rsidRPr="00BC7A12">
        <w:rPr>
          <w:rFonts w:cs="Calibri"/>
        </w:rPr>
        <w:t xml:space="preserve"> </w:t>
      </w:r>
      <w:r w:rsidR="00321184" w:rsidRPr="00BC7A12">
        <w:rPr>
          <w:rFonts w:cs="Calibri"/>
        </w:rPr>
        <w:fldChar w:fldCharType="begin" w:fldLock="1"/>
      </w:r>
      <w:r w:rsidR="00321184" w:rsidRPr="00BC7A12">
        <w:rPr>
          <w:rFonts w:cs="Calibri"/>
        </w:rPr>
        <w:instrText>ADDIN CSL_CITATION {"citationItems":[{"id":"ITEM-1","itemData":{"author":[{"dropping-particle":"","family":"Bogaart","given":"Patrick","non-dropping-particle":"","parse-names":false,"suffix":""},{"dropping-particle":"","family":"Chan","given":"Jessica","non-dropping-particle":"","parse-names":false,"suffix":""},{"dropping-particle":"","family":"Horlings","given":"Edwin","non-dropping-particle":"","parse-names":false,"suffix":""},{"dropping-particle":"","family":"Keith","given":"David","non-dropping-particle":"","parse-names":false,"suffix":""},{"dropping-particle":"","family":"Larsen","given":"Trond","non-dropping-particle":"","parse-names":false,"suffix":""},{"dropping-particle":"","family":"Sayre","given":"Roger","non-dropping-particle":"","parse-names":false,"suffix":""},{"dropping-particle":"","family":"Soulard","given":"Schenau Francois","non-dropping-particle":"","parse-names":false,"suffix":""}],"id":"ITEM-1","issued":{"date-parts":[["2019"]]},"page":"1-12","publisher":"United Nations Economic and Social Commission for Asia and the Pacific","publisher-place":"Melbourne, Australia","title":"DEPARTMENT OF ECONOMIC AND SOCIAL AFFAIRS An ecosystem type classification for the SEEA EEA A paper for the 25th meeting of the London Group on environmental Questions for the London group :","type":"paper-conference"},"uris":["http://www.mendeley.com/documents/?uuid=63886353-cc2c-452b-a7d3-d2ec4ceeb380"]}],"mendeley":{"formattedCitation":"(Bogaart et al. 2019)","plainTextFormattedCitation":"(Bogaart et al. 2019)","previouslyFormattedCitation":"(Bogaart et al. 2019)"},"properties":{"noteIndex":0},"schema":"https://github.com/citation-style-language/schema/raw/master/csl-citation.json"}</w:instrText>
      </w:r>
      <w:r w:rsidR="00321184" w:rsidRPr="00BC7A12">
        <w:rPr>
          <w:rFonts w:cs="Calibri"/>
        </w:rPr>
        <w:fldChar w:fldCharType="separate"/>
      </w:r>
      <w:r w:rsidR="00321184" w:rsidRPr="00BC7A12">
        <w:rPr>
          <w:rFonts w:cs="Calibri"/>
          <w:noProof/>
        </w:rPr>
        <w:t>(Bogaart et al. 2019)</w:t>
      </w:r>
      <w:r w:rsidR="00321184" w:rsidRPr="00BC7A12">
        <w:rPr>
          <w:rFonts w:cs="Calibri"/>
        </w:rPr>
        <w:fldChar w:fldCharType="end"/>
      </w:r>
      <w:r w:rsidR="00321184" w:rsidRPr="00BC7A12">
        <w:rPr>
          <w:rFonts w:cs="Calibri"/>
        </w:rPr>
        <w:t>.</w:t>
      </w:r>
      <w:r w:rsidR="00321184">
        <w:rPr>
          <w:rFonts w:cs="Calibri"/>
        </w:rPr>
        <w:t xml:space="preserve"> </w:t>
      </w:r>
      <w:r w:rsidR="00321184" w:rsidRPr="00BC7A12">
        <w:rPr>
          <w:rFonts w:cs="Calibri"/>
        </w:rPr>
        <w:t>It is likely to be integrated into the programs of multilateral institutions such as the CBD, UNEP and Ramsar</w:t>
      </w:r>
      <w:r w:rsidR="006F1993">
        <w:rPr>
          <w:rFonts w:cs="Calibri"/>
        </w:rPr>
        <w:t xml:space="preserve">. Finally, because GET is compatible with Ramsar and ANAE, a national shift to this typology should be void of complication. </w:t>
      </w:r>
    </w:p>
    <w:p w14:paraId="49EFF238" w14:textId="411AD976" w:rsidR="006F189F" w:rsidRPr="00BC7A12" w:rsidRDefault="006F189F" w:rsidP="008B3383">
      <w:pPr>
        <w:spacing w:after="200" w:line="276" w:lineRule="auto"/>
        <w:rPr>
          <w:rFonts w:cs="Calibri"/>
        </w:rPr>
      </w:pPr>
      <w:r w:rsidRPr="00BC7A12">
        <w:rPr>
          <w:rFonts w:cs="Calibri"/>
        </w:rPr>
        <w:t>Australia’s coastal management community does not identify ecosystem services uniformly. Research shows that ad hoc process</w:t>
      </w:r>
      <w:r w:rsidR="00A515F9" w:rsidRPr="00BC7A12">
        <w:rPr>
          <w:rFonts w:cs="Calibri"/>
        </w:rPr>
        <w:t>es</w:t>
      </w:r>
      <w:r w:rsidRPr="00BC7A12">
        <w:rPr>
          <w:rFonts w:cs="Calibri"/>
        </w:rPr>
        <w:t xml:space="preserve"> lead to poorly chosen metrics and therefore valuations of ecosystem services </w:t>
      </w:r>
      <w:r w:rsidRPr="00BC7A12">
        <w:rPr>
          <w:rFonts w:cs="Calibri"/>
        </w:rPr>
        <w:fldChar w:fldCharType="begin" w:fldLock="1"/>
      </w:r>
      <w:r w:rsidR="00E61412" w:rsidRPr="00BC7A12">
        <w:rPr>
          <w:rFonts w:cs="Calibri"/>
        </w:rPr>
        <w:instrText>ADDIN CSL_CITATION {"citationItems":[{"id":"ITEM-1","itemData":{"DOI":"10.1016/j.ecoser.2017.11.018","ISSN":"22120416","abstract":"We present a ‘concept matching' systematic review linking the classes of the Common International Classification for Ecosystem Services (CICES, v4.3) to the ways scientists define and apply ES indicators in published studies. With the dual aim of creating an overview how the different services are measured in the studies, and determining if CICES provides an appropriate structure to accommodate the ES assessed in the practical literature, we reviewed 85 scientific papers from which 440 indicators were identified. Almost all CICES classes were represented, with cultural and some regulating (e.g. global climate regulation, pollination) ES being the most frequently considered. The four most frequently studied CICES classes (or class clusters) were global climate regulation, aesthetic beauty, recreation, and bio-remediation. Regulating and cultural services were more often assessed than provisioning services. Normalisation to unit area and time was common for indicators of several regulating and provisioning ES. Scores were most frequently used for cultural ES (except recreation) and some regulating services (e.g. flood protection). Altogether 20% of the ES indicators were quantified as an economic value, and monetisation is most frequently done for cultural and provisioning ES. Few regulating services, on the other hand, were monetised (including ones, like global climate regulation, for which appropriate techniques are relatively easily available). The work enabled a library of indicators to be compiled and made available. The findings can be used to help improve CICES so that it can provide a more robust and comprehensive framework for ecosystem assessments.","author":[{"dropping-particle":"","family":"Czúcz","given":"Bálint","non-dropping-particle":"","parse-names":false,"suffix":""},{"dropping-particle":"","family":"Arany","given":"Ildikó","non-dropping-particle":"","parse-names":false,"suffix":""},{"dropping-particle":"","family":"Potschin-Young","given":"Marion","non-dropping-particle":"","parse-names":false,"suffix":""},{"dropping-particle":"","family":"Bereczki","given":"Krisztina","non-dropping-particle":"","parse-names":false,"suffix":""},{"dropping-particle":"","family":"Kertész","given":"Miklós","non-dropping-particle":"","parse-names":false,"suffix":""},{"dropping-particle":"","family":"Kiss","given":"Márton","non-dropping-particle":"","parse-names":false,"suffix":""},{"dropping-particle":"","family":"Aszalós","given":"Réka","non-dropping-particle":"","parse-names":false,"suffix":""},{"dropping-particle":"","family":"Haines-Young","given":"Roy","non-dropping-particle":"","parse-names":false,"suffix":""}],"container-title":"Ecosystem Services","id":"ITEM-1","issued":{"date-parts":[["2018"]]},"page":"145-157","title":"Where concepts meet the real world: A systematic review of ecosystem service indicators and their classification using CICES","type":"article-journal","volume":"29"},"uris":["http://www.mendeley.com/documents/?uuid=12216f30-555d-4c59-8e2a-71b3351aa635"]}],"mendeley":{"formattedCitation":"(Czúcz et al. 2018)","plainTextFormattedCitation":"(Czúcz et al. 2018)","previouslyFormattedCitation":"(Czúcz et al. 2018)"},"properties":{"noteIndex":0},"schema":"https://github.com/citation-style-language/schema/raw/master/csl-citation.json"}</w:instrText>
      </w:r>
      <w:r w:rsidRPr="00BC7A12">
        <w:rPr>
          <w:rFonts w:cs="Calibri"/>
        </w:rPr>
        <w:fldChar w:fldCharType="separate"/>
      </w:r>
      <w:r w:rsidRPr="00BC7A12">
        <w:rPr>
          <w:rFonts w:cs="Calibri"/>
          <w:noProof/>
        </w:rPr>
        <w:t>(Czúcz et al. 2018)</w:t>
      </w:r>
      <w:r w:rsidRPr="00BC7A12">
        <w:rPr>
          <w:rFonts w:cs="Calibri"/>
        </w:rPr>
        <w:fldChar w:fldCharType="end"/>
      </w:r>
      <w:r w:rsidRPr="00BC7A12">
        <w:rPr>
          <w:rFonts w:cs="Calibri"/>
        </w:rPr>
        <w:t>. It also complicate</w:t>
      </w:r>
      <w:r w:rsidR="00A515F9" w:rsidRPr="00BC7A12">
        <w:rPr>
          <w:rFonts w:cs="Calibri"/>
        </w:rPr>
        <w:t>s</w:t>
      </w:r>
      <w:r w:rsidRPr="00BC7A12">
        <w:rPr>
          <w:rFonts w:cs="Calibri"/>
        </w:rPr>
        <w:t xml:space="preserve"> the integrating studies. This includes valuations of different ecosystem services from the same site</w:t>
      </w:r>
      <w:r w:rsidR="00E61412" w:rsidRPr="00BC7A12">
        <w:rPr>
          <w:rFonts w:cs="Calibri"/>
        </w:rPr>
        <w:t xml:space="preserve">, the same ecosystem service in a regional and studies of ecosystem services globally </w:t>
      </w:r>
      <w:r w:rsidR="00E61412" w:rsidRPr="00BC7A12">
        <w:rPr>
          <w:rFonts w:cs="Calibri"/>
        </w:rPr>
        <w:fldChar w:fldCharType="begin" w:fldLock="1"/>
      </w:r>
      <w:r w:rsidR="007A0C04" w:rsidRPr="00BC7A12">
        <w:rPr>
          <w:rFonts w:cs="Calibri"/>
        </w:rPr>
        <w:instrText>ADDIN CSL_CITATION {"citationItems":[{"id":"ITEM-1","itemData":{"abstract":"Ecosystem services (ES) practitioners (e.g., researchers, policy makers) has been working to better define, measure, and value the ways that nature contributes to society. Because measurement techniques follow the labeling or identification of ES, precise identification is critical. This article reviews literature and consults experts in classification science and ES to determine the expected benefits of using ES classification knowledge (classification knowledge); ecosystem services classification systems (ES-CS) and their principles. An informal analysis of the costs of transitioning from the current ad-hoc approach—based on various ES lists—to using classification knowledge was conducted. 18 benefits of using classification knowledge were found, including allowing ES to be defined more easily and precisely, easing the transfer of knowledge among studies, and avoiding the need to recreate ES identification systems. Collectively, these 18 benefits should allow for more accurate and consistent definition of ES, thereby serving to improve communication and measurement of ES. Moreover, the expected benefits of using ES-CS outweigh expected costs of the transition. Practitioners can use ES-CS in whole, or in parts, as their research or their institutions warrant. Finally, a case study was conducted that shows how ES measures can be organized using ES-CS, delivering benefits to practitioners.","author":[{"dropping-particle":"","family":"Finisdore","given":"John","non-dropping-particle":"","parse-names":false,"suffix":""},{"dropping-particle":"","family":"Rhodes","given":"Dr. Charles","non-dropping-particle":"","parse-names":false,"suffix":""},{"dropping-particle":"","family":"Haines-Young","given":"Dr. Roy","non-dropping-particle":"","parse-names":false,"suffix":""},{"dropping-particle":"","family":"Maynard","given":"Dr. Simone","non-dropping-particle":"","parse-names":false,"suffix":""},{"dropping-particle":"","family":"Wielgus","given":"Dr. Jeffrey","non-dropping-particle":"","parse-names":false,"suffix":""},{"dropping-particle":"","family":"Dvarskas","given":"Dr. Anthony","non-dropping-particle":"","parse-names":false,"suffix":""},{"dropping-particle":"","family":"Houdet","given":"Dr. Joel","non-dropping-particle":"","parse-names":false,"suffix":""},{"dropping-particle":"","family":"Quétier","given":"Dr. Fabien","non-dropping-particle":"","parse-names":false,"suffix":""},{"dropping-particle":"","family":"Lamothe","given":"Dr. Karl A.","non-dropping-particle":"","parse-names":false,"suffix":""},{"dropping-particle":"","family":"Ding","given":"Dr. Helen","non-dropping-particle":"","parse-names":false,"suffix":""},{"dropping-particle":"","family":"Soulard","given":"Dr. François","non-dropping-particle":"","parse-names":false,"suffix":""},{"dropping-particle":"Van","family":"Houtven","given":"Dr. George","non-dropping-particle":"","parse-names":false,"suffix":""},{"dropping-particle":"","family":"Rowcroft","given":"Petrina","non-dropping-particle":"","parse-names":false,"suffix":""}],"container-title":"Ecosystem Services","id":"ITEM-1","issued":{"date-parts":[["0"]]},"title":"The 18 benefits of using ecosystem services classification systems","type":"article-journal"},"uris":["http://www.mendeley.com/documents/?uuid=1b6ad437-31ca-438c-9d70-4a51452c458c"]}],"mendeley":{"formattedCitation":"(Finisdore et al. n.d.)","manualFormatting":"(Finisdore et al. n.d., see Appendix 5 for a full discussion of this issue)","plainTextFormattedCitation":"(Finisdore et al. n.d.)","previouslyFormattedCitation":"(Finisdore et al. n.d.)"},"properties":{"noteIndex":0},"schema":"https://github.com/citation-style-language/schema/raw/master/csl-citation.json"}</w:instrText>
      </w:r>
      <w:r w:rsidR="00E61412" w:rsidRPr="00BC7A12">
        <w:rPr>
          <w:rFonts w:cs="Calibri"/>
        </w:rPr>
        <w:fldChar w:fldCharType="separate"/>
      </w:r>
      <w:r w:rsidR="00E61412" w:rsidRPr="00BC7A12">
        <w:rPr>
          <w:rFonts w:cs="Calibri"/>
          <w:noProof/>
        </w:rPr>
        <w:t xml:space="preserve">(Finisdore et al. n.d., see Appendix </w:t>
      </w:r>
      <w:r w:rsidR="007A0C04" w:rsidRPr="00BC7A12">
        <w:rPr>
          <w:rFonts w:cs="Calibri"/>
          <w:noProof/>
        </w:rPr>
        <w:t>5</w:t>
      </w:r>
      <w:r w:rsidR="00E61412" w:rsidRPr="00BC7A12">
        <w:rPr>
          <w:rFonts w:cs="Calibri"/>
          <w:noProof/>
        </w:rPr>
        <w:t xml:space="preserve"> for a full discussion of this issue)</w:t>
      </w:r>
      <w:r w:rsidR="00E61412" w:rsidRPr="00BC7A12">
        <w:rPr>
          <w:rFonts w:cs="Calibri"/>
        </w:rPr>
        <w:fldChar w:fldCharType="end"/>
      </w:r>
      <w:r w:rsidR="00E61412" w:rsidRPr="00BC7A12">
        <w:rPr>
          <w:rFonts w:cs="Calibri"/>
        </w:rPr>
        <w:t xml:space="preserve">.  </w:t>
      </w:r>
    </w:p>
    <w:p w14:paraId="038BF023" w14:textId="77777777" w:rsidR="00657E34" w:rsidRPr="00BC7A12" w:rsidRDefault="00F53FC4" w:rsidP="00657E34">
      <w:pPr>
        <w:spacing w:after="200" w:line="276" w:lineRule="auto"/>
        <w:rPr>
          <w:rFonts w:cs="Calibri"/>
        </w:rPr>
      </w:pPr>
      <w:r w:rsidRPr="00BC7A12">
        <w:rPr>
          <w:rFonts w:cs="Calibri"/>
        </w:rPr>
        <w:t xml:space="preserve">The Millennium Ecosystem </w:t>
      </w:r>
      <w:r w:rsidR="005119CF" w:rsidRPr="00BC7A12">
        <w:rPr>
          <w:rFonts w:cs="Calibri"/>
        </w:rPr>
        <w:t>A</w:t>
      </w:r>
      <w:r w:rsidRPr="00BC7A12">
        <w:rPr>
          <w:rFonts w:cs="Calibri"/>
        </w:rPr>
        <w:t>ssessment</w:t>
      </w:r>
      <w:r w:rsidR="005119CF" w:rsidRPr="00BC7A12">
        <w:rPr>
          <w:rFonts w:cs="Calibri"/>
        </w:rPr>
        <w:t>’s</w:t>
      </w:r>
      <w:r w:rsidRPr="00BC7A12">
        <w:rPr>
          <w:rFonts w:cs="Calibri"/>
        </w:rPr>
        <w:t xml:space="preserve"> </w:t>
      </w:r>
      <w:r w:rsidR="005119CF" w:rsidRPr="00BC7A12">
        <w:rPr>
          <w:rFonts w:cs="Calibri"/>
        </w:rPr>
        <w:t>four groups</w:t>
      </w:r>
      <w:r w:rsidR="00945554">
        <w:rPr>
          <w:rFonts w:cs="Calibri"/>
        </w:rPr>
        <w:t xml:space="preserve"> of ecosystem services</w:t>
      </w:r>
      <w:r w:rsidR="005119CF" w:rsidRPr="00BC7A12">
        <w:rPr>
          <w:rFonts w:cs="Calibri"/>
        </w:rPr>
        <w:t xml:space="preserve"> </w:t>
      </w:r>
      <w:r w:rsidRPr="00BC7A12">
        <w:rPr>
          <w:rFonts w:cs="Calibri"/>
        </w:rPr>
        <w:t xml:space="preserve">(see </w:t>
      </w:r>
      <w:r w:rsidRPr="00BC7A12">
        <w:rPr>
          <w:rFonts w:cs="Calibri"/>
        </w:rPr>
        <w:fldChar w:fldCharType="begin"/>
      </w:r>
      <w:r w:rsidRPr="00BC7A12">
        <w:rPr>
          <w:rFonts w:cs="Calibri"/>
        </w:rPr>
        <w:instrText xml:space="preserve"> REF _Ref43147341 \h </w:instrText>
      </w:r>
      <w:r w:rsidR="00BC7A12">
        <w:rPr>
          <w:rFonts w:cs="Calibri"/>
        </w:rPr>
        <w:instrText xml:space="preserve"> \* MERGEFORMAT </w:instrText>
      </w:r>
      <w:r w:rsidRPr="00BC7A12">
        <w:rPr>
          <w:rFonts w:cs="Calibri"/>
        </w:rPr>
      </w:r>
      <w:r w:rsidRPr="00BC7A12">
        <w:rPr>
          <w:rFonts w:cs="Calibri"/>
        </w:rPr>
        <w:fldChar w:fldCharType="separate"/>
      </w:r>
      <w:r w:rsidR="00657E34" w:rsidRPr="00BC7A12">
        <w:rPr>
          <w:rFonts w:cs="Calibri"/>
        </w:rPr>
        <w:t xml:space="preserve">Appendix 4 Natural capital accounting data structure  </w:t>
      </w:r>
    </w:p>
    <w:p w14:paraId="2A883287" w14:textId="77777777" w:rsidR="00657E34" w:rsidRPr="00BC7A12" w:rsidRDefault="00657E34" w:rsidP="00CD762C">
      <w:pPr>
        <w:rPr>
          <w:rFonts w:cs="Calibri"/>
        </w:rPr>
      </w:pPr>
      <w:r w:rsidRPr="00BC7A12">
        <w:rPr>
          <w:rFonts w:cs="Calibri"/>
        </w:rPr>
        <w:t xml:space="preserve">The System of Environmental-Economic Accounting (SEEA) </w:t>
      </w:r>
      <w:r w:rsidRPr="00BC7A12">
        <w:rPr>
          <w:rFonts w:cs="Calibri"/>
          <w:noProof/>
        </w:rPr>
        <w:t>(United Nations et al. 2014b)</w:t>
      </w:r>
      <w:r w:rsidRPr="00BC7A12">
        <w:rPr>
          <w:rFonts w:cs="Calibri"/>
        </w:rPr>
        <w:t xml:space="preserve"> is the global standard for natural capital accounting. One component of SEEA, is that provides uniform </w:t>
      </w:r>
      <w:r w:rsidRPr="00BC7A12">
        <w:rPr>
          <w:rFonts w:cs="Calibri"/>
        </w:rPr>
        <w:lastRenderedPageBreak/>
        <w:t xml:space="preserve">classification of data for improved speed and accuracy in defining and discovering data.  </w:t>
      </w:r>
      <w:r>
        <w:rPr>
          <w:rFonts w:cs="Calibri"/>
          <w:b/>
          <w:bCs/>
          <w:lang w:val="en-US"/>
        </w:rPr>
        <w:t>Error! Reference source not found.</w:t>
      </w:r>
      <w:r w:rsidRPr="00BC7A12">
        <w:rPr>
          <w:rFonts w:cs="Calibri"/>
        </w:rPr>
        <w:t xml:space="preserve"> demonstrated how SEEA organized different social and economic data. </w:t>
      </w:r>
    </w:p>
    <w:p w14:paraId="46072748" w14:textId="77777777" w:rsidR="00657E34" w:rsidRPr="00BC7A12" w:rsidRDefault="00657E34" w:rsidP="00F0367C">
      <w:pPr>
        <w:pStyle w:val="Caption"/>
        <w:keepNext/>
        <w:rPr>
          <w:rFonts w:cs="Calibri"/>
        </w:rPr>
      </w:pPr>
      <w:r w:rsidRPr="00BC7A12">
        <w:rPr>
          <w:rFonts w:cs="Calibri"/>
        </w:rPr>
        <w:t xml:space="preserve">Table </w:t>
      </w:r>
      <w:r>
        <w:rPr>
          <w:rFonts w:cs="Calibri"/>
          <w:noProof/>
        </w:rPr>
        <w:t>11</w:t>
      </w:r>
      <w:r w:rsidRPr="00BC7A12">
        <w:rPr>
          <w:rFonts w:cs="Calibri"/>
        </w:rPr>
        <w:t xml:space="preserve"> SEEA data classification structure</w:t>
      </w:r>
    </w:p>
    <w:tbl>
      <w:tblPr>
        <w:tblStyle w:val="TableGrid"/>
        <w:tblW w:w="0" w:type="auto"/>
        <w:tblLook w:val="04A0" w:firstRow="1" w:lastRow="0" w:firstColumn="1" w:lastColumn="0" w:noHBand="0" w:noVBand="1"/>
      </w:tblPr>
      <w:tblGrid>
        <w:gridCol w:w="1417"/>
        <w:gridCol w:w="2487"/>
        <w:gridCol w:w="5112"/>
      </w:tblGrid>
      <w:tr w:rsidR="00657E34" w:rsidRPr="00BC7A12" w14:paraId="4EEB7AC2" w14:textId="77777777" w:rsidTr="007A0C04">
        <w:trPr>
          <w:trHeight w:val="206"/>
          <w:tblHeader/>
        </w:trPr>
        <w:tc>
          <w:tcPr>
            <w:tcW w:w="0" w:type="auto"/>
            <w:gridSpan w:val="3"/>
          </w:tcPr>
          <w:p w14:paraId="1B7ABE83" w14:textId="77777777" w:rsidR="00657E34" w:rsidRPr="00BC7A12" w:rsidRDefault="00657E34" w:rsidP="007A0C04">
            <w:pPr>
              <w:spacing w:after="0" w:line="240" w:lineRule="auto"/>
              <w:jc w:val="center"/>
              <w:rPr>
                <w:rFonts w:cs="Calibri"/>
                <w:b/>
                <w:bCs/>
                <w:sz w:val="18"/>
                <w:szCs w:val="18"/>
              </w:rPr>
            </w:pPr>
            <w:r w:rsidRPr="00BC7A12">
              <w:rPr>
                <w:rFonts w:cs="Calibri"/>
                <w:b/>
                <w:bCs/>
                <w:sz w:val="18"/>
                <w:szCs w:val="18"/>
              </w:rPr>
              <w:t xml:space="preserve">Generic SEEA data classification </w:t>
            </w:r>
            <w:proofErr w:type="gramStart"/>
            <w:r w:rsidRPr="00BC7A12">
              <w:rPr>
                <w:rFonts w:cs="Calibri"/>
                <w:b/>
                <w:bCs/>
                <w:sz w:val="18"/>
                <w:szCs w:val="18"/>
              </w:rPr>
              <w:t xml:space="preserve">structure  </w:t>
            </w:r>
            <w:r w:rsidRPr="00BC7A12">
              <w:rPr>
                <w:rFonts w:cs="Calibri"/>
                <w:bCs/>
                <w:noProof/>
                <w:sz w:val="18"/>
                <w:szCs w:val="18"/>
              </w:rPr>
              <w:t>(</w:t>
            </w:r>
            <w:proofErr w:type="gramEnd"/>
            <w:r w:rsidRPr="00BC7A12">
              <w:rPr>
                <w:rFonts w:cs="Calibri"/>
                <w:bCs/>
                <w:noProof/>
                <w:sz w:val="18"/>
                <w:szCs w:val="18"/>
              </w:rPr>
              <w:t>adopted from United Nations Statistics Division 2018)</w:t>
            </w:r>
          </w:p>
        </w:tc>
      </w:tr>
      <w:tr w:rsidR="00657E34" w:rsidRPr="00BC7A12" w14:paraId="36815BAA" w14:textId="77777777" w:rsidTr="007A0C04">
        <w:trPr>
          <w:tblHeader/>
        </w:trPr>
        <w:tc>
          <w:tcPr>
            <w:tcW w:w="0" w:type="auto"/>
          </w:tcPr>
          <w:p w14:paraId="3AD15625"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Subcomponent</w:t>
            </w:r>
          </w:p>
        </w:tc>
        <w:tc>
          <w:tcPr>
            <w:tcW w:w="0" w:type="auto"/>
          </w:tcPr>
          <w:p w14:paraId="0BE291FA"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Definition</w:t>
            </w:r>
          </w:p>
        </w:tc>
        <w:tc>
          <w:tcPr>
            <w:tcW w:w="0" w:type="auto"/>
          </w:tcPr>
          <w:p w14:paraId="0E06D0B5"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Example</w:t>
            </w:r>
          </w:p>
        </w:tc>
      </w:tr>
      <w:tr w:rsidR="00657E34" w:rsidRPr="00BC7A12" w14:paraId="1E4E1699" w14:textId="77777777" w:rsidTr="007A0C04">
        <w:tc>
          <w:tcPr>
            <w:tcW w:w="0" w:type="auto"/>
          </w:tcPr>
          <w:p w14:paraId="1BA64D2B" w14:textId="77777777" w:rsidR="00657E34" w:rsidRPr="00BC7A12" w:rsidRDefault="00657E34" w:rsidP="007A0C04">
            <w:pPr>
              <w:spacing w:after="0" w:line="240" w:lineRule="auto"/>
              <w:rPr>
                <w:rFonts w:cs="Calibri"/>
                <w:sz w:val="12"/>
                <w:szCs w:val="12"/>
              </w:rPr>
            </w:pPr>
            <w:r w:rsidRPr="00BC7A12">
              <w:rPr>
                <w:rFonts w:cs="Calibri"/>
                <w:sz w:val="12"/>
                <w:szCs w:val="12"/>
              </w:rPr>
              <w:t>Physical extent</w:t>
            </w:r>
          </w:p>
        </w:tc>
        <w:tc>
          <w:tcPr>
            <w:tcW w:w="0" w:type="auto"/>
          </w:tcPr>
          <w:p w14:paraId="55EB3E3D" w14:textId="77777777" w:rsidR="00657E34" w:rsidRPr="00BC7A12" w:rsidRDefault="00657E34" w:rsidP="007A0C04">
            <w:pPr>
              <w:spacing w:after="0" w:line="240" w:lineRule="auto"/>
              <w:rPr>
                <w:rFonts w:cs="Calibri"/>
                <w:sz w:val="12"/>
                <w:szCs w:val="12"/>
              </w:rPr>
            </w:pPr>
            <w:r w:rsidRPr="00BC7A12">
              <w:rPr>
                <w:rFonts w:cs="Calibri"/>
                <w:sz w:val="12"/>
                <w:szCs w:val="12"/>
              </w:rPr>
              <w:t>Area in terms of coverage and arrangement</w:t>
            </w:r>
          </w:p>
        </w:tc>
        <w:tc>
          <w:tcPr>
            <w:tcW w:w="0" w:type="auto"/>
          </w:tcPr>
          <w:p w14:paraId="3CBF9F46"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Topography, geography </w:t>
            </w:r>
          </w:p>
        </w:tc>
      </w:tr>
      <w:tr w:rsidR="00657E34" w:rsidRPr="00BC7A12" w14:paraId="69004AF2" w14:textId="77777777" w:rsidTr="007A0C04">
        <w:tc>
          <w:tcPr>
            <w:tcW w:w="0" w:type="auto"/>
          </w:tcPr>
          <w:p w14:paraId="34C5C114" w14:textId="77777777" w:rsidR="00657E34" w:rsidRPr="00BC7A12" w:rsidRDefault="00657E34" w:rsidP="007A0C04">
            <w:pPr>
              <w:spacing w:after="0" w:line="240" w:lineRule="auto"/>
              <w:rPr>
                <w:rFonts w:cs="Calibri"/>
                <w:sz w:val="12"/>
                <w:szCs w:val="12"/>
              </w:rPr>
            </w:pPr>
            <w:r w:rsidRPr="00BC7A12">
              <w:rPr>
                <w:rFonts w:cs="Calibri"/>
                <w:sz w:val="12"/>
                <w:szCs w:val="12"/>
              </w:rPr>
              <w:t>Institutional extent</w:t>
            </w:r>
          </w:p>
        </w:tc>
        <w:tc>
          <w:tcPr>
            <w:tcW w:w="0" w:type="auto"/>
          </w:tcPr>
          <w:p w14:paraId="218CD969" w14:textId="77777777" w:rsidR="00657E34" w:rsidRPr="00BC7A12" w:rsidRDefault="00657E34" w:rsidP="007A0C04">
            <w:pPr>
              <w:spacing w:after="0" w:line="240" w:lineRule="auto"/>
              <w:rPr>
                <w:rFonts w:cs="Calibri"/>
                <w:sz w:val="12"/>
                <w:szCs w:val="12"/>
              </w:rPr>
            </w:pPr>
            <w:r w:rsidRPr="00BC7A12">
              <w:rPr>
                <w:rFonts w:cs="Calibri"/>
                <w:sz w:val="12"/>
                <w:szCs w:val="12"/>
              </w:rPr>
              <w:t>Zoning such as regulatory and planning areas</w:t>
            </w:r>
          </w:p>
        </w:tc>
        <w:tc>
          <w:tcPr>
            <w:tcW w:w="0" w:type="auto"/>
          </w:tcPr>
          <w:p w14:paraId="337D4D03"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State and Council Zones, Ramsar boundaries </w:t>
            </w:r>
          </w:p>
        </w:tc>
      </w:tr>
      <w:tr w:rsidR="00657E34" w:rsidRPr="00BC7A12" w14:paraId="368885BA" w14:textId="77777777" w:rsidTr="007A0C04">
        <w:tc>
          <w:tcPr>
            <w:tcW w:w="0" w:type="auto"/>
          </w:tcPr>
          <w:p w14:paraId="4B482478" w14:textId="77777777" w:rsidR="00657E34" w:rsidRPr="00BC7A12" w:rsidRDefault="00657E34" w:rsidP="007A0C04">
            <w:pPr>
              <w:spacing w:after="0" w:line="240" w:lineRule="auto"/>
              <w:rPr>
                <w:rFonts w:cs="Calibri"/>
                <w:sz w:val="12"/>
                <w:szCs w:val="12"/>
              </w:rPr>
            </w:pPr>
            <w:r w:rsidRPr="00BC7A12">
              <w:rPr>
                <w:rFonts w:cs="Calibri"/>
                <w:sz w:val="12"/>
                <w:szCs w:val="12"/>
              </w:rPr>
              <w:t>Ecosystem extent</w:t>
            </w:r>
          </w:p>
        </w:tc>
        <w:tc>
          <w:tcPr>
            <w:tcW w:w="0" w:type="auto"/>
          </w:tcPr>
          <w:p w14:paraId="29ABE16B" w14:textId="77777777" w:rsidR="00657E34" w:rsidRPr="00BC7A12" w:rsidRDefault="00657E34" w:rsidP="007A0C04">
            <w:pPr>
              <w:spacing w:after="0" w:line="240" w:lineRule="auto"/>
              <w:rPr>
                <w:rFonts w:cs="Calibri"/>
                <w:sz w:val="12"/>
                <w:szCs w:val="12"/>
              </w:rPr>
            </w:pPr>
            <w:r w:rsidRPr="00BC7A12">
              <w:rPr>
                <w:rFonts w:cs="Calibri"/>
                <w:sz w:val="12"/>
                <w:szCs w:val="12"/>
              </w:rPr>
              <w:t>Extent and composition of the ecosystem types</w:t>
            </w:r>
          </w:p>
        </w:tc>
        <w:tc>
          <w:tcPr>
            <w:tcW w:w="0" w:type="auto"/>
          </w:tcPr>
          <w:p w14:paraId="41F386D6"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Seagrass, rocky reef, </w:t>
            </w:r>
            <w:proofErr w:type="gramStart"/>
            <w:r w:rsidRPr="00BC7A12">
              <w:rPr>
                <w:rFonts w:cs="Calibri"/>
                <w:sz w:val="12"/>
                <w:szCs w:val="12"/>
              </w:rPr>
              <w:t>mangrove</w:t>
            </w:r>
            <w:proofErr w:type="gramEnd"/>
            <w:r w:rsidRPr="00BC7A12">
              <w:rPr>
                <w:rFonts w:cs="Calibri"/>
                <w:sz w:val="12"/>
                <w:szCs w:val="12"/>
              </w:rPr>
              <w:t xml:space="preserve"> and salt</w:t>
            </w:r>
            <w:r>
              <w:rPr>
                <w:rFonts w:cs="Calibri"/>
                <w:sz w:val="12"/>
                <w:szCs w:val="12"/>
              </w:rPr>
              <w:t xml:space="preserve"> </w:t>
            </w:r>
            <w:r w:rsidRPr="00BC7A12">
              <w:rPr>
                <w:rFonts w:cs="Calibri"/>
                <w:sz w:val="12"/>
                <w:szCs w:val="12"/>
              </w:rPr>
              <w:t xml:space="preserve">marshes </w:t>
            </w:r>
          </w:p>
        </w:tc>
      </w:tr>
      <w:tr w:rsidR="00657E34" w:rsidRPr="00BC7A12" w14:paraId="3445B38F" w14:textId="77777777" w:rsidTr="007A0C04">
        <w:tc>
          <w:tcPr>
            <w:tcW w:w="0" w:type="auto"/>
          </w:tcPr>
          <w:p w14:paraId="2E7EFD13" w14:textId="77777777" w:rsidR="00657E34" w:rsidRPr="00BC7A12" w:rsidRDefault="00657E34" w:rsidP="007A0C04">
            <w:pPr>
              <w:spacing w:after="0" w:line="240" w:lineRule="auto"/>
              <w:rPr>
                <w:rFonts w:cs="Calibri"/>
                <w:sz w:val="12"/>
                <w:szCs w:val="12"/>
              </w:rPr>
            </w:pPr>
            <w:r w:rsidRPr="00BC7A12">
              <w:rPr>
                <w:rFonts w:cs="Calibri"/>
                <w:sz w:val="12"/>
                <w:szCs w:val="12"/>
              </w:rPr>
              <w:t>Context</w:t>
            </w:r>
          </w:p>
        </w:tc>
        <w:tc>
          <w:tcPr>
            <w:tcW w:w="0" w:type="auto"/>
          </w:tcPr>
          <w:p w14:paraId="58BF86D6" w14:textId="77777777" w:rsidR="00657E34" w:rsidRPr="00BC7A12" w:rsidRDefault="00657E34" w:rsidP="007A0C04">
            <w:pPr>
              <w:spacing w:after="0" w:line="240" w:lineRule="auto"/>
              <w:rPr>
                <w:rFonts w:cs="Calibri"/>
                <w:sz w:val="12"/>
                <w:szCs w:val="12"/>
              </w:rPr>
            </w:pPr>
            <w:r w:rsidRPr="00BC7A12">
              <w:rPr>
                <w:rFonts w:cs="Calibri"/>
                <w:sz w:val="12"/>
                <w:szCs w:val="12"/>
              </w:rPr>
              <w:t>Contextual information that makes up the broader socio-ecological system</w:t>
            </w:r>
          </w:p>
        </w:tc>
        <w:tc>
          <w:tcPr>
            <w:tcW w:w="0" w:type="auto"/>
          </w:tcPr>
          <w:p w14:paraId="46A49DC7"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Cities, agricultural land, river connections </w:t>
            </w:r>
          </w:p>
        </w:tc>
      </w:tr>
      <w:tr w:rsidR="00657E34" w:rsidRPr="00BC7A12" w14:paraId="332C32B5" w14:textId="77777777" w:rsidTr="007A0C04">
        <w:tc>
          <w:tcPr>
            <w:tcW w:w="0" w:type="auto"/>
          </w:tcPr>
          <w:p w14:paraId="71064DBD" w14:textId="77777777" w:rsidR="00657E34" w:rsidRPr="00BC7A12" w:rsidRDefault="00657E34" w:rsidP="007A0C04">
            <w:pPr>
              <w:spacing w:after="0" w:line="240" w:lineRule="auto"/>
              <w:rPr>
                <w:rFonts w:cs="Calibri"/>
                <w:sz w:val="12"/>
                <w:szCs w:val="12"/>
              </w:rPr>
            </w:pPr>
            <w:r w:rsidRPr="00BC7A12">
              <w:rPr>
                <w:rFonts w:cs="Calibri"/>
                <w:sz w:val="12"/>
                <w:szCs w:val="12"/>
              </w:rPr>
              <w:t>Coastal use</w:t>
            </w:r>
          </w:p>
        </w:tc>
        <w:tc>
          <w:tcPr>
            <w:tcW w:w="0" w:type="auto"/>
          </w:tcPr>
          <w:p w14:paraId="19E12EDE" w14:textId="77777777" w:rsidR="00657E34" w:rsidRPr="00BC7A12" w:rsidRDefault="00657E34" w:rsidP="007A0C04">
            <w:pPr>
              <w:spacing w:after="0" w:line="240" w:lineRule="auto"/>
              <w:rPr>
                <w:rFonts w:cs="Calibri"/>
                <w:sz w:val="12"/>
                <w:szCs w:val="12"/>
              </w:rPr>
            </w:pPr>
            <w:r w:rsidRPr="00BC7A12">
              <w:rPr>
                <w:rFonts w:cs="Calibri"/>
                <w:sz w:val="12"/>
                <w:szCs w:val="12"/>
              </w:rPr>
              <w:t>Terrestrial areas designated for use relating to the marine environment</w:t>
            </w:r>
          </w:p>
        </w:tc>
        <w:tc>
          <w:tcPr>
            <w:tcW w:w="0" w:type="auto"/>
          </w:tcPr>
          <w:p w14:paraId="6ECFC101" w14:textId="77777777" w:rsidR="00657E34" w:rsidRPr="00BC7A12" w:rsidRDefault="00657E34" w:rsidP="007A0C04">
            <w:pPr>
              <w:spacing w:after="0" w:line="240" w:lineRule="auto"/>
              <w:rPr>
                <w:rFonts w:cs="Calibri"/>
                <w:sz w:val="12"/>
                <w:szCs w:val="12"/>
              </w:rPr>
            </w:pPr>
            <w:r w:rsidRPr="00BC7A12">
              <w:rPr>
                <w:rFonts w:cs="Calibri"/>
                <w:sz w:val="12"/>
                <w:szCs w:val="12"/>
              </w:rPr>
              <w:t>Homes, ports, piers</w:t>
            </w:r>
          </w:p>
        </w:tc>
      </w:tr>
      <w:tr w:rsidR="00657E34" w:rsidRPr="00BC7A12" w14:paraId="3C822575" w14:textId="77777777" w:rsidTr="007A0C04">
        <w:tc>
          <w:tcPr>
            <w:tcW w:w="0" w:type="auto"/>
          </w:tcPr>
          <w:p w14:paraId="41A22099" w14:textId="77777777" w:rsidR="00657E34" w:rsidRPr="00BC7A12" w:rsidRDefault="00657E34" w:rsidP="007A0C04">
            <w:pPr>
              <w:spacing w:after="0" w:line="240" w:lineRule="auto"/>
              <w:rPr>
                <w:rFonts w:cs="Calibri"/>
                <w:sz w:val="12"/>
                <w:szCs w:val="12"/>
              </w:rPr>
            </w:pPr>
            <w:r w:rsidRPr="00BC7A12">
              <w:rPr>
                <w:rFonts w:cs="Calibri"/>
                <w:sz w:val="12"/>
                <w:szCs w:val="12"/>
              </w:rPr>
              <w:t>Use</w:t>
            </w:r>
          </w:p>
        </w:tc>
        <w:tc>
          <w:tcPr>
            <w:tcW w:w="0" w:type="auto"/>
          </w:tcPr>
          <w:p w14:paraId="03C95511" w14:textId="77777777" w:rsidR="00657E34" w:rsidRPr="00BC7A12" w:rsidRDefault="00657E34" w:rsidP="007A0C04">
            <w:pPr>
              <w:spacing w:after="0" w:line="240" w:lineRule="auto"/>
              <w:rPr>
                <w:rFonts w:cs="Calibri"/>
                <w:sz w:val="12"/>
                <w:szCs w:val="12"/>
              </w:rPr>
            </w:pPr>
            <w:r w:rsidRPr="00BC7A12">
              <w:rPr>
                <w:rFonts w:cs="Calibri"/>
                <w:sz w:val="12"/>
                <w:szCs w:val="12"/>
              </w:rPr>
              <w:t>Uses of the wetland environment</w:t>
            </w:r>
          </w:p>
        </w:tc>
        <w:tc>
          <w:tcPr>
            <w:tcW w:w="0" w:type="auto"/>
          </w:tcPr>
          <w:p w14:paraId="5DD12B97" w14:textId="77777777" w:rsidR="00657E34" w:rsidRPr="00BC7A12" w:rsidRDefault="00657E34" w:rsidP="007A0C04">
            <w:pPr>
              <w:spacing w:after="0" w:line="240" w:lineRule="auto"/>
              <w:rPr>
                <w:rFonts w:cs="Calibri"/>
                <w:sz w:val="12"/>
                <w:szCs w:val="12"/>
              </w:rPr>
            </w:pPr>
            <w:r w:rsidRPr="00BC7A12">
              <w:rPr>
                <w:rFonts w:cs="Calibri"/>
                <w:sz w:val="12"/>
                <w:szCs w:val="12"/>
              </w:rPr>
              <w:t>Disaster risk reduction, tourism, fishing</w:t>
            </w:r>
          </w:p>
        </w:tc>
      </w:tr>
      <w:tr w:rsidR="00657E34" w:rsidRPr="00BC7A12" w14:paraId="2EC5FBF4" w14:textId="77777777" w:rsidTr="007A0C04">
        <w:tc>
          <w:tcPr>
            <w:tcW w:w="0" w:type="auto"/>
          </w:tcPr>
          <w:p w14:paraId="67E3DF08" w14:textId="77777777" w:rsidR="00657E34" w:rsidRPr="00BC7A12" w:rsidRDefault="00657E34" w:rsidP="007A0C04">
            <w:pPr>
              <w:spacing w:after="0" w:line="240" w:lineRule="auto"/>
              <w:rPr>
                <w:rFonts w:cs="Calibri"/>
                <w:sz w:val="12"/>
                <w:szCs w:val="12"/>
              </w:rPr>
            </w:pPr>
            <w:r w:rsidRPr="00BC7A12">
              <w:rPr>
                <w:rFonts w:cs="Calibri"/>
                <w:sz w:val="12"/>
                <w:szCs w:val="12"/>
              </w:rPr>
              <w:t>Physical characteristics</w:t>
            </w:r>
          </w:p>
        </w:tc>
        <w:tc>
          <w:tcPr>
            <w:tcW w:w="0" w:type="auto"/>
          </w:tcPr>
          <w:p w14:paraId="2BF01478"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Physical attributes system quality </w:t>
            </w:r>
          </w:p>
        </w:tc>
        <w:tc>
          <w:tcPr>
            <w:tcW w:w="0" w:type="auto"/>
          </w:tcPr>
          <w:p w14:paraId="344DFBE9" w14:textId="77777777" w:rsidR="00657E34" w:rsidRPr="00BC7A12" w:rsidRDefault="00657E34" w:rsidP="007A0C04">
            <w:pPr>
              <w:spacing w:after="0" w:line="240" w:lineRule="auto"/>
              <w:rPr>
                <w:rFonts w:cs="Calibri"/>
                <w:sz w:val="12"/>
                <w:szCs w:val="12"/>
              </w:rPr>
            </w:pPr>
            <w:r w:rsidRPr="00BC7A12">
              <w:rPr>
                <w:rFonts w:cs="Calibri"/>
                <w:sz w:val="12"/>
                <w:szCs w:val="12"/>
              </w:rPr>
              <w:t>Soil types, waves, tides, winds, salinity, heat content, mean sea surface, mean dynamic topography, turbidity (reflectance), mixed layer thickness, water pressure, water density</w:t>
            </w:r>
          </w:p>
        </w:tc>
      </w:tr>
      <w:tr w:rsidR="00657E34" w:rsidRPr="00BC7A12" w14:paraId="2F6BCB72" w14:textId="77777777" w:rsidTr="007A0C04">
        <w:tc>
          <w:tcPr>
            <w:tcW w:w="0" w:type="auto"/>
          </w:tcPr>
          <w:p w14:paraId="7C5F7F1A" w14:textId="77777777" w:rsidR="00657E34" w:rsidRPr="00BC7A12" w:rsidRDefault="00657E34" w:rsidP="007A0C04">
            <w:pPr>
              <w:spacing w:after="0" w:line="240" w:lineRule="auto"/>
              <w:rPr>
                <w:rFonts w:cs="Calibri"/>
                <w:sz w:val="12"/>
                <w:szCs w:val="12"/>
              </w:rPr>
            </w:pPr>
            <w:r w:rsidRPr="00BC7A12">
              <w:rPr>
                <w:rFonts w:cs="Calibri"/>
                <w:sz w:val="12"/>
                <w:szCs w:val="12"/>
              </w:rPr>
              <w:t>Chemical characteristics</w:t>
            </w:r>
          </w:p>
        </w:tc>
        <w:tc>
          <w:tcPr>
            <w:tcW w:w="0" w:type="auto"/>
          </w:tcPr>
          <w:p w14:paraId="769C02E0"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Chemicals and nutrients system quality </w:t>
            </w:r>
          </w:p>
        </w:tc>
        <w:tc>
          <w:tcPr>
            <w:tcW w:w="0" w:type="auto"/>
          </w:tcPr>
          <w:p w14:paraId="5A274415" w14:textId="77777777" w:rsidR="00657E34" w:rsidRPr="00BC7A12" w:rsidRDefault="00657E34" w:rsidP="007A0C04">
            <w:pPr>
              <w:spacing w:after="0" w:line="240" w:lineRule="auto"/>
              <w:rPr>
                <w:rFonts w:cs="Calibri"/>
                <w:sz w:val="12"/>
                <w:szCs w:val="12"/>
              </w:rPr>
            </w:pPr>
            <w:r w:rsidRPr="00BC7A12">
              <w:rPr>
                <w:rFonts w:cs="Calibri"/>
                <w:sz w:val="12"/>
                <w:szCs w:val="12"/>
              </w:rPr>
              <w:t>Phosphate, nitrate, silicate, alkalinity, pH, CO2, oxygen/hypoxia, tritium, oil-spill trajectory</w:t>
            </w:r>
          </w:p>
        </w:tc>
      </w:tr>
      <w:tr w:rsidR="00657E34" w:rsidRPr="00BC7A12" w14:paraId="608451BE" w14:textId="77777777" w:rsidTr="007A0C04">
        <w:tc>
          <w:tcPr>
            <w:tcW w:w="0" w:type="auto"/>
          </w:tcPr>
          <w:p w14:paraId="5568AAE1" w14:textId="77777777" w:rsidR="00657E34" w:rsidRPr="00BC7A12" w:rsidRDefault="00657E34" w:rsidP="007A0C04">
            <w:pPr>
              <w:spacing w:after="0" w:line="240" w:lineRule="auto"/>
              <w:rPr>
                <w:rFonts w:cs="Calibri"/>
                <w:sz w:val="12"/>
                <w:szCs w:val="12"/>
              </w:rPr>
            </w:pPr>
            <w:r w:rsidRPr="00BC7A12">
              <w:rPr>
                <w:rFonts w:cs="Calibri"/>
                <w:sz w:val="12"/>
                <w:szCs w:val="12"/>
              </w:rPr>
              <w:t>Biological characteristics</w:t>
            </w:r>
          </w:p>
        </w:tc>
        <w:tc>
          <w:tcPr>
            <w:tcW w:w="0" w:type="auto"/>
          </w:tcPr>
          <w:p w14:paraId="2B706B1B" w14:textId="77777777" w:rsidR="00657E34" w:rsidRPr="00BC7A12" w:rsidRDefault="00657E34" w:rsidP="007A0C04">
            <w:pPr>
              <w:spacing w:after="0" w:line="240" w:lineRule="auto"/>
              <w:rPr>
                <w:rFonts w:cs="Calibri"/>
                <w:sz w:val="12"/>
                <w:szCs w:val="12"/>
              </w:rPr>
            </w:pPr>
            <w:r w:rsidRPr="00BC7A12">
              <w:rPr>
                <w:rFonts w:cs="Calibri"/>
                <w:sz w:val="12"/>
                <w:szCs w:val="12"/>
              </w:rPr>
              <w:t>Biological attributes</w:t>
            </w:r>
          </w:p>
        </w:tc>
        <w:tc>
          <w:tcPr>
            <w:tcW w:w="0" w:type="auto"/>
          </w:tcPr>
          <w:p w14:paraId="12C9BDD5"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algal </w:t>
            </w:r>
            <w:proofErr w:type="gramStart"/>
            <w:r w:rsidRPr="00BC7A12">
              <w:rPr>
                <w:rFonts w:cs="Calibri"/>
                <w:sz w:val="12"/>
                <w:szCs w:val="12"/>
              </w:rPr>
              <w:t>bloom,  water</w:t>
            </w:r>
            <w:proofErr w:type="gramEnd"/>
            <w:r w:rsidRPr="00BC7A12">
              <w:rPr>
                <w:rFonts w:cs="Calibri"/>
                <w:sz w:val="12"/>
                <w:szCs w:val="12"/>
              </w:rPr>
              <w:t xml:space="preserve"> quality, pests (starfish, sea urchins), bleaching </w:t>
            </w:r>
          </w:p>
        </w:tc>
      </w:tr>
      <w:tr w:rsidR="00657E34" w:rsidRPr="00BC7A12" w14:paraId="010B2234" w14:textId="77777777" w:rsidTr="007A0C04">
        <w:tc>
          <w:tcPr>
            <w:tcW w:w="0" w:type="auto"/>
          </w:tcPr>
          <w:p w14:paraId="4F40DD29" w14:textId="77777777" w:rsidR="00657E34" w:rsidRPr="00BC7A12" w:rsidRDefault="00657E34" w:rsidP="007A0C04">
            <w:pPr>
              <w:spacing w:after="0" w:line="240" w:lineRule="auto"/>
              <w:rPr>
                <w:rFonts w:cs="Calibri"/>
                <w:sz w:val="12"/>
                <w:szCs w:val="12"/>
              </w:rPr>
            </w:pPr>
            <w:r w:rsidRPr="00BC7A12">
              <w:rPr>
                <w:rFonts w:cs="Calibri"/>
                <w:sz w:val="12"/>
                <w:szCs w:val="12"/>
              </w:rPr>
              <w:t>Ecological characteristics</w:t>
            </w:r>
          </w:p>
        </w:tc>
        <w:tc>
          <w:tcPr>
            <w:tcW w:w="0" w:type="auto"/>
          </w:tcPr>
          <w:p w14:paraId="06714065"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Ecological characteristics of system </w:t>
            </w:r>
          </w:p>
        </w:tc>
        <w:tc>
          <w:tcPr>
            <w:tcW w:w="0" w:type="auto"/>
          </w:tcPr>
          <w:p w14:paraId="41C015A5" w14:textId="77777777" w:rsidR="00657E34" w:rsidRPr="00BC7A12" w:rsidRDefault="00657E34" w:rsidP="007A0C04">
            <w:pPr>
              <w:spacing w:after="0" w:line="240" w:lineRule="auto"/>
              <w:rPr>
                <w:rFonts w:cs="Calibri"/>
                <w:sz w:val="12"/>
                <w:szCs w:val="12"/>
              </w:rPr>
            </w:pPr>
            <w:r w:rsidRPr="00BC7A12">
              <w:rPr>
                <w:rFonts w:cs="Calibri"/>
                <w:sz w:val="12"/>
                <w:szCs w:val="12"/>
              </w:rPr>
              <w:t>Cover, density, diversity of species</w:t>
            </w:r>
          </w:p>
        </w:tc>
      </w:tr>
      <w:tr w:rsidR="00657E34" w:rsidRPr="00BC7A12" w14:paraId="4F9F7694" w14:textId="77777777" w:rsidTr="007A0C04">
        <w:tc>
          <w:tcPr>
            <w:tcW w:w="0" w:type="auto"/>
          </w:tcPr>
          <w:p w14:paraId="232BCE67" w14:textId="77777777" w:rsidR="00657E34" w:rsidRPr="00BC7A12" w:rsidRDefault="00657E34" w:rsidP="007A0C04">
            <w:pPr>
              <w:spacing w:after="0" w:line="240" w:lineRule="auto"/>
              <w:rPr>
                <w:rFonts w:cs="Calibri"/>
                <w:sz w:val="12"/>
                <w:szCs w:val="12"/>
              </w:rPr>
            </w:pPr>
            <w:r w:rsidRPr="00BC7A12">
              <w:rPr>
                <w:rFonts w:cs="Calibri"/>
                <w:sz w:val="12"/>
                <w:szCs w:val="12"/>
              </w:rPr>
              <w:t>Biotic assets</w:t>
            </w:r>
          </w:p>
        </w:tc>
        <w:tc>
          <w:tcPr>
            <w:tcW w:w="0" w:type="auto"/>
          </w:tcPr>
          <w:p w14:paraId="629A1105" w14:textId="77777777" w:rsidR="00657E34" w:rsidRPr="00BC7A12" w:rsidRDefault="00657E34" w:rsidP="007A0C04">
            <w:pPr>
              <w:spacing w:after="0" w:line="240" w:lineRule="auto"/>
              <w:rPr>
                <w:rFonts w:cs="Calibri"/>
                <w:sz w:val="12"/>
                <w:szCs w:val="12"/>
              </w:rPr>
            </w:pPr>
            <w:r w:rsidRPr="00BC7A12">
              <w:rPr>
                <w:rFonts w:cs="Calibri"/>
                <w:sz w:val="12"/>
                <w:szCs w:val="12"/>
              </w:rPr>
              <w:t>Living natural assets</w:t>
            </w:r>
          </w:p>
        </w:tc>
        <w:tc>
          <w:tcPr>
            <w:tcW w:w="0" w:type="auto"/>
          </w:tcPr>
          <w:p w14:paraId="4B8BDCB9"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Aquatic plants, seaweeds, fish, birds, shrubs, trees, </w:t>
            </w:r>
          </w:p>
        </w:tc>
      </w:tr>
      <w:tr w:rsidR="00657E34" w:rsidRPr="00BC7A12" w14:paraId="6829CADF" w14:textId="77777777" w:rsidTr="007A0C04">
        <w:tc>
          <w:tcPr>
            <w:tcW w:w="0" w:type="auto"/>
          </w:tcPr>
          <w:p w14:paraId="3394EFA5" w14:textId="77777777" w:rsidR="00657E34" w:rsidRPr="00BC7A12" w:rsidRDefault="00657E34" w:rsidP="007A0C04">
            <w:pPr>
              <w:spacing w:after="0" w:line="240" w:lineRule="auto"/>
              <w:rPr>
                <w:rFonts w:cs="Calibri"/>
                <w:sz w:val="12"/>
                <w:szCs w:val="12"/>
              </w:rPr>
            </w:pPr>
            <w:r w:rsidRPr="00BC7A12">
              <w:rPr>
                <w:rFonts w:cs="Calibri"/>
                <w:sz w:val="12"/>
                <w:szCs w:val="12"/>
              </w:rPr>
              <w:t>Abiotic assets</w:t>
            </w:r>
          </w:p>
        </w:tc>
        <w:tc>
          <w:tcPr>
            <w:tcW w:w="0" w:type="auto"/>
          </w:tcPr>
          <w:p w14:paraId="73BA6BA6" w14:textId="77777777" w:rsidR="00657E34" w:rsidRPr="00BC7A12" w:rsidRDefault="00657E34" w:rsidP="007A0C04">
            <w:pPr>
              <w:spacing w:after="0" w:line="240" w:lineRule="auto"/>
              <w:rPr>
                <w:rFonts w:cs="Calibri"/>
                <w:sz w:val="12"/>
                <w:szCs w:val="12"/>
              </w:rPr>
            </w:pPr>
            <w:r w:rsidRPr="00BC7A12">
              <w:rPr>
                <w:rFonts w:cs="Calibri"/>
                <w:sz w:val="12"/>
                <w:szCs w:val="12"/>
              </w:rPr>
              <w:t>Nonliving natural assets</w:t>
            </w:r>
          </w:p>
        </w:tc>
        <w:tc>
          <w:tcPr>
            <w:tcW w:w="0" w:type="auto"/>
          </w:tcPr>
          <w:p w14:paraId="51C0AFEC" w14:textId="77777777" w:rsidR="00657E34" w:rsidRPr="00BC7A12" w:rsidRDefault="00657E34" w:rsidP="007A0C04">
            <w:pPr>
              <w:spacing w:after="0" w:line="240" w:lineRule="auto"/>
              <w:rPr>
                <w:rFonts w:cs="Calibri"/>
                <w:sz w:val="12"/>
                <w:szCs w:val="12"/>
              </w:rPr>
            </w:pPr>
            <w:r w:rsidRPr="00BC7A12">
              <w:rPr>
                <w:rFonts w:cs="Calibri"/>
                <w:sz w:val="12"/>
                <w:szCs w:val="12"/>
              </w:rPr>
              <w:t>Beach, seafloor sediments and rocks</w:t>
            </w:r>
          </w:p>
        </w:tc>
      </w:tr>
      <w:tr w:rsidR="00657E34" w:rsidRPr="00BC7A12" w14:paraId="7957332F" w14:textId="77777777" w:rsidTr="007A0C04">
        <w:tc>
          <w:tcPr>
            <w:tcW w:w="0" w:type="auto"/>
          </w:tcPr>
          <w:p w14:paraId="2658BA8F" w14:textId="77777777" w:rsidR="00657E34" w:rsidRPr="00BC7A12" w:rsidRDefault="00657E34" w:rsidP="007A0C04">
            <w:pPr>
              <w:spacing w:after="0" w:line="240" w:lineRule="auto"/>
              <w:rPr>
                <w:rFonts w:cs="Calibri"/>
                <w:sz w:val="12"/>
                <w:szCs w:val="12"/>
              </w:rPr>
            </w:pPr>
            <w:r w:rsidRPr="00BC7A12">
              <w:rPr>
                <w:rFonts w:cs="Calibri"/>
                <w:sz w:val="12"/>
                <w:szCs w:val="12"/>
              </w:rPr>
              <w:t>Biotic physical services</w:t>
            </w:r>
          </w:p>
        </w:tc>
        <w:tc>
          <w:tcPr>
            <w:tcW w:w="0" w:type="auto"/>
          </w:tcPr>
          <w:p w14:paraId="34F9C8DB" w14:textId="77777777" w:rsidR="00657E34" w:rsidRPr="00BC7A12" w:rsidRDefault="00657E34" w:rsidP="007A0C04">
            <w:pPr>
              <w:spacing w:after="0" w:line="240" w:lineRule="auto"/>
              <w:rPr>
                <w:rFonts w:cs="Calibri"/>
                <w:sz w:val="12"/>
                <w:szCs w:val="12"/>
              </w:rPr>
            </w:pPr>
            <w:r w:rsidRPr="00BC7A12">
              <w:rPr>
                <w:rFonts w:cs="Calibri"/>
                <w:sz w:val="12"/>
                <w:szCs w:val="12"/>
              </w:rPr>
              <w:t>Services that living components of the system provide</w:t>
            </w:r>
          </w:p>
        </w:tc>
        <w:tc>
          <w:tcPr>
            <w:tcW w:w="0" w:type="auto"/>
          </w:tcPr>
          <w:p w14:paraId="6D9B4948" w14:textId="77777777" w:rsidR="00657E34" w:rsidRPr="00BC7A12" w:rsidRDefault="00657E34" w:rsidP="007A0C04">
            <w:pPr>
              <w:spacing w:after="0" w:line="240" w:lineRule="auto"/>
              <w:rPr>
                <w:rFonts w:cs="Calibri"/>
                <w:sz w:val="12"/>
                <w:szCs w:val="12"/>
              </w:rPr>
            </w:pPr>
            <w:r w:rsidRPr="00BC7A12">
              <w:rPr>
                <w:rFonts w:cs="Calibri"/>
                <w:sz w:val="12"/>
                <w:szCs w:val="12"/>
              </w:rPr>
              <w:t>Protection of human property (wave attenuation, wind speed reduction), habitat services, carbon sequestration and storage, cultural services, tourism</w:t>
            </w:r>
          </w:p>
        </w:tc>
      </w:tr>
      <w:tr w:rsidR="00657E34" w:rsidRPr="00BC7A12" w14:paraId="40608429" w14:textId="77777777" w:rsidTr="007A0C04">
        <w:tc>
          <w:tcPr>
            <w:tcW w:w="0" w:type="auto"/>
          </w:tcPr>
          <w:p w14:paraId="21537ECC" w14:textId="77777777" w:rsidR="00657E34" w:rsidRPr="00BC7A12" w:rsidRDefault="00657E34" w:rsidP="007A0C04">
            <w:pPr>
              <w:spacing w:after="0" w:line="240" w:lineRule="auto"/>
              <w:rPr>
                <w:rFonts w:cs="Calibri"/>
                <w:sz w:val="12"/>
                <w:szCs w:val="12"/>
              </w:rPr>
            </w:pPr>
            <w:r w:rsidRPr="00BC7A12">
              <w:rPr>
                <w:rFonts w:cs="Calibri"/>
                <w:sz w:val="12"/>
                <w:szCs w:val="12"/>
              </w:rPr>
              <w:t>Biotic monetary services</w:t>
            </w:r>
          </w:p>
        </w:tc>
        <w:tc>
          <w:tcPr>
            <w:tcW w:w="0" w:type="auto"/>
          </w:tcPr>
          <w:p w14:paraId="1B34212B"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Valuation of physical services </w:t>
            </w:r>
          </w:p>
        </w:tc>
        <w:tc>
          <w:tcPr>
            <w:tcW w:w="0" w:type="auto"/>
          </w:tcPr>
          <w:p w14:paraId="39E925EB" w14:textId="77777777" w:rsidR="00657E34" w:rsidRPr="00BC7A12" w:rsidRDefault="00657E34" w:rsidP="007A0C04">
            <w:pPr>
              <w:spacing w:after="0" w:line="240" w:lineRule="auto"/>
              <w:rPr>
                <w:rFonts w:cs="Calibri"/>
                <w:sz w:val="12"/>
                <w:szCs w:val="12"/>
              </w:rPr>
            </w:pPr>
            <w:r w:rsidRPr="00BC7A12">
              <w:rPr>
                <w:rFonts w:cs="Calibri"/>
                <w:sz w:val="12"/>
                <w:szCs w:val="12"/>
              </w:rPr>
              <w:t>As above, but valuation perspective</w:t>
            </w:r>
          </w:p>
        </w:tc>
      </w:tr>
      <w:tr w:rsidR="00657E34" w:rsidRPr="00BC7A12" w14:paraId="21983661" w14:textId="77777777" w:rsidTr="007A0C04">
        <w:tc>
          <w:tcPr>
            <w:tcW w:w="0" w:type="auto"/>
          </w:tcPr>
          <w:p w14:paraId="51BADFED" w14:textId="77777777" w:rsidR="00657E34" w:rsidRPr="00BC7A12" w:rsidRDefault="00657E34" w:rsidP="007A0C04">
            <w:pPr>
              <w:spacing w:after="0" w:line="240" w:lineRule="auto"/>
              <w:rPr>
                <w:rFonts w:cs="Calibri"/>
                <w:sz w:val="12"/>
                <w:szCs w:val="12"/>
              </w:rPr>
            </w:pPr>
            <w:r w:rsidRPr="00BC7A12">
              <w:rPr>
                <w:rFonts w:cs="Calibri"/>
                <w:sz w:val="12"/>
                <w:szCs w:val="12"/>
              </w:rPr>
              <w:t>Abiotic physical services</w:t>
            </w:r>
          </w:p>
        </w:tc>
        <w:tc>
          <w:tcPr>
            <w:tcW w:w="0" w:type="auto"/>
          </w:tcPr>
          <w:p w14:paraId="092D686F" w14:textId="77777777" w:rsidR="00657E34" w:rsidRPr="00BC7A12" w:rsidRDefault="00657E34" w:rsidP="007A0C04">
            <w:pPr>
              <w:spacing w:after="0" w:line="240" w:lineRule="auto"/>
              <w:rPr>
                <w:rFonts w:cs="Calibri"/>
                <w:sz w:val="12"/>
                <w:szCs w:val="12"/>
              </w:rPr>
            </w:pPr>
            <w:r w:rsidRPr="00BC7A12">
              <w:rPr>
                <w:rFonts w:cs="Calibri"/>
                <w:sz w:val="12"/>
                <w:szCs w:val="12"/>
              </w:rPr>
              <w:t>Non-living components the system provides</w:t>
            </w:r>
          </w:p>
        </w:tc>
        <w:tc>
          <w:tcPr>
            <w:tcW w:w="0" w:type="auto"/>
          </w:tcPr>
          <w:p w14:paraId="2E0C1BEE"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Wind and wave energy reduction, </w:t>
            </w:r>
          </w:p>
        </w:tc>
      </w:tr>
      <w:tr w:rsidR="00657E34" w:rsidRPr="00BC7A12" w14:paraId="20CF8F22" w14:textId="77777777" w:rsidTr="007A0C04">
        <w:tc>
          <w:tcPr>
            <w:tcW w:w="0" w:type="auto"/>
          </w:tcPr>
          <w:p w14:paraId="676AF490" w14:textId="77777777" w:rsidR="00657E34" w:rsidRPr="00BC7A12" w:rsidRDefault="00657E34" w:rsidP="007A0C04">
            <w:pPr>
              <w:spacing w:after="0" w:line="240" w:lineRule="auto"/>
              <w:rPr>
                <w:rFonts w:cs="Calibri"/>
                <w:sz w:val="12"/>
                <w:szCs w:val="12"/>
              </w:rPr>
            </w:pPr>
            <w:r w:rsidRPr="00BC7A12">
              <w:rPr>
                <w:rFonts w:cs="Calibri"/>
                <w:sz w:val="12"/>
                <w:szCs w:val="12"/>
              </w:rPr>
              <w:t>Abiotic monetary services</w:t>
            </w:r>
          </w:p>
        </w:tc>
        <w:tc>
          <w:tcPr>
            <w:tcW w:w="0" w:type="auto"/>
          </w:tcPr>
          <w:p w14:paraId="0D35238A"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Valuation of abiotic physical services </w:t>
            </w:r>
          </w:p>
        </w:tc>
        <w:tc>
          <w:tcPr>
            <w:tcW w:w="0" w:type="auto"/>
          </w:tcPr>
          <w:p w14:paraId="4AA115D6"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Wave attenuation of rocky reef </w:t>
            </w:r>
          </w:p>
        </w:tc>
      </w:tr>
    </w:tbl>
    <w:p w14:paraId="55B2BD67" w14:textId="77777777" w:rsidR="00657E34" w:rsidRPr="00BC7A12" w:rsidRDefault="00657E34" w:rsidP="00CD762C">
      <w:pPr>
        <w:rPr>
          <w:rFonts w:eastAsia="Times New Roman" w:cs="Calibri"/>
        </w:rPr>
      </w:pPr>
    </w:p>
    <w:p w14:paraId="4518FF25" w14:textId="77777777" w:rsidR="00657E34" w:rsidRPr="00BC7A12" w:rsidRDefault="00657E34" w:rsidP="00CD762C">
      <w:pPr>
        <w:spacing w:after="200" w:line="276" w:lineRule="auto"/>
        <w:jc w:val="left"/>
        <w:rPr>
          <w:rFonts w:eastAsia="Times New Roman" w:cs="Calibri"/>
        </w:rPr>
      </w:pPr>
      <w:r w:rsidRPr="00BC7A12">
        <w:rPr>
          <w:rFonts w:eastAsia="Times New Roman" w:cs="Calibri"/>
        </w:rPr>
        <w:br w:type="page"/>
      </w:r>
    </w:p>
    <w:p w14:paraId="117E553E" w14:textId="21D2A1E4" w:rsidR="00B20490" w:rsidRPr="00BC7A12" w:rsidRDefault="00657E34" w:rsidP="008B3383">
      <w:pPr>
        <w:spacing w:after="200" w:line="276" w:lineRule="auto"/>
        <w:rPr>
          <w:rFonts w:cs="Calibri"/>
        </w:rPr>
      </w:pPr>
      <w:r w:rsidRPr="00BC7A12">
        <w:rPr>
          <w:rFonts w:cs="Calibri"/>
        </w:rPr>
        <w:lastRenderedPageBreak/>
        <w:t xml:space="preserve">Appendix 5 History of ecosystem services </w:t>
      </w:r>
      <w:proofErr w:type="spellStart"/>
      <w:r w:rsidRPr="00BC7A12">
        <w:rPr>
          <w:rFonts w:cs="Calibri"/>
        </w:rPr>
        <w:t>classification</w:t>
      </w:r>
      <w:r w:rsidR="00F53FC4" w:rsidRPr="00BC7A12">
        <w:rPr>
          <w:rFonts w:cs="Calibri"/>
        </w:rPr>
        <w:fldChar w:fldCharType="end"/>
      </w:r>
      <w:r w:rsidR="00F53FC4" w:rsidRPr="00BC7A12">
        <w:rPr>
          <w:rFonts w:cs="Calibri"/>
        </w:rPr>
        <w:t>for</w:t>
      </w:r>
      <w:proofErr w:type="spellEnd"/>
      <w:r w:rsidR="00F53FC4" w:rsidRPr="00BC7A12">
        <w:rPr>
          <w:rFonts w:cs="Calibri"/>
        </w:rPr>
        <w:t xml:space="preserve"> background on provisioning, regulating, cultural and supporting</w:t>
      </w:r>
      <w:r w:rsidR="00C94ACB" w:rsidRPr="00BC7A12">
        <w:rPr>
          <w:rFonts w:cs="Calibri"/>
        </w:rPr>
        <w:t xml:space="preserve"> groups</w:t>
      </w:r>
      <w:r w:rsidR="00F53FC4" w:rsidRPr="00BC7A12">
        <w:rPr>
          <w:rFonts w:cs="Calibri"/>
        </w:rPr>
        <w:t xml:space="preserve">) is likely the </w:t>
      </w:r>
      <w:r w:rsidR="005119CF" w:rsidRPr="00BC7A12">
        <w:rPr>
          <w:rFonts w:cs="Calibri"/>
        </w:rPr>
        <w:t xml:space="preserve">default standard in Australia. CICES, however, </w:t>
      </w:r>
      <w:r w:rsidR="00112D7C" w:rsidRPr="00BC7A12">
        <w:rPr>
          <w:rFonts w:cs="Calibri"/>
        </w:rPr>
        <w:t xml:space="preserve">has been adopted in </w:t>
      </w:r>
      <w:r w:rsidR="005119CF" w:rsidRPr="00BC7A12">
        <w:rPr>
          <w:rFonts w:cs="Calibri"/>
        </w:rPr>
        <w:t xml:space="preserve">Queensland </w:t>
      </w:r>
      <w:r w:rsidR="00112D7C" w:rsidRPr="00BC7A12">
        <w:rPr>
          <w:rFonts w:cs="Calibri"/>
        </w:rPr>
        <w:fldChar w:fldCharType="begin" w:fldLock="1"/>
      </w:r>
      <w:r w:rsidR="008829D2" w:rsidRPr="00BC7A12">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2020a)","manualFormatting":"(Ronan in IDEEA Group 2020a)","plainTextFormattedCitation":"(IDEEA Group 2020a)","previouslyFormattedCitation":"(IDEEA Group 2020a)"},"properties":{"noteIndex":0},"schema":"https://github.com/citation-style-language/schema/raw/master/csl-citation.json"}</w:instrText>
      </w:r>
      <w:r w:rsidR="00112D7C" w:rsidRPr="00BC7A12">
        <w:rPr>
          <w:rFonts w:cs="Calibri"/>
        </w:rPr>
        <w:fldChar w:fldCharType="separate"/>
      </w:r>
      <w:r w:rsidR="00112D7C" w:rsidRPr="00BC7A12">
        <w:rPr>
          <w:rFonts w:cs="Calibri"/>
          <w:noProof/>
        </w:rPr>
        <w:t>(</w:t>
      </w:r>
      <w:r w:rsidR="003F30F8" w:rsidRPr="00BC7A12">
        <w:rPr>
          <w:rFonts w:cs="Calibri"/>
          <w:noProof/>
        </w:rPr>
        <w:t>Ronan</w:t>
      </w:r>
      <w:r w:rsidR="00112D7C" w:rsidRPr="00BC7A12">
        <w:rPr>
          <w:rFonts w:cs="Calibri"/>
          <w:noProof/>
        </w:rPr>
        <w:t xml:space="preserve"> in IDEEA Group 2020</w:t>
      </w:r>
      <w:r w:rsidR="002F3371" w:rsidRPr="00BC7A12">
        <w:rPr>
          <w:rFonts w:cs="Calibri"/>
          <w:noProof/>
        </w:rPr>
        <w:t>a</w:t>
      </w:r>
      <w:r w:rsidR="00112D7C" w:rsidRPr="00BC7A12">
        <w:rPr>
          <w:rFonts w:cs="Calibri"/>
          <w:noProof/>
        </w:rPr>
        <w:t>)</w:t>
      </w:r>
      <w:r w:rsidR="00112D7C" w:rsidRPr="00BC7A12">
        <w:rPr>
          <w:rFonts w:cs="Calibri"/>
        </w:rPr>
        <w:fldChar w:fldCharType="end"/>
      </w:r>
      <w:r w:rsidR="00112D7C" w:rsidRPr="00BC7A12">
        <w:rPr>
          <w:rFonts w:cs="Calibri"/>
        </w:rPr>
        <w:t xml:space="preserve"> </w:t>
      </w:r>
      <w:r w:rsidR="005119CF" w:rsidRPr="00BC7A12">
        <w:rPr>
          <w:rFonts w:cs="Calibri"/>
        </w:rPr>
        <w:t>and</w:t>
      </w:r>
      <w:r w:rsidR="00112D7C" w:rsidRPr="00BC7A12">
        <w:rPr>
          <w:rFonts w:cs="Calibri"/>
        </w:rPr>
        <w:t xml:space="preserve"> is part of SEEA which has been adopted by the DAWE’s Environmental-Economic Accounting</w:t>
      </w:r>
      <w:r w:rsidR="00C94ACB" w:rsidRPr="00BC7A12">
        <w:rPr>
          <w:rFonts w:cs="Calibri"/>
        </w:rPr>
        <w:t xml:space="preserve"> </w:t>
      </w:r>
      <w:r w:rsidR="00A515F9" w:rsidRPr="00BC7A12">
        <w:rPr>
          <w:rFonts w:cs="Calibri"/>
        </w:rPr>
        <w:t xml:space="preserve">area </w:t>
      </w:r>
      <w:r w:rsidR="00C94ACB" w:rsidRPr="00BC7A12">
        <w:rPr>
          <w:rFonts w:cs="Calibri"/>
        </w:rPr>
        <w:fldChar w:fldCharType="begin" w:fldLock="1"/>
      </w:r>
      <w:r w:rsidR="00C94ACB" w:rsidRPr="00BC7A12">
        <w:rPr>
          <w:rFonts w:cs="Calibri"/>
        </w:rPr>
        <w:instrText>ADDIN CSL_CITATION {"citationItems":[{"id":"ITEM-1","itemData":{"author":[{"dropping-particle":"","family":"Interjurisdictional","given":"","non-dropping-particle":"","parse-names":false,"suffix":""},{"dropping-particle":"","family":"Environmental-Economic Accounting Steering Committe","given":"","non-dropping-particle":"","parse-names":false,"suffix":""}],"id":"ITEM-1","issue":"April","issued":{"date-parts":[["2018"]]},"publisher-place":"Canberra","title":"Environmental Economic Accounting: A common national approach Strategy and Action Plan","type":"report"},"uris":["http://www.mendeley.com/documents/?uuid=40ae0ab6-0eeb-4e14-9c37-be71363ccbd7"]}],"mendeley":{"formattedCitation":"(Interjurisdictional &amp; Environmental-Economic Accounting Steering Committe 2018)","plainTextFormattedCitation":"(Interjurisdictional &amp; Environmental-Economic Accounting Steering Committe 2018)","previouslyFormattedCitation":"(Interjurisdictional &amp; Environmental-Economic Accounting Steering Committe 2018)"},"properties":{"noteIndex":0},"schema":"https://github.com/citation-style-language/schema/raw/master/csl-citation.json"}</w:instrText>
      </w:r>
      <w:r w:rsidR="00C94ACB" w:rsidRPr="00BC7A12">
        <w:rPr>
          <w:rFonts w:cs="Calibri"/>
        </w:rPr>
        <w:fldChar w:fldCharType="separate"/>
      </w:r>
      <w:r w:rsidR="00C94ACB" w:rsidRPr="00BC7A12">
        <w:rPr>
          <w:rFonts w:cs="Calibri"/>
          <w:noProof/>
        </w:rPr>
        <w:t>(Interjurisdictional &amp; Environmental-Economic Accounting Steering Committe 2018)</w:t>
      </w:r>
      <w:r w:rsidR="00C94ACB" w:rsidRPr="00BC7A12">
        <w:rPr>
          <w:rFonts w:cs="Calibri"/>
        </w:rPr>
        <w:fldChar w:fldCharType="end"/>
      </w:r>
      <w:r w:rsidR="00C94ACB" w:rsidRPr="00BC7A12">
        <w:rPr>
          <w:rFonts w:cs="Calibri"/>
        </w:rPr>
        <w:t xml:space="preserve">. Its adoption across Australian institutions will save resources presently being devoted to defining ecosystem services, discovering ecosystem services data and research as well as the creation </w:t>
      </w:r>
      <w:r w:rsidR="00A515F9" w:rsidRPr="00BC7A12">
        <w:rPr>
          <w:rFonts w:cs="Calibri"/>
        </w:rPr>
        <w:t xml:space="preserve">of </w:t>
      </w:r>
      <w:r w:rsidR="00C94ACB" w:rsidRPr="00BC7A12">
        <w:rPr>
          <w:rFonts w:cs="Calibri"/>
        </w:rPr>
        <w:t xml:space="preserve">classifications and groupings of ecosystem services </w:t>
      </w:r>
      <w:r w:rsidR="00C94ACB" w:rsidRPr="00BC7A12">
        <w:rPr>
          <w:rFonts w:cs="Calibri"/>
        </w:rPr>
        <w:fldChar w:fldCharType="begin" w:fldLock="1"/>
      </w:r>
      <w:r w:rsidR="00017616" w:rsidRPr="00BC7A12">
        <w:rPr>
          <w:rFonts w:cs="Calibri"/>
        </w:rPr>
        <w:instrText>ADDIN CSL_CITATION {"citationItems":[{"id":"ITEM-1","itemData":{"abstract":"Ecosystem services (ES) practitioners (e.g., researchers, policy makers) has been working to better define, measure, and value the ways that nature contributes to society. Because measurement techniques follow the labeling or identification of ES, precise identification is critical. This article reviews literature and consults experts in classification science and ES to determine the expected benefits of using ES classification knowledge (classification knowledge); ecosystem services classification systems (ES-CS) and their principles. An informal analysis of the costs of transitioning from the current ad-hoc approach—based on various ES lists—to using classification knowledge was conducted. 18 benefits of using classification knowledge were found, including allowing ES to be defined more easily and precisely, easing the transfer of knowledge among studies, and avoiding the need to recreate ES identification systems. Collectively, these 18 benefits should allow for more accurate and consistent definition of ES, thereby serving to improve communication and measurement of ES. Moreover, the expected benefits of using ES-CS outweigh expected costs of the transition. Practitioners can use ES-CS in whole, or in parts, as their research or their institutions warrant. Finally, a case study was conducted that shows how ES measures can be organized using ES-CS, delivering benefits to practitioners.","author":[{"dropping-particle":"","family":"Finisdore","given":"John","non-dropping-particle":"","parse-names":false,"suffix":""},{"dropping-particle":"","family":"Rhodes","given":"Dr. Charles","non-dropping-particle":"","parse-names":false,"suffix":""},{"dropping-particle":"","family":"Haines-Young","given":"Dr. Roy","non-dropping-particle":"","parse-names":false,"suffix":""},{"dropping-particle":"","family":"Maynard","given":"Dr. Simone","non-dropping-particle":"","parse-names":false,"suffix":""},{"dropping-particle":"","family":"Wielgus","given":"Dr. Jeffrey","non-dropping-particle":"","parse-names":false,"suffix":""},{"dropping-particle":"","family":"Dvarskas","given":"Dr. Anthony","non-dropping-particle":"","parse-names":false,"suffix":""},{"dropping-particle":"","family":"Houdet","given":"Dr. Joel","non-dropping-particle":"","parse-names":false,"suffix":""},{"dropping-particle":"","family":"Quétier","given":"Dr. Fabien","non-dropping-particle":"","parse-names":false,"suffix":""},{"dropping-particle":"","family":"Lamothe","given":"Dr. Karl A.","non-dropping-particle":"","parse-names":false,"suffix":""},{"dropping-particle":"","family":"Ding","given":"Dr. Helen","non-dropping-particle":"","parse-names":false,"suffix":""},{"dropping-particle":"","family":"Soulard","given":"Dr. François","non-dropping-particle":"","parse-names":false,"suffix":""},{"dropping-particle":"Van","family":"Houtven","given":"Dr. George","non-dropping-particle":"","parse-names":false,"suffix":""},{"dropping-particle":"","family":"Rowcroft","given":"Petrina","non-dropping-particle":"","parse-names":false,"suffix":""}],"container-title":"Ecosystem Services","id":"ITEM-1","issued":{"date-parts":[["0"]]},"title":"The 18 benefits of using ecosystem services classification systems","type":"article-journal"},"uris":["http://www.mendeley.com/documents/?uuid=1b6ad437-31ca-438c-9d70-4a51452c458c"]},{"id":"ITEM-2","itemData":{"author":[{"dropping-particle":"","family":"Obst","given":"Carl","non-dropping-particle":"","parse-names":false,"suffix":""},{"dropping-particle":"","family":"Eigenraam","given":"Mark","non-dropping-particle":"","parse-names":false,"suffix":""}],"id":"ITEM-2","issued":{"date-parts":[["2017"]]},"publisher-place":"Melbourne","title":"Linking AWS and the SEEA: Applying advances in accounting for natural capital to support the implementation of AWS","type":"report"},"uris":["http://www.mendeley.com/documents/?uuid=e2b2f63a-cc23-4814-ab41-44f6e8cfe71d"]}],"mendeley":{"formattedCitation":"(Finisdore et al. n.d., Obst &amp; Eigenraam 2017)","manualFormatting":"(Finisdore et al. n.d., Ronan in  IDEEA Group 2020a)","plainTextFormattedCitation":"(Finisdore et al. n.d., Obst &amp; Eigenraam 2017)","previouslyFormattedCitation":"(Finisdore et al. n.d., Obst &amp; Eigenraam 2017)"},"properties":{"noteIndex":0},"schema":"https://github.com/citation-style-language/schema/raw/master/csl-citation.json"}</w:instrText>
      </w:r>
      <w:r w:rsidR="00C94ACB" w:rsidRPr="00BC7A12">
        <w:rPr>
          <w:rFonts w:cs="Calibri"/>
        </w:rPr>
        <w:fldChar w:fldCharType="separate"/>
      </w:r>
      <w:r w:rsidR="00C94ACB" w:rsidRPr="00BC7A12">
        <w:rPr>
          <w:rFonts w:cs="Calibri"/>
          <w:noProof/>
        </w:rPr>
        <w:t xml:space="preserve">(Finisdore et al. n.d., </w:t>
      </w:r>
      <w:r w:rsidR="003F30F8" w:rsidRPr="00BC7A12">
        <w:rPr>
          <w:rFonts w:cs="Calibri"/>
          <w:noProof/>
        </w:rPr>
        <w:t>Ronan</w:t>
      </w:r>
      <w:r w:rsidR="00C94ACB" w:rsidRPr="00BC7A12">
        <w:rPr>
          <w:rFonts w:cs="Calibri"/>
          <w:noProof/>
        </w:rPr>
        <w:t xml:space="preserve"> in  </w:t>
      </w:r>
      <w:r w:rsidR="00C94ACB" w:rsidRPr="00BC7A12">
        <w:rPr>
          <w:rFonts w:cs="Calibri"/>
          <w:noProof/>
        </w:rPr>
        <w:fldChar w:fldCharType="begin" w:fldLock="1"/>
      </w:r>
      <w:r w:rsidR="008829D2" w:rsidRPr="00BC7A12">
        <w:rPr>
          <w:rFonts w:cs="Calibri"/>
          <w:noProof/>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2020a)","manualFormatting":"IDEEA Group 2020a)","plainTextFormattedCitation":"(IDEEA Group 2020a)","previouslyFormattedCitation":"(IDEEA Group 2020a)"},"properties":{"noteIndex":0},"schema":"https://github.com/citation-style-language/schema/raw/master/csl-citation.json"}</w:instrText>
      </w:r>
      <w:r w:rsidR="00C94ACB" w:rsidRPr="00BC7A12">
        <w:rPr>
          <w:rFonts w:cs="Calibri"/>
          <w:noProof/>
        </w:rPr>
        <w:fldChar w:fldCharType="separate"/>
      </w:r>
      <w:r w:rsidR="00C94ACB" w:rsidRPr="00BC7A12">
        <w:rPr>
          <w:rFonts w:cs="Calibri"/>
          <w:noProof/>
        </w:rPr>
        <w:t>IDEEA Group 2020</w:t>
      </w:r>
      <w:r w:rsidR="002F3371" w:rsidRPr="00BC7A12">
        <w:rPr>
          <w:rFonts w:cs="Calibri"/>
          <w:noProof/>
        </w:rPr>
        <w:t>a</w:t>
      </w:r>
      <w:r w:rsidR="00C94ACB" w:rsidRPr="00BC7A12">
        <w:rPr>
          <w:rFonts w:cs="Calibri"/>
          <w:noProof/>
        </w:rPr>
        <w:t>)</w:t>
      </w:r>
      <w:r w:rsidR="00C94ACB" w:rsidRPr="00BC7A12">
        <w:rPr>
          <w:rFonts w:cs="Calibri"/>
          <w:noProof/>
        </w:rPr>
        <w:fldChar w:fldCharType="end"/>
      </w:r>
      <w:r w:rsidR="00C94ACB" w:rsidRPr="00BC7A12">
        <w:rPr>
          <w:rFonts w:cs="Calibri"/>
        </w:rPr>
        <w:fldChar w:fldCharType="end"/>
      </w:r>
      <w:r w:rsidR="00C94ACB" w:rsidRPr="00BC7A12">
        <w:rPr>
          <w:rFonts w:cs="Calibri"/>
        </w:rPr>
        <w:t xml:space="preserve">. </w:t>
      </w:r>
    </w:p>
    <w:p w14:paraId="30D0E471" w14:textId="70B4DE51" w:rsidR="004E498A" w:rsidRPr="00BC7A12" w:rsidRDefault="00703EB1" w:rsidP="004E498A">
      <w:pPr>
        <w:pStyle w:val="Heading2"/>
        <w:rPr>
          <w:rFonts w:cs="Calibri"/>
        </w:rPr>
      </w:pPr>
      <w:bookmarkStart w:id="78" w:name="_Toc46822324"/>
      <w:r w:rsidRPr="00BC7A12">
        <w:rPr>
          <w:rFonts w:cs="Calibri"/>
        </w:rPr>
        <w:t>Improving</w:t>
      </w:r>
      <w:r w:rsidR="0086724F" w:rsidRPr="00BC7A12">
        <w:rPr>
          <w:rFonts w:cs="Calibri"/>
        </w:rPr>
        <w:t xml:space="preserve"> the collection and classification of data</w:t>
      </w:r>
      <w:bookmarkEnd w:id="78"/>
      <w:r w:rsidR="0086724F" w:rsidRPr="00BC7A12">
        <w:rPr>
          <w:rFonts w:cs="Calibri"/>
        </w:rPr>
        <w:t xml:space="preserve"> </w:t>
      </w:r>
    </w:p>
    <w:p w14:paraId="7D67042E" w14:textId="54D6E516" w:rsidR="008E66B2" w:rsidRPr="00BC7A12" w:rsidRDefault="00266E76" w:rsidP="004E498A">
      <w:pPr>
        <w:rPr>
          <w:rFonts w:cs="Calibri"/>
        </w:rPr>
      </w:pPr>
      <w:r w:rsidRPr="00BC7A12">
        <w:rPr>
          <w:rFonts w:cs="Calibri"/>
        </w:rPr>
        <w:t>Along with classification and modelling, data is</w:t>
      </w:r>
      <w:r w:rsidR="00730EEC" w:rsidRPr="00BC7A12">
        <w:rPr>
          <w:rFonts w:cs="Calibri"/>
        </w:rPr>
        <w:t xml:space="preserve"> a critical </w:t>
      </w:r>
      <w:r w:rsidR="00FB6CCA" w:rsidRPr="00BC7A12">
        <w:rPr>
          <w:rFonts w:cs="Calibri"/>
        </w:rPr>
        <w:t xml:space="preserve">bottleneck </w:t>
      </w:r>
      <w:r w:rsidR="00730EEC" w:rsidRPr="00BC7A12">
        <w:rPr>
          <w:rFonts w:cs="Calibri"/>
        </w:rPr>
        <w:t xml:space="preserve">to </w:t>
      </w:r>
      <w:r w:rsidR="009F43F8" w:rsidRPr="00BC7A12">
        <w:rPr>
          <w:rFonts w:cs="Calibri"/>
        </w:rPr>
        <w:t xml:space="preserve">the </w:t>
      </w:r>
      <w:r w:rsidR="00730EEC" w:rsidRPr="00BC7A12">
        <w:rPr>
          <w:rFonts w:cs="Calibri"/>
        </w:rPr>
        <w:t xml:space="preserve">expanded use of </w:t>
      </w:r>
      <w:r w:rsidR="00C9615B" w:rsidRPr="00BC7A12">
        <w:rPr>
          <w:rFonts w:cs="Calibri"/>
        </w:rPr>
        <w:t>explicit</w:t>
      </w:r>
      <w:r w:rsidR="00730EEC" w:rsidRPr="00BC7A12">
        <w:rPr>
          <w:rFonts w:cs="Calibri"/>
        </w:rPr>
        <w:t xml:space="preserve"> local valuation </w:t>
      </w:r>
      <w:r w:rsidR="004F6F3C" w:rsidRPr="00BC7A12">
        <w:rPr>
          <w:rFonts w:cs="Calibri"/>
        </w:rPr>
        <w:t>approaches</w:t>
      </w:r>
      <w:r w:rsidR="00730EEC" w:rsidRPr="00BC7A12">
        <w:rPr>
          <w:rFonts w:cs="Calibri"/>
        </w:rPr>
        <w:t>.</w:t>
      </w:r>
      <w:r w:rsidR="008E66B2" w:rsidRPr="00BC7A12">
        <w:rPr>
          <w:rFonts w:cs="Calibri"/>
          <w:lang w:val="en-US"/>
        </w:rPr>
        <w:t xml:space="preserve"> Data collection</w:t>
      </w:r>
      <w:r w:rsidR="000B71CD" w:rsidRPr="00BC7A12">
        <w:rPr>
          <w:rFonts w:cs="Calibri"/>
          <w:lang w:val="en-US"/>
        </w:rPr>
        <w:t>, cleaning and classification</w:t>
      </w:r>
      <w:r w:rsidR="008E66B2" w:rsidRPr="00BC7A12">
        <w:rPr>
          <w:rFonts w:cs="Calibri"/>
          <w:lang w:val="en-US"/>
        </w:rPr>
        <w:t xml:space="preserve">—by some estimates—is 60 percent of the time needed for environmental modelling </w:t>
      </w:r>
      <w:r w:rsidR="008E66B2" w:rsidRPr="00BC7A12">
        <w:rPr>
          <w:rFonts w:cs="Calibri"/>
          <w:lang w:val="en-US"/>
        </w:rPr>
        <w:fldChar w:fldCharType="begin" w:fldLock="1"/>
      </w:r>
      <w:r w:rsidR="008E66B2" w:rsidRPr="00BC7A12">
        <w:rPr>
          <w:rFonts w:cs="Calibri"/>
          <w:lang w:val="en-US"/>
        </w:rPr>
        <w:instrText>ADDIN CSL_CITATION {"citationItems":[{"id":"ITEM-1","itemData":{"URL":"http://aries.integratedmodelling.org/what-is-the-semantic-web-and-why-could-it-be-a-game-changer-for-ecosystem-services/","accessed":{"date-parts":[["2020","4","16"]]},"author":[{"dropping-particle":"","family":"Bagstad","given":"Kenneth J.","non-dropping-particle":"","parse-names":false,"suffix":""}],"container-title":"aries.integratedmodeling.org","id":"ITEM-1","issued":{"date-parts":[["2020"]]},"page":"1-8","title":"What is the semantic web , and why could it be a game changer for ecosystem services ?","type":"webpage"},"uris":["http://www.mendeley.com/documents/?uuid=98f43081-2b8c-48c8-bf29-947261e8b1fa"]}],"mendeley":{"formattedCitation":"(Bagstad 2020)","plainTextFormattedCitation":"(Bagstad 2020)","previouslyFormattedCitation":"(Bagstad 2020)"},"properties":{"noteIndex":0},"schema":"https://github.com/citation-style-language/schema/raw/master/csl-citation.json"}</w:instrText>
      </w:r>
      <w:r w:rsidR="008E66B2" w:rsidRPr="00BC7A12">
        <w:rPr>
          <w:rFonts w:cs="Calibri"/>
          <w:lang w:val="en-US"/>
        </w:rPr>
        <w:fldChar w:fldCharType="separate"/>
      </w:r>
      <w:r w:rsidR="008E66B2" w:rsidRPr="00BC7A12">
        <w:rPr>
          <w:rFonts w:cs="Calibri"/>
          <w:noProof/>
          <w:lang w:val="en-US"/>
        </w:rPr>
        <w:t>(Bagstad 2020)</w:t>
      </w:r>
      <w:r w:rsidR="008E66B2" w:rsidRPr="00BC7A12">
        <w:rPr>
          <w:rFonts w:cs="Calibri"/>
          <w:lang w:val="en-US"/>
        </w:rPr>
        <w:fldChar w:fldCharType="end"/>
      </w:r>
      <w:r w:rsidR="008E66B2" w:rsidRPr="00BC7A12">
        <w:rPr>
          <w:rFonts w:cs="Calibri"/>
          <w:lang w:val="en-US"/>
        </w:rPr>
        <w:t xml:space="preserve">. </w:t>
      </w:r>
      <w:r w:rsidR="000B71CD" w:rsidRPr="00BC7A12">
        <w:rPr>
          <w:rFonts w:cs="Calibri"/>
          <w:lang w:val="en-US"/>
        </w:rPr>
        <w:t>Moreover, t</w:t>
      </w:r>
      <w:r w:rsidR="000B71CD" w:rsidRPr="00BC7A12">
        <w:rPr>
          <w:rFonts w:cs="Calibri"/>
        </w:rPr>
        <w:t xml:space="preserve">he absence of data often forces researchers to use less desirable valuation </w:t>
      </w:r>
      <w:r w:rsidR="004F6F3C" w:rsidRPr="00BC7A12">
        <w:rPr>
          <w:rFonts w:cs="Calibri"/>
        </w:rPr>
        <w:t xml:space="preserve">approaches, </w:t>
      </w:r>
      <w:r w:rsidR="000B71CD" w:rsidRPr="00BC7A12">
        <w:rPr>
          <w:rFonts w:cs="Calibri"/>
        </w:rPr>
        <w:t xml:space="preserve">such as benefit transfers </w:t>
      </w:r>
      <w:r w:rsidR="000B71CD" w:rsidRPr="00BC7A12">
        <w:rPr>
          <w:rFonts w:cs="Calibri"/>
        </w:rPr>
        <w:fldChar w:fldCharType="begin" w:fldLock="1"/>
      </w:r>
      <w:r w:rsidR="008829D2" w:rsidRPr="00BC7A12">
        <w:rPr>
          <w:rFonts w:cs="Calibri"/>
        </w:rPr>
        <w:instrText>ADDIN CSL_CITATION {"citationItems":[{"id":"ITEM-1","itemData":{"DOI":"10.1016/j.ecoser.2019.100943","ISSN":"22120416","abstract":"The concept of ecosystem services (ES) aims to quantify the contribution of ecosystems to human welfare. Past research has revealed a range of attitudes and levels of understanding among policy makers or practitioners to this concept. This study investigated the experience of environmental decision makers with the application of ES, using the state of Victoria, Australia as a case study. Analysis of data from 20 interview participants indicated that impediments to implementing ES included structural and governance deficiencies, lack of public and private leadership, complexity of language, and the lack of sustained, long-term investment. Proposed solutions include standardised measurement and reporting, improved communication tools, and potential commercial investment in ES through government regulated markets. The study revealed that ES concepts have arrived at a moment of change in Victoria. They can potentially provide a basis for better environmental management decisions, however, many respondents felt implementation has stalled. Implementing complex policy change requires sustained effort. Active political leadership, a supporting advocacy coalition, and explicit theory on mechanisms to implement ES are required if the concept is to be widely adopted by decision makers in public or private spheres.","author":[{"dropping-particle":"","family":"Keenan","given":"Rodney J.","non-dropping-particle":"","parse-names":false,"suffix":""},{"dropping-particle":"","family":"Pozza","given":"Greg","non-dropping-particle":"","parse-names":false,"suffix":""},{"dropping-particle":"","family":"Fitzsimons","given":"James A.","non-dropping-particle":"","parse-names":false,"suffix":""}],"container-title":"Ecosystem Services","id":"ITEM-1","issue":"June","issued":{"date-parts":[["2019"]]},"page":"100943","publisher":"Elsevier B.V.","title":"Ecosystem services in environmental policy: Barriers and opportunities for increased adoption","type":"article-journal","volume":"38"},"uris":["http://www.mendeley.com/documents/?uuid=cd7fb9ea-ab43-409e-8553-457f19649836"]},{"id":"ITEM-2","itemData":{"author":[{"dropping-particle":"","family":"IDEEA Group","given":"","non-dropping-particle":"","parse-names":false,"suffix":""}],"id":"ITEM-2","issued":{"date-parts":[["2020"]]},"publisher":"Department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review","type":"article"},"uris":["http://www.mendeley.com/documents/?uuid=97883741-2b1e-49b5-b4cd-33f743e3d25c"]}],"mendeley":{"formattedCitation":"(Keenan et al. 2019, IDEEA Group 2020a)","manualFormatting":"(Keenan et al. 2019, Plant in IDEEA Group 2020a)","plainTextFormattedCitation":"(Keenan et al. 2019, IDEEA Group 2020a)","previouslyFormattedCitation":"(Keenan et al. 2019, IDEEA Group 2020a)"},"properties":{"noteIndex":0},"schema":"https://github.com/citation-style-language/schema/raw/master/csl-citation.json"}</w:instrText>
      </w:r>
      <w:r w:rsidR="000B71CD" w:rsidRPr="00BC7A12">
        <w:rPr>
          <w:rFonts w:cs="Calibri"/>
        </w:rPr>
        <w:fldChar w:fldCharType="separate"/>
      </w:r>
      <w:r w:rsidR="000B71CD" w:rsidRPr="00BC7A12">
        <w:rPr>
          <w:rFonts w:cs="Calibri"/>
          <w:noProof/>
        </w:rPr>
        <w:t>(Keenan et al. 2019, Plant in IDEEA Group 2020</w:t>
      </w:r>
      <w:r w:rsidR="002F3371" w:rsidRPr="00BC7A12">
        <w:rPr>
          <w:rFonts w:cs="Calibri"/>
          <w:noProof/>
        </w:rPr>
        <w:t>a</w:t>
      </w:r>
      <w:r w:rsidR="000B71CD" w:rsidRPr="00BC7A12">
        <w:rPr>
          <w:rFonts w:cs="Calibri"/>
          <w:noProof/>
        </w:rPr>
        <w:t>)</w:t>
      </w:r>
      <w:r w:rsidR="000B71CD" w:rsidRPr="00BC7A12">
        <w:rPr>
          <w:rFonts w:cs="Calibri"/>
        </w:rPr>
        <w:fldChar w:fldCharType="end"/>
      </w:r>
      <w:r w:rsidR="000B71CD" w:rsidRPr="00BC7A12">
        <w:rPr>
          <w:rFonts w:cs="Calibri"/>
        </w:rPr>
        <w:t xml:space="preserve">. </w:t>
      </w:r>
    </w:p>
    <w:p w14:paraId="58D88B21" w14:textId="73B800A4" w:rsidR="004E498A" w:rsidRPr="00BC7A12" w:rsidRDefault="000B71CD" w:rsidP="004E498A">
      <w:pPr>
        <w:rPr>
          <w:rFonts w:cs="Calibri"/>
          <w:lang w:val="en-US"/>
        </w:rPr>
      </w:pPr>
      <w:r w:rsidRPr="00BC7A12">
        <w:rPr>
          <w:rFonts w:cs="Calibri"/>
        </w:rPr>
        <w:t>P</w:t>
      </w:r>
      <w:r w:rsidR="004E498A" w:rsidRPr="00BC7A12">
        <w:rPr>
          <w:rFonts w:cs="Calibri"/>
        </w:rPr>
        <w:t xml:space="preserve">rimary data collection </w:t>
      </w:r>
      <w:r w:rsidRPr="00BC7A12">
        <w:rPr>
          <w:rFonts w:cs="Calibri"/>
        </w:rPr>
        <w:t xml:space="preserve">and data storage </w:t>
      </w:r>
      <w:r w:rsidR="004E498A" w:rsidRPr="00BC7A12">
        <w:rPr>
          <w:rFonts w:cs="Calibri"/>
        </w:rPr>
        <w:t xml:space="preserve">is often done without reference to a </w:t>
      </w:r>
      <w:r w:rsidR="00763BC4" w:rsidRPr="00BC7A12">
        <w:rPr>
          <w:rFonts w:cs="Calibri"/>
        </w:rPr>
        <w:t xml:space="preserve">standard that classifies </w:t>
      </w:r>
      <w:r w:rsidR="004E498A" w:rsidRPr="00BC7A12">
        <w:rPr>
          <w:rFonts w:cs="Calibri"/>
        </w:rPr>
        <w:t>data</w:t>
      </w:r>
      <w:r w:rsidR="00763BC4" w:rsidRPr="00BC7A12">
        <w:rPr>
          <w:rFonts w:cs="Calibri"/>
        </w:rPr>
        <w:t xml:space="preserve"> (e.g.</w:t>
      </w:r>
      <w:r w:rsidR="00ED0EE6">
        <w:rPr>
          <w:rFonts w:cs="Calibri"/>
        </w:rPr>
        <w:t>,</w:t>
      </w:r>
      <w:r w:rsidR="00763BC4" w:rsidRPr="00BC7A12">
        <w:rPr>
          <w:rFonts w:cs="Calibri"/>
        </w:rPr>
        <w:t xml:space="preserve"> </w:t>
      </w:r>
      <w:r w:rsidR="00C9615B" w:rsidRPr="00BC7A12">
        <w:rPr>
          <w:rFonts w:cs="Calibri"/>
        </w:rPr>
        <w:t>System of Environmental-Economic Accounting</w:t>
      </w:r>
      <w:r w:rsidR="00904FDF" w:rsidRPr="00BC7A12">
        <w:rPr>
          <w:rFonts w:cs="Calibri"/>
        </w:rPr>
        <w:t xml:space="preserve"> </w:t>
      </w:r>
      <w:r w:rsidR="00763BC4" w:rsidRPr="00BC7A12">
        <w:rPr>
          <w:rFonts w:cs="Calibri"/>
        </w:rPr>
        <w:t>[</w:t>
      </w:r>
      <w:r w:rsidR="00904FDF" w:rsidRPr="00BC7A12">
        <w:rPr>
          <w:rFonts w:cs="Calibri"/>
        </w:rPr>
        <w:t>SEEA</w:t>
      </w:r>
      <w:r w:rsidR="00763BC4" w:rsidRPr="00BC7A12">
        <w:rPr>
          <w:rFonts w:cs="Calibri"/>
        </w:rPr>
        <w:t>]</w:t>
      </w:r>
      <w:r w:rsidR="00904FDF" w:rsidRPr="00BC7A12">
        <w:rPr>
          <w:rFonts w:cs="Calibri"/>
        </w:rPr>
        <w:t>)</w:t>
      </w:r>
      <w:r w:rsidR="004E498A" w:rsidRPr="00BC7A12">
        <w:rPr>
          <w:rFonts w:cs="Calibri"/>
        </w:rPr>
        <w:t xml:space="preserve">. </w:t>
      </w:r>
      <w:r w:rsidR="00C9615B" w:rsidRPr="00BC7A12">
        <w:rPr>
          <w:rFonts w:cs="Calibri"/>
        </w:rPr>
        <w:t xml:space="preserve">Hence, </w:t>
      </w:r>
      <w:r w:rsidR="002C3929" w:rsidRPr="00BC7A12">
        <w:rPr>
          <w:rFonts w:cs="Calibri"/>
        </w:rPr>
        <w:t xml:space="preserve">data </w:t>
      </w:r>
      <w:r w:rsidR="004E498A" w:rsidRPr="00BC7A12">
        <w:rPr>
          <w:rFonts w:cs="Calibri"/>
        </w:rPr>
        <w:t>labelling and later discovery or repurposing</w:t>
      </w:r>
      <w:r w:rsidR="00266E76" w:rsidRPr="00BC7A12">
        <w:rPr>
          <w:rFonts w:cs="Calibri"/>
        </w:rPr>
        <w:t xml:space="preserve"> of data</w:t>
      </w:r>
      <w:r w:rsidR="004E498A" w:rsidRPr="00BC7A12">
        <w:rPr>
          <w:rFonts w:cs="Calibri"/>
        </w:rPr>
        <w:t xml:space="preserve"> becomes more challeng</w:t>
      </w:r>
      <w:r w:rsidR="00C42CCA" w:rsidRPr="00BC7A12">
        <w:rPr>
          <w:rFonts w:cs="Calibri"/>
        </w:rPr>
        <w:t>ing</w:t>
      </w:r>
      <w:r w:rsidR="00266E76" w:rsidRPr="00BC7A12">
        <w:rPr>
          <w:rFonts w:cs="Calibri"/>
        </w:rPr>
        <w:t xml:space="preserve">. </w:t>
      </w:r>
      <w:r w:rsidR="001706EE" w:rsidRPr="00BC7A12">
        <w:rPr>
          <w:rFonts w:cs="Calibri"/>
        </w:rPr>
        <w:t xml:space="preserve">This forces researchers to devote </w:t>
      </w:r>
      <w:r w:rsidR="00CD7B9D" w:rsidRPr="00BC7A12">
        <w:rPr>
          <w:rFonts w:cs="Calibri"/>
        </w:rPr>
        <w:t xml:space="preserve">more resources to </w:t>
      </w:r>
      <w:r w:rsidR="004E498A" w:rsidRPr="00BC7A12">
        <w:rPr>
          <w:rFonts w:cs="Calibri"/>
        </w:rPr>
        <w:t xml:space="preserve">developing protocols and classifications. </w:t>
      </w:r>
      <w:r w:rsidR="004E498A" w:rsidRPr="00BC7A12">
        <w:rPr>
          <w:rFonts w:cs="Calibri"/>
        </w:rPr>
        <w:fldChar w:fldCharType="begin" w:fldLock="1"/>
      </w:r>
      <w:r w:rsidR="009F47F8" w:rsidRPr="00BC7A12">
        <w:rPr>
          <w:rFonts w:cs="Calibri"/>
        </w:rPr>
        <w:instrText>ADDIN CSL_CITATION {"citationItems":[{"id":"ITEM-1","itemData":{"abstract":"Ecosystem services (ES) practitioners (e.g., researchers, policy makers) has been working to better define, measure, and value the ways that nature contributes to society. Because measurement techniques follow the labeling or identification of ES, precise identification is critical. This article reviews literature and consults experts in classification science and ES to determine the expected benefits of using ES classification knowledge (classification knowledge); ecosystem services classification systems (ES-CS) and their principles. An informal analysis of the costs of transitioning from the current ad-hoc approach—based on various ES lists—to using classification knowledge was conducted. 18 benefits of using classification knowledge were found, including allowing ES to be defined more easily and precisely, easing the transfer of knowledge among studies, and avoiding the need to recreate ES identification systems. Collectively, these 18 benefits should allow for more accurate and consistent definition of ES, thereby serving to improve communication and measurement of ES. Moreover, the expected benefits of using ES-CS outweigh expected costs of the transition. Practitioners can use ES-CS in whole, or in parts, as their research or their institutions warrant. Finally, a case study was conducted that shows how ES measures can be organized using ES-CS, delivering benefits to practitioners.","author":[{"dropping-particle":"","family":"Finisdore","given":"John","non-dropping-particle":"","parse-names":false,"suffix":""},{"dropping-particle":"","family":"Rhodes","given":"Dr. Charles","non-dropping-particle":"","parse-names":false,"suffix":""},{"dropping-particle":"","family":"Haines-Young","given":"Dr. Roy","non-dropping-particle":"","parse-names":false,"suffix":""},{"dropping-particle":"","family":"Maynard","given":"Dr. Simone","non-dropping-particle":"","parse-names":false,"suffix":""},{"dropping-particle":"","family":"Wielgus","given":"Dr. Jeffrey","non-dropping-particle":"","parse-names":false,"suffix":""},{"dropping-particle":"","family":"Dvarskas","given":"Dr. Anthony","non-dropping-particle":"","parse-names":false,"suffix":""},{"dropping-particle":"","family":"Houdet","given":"Dr. Joel","non-dropping-particle":"","parse-names":false,"suffix":""},{"dropping-particle":"","family":"Quétier","given":"Dr. Fabien","non-dropping-particle":"","parse-names":false,"suffix":""},{"dropping-particle":"","family":"Lamothe","given":"Dr. Karl A.","non-dropping-particle":"","parse-names":false,"suffix":""},{"dropping-particle":"","family":"Ding","given":"Dr. Helen","non-dropping-particle":"","parse-names":false,"suffix":""},{"dropping-particle":"","family":"Soulard","given":"Dr. François","non-dropping-particle":"","parse-names":false,"suffix":""},{"dropping-particle":"Van","family":"Houtven","given":"Dr. George","non-dropping-particle":"","parse-names":false,"suffix":""},{"dropping-particle":"","family":"Rowcroft","given":"Petrina","non-dropping-particle":"","parse-names":false,"suffix":""}],"container-title":"Ecosystem Services","id":"ITEM-1","issued":{"date-parts":[["0"]]},"title":"The 18 benefits of using ecosystem services classification systems","type":"article-journal"},"uris":["http://www.mendeley.com/documents/?uuid=1b6ad437-31ca-438c-9d70-4a51452c458c"]}],"mendeley":{"formattedCitation":"(Finisdore et al. n.d.)","plainTextFormattedCitation":"(Finisdore et al. n.d.)","previouslyFormattedCitation":"(Finisdore et al. n.d.)"},"properties":{"noteIndex":0},"schema":"https://github.com/citation-style-language/schema/raw/master/csl-citation.json"}</w:instrText>
      </w:r>
      <w:r w:rsidR="004E498A" w:rsidRPr="00BC7A12">
        <w:rPr>
          <w:rFonts w:cs="Calibri"/>
        </w:rPr>
        <w:fldChar w:fldCharType="separate"/>
      </w:r>
      <w:r w:rsidR="004E498A" w:rsidRPr="00BC7A12">
        <w:rPr>
          <w:rFonts w:cs="Calibri"/>
          <w:noProof/>
        </w:rPr>
        <w:t>(Finisdore et al. n.d.)</w:t>
      </w:r>
      <w:r w:rsidR="004E498A" w:rsidRPr="00BC7A12">
        <w:rPr>
          <w:rFonts w:cs="Calibri"/>
        </w:rPr>
        <w:fldChar w:fldCharType="end"/>
      </w:r>
    </w:p>
    <w:p w14:paraId="2C68685D" w14:textId="0B220871" w:rsidR="00321184" w:rsidRDefault="0070400E" w:rsidP="0070400E">
      <w:r>
        <w:t xml:space="preserve">While Australia lacks a classification standard for coastal wetlands data and natural capital in general, there are ongoing efforts. First, SEEA is being explored as a national accounting standard. More specific to coastal wetlands, Queensland has developed and used </w:t>
      </w:r>
      <w:proofErr w:type="spellStart"/>
      <w:r>
        <w:t>AquaBAMM</w:t>
      </w:r>
      <w:proofErr w:type="spellEnd"/>
      <w:r>
        <w:t xml:space="preserve"> to assess the value of coastal wetlands </w:t>
      </w:r>
      <w:r w:rsidR="00031DEB">
        <w:fldChar w:fldCharType="begin" w:fldLock="1"/>
      </w:r>
      <w:r w:rsidR="00031DEB">
        <w:instrText>ADDIN CSL_CITATION {"citationItems":[{"id":"ITEM-1","itemData":{"author":[{"dropping-particle":"","family":"Clayton","given":"P.D.","non-dropping-particle":"","parse-names":false,"suffix":""},{"dropping-particle":"","family":"Fielder","given":"D.P.","non-dropping-particle":"","parse-names":false,"suffix":""},{"dropping-particle":"","family":"Howell","given":"S.","non-dropping-particle":"","parse-names":false,"suffix":""},{"dropping-particle":"","family":"Hill","given":"C.J.","non-dropping-particle":"","parse-names":false,"suffix":""}],"id":"ITEM-1","issued":{"date-parts":[["2006"]]},"publisher-place":"Brisbane","title":"Clayton, P.D., Fielder, D.P., Howell, S. and Hill, C.J. (2006). Aquatic Biodiversity Assessment and Mapping Method (AquaBAMM): a conservation values assessment tool for wetlands with trial application in the Burnett River catchment","type":"report"},"uris":["http://www.mendeley.com/documents/?uuid=dc090303-a901-4c09-84e1-6832aea90bff"]}],"mendeley":{"formattedCitation":"(Clayton et al. 2006)","manualFormatting":"(Clayton et al. 2006, Ronan in IDEEA Group 2020a)","plainTextFormattedCitation":"(Clayton et al. 2006)","previouslyFormattedCitation":"(Clayton et al. 2006)"},"properties":{"noteIndex":0},"schema":"https://github.com/citation-style-language/schema/raw/master/csl-citation.json"}</w:instrText>
      </w:r>
      <w:r w:rsidR="00031DEB">
        <w:fldChar w:fldCharType="separate"/>
      </w:r>
      <w:r w:rsidR="00031DEB" w:rsidRPr="00031DEB">
        <w:rPr>
          <w:noProof/>
        </w:rPr>
        <w:t>(Clayton et al. 2006</w:t>
      </w:r>
      <w:r w:rsidR="00031DEB">
        <w:rPr>
          <w:noProof/>
        </w:rPr>
        <w:t>, Ronan in IDEEA Group 2020a</w:t>
      </w:r>
      <w:r w:rsidR="00031DEB" w:rsidRPr="00031DEB">
        <w:rPr>
          <w:noProof/>
        </w:rPr>
        <w:t>)</w:t>
      </w:r>
      <w:r w:rsidR="00031DEB">
        <w:fldChar w:fldCharType="end"/>
      </w:r>
      <w:r>
        <w:t xml:space="preserve">. Similarly, the Northern Territory, Western Australia, New South Wales and Victoria also have developed both river and wetland assessment tools </w:t>
      </w:r>
      <w:r w:rsidR="00031DEB">
        <w:fldChar w:fldCharType="begin" w:fldLock="1"/>
      </w:r>
      <w:r w:rsidR="006D3AA6">
        <w:instrText>ADDIN CSL_CITATION {"citationItems":[{"id":"ITEM-1","itemData":{"author":[{"dropping-particle":"","family":"DELWP","given":"","non-dropping-particle":"","parse-names":false,"suffix":""}],"id":"ITEM-1","issued":{"date-parts":[["2018"]]},"publisher-place":"Melbourne, Australia","title":"Index of Wetland Condition assessment procedure","type":"report"},"uris":["http://www.mendeley.com/documents/?uuid=98cf4c6f-2a3f-4204-be3b-7d3e1bddf4d7"]},{"id":"ITEM-2","itemData":{"ISBN":"9781921789991","abstract":"Ring binder. \"September 2011.\"","author":[{"dropping-particle":"","family":"Department of Water","given":"","non-dropping-particle":"","parse-names":false,"suffix":""}],"id":"ITEM-2","issue":"September","issued":{"date-parts":[["2011"]]},"number-of-pages":"238","publisher":"Western Australia","publisher-place":"Perth","title":"The framework for the assessment of river and wetland health (FARWH) for flowing rivers of south-west Western Australia : project summary and results.","type":"book"},"uris":["http://www.mendeley.com/documents/?uuid=2f8461ee-7a44-4939-bb62-6663d0831d21"]},{"id":"ITEM-3","itemData":{"author":[{"dropping-particle":"","family":"Duguid","given":"Angus","non-dropping-particle":"","parse-names":false,"suffix":""},{"dropping-particle":"","family":"Barnetson","given":"Jason","non-dropping-particle":"","parse-names":false,"suffix":""},{"dropping-particle":"","family":"Clifford","given":"Bretan","non-dropping-particle":"","parse-names":false,"suffix":""},{"dropping-particle":"","family":"Pavey","given":"Christoph","non-dropping-particle":"","parse-names":false,"suffix":""},{"dropping-particle":"","family":"Albrecht","given":"David","non-dropping-particle":"","parse-names":false,"suffix":""},{"dropping-particle":"","family":"Risler","given":"Jennifer","non-dropping-particle":"","parse-names":false,"suffix":""},{"dropping-particle":"","family":"McNellie","given":"Megan","non-dropping-particle":"","parse-names":false,"suffix":""}],"id":"ITEM-3","issued":{"date-parts":[["2005"]]},"title":"Wetlands in the arid Northern Territory","type":"report","volume":"1"},"uris":["http://www.mendeley.com/documents/?uuid=07e06192-b960-4b2e-9f72-1d5fb5c648a5"]},{"id":"ITEM-4","itemData":{"author":[{"dropping-particle":"","family":"Claus","given":"Conia","non-dropping-particle":"","parse-names":false,"suffix":""},{"dropping-particle":"","family":"Imgraben","given":"Sarah","non-dropping-particle":"","parse-names":false,"suffix":""},{"dropping-particle":"","family":"Brennan","given":"Kirsty","non-dropping-particle":"","parse-names":false,"suffix":""},{"dropping-particle":"","family":"Carthey","given":"Alex","non-dropping-particle":"","parse-names":false,"suffix":""},{"dropping-particle":"","family":"Daly","given":"Benjamin","non-dropping-particle":"","parse-names":false,"suffix":""},{"dropping-particle":"","family":"Blakey","given":"Rachel","non-dropping-particle":"","parse-names":false,"suffix":""},{"dropping-particle":"","family":"Turak","given":"Eren","non-dropping-particle":"","parse-names":false,"suffix":""},{"dropping-particle":"","family":"Saintilan","given":"Neil","non-dropping-particle":"","parse-names":false,"suffix":""}],"id":"ITEM-4","issued":{"date-parts":[["2011"]]},"publisher-place":"Sydney","title":"State of the Catchments 2010 Monitoring, Technical report series, Evaluation and reporting program, Assessing the extent and condition of wetland in NSW, Supporting report A - Conceptual framework","type":"report"},"uris":["http://www.mendeley.com/documents/?uuid=e8c90ea2-17fc-4590-a335-dc25f893a3a7"]}],"mendeley":{"formattedCitation":"(DELWP 2018, Department of Water 2011, Duguid et al. 2005, Claus et al. 2011)","plainTextFormattedCitation":"(DELWP 2018, Department of Water 2011, Duguid et al. 2005, Claus et al. 2011)","previouslyFormattedCitation":"(DELWP 2018, Department of Water 2011, Duguid et al. 2005, Claus et al. 2011)"},"properties":{"noteIndex":0},"schema":"https://github.com/citation-style-language/schema/raw/master/csl-citation.json"}</w:instrText>
      </w:r>
      <w:r w:rsidR="00031DEB">
        <w:fldChar w:fldCharType="separate"/>
      </w:r>
      <w:r w:rsidR="00031DEB" w:rsidRPr="00031DEB">
        <w:rPr>
          <w:noProof/>
        </w:rPr>
        <w:t>(DELWP 2018, Department of Water 2011, Duguid et al. 2005, Claus et al. 2011)</w:t>
      </w:r>
      <w:r w:rsidR="00031DEB">
        <w:fldChar w:fldCharType="end"/>
      </w:r>
      <w:r>
        <w:t>.  Examining these methodologies, both the Queensland and Victorian wetland assessment tools are more detailed, outlining a range of indicators to be measured and used in determining the condition of a wetland</w:t>
      </w:r>
      <w:r w:rsidR="006D3AA6">
        <w:t xml:space="preserve">. </w:t>
      </w:r>
      <w:r>
        <w:t>South Australia developed a wetland condition assessment approach, which forms part of state wide assessment of waterfowl abundance</w:t>
      </w:r>
      <w:r w:rsidR="006D3AA6">
        <w:t xml:space="preserve"> </w:t>
      </w:r>
      <w:r w:rsidR="006D3AA6">
        <w:fldChar w:fldCharType="begin" w:fldLock="1"/>
      </w:r>
      <w:r w:rsidR="002E61E6">
        <w:instrText>ADDIN CSL_CITATION {"citationItems":[{"id":"ITEM-1","itemData":{"author":[{"dropping-particle":"","family":"Department of Environment and Water","given":"","non-dropping-particle":"","parse-names":false,"suffix":""}],"id":"ITEM-1","issue":"December","issued":{"date-parts":[["2014"]]},"publisher-place":"Adeliade","title":"Assessment of Waterfowl Abundance and Wetland Condition in south-eastern South Australia","type":"report"},"uris":["http://www.mendeley.com/documents/?uuid=f1370b97-331f-4f32-9de0-74c44671022c"]}],"mendeley":{"formattedCitation":"(Department of Environment and Water 2014)","plainTextFormattedCitation":"(Department of Environment and Water 2014)","previouslyFormattedCitation":"(Department of Environment and Water 2014)"},"properties":{"noteIndex":0},"schema":"https://github.com/citation-style-language/schema/raw/master/csl-citation.json"}</w:instrText>
      </w:r>
      <w:r w:rsidR="006D3AA6">
        <w:fldChar w:fldCharType="separate"/>
      </w:r>
      <w:r w:rsidR="006D3AA6" w:rsidRPr="006D3AA6">
        <w:rPr>
          <w:noProof/>
        </w:rPr>
        <w:t>(Department of Environment and Water 2014)</w:t>
      </w:r>
      <w:r w:rsidR="006D3AA6">
        <w:fldChar w:fldCharType="end"/>
      </w:r>
      <w:r>
        <w:t>.</w:t>
      </w:r>
    </w:p>
    <w:p w14:paraId="5B7092AD" w14:textId="1D9A7244" w:rsidR="0070400E" w:rsidRDefault="0070400E" w:rsidP="0070400E">
      <w:r>
        <w:t>Both the Queensland and Victorian approaches standardise the process of data classification, which could be particularly relevant and useful when considering wetlands at a local (named) level, for example within a local government or Natural Resources Management region. While both have been designed to meet state priorities, at the national level there is a need for a nationwide approach to wetland condition assessment</w:t>
      </w:r>
      <w:r w:rsidR="006D3AA6">
        <w:t>.</w:t>
      </w:r>
    </w:p>
    <w:p w14:paraId="4479DFE6" w14:textId="19DB262D" w:rsidR="0087124D" w:rsidRPr="00BC7A12" w:rsidRDefault="0070400E" w:rsidP="008B3383">
      <w:pPr>
        <w:spacing w:after="200" w:line="276" w:lineRule="auto"/>
        <w:rPr>
          <w:rFonts w:cs="Calibri"/>
        </w:rPr>
        <w:sectPr w:rsidR="0087124D" w:rsidRPr="00BC7A12" w:rsidSect="00F34357">
          <w:pgSz w:w="11906" w:h="16838" w:code="9"/>
          <w:pgMar w:top="1440" w:right="1440" w:bottom="1440" w:left="1440" w:header="425" w:footer="369" w:gutter="0"/>
          <w:cols w:space="708"/>
          <w:titlePg/>
          <w:docGrid w:linePitch="360"/>
        </w:sectPr>
      </w:pPr>
      <w:r>
        <w:t xml:space="preserve">Having a single approach to wetland condition assessment, containing primary data at the national level, could be used efficiently in nationwide prioritisation modelling. An example is shown below in </w:t>
      </w:r>
      <w:r>
        <w:fldChar w:fldCharType="begin"/>
      </w:r>
      <w:r>
        <w:instrText xml:space="preserve"> REF _Ref43922168 \h </w:instrText>
      </w:r>
      <w:r>
        <w:fldChar w:fldCharType="separate"/>
      </w:r>
      <w:r w:rsidR="00657E34">
        <w:rPr>
          <w:b/>
          <w:bCs/>
          <w:lang w:val="en-US"/>
        </w:rPr>
        <w:t>Error! Reference source not found.</w:t>
      </w:r>
      <w:r>
        <w:fldChar w:fldCharType="end"/>
      </w:r>
      <w:r>
        <w:t xml:space="preserve">, which shows the applicability of using </w:t>
      </w:r>
      <w:proofErr w:type="spellStart"/>
      <w:r>
        <w:t>AquaBAMM’s</w:t>
      </w:r>
      <w:proofErr w:type="spellEnd"/>
      <w:r>
        <w:t xml:space="preserve"> classification for collecting and organizing data for the </w:t>
      </w:r>
      <w:proofErr w:type="spellStart"/>
      <w:r>
        <w:t>InVEST</w:t>
      </w:r>
      <w:proofErr w:type="spellEnd"/>
      <w:r>
        <w:t xml:space="preserve"> Coastal Vulnerability Model. These classifications are similar to SEEA (see </w:t>
      </w:r>
      <w:r>
        <w:fldChar w:fldCharType="begin"/>
      </w:r>
      <w:r>
        <w:instrText xml:space="preserve"> REF _Ref44251921 \h </w:instrText>
      </w:r>
      <w:r>
        <w:fldChar w:fldCharType="separate"/>
      </w:r>
      <w:r w:rsidR="00657E34" w:rsidRPr="00BC7A12">
        <w:rPr>
          <w:rFonts w:cs="Calibri"/>
        </w:rPr>
        <w:t xml:space="preserve">Appendix 4 Natural capital accounting data </w:t>
      </w:r>
      <w:proofErr w:type="spellStart"/>
      <w:r w:rsidR="00657E34" w:rsidRPr="00BC7A12">
        <w:rPr>
          <w:rFonts w:cs="Calibri"/>
        </w:rPr>
        <w:t>structure</w:t>
      </w:r>
      <w:r>
        <w:fldChar w:fldCharType="end"/>
      </w:r>
      <w:r>
        <w:t>and</w:t>
      </w:r>
      <w:proofErr w:type="spellEnd"/>
      <w:r>
        <w:t xml:space="preserve"> other coastal wetland DRR models (</w:t>
      </w:r>
      <w:r>
        <w:fldChar w:fldCharType="begin"/>
      </w:r>
      <w:r>
        <w:instrText xml:space="preserve"> REF _Ref43036835 \h </w:instrText>
      </w:r>
      <w:r>
        <w:fldChar w:fldCharType="separate"/>
      </w:r>
      <w:r w:rsidR="00657E34" w:rsidRPr="00BC7A12">
        <w:rPr>
          <w:rFonts w:cs="Calibri"/>
        </w:rPr>
        <w:t xml:space="preserve">Appendix 3 DRR </w:t>
      </w:r>
      <w:r>
        <w:fldChar w:fldCharType="end"/>
      </w:r>
      <w:r>
        <w:t xml:space="preserve">lists 6 models and their data needs). Because the data is easily </w:t>
      </w:r>
      <w:r>
        <w:lastRenderedPageBreak/>
        <w:t xml:space="preserve">transferred among these standards, the national adoption of </w:t>
      </w:r>
      <w:proofErr w:type="spellStart"/>
      <w:r>
        <w:t>AquaBAMM</w:t>
      </w:r>
      <w:proofErr w:type="spellEnd"/>
      <w:r w:rsidR="00AC60AE">
        <w:t xml:space="preserve">—or a combination of </w:t>
      </w:r>
      <w:proofErr w:type="spellStart"/>
      <w:r w:rsidR="00AC60AE">
        <w:t>AquaBAMM</w:t>
      </w:r>
      <w:proofErr w:type="spellEnd"/>
      <w:r w:rsidR="00AC60AE">
        <w:t xml:space="preserve"> and the DEELWP standard—for </w:t>
      </w:r>
      <w:r>
        <w:t>wetland assessment would also reduce the costs of quality explicit local valuation</w:t>
      </w:r>
      <w:r w:rsidR="006D3AA6">
        <w:t>.</w:t>
      </w:r>
    </w:p>
    <w:p w14:paraId="56C5A259" w14:textId="578923B7" w:rsidR="00D457D0" w:rsidRPr="00BC7A12" w:rsidRDefault="00D457D0" w:rsidP="00D457D0">
      <w:pPr>
        <w:pStyle w:val="Caption"/>
        <w:keepNext/>
        <w:rPr>
          <w:rFonts w:cs="Calibri"/>
        </w:rPr>
      </w:pPr>
      <w:bookmarkStart w:id="79" w:name="_Toc46821747"/>
      <w:bookmarkStart w:id="80" w:name="_Hlk44169138"/>
      <w:r w:rsidRPr="00BC7A12">
        <w:rPr>
          <w:rFonts w:cs="Calibri"/>
        </w:rPr>
        <w:lastRenderedPageBreak/>
        <w:t xml:space="preserve">Table </w:t>
      </w:r>
      <w:r w:rsidRPr="00BC7A12">
        <w:rPr>
          <w:rFonts w:cs="Calibri"/>
        </w:rPr>
        <w:fldChar w:fldCharType="begin"/>
      </w:r>
      <w:r w:rsidRPr="00BC7A12">
        <w:rPr>
          <w:rFonts w:cs="Calibri"/>
        </w:rPr>
        <w:instrText xml:space="preserve"> SEQ Table \* ARABIC </w:instrText>
      </w:r>
      <w:r w:rsidRPr="00BC7A12">
        <w:rPr>
          <w:rFonts w:cs="Calibri"/>
        </w:rPr>
        <w:fldChar w:fldCharType="separate"/>
      </w:r>
      <w:r w:rsidR="00657E34">
        <w:rPr>
          <w:rFonts w:cs="Calibri"/>
          <w:noProof/>
        </w:rPr>
        <w:t>8</w:t>
      </w:r>
      <w:r w:rsidRPr="00BC7A12">
        <w:rPr>
          <w:rFonts w:cs="Calibri"/>
        </w:rPr>
        <w:fldChar w:fldCharType="end"/>
      </w:r>
      <w:r w:rsidRPr="00BC7A12">
        <w:rPr>
          <w:rFonts w:cs="Calibri"/>
        </w:rPr>
        <w:t xml:space="preserve"> Comparison of </w:t>
      </w:r>
      <w:proofErr w:type="spellStart"/>
      <w:r w:rsidRPr="00BC7A12">
        <w:rPr>
          <w:rFonts w:cs="Calibri"/>
        </w:rPr>
        <w:t>AquaBAMM</w:t>
      </w:r>
      <w:proofErr w:type="spellEnd"/>
      <w:r w:rsidRPr="00BC7A12">
        <w:rPr>
          <w:rFonts w:cs="Calibri"/>
        </w:rPr>
        <w:t xml:space="preserve"> criteria, indicators and </w:t>
      </w:r>
      <w:r w:rsidR="004D34B1" w:rsidRPr="00BC7A12">
        <w:rPr>
          <w:rFonts w:cs="Calibri"/>
        </w:rPr>
        <w:t>measures</w:t>
      </w:r>
      <w:r w:rsidRPr="00BC7A12">
        <w:rPr>
          <w:rFonts w:cs="Calibri"/>
        </w:rPr>
        <w:t xml:space="preserve"> from Burnett River catchment </w:t>
      </w:r>
      <w:r w:rsidRPr="00BC7A12">
        <w:rPr>
          <w:rFonts w:cs="Calibri"/>
        </w:rPr>
        <w:fldChar w:fldCharType="begin" w:fldLock="1"/>
      </w:r>
      <w:r w:rsidRPr="00BC7A12">
        <w:rPr>
          <w:rFonts w:cs="Calibri"/>
        </w:rPr>
        <w:instrText>ADDIN CSL_CITATION {"citationItems":[{"id":"ITEM-1","itemData":{"author":[{"dropping-particle":"","family":"Clayton","given":"P.D.","non-dropping-particle":"","parse-names":false,"suffix":""},{"dropping-particle":"","family":"Fielder","given":"D.P.","non-dropping-particle":"","parse-names":false,"suffix":""},{"dropping-particle":"","family":"Howell","given":"S.","non-dropping-particle":"","parse-names":false,"suffix":""},{"dropping-particle":"","family":"Hill","given":"C.J.","non-dropping-particle":"","parse-names":false,"suffix":""}],"id":"ITEM-1","issued":{"date-parts":[["2006"]]},"publisher-place":"Brisbane","title":"Clayton, P.D., Fielder, D.P., Howell, S. and Hill, C.J. (2006). Aquatic Biodiversity Assessment and Mapping Method (AquaBAMM): a conservation values assessment tool for wetlands with trial application in the Burnett River catchment","type":"report"},"uris":["http://www.mendeley.com/documents/?uuid=dc090303-a901-4c09-84e1-6832aea90bff"]}],"mendeley":{"formattedCitation":"(Clayton et al. 2006)","plainTextFormattedCitation":"(Clayton et al. 2006)","previouslyFormattedCitation":"(Clayton et al. 2006)"},"properties":{"noteIndex":0},"schema":"https://github.com/citation-style-language/schema/raw/master/csl-citation.json"}</w:instrText>
      </w:r>
      <w:r w:rsidRPr="00BC7A12">
        <w:rPr>
          <w:rFonts w:cs="Calibri"/>
        </w:rPr>
        <w:fldChar w:fldCharType="separate"/>
      </w:r>
      <w:r w:rsidRPr="00BC7A12">
        <w:rPr>
          <w:rFonts w:cs="Calibri"/>
          <w:i w:val="0"/>
          <w:noProof/>
        </w:rPr>
        <w:t>(Clayton et al. 2006)</w:t>
      </w:r>
      <w:r w:rsidRPr="00BC7A12">
        <w:rPr>
          <w:rFonts w:cs="Calibri"/>
        </w:rPr>
        <w:fldChar w:fldCharType="end"/>
      </w:r>
      <w:r w:rsidRPr="00BC7A12">
        <w:rPr>
          <w:rFonts w:cs="Calibri"/>
        </w:rPr>
        <w:t xml:space="preserve"> with data needed for </w:t>
      </w:r>
      <w:proofErr w:type="spellStart"/>
      <w:r w:rsidRPr="00BC7A12">
        <w:rPr>
          <w:rFonts w:cs="Calibri"/>
        </w:rPr>
        <w:t>InVEST</w:t>
      </w:r>
      <w:proofErr w:type="spellEnd"/>
      <w:r w:rsidRPr="00BC7A12">
        <w:rPr>
          <w:rFonts w:cs="Calibri"/>
        </w:rPr>
        <w:t xml:space="preserve"> Coastal Vulnerability Model </w:t>
      </w:r>
      <w:r w:rsidRPr="00BC7A12">
        <w:rPr>
          <w:rFonts w:cs="Calibri"/>
        </w:rPr>
        <w:fldChar w:fldCharType="begin" w:fldLock="1"/>
      </w:r>
      <w:r w:rsidR="00A83283" w:rsidRPr="00BC7A12">
        <w:rPr>
          <w:rFonts w:cs="Calibri"/>
        </w:rPr>
        <w:instrText>ADDIN CSL_CITATION {"citationItems":[{"id":"ITEM-1","itemData":{"URL":"http://releases.naturalcapitalproject.org/invest-userguide/latest/coastal_vulnerability.html","accessed":{"date-parts":[["2020","6","16"]]},"author":[{"dropping-particle":"","family":"The Natural Capital Project","given":"","non-dropping-particle":"","parse-names":false,"suffix":""}],"id":"ITEM-1","issued":{"date-parts":[["2019"]]},"title":"InVEST Coastal Vulnerability Model","type":"webpage"},"uris":["http://www.mendeley.com/documents/?uuid=3911256b-c224-4c3d-be04-06c731b6c827"]}],"mendeley":{"formattedCitation":"(The Natural Capital Project 2019)","plainTextFormattedCitation":"(The Natural Capital Project 2019)","previouslyFormattedCitation":"(The Natural Capital Project 2019)"},"properties":{"noteIndex":0},"schema":"https://github.com/citation-style-language/schema/raw/master/csl-citation.json"}</w:instrText>
      </w:r>
      <w:r w:rsidRPr="00BC7A12">
        <w:rPr>
          <w:rFonts w:cs="Calibri"/>
        </w:rPr>
        <w:fldChar w:fldCharType="separate"/>
      </w:r>
      <w:r w:rsidRPr="00BC7A12">
        <w:rPr>
          <w:rFonts w:cs="Calibri"/>
          <w:i w:val="0"/>
          <w:noProof/>
        </w:rPr>
        <w:t>(The Natural Capital Project 2019)</w:t>
      </w:r>
      <w:bookmarkEnd w:id="79"/>
      <w:r w:rsidRPr="00BC7A12">
        <w:rPr>
          <w:rFonts w:cs="Calibri"/>
        </w:rPr>
        <w:fldChar w:fldCharType="end"/>
      </w:r>
      <w:r w:rsidRPr="00BC7A12">
        <w:rPr>
          <w:rFonts w:cs="Calibri"/>
        </w:rPr>
        <w:t xml:space="preserve"> </w:t>
      </w:r>
    </w:p>
    <w:tbl>
      <w:tblPr>
        <w:tblStyle w:val="TableGrid"/>
        <w:tblW w:w="0" w:type="auto"/>
        <w:tblLook w:val="04A0" w:firstRow="1" w:lastRow="0" w:firstColumn="1" w:lastColumn="0" w:noHBand="0" w:noVBand="1"/>
      </w:tblPr>
      <w:tblGrid>
        <w:gridCol w:w="2400"/>
        <w:gridCol w:w="5373"/>
        <w:gridCol w:w="6175"/>
      </w:tblGrid>
      <w:tr w:rsidR="00F210A0" w:rsidRPr="00BC7A12" w14:paraId="1443792F" w14:textId="3241C6B8" w:rsidTr="00F210A0">
        <w:trPr>
          <w:tblHeader/>
        </w:trPr>
        <w:tc>
          <w:tcPr>
            <w:tcW w:w="0" w:type="auto"/>
          </w:tcPr>
          <w:p w14:paraId="4505A801" w14:textId="77777777" w:rsidR="00F210A0" w:rsidRPr="00BC7A12" w:rsidRDefault="00F210A0" w:rsidP="00F210A0">
            <w:pPr>
              <w:spacing w:after="0" w:line="240" w:lineRule="auto"/>
              <w:rPr>
                <w:rFonts w:cs="Calibri"/>
                <w:b/>
                <w:bCs/>
                <w:sz w:val="16"/>
                <w:szCs w:val="16"/>
              </w:rPr>
            </w:pPr>
            <w:r w:rsidRPr="00BC7A12">
              <w:rPr>
                <w:rFonts w:cs="Calibri"/>
                <w:b/>
                <w:bCs/>
                <w:sz w:val="16"/>
                <w:szCs w:val="16"/>
              </w:rPr>
              <w:t>Criteria &amp; Indicators</w:t>
            </w:r>
          </w:p>
        </w:tc>
        <w:tc>
          <w:tcPr>
            <w:tcW w:w="0" w:type="auto"/>
          </w:tcPr>
          <w:p w14:paraId="050B0ECD" w14:textId="77777777" w:rsidR="00F210A0" w:rsidRPr="00BC7A12" w:rsidRDefault="00F210A0" w:rsidP="00F210A0">
            <w:pPr>
              <w:spacing w:after="0" w:line="240" w:lineRule="auto"/>
              <w:rPr>
                <w:rFonts w:cs="Calibri"/>
                <w:b/>
                <w:bCs/>
                <w:sz w:val="16"/>
                <w:szCs w:val="16"/>
              </w:rPr>
            </w:pPr>
            <w:r w:rsidRPr="00BC7A12">
              <w:rPr>
                <w:rFonts w:cs="Calibri"/>
                <w:b/>
                <w:bCs/>
                <w:sz w:val="16"/>
                <w:szCs w:val="16"/>
              </w:rPr>
              <w:t>Measures</w:t>
            </w:r>
          </w:p>
        </w:tc>
        <w:tc>
          <w:tcPr>
            <w:tcW w:w="0" w:type="auto"/>
          </w:tcPr>
          <w:p w14:paraId="20715956" w14:textId="240C803C" w:rsidR="00F210A0" w:rsidRPr="00BC7A12" w:rsidRDefault="00F210A0" w:rsidP="00327E3A">
            <w:pPr>
              <w:spacing w:after="0" w:line="240" w:lineRule="auto"/>
              <w:rPr>
                <w:rFonts w:cs="Calibri"/>
                <w:sz w:val="16"/>
                <w:szCs w:val="16"/>
              </w:rPr>
            </w:pPr>
            <w:r w:rsidRPr="00BC7A12">
              <w:rPr>
                <w:rFonts w:cs="Calibri"/>
                <w:b/>
                <w:bCs/>
                <w:sz w:val="16"/>
                <w:szCs w:val="16"/>
              </w:rPr>
              <w:t xml:space="preserve">Data needed for </w:t>
            </w:r>
            <w:proofErr w:type="spellStart"/>
            <w:r w:rsidRPr="00BC7A12">
              <w:rPr>
                <w:rFonts w:cs="Calibri"/>
                <w:b/>
                <w:bCs/>
                <w:sz w:val="16"/>
                <w:szCs w:val="16"/>
              </w:rPr>
              <w:t>InVEST</w:t>
            </w:r>
            <w:proofErr w:type="spellEnd"/>
            <w:proofErr w:type="gramStart"/>
            <w:r w:rsidRPr="00BC7A12">
              <w:rPr>
                <w:rFonts w:cs="Calibri"/>
                <w:b/>
                <w:bCs/>
                <w:sz w:val="16"/>
                <w:szCs w:val="16"/>
              </w:rPr>
              <w:t xml:space="preserve">  </w:t>
            </w:r>
            <w:r w:rsidR="00327E3A" w:rsidRPr="00BC7A12">
              <w:rPr>
                <w:rFonts w:cs="Calibri"/>
                <w:b/>
                <w:bCs/>
                <w:sz w:val="16"/>
                <w:szCs w:val="16"/>
              </w:rPr>
              <w:t xml:space="preserve"> </w:t>
            </w:r>
            <w:r w:rsidRPr="00BC7A12">
              <w:rPr>
                <w:rFonts w:cs="Calibri"/>
                <w:sz w:val="16"/>
                <w:szCs w:val="16"/>
              </w:rPr>
              <w:t>(</w:t>
            </w:r>
            <w:proofErr w:type="gramEnd"/>
            <w:r w:rsidRPr="00BC7A12">
              <w:rPr>
                <w:rFonts w:cs="Calibri"/>
                <w:sz w:val="16"/>
                <w:szCs w:val="16"/>
              </w:rPr>
              <w:t xml:space="preserve">some is optional) </w:t>
            </w:r>
          </w:p>
        </w:tc>
      </w:tr>
      <w:tr w:rsidR="00F210A0" w:rsidRPr="00BC7A12" w14:paraId="62E49675" w14:textId="377CFF93" w:rsidTr="00FB1AC2">
        <w:tc>
          <w:tcPr>
            <w:tcW w:w="0" w:type="auto"/>
            <w:gridSpan w:val="2"/>
            <w:shd w:val="clear" w:color="auto" w:fill="D9D9D9" w:themeFill="background1" w:themeFillShade="D9"/>
          </w:tcPr>
          <w:p w14:paraId="7B8CC814" w14:textId="77777777" w:rsidR="00F210A0" w:rsidRPr="00BC7A12" w:rsidRDefault="00F210A0" w:rsidP="00F210A0">
            <w:pPr>
              <w:spacing w:after="0" w:line="240" w:lineRule="auto"/>
              <w:rPr>
                <w:rFonts w:cs="Calibri"/>
                <w:sz w:val="16"/>
                <w:szCs w:val="16"/>
              </w:rPr>
            </w:pPr>
            <w:r w:rsidRPr="00BC7A12">
              <w:rPr>
                <w:rFonts w:cs="Calibri"/>
                <w:sz w:val="16"/>
                <w:szCs w:val="16"/>
              </w:rPr>
              <w:t>1 Naturalness Aquatic</w:t>
            </w:r>
          </w:p>
        </w:tc>
        <w:tc>
          <w:tcPr>
            <w:tcW w:w="0" w:type="auto"/>
            <w:shd w:val="clear" w:color="auto" w:fill="D9D9D9" w:themeFill="background1" w:themeFillShade="D9"/>
          </w:tcPr>
          <w:p w14:paraId="5165813E" w14:textId="77777777" w:rsidR="00F210A0" w:rsidRPr="00BC7A12" w:rsidRDefault="00F210A0" w:rsidP="00F210A0">
            <w:pPr>
              <w:spacing w:after="0" w:line="240" w:lineRule="auto"/>
              <w:rPr>
                <w:rFonts w:cs="Calibri"/>
                <w:sz w:val="16"/>
                <w:szCs w:val="16"/>
              </w:rPr>
            </w:pPr>
          </w:p>
        </w:tc>
      </w:tr>
      <w:tr w:rsidR="00F210A0" w:rsidRPr="00BC7A12" w14:paraId="66C916A5" w14:textId="3E1C155E" w:rsidTr="00F210A0">
        <w:tc>
          <w:tcPr>
            <w:tcW w:w="0" w:type="auto"/>
          </w:tcPr>
          <w:p w14:paraId="766CF59F" w14:textId="77777777" w:rsidR="00F210A0" w:rsidRPr="00BC7A12" w:rsidRDefault="00F210A0" w:rsidP="00F210A0">
            <w:pPr>
              <w:spacing w:after="0" w:line="240" w:lineRule="auto"/>
              <w:rPr>
                <w:rFonts w:cs="Calibri"/>
                <w:sz w:val="16"/>
                <w:szCs w:val="16"/>
              </w:rPr>
            </w:pPr>
            <w:r w:rsidRPr="00BC7A12">
              <w:rPr>
                <w:rFonts w:cs="Calibri"/>
                <w:sz w:val="16"/>
                <w:szCs w:val="16"/>
              </w:rPr>
              <w:t>1.1 Exotic flora/fauna</w:t>
            </w:r>
          </w:p>
        </w:tc>
        <w:tc>
          <w:tcPr>
            <w:tcW w:w="0" w:type="auto"/>
          </w:tcPr>
          <w:p w14:paraId="4D17BCE9" w14:textId="77777777" w:rsidR="00F210A0" w:rsidRPr="00BC7A12" w:rsidRDefault="00F210A0" w:rsidP="00F210A0">
            <w:pPr>
              <w:spacing w:after="0" w:line="240" w:lineRule="auto"/>
              <w:rPr>
                <w:rFonts w:cs="Calibri"/>
                <w:sz w:val="12"/>
                <w:szCs w:val="12"/>
              </w:rPr>
            </w:pPr>
            <w:r w:rsidRPr="00BC7A12">
              <w:rPr>
                <w:rFonts w:cs="Calibri"/>
                <w:sz w:val="12"/>
                <w:szCs w:val="12"/>
              </w:rPr>
              <w:t>1.1.1 Presence of 'alien' fish species within the spatial unit</w:t>
            </w:r>
          </w:p>
          <w:p w14:paraId="22B72311" w14:textId="77777777" w:rsidR="00F210A0" w:rsidRPr="00BC7A12" w:rsidRDefault="00F210A0" w:rsidP="00F210A0">
            <w:pPr>
              <w:spacing w:after="0" w:line="240" w:lineRule="auto"/>
              <w:rPr>
                <w:rFonts w:cs="Calibri"/>
                <w:sz w:val="12"/>
                <w:szCs w:val="12"/>
              </w:rPr>
            </w:pPr>
            <w:r w:rsidRPr="00BC7A12">
              <w:rPr>
                <w:rFonts w:cs="Calibri"/>
                <w:sz w:val="12"/>
                <w:szCs w:val="12"/>
              </w:rPr>
              <w:t>1.1.2 Presence of exotic plants instream within the spatial unit</w:t>
            </w:r>
          </w:p>
        </w:tc>
        <w:tc>
          <w:tcPr>
            <w:tcW w:w="0" w:type="auto"/>
          </w:tcPr>
          <w:p w14:paraId="566C9BED" w14:textId="12DFAAB8" w:rsidR="00F210A0" w:rsidRPr="00BC7A12" w:rsidRDefault="00F210A0" w:rsidP="00F210A0">
            <w:pPr>
              <w:spacing w:after="0" w:line="240" w:lineRule="auto"/>
              <w:rPr>
                <w:rFonts w:cs="Calibri"/>
                <w:sz w:val="12"/>
                <w:szCs w:val="12"/>
              </w:rPr>
            </w:pPr>
          </w:p>
        </w:tc>
      </w:tr>
      <w:tr w:rsidR="00F210A0" w:rsidRPr="00BC7A12" w14:paraId="4525B788" w14:textId="1FA6B8B4" w:rsidTr="00F210A0">
        <w:tc>
          <w:tcPr>
            <w:tcW w:w="0" w:type="auto"/>
          </w:tcPr>
          <w:p w14:paraId="4B769F1E" w14:textId="77777777" w:rsidR="00F210A0" w:rsidRPr="00BC7A12" w:rsidRDefault="00F210A0" w:rsidP="00F210A0">
            <w:pPr>
              <w:spacing w:after="0" w:line="240" w:lineRule="auto"/>
              <w:jc w:val="left"/>
              <w:rPr>
                <w:rFonts w:cs="Calibri"/>
                <w:sz w:val="16"/>
                <w:szCs w:val="16"/>
              </w:rPr>
            </w:pPr>
            <w:r w:rsidRPr="00BC7A12">
              <w:rPr>
                <w:rFonts w:cs="Calibri"/>
                <w:sz w:val="16"/>
                <w:szCs w:val="16"/>
              </w:rPr>
              <w:t>1.2 Aquatic communities/ assemblages</w:t>
            </w:r>
          </w:p>
          <w:p w14:paraId="20C3204F" w14:textId="77777777" w:rsidR="00F210A0" w:rsidRPr="00BC7A12" w:rsidRDefault="00F210A0" w:rsidP="00F210A0">
            <w:pPr>
              <w:spacing w:after="0" w:line="240" w:lineRule="auto"/>
              <w:rPr>
                <w:rFonts w:cs="Calibri"/>
                <w:sz w:val="16"/>
                <w:szCs w:val="16"/>
              </w:rPr>
            </w:pPr>
          </w:p>
        </w:tc>
        <w:tc>
          <w:tcPr>
            <w:tcW w:w="0" w:type="auto"/>
          </w:tcPr>
          <w:p w14:paraId="78BB4B71" w14:textId="77777777" w:rsidR="00F210A0" w:rsidRPr="00BC7A12" w:rsidRDefault="00F210A0" w:rsidP="00F210A0">
            <w:pPr>
              <w:spacing w:after="0" w:line="240" w:lineRule="auto"/>
              <w:rPr>
                <w:rFonts w:cs="Calibri"/>
                <w:sz w:val="12"/>
                <w:szCs w:val="12"/>
              </w:rPr>
            </w:pPr>
            <w:r w:rsidRPr="00BC7A12">
              <w:rPr>
                <w:rFonts w:cs="Calibri"/>
                <w:sz w:val="12"/>
                <w:szCs w:val="12"/>
              </w:rPr>
              <w:t>1.2.1 SOR1 aquatic vegetation condition</w:t>
            </w:r>
          </w:p>
          <w:p w14:paraId="444A1899" w14:textId="77777777" w:rsidR="00F210A0" w:rsidRPr="00BC7A12" w:rsidRDefault="00F210A0" w:rsidP="00F210A0">
            <w:pPr>
              <w:spacing w:after="0" w:line="240" w:lineRule="auto"/>
              <w:rPr>
                <w:rFonts w:cs="Calibri"/>
                <w:sz w:val="12"/>
                <w:szCs w:val="12"/>
              </w:rPr>
            </w:pPr>
            <w:r w:rsidRPr="00BC7A12">
              <w:rPr>
                <w:rFonts w:cs="Calibri"/>
                <w:sz w:val="12"/>
                <w:szCs w:val="12"/>
              </w:rPr>
              <w:t xml:space="preserve">1.2.2 SIGNAL22 score (Max) </w:t>
            </w:r>
          </w:p>
          <w:p w14:paraId="699E8ACF" w14:textId="77777777" w:rsidR="00F210A0" w:rsidRPr="00BC7A12" w:rsidRDefault="00F210A0" w:rsidP="00F210A0">
            <w:pPr>
              <w:spacing w:after="0" w:line="240" w:lineRule="auto"/>
              <w:rPr>
                <w:rFonts w:cs="Calibri"/>
                <w:sz w:val="12"/>
                <w:szCs w:val="12"/>
              </w:rPr>
            </w:pPr>
            <w:r w:rsidRPr="00BC7A12">
              <w:rPr>
                <w:rFonts w:cs="Calibri"/>
                <w:sz w:val="12"/>
                <w:szCs w:val="12"/>
              </w:rPr>
              <w:t xml:space="preserve">1.2.3 AUSRIVAS3 score - Edge (Min band) </w:t>
            </w:r>
          </w:p>
          <w:p w14:paraId="02401041" w14:textId="77777777" w:rsidR="00F210A0" w:rsidRPr="00BC7A12" w:rsidRDefault="00F210A0" w:rsidP="00F210A0">
            <w:pPr>
              <w:spacing w:after="0" w:line="240" w:lineRule="auto"/>
              <w:rPr>
                <w:rFonts w:cs="Calibri"/>
                <w:sz w:val="12"/>
                <w:szCs w:val="12"/>
              </w:rPr>
            </w:pPr>
            <w:r w:rsidRPr="00BC7A12">
              <w:rPr>
                <w:rFonts w:cs="Calibri"/>
                <w:sz w:val="12"/>
                <w:szCs w:val="12"/>
              </w:rPr>
              <w:t xml:space="preserve">1.2.4 AUSRIVAS3 score - Pool (Min band) </w:t>
            </w:r>
          </w:p>
          <w:p w14:paraId="6EBC340D" w14:textId="77777777" w:rsidR="00F210A0" w:rsidRPr="00BC7A12" w:rsidRDefault="00F210A0" w:rsidP="00F210A0">
            <w:pPr>
              <w:spacing w:after="0" w:line="240" w:lineRule="auto"/>
              <w:rPr>
                <w:rFonts w:cs="Calibri"/>
                <w:sz w:val="12"/>
                <w:szCs w:val="12"/>
              </w:rPr>
            </w:pPr>
            <w:r w:rsidRPr="00BC7A12">
              <w:rPr>
                <w:rFonts w:cs="Calibri"/>
                <w:sz w:val="12"/>
                <w:szCs w:val="12"/>
              </w:rPr>
              <w:t>1.2.5 EPT4 score (Max)</w:t>
            </w:r>
          </w:p>
        </w:tc>
        <w:tc>
          <w:tcPr>
            <w:tcW w:w="0" w:type="auto"/>
          </w:tcPr>
          <w:p w14:paraId="5A08908E" w14:textId="77777777" w:rsidR="00F210A0" w:rsidRPr="00BC7A12" w:rsidRDefault="00F210A0" w:rsidP="00F210A0">
            <w:pPr>
              <w:spacing w:after="0" w:line="240" w:lineRule="auto"/>
              <w:rPr>
                <w:rFonts w:cs="Calibri"/>
                <w:sz w:val="12"/>
                <w:szCs w:val="12"/>
              </w:rPr>
            </w:pPr>
          </w:p>
        </w:tc>
      </w:tr>
      <w:tr w:rsidR="00F210A0" w:rsidRPr="00BC7A12" w14:paraId="67739644" w14:textId="159E7626" w:rsidTr="00F210A0">
        <w:tc>
          <w:tcPr>
            <w:tcW w:w="0" w:type="auto"/>
          </w:tcPr>
          <w:p w14:paraId="52FEC109" w14:textId="77777777" w:rsidR="00F210A0" w:rsidRPr="00BC7A12" w:rsidRDefault="00F210A0" w:rsidP="00F210A0">
            <w:pPr>
              <w:spacing w:after="0" w:line="240" w:lineRule="auto"/>
              <w:rPr>
                <w:rFonts w:cs="Calibri"/>
                <w:sz w:val="16"/>
                <w:szCs w:val="16"/>
              </w:rPr>
            </w:pPr>
            <w:r w:rsidRPr="00BC7A12">
              <w:rPr>
                <w:rFonts w:cs="Calibri"/>
                <w:sz w:val="16"/>
                <w:szCs w:val="16"/>
              </w:rPr>
              <w:t>1.3 Channel features modification</w:t>
            </w:r>
          </w:p>
        </w:tc>
        <w:tc>
          <w:tcPr>
            <w:tcW w:w="0" w:type="auto"/>
          </w:tcPr>
          <w:p w14:paraId="0ABEA825" w14:textId="77777777" w:rsidR="00327E3A" w:rsidRPr="00BC7A12" w:rsidRDefault="00F210A0" w:rsidP="00F210A0">
            <w:pPr>
              <w:spacing w:after="0" w:line="240" w:lineRule="auto"/>
              <w:rPr>
                <w:rFonts w:cs="Calibri"/>
                <w:sz w:val="12"/>
                <w:szCs w:val="12"/>
              </w:rPr>
            </w:pPr>
            <w:r w:rsidRPr="00BC7A12">
              <w:rPr>
                <w:rFonts w:cs="Calibri"/>
                <w:sz w:val="12"/>
                <w:szCs w:val="12"/>
              </w:rPr>
              <w:t xml:space="preserve">1.3.1 SOR1 bank stability </w:t>
            </w:r>
          </w:p>
          <w:p w14:paraId="014E0DC1" w14:textId="77777777" w:rsidR="00327E3A" w:rsidRPr="00BC7A12" w:rsidRDefault="00F210A0" w:rsidP="00F210A0">
            <w:pPr>
              <w:spacing w:after="0" w:line="240" w:lineRule="auto"/>
              <w:rPr>
                <w:rFonts w:cs="Calibri"/>
                <w:sz w:val="12"/>
                <w:szCs w:val="12"/>
              </w:rPr>
            </w:pPr>
            <w:r w:rsidRPr="00BC7A12">
              <w:rPr>
                <w:rFonts w:cs="Calibri"/>
                <w:sz w:val="12"/>
                <w:szCs w:val="12"/>
              </w:rPr>
              <w:t xml:space="preserve">1.3.2 SOR1 bed &amp; bar stability </w:t>
            </w:r>
          </w:p>
          <w:p w14:paraId="2C81D4E0" w14:textId="77777777" w:rsidR="00327E3A" w:rsidRPr="00BC7A12" w:rsidRDefault="00F210A0" w:rsidP="00F210A0">
            <w:pPr>
              <w:spacing w:after="0" w:line="240" w:lineRule="auto"/>
              <w:rPr>
                <w:rFonts w:cs="Calibri"/>
                <w:sz w:val="12"/>
                <w:szCs w:val="12"/>
              </w:rPr>
            </w:pPr>
            <w:r w:rsidRPr="00BC7A12">
              <w:rPr>
                <w:rFonts w:cs="Calibri"/>
                <w:sz w:val="12"/>
                <w:szCs w:val="12"/>
              </w:rPr>
              <w:t xml:space="preserve">1.3.3 SOR1 aquatic habitat condition </w:t>
            </w:r>
          </w:p>
          <w:p w14:paraId="12404DF0" w14:textId="0B829B05" w:rsidR="00F210A0" w:rsidRPr="00BC7A12" w:rsidRDefault="00F210A0" w:rsidP="00F210A0">
            <w:pPr>
              <w:spacing w:after="0" w:line="240" w:lineRule="auto"/>
              <w:rPr>
                <w:rFonts w:cs="Calibri"/>
                <w:sz w:val="12"/>
                <w:szCs w:val="12"/>
              </w:rPr>
            </w:pPr>
            <w:r w:rsidRPr="00BC7A12">
              <w:rPr>
                <w:rFonts w:cs="Calibri"/>
                <w:sz w:val="12"/>
                <w:szCs w:val="12"/>
              </w:rPr>
              <w:t>1.3.4 Presence of dams/weirs within the spatial unit</w:t>
            </w:r>
          </w:p>
          <w:p w14:paraId="47FAB798" w14:textId="77777777" w:rsidR="00F210A0" w:rsidRPr="00BC7A12" w:rsidRDefault="00F210A0" w:rsidP="00F210A0">
            <w:pPr>
              <w:spacing w:after="0" w:line="240" w:lineRule="auto"/>
              <w:rPr>
                <w:rFonts w:cs="Calibri"/>
                <w:sz w:val="12"/>
                <w:szCs w:val="12"/>
              </w:rPr>
            </w:pPr>
            <w:r w:rsidRPr="00BC7A12">
              <w:rPr>
                <w:rFonts w:cs="Calibri"/>
                <w:sz w:val="12"/>
                <w:szCs w:val="12"/>
              </w:rPr>
              <w:t>1.3.5 Inundation by dams/weirs (% of waterway length within the spatial unit)</w:t>
            </w:r>
          </w:p>
          <w:p w14:paraId="78622007" w14:textId="77777777" w:rsidR="00F210A0" w:rsidRPr="00BC7A12" w:rsidRDefault="00F210A0" w:rsidP="00F210A0">
            <w:pPr>
              <w:spacing w:after="0" w:line="240" w:lineRule="auto"/>
              <w:rPr>
                <w:rFonts w:cs="Calibri"/>
                <w:sz w:val="12"/>
                <w:szCs w:val="12"/>
              </w:rPr>
            </w:pPr>
            <w:r w:rsidRPr="00BC7A12">
              <w:rPr>
                <w:rFonts w:cs="Calibri"/>
                <w:sz w:val="12"/>
                <w:szCs w:val="12"/>
              </w:rPr>
              <w:t>1.3.6 Snag removal within the spatial unit</w:t>
            </w:r>
          </w:p>
        </w:tc>
        <w:tc>
          <w:tcPr>
            <w:tcW w:w="0" w:type="auto"/>
          </w:tcPr>
          <w:p w14:paraId="7B274C1E" w14:textId="09F7E0ED" w:rsidR="00F210A0" w:rsidRPr="00BC7A12" w:rsidRDefault="00F210A0" w:rsidP="00F210A0">
            <w:pPr>
              <w:spacing w:after="0" w:line="240" w:lineRule="auto"/>
              <w:rPr>
                <w:rFonts w:cs="Calibri"/>
                <w:sz w:val="12"/>
                <w:szCs w:val="12"/>
              </w:rPr>
            </w:pPr>
          </w:p>
        </w:tc>
      </w:tr>
      <w:tr w:rsidR="00F210A0" w:rsidRPr="00BC7A12" w14:paraId="41CA2B78" w14:textId="2DA02392" w:rsidTr="00F210A0">
        <w:tc>
          <w:tcPr>
            <w:tcW w:w="0" w:type="auto"/>
          </w:tcPr>
          <w:p w14:paraId="585893EE" w14:textId="77777777" w:rsidR="00F210A0" w:rsidRPr="00BC7A12" w:rsidRDefault="00F210A0" w:rsidP="00F210A0">
            <w:pPr>
              <w:spacing w:after="0" w:line="240" w:lineRule="auto"/>
              <w:rPr>
                <w:rFonts w:cs="Calibri"/>
                <w:sz w:val="16"/>
                <w:szCs w:val="16"/>
              </w:rPr>
            </w:pPr>
            <w:r w:rsidRPr="00BC7A12">
              <w:rPr>
                <w:rFonts w:cs="Calibri"/>
                <w:sz w:val="16"/>
                <w:szCs w:val="16"/>
              </w:rPr>
              <w:t>1.4 Hydrological modification</w:t>
            </w:r>
          </w:p>
          <w:p w14:paraId="592FFA82" w14:textId="77777777" w:rsidR="00F210A0" w:rsidRPr="00BC7A12" w:rsidRDefault="00F210A0" w:rsidP="00F210A0">
            <w:pPr>
              <w:spacing w:after="0" w:line="240" w:lineRule="auto"/>
              <w:rPr>
                <w:rFonts w:cs="Calibri"/>
                <w:sz w:val="16"/>
                <w:szCs w:val="16"/>
              </w:rPr>
            </w:pPr>
          </w:p>
        </w:tc>
        <w:tc>
          <w:tcPr>
            <w:tcW w:w="0" w:type="auto"/>
          </w:tcPr>
          <w:p w14:paraId="20AA4065" w14:textId="77777777" w:rsidR="00F210A0" w:rsidRPr="00BC7A12" w:rsidRDefault="00F210A0" w:rsidP="00F210A0">
            <w:pPr>
              <w:spacing w:after="0" w:line="240" w:lineRule="auto"/>
              <w:rPr>
                <w:rFonts w:cs="Calibri"/>
                <w:sz w:val="12"/>
                <w:szCs w:val="12"/>
              </w:rPr>
            </w:pPr>
            <w:r w:rsidRPr="00BC7A12">
              <w:rPr>
                <w:rFonts w:cs="Calibri"/>
                <w:sz w:val="12"/>
                <w:szCs w:val="12"/>
              </w:rPr>
              <w:t>1.4.1 APFD5 score - modelled deviation from natural under full development</w:t>
            </w:r>
          </w:p>
          <w:p w14:paraId="3E751D23" w14:textId="77777777" w:rsidR="00F210A0" w:rsidRPr="00BC7A12" w:rsidRDefault="00F210A0" w:rsidP="00F210A0">
            <w:pPr>
              <w:spacing w:after="0" w:line="240" w:lineRule="auto"/>
              <w:rPr>
                <w:rFonts w:cs="Calibri"/>
                <w:sz w:val="12"/>
                <w:szCs w:val="12"/>
              </w:rPr>
            </w:pPr>
            <w:r w:rsidRPr="00BC7A12">
              <w:rPr>
                <w:rFonts w:cs="Calibri"/>
                <w:sz w:val="12"/>
                <w:szCs w:val="12"/>
              </w:rPr>
              <w:t>1.4.2 % natural flows - modelled flows remaining relative to predevelopment</w:t>
            </w:r>
          </w:p>
          <w:p w14:paraId="2DEB9544" w14:textId="77777777" w:rsidR="00F210A0" w:rsidRPr="00BC7A12" w:rsidRDefault="00F210A0" w:rsidP="00F210A0">
            <w:pPr>
              <w:spacing w:after="0" w:line="240" w:lineRule="auto"/>
              <w:rPr>
                <w:rFonts w:cs="Calibri"/>
                <w:sz w:val="12"/>
                <w:szCs w:val="12"/>
              </w:rPr>
            </w:pPr>
            <w:r w:rsidRPr="00BC7A12">
              <w:rPr>
                <w:rFonts w:cs="Calibri"/>
                <w:sz w:val="12"/>
                <w:szCs w:val="12"/>
              </w:rPr>
              <w:t>1.4.3 % no flows - modelled low flows relative to predevelopment</w:t>
            </w:r>
          </w:p>
        </w:tc>
        <w:tc>
          <w:tcPr>
            <w:tcW w:w="0" w:type="auto"/>
          </w:tcPr>
          <w:p w14:paraId="73815780" w14:textId="2CADC64D" w:rsidR="00F210A0" w:rsidRPr="00BC7A12" w:rsidRDefault="00F210A0" w:rsidP="00F210A0">
            <w:pPr>
              <w:spacing w:after="0" w:line="240" w:lineRule="auto"/>
              <w:rPr>
                <w:rFonts w:cs="Calibri"/>
                <w:sz w:val="12"/>
                <w:szCs w:val="12"/>
              </w:rPr>
            </w:pPr>
          </w:p>
        </w:tc>
      </w:tr>
      <w:tr w:rsidR="00F210A0" w:rsidRPr="00BC7A12" w14:paraId="3CF2CBAB" w14:textId="4406C3EF" w:rsidTr="00F210A0">
        <w:tc>
          <w:tcPr>
            <w:tcW w:w="0" w:type="auto"/>
          </w:tcPr>
          <w:p w14:paraId="03F2654D" w14:textId="77777777" w:rsidR="00F210A0" w:rsidRPr="00BC7A12" w:rsidRDefault="00F210A0" w:rsidP="00F210A0">
            <w:pPr>
              <w:spacing w:after="0" w:line="240" w:lineRule="auto"/>
              <w:rPr>
                <w:rFonts w:cs="Calibri"/>
                <w:sz w:val="16"/>
                <w:szCs w:val="16"/>
              </w:rPr>
            </w:pPr>
            <w:r w:rsidRPr="00BC7A12">
              <w:rPr>
                <w:rFonts w:cs="Calibri"/>
                <w:sz w:val="16"/>
                <w:szCs w:val="16"/>
              </w:rPr>
              <w:t>1.5 Water quality</w:t>
            </w:r>
          </w:p>
        </w:tc>
        <w:tc>
          <w:tcPr>
            <w:tcW w:w="0" w:type="auto"/>
          </w:tcPr>
          <w:p w14:paraId="0524F220" w14:textId="77777777" w:rsidR="00F210A0" w:rsidRPr="00BC7A12" w:rsidRDefault="00F210A0" w:rsidP="00F210A0">
            <w:pPr>
              <w:spacing w:after="0" w:line="240" w:lineRule="auto"/>
              <w:rPr>
                <w:rFonts w:cs="Calibri"/>
                <w:sz w:val="12"/>
                <w:szCs w:val="12"/>
              </w:rPr>
            </w:pPr>
            <w:r w:rsidRPr="00BC7A12">
              <w:rPr>
                <w:rFonts w:cs="Calibri"/>
                <w:sz w:val="12"/>
                <w:szCs w:val="12"/>
              </w:rPr>
              <w:t xml:space="preserve">1.5.1 Median Total Phosphorous (ug/L) </w:t>
            </w:r>
          </w:p>
          <w:p w14:paraId="75695D1C" w14:textId="77777777" w:rsidR="00F210A0" w:rsidRPr="00BC7A12" w:rsidRDefault="00F210A0" w:rsidP="00F210A0">
            <w:pPr>
              <w:spacing w:after="0" w:line="240" w:lineRule="auto"/>
              <w:rPr>
                <w:rFonts w:cs="Calibri"/>
                <w:sz w:val="12"/>
                <w:szCs w:val="12"/>
              </w:rPr>
            </w:pPr>
            <w:r w:rsidRPr="00BC7A12">
              <w:rPr>
                <w:rFonts w:cs="Calibri"/>
                <w:sz w:val="12"/>
                <w:szCs w:val="12"/>
              </w:rPr>
              <w:t xml:space="preserve">1.5.2 Median Total Nitrogen (ug/L) </w:t>
            </w:r>
          </w:p>
          <w:p w14:paraId="6625F0CF" w14:textId="77777777" w:rsidR="00F210A0" w:rsidRPr="00BC7A12" w:rsidRDefault="00F210A0" w:rsidP="00F210A0">
            <w:pPr>
              <w:spacing w:after="0" w:line="240" w:lineRule="auto"/>
              <w:rPr>
                <w:rFonts w:cs="Calibri"/>
                <w:sz w:val="12"/>
                <w:szCs w:val="12"/>
              </w:rPr>
            </w:pPr>
            <w:r w:rsidRPr="00BC7A12">
              <w:rPr>
                <w:rFonts w:cs="Calibri"/>
                <w:sz w:val="12"/>
                <w:szCs w:val="12"/>
              </w:rPr>
              <w:t xml:space="preserve">1.5.3 Median Turbidity (ug/L) </w:t>
            </w:r>
          </w:p>
          <w:p w14:paraId="589415EE" w14:textId="77777777" w:rsidR="00F210A0" w:rsidRPr="00BC7A12" w:rsidRDefault="00F210A0" w:rsidP="00F210A0">
            <w:pPr>
              <w:spacing w:after="0" w:line="240" w:lineRule="auto"/>
              <w:rPr>
                <w:rFonts w:cs="Calibri"/>
                <w:sz w:val="12"/>
                <w:szCs w:val="12"/>
              </w:rPr>
            </w:pPr>
            <w:r w:rsidRPr="00BC7A12">
              <w:rPr>
                <w:rFonts w:cs="Calibri"/>
                <w:sz w:val="12"/>
                <w:szCs w:val="12"/>
              </w:rPr>
              <w:t xml:space="preserve">1.5.4 Median Conductivity (ug/L) </w:t>
            </w:r>
          </w:p>
          <w:p w14:paraId="441A3868" w14:textId="77777777" w:rsidR="00F210A0" w:rsidRPr="00BC7A12" w:rsidRDefault="00F210A0" w:rsidP="00F210A0">
            <w:pPr>
              <w:spacing w:after="0" w:line="240" w:lineRule="auto"/>
              <w:rPr>
                <w:rFonts w:cs="Calibri"/>
                <w:sz w:val="12"/>
                <w:szCs w:val="12"/>
              </w:rPr>
            </w:pPr>
            <w:r w:rsidRPr="00BC7A12">
              <w:rPr>
                <w:rFonts w:cs="Calibri"/>
                <w:sz w:val="12"/>
                <w:szCs w:val="12"/>
              </w:rPr>
              <w:t>1.5.5 Median pH</w:t>
            </w:r>
          </w:p>
        </w:tc>
        <w:tc>
          <w:tcPr>
            <w:tcW w:w="0" w:type="auto"/>
          </w:tcPr>
          <w:p w14:paraId="52977A2B" w14:textId="77777777" w:rsidR="00F210A0" w:rsidRPr="00BC7A12" w:rsidRDefault="00F210A0" w:rsidP="00F210A0">
            <w:pPr>
              <w:spacing w:after="0" w:line="240" w:lineRule="auto"/>
              <w:rPr>
                <w:rFonts w:cs="Calibri"/>
                <w:sz w:val="12"/>
                <w:szCs w:val="12"/>
              </w:rPr>
            </w:pPr>
          </w:p>
        </w:tc>
      </w:tr>
      <w:tr w:rsidR="00F210A0" w:rsidRPr="00BC7A12" w14:paraId="3B4F01CF" w14:textId="1836B55D" w:rsidTr="00FB1AC2">
        <w:tc>
          <w:tcPr>
            <w:tcW w:w="0" w:type="auto"/>
            <w:gridSpan w:val="2"/>
            <w:shd w:val="clear" w:color="auto" w:fill="D9D9D9" w:themeFill="background1" w:themeFillShade="D9"/>
          </w:tcPr>
          <w:p w14:paraId="497C2973" w14:textId="77777777" w:rsidR="00F210A0" w:rsidRPr="00BC7A12" w:rsidRDefault="00F210A0" w:rsidP="00F210A0">
            <w:pPr>
              <w:spacing w:after="0" w:line="240" w:lineRule="auto"/>
              <w:rPr>
                <w:rFonts w:cs="Calibri"/>
                <w:sz w:val="16"/>
                <w:szCs w:val="16"/>
              </w:rPr>
            </w:pPr>
            <w:r w:rsidRPr="00BC7A12">
              <w:rPr>
                <w:rFonts w:cs="Calibri"/>
                <w:sz w:val="16"/>
                <w:szCs w:val="16"/>
              </w:rPr>
              <w:t xml:space="preserve">2 Naturalness Catchment </w:t>
            </w:r>
          </w:p>
        </w:tc>
        <w:tc>
          <w:tcPr>
            <w:tcW w:w="0" w:type="auto"/>
            <w:shd w:val="clear" w:color="auto" w:fill="D9D9D9" w:themeFill="background1" w:themeFillShade="D9"/>
          </w:tcPr>
          <w:p w14:paraId="05D8804A" w14:textId="77777777" w:rsidR="00F210A0" w:rsidRPr="00BC7A12" w:rsidRDefault="00F210A0" w:rsidP="00F210A0">
            <w:pPr>
              <w:spacing w:after="0" w:line="240" w:lineRule="auto"/>
              <w:rPr>
                <w:rFonts w:cs="Calibri"/>
                <w:sz w:val="16"/>
                <w:szCs w:val="16"/>
              </w:rPr>
            </w:pPr>
          </w:p>
        </w:tc>
      </w:tr>
      <w:tr w:rsidR="00327E3A" w:rsidRPr="00BC7A12" w14:paraId="675BA426" w14:textId="5DBE3FA4" w:rsidTr="00F210A0">
        <w:tc>
          <w:tcPr>
            <w:tcW w:w="0" w:type="auto"/>
          </w:tcPr>
          <w:p w14:paraId="610544A7" w14:textId="77777777" w:rsidR="00327E3A" w:rsidRPr="00BC7A12" w:rsidRDefault="00327E3A" w:rsidP="00327E3A">
            <w:pPr>
              <w:spacing w:after="0" w:line="240" w:lineRule="auto"/>
              <w:rPr>
                <w:rFonts w:cs="Calibri"/>
                <w:sz w:val="16"/>
                <w:szCs w:val="16"/>
              </w:rPr>
            </w:pPr>
            <w:r w:rsidRPr="00BC7A12">
              <w:rPr>
                <w:rFonts w:cs="Calibri"/>
                <w:sz w:val="16"/>
                <w:szCs w:val="16"/>
              </w:rPr>
              <w:t>2.1 Exotic flora/fauna</w:t>
            </w:r>
          </w:p>
        </w:tc>
        <w:tc>
          <w:tcPr>
            <w:tcW w:w="0" w:type="auto"/>
          </w:tcPr>
          <w:p w14:paraId="2227AE6F" w14:textId="77777777" w:rsidR="00327E3A" w:rsidRPr="00BC7A12" w:rsidRDefault="00327E3A" w:rsidP="00327E3A">
            <w:pPr>
              <w:spacing w:after="0" w:line="240" w:lineRule="auto"/>
              <w:rPr>
                <w:rFonts w:cs="Calibri"/>
                <w:sz w:val="12"/>
                <w:szCs w:val="12"/>
              </w:rPr>
            </w:pPr>
            <w:r w:rsidRPr="00BC7A12">
              <w:rPr>
                <w:rFonts w:cs="Calibri"/>
                <w:sz w:val="12"/>
                <w:szCs w:val="12"/>
              </w:rPr>
              <w:t>2.1.1 Presence of exotic plants in the riparian zone within the spatial unit</w:t>
            </w:r>
          </w:p>
        </w:tc>
        <w:tc>
          <w:tcPr>
            <w:tcW w:w="0" w:type="auto"/>
          </w:tcPr>
          <w:p w14:paraId="669C6F96" w14:textId="088E9685" w:rsidR="00327E3A" w:rsidRPr="00BC7A12" w:rsidRDefault="00327E3A" w:rsidP="00327E3A">
            <w:pPr>
              <w:spacing w:after="0" w:line="240" w:lineRule="auto"/>
              <w:rPr>
                <w:rFonts w:cs="Calibri"/>
                <w:sz w:val="12"/>
                <w:szCs w:val="12"/>
              </w:rPr>
            </w:pPr>
          </w:p>
        </w:tc>
      </w:tr>
      <w:tr w:rsidR="00327E3A" w:rsidRPr="00BC7A12" w14:paraId="64333176" w14:textId="1A71B4BF" w:rsidTr="00F210A0">
        <w:tc>
          <w:tcPr>
            <w:tcW w:w="0" w:type="auto"/>
          </w:tcPr>
          <w:p w14:paraId="41B53F1D" w14:textId="77777777" w:rsidR="00327E3A" w:rsidRPr="00BC7A12" w:rsidRDefault="00327E3A" w:rsidP="00327E3A">
            <w:pPr>
              <w:spacing w:after="0" w:line="240" w:lineRule="auto"/>
              <w:rPr>
                <w:rFonts w:cs="Calibri"/>
                <w:sz w:val="16"/>
                <w:szCs w:val="16"/>
              </w:rPr>
            </w:pPr>
            <w:r w:rsidRPr="00BC7A12">
              <w:rPr>
                <w:rFonts w:cs="Calibri"/>
                <w:sz w:val="16"/>
                <w:szCs w:val="16"/>
              </w:rPr>
              <w:t>2.2 Riparian disturbance</w:t>
            </w:r>
          </w:p>
        </w:tc>
        <w:tc>
          <w:tcPr>
            <w:tcW w:w="0" w:type="auto"/>
          </w:tcPr>
          <w:p w14:paraId="6143184B" w14:textId="77777777" w:rsidR="00327E3A" w:rsidRPr="00BC7A12" w:rsidRDefault="00327E3A" w:rsidP="00327E3A">
            <w:pPr>
              <w:spacing w:after="0" w:line="240" w:lineRule="auto"/>
              <w:rPr>
                <w:rFonts w:cs="Calibri"/>
                <w:sz w:val="12"/>
                <w:szCs w:val="12"/>
              </w:rPr>
            </w:pPr>
            <w:r w:rsidRPr="00BC7A12">
              <w:rPr>
                <w:rFonts w:cs="Calibri"/>
                <w:sz w:val="12"/>
                <w:szCs w:val="12"/>
              </w:rPr>
              <w:t>2.2.1 % area remnant vegetation across the spatial unit relative to preclear extent within buffered watercourses (i.e. in the riparian zone)</w:t>
            </w:r>
          </w:p>
          <w:p w14:paraId="6607F080" w14:textId="77777777" w:rsidR="00327E3A" w:rsidRPr="00BC7A12" w:rsidRDefault="00327E3A" w:rsidP="00327E3A">
            <w:pPr>
              <w:spacing w:after="0" w:line="240" w:lineRule="auto"/>
              <w:rPr>
                <w:rFonts w:cs="Calibri"/>
                <w:sz w:val="12"/>
                <w:szCs w:val="12"/>
              </w:rPr>
            </w:pPr>
            <w:r w:rsidRPr="00BC7A12">
              <w:rPr>
                <w:rFonts w:cs="Calibri"/>
                <w:sz w:val="12"/>
                <w:szCs w:val="12"/>
              </w:rPr>
              <w:t>2.2.2 % area of wetland REs in the spatial unit relative to preclear extent</w:t>
            </w:r>
          </w:p>
          <w:p w14:paraId="59A256FC" w14:textId="77777777" w:rsidR="00327E3A" w:rsidRPr="00BC7A12" w:rsidRDefault="00327E3A" w:rsidP="00327E3A">
            <w:pPr>
              <w:spacing w:after="0" w:line="240" w:lineRule="auto"/>
              <w:rPr>
                <w:rFonts w:cs="Calibri"/>
                <w:sz w:val="12"/>
                <w:szCs w:val="12"/>
              </w:rPr>
            </w:pPr>
            <w:r w:rsidRPr="00BC7A12">
              <w:rPr>
                <w:rFonts w:cs="Calibri"/>
                <w:sz w:val="12"/>
                <w:szCs w:val="12"/>
              </w:rPr>
              <w:t>2.2.3 Total number of REs within riparian areas relative to preclear number of REs within buffered watercourses</w:t>
            </w:r>
          </w:p>
          <w:p w14:paraId="43EFDE62" w14:textId="77777777" w:rsidR="00327E3A" w:rsidRPr="00BC7A12" w:rsidRDefault="00327E3A" w:rsidP="00327E3A">
            <w:pPr>
              <w:spacing w:after="0" w:line="240" w:lineRule="auto"/>
              <w:rPr>
                <w:rFonts w:cs="Calibri"/>
                <w:sz w:val="12"/>
                <w:szCs w:val="12"/>
              </w:rPr>
            </w:pPr>
            <w:r w:rsidRPr="00BC7A12">
              <w:rPr>
                <w:rFonts w:cs="Calibri"/>
                <w:sz w:val="12"/>
                <w:szCs w:val="12"/>
              </w:rPr>
              <w:t>2.2.4 SOR1 reach environs 2.2.5 SOR1 riparian vegetation condition</w:t>
            </w:r>
          </w:p>
        </w:tc>
        <w:tc>
          <w:tcPr>
            <w:tcW w:w="0" w:type="auto"/>
          </w:tcPr>
          <w:p w14:paraId="172FC267" w14:textId="77777777" w:rsidR="00327E3A" w:rsidRPr="00BC7A12" w:rsidRDefault="00327E3A" w:rsidP="00327E3A">
            <w:pPr>
              <w:spacing w:after="0" w:line="240" w:lineRule="auto"/>
              <w:rPr>
                <w:rFonts w:cs="Calibri"/>
                <w:sz w:val="12"/>
                <w:szCs w:val="12"/>
              </w:rPr>
            </w:pPr>
          </w:p>
        </w:tc>
      </w:tr>
      <w:tr w:rsidR="00327E3A" w:rsidRPr="00BC7A12" w14:paraId="4A2CEB17" w14:textId="1E41BA0B" w:rsidTr="00F210A0">
        <w:tc>
          <w:tcPr>
            <w:tcW w:w="0" w:type="auto"/>
          </w:tcPr>
          <w:p w14:paraId="1AFD703C" w14:textId="77777777" w:rsidR="00327E3A" w:rsidRPr="00BC7A12" w:rsidRDefault="00327E3A" w:rsidP="00327E3A">
            <w:pPr>
              <w:spacing w:after="0" w:line="240" w:lineRule="auto"/>
              <w:rPr>
                <w:rFonts w:cs="Calibri"/>
                <w:sz w:val="16"/>
                <w:szCs w:val="16"/>
              </w:rPr>
            </w:pPr>
            <w:r w:rsidRPr="00BC7A12">
              <w:rPr>
                <w:rFonts w:cs="Calibri"/>
                <w:sz w:val="16"/>
                <w:szCs w:val="16"/>
              </w:rPr>
              <w:t>2.3 Catchment disturbance</w:t>
            </w:r>
          </w:p>
        </w:tc>
        <w:tc>
          <w:tcPr>
            <w:tcW w:w="0" w:type="auto"/>
          </w:tcPr>
          <w:p w14:paraId="07C764A6" w14:textId="77777777" w:rsidR="00327E3A" w:rsidRPr="00BC7A12" w:rsidRDefault="00327E3A" w:rsidP="00327E3A">
            <w:pPr>
              <w:spacing w:after="0" w:line="240" w:lineRule="auto"/>
              <w:rPr>
                <w:rFonts w:cs="Calibri"/>
                <w:sz w:val="12"/>
                <w:szCs w:val="12"/>
              </w:rPr>
            </w:pPr>
            <w:r w:rsidRPr="00BC7A12">
              <w:rPr>
                <w:rFonts w:cs="Calibri"/>
                <w:sz w:val="12"/>
                <w:szCs w:val="12"/>
              </w:rPr>
              <w:t>2.3.1 % ‘agricultural’ land-use area by spatial unit (i.e. cropping and horticulture)</w:t>
            </w:r>
          </w:p>
          <w:p w14:paraId="076CE649" w14:textId="77777777" w:rsidR="00327E3A" w:rsidRPr="00BC7A12" w:rsidRDefault="00327E3A" w:rsidP="00327E3A">
            <w:pPr>
              <w:spacing w:after="0" w:line="240" w:lineRule="auto"/>
              <w:rPr>
                <w:rFonts w:cs="Calibri"/>
                <w:sz w:val="12"/>
                <w:szCs w:val="12"/>
              </w:rPr>
            </w:pPr>
            <w:r w:rsidRPr="00BC7A12">
              <w:rPr>
                <w:rFonts w:cs="Calibri"/>
                <w:sz w:val="12"/>
                <w:szCs w:val="12"/>
              </w:rPr>
              <w:t>2.3.2 % ‘grazing’ land-use area by spatial unit 2.3.3 % ‘vegetation’ land-use area by spatial unit (i.e. native veg + regrowth)</w:t>
            </w:r>
          </w:p>
          <w:p w14:paraId="77CB37E9" w14:textId="77777777" w:rsidR="00327E3A" w:rsidRPr="00BC7A12" w:rsidRDefault="00327E3A" w:rsidP="00327E3A">
            <w:pPr>
              <w:spacing w:after="0" w:line="240" w:lineRule="auto"/>
              <w:rPr>
                <w:rFonts w:cs="Calibri"/>
                <w:sz w:val="12"/>
                <w:szCs w:val="12"/>
              </w:rPr>
            </w:pPr>
            <w:r w:rsidRPr="00BC7A12">
              <w:rPr>
                <w:rFonts w:cs="Calibri"/>
                <w:sz w:val="12"/>
                <w:szCs w:val="12"/>
              </w:rPr>
              <w:t>2.3.4 % ‘settlement’ land-use area by spatial unit (i.e. towns, cities, etc)</w:t>
            </w:r>
          </w:p>
        </w:tc>
        <w:tc>
          <w:tcPr>
            <w:tcW w:w="0" w:type="auto"/>
          </w:tcPr>
          <w:p w14:paraId="5A8AFC8E" w14:textId="77777777" w:rsidR="00327E3A" w:rsidRPr="00BC7A12" w:rsidRDefault="00327E3A" w:rsidP="00327E3A">
            <w:pPr>
              <w:spacing w:after="0" w:line="240" w:lineRule="auto"/>
              <w:rPr>
                <w:rFonts w:cs="Calibri"/>
                <w:sz w:val="12"/>
                <w:szCs w:val="12"/>
              </w:rPr>
            </w:pPr>
          </w:p>
        </w:tc>
      </w:tr>
      <w:tr w:rsidR="00327E3A" w:rsidRPr="00BC7A12" w14:paraId="4F9E98EC" w14:textId="2107B525" w:rsidTr="00F210A0">
        <w:tc>
          <w:tcPr>
            <w:tcW w:w="0" w:type="auto"/>
          </w:tcPr>
          <w:p w14:paraId="3843BE87" w14:textId="77777777" w:rsidR="00327E3A" w:rsidRPr="00BC7A12" w:rsidRDefault="00327E3A" w:rsidP="00327E3A">
            <w:pPr>
              <w:spacing w:after="0" w:line="240" w:lineRule="auto"/>
              <w:rPr>
                <w:rFonts w:cs="Calibri"/>
                <w:sz w:val="16"/>
                <w:szCs w:val="16"/>
              </w:rPr>
            </w:pPr>
            <w:r w:rsidRPr="00BC7A12">
              <w:rPr>
                <w:rFonts w:cs="Calibri"/>
                <w:sz w:val="16"/>
                <w:szCs w:val="16"/>
              </w:rPr>
              <w:t>2.4 Flow modification</w:t>
            </w:r>
          </w:p>
        </w:tc>
        <w:tc>
          <w:tcPr>
            <w:tcW w:w="0" w:type="auto"/>
          </w:tcPr>
          <w:p w14:paraId="19F10D79" w14:textId="77777777" w:rsidR="00327E3A" w:rsidRPr="00BC7A12" w:rsidRDefault="00327E3A" w:rsidP="00327E3A">
            <w:pPr>
              <w:spacing w:after="0" w:line="240" w:lineRule="auto"/>
              <w:rPr>
                <w:rFonts w:cs="Calibri"/>
                <w:sz w:val="12"/>
                <w:szCs w:val="12"/>
              </w:rPr>
            </w:pPr>
            <w:r w:rsidRPr="00BC7A12">
              <w:rPr>
                <w:rFonts w:cs="Calibri"/>
                <w:sz w:val="12"/>
                <w:szCs w:val="12"/>
              </w:rPr>
              <w:t>2.4.1 Farm storage (overland flow harvesting and gully dams) calculated by surface area within the spatial unit</w:t>
            </w:r>
          </w:p>
        </w:tc>
        <w:tc>
          <w:tcPr>
            <w:tcW w:w="0" w:type="auto"/>
          </w:tcPr>
          <w:p w14:paraId="3FBD12F3" w14:textId="77777777" w:rsidR="00327E3A" w:rsidRPr="00BC7A12" w:rsidRDefault="00327E3A" w:rsidP="00327E3A">
            <w:pPr>
              <w:spacing w:after="0" w:line="240" w:lineRule="auto"/>
              <w:rPr>
                <w:rFonts w:cs="Calibri"/>
                <w:sz w:val="12"/>
                <w:szCs w:val="12"/>
              </w:rPr>
            </w:pPr>
          </w:p>
        </w:tc>
      </w:tr>
      <w:tr w:rsidR="00327E3A" w:rsidRPr="00BC7A12" w14:paraId="26CD3DB9" w14:textId="538CCB31" w:rsidTr="00FB1AC2">
        <w:tc>
          <w:tcPr>
            <w:tcW w:w="0" w:type="auto"/>
            <w:gridSpan w:val="2"/>
            <w:shd w:val="clear" w:color="auto" w:fill="D9D9D9" w:themeFill="background1" w:themeFillShade="D9"/>
          </w:tcPr>
          <w:p w14:paraId="125D77E5" w14:textId="77777777" w:rsidR="00327E3A" w:rsidRPr="00BC7A12" w:rsidRDefault="00327E3A" w:rsidP="00327E3A">
            <w:pPr>
              <w:spacing w:after="0" w:line="240" w:lineRule="auto"/>
              <w:rPr>
                <w:rFonts w:cs="Calibri"/>
                <w:sz w:val="16"/>
                <w:szCs w:val="16"/>
              </w:rPr>
            </w:pPr>
            <w:r w:rsidRPr="00BC7A12">
              <w:rPr>
                <w:rFonts w:cs="Calibri"/>
                <w:sz w:val="16"/>
                <w:szCs w:val="16"/>
              </w:rPr>
              <w:t>3 Diversity and Richness</w:t>
            </w:r>
          </w:p>
        </w:tc>
        <w:tc>
          <w:tcPr>
            <w:tcW w:w="0" w:type="auto"/>
            <w:shd w:val="clear" w:color="auto" w:fill="D9D9D9" w:themeFill="background1" w:themeFillShade="D9"/>
          </w:tcPr>
          <w:p w14:paraId="5B5C0B9D" w14:textId="77777777" w:rsidR="00327E3A" w:rsidRPr="00BC7A12" w:rsidRDefault="00327E3A" w:rsidP="00327E3A">
            <w:pPr>
              <w:spacing w:after="0" w:line="240" w:lineRule="auto"/>
              <w:rPr>
                <w:rFonts w:cs="Calibri"/>
                <w:sz w:val="12"/>
                <w:szCs w:val="12"/>
              </w:rPr>
            </w:pPr>
          </w:p>
        </w:tc>
      </w:tr>
      <w:tr w:rsidR="00327E3A" w:rsidRPr="00BC7A12" w14:paraId="7EED3BD6" w14:textId="753666B1" w:rsidTr="00F210A0">
        <w:tc>
          <w:tcPr>
            <w:tcW w:w="0" w:type="auto"/>
          </w:tcPr>
          <w:p w14:paraId="2AC59828" w14:textId="77777777" w:rsidR="00327E3A" w:rsidRPr="00BC7A12" w:rsidRDefault="00327E3A" w:rsidP="00327E3A">
            <w:pPr>
              <w:spacing w:after="0" w:line="240" w:lineRule="auto"/>
              <w:rPr>
                <w:rFonts w:cs="Calibri"/>
                <w:sz w:val="16"/>
                <w:szCs w:val="16"/>
              </w:rPr>
            </w:pPr>
            <w:r w:rsidRPr="00BC7A12">
              <w:rPr>
                <w:rFonts w:cs="Calibri"/>
                <w:sz w:val="16"/>
                <w:szCs w:val="16"/>
              </w:rPr>
              <w:t>3.1 Species</w:t>
            </w:r>
          </w:p>
        </w:tc>
        <w:tc>
          <w:tcPr>
            <w:tcW w:w="0" w:type="auto"/>
          </w:tcPr>
          <w:p w14:paraId="796B07FA" w14:textId="77777777" w:rsidR="00327E3A" w:rsidRPr="00BC7A12" w:rsidRDefault="00327E3A" w:rsidP="00327E3A">
            <w:pPr>
              <w:spacing w:after="0" w:line="240" w:lineRule="auto"/>
              <w:rPr>
                <w:rFonts w:cs="Calibri"/>
                <w:sz w:val="12"/>
                <w:szCs w:val="12"/>
              </w:rPr>
            </w:pPr>
            <w:r w:rsidRPr="00BC7A12">
              <w:rPr>
                <w:rFonts w:cs="Calibri"/>
                <w:sz w:val="12"/>
                <w:szCs w:val="12"/>
              </w:rPr>
              <w:t xml:space="preserve">3.1.1 Richness of amphibians </w:t>
            </w:r>
          </w:p>
          <w:p w14:paraId="1A1DECAC" w14:textId="77777777" w:rsidR="00327E3A" w:rsidRPr="00BC7A12" w:rsidRDefault="00327E3A" w:rsidP="00327E3A">
            <w:pPr>
              <w:spacing w:after="0" w:line="240" w:lineRule="auto"/>
              <w:rPr>
                <w:rFonts w:cs="Calibri"/>
                <w:sz w:val="12"/>
                <w:szCs w:val="12"/>
              </w:rPr>
            </w:pPr>
            <w:r w:rsidRPr="00BC7A12">
              <w:rPr>
                <w:rFonts w:cs="Calibri"/>
                <w:sz w:val="12"/>
                <w:szCs w:val="12"/>
              </w:rPr>
              <w:t xml:space="preserve">3.1.2 Richness of native fish </w:t>
            </w:r>
          </w:p>
          <w:p w14:paraId="090D36DD" w14:textId="77777777" w:rsidR="00327E3A" w:rsidRPr="00BC7A12" w:rsidRDefault="00327E3A" w:rsidP="00327E3A">
            <w:pPr>
              <w:spacing w:after="0" w:line="240" w:lineRule="auto"/>
              <w:rPr>
                <w:rFonts w:cs="Calibri"/>
                <w:sz w:val="12"/>
                <w:szCs w:val="12"/>
              </w:rPr>
            </w:pPr>
            <w:r w:rsidRPr="00BC7A12">
              <w:rPr>
                <w:rFonts w:cs="Calibri"/>
                <w:sz w:val="12"/>
                <w:szCs w:val="12"/>
              </w:rPr>
              <w:t xml:space="preserve">3.1.3 Richness of native reptiles </w:t>
            </w:r>
          </w:p>
          <w:p w14:paraId="5AFE6E7C" w14:textId="77777777" w:rsidR="00327E3A" w:rsidRPr="00BC7A12" w:rsidRDefault="00327E3A" w:rsidP="00327E3A">
            <w:pPr>
              <w:spacing w:after="0" w:line="240" w:lineRule="auto"/>
              <w:rPr>
                <w:rFonts w:cs="Calibri"/>
                <w:sz w:val="12"/>
                <w:szCs w:val="12"/>
              </w:rPr>
            </w:pPr>
            <w:r w:rsidRPr="00BC7A12">
              <w:rPr>
                <w:rFonts w:cs="Calibri"/>
                <w:sz w:val="12"/>
                <w:szCs w:val="12"/>
              </w:rPr>
              <w:t xml:space="preserve">3.1.4 Richness of native waterbirds </w:t>
            </w:r>
          </w:p>
          <w:p w14:paraId="6DE17FB5" w14:textId="77777777" w:rsidR="00327E3A" w:rsidRPr="00BC7A12" w:rsidRDefault="00327E3A" w:rsidP="00327E3A">
            <w:pPr>
              <w:spacing w:after="0" w:line="240" w:lineRule="auto"/>
              <w:rPr>
                <w:rFonts w:cs="Calibri"/>
                <w:sz w:val="12"/>
                <w:szCs w:val="12"/>
              </w:rPr>
            </w:pPr>
            <w:r w:rsidRPr="00BC7A12">
              <w:rPr>
                <w:rFonts w:cs="Calibri"/>
                <w:sz w:val="12"/>
                <w:szCs w:val="12"/>
              </w:rPr>
              <w:t>3.1.5 Richness of aquatic plants (macrophytes)</w:t>
            </w:r>
          </w:p>
        </w:tc>
        <w:tc>
          <w:tcPr>
            <w:tcW w:w="0" w:type="auto"/>
          </w:tcPr>
          <w:p w14:paraId="430E7A47" w14:textId="0BA0442E" w:rsidR="00374290" w:rsidRPr="00BC7A12" w:rsidRDefault="00374290" w:rsidP="00327E3A">
            <w:pPr>
              <w:spacing w:after="0" w:line="240" w:lineRule="auto"/>
              <w:rPr>
                <w:rFonts w:cs="Calibri"/>
                <w:sz w:val="12"/>
                <w:szCs w:val="12"/>
              </w:rPr>
            </w:pPr>
            <w:r w:rsidRPr="00BC7A12">
              <w:rPr>
                <w:rFonts w:cs="Calibri"/>
                <w:sz w:val="14"/>
                <w:szCs w:val="14"/>
              </w:rPr>
              <w:t>Root density (#/m^2), Root height (Mangrove) (m), Root size (Mangrove) (m), stem density (#/m^2), stem height (m)</w:t>
            </w:r>
          </w:p>
        </w:tc>
      </w:tr>
      <w:tr w:rsidR="00327E3A" w:rsidRPr="00BC7A12" w14:paraId="7FB1E97F" w14:textId="1D75D7E0" w:rsidTr="00F210A0">
        <w:tc>
          <w:tcPr>
            <w:tcW w:w="0" w:type="auto"/>
          </w:tcPr>
          <w:p w14:paraId="6E1D6EF6" w14:textId="77777777" w:rsidR="00327E3A" w:rsidRPr="00BC7A12" w:rsidRDefault="00327E3A" w:rsidP="00327E3A">
            <w:pPr>
              <w:spacing w:after="0" w:line="240" w:lineRule="auto"/>
              <w:rPr>
                <w:rFonts w:cs="Calibri"/>
                <w:sz w:val="16"/>
                <w:szCs w:val="16"/>
              </w:rPr>
            </w:pPr>
            <w:r w:rsidRPr="00BC7A12">
              <w:rPr>
                <w:rFonts w:cs="Calibri"/>
                <w:sz w:val="16"/>
                <w:szCs w:val="16"/>
              </w:rPr>
              <w:t>3.2 Communities/assemblages</w:t>
            </w:r>
          </w:p>
        </w:tc>
        <w:tc>
          <w:tcPr>
            <w:tcW w:w="0" w:type="auto"/>
          </w:tcPr>
          <w:p w14:paraId="7A36B4B2" w14:textId="77777777" w:rsidR="00327E3A" w:rsidRPr="00BC7A12" w:rsidRDefault="00327E3A" w:rsidP="00327E3A">
            <w:pPr>
              <w:spacing w:after="0" w:line="240" w:lineRule="auto"/>
              <w:rPr>
                <w:rFonts w:cs="Calibri"/>
                <w:sz w:val="12"/>
                <w:szCs w:val="12"/>
              </w:rPr>
            </w:pPr>
            <w:r w:rsidRPr="00BC7A12">
              <w:rPr>
                <w:rFonts w:cs="Calibri"/>
                <w:sz w:val="12"/>
                <w:szCs w:val="12"/>
              </w:rPr>
              <w:t xml:space="preserve">3.2.1 Number of macroinvertebrate taxa (Family level taxonomy) </w:t>
            </w:r>
          </w:p>
          <w:p w14:paraId="1FBF0F12" w14:textId="77777777" w:rsidR="00327E3A" w:rsidRPr="00BC7A12" w:rsidRDefault="00327E3A" w:rsidP="00327E3A">
            <w:pPr>
              <w:spacing w:after="0" w:line="240" w:lineRule="auto"/>
              <w:rPr>
                <w:rFonts w:cs="Calibri"/>
                <w:sz w:val="12"/>
                <w:szCs w:val="12"/>
              </w:rPr>
            </w:pPr>
            <w:r w:rsidRPr="00BC7A12">
              <w:rPr>
                <w:rFonts w:cs="Calibri"/>
                <w:sz w:val="12"/>
                <w:szCs w:val="12"/>
              </w:rPr>
              <w:t>3.2.2 Riparian vegetation richness represented by richness of REs along watercourses within a specified buffer distance from the stream</w:t>
            </w:r>
          </w:p>
        </w:tc>
        <w:tc>
          <w:tcPr>
            <w:tcW w:w="0" w:type="auto"/>
          </w:tcPr>
          <w:p w14:paraId="4CE77D4C" w14:textId="77777777" w:rsidR="00327E3A" w:rsidRPr="00BC7A12" w:rsidRDefault="00327E3A" w:rsidP="00327E3A">
            <w:pPr>
              <w:spacing w:after="0" w:line="240" w:lineRule="auto"/>
              <w:rPr>
                <w:rFonts w:cs="Calibri"/>
                <w:sz w:val="12"/>
                <w:szCs w:val="12"/>
              </w:rPr>
            </w:pPr>
          </w:p>
        </w:tc>
      </w:tr>
      <w:tr w:rsidR="00327E3A" w:rsidRPr="00BC7A12" w14:paraId="2A184508" w14:textId="67BEAD0A" w:rsidTr="00F210A0">
        <w:tc>
          <w:tcPr>
            <w:tcW w:w="0" w:type="auto"/>
          </w:tcPr>
          <w:p w14:paraId="6757A3AC" w14:textId="77777777" w:rsidR="00327E3A" w:rsidRPr="00BC7A12" w:rsidRDefault="00327E3A" w:rsidP="00327E3A">
            <w:pPr>
              <w:spacing w:after="0" w:line="240" w:lineRule="auto"/>
              <w:rPr>
                <w:rFonts w:cs="Calibri"/>
                <w:sz w:val="16"/>
                <w:szCs w:val="16"/>
              </w:rPr>
            </w:pPr>
            <w:r w:rsidRPr="00BC7A12">
              <w:rPr>
                <w:rFonts w:cs="Calibri"/>
                <w:sz w:val="16"/>
                <w:szCs w:val="16"/>
              </w:rPr>
              <w:t>3.3 Habitat</w:t>
            </w:r>
          </w:p>
        </w:tc>
        <w:tc>
          <w:tcPr>
            <w:tcW w:w="0" w:type="auto"/>
          </w:tcPr>
          <w:p w14:paraId="282EE51D" w14:textId="77777777" w:rsidR="00327E3A" w:rsidRPr="00BC7A12" w:rsidRDefault="00327E3A" w:rsidP="00327E3A">
            <w:pPr>
              <w:spacing w:after="0" w:line="240" w:lineRule="auto"/>
              <w:rPr>
                <w:rFonts w:cs="Calibri"/>
                <w:sz w:val="12"/>
                <w:szCs w:val="12"/>
              </w:rPr>
            </w:pPr>
            <w:r w:rsidRPr="00BC7A12">
              <w:rPr>
                <w:rFonts w:cs="Calibri"/>
                <w:sz w:val="12"/>
                <w:szCs w:val="12"/>
              </w:rPr>
              <w:t xml:space="preserve">3.3.1 SOR channel diversity </w:t>
            </w:r>
          </w:p>
        </w:tc>
        <w:tc>
          <w:tcPr>
            <w:tcW w:w="0" w:type="auto"/>
          </w:tcPr>
          <w:p w14:paraId="19015012" w14:textId="77777777" w:rsidR="00327E3A" w:rsidRPr="00BC7A12" w:rsidRDefault="00327E3A" w:rsidP="00327E3A">
            <w:pPr>
              <w:spacing w:after="0" w:line="240" w:lineRule="auto"/>
              <w:rPr>
                <w:rFonts w:cs="Calibri"/>
                <w:sz w:val="12"/>
                <w:szCs w:val="12"/>
              </w:rPr>
            </w:pPr>
          </w:p>
        </w:tc>
      </w:tr>
      <w:tr w:rsidR="00327E3A" w:rsidRPr="00BC7A12" w14:paraId="66AF4A5B" w14:textId="62698A8B" w:rsidTr="00F210A0">
        <w:tc>
          <w:tcPr>
            <w:tcW w:w="0" w:type="auto"/>
          </w:tcPr>
          <w:p w14:paraId="001CFFEE" w14:textId="77777777" w:rsidR="00327E3A" w:rsidRPr="00BC7A12" w:rsidRDefault="00327E3A" w:rsidP="00327E3A">
            <w:pPr>
              <w:spacing w:after="0" w:line="240" w:lineRule="auto"/>
              <w:rPr>
                <w:rFonts w:cs="Calibri"/>
                <w:sz w:val="16"/>
                <w:szCs w:val="16"/>
              </w:rPr>
            </w:pPr>
            <w:r w:rsidRPr="00BC7A12">
              <w:rPr>
                <w:rFonts w:cs="Calibri"/>
                <w:sz w:val="16"/>
                <w:szCs w:val="16"/>
              </w:rPr>
              <w:t>3.4 Geomorphology</w:t>
            </w:r>
          </w:p>
        </w:tc>
        <w:tc>
          <w:tcPr>
            <w:tcW w:w="0" w:type="auto"/>
          </w:tcPr>
          <w:p w14:paraId="7392ED87" w14:textId="77777777" w:rsidR="00327E3A" w:rsidRPr="00BC7A12" w:rsidRDefault="00327E3A" w:rsidP="00327E3A">
            <w:pPr>
              <w:spacing w:after="0" w:line="240" w:lineRule="auto"/>
              <w:rPr>
                <w:rFonts w:cs="Calibri"/>
                <w:sz w:val="12"/>
                <w:szCs w:val="12"/>
              </w:rPr>
            </w:pPr>
            <w:r w:rsidRPr="00BC7A12">
              <w:rPr>
                <w:rFonts w:cs="Calibri"/>
                <w:sz w:val="12"/>
                <w:szCs w:val="12"/>
              </w:rPr>
              <w:t>3.4.1 Richness of geomorphic features (i.e. features determined according to GAR6 method) within the spatial unit</w:t>
            </w:r>
          </w:p>
        </w:tc>
        <w:tc>
          <w:tcPr>
            <w:tcW w:w="0" w:type="auto"/>
          </w:tcPr>
          <w:p w14:paraId="05F4E5B2" w14:textId="6854DFF3" w:rsidR="00327E3A" w:rsidRPr="00BC7A12" w:rsidRDefault="00327E3A" w:rsidP="00327E3A">
            <w:pPr>
              <w:spacing w:after="0" w:line="240" w:lineRule="auto"/>
              <w:rPr>
                <w:rFonts w:cs="Calibri"/>
                <w:sz w:val="12"/>
                <w:szCs w:val="12"/>
              </w:rPr>
            </w:pPr>
          </w:p>
        </w:tc>
      </w:tr>
      <w:tr w:rsidR="00327E3A" w:rsidRPr="00BC7A12" w14:paraId="228D62D0" w14:textId="1F1C800F" w:rsidTr="00FB1AC2">
        <w:tc>
          <w:tcPr>
            <w:tcW w:w="0" w:type="auto"/>
            <w:gridSpan w:val="2"/>
            <w:shd w:val="clear" w:color="auto" w:fill="D9D9D9" w:themeFill="background1" w:themeFillShade="D9"/>
          </w:tcPr>
          <w:p w14:paraId="6DC46617" w14:textId="77777777" w:rsidR="00327E3A" w:rsidRPr="00BC7A12" w:rsidRDefault="00327E3A" w:rsidP="00327E3A">
            <w:pPr>
              <w:spacing w:after="0" w:line="240" w:lineRule="auto"/>
              <w:rPr>
                <w:rFonts w:cs="Calibri"/>
                <w:sz w:val="16"/>
                <w:szCs w:val="16"/>
              </w:rPr>
            </w:pPr>
            <w:r w:rsidRPr="00BC7A12">
              <w:rPr>
                <w:rFonts w:cs="Calibri"/>
                <w:sz w:val="16"/>
                <w:szCs w:val="16"/>
              </w:rPr>
              <w:t>4. Threatened Species and Ecosystems</w:t>
            </w:r>
          </w:p>
        </w:tc>
        <w:tc>
          <w:tcPr>
            <w:tcW w:w="0" w:type="auto"/>
            <w:shd w:val="clear" w:color="auto" w:fill="D9D9D9" w:themeFill="background1" w:themeFillShade="D9"/>
          </w:tcPr>
          <w:p w14:paraId="2369813D" w14:textId="77777777" w:rsidR="00327E3A" w:rsidRPr="00BC7A12" w:rsidRDefault="00327E3A" w:rsidP="00327E3A">
            <w:pPr>
              <w:spacing w:after="0" w:line="240" w:lineRule="auto"/>
              <w:rPr>
                <w:rFonts w:cs="Calibri"/>
                <w:sz w:val="16"/>
                <w:szCs w:val="16"/>
              </w:rPr>
            </w:pPr>
          </w:p>
        </w:tc>
      </w:tr>
      <w:tr w:rsidR="00327E3A" w:rsidRPr="00BC7A12" w14:paraId="451E6F5C" w14:textId="218FC712" w:rsidTr="00F210A0">
        <w:tc>
          <w:tcPr>
            <w:tcW w:w="0" w:type="auto"/>
          </w:tcPr>
          <w:p w14:paraId="2514931E" w14:textId="77777777" w:rsidR="00327E3A" w:rsidRPr="00BC7A12" w:rsidRDefault="00327E3A" w:rsidP="00327E3A">
            <w:pPr>
              <w:spacing w:after="0" w:line="240" w:lineRule="auto"/>
              <w:rPr>
                <w:rFonts w:cs="Calibri"/>
                <w:sz w:val="16"/>
                <w:szCs w:val="16"/>
              </w:rPr>
            </w:pPr>
            <w:r w:rsidRPr="00BC7A12">
              <w:rPr>
                <w:rFonts w:cs="Calibri"/>
                <w:sz w:val="16"/>
                <w:szCs w:val="16"/>
              </w:rPr>
              <w:lastRenderedPageBreak/>
              <w:t xml:space="preserve">4.1 Species </w:t>
            </w:r>
          </w:p>
        </w:tc>
        <w:tc>
          <w:tcPr>
            <w:tcW w:w="0" w:type="auto"/>
          </w:tcPr>
          <w:p w14:paraId="215C994D" w14:textId="77777777" w:rsidR="00327E3A" w:rsidRPr="00BC7A12" w:rsidRDefault="00327E3A" w:rsidP="00327E3A">
            <w:pPr>
              <w:spacing w:after="0" w:line="240" w:lineRule="auto"/>
              <w:rPr>
                <w:rFonts w:cs="Calibri"/>
                <w:sz w:val="12"/>
                <w:szCs w:val="12"/>
              </w:rPr>
            </w:pPr>
            <w:r w:rsidRPr="00BC7A12">
              <w:rPr>
                <w:rFonts w:cs="Calibri"/>
                <w:sz w:val="12"/>
                <w:szCs w:val="12"/>
              </w:rPr>
              <w:t xml:space="preserve">4.1.1 Presence of rare or threatened aquatic ecosystem dependent fauna species </w:t>
            </w:r>
          </w:p>
          <w:p w14:paraId="7871E9AC" w14:textId="47856A01" w:rsidR="00327E3A" w:rsidRPr="00BC7A12" w:rsidRDefault="00327E3A" w:rsidP="00327E3A">
            <w:pPr>
              <w:spacing w:after="0" w:line="240" w:lineRule="auto"/>
              <w:rPr>
                <w:rFonts w:cs="Calibri"/>
                <w:sz w:val="12"/>
                <w:szCs w:val="12"/>
              </w:rPr>
            </w:pPr>
            <w:r w:rsidRPr="00BC7A12">
              <w:rPr>
                <w:rFonts w:cs="Calibri"/>
                <w:sz w:val="12"/>
                <w:szCs w:val="12"/>
              </w:rPr>
              <w:t xml:space="preserve">4.1.2 Presence of rare or threatened aquatic ecosystem dependent flora species  </w:t>
            </w:r>
          </w:p>
        </w:tc>
        <w:tc>
          <w:tcPr>
            <w:tcW w:w="0" w:type="auto"/>
          </w:tcPr>
          <w:p w14:paraId="23D4C313" w14:textId="77777777" w:rsidR="00327E3A" w:rsidRPr="00BC7A12" w:rsidRDefault="00327E3A" w:rsidP="00327E3A">
            <w:pPr>
              <w:spacing w:after="0" w:line="240" w:lineRule="auto"/>
              <w:rPr>
                <w:rFonts w:cs="Calibri"/>
                <w:sz w:val="12"/>
                <w:szCs w:val="12"/>
              </w:rPr>
            </w:pPr>
          </w:p>
        </w:tc>
      </w:tr>
      <w:tr w:rsidR="00327E3A" w:rsidRPr="00BC7A12" w14:paraId="17922FFA" w14:textId="344C78F5" w:rsidTr="00F210A0">
        <w:tc>
          <w:tcPr>
            <w:tcW w:w="0" w:type="auto"/>
          </w:tcPr>
          <w:p w14:paraId="3BA2EA46" w14:textId="77777777" w:rsidR="00327E3A" w:rsidRPr="00BC7A12" w:rsidRDefault="00327E3A" w:rsidP="00327E3A">
            <w:pPr>
              <w:spacing w:after="0" w:line="240" w:lineRule="auto"/>
              <w:rPr>
                <w:rFonts w:cs="Calibri"/>
                <w:sz w:val="16"/>
                <w:szCs w:val="16"/>
              </w:rPr>
            </w:pPr>
            <w:r w:rsidRPr="00BC7A12">
              <w:rPr>
                <w:rFonts w:cs="Calibri"/>
                <w:sz w:val="16"/>
                <w:szCs w:val="16"/>
              </w:rPr>
              <w:t>4.2 Communities/assemblages</w:t>
            </w:r>
          </w:p>
        </w:tc>
        <w:tc>
          <w:tcPr>
            <w:tcW w:w="0" w:type="auto"/>
          </w:tcPr>
          <w:p w14:paraId="74024EB3" w14:textId="77777777" w:rsidR="00327E3A" w:rsidRPr="00BC7A12" w:rsidRDefault="00327E3A" w:rsidP="00327E3A">
            <w:pPr>
              <w:spacing w:after="0" w:line="240" w:lineRule="auto"/>
              <w:rPr>
                <w:rFonts w:cs="Calibri"/>
                <w:sz w:val="12"/>
                <w:szCs w:val="12"/>
              </w:rPr>
            </w:pPr>
            <w:r w:rsidRPr="00BC7A12">
              <w:rPr>
                <w:rFonts w:cs="Calibri"/>
                <w:sz w:val="12"/>
                <w:szCs w:val="12"/>
              </w:rPr>
              <w:t>4.2.1 % area of ‘of concern’ or ‘endangered’ wetland REs in the spatial unit relative to preclear extent</w:t>
            </w:r>
          </w:p>
        </w:tc>
        <w:tc>
          <w:tcPr>
            <w:tcW w:w="0" w:type="auto"/>
          </w:tcPr>
          <w:p w14:paraId="74C92CA9" w14:textId="77777777" w:rsidR="00327E3A" w:rsidRPr="00BC7A12" w:rsidRDefault="00327E3A" w:rsidP="00327E3A">
            <w:pPr>
              <w:spacing w:after="0" w:line="240" w:lineRule="auto"/>
              <w:rPr>
                <w:rFonts w:cs="Calibri"/>
                <w:sz w:val="12"/>
                <w:szCs w:val="12"/>
              </w:rPr>
            </w:pPr>
          </w:p>
        </w:tc>
      </w:tr>
      <w:tr w:rsidR="00327E3A" w:rsidRPr="00BC7A12" w14:paraId="6ED0953A" w14:textId="64C3518B" w:rsidTr="00FB1AC2">
        <w:tc>
          <w:tcPr>
            <w:tcW w:w="0" w:type="auto"/>
            <w:gridSpan w:val="2"/>
            <w:shd w:val="clear" w:color="auto" w:fill="D9D9D9" w:themeFill="background1" w:themeFillShade="D9"/>
          </w:tcPr>
          <w:p w14:paraId="5E47428A" w14:textId="77777777" w:rsidR="00327E3A" w:rsidRPr="00BC7A12" w:rsidRDefault="00327E3A" w:rsidP="00327E3A">
            <w:pPr>
              <w:spacing w:after="0" w:line="240" w:lineRule="auto"/>
              <w:rPr>
                <w:rFonts w:cs="Calibri"/>
                <w:sz w:val="16"/>
                <w:szCs w:val="16"/>
              </w:rPr>
            </w:pPr>
            <w:r w:rsidRPr="00BC7A12">
              <w:rPr>
                <w:rFonts w:cs="Calibri"/>
                <w:sz w:val="16"/>
                <w:szCs w:val="16"/>
              </w:rPr>
              <w:t>5 Priority Species and Ecosystems</w:t>
            </w:r>
          </w:p>
        </w:tc>
        <w:tc>
          <w:tcPr>
            <w:tcW w:w="0" w:type="auto"/>
            <w:shd w:val="clear" w:color="auto" w:fill="D9D9D9" w:themeFill="background1" w:themeFillShade="D9"/>
          </w:tcPr>
          <w:p w14:paraId="341C2EF8" w14:textId="77777777" w:rsidR="00327E3A" w:rsidRPr="00BC7A12" w:rsidRDefault="00327E3A" w:rsidP="00327E3A">
            <w:pPr>
              <w:spacing w:after="0" w:line="240" w:lineRule="auto"/>
              <w:rPr>
                <w:rFonts w:cs="Calibri"/>
                <w:sz w:val="16"/>
                <w:szCs w:val="16"/>
              </w:rPr>
            </w:pPr>
          </w:p>
        </w:tc>
      </w:tr>
      <w:tr w:rsidR="00327E3A" w:rsidRPr="00BC7A12" w14:paraId="709CD420" w14:textId="3842A208" w:rsidTr="00F210A0">
        <w:tc>
          <w:tcPr>
            <w:tcW w:w="0" w:type="auto"/>
          </w:tcPr>
          <w:p w14:paraId="52F9BDE4" w14:textId="77777777" w:rsidR="00327E3A" w:rsidRPr="00BC7A12" w:rsidRDefault="00327E3A" w:rsidP="00327E3A">
            <w:pPr>
              <w:spacing w:after="0" w:line="240" w:lineRule="auto"/>
              <w:rPr>
                <w:rFonts w:cs="Calibri"/>
                <w:sz w:val="16"/>
                <w:szCs w:val="16"/>
              </w:rPr>
            </w:pPr>
            <w:r w:rsidRPr="00BC7A12">
              <w:rPr>
                <w:rFonts w:cs="Calibri"/>
                <w:sz w:val="16"/>
                <w:szCs w:val="16"/>
              </w:rPr>
              <w:t>5.1 Species</w:t>
            </w:r>
          </w:p>
        </w:tc>
        <w:tc>
          <w:tcPr>
            <w:tcW w:w="0" w:type="auto"/>
          </w:tcPr>
          <w:p w14:paraId="51F6BC5A" w14:textId="1CB1B3F0" w:rsidR="00327E3A" w:rsidRPr="00BC7A12" w:rsidRDefault="00327E3A" w:rsidP="00327E3A">
            <w:pPr>
              <w:spacing w:after="0" w:line="240" w:lineRule="auto"/>
              <w:rPr>
                <w:rFonts w:cs="Calibri"/>
                <w:sz w:val="12"/>
                <w:szCs w:val="12"/>
              </w:rPr>
            </w:pPr>
            <w:r w:rsidRPr="00BC7A12">
              <w:rPr>
                <w:rFonts w:cs="Calibri"/>
                <w:sz w:val="12"/>
                <w:szCs w:val="12"/>
              </w:rPr>
              <w:t>5.1.1 Presence of aquatic ecosystem dependent 'priority' fauna species or other lists such as ASFB9, WWF10, etc)</w:t>
            </w:r>
          </w:p>
          <w:p w14:paraId="01A4B173" w14:textId="4D537BD8" w:rsidR="00327E3A" w:rsidRPr="00BC7A12" w:rsidRDefault="00327E3A" w:rsidP="00327E3A">
            <w:pPr>
              <w:spacing w:after="0" w:line="240" w:lineRule="auto"/>
              <w:rPr>
                <w:rFonts w:cs="Calibri"/>
                <w:sz w:val="12"/>
                <w:szCs w:val="12"/>
              </w:rPr>
            </w:pPr>
            <w:r w:rsidRPr="00BC7A12">
              <w:rPr>
                <w:rFonts w:cs="Calibri"/>
                <w:sz w:val="12"/>
                <w:szCs w:val="12"/>
              </w:rPr>
              <w:t>5.1.2 Presence of aquatic ecosystem dependent 'priority' flora species</w:t>
            </w:r>
          </w:p>
          <w:p w14:paraId="263839B5" w14:textId="6BF77845" w:rsidR="00327E3A" w:rsidRPr="00BC7A12" w:rsidRDefault="00327E3A" w:rsidP="00327E3A">
            <w:pPr>
              <w:spacing w:after="0" w:line="240" w:lineRule="auto"/>
              <w:rPr>
                <w:rFonts w:cs="Calibri"/>
                <w:sz w:val="12"/>
                <w:szCs w:val="12"/>
              </w:rPr>
            </w:pPr>
            <w:r w:rsidRPr="00BC7A12">
              <w:rPr>
                <w:rFonts w:cs="Calibri"/>
                <w:sz w:val="12"/>
                <w:szCs w:val="12"/>
              </w:rPr>
              <w:t xml:space="preserve">5.1.3 Habitat for, or presence of, migratory species </w:t>
            </w:r>
          </w:p>
          <w:p w14:paraId="560A9FAF" w14:textId="6ED0EEDE" w:rsidR="00327E3A" w:rsidRPr="00BC7A12" w:rsidRDefault="00327E3A" w:rsidP="00327E3A">
            <w:pPr>
              <w:spacing w:after="0" w:line="240" w:lineRule="auto"/>
              <w:rPr>
                <w:rFonts w:cs="Calibri"/>
                <w:sz w:val="12"/>
                <w:szCs w:val="12"/>
              </w:rPr>
            </w:pPr>
            <w:r w:rsidRPr="00BC7A12">
              <w:rPr>
                <w:rFonts w:cs="Calibri"/>
                <w:sz w:val="12"/>
                <w:szCs w:val="12"/>
              </w:rPr>
              <w:t xml:space="preserve">5.1.4 Habitat for significant numbers of waterbirds </w:t>
            </w:r>
          </w:p>
        </w:tc>
        <w:tc>
          <w:tcPr>
            <w:tcW w:w="0" w:type="auto"/>
          </w:tcPr>
          <w:p w14:paraId="6F4EE0C0" w14:textId="77777777" w:rsidR="00327E3A" w:rsidRPr="00BC7A12" w:rsidRDefault="00327E3A" w:rsidP="00327E3A">
            <w:pPr>
              <w:spacing w:after="0" w:line="240" w:lineRule="auto"/>
              <w:rPr>
                <w:rFonts w:cs="Calibri"/>
                <w:sz w:val="12"/>
                <w:szCs w:val="12"/>
              </w:rPr>
            </w:pPr>
          </w:p>
        </w:tc>
      </w:tr>
      <w:tr w:rsidR="00327E3A" w:rsidRPr="00BC7A12" w14:paraId="54AFA22C" w14:textId="40110968" w:rsidTr="00F210A0">
        <w:tc>
          <w:tcPr>
            <w:tcW w:w="0" w:type="auto"/>
          </w:tcPr>
          <w:p w14:paraId="4B82C629" w14:textId="77777777" w:rsidR="00327E3A" w:rsidRPr="00BC7A12" w:rsidRDefault="00327E3A" w:rsidP="00327E3A">
            <w:pPr>
              <w:spacing w:after="0" w:line="240" w:lineRule="auto"/>
              <w:rPr>
                <w:rFonts w:cs="Calibri"/>
                <w:sz w:val="16"/>
                <w:szCs w:val="16"/>
              </w:rPr>
            </w:pPr>
            <w:r w:rsidRPr="00BC7A12">
              <w:rPr>
                <w:rFonts w:cs="Calibri"/>
                <w:sz w:val="16"/>
                <w:szCs w:val="16"/>
              </w:rPr>
              <w:t>5.2 Ecosystems</w:t>
            </w:r>
          </w:p>
        </w:tc>
        <w:tc>
          <w:tcPr>
            <w:tcW w:w="0" w:type="auto"/>
          </w:tcPr>
          <w:p w14:paraId="72F8FA84" w14:textId="77777777" w:rsidR="00327E3A" w:rsidRPr="00BC7A12" w:rsidRDefault="00327E3A" w:rsidP="00327E3A">
            <w:pPr>
              <w:spacing w:after="0" w:line="240" w:lineRule="auto"/>
              <w:rPr>
                <w:rFonts w:cs="Calibri"/>
                <w:sz w:val="12"/>
                <w:szCs w:val="12"/>
              </w:rPr>
            </w:pPr>
            <w:r w:rsidRPr="00BC7A12">
              <w:rPr>
                <w:rFonts w:cs="Calibri"/>
                <w:sz w:val="12"/>
                <w:szCs w:val="12"/>
              </w:rPr>
              <w:t>5.2.1 Presence of 'priority' aquatic ecosystem as per Expert Panel lists and/or discussions</w:t>
            </w:r>
          </w:p>
        </w:tc>
        <w:tc>
          <w:tcPr>
            <w:tcW w:w="0" w:type="auto"/>
          </w:tcPr>
          <w:p w14:paraId="68A2A4BC" w14:textId="086F2EC8" w:rsidR="00327E3A" w:rsidRPr="00BC7A12" w:rsidRDefault="00327E3A" w:rsidP="00327E3A">
            <w:pPr>
              <w:spacing w:after="0" w:line="240" w:lineRule="auto"/>
              <w:rPr>
                <w:rFonts w:cs="Calibri"/>
                <w:sz w:val="12"/>
                <w:szCs w:val="12"/>
              </w:rPr>
            </w:pPr>
          </w:p>
        </w:tc>
      </w:tr>
      <w:tr w:rsidR="00327E3A" w:rsidRPr="00BC7A12" w14:paraId="5BD02052" w14:textId="4296A4DA" w:rsidTr="00FB1AC2">
        <w:tc>
          <w:tcPr>
            <w:tcW w:w="0" w:type="auto"/>
            <w:gridSpan w:val="2"/>
            <w:shd w:val="clear" w:color="auto" w:fill="D9D9D9" w:themeFill="background1" w:themeFillShade="D9"/>
          </w:tcPr>
          <w:p w14:paraId="70ED5483" w14:textId="77777777" w:rsidR="00327E3A" w:rsidRPr="00BC7A12" w:rsidRDefault="00327E3A" w:rsidP="00327E3A">
            <w:pPr>
              <w:spacing w:after="0" w:line="240" w:lineRule="auto"/>
              <w:rPr>
                <w:rFonts w:cs="Calibri"/>
                <w:sz w:val="16"/>
                <w:szCs w:val="16"/>
              </w:rPr>
            </w:pPr>
            <w:r w:rsidRPr="00BC7A12">
              <w:rPr>
                <w:rFonts w:cs="Calibri"/>
                <w:sz w:val="16"/>
                <w:szCs w:val="16"/>
              </w:rPr>
              <w:t>6 Special Features</w:t>
            </w:r>
          </w:p>
        </w:tc>
        <w:tc>
          <w:tcPr>
            <w:tcW w:w="0" w:type="auto"/>
            <w:shd w:val="clear" w:color="auto" w:fill="D9D9D9" w:themeFill="background1" w:themeFillShade="D9"/>
          </w:tcPr>
          <w:p w14:paraId="283F0FE5" w14:textId="77777777" w:rsidR="00327E3A" w:rsidRPr="00BC7A12" w:rsidRDefault="00327E3A" w:rsidP="00327E3A">
            <w:pPr>
              <w:spacing w:after="0" w:line="240" w:lineRule="auto"/>
              <w:rPr>
                <w:rFonts w:cs="Calibri"/>
                <w:sz w:val="12"/>
                <w:szCs w:val="12"/>
              </w:rPr>
            </w:pPr>
          </w:p>
        </w:tc>
      </w:tr>
      <w:tr w:rsidR="00327E3A" w:rsidRPr="00BC7A12" w14:paraId="54DF858B" w14:textId="16518FB9" w:rsidTr="00F210A0">
        <w:tc>
          <w:tcPr>
            <w:tcW w:w="0" w:type="auto"/>
          </w:tcPr>
          <w:p w14:paraId="5A74D802" w14:textId="77777777" w:rsidR="00327E3A" w:rsidRPr="00BC7A12" w:rsidRDefault="00327E3A" w:rsidP="00327E3A">
            <w:pPr>
              <w:spacing w:after="0" w:line="240" w:lineRule="auto"/>
              <w:rPr>
                <w:rFonts w:cs="Calibri"/>
                <w:sz w:val="16"/>
                <w:szCs w:val="16"/>
              </w:rPr>
            </w:pPr>
            <w:r w:rsidRPr="00BC7A12">
              <w:rPr>
                <w:rFonts w:cs="Calibri"/>
                <w:sz w:val="16"/>
                <w:szCs w:val="16"/>
              </w:rPr>
              <w:t>6.1 Geomorphic features</w:t>
            </w:r>
          </w:p>
        </w:tc>
        <w:tc>
          <w:tcPr>
            <w:tcW w:w="0" w:type="auto"/>
          </w:tcPr>
          <w:p w14:paraId="4F8FA5FC" w14:textId="10BC4A74" w:rsidR="00327E3A" w:rsidRPr="00BC7A12" w:rsidRDefault="00327E3A" w:rsidP="00327E3A">
            <w:pPr>
              <w:spacing w:after="0" w:line="240" w:lineRule="auto"/>
              <w:rPr>
                <w:rFonts w:cs="Calibri"/>
                <w:sz w:val="12"/>
                <w:szCs w:val="12"/>
              </w:rPr>
            </w:pPr>
            <w:r w:rsidRPr="00BC7A12">
              <w:rPr>
                <w:rFonts w:cs="Calibri"/>
                <w:sz w:val="12"/>
                <w:szCs w:val="12"/>
              </w:rPr>
              <w:t xml:space="preserve">6.1.1 Presence of distinct, </w:t>
            </w:r>
            <w:proofErr w:type="gramStart"/>
            <w:r w:rsidRPr="00BC7A12">
              <w:rPr>
                <w:rFonts w:cs="Calibri"/>
                <w:sz w:val="12"/>
                <w:szCs w:val="12"/>
              </w:rPr>
              <w:t>unique</w:t>
            </w:r>
            <w:proofErr w:type="gramEnd"/>
            <w:r w:rsidRPr="00BC7A12">
              <w:rPr>
                <w:rFonts w:cs="Calibri"/>
                <w:sz w:val="12"/>
                <w:szCs w:val="12"/>
              </w:rPr>
              <w:t xml:space="preserve"> or special geomorphic features </w:t>
            </w:r>
          </w:p>
        </w:tc>
        <w:tc>
          <w:tcPr>
            <w:tcW w:w="0" w:type="auto"/>
          </w:tcPr>
          <w:p w14:paraId="52036347" w14:textId="77777777" w:rsidR="00327E3A" w:rsidRPr="00BC7A12" w:rsidRDefault="00327E3A" w:rsidP="00327E3A">
            <w:pPr>
              <w:spacing w:after="0" w:line="240" w:lineRule="auto"/>
              <w:rPr>
                <w:rFonts w:cs="Calibri"/>
                <w:sz w:val="12"/>
                <w:szCs w:val="12"/>
              </w:rPr>
            </w:pPr>
          </w:p>
        </w:tc>
      </w:tr>
      <w:tr w:rsidR="00327E3A" w:rsidRPr="00BC7A12" w14:paraId="2034639C" w14:textId="67048809" w:rsidTr="00F210A0">
        <w:tc>
          <w:tcPr>
            <w:tcW w:w="0" w:type="auto"/>
          </w:tcPr>
          <w:p w14:paraId="1E130CE6" w14:textId="77777777" w:rsidR="00327E3A" w:rsidRPr="00BC7A12" w:rsidRDefault="00327E3A" w:rsidP="00327E3A">
            <w:pPr>
              <w:spacing w:after="0" w:line="240" w:lineRule="auto"/>
              <w:rPr>
                <w:rFonts w:cs="Calibri"/>
                <w:sz w:val="16"/>
                <w:szCs w:val="16"/>
              </w:rPr>
            </w:pPr>
            <w:r w:rsidRPr="00BC7A12">
              <w:rPr>
                <w:rFonts w:cs="Calibri"/>
                <w:sz w:val="16"/>
                <w:szCs w:val="16"/>
              </w:rPr>
              <w:t>6.2 Ecological processes</w:t>
            </w:r>
          </w:p>
        </w:tc>
        <w:tc>
          <w:tcPr>
            <w:tcW w:w="0" w:type="auto"/>
          </w:tcPr>
          <w:p w14:paraId="5BE2A081" w14:textId="039DF18E" w:rsidR="00327E3A" w:rsidRPr="00BC7A12" w:rsidRDefault="00327E3A" w:rsidP="00327E3A">
            <w:pPr>
              <w:spacing w:after="0" w:line="240" w:lineRule="auto"/>
              <w:rPr>
                <w:rFonts w:cs="Calibri"/>
                <w:sz w:val="12"/>
                <w:szCs w:val="12"/>
              </w:rPr>
            </w:pPr>
            <w:r w:rsidRPr="00BC7A12">
              <w:rPr>
                <w:rFonts w:cs="Calibri"/>
                <w:sz w:val="12"/>
                <w:szCs w:val="12"/>
              </w:rPr>
              <w:t xml:space="preserve">6.2.1 Presence of (or requirement for) distinct, </w:t>
            </w:r>
            <w:proofErr w:type="gramStart"/>
            <w:r w:rsidRPr="00BC7A12">
              <w:rPr>
                <w:rFonts w:cs="Calibri"/>
                <w:sz w:val="12"/>
                <w:szCs w:val="12"/>
              </w:rPr>
              <w:t>unique</w:t>
            </w:r>
            <w:proofErr w:type="gramEnd"/>
            <w:r w:rsidRPr="00BC7A12">
              <w:rPr>
                <w:rFonts w:cs="Calibri"/>
                <w:sz w:val="12"/>
                <w:szCs w:val="12"/>
              </w:rPr>
              <w:t xml:space="preserve"> or special ecological processes </w:t>
            </w:r>
          </w:p>
        </w:tc>
        <w:tc>
          <w:tcPr>
            <w:tcW w:w="0" w:type="auto"/>
          </w:tcPr>
          <w:p w14:paraId="33E3BB07" w14:textId="77777777" w:rsidR="00327E3A" w:rsidRPr="00BC7A12" w:rsidRDefault="00327E3A" w:rsidP="00327E3A">
            <w:pPr>
              <w:spacing w:after="0" w:line="240" w:lineRule="auto"/>
              <w:rPr>
                <w:rFonts w:cs="Calibri"/>
                <w:sz w:val="12"/>
                <w:szCs w:val="12"/>
              </w:rPr>
            </w:pPr>
          </w:p>
        </w:tc>
      </w:tr>
      <w:tr w:rsidR="00327E3A" w:rsidRPr="00BC7A12" w14:paraId="3B36CDB0" w14:textId="428ADBC0" w:rsidTr="00F210A0">
        <w:tc>
          <w:tcPr>
            <w:tcW w:w="0" w:type="auto"/>
          </w:tcPr>
          <w:p w14:paraId="14DE1CFC" w14:textId="77777777" w:rsidR="00327E3A" w:rsidRPr="00BC7A12" w:rsidRDefault="00327E3A" w:rsidP="00327E3A">
            <w:pPr>
              <w:spacing w:after="0" w:line="240" w:lineRule="auto"/>
              <w:rPr>
                <w:rFonts w:cs="Calibri"/>
                <w:sz w:val="16"/>
                <w:szCs w:val="16"/>
              </w:rPr>
            </w:pPr>
            <w:r w:rsidRPr="00BC7A12">
              <w:rPr>
                <w:rFonts w:cs="Calibri"/>
                <w:sz w:val="16"/>
                <w:szCs w:val="16"/>
              </w:rPr>
              <w:t>6.3 Habitat</w:t>
            </w:r>
          </w:p>
        </w:tc>
        <w:tc>
          <w:tcPr>
            <w:tcW w:w="0" w:type="auto"/>
          </w:tcPr>
          <w:p w14:paraId="280AA3B3" w14:textId="2F2BBD10" w:rsidR="00327E3A" w:rsidRPr="00BC7A12" w:rsidRDefault="00327E3A" w:rsidP="00327E3A">
            <w:pPr>
              <w:spacing w:after="0" w:line="240" w:lineRule="auto"/>
              <w:rPr>
                <w:rFonts w:cs="Calibri"/>
                <w:sz w:val="12"/>
                <w:szCs w:val="12"/>
              </w:rPr>
            </w:pPr>
            <w:r w:rsidRPr="00BC7A12">
              <w:rPr>
                <w:rFonts w:cs="Calibri"/>
                <w:sz w:val="12"/>
                <w:szCs w:val="12"/>
              </w:rPr>
              <w:t xml:space="preserve">6.3.1 Presence of distinct, </w:t>
            </w:r>
            <w:proofErr w:type="gramStart"/>
            <w:r w:rsidRPr="00BC7A12">
              <w:rPr>
                <w:rFonts w:cs="Calibri"/>
                <w:sz w:val="12"/>
                <w:szCs w:val="12"/>
              </w:rPr>
              <w:t>unique</w:t>
            </w:r>
            <w:proofErr w:type="gramEnd"/>
            <w:r w:rsidRPr="00BC7A12">
              <w:rPr>
                <w:rFonts w:cs="Calibri"/>
                <w:sz w:val="12"/>
                <w:szCs w:val="12"/>
              </w:rPr>
              <w:t xml:space="preserve"> or special habitat (including habitat that functions as refugia or other critical purpose) </w:t>
            </w:r>
          </w:p>
        </w:tc>
        <w:tc>
          <w:tcPr>
            <w:tcW w:w="0" w:type="auto"/>
          </w:tcPr>
          <w:p w14:paraId="641D3747" w14:textId="77777777" w:rsidR="00327E3A" w:rsidRPr="00BC7A12" w:rsidRDefault="00327E3A" w:rsidP="00327E3A">
            <w:pPr>
              <w:spacing w:after="0" w:line="240" w:lineRule="auto"/>
              <w:rPr>
                <w:rFonts w:cs="Calibri"/>
                <w:sz w:val="12"/>
                <w:szCs w:val="12"/>
              </w:rPr>
            </w:pPr>
          </w:p>
        </w:tc>
      </w:tr>
      <w:tr w:rsidR="00327E3A" w:rsidRPr="00BC7A12" w14:paraId="480262EB" w14:textId="4FDE9986" w:rsidTr="00F210A0">
        <w:tc>
          <w:tcPr>
            <w:tcW w:w="0" w:type="auto"/>
          </w:tcPr>
          <w:p w14:paraId="407DB39A" w14:textId="77777777" w:rsidR="00327E3A" w:rsidRPr="00BC7A12" w:rsidRDefault="00327E3A" w:rsidP="00327E3A">
            <w:pPr>
              <w:spacing w:after="0" w:line="240" w:lineRule="auto"/>
              <w:rPr>
                <w:rFonts w:cs="Calibri"/>
                <w:sz w:val="16"/>
                <w:szCs w:val="16"/>
              </w:rPr>
            </w:pPr>
            <w:r w:rsidRPr="00BC7A12">
              <w:rPr>
                <w:rFonts w:cs="Calibri"/>
                <w:sz w:val="16"/>
                <w:szCs w:val="16"/>
              </w:rPr>
              <w:t>6.4 Hydrological</w:t>
            </w:r>
          </w:p>
        </w:tc>
        <w:tc>
          <w:tcPr>
            <w:tcW w:w="0" w:type="auto"/>
          </w:tcPr>
          <w:p w14:paraId="315FEC8B" w14:textId="2B52888B" w:rsidR="00327E3A" w:rsidRPr="00BC7A12" w:rsidRDefault="00327E3A" w:rsidP="00327E3A">
            <w:pPr>
              <w:spacing w:after="0" w:line="240" w:lineRule="auto"/>
              <w:rPr>
                <w:rFonts w:cs="Calibri"/>
                <w:sz w:val="12"/>
                <w:szCs w:val="12"/>
              </w:rPr>
            </w:pPr>
            <w:r w:rsidRPr="00BC7A12">
              <w:rPr>
                <w:rFonts w:cs="Calibri"/>
                <w:sz w:val="12"/>
                <w:szCs w:val="12"/>
              </w:rPr>
              <w:t xml:space="preserve">6.4.1 Presence of distinct, </w:t>
            </w:r>
            <w:proofErr w:type="gramStart"/>
            <w:r w:rsidRPr="00BC7A12">
              <w:rPr>
                <w:rFonts w:cs="Calibri"/>
                <w:sz w:val="12"/>
                <w:szCs w:val="12"/>
              </w:rPr>
              <w:t>unique</w:t>
            </w:r>
            <w:proofErr w:type="gramEnd"/>
            <w:r w:rsidRPr="00BC7A12">
              <w:rPr>
                <w:rFonts w:cs="Calibri"/>
                <w:sz w:val="12"/>
                <w:szCs w:val="12"/>
              </w:rPr>
              <w:t xml:space="preserve"> or special hydrological regimes (e.g. ephemeral stream, wetland</w:t>
            </w:r>
            <w:r w:rsidR="000A744B" w:rsidRPr="00BC7A12">
              <w:rPr>
                <w:rFonts w:cs="Calibri"/>
                <w:sz w:val="12"/>
                <w:szCs w:val="12"/>
              </w:rPr>
              <w:t>)</w:t>
            </w:r>
            <w:r w:rsidRPr="00BC7A12">
              <w:rPr>
                <w:rFonts w:cs="Calibri"/>
                <w:sz w:val="12"/>
                <w:szCs w:val="12"/>
              </w:rPr>
              <w:t xml:space="preserve"> </w:t>
            </w:r>
          </w:p>
        </w:tc>
        <w:tc>
          <w:tcPr>
            <w:tcW w:w="0" w:type="auto"/>
          </w:tcPr>
          <w:p w14:paraId="29B497C0" w14:textId="2C625E76" w:rsidR="00327E3A" w:rsidRPr="00BC7A12" w:rsidRDefault="00523CF7" w:rsidP="00327E3A">
            <w:pPr>
              <w:spacing w:after="0" w:line="240" w:lineRule="auto"/>
              <w:rPr>
                <w:rFonts w:cs="Calibri"/>
                <w:sz w:val="12"/>
                <w:szCs w:val="12"/>
              </w:rPr>
            </w:pPr>
            <w:r w:rsidRPr="00BC7A12">
              <w:rPr>
                <w:rFonts w:cs="Calibri"/>
                <w:sz w:val="14"/>
                <w:szCs w:val="14"/>
              </w:rPr>
              <w:t>Vegetation type (red mangrove, seagrass)</w:t>
            </w:r>
          </w:p>
        </w:tc>
      </w:tr>
      <w:tr w:rsidR="00327E3A" w:rsidRPr="00BC7A12" w14:paraId="072A953A" w14:textId="102E7413" w:rsidTr="00F210A0">
        <w:trPr>
          <w:trHeight w:val="251"/>
        </w:trPr>
        <w:tc>
          <w:tcPr>
            <w:tcW w:w="0" w:type="auto"/>
            <w:gridSpan w:val="2"/>
            <w:shd w:val="clear" w:color="auto" w:fill="F2F2F2" w:themeFill="background1" w:themeFillShade="F2"/>
          </w:tcPr>
          <w:p w14:paraId="1E99A3B8" w14:textId="77777777" w:rsidR="00327E3A" w:rsidRPr="00BC7A12" w:rsidRDefault="00327E3A" w:rsidP="00327E3A">
            <w:pPr>
              <w:spacing w:after="0" w:line="240" w:lineRule="auto"/>
              <w:rPr>
                <w:rFonts w:cs="Calibri"/>
                <w:sz w:val="16"/>
                <w:szCs w:val="16"/>
              </w:rPr>
            </w:pPr>
            <w:r w:rsidRPr="00BC7A12">
              <w:rPr>
                <w:rFonts w:cs="Calibri"/>
                <w:sz w:val="16"/>
                <w:szCs w:val="16"/>
              </w:rPr>
              <w:t>7 Connectivity</w:t>
            </w:r>
          </w:p>
        </w:tc>
        <w:tc>
          <w:tcPr>
            <w:tcW w:w="0" w:type="auto"/>
            <w:shd w:val="clear" w:color="auto" w:fill="F2F2F2" w:themeFill="background1" w:themeFillShade="F2"/>
          </w:tcPr>
          <w:p w14:paraId="6127AFC7" w14:textId="77777777" w:rsidR="00327E3A" w:rsidRPr="00BC7A12" w:rsidRDefault="00327E3A" w:rsidP="00327E3A">
            <w:pPr>
              <w:spacing w:after="0" w:line="240" w:lineRule="auto"/>
              <w:rPr>
                <w:rFonts w:cs="Calibri"/>
                <w:sz w:val="16"/>
                <w:szCs w:val="16"/>
              </w:rPr>
            </w:pPr>
          </w:p>
        </w:tc>
      </w:tr>
      <w:tr w:rsidR="00327E3A" w:rsidRPr="00BC7A12" w14:paraId="581CFB5A" w14:textId="4A8F4BF2" w:rsidTr="00F210A0">
        <w:tc>
          <w:tcPr>
            <w:tcW w:w="0" w:type="auto"/>
          </w:tcPr>
          <w:p w14:paraId="07AB7B36" w14:textId="77777777" w:rsidR="00327E3A" w:rsidRPr="00BC7A12" w:rsidRDefault="00327E3A" w:rsidP="00327E3A">
            <w:pPr>
              <w:spacing w:after="0" w:line="240" w:lineRule="auto"/>
              <w:jc w:val="left"/>
              <w:rPr>
                <w:rFonts w:cs="Calibri"/>
                <w:sz w:val="16"/>
                <w:szCs w:val="16"/>
              </w:rPr>
            </w:pPr>
            <w:r w:rsidRPr="00BC7A12">
              <w:rPr>
                <w:rFonts w:cs="Calibri"/>
                <w:sz w:val="16"/>
                <w:szCs w:val="16"/>
              </w:rPr>
              <w:t>7.1 Significant species or populations</w:t>
            </w:r>
          </w:p>
        </w:tc>
        <w:tc>
          <w:tcPr>
            <w:tcW w:w="0" w:type="auto"/>
          </w:tcPr>
          <w:p w14:paraId="58A26F61" w14:textId="77777777" w:rsidR="00327E3A" w:rsidRPr="00BC7A12" w:rsidRDefault="00327E3A" w:rsidP="00327E3A">
            <w:pPr>
              <w:spacing w:after="0" w:line="240" w:lineRule="auto"/>
              <w:rPr>
                <w:rFonts w:cs="Calibri"/>
                <w:sz w:val="12"/>
                <w:szCs w:val="12"/>
              </w:rPr>
            </w:pPr>
            <w:r w:rsidRPr="00BC7A12">
              <w:rPr>
                <w:rFonts w:cs="Calibri"/>
                <w:sz w:val="12"/>
                <w:szCs w:val="12"/>
              </w:rPr>
              <w:t>7.1.1 The contribution (upstream or downstream) of the spatial unit to the maintenance of significant species or populations, including those features identified through Criterion 5 and/or 6</w:t>
            </w:r>
          </w:p>
          <w:p w14:paraId="6A97AEE2" w14:textId="77777777" w:rsidR="00327E3A" w:rsidRPr="00BC7A12" w:rsidRDefault="00327E3A" w:rsidP="00327E3A">
            <w:pPr>
              <w:spacing w:after="0" w:line="240" w:lineRule="auto"/>
              <w:rPr>
                <w:rFonts w:cs="Calibri"/>
                <w:sz w:val="12"/>
                <w:szCs w:val="12"/>
              </w:rPr>
            </w:pPr>
            <w:r w:rsidRPr="00BC7A12">
              <w:rPr>
                <w:rFonts w:cs="Calibri"/>
                <w:sz w:val="12"/>
                <w:szCs w:val="12"/>
              </w:rPr>
              <w:t>7.1.2 Possibility for migratory or routine 'passage' of fish and other fully aquatic species (upstream and/or downstream movement)</w:t>
            </w:r>
          </w:p>
        </w:tc>
        <w:tc>
          <w:tcPr>
            <w:tcW w:w="0" w:type="auto"/>
          </w:tcPr>
          <w:p w14:paraId="766156E8" w14:textId="77777777" w:rsidR="00327E3A" w:rsidRPr="00BC7A12" w:rsidRDefault="00327E3A" w:rsidP="00327E3A">
            <w:pPr>
              <w:spacing w:after="0" w:line="240" w:lineRule="auto"/>
              <w:rPr>
                <w:rFonts w:cs="Calibri"/>
                <w:sz w:val="12"/>
                <w:szCs w:val="12"/>
              </w:rPr>
            </w:pPr>
          </w:p>
        </w:tc>
      </w:tr>
      <w:tr w:rsidR="00327E3A" w:rsidRPr="00BC7A12" w14:paraId="60A13D9A" w14:textId="0F4FF3E0" w:rsidTr="00F210A0">
        <w:tc>
          <w:tcPr>
            <w:tcW w:w="0" w:type="auto"/>
          </w:tcPr>
          <w:p w14:paraId="6AE39112" w14:textId="77777777" w:rsidR="00327E3A" w:rsidRPr="00BC7A12" w:rsidRDefault="00327E3A" w:rsidP="00327E3A">
            <w:pPr>
              <w:spacing w:after="0" w:line="240" w:lineRule="auto"/>
              <w:jc w:val="left"/>
              <w:rPr>
                <w:rFonts w:cs="Calibri"/>
                <w:sz w:val="16"/>
                <w:szCs w:val="16"/>
              </w:rPr>
            </w:pPr>
            <w:r w:rsidRPr="00BC7A12">
              <w:rPr>
                <w:rFonts w:cs="Calibri"/>
                <w:sz w:val="16"/>
                <w:szCs w:val="16"/>
              </w:rPr>
              <w:t>7.2 Groundwater dependent ecosystems</w:t>
            </w:r>
          </w:p>
        </w:tc>
        <w:tc>
          <w:tcPr>
            <w:tcW w:w="0" w:type="auto"/>
          </w:tcPr>
          <w:p w14:paraId="37415687" w14:textId="77777777" w:rsidR="00327E3A" w:rsidRPr="00BC7A12" w:rsidRDefault="00327E3A" w:rsidP="00327E3A">
            <w:pPr>
              <w:spacing w:after="0" w:line="240" w:lineRule="auto"/>
              <w:rPr>
                <w:rFonts w:cs="Calibri"/>
                <w:sz w:val="12"/>
                <w:szCs w:val="12"/>
              </w:rPr>
            </w:pPr>
            <w:r w:rsidRPr="00BC7A12">
              <w:rPr>
                <w:rFonts w:cs="Calibri"/>
                <w:sz w:val="12"/>
                <w:szCs w:val="12"/>
              </w:rPr>
              <w:t>7.2.1 The contribution (upstream or downstream) of the spatial unit to the maintenance of groundwater ecosystems with significant biodiversity values, including those features identified through Criterion 5 and/or 6 (e.g. karsts, cave streams, artesian springs)</w:t>
            </w:r>
          </w:p>
        </w:tc>
        <w:tc>
          <w:tcPr>
            <w:tcW w:w="0" w:type="auto"/>
          </w:tcPr>
          <w:p w14:paraId="094B99F1" w14:textId="77777777" w:rsidR="00327E3A" w:rsidRPr="00BC7A12" w:rsidRDefault="00327E3A" w:rsidP="00327E3A">
            <w:pPr>
              <w:spacing w:after="0" w:line="240" w:lineRule="auto"/>
              <w:rPr>
                <w:rFonts w:cs="Calibri"/>
                <w:sz w:val="12"/>
                <w:szCs w:val="12"/>
              </w:rPr>
            </w:pPr>
          </w:p>
        </w:tc>
      </w:tr>
      <w:tr w:rsidR="00327E3A" w:rsidRPr="00BC7A12" w14:paraId="01B1706F" w14:textId="345D638E" w:rsidTr="00F210A0">
        <w:tc>
          <w:tcPr>
            <w:tcW w:w="0" w:type="auto"/>
          </w:tcPr>
          <w:p w14:paraId="24C51E81" w14:textId="77777777" w:rsidR="00327E3A" w:rsidRPr="00BC7A12" w:rsidRDefault="00327E3A" w:rsidP="00327E3A">
            <w:pPr>
              <w:spacing w:after="0" w:line="240" w:lineRule="auto"/>
              <w:jc w:val="left"/>
              <w:rPr>
                <w:rFonts w:cs="Calibri"/>
                <w:sz w:val="16"/>
                <w:szCs w:val="16"/>
              </w:rPr>
            </w:pPr>
            <w:r w:rsidRPr="00BC7A12">
              <w:rPr>
                <w:rFonts w:cs="Calibri"/>
                <w:sz w:val="16"/>
                <w:szCs w:val="16"/>
              </w:rPr>
              <w:t>7.3 Floodplain and wetland ecosystems</w:t>
            </w:r>
          </w:p>
        </w:tc>
        <w:tc>
          <w:tcPr>
            <w:tcW w:w="0" w:type="auto"/>
          </w:tcPr>
          <w:p w14:paraId="3930015F" w14:textId="77777777" w:rsidR="00327E3A" w:rsidRPr="00BC7A12" w:rsidRDefault="00327E3A" w:rsidP="00327E3A">
            <w:pPr>
              <w:spacing w:after="0" w:line="240" w:lineRule="auto"/>
              <w:rPr>
                <w:rFonts w:cs="Calibri"/>
                <w:sz w:val="12"/>
                <w:szCs w:val="12"/>
              </w:rPr>
            </w:pPr>
            <w:r w:rsidRPr="00BC7A12">
              <w:rPr>
                <w:rFonts w:cs="Calibri"/>
                <w:sz w:val="12"/>
                <w:szCs w:val="12"/>
              </w:rPr>
              <w:t>7.3.1 The contribution (upstream or downstream) of the spatial unit to the maintenance of floodplain and wetland ecosystems with significant biodiversity values, including those features identified through Criterion 5 and/or 6</w:t>
            </w:r>
          </w:p>
        </w:tc>
        <w:tc>
          <w:tcPr>
            <w:tcW w:w="0" w:type="auto"/>
          </w:tcPr>
          <w:p w14:paraId="7DC1107B" w14:textId="77777777" w:rsidR="00327E3A" w:rsidRPr="00BC7A12" w:rsidRDefault="00327E3A" w:rsidP="00327E3A">
            <w:pPr>
              <w:spacing w:after="0" w:line="240" w:lineRule="auto"/>
              <w:rPr>
                <w:rFonts w:cs="Calibri"/>
                <w:sz w:val="12"/>
                <w:szCs w:val="12"/>
              </w:rPr>
            </w:pPr>
          </w:p>
        </w:tc>
      </w:tr>
      <w:tr w:rsidR="00327E3A" w:rsidRPr="00BC7A12" w14:paraId="70CE5A14" w14:textId="72A22CFA" w:rsidTr="00F210A0">
        <w:tc>
          <w:tcPr>
            <w:tcW w:w="0" w:type="auto"/>
          </w:tcPr>
          <w:p w14:paraId="0F32FA6A" w14:textId="77777777" w:rsidR="00327E3A" w:rsidRPr="00BC7A12" w:rsidRDefault="00327E3A" w:rsidP="00327E3A">
            <w:pPr>
              <w:spacing w:after="0" w:line="240" w:lineRule="auto"/>
              <w:jc w:val="left"/>
              <w:rPr>
                <w:rFonts w:cs="Calibri"/>
                <w:sz w:val="16"/>
                <w:szCs w:val="16"/>
              </w:rPr>
            </w:pPr>
            <w:r w:rsidRPr="00BC7A12">
              <w:rPr>
                <w:rFonts w:cs="Calibri"/>
                <w:sz w:val="16"/>
                <w:szCs w:val="16"/>
              </w:rPr>
              <w:t>7.4 Terrestrial ecosystems</w:t>
            </w:r>
          </w:p>
          <w:p w14:paraId="31BD6ECE" w14:textId="77777777" w:rsidR="00327E3A" w:rsidRPr="00BC7A12" w:rsidRDefault="00327E3A" w:rsidP="00327E3A">
            <w:pPr>
              <w:spacing w:after="0" w:line="240" w:lineRule="auto"/>
              <w:jc w:val="left"/>
              <w:rPr>
                <w:rFonts w:cs="Calibri"/>
                <w:sz w:val="16"/>
                <w:szCs w:val="16"/>
              </w:rPr>
            </w:pPr>
          </w:p>
        </w:tc>
        <w:tc>
          <w:tcPr>
            <w:tcW w:w="0" w:type="auto"/>
          </w:tcPr>
          <w:p w14:paraId="4B50AB74" w14:textId="77777777" w:rsidR="00327E3A" w:rsidRPr="00BC7A12" w:rsidRDefault="00327E3A" w:rsidP="00327E3A">
            <w:pPr>
              <w:spacing w:after="0" w:line="240" w:lineRule="auto"/>
              <w:rPr>
                <w:rFonts w:cs="Calibri"/>
                <w:sz w:val="12"/>
                <w:szCs w:val="12"/>
              </w:rPr>
            </w:pPr>
            <w:r w:rsidRPr="00BC7A12">
              <w:rPr>
                <w:rFonts w:cs="Calibri"/>
                <w:sz w:val="12"/>
                <w:szCs w:val="12"/>
              </w:rPr>
              <w:t>7.4.1 The contribution (upstream or downstream) of the spatial unit to the maintenance of terrestrial ecosystems with significant biodiversity values, including those features identified through Criterion 5 and/or 6</w:t>
            </w:r>
          </w:p>
        </w:tc>
        <w:tc>
          <w:tcPr>
            <w:tcW w:w="0" w:type="auto"/>
          </w:tcPr>
          <w:p w14:paraId="52A45B0B" w14:textId="77777777" w:rsidR="00327E3A" w:rsidRPr="00BC7A12" w:rsidRDefault="00327E3A" w:rsidP="00327E3A">
            <w:pPr>
              <w:spacing w:after="0" w:line="240" w:lineRule="auto"/>
              <w:rPr>
                <w:rFonts w:cs="Calibri"/>
                <w:sz w:val="12"/>
                <w:szCs w:val="12"/>
              </w:rPr>
            </w:pPr>
          </w:p>
        </w:tc>
      </w:tr>
      <w:tr w:rsidR="00327E3A" w:rsidRPr="00BC7A12" w14:paraId="5A9C17CF" w14:textId="0645A851" w:rsidTr="00F210A0">
        <w:tc>
          <w:tcPr>
            <w:tcW w:w="0" w:type="auto"/>
          </w:tcPr>
          <w:p w14:paraId="3762A269" w14:textId="77777777" w:rsidR="00327E3A" w:rsidRPr="00BC7A12" w:rsidRDefault="00327E3A" w:rsidP="00327E3A">
            <w:pPr>
              <w:spacing w:after="0" w:line="240" w:lineRule="auto"/>
              <w:rPr>
                <w:rFonts w:cs="Calibri"/>
                <w:sz w:val="16"/>
                <w:szCs w:val="16"/>
              </w:rPr>
            </w:pPr>
            <w:r w:rsidRPr="00BC7A12">
              <w:rPr>
                <w:rFonts w:cs="Calibri"/>
                <w:sz w:val="16"/>
                <w:szCs w:val="16"/>
              </w:rPr>
              <w:t>7.5 Estuarine and marine ecosystems</w:t>
            </w:r>
          </w:p>
        </w:tc>
        <w:tc>
          <w:tcPr>
            <w:tcW w:w="0" w:type="auto"/>
          </w:tcPr>
          <w:p w14:paraId="5DFD5469" w14:textId="77777777" w:rsidR="00327E3A" w:rsidRPr="00BC7A12" w:rsidRDefault="00327E3A" w:rsidP="00327E3A">
            <w:pPr>
              <w:spacing w:after="0" w:line="240" w:lineRule="auto"/>
              <w:rPr>
                <w:rFonts w:cs="Calibri"/>
                <w:sz w:val="12"/>
                <w:szCs w:val="12"/>
              </w:rPr>
            </w:pPr>
            <w:r w:rsidRPr="00BC7A12">
              <w:rPr>
                <w:rFonts w:cs="Calibri"/>
                <w:sz w:val="12"/>
                <w:szCs w:val="12"/>
              </w:rPr>
              <w:t>7.5.1 The contribution (upstream or downstream) of the spatial unit to the maintenance of estuarine and marine ecosystems with significant biodiversity values, including those features identified</w:t>
            </w:r>
          </w:p>
        </w:tc>
        <w:tc>
          <w:tcPr>
            <w:tcW w:w="0" w:type="auto"/>
          </w:tcPr>
          <w:p w14:paraId="3956CD72" w14:textId="77777777" w:rsidR="00327E3A" w:rsidRPr="00BC7A12" w:rsidRDefault="00327E3A" w:rsidP="00327E3A">
            <w:pPr>
              <w:spacing w:after="0" w:line="240" w:lineRule="auto"/>
              <w:rPr>
                <w:rFonts w:cs="Calibri"/>
                <w:sz w:val="12"/>
                <w:szCs w:val="12"/>
              </w:rPr>
            </w:pPr>
          </w:p>
        </w:tc>
      </w:tr>
      <w:tr w:rsidR="00327E3A" w:rsidRPr="00BC7A12" w14:paraId="0A9E00E8" w14:textId="521453B9" w:rsidTr="00FB1AC2">
        <w:tc>
          <w:tcPr>
            <w:tcW w:w="0" w:type="auto"/>
            <w:gridSpan w:val="2"/>
            <w:shd w:val="clear" w:color="auto" w:fill="D9D9D9" w:themeFill="background1" w:themeFillShade="D9"/>
          </w:tcPr>
          <w:p w14:paraId="314A4DF8" w14:textId="77777777" w:rsidR="00327E3A" w:rsidRPr="00BC7A12" w:rsidRDefault="00327E3A" w:rsidP="00327E3A">
            <w:pPr>
              <w:spacing w:after="0" w:line="240" w:lineRule="auto"/>
              <w:rPr>
                <w:rFonts w:cs="Calibri"/>
                <w:sz w:val="16"/>
                <w:szCs w:val="16"/>
              </w:rPr>
            </w:pPr>
            <w:r w:rsidRPr="00BC7A12">
              <w:rPr>
                <w:rFonts w:cs="Calibri"/>
                <w:sz w:val="16"/>
                <w:szCs w:val="16"/>
              </w:rPr>
              <w:t>8 Representativeness</w:t>
            </w:r>
          </w:p>
        </w:tc>
        <w:tc>
          <w:tcPr>
            <w:tcW w:w="0" w:type="auto"/>
            <w:shd w:val="clear" w:color="auto" w:fill="D9D9D9" w:themeFill="background1" w:themeFillShade="D9"/>
          </w:tcPr>
          <w:p w14:paraId="70DCBAB8" w14:textId="77777777" w:rsidR="00327E3A" w:rsidRPr="00BC7A12" w:rsidRDefault="00327E3A" w:rsidP="00327E3A">
            <w:pPr>
              <w:spacing w:after="0" w:line="240" w:lineRule="auto"/>
              <w:rPr>
                <w:rFonts w:cs="Calibri"/>
                <w:sz w:val="16"/>
                <w:szCs w:val="16"/>
              </w:rPr>
            </w:pPr>
          </w:p>
        </w:tc>
      </w:tr>
      <w:tr w:rsidR="00327E3A" w:rsidRPr="00BC7A12" w14:paraId="38C08D60" w14:textId="5EF40EDE" w:rsidTr="00F210A0">
        <w:tc>
          <w:tcPr>
            <w:tcW w:w="0" w:type="auto"/>
          </w:tcPr>
          <w:p w14:paraId="6A9587A4" w14:textId="77777777" w:rsidR="00327E3A" w:rsidRPr="00BC7A12" w:rsidRDefault="00327E3A" w:rsidP="00327E3A">
            <w:pPr>
              <w:spacing w:after="0" w:line="240" w:lineRule="auto"/>
              <w:jc w:val="left"/>
              <w:rPr>
                <w:rFonts w:cs="Calibri"/>
                <w:sz w:val="12"/>
                <w:szCs w:val="12"/>
              </w:rPr>
            </w:pPr>
            <w:r w:rsidRPr="00BC7A12">
              <w:rPr>
                <w:rFonts w:cs="Calibri"/>
                <w:sz w:val="12"/>
                <w:szCs w:val="12"/>
              </w:rPr>
              <w:t>Indicators &amp; Measures not</w:t>
            </w:r>
          </w:p>
          <w:p w14:paraId="058183BC" w14:textId="77777777" w:rsidR="00327E3A" w:rsidRPr="00BC7A12" w:rsidRDefault="00327E3A" w:rsidP="00327E3A">
            <w:pPr>
              <w:spacing w:after="0" w:line="240" w:lineRule="auto"/>
              <w:jc w:val="left"/>
              <w:rPr>
                <w:rFonts w:cs="Calibri"/>
                <w:sz w:val="16"/>
                <w:szCs w:val="16"/>
              </w:rPr>
            </w:pPr>
            <w:r w:rsidRPr="00BC7A12">
              <w:rPr>
                <w:rFonts w:cs="Calibri"/>
                <w:sz w:val="12"/>
                <w:szCs w:val="12"/>
              </w:rPr>
              <w:t>developed or implemented for Burnett River catchment ACA</w:t>
            </w:r>
          </w:p>
        </w:tc>
        <w:tc>
          <w:tcPr>
            <w:tcW w:w="0" w:type="auto"/>
          </w:tcPr>
          <w:p w14:paraId="54A77F04" w14:textId="77777777" w:rsidR="00327E3A" w:rsidRPr="00BC7A12" w:rsidRDefault="00327E3A" w:rsidP="00327E3A">
            <w:pPr>
              <w:spacing w:after="0" w:line="240" w:lineRule="auto"/>
              <w:rPr>
                <w:rFonts w:cs="Calibri"/>
                <w:sz w:val="16"/>
                <w:szCs w:val="16"/>
              </w:rPr>
            </w:pPr>
          </w:p>
        </w:tc>
        <w:tc>
          <w:tcPr>
            <w:tcW w:w="0" w:type="auto"/>
          </w:tcPr>
          <w:p w14:paraId="17322381" w14:textId="77777777" w:rsidR="00374290" w:rsidRPr="00BC7A12" w:rsidRDefault="00374290" w:rsidP="00327E3A">
            <w:pPr>
              <w:spacing w:after="0" w:line="240" w:lineRule="auto"/>
              <w:rPr>
                <w:rFonts w:cs="Calibri"/>
                <w:sz w:val="14"/>
                <w:szCs w:val="14"/>
              </w:rPr>
            </w:pPr>
            <w:r w:rsidRPr="00BC7A12">
              <w:rPr>
                <w:rFonts w:cs="Calibri"/>
                <w:sz w:val="14"/>
                <w:szCs w:val="14"/>
              </w:rPr>
              <w:t>Bathymetry(m), bed shear stress, cross shore distance</w:t>
            </w:r>
          </w:p>
          <w:p w14:paraId="12852BB7" w14:textId="77777777" w:rsidR="00374290" w:rsidRPr="00BC7A12" w:rsidRDefault="00374290" w:rsidP="00327E3A">
            <w:pPr>
              <w:spacing w:after="0" w:line="240" w:lineRule="auto"/>
              <w:rPr>
                <w:rFonts w:cs="Calibri"/>
                <w:sz w:val="16"/>
                <w:szCs w:val="16"/>
              </w:rPr>
            </w:pPr>
          </w:p>
          <w:p w14:paraId="799EE0C7" w14:textId="7AC6FC91" w:rsidR="00374290" w:rsidRPr="00BC7A12" w:rsidRDefault="00374290" w:rsidP="00374290">
            <w:pPr>
              <w:spacing w:after="0" w:line="240" w:lineRule="auto"/>
              <w:rPr>
                <w:rFonts w:cs="Calibri"/>
                <w:sz w:val="14"/>
                <w:szCs w:val="14"/>
              </w:rPr>
            </w:pPr>
            <w:r w:rsidRPr="00BC7A12">
              <w:rPr>
                <w:rFonts w:cs="Calibri"/>
                <w:sz w:val="14"/>
                <w:szCs w:val="14"/>
              </w:rPr>
              <w:t>Depth average undertow (m/sec), depth of still water (m), hurricane high waves (m), long shore current (wind induced), Wave climate, wave height (distant storm swells) (m), wave number, wave period (s), wave power (kW/m), wave surge (m), sea level increase</w:t>
            </w:r>
          </w:p>
          <w:p w14:paraId="3ED44335" w14:textId="1A16DFFE" w:rsidR="00374290" w:rsidRPr="00BC7A12" w:rsidRDefault="00374290" w:rsidP="00374290">
            <w:pPr>
              <w:spacing w:after="0" w:line="240" w:lineRule="auto"/>
              <w:rPr>
                <w:rFonts w:cs="Calibri"/>
                <w:sz w:val="12"/>
                <w:szCs w:val="12"/>
              </w:rPr>
            </w:pPr>
          </w:p>
          <w:p w14:paraId="2227628D" w14:textId="77777777" w:rsidR="00374290" w:rsidRPr="00BC7A12" w:rsidRDefault="00374290" w:rsidP="00374290">
            <w:pPr>
              <w:spacing w:after="0" w:line="240" w:lineRule="auto"/>
              <w:rPr>
                <w:rFonts w:cs="Calibri"/>
                <w:sz w:val="14"/>
                <w:szCs w:val="14"/>
              </w:rPr>
            </w:pPr>
            <w:r w:rsidRPr="00BC7A12">
              <w:rPr>
                <w:rFonts w:cs="Calibri"/>
                <w:sz w:val="14"/>
                <w:szCs w:val="14"/>
              </w:rPr>
              <w:t>surface wind, offshore maximum sustained wind speed (km/hr),</w:t>
            </w:r>
          </w:p>
          <w:p w14:paraId="53EB3563" w14:textId="53C337FE" w:rsidR="00374290" w:rsidRPr="00BC7A12" w:rsidRDefault="00374290" w:rsidP="00327E3A">
            <w:pPr>
              <w:spacing w:after="0" w:line="240" w:lineRule="auto"/>
              <w:rPr>
                <w:rFonts w:cs="Calibri"/>
                <w:sz w:val="16"/>
                <w:szCs w:val="16"/>
              </w:rPr>
            </w:pPr>
          </w:p>
        </w:tc>
      </w:tr>
      <w:bookmarkEnd w:id="80"/>
    </w:tbl>
    <w:p w14:paraId="02BEC2CF" w14:textId="77777777" w:rsidR="00F210A0" w:rsidRPr="00BC7A12" w:rsidRDefault="00F210A0">
      <w:pPr>
        <w:spacing w:after="200" w:line="276" w:lineRule="auto"/>
        <w:jc w:val="left"/>
        <w:rPr>
          <w:rFonts w:cs="Calibri"/>
          <w:noProof/>
        </w:rPr>
      </w:pPr>
    </w:p>
    <w:p w14:paraId="7186EEFD" w14:textId="77777777" w:rsidR="00FB1AC2" w:rsidRPr="00BC7A12" w:rsidRDefault="00FB1AC2" w:rsidP="004E498A">
      <w:pPr>
        <w:rPr>
          <w:rFonts w:cs="Calibri"/>
        </w:rPr>
        <w:sectPr w:rsidR="00FB1AC2" w:rsidRPr="00BC7A12" w:rsidSect="00AF1C4B">
          <w:pgSz w:w="16838" w:h="11906" w:orient="landscape" w:code="9"/>
          <w:pgMar w:top="1440" w:right="1440" w:bottom="1440" w:left="1440" w:header="432" w:footer="374" w:gutter="0"/>
          <w:cols w:space="708"/>
          <w:titlePg/>
          <w:docGrid w:linePitch="360"/>
        </w:sectPr>
      </w:pPr>
    </w:p>
    <w:p w14:paraId="5329793D" w14:textId="1D409CBA" w:rsidR="00B96287" w:rsidRPr="00BC7A12" w:rsidRDefault="00B96287" w:rsidP="000B71CD">
      <w:pPr>
        <w:pStyle w:val="Heading1"/>
        <w:rPr>
          <w:rFonts w:ascii="Calibri" w:hAnsi="Calibri" w:cs="Calibri"/>
        </w:rPr>
      </w:pPr>
      <w:bookmarkStart w:id="81" w:name="_Toc43286824"/>
      <w:bookmarkStart w:id="82" w:name="_Toc46822325"/>
      <w:r w:rsidRPr="00BC7A12">
        <w:rPr>
          <w:rFonts w:ascii="Calibri" w:hAnsi="Calibri" w:cs="Calibri"/>
        </w:rPr>
        <w:lastRenderedPageBreak/>
        <w:t>Prioritising</w:t>
      </w:r>
      <w:bookmarkEnd w:id="81"/>
      <w:r w:rsidR="000B71CD" w:rsidRPr="00BC7A12">
        <w:rPr>
          <w:rFonts w:ascii="Calibri" w:hAnsi="Calibri" w:cs="Calibri"/>
        </w:rPr>
        <w:t xml:space="preserve"> wetlands for future valuations</w:t>
      </w:r>
      <w:bookmarkEnd w:id="82"/>
      <w:r w:rsidR="000B71CD" w:rsidRPr="00BC7A12">
        <w:rPr>
          <w:rFonts w:ascii="Calibri" w:hAnsi="Calibri" w:cs="Calibri"/>
        </w:rPr>
        <w:t xml:space="preserve"> </w:t>
      </w:r>
      <w:r w:rsidRPr="00BC7A12">
        <w:rPr>
          <w:rFonts w:ascii="Calibri" w:hAnsi="Calibri" w:cs="Calibri"/>
        </w:rPr>
        <w:t xml:space="preserve"> </w:t>
      </w:r>
    </w:p>
    <w:p w14:paraId="48BAD0C1" w14:textId="798AB0A4" w:rsidR="009677CD" w:rsidRPr="00BC7A12" w:rsidRDefault="00071D52" w:rsidP="006807F3">
      <w:pPr>
        <w:rPr>
          <w:rFonts w:cs="Calibri"/>
        </w:rPr>
      </w:pPr>
      <w:r w:rsidRPr="00BC7A12">
        <w:rPr>
          <w:rFonts w:cs="Calibri"/>
        </w:rPr>
        <w:t xml:space="preserve">Constraints on the </w:t>
      </w:r>
      <w:r w:rsidR="009677CD" w:rsidRPr="00BC7A12">
        <w:rPr>
          <w:rFonts w:cs="Calibri"/>
        </w:rPr>
        <w:t xml:space="preserve">availability of resources for coastal management call for </w:t>
      </w:r>
      <w:r w:rsidR="00473659" w:rsidRPr="00BC7A12">
        <w:rPr>
          <w:rFonts w:cs="Calibri"/>
        </w:rPr>
        <w:t>a prioriti</w:t>
      </w:r>
      <w:r w:rsidR="009F43F8" w:rsidRPr="00BC7A12">
        <w:rPr>
          <w:rFonts w:cs="Calibri"/>
        </w:rPr>
        <w:t>s</w:t>
      </w:r>
      <w:r w:rsidR="00473659" w:rsidRPr="00BC7A12">
        <w:rPr>
          <w:rFonts w:cs="Calibri"/>
        </w:rPr>
        <w:t xml:space="preserve">ation </w:t>
      </w:r>
      <w:r w:rsidR="002124E7" w:rsidRPr="00BC7A12">
        <w:rPr>
          <w:rFonts w:cs="Calibri"/>
        </w:rPr>
        <w:t xml:space="preserve">of </w:t>
      </w:r>
      <w:r w:rsidR="005F36AA" w:rsidRPr="00BC7A12">
        <w:rPr>
          <w:rFonts w:cs="Calibri"/>
        </w:rPr>
        <w:t xml:space="preserve">coastal </w:t>
      </w:r>
      <w:r w:rsidR="009677CD" w:rsidRPr="00BC7A12">
        <w:rPr>
          <w:rFonts w:cs="Calibri"/>
        </w:rPr>
        <w:t xml:space="preserve">wetlands </w:t>
      </w:r>
      <w:r w:rsidR="00E11418" w:rsidRPr="00BC7A12">
        <w:rPr>
          <w:rFonts w:cs="Calibri"/>
        </w:rPr>
        <w:t>for valuation studies.</w:t>
      </w:r>
      <w:r w:rsidR="009677CD" w:rsidRPr="00BC7A12">
        <w:rPr>
          <w:rFonts w:cs="Calibri"/>
        </w:rPr>
        <w:t xml:space="preserve"> </w:t>
      </w:r>
      <w:r w:rsidR="00CB4404" w:rsidRPr="00BC7A12">
        <w:rPr>
          <w:rFonts w:cs="Calibri"/>
        </w:rPr>
        <w:t xml:space="preserve">A </w:t>
      </w:r>
      <w:r w:rsidR="0086271D" w:rsidRPr="00BC7A12">
        <w:rPr>
          <w:rFonts w:cs="Calibri"/>
        </w:rPr>
        <w:t>s</w:t>
      </w:r>
      <w:r w:rsidR="00145D2F" w:rsidRPr="00BC7A12">
        <w:rPr>
          <w:rFonts w:cs="Calibri"/>
        </w:rPr>
        <w:t>tate</w:t>
      </w:r>
      <w:r w:rsidR="005F36AA" w:rsidRPr="00BC7A12">
        <w:rPr>
          <w:rFonts w:cs="Calibri"/>
        </w:rPr>
        <w:t xml:space="preserve"> </w:t>
      </w:r>
      <w:r w:rsidR="0086271D" w:rsidRPr="00BC7A12">
        <w:rPr>
          <w:rFonts w:cs="Calibri"/>
        </w:rPr>
        <w:t>g</w:t>
      </w:r>
      <w:r w:rsidR="005F36AA" w:rsidRPr="00BC7A12">
        <w:rPr>
          <w:rFonts w:cs="Calibri"/>
        </w:rPr>
        <w:t>overnment</w:t>
      </w:r>
      <w:r w:rsidR="00145D2F" w:rsidRPr="00BC7A12">
        <w:rPr>
          <w:rFonts w:cs="Calibri"/>
        </w:rPr>
        <w:t xml:space="preserve"> o</w:t>
      </w:r>
      <w:r w:rsidR="005F36AA" w:rsidRPr="00BC7A12">
        <w:rPr>
          <w:rFonts w:cs="Calibri"/>
        </w:rPr>
        <w:t>r</w:t>
      </w:r>
      <w:r w:rsidR="00145D2F" w:rsidRPr="00BC7A12">
        <w:rPr>
          <w:rFonts w:cs="Calibri"/>
        </w:rPr>
        <w:t xml:space="preserve"> </w:t>
      </w:r>
      <w:r w:rsidR="005F36AA" w:rsidRPr="00BC7A12">
        <w:rPr>
          <w:rFonts w:cs="Calibri"/>
        </w:rPr>
        <w:t>local c</w:t>
      </w:r>
      <w:r w:rsidR="00145D2F" w:rsidRPr="00BC7A12">
        <w:rPr>
          <w:rFonts w:cs="Calibri"/>
        </w:rPr>
        <w:t xml:space="preserve">ouncil </w:t>
      </w:r>
      <w:r w:rsidR="005F36AA" w:rsidRPr="00BC7A12">
        <w:rPr>
          <w:rFonts w:cs="Calibri"/>
        </w:rPr>
        <w:t xml:space="preserve">focus </w:t>
      </w:r>
      <w:r w:rsidR="00145D2F" w:rsidRPr="00BC7A12">
        <w:rPr>
          <w:rFonts w:cs="Calibri"/>
        </w:rPr>
        <w:t>may be the most effective</w:t>
      </w:r>
      <w:r w:rsidR="00E1044B" w:rsidRPr="00BC7A12">
        <w:rPr>
          <w:rFonts w:cs="Calibri"/>
        </w:rPr>
        <w:t xml:space="preserve"> because of their</w:t>
      </w:r>
      <w:r w:rsidR="005F36AA" w:rsidRPr="00BC7A12">
        <w:rPr>
          <w:rFonts w:cs="Calibri"/>
        </w:rPr>
        <w:t xml:space="preserve"> </w:t>
      </w:r>
      <w:r w:rsidR="0042012B" w:rsidRPr="00BC7A12">
        <w:rPr>
          <w:rFonts w:cs="Calibri"/>
        </w:rPr>
        <w:t xml:space="preserve">lead </w:t>
      </w:r>
      <w:r w:rsidR="00E11418" w:rsidRPr="00BC7A12">
        <w:rPr>
          <w:rFonts w:cs="Calibri"/>
        </w:rPr>
        <w:t>role in coastal planning.</w:t>
      </w:r>
      <w:r w:rsidR="00AE27DF" w:rsidRPr="00BC7A12">
        <w:rPr>
          <w:rFonts w:cs="Calibri"/>
        </w:rPr>
        <w:t xml:space="preserve"> The following criteria </w:t>
      </w:r>
      <w:r w:rsidR="005F36AA" w:rsidRPr="00BC7A12">
        <w:rPr>
          <w:rFonts w:cs="Calibri"/>
        </w:rPr>
        <w:t>may be considered as a basis for prioritising among different sites.</w:t>
      </w:r>
      <w:r w:rsidR="00E1044B" w:rsidRPr="00BC7A12">
        <w:rPr>
          <w:rFonts w:cs="Calibri"/>
        </w:rPr>
        <w:t xml:space="preserve"> </w:t>
      </w:r>
      <w:r w:rsidR="00CB4404" w:rsidRPr="00BC7A12">
        <w:rPr>
          <w:rFonts w:cs="Calibri"/>
        </w:rPr>
        <w:t xml:space="preserve"> </w:t>
      </w:r>
    </w:p>
    <w:p w14:paraId="04945B27" w14:textId="1457EE44" w:rsidR="00CB4404" w:rsidRPr="00BC7A12" w:rsidRDefault="00CB4404" w:rsidP="00CB4404">
      <w:pPr>
        <w:pStyle w:val="ListParagraph"/>
        <w:numPr>
          <w:ilvl w:val="0"/>
          <w:numId w:val="37"/>
        </w:numPr>
        <w:rPr>
          <w:rFonts w:cs="Calibri"/>
        </w:rPr>
      </w:pPr>
      <w:r w:rsidRPr="00BC7A12">
        <w:rPr>
          <w:rFonts w:cs="Calibri"/>
          <w:i/>
          <w:iCs/>
        </w:rPr>
        <w:t>Conversion threa</w:t>
      </w:r>
      <w:r w:rsidR="00E1044B" w:rsidRPr="00BC7A12">
        <w:rPr>
          <w:rFonts w:cs="Calibri"/>
          <w:i/>
          <w:iCs/>
        </w:rPr>
        <w:t>t—</w:t>
      </w:r>
      <w:r w:rsidR="00E1044B" w:rsidRPr="00BC7A12">
        <w:rPr>
          <w:rFonts w:cs="Calibri"/>
        </w:rPr>
        <w:t>what</w:t>
      </w:r>
      <w:r w:rsidR="00E1044B" w:rsidRPr="00BC7A12">
        <w:rPr>
          <w:rFonts w:cs="Calibri"/>
          <w:i/>
          <w:iCs/>
        </w:rPr>
        <w:t xml:space="preserve"> </w:t>
      </w:r>
      <w:r w:rsidRPr="00BC7A12">
        <w:rPr>
          <w:rFonts w:cs="Calibri"/>
        </w:rPr>
        <w:t xml:space="preserve">threats </w:t>
      </w:r>
      <w:r w:rsidR="009F252A" w:rsidRPr="00BC7A12">
        <w:rPr>
          <w:rFonts w:cs="Calibri"/>
        </w:rPr>
        <w:t xml:space="preserve">face </w:t>
      </w:r>
      <w:r w:rsidRPr="00BC7A12">
        <w:rPr>
          <w:rFonts w:cs="Calibri"/>
        </w:rPr>
        <w:t>the wetland. This may</w:t>
      </w:r>
      <w:r w:rsidR="009F252A" w:rsidRPr="00BC7A12">
        <w:rPr>
          <w:rFonts w:cs="Calibri"/>
        </w:rPr>
        <w:t xml:space="preserve"> </w:t>
      </w:r>
      <w:r w:rsidRPr="00BC7A12">
        <w:rPr>
          <w:rFonts w:cs="Calibri"/>
        </w:rPr>
        <w:t>be a combination of its protected status (e.g. Ramsar, National Park, Indigenous Protected Area) and development pressures</w:t>
      </w:r>
      <w:r w:rsidR="005734C8" w:rsidRPr="00BC7A12">
        <w:rPr>
          <w:rFonts w:cs="Calibri"/>
        </w:rPr>
        <w:t xml:space="preserve"> (</w:t>
      </w:r>
      <w:r w:rsidR="009F252A" w:rsidRPr="00BC7A12">
        <w:rPr>
          <w:rFonts w:cs="Calibri"/>
        </w:rPr>
        <w:t>see</w:t>
      </w:r>
      <w:r w:rsidR="005734C8" w:rsidRPr="00BC7A12">
        <w:rPr>
          <w:rFonts w:cs="Calibri"/>
        </w:rPr>
        <w:t xml:space="preserve"> </w:t>
      </w:r>
      <w:r w:rsidR="005734C8" w:rsidRPr="00BC7A12">
        <w:rPr>
          <w:rFonts w:cs="Calibri"/>
        </w:rPr>
        <w:fldChar w:fldCharType="begin"/>
      </w:r>
      <w:r w:rsidR="005734C8" w:rsidRPr="00BC7A12">
        <w:rPr>
          <w:rFonts w:cs="Calibri"/>
        </w:rPr>
        <w:instrText xml:space="preserve"> REF _Ref44173498 \h  \* MERGEFORMAT </w:instrText>
      </w:r>
      <w:r w:rsidR="005734C8" w:rsidRPr="00BC7A12">
        <w:rPr>
          <w:rFonts w:cs="Calibri"/>
        </w:rPr>
      </w:r>
      <w:r w:rsidR="005734C8" w:rsidRPr="00BC7A12">
        <w:rPr>
          <w:rFonts w:cs="Calibri"/>
        </w:rPr>
        <w:fldChar w:fldCharType="separate"/>
      </w:r>
      <w:r w:rsidR="00657E34" w:rsidRPr="00BC7A12">
        <w:rPr>
          <w:rFonts w:cs="Calibri"/>
        </w:rPr>
        <w:t xml:space="preserve">Figure </w:t>
      </w:r>
      <w:r w:rsidR="00657E34" w:rsidRPr="00657E34">
        <w:rPr>
          <w:rFonts w:cs="Calibri"/>
          <w:noProof/>
        </w:rPr>
        <w:t>2</w:t>
      </w:r>
      <w:r w:rsidR="00657E34" w:rsidRPr="00BC7A12">
        <w:rPr>
          <w:rFonts w:cs="Calibri"/>
        </w:rPr>
        <w:t xml:space="preserve"> Study framework </w:t>
      </w:r>
      <w:r w:rsidR="00657E34" w:rsidRPr="00BC7A12">
        <w:rPr>
          <w:rFonts w:cs="Calibri"/>
          <w:noProof/>
        </w:rPr>
        <w:t>(adapted from United Nations Statistics Division 2018)</w:t>
      </w:r>
      <w:r w:rsidR="005734C8" w:rsidRPr="00BC7A12">
        <w:rPr>
          <w:rFonts w:cs="Calibri"/>
        </w:rPr>
        <w:fldChar w:fldCharType="end"/>
      </w:r>
      <w:r w:rsidR="005734C8" w:rsidRPr="00BC7A12">
        <w:rPr>
          <w:rFonts w:cs="Calibri"/>
        </w:rPr>
        <w:t xml:space="preserve">).  </w:t>
      </w:r>
    </w:p>
    <w:p w14:paraId="67497344" w14:textId="71EF5541" w:rsidR="00CB4404" w:rsidRPr="00BC7A12" w:rsidRDefault="00274E56" w:rsidP="00CB4404">
      <w:pPr>
        <w:pStyle w:val="ListParagraph"/>
        <w:numPr>
          <w:ilvl w:val="0"/>
          <w:numId w:val="37"/>
        </w:numPr>
        <w:rPr>
          <w:rFonts w:cs="Calibri"/>
        </w:rPr>
      </w:pPr>
      <w:r w:rsidRPr="00BC7A12">
        <w:rPr>
          <w:rFonts w:cs="Calibri"/>
          <w:i/>
          <w:iCs/>
        </w:rPr>
        <w:t xml:space="preserve">Hazard </w:t>
      </w:r>
      <w:r w:rsidR="00CB4404" w:rsidRPr="00BC7A12">
        <w:rPr>
          <w:rFonts w:cs="Calibri"/>
          <w:i/>
          <w:iCs/>
        </w:rPr>
        <w:t>risk</w:t>
      </w:r>
      <w:r w:rsidR="00E1044B" w:rsidRPr="00BC7A12">
        <w:rPr>
          <w:rFonts w:cs="Calibri"/>
          <w:i/>
          <w:iCs/>
        </w:rPr>
        <w:t>—</w:t>
      </w:r>
      <w:r w:rsidR="00071D52" w:rsidRPr="00BC7A12">
        <w:rPr>
          <w:rFonts w:cs="Calibri"/>
        </w:rPr>
        <w:t xml:space="preserve">cyclone, sea level rise, subsidence risk could all be considered </w:t>
      </w:r>
      <w:r w:rsidR="0028706B" w:rsidRPr="00BC7A12">
        <w:rPr>
          <w:rFonts w:cs="Calibri"/>
        </w:rPr>
        <w:t>(</w:t>
      </w:r>
      <w:r w:rsidR="009F252A" w:rsidRPr="00BC7A12">
        <w:rPr>
          <w:rFonts w:cs="Calibri"/>
        </w:rPr>
        <w:t xml:space="preserve">see </w:t>
      </w:r>
      <w:r w:rsidR="0028706B" w:rsidRPr="00BC7A12">
        <w:rPr>
          <w:rFonts w:cs="Calibri"/>
        </w:rPr>
        <w:fldChar w:fldCharType="begin"/>
      </w:r>
      <w:r w:rsidR="0028706B" w:rsidRPr="00BC7A12">
        <w:rPr>
          <w:rFonts w:cs="Calibri"/>
        </w:rPr>
        <w:instrText xml:space="preserve"> REF _Ref44173498 \h  \* MERGEFORMAT </w:instrText>
      </w:r>
      <w:r w:rsidR="0028706B" w:rsidRPr="00BC7A12">
        <w:rPr>
          <w:rFonts w:cs="Calibri"/>
        </w:rPr>
      </w:r>
      <w:r w:rsidR="0028706B" w:rsidRPr="00BC7A12">
        <w:rPr>
          <w:rFonts w:cs="Calibri"/>
        </w:rPr>
        <w:fldChar w:fldCharType="separate"/>
      </w:r>
      <w:r w:rsidR="00657E34" w:rsidRPr="00BC7A12">
        <w:rPr>
          <w:rFonts w:cs="Calibri"/>
        </w:rPr>
        <w:t xml:space="preserve">Figure </w:t>
      </w:r>
      <w:r w:rsidR="00657E34" w:rsidRPr="00657E34">
        <w:rPr>
          <w:rFonts w:cs="Calibri"/>
          <w:noProof/>
        </w:rPr>
        <w:t>2</w:t>
      </w:r>
      <w:r w:rsidR="00657E34" w:rsidRPr="00BC7A12">
        <w:rPr>
          <w:rFonts w:cs="Calibri"/>
        </w:rPr>
        <w:t xml:space="preserve"> Study framework </w:t>
      </w:r>
      <w:r w:rsidR="00657E34" w:rsidRPr="00BC7A12">
        <w:rPr>
          <w:rFonts w:cs="Calibri"/>
          <w:noProof/>
        </w:rPr>
        <w:t>(adapted from United Nations Statistics Division 2018)</w:t>
      </w:r>
      <w:r w:rsidR="0028706B" w:rsidRPr="00BC7A12">
        <w:rPr>
          <w:rFonts w:cs="Calibri"/>
        </w:rPr>
        <w:fldChar w:fldCharType="end"/>
      </w:r>
      <w:r w:rsidR="0028706B" w:rsidRPr="00BC7A12">
        <w:rPr>
          <w:rFonts w:cs="Calibri"/>
        </w:rPr>
        <w:t xml:space="preserve">).  </w:t>
      </w:r>
    </w:p>
    <w:p w14:paraId="6315A098" w14:textId="72697D1F" w:rsidR="009677CD" w:rsidRPr="00BC7A12" w:rsidRDefault="00071D52" w:rsidP="006807F3">
      <w:pPr>
        <w:pStyle w:val="ListParagraph"/>
        <w:numPr>
          <w:ilvl w:val="0"/>
          <w:numId w:val="37"/>
        </w:numPr>
        <w:rPr>
          <w:rFonts w:cs="Calibri"/>
        </w:rPr>
      </w:pPr>
      <w:r w:rsidRPr="00BC7A12">
        <w:rPr>
          <w:rFonts w:cs="Calibri"/>
          <w:i/>
          <w:iCs/>
        </w:rPr>
        <w:t>Existing planning effort</w:t>
      </w:r>
      <w:r w:rsidR="00E1044B" w:rsidRPr="00BC7A12">
        <w:rPr>
          <w:rFonts w:cs="Calibri"/>
          <w:i/>
          <w:iCs/>
        </w:rPr>
        <w:t>—</w:t>
      </w:r>
      <w:r w:rsidR="00E1044B" w:rsidRPr="00BC7A12">
        <w:rPr>
          <w:rFonts w:cs="Calibri"/>
        </w:rPr>
        <w:t xml:space="preserve">a </w:t>
      </w:r>
      <w:r w:rsidRPr="00BC7A12">
        <w:rPr>
          <w:rFonts w:cs="Calibri"/>
        </w:rPr>
        <w:t xml:space="preserve">disaster, adaptation or coastal development effort may be underway or planned. </w:t>
      </w:r>
      <w:r w:rsidR="00E1044B" w:rsidRPr="00BC7A12">
        <w:rPr>
          <w:rFonts w:cs="Calibri"/>
        </w:rPr>
        <w:t>A valuation may improve the</w:t>
      </w:r>
      <w:r w:rsidR="005F36AA" w:rsidRPr="00BC7A12">
        <w:rPr>
          <w:rFonts w:cs="Calibri"/>
        </w:rPr>
        <w:t xml:space="preserve"> evidence base for</w:t>
      </w:r>
      <w:r w:rsidR="00E1044B" w:rsidRPr="00BC7A12">
        <w:rPr>
          <w:rFonts w:cs="Calibri"/>
        </w:rPr>
        <w:t xml:space="preserve"> decision</w:t>
      </w:r>
      <w:r w:rsidR="005F36AA" w:rsidRPr="00BC7A12">
        <w:rPr>
          <w:rFonts w:cs="Calibri"/>
        </w:rPr>
        <w:t>s</w:t>
      </w:r>
      <w:r w:rsidR="00E1044B" w:rsidRPr="00BC7A12">
        <w:rPr>
          <w:rFonts w:cs="Calibri"/>
        </w:rPr>
        <w:t xml:space="preserve"> and serve as an example for other locations.  </w:t>
      </w:r>
    </w:p>
    <w:p w14:paraId="7801ABC6" w14:textId="267DF092" w:rsidR="00E1044B" w:rsidRPr="00BC7A12" w:rsidRDefault="00E1044B" w:rsidP="006807F3">
      <w:pPr>
        <w:pStyle w:val="ListParagraph"/>
        <w:numPr>
          <w:ilvl w:val="0"/>
          <w:numId w:val="37"/>
        </w:numPr>
        <w:rPr>
          <w:rFonts w:cs="Calibri"/>
        </w:rPr>
      </w:pPr>
      <w:r w:rsidRPr="00BC7A12">
        <w:rPr>
          <w:rFonts w:cs="Calibri"/>
          <w:i/>
          <w:iCs/>
        </w:rPr>
        <w:t>Value of human property—</w:t>
      </w:r>
      <w:r w:rsidR="0028706B" w:rsidRPr="00BC7A12">
        <w:rPr>
          <w:rFonts w:cs="Calibri"/>
        </w:rPr>
        <w:t xml:space="preserve">on average, coastal wetlands providing DRR ecosystem services to more expensive properties will have higher </w:t>
      </w:r>
      <w:r w:rsidRPr="00BC7A12">
        <w:rPr>
          <w:rFonts w:cs="Calibri"/>
        </w:rPr>
        <w:t>valuation</w:t>
      </w:r>
      <w:r w:rsidR="0042012B" w:rsidRPr="00BC7A12">
        <w:rPr>
          <w:rFonts w:cs="Calibri"/>
        </w:rPr>
        <w:t>s</w:t>
      </w:r>
      <w:r w:rsidR="0028706B" w:rsidRPr="00BC7A12">
        <w:rPr>
          <w:rFonts w:cs="Calibri"/>
        </w:rPr>
        <w:t xml:space="preserve">. </w:t>
      </w:r>
      <w:r w:rsidR="0042012B" w:rsidRPr="00BC7A12">
        <w:rPr>
          <w:rFonts w:cs="Calibri"/>
        </w:rPr>
        <w:t>H</w:t>
      </w:r>
      <w:r w:rsidR="0028706B" w:rsidRPr="00BC7A12">
        <w:rPr>
          <w:rFonts w:cs="Calibri"/>
        </w:rPr>
        <w:t>igher valuations are more</w:t>
      </w:r>
      <w:r w:rsidR="0042012B" w:rsidRPr="00BC7A12">
        <w:rPr>
          <w:rFonts w:cs="Calibri"/>
        </w:rPr>
        <w:t xml:space="preserve"> likely</w:t>
      </w:r>
      <w:r w:rsidR="0028706B" w:rsidRPr="00BC7A12">
        <w:rPr>
          <w:rFonts w:cs="Calibri"/>
        </w:rPr>
        <w:t xml:space="preserve"> </w:t>
      </w:r>
      <w:r w:rsidRPr="00BC7A12">
        <w:rPr>
          <w:rFonts w:cs="Calibri"/>
        </w:rPr>
        <w:t>to influence decision making</w:t>
      </w:r>
      <w:r w:rsidR="0042012B" w:rsidRPr="00BC7A12">
        <w:rPr>
          <w:rFonts w:cs="Calibri"/>
        </w:rPr>
        <w:t xml:space="preserve">. This may set precedent for the use of valuation in </w:t>
      </w:r>
      <w:r w:rsidR="0028706B" w:rsidRPr="00BC7A12">
        <w:rPr>
          <w:rFonts w:cs="Calibri"/>
        </w:rPr>
        <w:t>other areas</w:t>
      </w:r>
      <w:r w:rsidRPr="00BC7A12">
        <w:rPr>
          <w:rFonts w:cs="Calibri"/>
        </w:rPr>
        <w:t xml:space="preserve">. </w:t>
      </w:r>
      <w:r w:rsidRPr="00BC7A12">
        <w:rPr>
          <w:rFonts w:cs="Calibri"/>
          <w:i/>
          <w:iCs/>
        </w:rPr>
        <w:t xml:space="preserve"> </w:t>
      </w:r>
    </w:p>
    <w:p w14:paraId="56D1C105" w14:textId="4C92B9B6" w:rsidR="005F36AA" w:rsidRPr="00BC7A12" w:rsidRDefault="00E1044B" w:rsidP="004521A1">
      <w:pPr>
        <w:rPr>
          <w:rFonts w:cs="Calibri"/>
        </w:rPr>
      </w:pPr>
      <w:r w:rsidRPr="00BC7A12">
        <w:rPr>
          <w:rFonts w:cs="Calibri"/>
        </w:rPr>
        <w:t>Such a prioriti</w:t>
      </w:r>
      <w:r w:rsidR="009F43F8" w:rsidRPr="00BC7A12">
        <w:rPr>
          <w:rFonts w:cs="Calibri"/>
        </w:rPr>
        <w:t>s</w:t>
      </w:r>
      <w:r w:rsidRPr="00BC7A12">
        <w:rPr>
          <w:rFonts w:cs="Calibri"/>
        </w:rPr>
        <w:t>ation exercise may be aided by Australia’s existing awareness</w:t>
      </w:r>
      <w:r w:rsidR="008564D8">
        <w:rPr>
          <w:rFonts w:cs="Calibri"/>
        </w:rPr>
        <w:t>-</w:t>
      </w:r>
      <w:r w:rsidRPr="00BC7A12">
        <w:rPr>
          <w:rFonts w:cs="Calibri"/>
        </w:rPr>
        <w:t xml:space="preserve">raising valuations (see </w:t>
      </w:r>
      <w:r w:rsidRPr="00BC7A12">
        <w:rPr>
          <w:rFonts w:cs="Calibri"/>
        </w:rPr>
        <w:fldChar w:fldCharType="begin"/>
      </w:r>
      <w:r w:rsidRPr="00BC7A12">
        <w:rPr>
          <w:rFonts w:cs="Calibri"/>
        </w:rPr>
        <w:instrText xml:space="preserve"> REF _Ref43924607 \h </w:instrText>
      </w:r>
      <w:r w:rsidR="00BC7A12">
        <w:rPr>
          <w:rFonts w:cs="Calibri"/>
        </w:rPr>
        <w:instrText xml:space="preserve"> \* MERGEFORMAT </w:instrText>
      </w:r>
      <w:r w:rsidRPr="00BC7A12">
        <w:rPr>
          <w:rFonts w:cs="Calibri"/>
        </w:rPr>
      </w:r>
      <w:r w:rsidRPr="00BC7A12">
        <w:rPr>
          <w:rFonts w:cs="Calibri"/>
        </w:rPr>
        <w:fldChar w:fldCharType="separate"/>
      </w:r>
      <w:r w:rsidR="00657E34" w:rsidRPr="00BC7A12">
        <w:rPr>
          <w:rFonts w:cs="Calibri"/>
        </w:rPr>
        <w:t>Valuation of Australia’s coastal wetlands</w:t>
      </w:r>
      <w:r w:rsidRPr="00BC7A12">
        <w:rPr>
          <w:rFonts w:cs="Calibri"/>
        </w:rPr>
        <w:fldChar w:fldCharType="end"/>
      </w:r>
      <w:r w:rsidRPr="00BC7A12">
        <w:rPr>
          <w:rFonts w:cs="Calibri"/>
        </w:rPr>
        <w:t xml:space="preserve">). </w:t>
      </w:r>
      <w:r w:rsidR="0050022C" w:rsidRPr="00BC7A12">
        <w:rPr>
          <w:rFonts w:cs="Calibri"/>
        </w:rPr>
        <w:t xml:space="preserve">Additional insight may be gained </w:t>
      </w:r>
      <w:r w:rsidR="005F36AA" w:rsidRPr="00BC7A12">
        <w:rPr>
          <w:rFonts w:cs="Calibri"/>
        </w:rPr>
        <w:t xml:space="preserve">if the criteria used in </w:t>
      </w:r>
      <w:r w:rsidR="00171C7E" w:rsidRPr="00BC7A12">
        <w:rPr>
          <w:rFonts w:cs="Calibri"/>
        </w:rPr>
        <w:t>prioriti</w:t>
      </w:r>
      <w:r w:rsidR="009F43F8" w:rsidRPr="00BC7A12">
        <w:rPr>
          <w:rFonts w:cs="Calibri"/>
        </w:rPr>
        <w:t>s</w:t>
      </w:r>
      <w:r w:rsidR="00171C7E" w:rsidRPr="00BC7A12">
        <w:rPr>
          <w:rFonts w:cs="Calibri"/>
        </w:rPr>
        <w:t xml:space="preserve">ation exercises </w:t>
      </w:r>
      <w:r w:rsidR="005F36AA" w:rsidRPr="00BC7A12">
        <w:rPr>
          <w:rFonts w:cs="Calibri"/>
        </w:rPr>
        <w:t xml:space="preserve">are given </w:t>
      </w:r>
      <w:r w:rsidR="00171C7E" w:rsidRPr="00BC7A12">
        <w:rPr>
          <w:rFonts w:cs="Calibri"/>
        </w:rPr>
        <w:t>numerical weights</w:t>
      </w:r>
      <w:r w:rsidR="005F36AA" w:rsidRPr="00BC7A12">
        <w:rPr>
          <w:rFonts w:cs="Calibri"/>
        </w:rPr>
        <w:t xml:space="preserve"> and aggregated to provide a composite score</w:t>
      </w:r>
      <w:r w:rsidR="0050022C" w:rsidRPr="00BC7A12">
        <w:rPr>
          <w:rFonts w:cs="Calibri"/>
        </w:rPr>
        <w:t xml:space="preserve">. </w:t>
      </w:r>
    </w:p>
    <w:p w14:paraId="0BA89087" w14:textId="77777777" w:rsidR="00657E34" w:rsidRPr="00657E34" w:rsidRDefault="005F36AA" w:rsidP="00657E34">
      <w:pPr>
        <w:rPr>
          <w:rFonts w:cs="Calibri"/>
        </w:rPr>
      </w:pPr>
      <w:bookmarkStart w:id="83" w:name="_Hlk44176313"/>
      <w:r w:rsidRPr="00BC7A12">
        <w:rPr>
          <w:rFonts w:cs="Calibri"/>
        </w:rPr>
        <w:t xml:space="preserve">As shown in </w:t>
      </w:r>
      <w:r w:rsidRPr="00BC7A12">
        <w:rPr>
          <w:rFonts w:cs="Calibri"/>
        </w:rPr>
        <w:fldChar w:fldCharType="begin"/>
      </w:r>
      <w:r w:rsidRPr="00BC7A12">
        <w:rPr>
          <w:rFonts w:cs="Calibri"/>
        </w:rPr>
        <w:instrText xml:space="preserve"> REF _Ref43925174 \h </w:instrText>
      </w:r>
      <w:r w:rsidR="00BC7A12">
        <w:rPr>
          <w:rFonts w:cs="Calibri"/>
        </w:rPr>
        <w:instrText xml:space="preserve"> \* MERGEFORMAT </w:instrText>
      </w:r>
      <w:r w:rsidRPr="00BC7A12">
        <w:rPr>
          <w:rFonts w:cs="Calibri"/>
        </w:rPr>
      </w:r>
      <w:r w:rsidRPr="00BC7A12">
        <w:rPr>
          <w:rFonts w:cs="Calibri"/>
        </w:rPr>
        <w:fldChar w:fldCharType="separate"/>
      </w:r>
      <w:r w:rsidR="00657E34" w:rsidRPr="00BC7A12">
        <w:rPr>
          <w:rFonts w:cs="Calibri"/>
        </w:rPr>
        <w:br w:type="page"/>
      </w:r>
    </w:p>
    <w:p w14:paraId="5AFD4223" w14:textId="62BB29FF" w:rsidR="008A2342" w:rsidRPr="00BC7A12" w:rsidRDefault="00657E34" w:rsidP="004521A1">
      <w:pPr>
        <w:rPr>
          <w:rFonts w:cs="Calibri"/>
        </w:rPr>
      </w:pPr>
      <w:r w:rsidRPr="00BC7A12">
        <w:rPr>
          <w:rFonts w:cs="Calibri"/>
          <w:noProof/>
        </w:rPr>
        <w:lastRenderedPageBreak/>
        <w:t>Table</w:t>
      </w:r>
      <w:r w:rsidRPr="00BC7A12">
        <w:rPr>
          <w:rFonts w:cs="Calibri"/>
        </w:rPr>
        <w:t xml:space="preserve"> </w:t>
      </w:r>
      <w:r>
        <w:rPr>
          <w:rFonts w:cs="Calibri"/>
          <w:noProof/>
        </w:rPr>
        <w:t>9</w:t>
      </w:r>
      <w:r w:rsidR="005F36AA" w:rsidRPr="00BC7A12">
        <w:rPr>
          <w:rFonts w:cs="Calibri"/>
        </w:rPr>
        <w:fldChar w:fldCharType="end"/>
      </w:r>
      <w:r w:rsidR="005F36AA" w:rsidRPr="00BC7A12">
        <w:rPr>
          <w:rFonts w:cs="Calibri"/>
        </w:rPr>
        <w:t xml:space="preserve">, </w:t>
      </w:r>
      <w:r w:rsidR="0050022C" w:rsidRPr="00BC7A12">
        <w:rPr>
          <w:rFonts w:cs="Calibri"/>
        </w:rPr>
        <w:fldChar w:fldCharType="begin" w:fldLock="1"/>
      </w:r>
      <w:r w:rsidR="0050022C" w:rsidRPr="00BC7A12">
        <w:rPr>
          <w:rFonts w:cs="Calibri"/>
        </w:rPr>
        <w:instrText>ADDIN CSL_CITATION {"citationItems":[{"id":"ITEM-1","itemData":{"DOI":"10.1007/s12237-020-00718-z","ISSN":"15592731","abstract":"Nature-based risk mitigation is increasingly proposed as a strategy to cope with global changes that increase flood risks in coastal areas. However, loss of coastal ecosystems reduces their mitigating effect on coastal flood risks in many places around the world. Here, we identify global urban hot spots exposed to storm surge flood risks, where conservation of existing coastal ecosystems can contribute to nature-based risk mitigation. We present a global procedure identifying the most likely pathways followed by storm surges from the open sea toward 136 cities around the world and quantifying the extent of mangrove forests, salt marshes, seagrass meadows, and coral reefs along these storm surge pathways. Instead of being locally precise, our procedure aims to be globally applicable, in order to identify cities around the world where ecosystems can have a positive effect on storm surge risk mitigation and where further local-scale, more precise assessments are advised. Our results show that cities that combine large flood-exposed populations (&gt; 400,000 people exposed to 1-in-100-year storm events) and large potential for nature-based risk mitigation (&gt; 200 km2 of coastal ecosystems) are located in large river deltas and estuaries, such as Khulna (Ganges-Brahmaputra delta, Bangladesh), Guayaquil (Guayas delta, Ecuador), Ho Chi Minh City (Mekong delta, Vietnam), and New Orleans (Mississippi Delta, USA). Here, conservation of mangroves and salt marshes plays a key role. Cities with large flood-exposed populations and/or assets, but few ecosystems, are either located directly adjacent to coastlines or where former wetlands have been reclaimed, especially in European and Asian cities. Overall, 75% of the studied cities benefit from flood risk mitigation by present ecosystems and from additional ecosystem services. Hence, our study identifies global urban hot spots where more detailed local studies are advised on the effectiveness of conservation and (re-)creation of coastal ecosystems as a sustainable strategy for nature-based mitigation of increasing coastal flood risks.","author":[{"dropping-particle":"","family":"Coppenolle","given":"R.","non-dropping-particle":"Van","parse-names":false,"suffix":""},{"dropping-particle":"","family":"Temmerman","given":"S.","non-dropping-particle":"","parse-names":false,"suffix":""}],"container-title":"Estuaries and Coasts","id":"ITEM-1","issued":{"date-parts":[["2020"]]},"publisher":"Estuaries and Coasts","title":"Identifying Ecosystem Surface Areas Available for Nature-Based Flood Risk Mitigation in Coastal Cities Around the World","type":"article-journal"},"uris":["http://www.mendeley.com/documents/?uuid=097519aa-efe0-41d5-a44d-d439c5e7ad2c"]}],"mendeley":{"formattedCitation":"(Van Coppenolle &amp; Temmerman 2020)","manualFormatting":"Van Coppenolle &amp; Temmerman 2020","plainTextFormattedCitation":"(Van Coppenolle &amp; Temmerman 2020)","previouslyFormattedCitation":"(Van Coppenolle &amp; Temmerman 2020)"},"properties":{"noteIndex":0},"schema":"https://github.com/citation-style-language/schema/raw/master/csl-citation.json"}</w:instrText>
      </w:r>
      <w:r w:rsidR="0050022C" w:rsidRPr="00BC7A12">
        <w:rPr>
          <w:rFonts w:cs="Calibri"/>
        </w:rPr>
        <w:fldChar w:fldCharType="separate"/>
      </w:r>
      <w:r w:rsidR="0050022C" w:rsidRPr="00BC7A12">
        <w:rPr>
          <w:rFonts w:cs="Calibri"/>
          <w:noProof/>
        </w:rPr>
        <w:t>Van Coppenolle &amp; Temmerman 2020</w:t>
      </w:r>
      <w:r w:rsidR="0050022C" w:rsidRPr="00BC7A12">
        <w:rPr>
          <w:rFonts w:cs="Calibri"/>
        </w:rPr>
        <w:fldChar w:fldCharType="end"/>
      </w:r>
      <w:r w:rsidR="0050022C" w:rsidRPr="00BC7A12">
        <w:rPr>
          <w:rFonts w:cs="Calibri"/>
        </w:rPr>
        <w:t xml:space="preserve"> </w:t>
      </w:r>
      <w:r w:rsidR="005F36AA" w:rsidRPr="00BC7A12">
        <w:rPr>
          <w:rFonts w:cs="Calibri"/>
        </w:rPr>
        <w:t>assess</w:t>
      </w:r>
      <w:r w:rsidR="0042012B" w:rsidRPr="00BC7A12">
        <w:rPr>
          <w:rFonts w:cs="Calibri"/>
        </w:rPr>
        <w:t xml:space="preserve">ed </w:t>
      </w:r>
      <w:r w:rsidR="008564D8">
        <w:rPr>
          <w:rFonts w:cs="Calibri"/>
        </w:rPr>
        <w:t xml:space="preserve">and ranked </w:t>
      </w:r>
      <w:r w:rsidR="005F36AA" w:rsidRPr="00BC7A12">
        <w:rPr>
          <w:rFonts w:cs="Calibri"/>
        </w:rPr>
        <w:t xml:space="preserve">cities around the world </w:t>
      </w:r>
      <w:r w:rsidR="0042012B" w:rsidRPr="00BC7A12">
        <w:rPr>
          <w:rFonts w:cs="Calibri"/>
        </w:rPr>
        <w:t xml:space="preserve">for the </w:t>
      </w:r>
      <w:r w:rsidR="005F36AA" w:rsidRPr="00BC7A12">
        <w:rPr>
          <w:rFonts w:cs="Calibri"/>
        </w:rPr>
        <w:t>population</w:t>
      </w:r>
      <w:r w:rsidR="0042012B" w:rsidRPr="00BC7A12">
        <w:rPr>
          <w:rFonts w:cs="Calibri"/>
        </w:rPr>
        <w:t>s</w:t>
      </w:r>
      <w:r w:rsidR="005F36AA" w:rsidRPr="00BC7A12">
        <w:rPr>
          <w:rFonts w:cs="Calibri"/>
        </w:rPr>
        <w:t xml:space="preserve"> at risk, </w:t>
      </w:r>
      <w:r w:rsidR="00726F98" w:rsidRPr="00BC7A12">
        <w:rPr>
          <w:rFonts w:cs="Calibri"/>
        </w:rPr>
        <w:t>property</w:t>
      </w:r>
      <w:r w:rsidR="005F36AA" w:rsidRPr="00BC7A12">
        <w:rPr>
          <w:rFonts w:cs="Calibri"/>
        </w:rPr>
        <w:t xml:space="preserve"> at risk and size of coastal ecosystems</w:t>
      </w:r>
      <w:r w:rsidR="0050022C" w:rsidRPr="00BC7A12">
        <w:rPr>
          <w:rFonts w:cs="Calibri"/>
        </w:rPr>
        <w:t xml:space="preserve">. </w:t>
      </w:r>
      <w:r w:rsidR="005F36AA" w:rsidRPr="00BC7A12">
        <w:rPr>
          <w:rFonts w:cs="Calibri"/>
        </w:rPr>
        <w:t xml:space="preserve">Further data </w:t>
      </w:r>
      <w:r w:rsidR="00726F98" w:rsidRPr="00BC7A12">
        <w:rPr>
          <w:rFonts w:cs="Calibri"/>
        </w:rPr>
        <w:t xml:space="preserve">is </w:t>
      </w:r>
      <w:r w:rsidR="005F36AA" w:rsidRPr="00BC7A12">
        <w:rPr>
          <w:rFonts w:cs="Calibri"/>
        </w:rPr>
        <w:t xml:space="preserve">required to make </w:t>
      </w:r>
      <w:r w:rsidR="0042012B" w:rsidRPr="00BC7A12">
        <w:rPr>
          <w:rFonts w:cs="Calibri"/>
        </w:rPr>
        <w:t xml:space="preserve">such a </w:t>
      </w:r>
      <w:r w:rsidR="00C9434D" w:rsidRPr="00BC7A12">
        <w:rPr>
          <w:rFonts w:cs="Calibri"/>
        </w:rPr>
        <w:t>prioritisations of Australia’s coastal wetlands</w:t>
      </w:r>
      <w:r w:rsidR="00726F98" w:rsidRPr="00BC7A12">
        <w:rPr>
          <w:rFonts w:cs="Calibri"/>
        </w:rPr>
        <w:t xml:space="preserve">. Such an exercise should include </w:t>
      </w:r>
      <w:r w:rsidR="0028706B" w:rsidRPr="00BC7A12">
        <w:rPr>
          <w:rFonts w:cs="Calibri"/>
        </w:rPr>
        <w:t>state and local decision makers</w:t>
      </w:r>
      <w:r w:rsidR="00C9434D" w:rsidRPr="00BC7A12">
        <w:rPr>
          <w:rFonts w:cs="Calibri"/>
        </w:rPr>
        <w:t xml:space="preserve">. </w:t>
      </w:r>
      <w:bookmarkStart w:id="84" w:name="_Hlk44176169"/>
      <w:r w:rsidR="0042012B" w:rsidRPr="00BC7A12">
        <w:rPr>
          <w:rFonts w:cs="Calibri"/>
        </w:rPr>
        <w:t>Finally, a</w:t>
      </w:r>
      <w:r w:rsidR="00C9434D" w:rsidRPr="00BC7A12">
        <w:rPr>
          <w:rFonts w:cs="Calibri"/>
        </w:rPr>
        <w:t xml:space="preserve">lthough </w:t>
      </w:r>
      <w:r w:rsidR="0042012B" w:rsidRPr="00BC7A12">
        <w:rPr>
          <w:rFonts w:cs="Calibri"/>
        </w:rPr>
        <w:t xml:space="preserve">this report focuses on </w:t>
      </w:r>
      <w:r w:rsidR="00C9434D" w:rsidRPr="00BC7A12">
        <w:rPr>
          <w:rFonts w:cs="Calibri"/>
        </w:rPr>
        <w:t xml:space="preserve">prioritisation </w:t>
      </w:r>
      <w:r w:rsidR="0042012B" w:rsidRPr="00BC7A12">
        <w:rPr>
          <w:rFonts w:cs="Calibri"/>
        </w:rPr>
        <w:t>of DRR ecosystem services, any prioriti</w:t>
      </w:r>
      <w:r w:rsidR="009F43F8" w:rsidRPr="00BC7A12">
        <w:rPr>
          <w:rFonts w:cs="Calibri"/>
        </w:rPr>
        <w:t>s</w:t>
      </w:r>
      <w:r w:rsidR="0042012B" w:rsidRPr="00BC7A12">
        <w:rPr>
          <w:rFonts w:cs="Calibri"/>
        </w:rPr>
        <w:t>ation exercise could include a broader range of ecosystem services.</w:t>
      </w:r>
      <w:bookmarkEnd w:id="84"/>
    </w:p>
    <w:p w14:paraId="5923E543" w14:textId="77777777" w:rsidR="005F36AA" w:rsidRPr="00BC7A12" w:rsidRDefault="005F36AA">
      <w:pPr>
        <w:spacing w:after="200" w:line="276" w:lineRule="auto"/>
        <w:jc w:val="left"/>
        <w:rPr>
          <w:rFonts w:cs="Calibri"/>
          <w:i/>
          <w:iCs/>
          <w:color w:val="156471" w:themeColor="text2"/>
          <w:sz w:val="18"/>
          <w:szCs w:val="18"/>
        </w:rPr>
      </w:pPr>
      <w:bookmarkStart w:id="85" w:name="_Ref43925174"/>
      <w:bookmarkEnd w:id="83"/>
      <w:r w:rsidRPr="00BC7A12">
        <w:rPr>
          <w:rFonts w:cs="Calibri"/>
        </w:rPr>
        <w:br w:type="page"/>
      </w:r>
    </w:p>
    <w:p w14:paraId="3D6C3A66" w14:textId="03FB6171" w:rsidR="0050022C" w:rsidRPr="00BC7A12" w:rsidRDefault="0050022C" w:rsidP="0050022C">
      <w:pPr>
        <w:pStyle w:val="Caption"/>
        <w:rPr>
          <w:rFonts w:cs="Calibri"/>
        </w:rPr>
      </w:pPr>
      <w:bookmarkStart w:id="86" w:name="_Toc46821748"/>
      <w:r w:rsidRPr="00BC7A12">
        <w:rPr>
          <w:rFonts w:cs="Calibri"/>
        </w:rPr>
        <w:lastRenderedPageBreak/>
        <w:t xml:space="preserve">Table </w:t>
      </w:r>
      <w:r w:rsidR="005C2E7C" w:rsidRPr="00BC7A12">
        <w:rPr>
          <w:rFonts w:cs="Calibri"/>
          <w:noProof/>
        </w:rPr>
        <w:fldChar w:fldCharType="begin"/>
      </w:r>
      <w:r w:rsidR="005C2E7C" w:rsidRPr="00BC7A12">
        <w:rPr>
          <w:rFonts w:cs="Calibri"/>
          <w:noProof/>
        </w:rPr>
        <w:instrText xml:space="preserve"> SEQ Table \* ARABIC </w:instrText>
      </w:r>
      <w:r w:rsidR="005C2E7C" w:rsidRPr="00BC7A12">
        <w:rPr>
          <w:rFonts w:cs="Calibri"/>
          <w:noProof/>
        </w:rPr>
        <w:fldChar w:fldCharType="separate"/>
      </w:r>
      <w:r w:rsidR="00657E34">
        <w:rPr>
          <w:rFonts w:cs="Calibri"/>
          <w:noProof/>
        </w:rPr>
        <w:t>9</w:t>
      </w:r>
      <w:r w:rsidR="005C2E7C" w:rsidRPr="00BC7A12">
        <w:rPr>
          <w:rFonts w:cs="Calibri"/>
          <w:noProof/>
        </w:rPr>
        <w:fldChar w:fldCharType="end"/>
      </w:r>
      <w:bookmarkEnd w:id="85"/>
      <w:r w:rsidRPr="00BC7A12">
        <w:rPr>
          <w:rFonts w:cs="Calibri"/>
        </w:rPr>
        <w:t xml:space="preserve"> Cities, populations, asset risk and coastal ecosystem in flood path </w:t>
      </w:r>
      <w:r w:rsidRPr="00BC7A12">
        <w:rPr>
          <w:rFonts w:cs="Calibri"/>
        </w:rPr>
        <w:fldChar w:fldCharType="begin" w:fldLock="1"/>
      </w:r>
      <w:r w:rsidRPr="00BC7A12">
        <w:rPr>
          <w:rFonts w:cs="Calibri"/>
        </w:rPr>
        <w:instrText>ADDIN CSL_CITATION {"citationItems":[{"id":"ITEM-1","itemData":{"DOI":"10.1007/s12237-020-00718-z","ISSN":"15592731","abstract":"Nature-based risk mitigation is increasingly proposed as a strategy to cope with global changes that increase flood risks in coastal areas. However, loss of coastal ecosystems reduces their mitigating effect on coastal flood risks in many places around the world. Here, we identify global urban hot spots exposed to storm surge flood risks, where conservation of existing coastal ecosystems can contribute to nature-based risk mitigation. We present a global procedure identifying the most likely pathways followed by storm surges from the open sea toward 136 cities around the world and quantifying the extent of mangrove forests, salt marshes, seagrass meadows, and coral reefs along these storm surge pathways. Instead of being locally precise, our procedure aims to be globally applicable, in order to identify cities around the world where ecosystems can have a positive effect on storm surge risk mitigation and where further local-scale, more precise assessments are advised. Our results show that cities that combine large flood-exposed populations (&gt; 400,000 people exposed to 1-in-100-year storm events) and large potential for nature-based risk mitigation (&gt; 200 km2 of coastal ecosystems) are located in large river deltas and estuaries, such as Khulna (Ganges-Brahmaputra delta, Bangladesh), Guayaquil (Guayas delta, Ecuador), Ho Chi Minh City (Mekong delta, Vietnam), and New Orleans (Mississippi Delta, USA). Here, conservation of mangroves and salt marshes plays a key role. Cities with large flood-exposed populations and/or assets, but few ecosystems, are either located directly adjacent to coastlines or where former wetlands have been reclaimed, especially in European and Asian cities. Overall, 75% of the studied cities benefit from flood risk mitigation by present ecosystems and from additional ecosystem services. Hence, our study identifies global urban hot spots where more detailed local studies are advised on the effectiveness of conservation and (re-)creation of coastal ecosystems as a sustainable strategy for nature-based mitigation of increasing coastal flood risks.","author":[{"dropping-particle":"","family":"Coppenolle","given":"R.","non-dropping-particle":"Van","parse-names":false,"suffix":""},{"dropping-particle":"","family":"Temmerman","given":"S.","non-dropping-particle":"","parse-names":false,"suffix":""}],"container-title":"Estuaries and Coasts","id":"ITEM-1","issued":{"date-parts":[["2020"]]},"publisher":"Estuaries and Coasts","title":"Identifying Ecosystem Surface Areas Available for Nature-Based Flood Risk Mitigation in Coastal Cities Around the World","type":"article-journal"},"uris":["http://www.mendeley.com/documents/?uuid=097519aa-efe0-41d5-a44d-d439c5e7ad2c"]}],"mendeley":{"formattedCitation":"(Van Coppenolle &amp; Temmerman 2020)","plainTextFormattedCitation":"(Van Coppenolle &amp; Temmerman 2020)","previouslyFormattedCitation":"(Van Coppenolle &amp; Temmerman 2020)"},"properties":{"noteIndex":0},"schema":"https://github.com/citation-style-language/schema/raw/master/csl-citation.json"}</w:instrText>
      </w:r>
      <w:r w:rsidRPr="00BC7A12">
        <w:rPr>
          <w:rFonts w:cs="Calibri"/>
        </w:rPr>
        <w:fldChar w:fldCharType="separate"/>
      </w:r>
      <w:r w:rsidRPr="00BC7A12">
        <w:rPr>
          <w:rFonts w:cs="Calibri"/>
          <w:noProof/>
        </w:rPr>
        <w:t>(Van Coppenolle &amp; Temmerman 2020)</w:t>
      </w:r>
      <w:bookmarkEnd w:id="86"/>
      <w:r w:rsidRPr="00BC7A12">
        <w:rPr>
          <w:rFonts w:cs="Calibri"/>
        </w:rPr>
        <w:fldChar w:fldCharType="end"/>
      </w:r>
    </w:p>
    <w:p w14:paraId="117FFA7F" w14:textId="77777777" w:rsidR="0050022C" w:rsidRPr="00BC7A12" w:rsidRDefault="0050022C" w:rsidP="0050022C">
      <w:pPr>
        <w:keepNext/>
        <w:rPr>
          <w:rFonts w:cs="Calibri"/>
        </w:rPr>
      </w:pPr>
      <w:r w:rsidRPr="00BC7A12">
        <w:rPr>
          <w:rFonts w:cs="Calibri"/>
          <w:noProof/>
          <w:lang w:eastAsia="en-AU"/>
        </w:rPr>
        <w:drawing>
          <wp:inline distT="0" distB="0" distL="0" distR="0" wp14:anchorId="5142BA3F" wp14:editId="7DB6DF44">
            <wp:extent cx="5731510" cy="3246755"/>
            <wp:effectExtent l="0" t="0" r="254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58F2B9.tmp"/>
                    <pic:cNvPicPr/>
                  </pic:nvPicPr>
                  <pic:blipFill>
                    <a:blip r:embed="rId25">
                      <a:extLst>
                        <a:ext uri="{28A0092B-C50C-407E-A947-70E740481C1C}">
                          <a14:useLocalDpi xmlns:a14="http://schemas.microsoft.com/office/drawing/2010/main" val="0"/>
                        </a:ext>
                      </a:extLst>
                    </a:blip>
                    <a:stretch>
                      <a:fillRect/>
                    </a:stretch>
                  </pic:blipFill>
                  <pic:spPr>
                    <a:xfrm>
                      <a:off x="0" y="0"/>
                      <a:ext cx="5731510" cy="3246755"/>
                    </a:xfrm>
                    <a:prstGeom prst="rect">
                      <a:avLst/>
                    </a:prstGeom>
                  </pic:spPr>
                </pic:pic>
              </a:graphicData>
            </a:graphic>
          </wp:inline>
        </w:drawing>
      </w:r>
    </w:p>
    <w:p w14:paraId="6FD1C066" w14:textId="77777777" w:rsidR="000438FA" w:rsidRDefault="000438FA">
      <w:pPr>
        <w:spacing w:after="200" w:line="276" w:lineRule="auto"/>
        <w:jc w:val="left"/>
        <w:rPr>
          <w:rFonts w:cs="Calibri"/>
        </w:rPr>
      </w:pPr>
    </w:p>
    <w:p w14:paraId="047FE304" w14:textId="4FDD1740" w:rsidR="008A2342" w:rsidRPr="00BC7A12" w:rsidRDefault="00A527D0">
      <w:pPr>
        <w:spacing w:after="200" w:line="276" w:lineRule="auto"/>
        <w:jc w:val="left"/>
        <w:rPr>
          <w:rFonts w:cs="Calibri"/>
        </w:rPr>
      </w:pPr>
      <w:r w:rsidRPr="00BC7A12">
        <w:rPr>
          <w:rFonts w:cs="Calibri"/>
        </w:rPr>
        <w:t xml:space="preserve">A parallel or alternate prioritization of building datasets is also worthy of </w:t>
      </w:r>
      <w:r w:rsidR="00017616" w:rsidRPr="00BC7A12">
        <w:rPr>
          <w:rFonts w:cs="Calibri"/>
        </w:rPr>
        <w:t>consider</w:t>
      </w:r>
      <w:r w:rsidRPr="00BC7A12">
        <w:rPr>
          <w:rFonts w:cs="Calibri"/>
        </w:rPr>
        <w:t>ation.</w:t>
      </w:r>
      <w:r w:rsidR="008A2342" w:rsidRPr="00BC7A12">
        <w:rPr>
          <w:rFonts w:cs="Calibri"/>
        </w:rPr>
        <w:t xml:space="preserve"> Given that data </w:t>
      </w:r>
      <w:r w:rsidR="00017616" w:rsidRPr="00BC7A12">
        <w:rPr>
          <w:rFonts w:cs="Calibri"/>
        </w:rPr>
        <w:t xml:space="preserve">availability </w:t>
      </w:r>
      <w:r w:rsidR="008A2342" w:rsidRPr="00BC7A12">
        <w:rPr>
          <w:rFonts w:cs="Calibri"/>
        </w:rPr>
        <w:t xml:space="preserve">is the primary impediment to improved valuations </w:t>
      </w:r>
      <w:r w:rsidR="00017616" w:rsidRPr="00BC7A12">
        <w:rPr>
          <w:rFonts w:cs="Calibri"/>
        </w:rPr>
        <w:t xml:space="preserve">and that generic models such as </w:t>
      </w:r>
      <w:proofErr w:type="spellStart"/>
      <w:r w:rsidR="00017616" w:rsidRPr="00BC7A12">
        <w:rPr>
          <w:rFonts w:cs="Calibri"/>
        </w:rPr>
        <w:t>InVEST</w:t>
      </w:r>
      <w:proofErr w:type="spellEnd"/>
      <w:r w:rsidR="00017616" w:rsidRPr="00BC7A12">
        <w:rPr>
          <w:rFonts w:cs="Calibri"/>
        </w:rPr>
        <w:t xml:space="preserve"> can be use by </w:t>
      </w:r>
      <w:proofErr w:type="spellStart"/>
      <w:r w:rsidR="00017616" w:rsidRPr="00BC7A12">
        <w:rPr>
          <w:rFonts w:cs="Calibri"/>
        </w:rPr>
        <w:t>non experts</w:t>
      </w:r>
      <w:proofErr w:type="spellEnd"/>
      <w:r w:rsidR="00017616" w:rsidRPr="00BC7A12">
        <w:rPr>
          <w:rFonts w:cs="Calibri"/>
        </w:rPr>
        <w:t>, by simply providing data, the coastal planning</w:t>
      </w:r>
      <w:r w:rsidRPr="00BC7A12">
        <w:rPr>
          <w:rFonts w:cs="Calibri"/>
        </w:rPr>
        <w:t xml:space="preserve"> community will face lower barriers to conducting quality biophysical modelling and valuation. In addition, the real estate, insurance and construction industries could repurpose this data </w:t>
      </w:r>
      <w:r w:rsidR="00017616" w:rsidRPr="00BC7A12">
        <w:rPr>
          <w:rFonts w:cs="Calibri"/>
        </w:rPr>
        <w:fldChar w:fldCharType="begin" w:fldLock="1"/>
      </w:r>
      <w:r w:rsidR="008829D2" w:rsidRPr="00BC7A12">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2020a)","manualFormatting":"(Mallon and LePlastrier IDEEA Group 2020a)","plainTextFormattedCitation":"(IDEEA Group 2020a)","previouslyFormattedCitation":"(IDEEA Group 2020a)"},"properties":{"noteIndex":0},"schema":"https://github.com/citation-style-language/schema/raw/master/csl-citation.json"}</w:instrText>
      </w:r>
      <w:r w:rsidR="00017616" w:rsidRPr="00BC7A12">
        <w:rPr>
          <w:rFonts w:cs="Calibri"/>
        </w:rPr>
        <w:fldChar w:fldCharType="separate"/>
      </w:r>
      <w:r w:rsidR="00017616" w:rsidRPr="00BC7A12">
        <w:rPr>
          <w:rFonts w:cs="Calibri"/>
          <w:noProof/>
        </w:rPr>
        <w:t>(Mallon and LePlastrier IDEEA Group 2020a)</w:t>
      </w:r>
      <w:r w:rsidR="00017616" w:rsidRPr="00BC7A12">
        <w:rPr>
          <w:rFonts w:cs="Calibri"/>
        </w:rPr>
        <w:fldChar w:fldCharType="end"/>
      </w:r>
      <w:r w:rsidR="00017616" w:rsidRPr="00BC7A12">
        <w:rPr>
          <w:rFonts w:cs="Calibri"/>
        </w:rPr>
        <w:t>.</w:t>
      </w:r>
      <w:r w:rsidR="00F43CF8" w:rsidRPr="00BC7A12">
        <w:rPr>
          <w:rFonts w:cs="Calibri"/>
        </w:rPr>
        <w:t xml:space="preserve"> </w:t>
      </w:r>
    </w:p>
    <w:p w14:paraId="24B99BA8" w14:textId="6F99F321" w:rsidR="00017616" w:rsidRPr="00BC7A12" w:rsidRDefault="00017616">
      <w:pPr>
        <w:spacing w:after="200" w:line="276" w:lineRule="auto"/>
        <w:jc w:val="left"/>
        <w:rPr>
          <w:rFonts w:cs="Calibri"/>
        </w:rPr>
      </w:pPr>
      <w:r w:rsidRPr="00BC7A12">
        <w:rPr>
          <w:rFonts w:cs="Calibri"/>
        </w:rPr>
        <w:br w:type="page"/>
      </w:r>
    </w:p>
    <w:p w14:paraId="38101AED" w14:textId="2A570A7D" w:rsidR="006807F3" w:rsidRPr="00BC7A12" w:rsidRDefault="009F252A" w:rsidP="00EA5E9B">
      <w:pPr>
        <w:pStyle w:val="Heading1"/>
        <w:rPr>
          <w:rFonts w:ascii="Calibri" w:hAnsi="Calibri" w:cs="Calibri"/>
        </w:rPr>
      </w:pPr>
      <w:bookmarkStart w:id="87" w:name="_Toc46822326"/>
      <w:r w:rsidRPr="00BC7A12">
        <w:rPr>
          <w:rFonts w:ascii="Calibri" w:hAnsi="Calibri" w:cs="Calibri"/>
        </w:rPr>
        <w:lastRenderedPageBreak/>
        <w:t xml:space="preserve">Conclusions and </w:t>
      </w:r>
      <w:r w:rsidR="00027D64" w:rsidRPr="00BC7A12">
        <w:rPr>
          <w:rFonts w:ascii="Calibri" w:hAnsi="Calibri" w:cs="Calibri"/>
        </w:rPr>
        <w:t>Recommendations</w:t>
      </w:r>
      <w:bookmarkEnd w:id="87"/>
      <w:r w:rsidR="00027D64" w:rsidRPr="00BC7A12">
        <w:rPr>
          <w:rFonts w:ascii="Calibri" w:hAnsi="Calibri" w:cs="Calibri"/>
        </w:rPr>
        <w:t xml:space="preserve"> </w:t>
      </w:r>
    </w:p>
    <w:p w14:paraId="3CEDC9CA" w14:textId="77777777" w:rsidR="006F1993" w:rsidRPr="00BC7A12" w:rsidRDefault="006F1993" w:rsidP="006F1993">
      <w:pPr>
        <w:rPr>
          <w:rFonts w:cs="Calibri"/>
        </w:rPr>
      </w:pPr>
      <w:bookmarkStart w:id="88" w:name="_Hlk44176825"/>
      <w:r w:rsidRPr="00BC7A12">
        <w:rPr>
          <w:rFonts w:cs="Calibri"/>
        </w:rPr>
        <w:t xml:space="preserve">Coastal wetlands enable a wide range of benefits through the provision of ecosystem services. These include cultural and intrinsic </w:t>
      </w:r>
      <w:r>
        <w:rPr>
          <w:rFonts w:cs="Calibri"/>
        </w:rPr>
        <w:t>benefits</w:t>
      </w:r>
      <w:r w:rsidRPr="00BC7A12">
        <w:rPr>
          <w:rFonts w:cs="Calibri"/>
        </w:rPr>
        <w:t xml:space="preserve"> related to the existence of biodiversity and wetlands themselves. </w:t>
      </w:r>
      <w:r>
        <w:rPr>
          <w:rFonts w:cs="Calibri"/>
        </w:rPr>
        <w:t xml:space="preserve">Wetlands </w:t>
      </w:r>
      <w:r w:rsidRPr="00BC7A12">
        <w:rPr>
          <w:rFonts w:cs="Calibri"/>
        </w:rPr>
        <w:t xml:space="preserve">provide food (fish and seafood) and mitigate climate change by sequestering and storing carbon. In addition, coastal wetlands </w:t>
      </w:r>
      <w:r>
        <w:rPr>
          <w:rFonts w:cs="Calibri"/>
        </w:rPr>
        <w:t xml:space="preserve">contribute to </w:t>
      </w:r>
      <w:r w:rsidRPr="00BC7A12">
        <w:rPr>
          <w:rFonts w:cs="Calibri"/>
        </w:rPr>
        <w:t>improve</w:t>
      </w:r>
      <w:r>
        <w:rPr>
          <w:rFonts w:cs="Calibri"/>
        </w:rPr>
        <w:t>d</w:t>
      </w:r>
      <w:r w:rsidRPr="00BC7A12">
        <w:rPr>
          <w:rFonts w:cs="Calibri"/>
        </w:rPr>
        <w:t xml:space="preserve"> health by providing recreational opportunities and filtering pollutants from water. They can also protect human property from coastal storms, floods, sea level rise and subsidence. </w:t>
      </w:r>
    </w:p>
    <w:p w14:paraId="624CF206" w14:textId="25A29A6A" w:rsidR="006F1993" w:rsidRDefault="006F1993" w:rsidP="00997F8C">
      <w:pPr>
        <w:spacing w:after="200" w:line="276" w:lineRule="auto"/>
        <w:rPr>
          <w:rFonts w:cs="Calibri"/>
        </w:rPr>
      </w:pPr>
      <w:r w:rsidRPr="006F57AE">
        <w:rPr>
          <w:rFonts w:cs="Calibri"/>
        </w:rPr>
        <w:t>The extent, condition</w:t>
      </w:r>
      <w:r>
        <w:rPr>
          <w:rFonts w:cs="Calibri"/>
        </w:rPr>
        <w:t xml:space="preserve">, </w:t>
      </w:r>
      <w:proofErr w:type="gramStart"/>
      <w:r w:rsidRPr="006F57AE">
        <w:rPr>
          <w:rFonts w:cs="Calibri"/>
        </w:rPr>
        <w:t>location</w:t>
      </w:r>
      <w:proofErr w:type="gramEnd"/>
      <w:r w:rsidRPr="006F57AE">
        <w:rPr>
          <w:rFonts w:cs="Calibri"/>
        </w:rPr>
        <w:t xml:space="preserve"> </w:t>
      </w:r>
      <w:r>
        <w:rPr>
          <w:rFonts w:cs="Calibri"/>
        </w:rPr>
        <w:t xml:space="preserve">and ecosystem type influence coastal wetland’s ability to provide this disaster risk reduction ecosystem services. To help coastal managers include them in decision making, monetary valuation has been used.   </w:t>
      </w:r>
    </w:p>
    <w:p w14:paraId="2C636DD2" w14:textId="738577AC" w:rsidR="00E11418" w:rsidRPr="00BC7A12" w:rsidRDefault="0010674D" w:rsidP="00997F8C">
      <w:pPr>
        <w:spacing w:after="200" w:line="276" w:lineRule="auto"/>
        <w:rPr>
          <w:rFonts w:cs="Calibri"/>
        </w:rPr>
      </w:pPr>
      <w:r w:rsidRPr="00BC7A12">
        <w:rPr>
          <w:rFonts w:cs="Calibri"/>
        </w:rPr>
        <w:t xml:space="preserve">The degree </w:t>
      </w:r>
      <w:r w:rsidR="006F57AE">
        <w:rPr>
          <w:rFonts w:cs="Calibri"/>
        </w:rPr>
        <w:t xml:space="preserve">to which valuation influences coastal planning decisions </w:t>
      </w:r>
      <w:r w:rsidR="00CB25FD" w:rsidRPr="00BC7A12">
        <w:rPr>
          <w:rFonts w:cs="Calibri"/>
        </w:rPr>
        <w:t xml:space="preserve">depends on </w:t>
      </w:r>
      <w:r w:rsidR="00E70A26" w:rsidRPr="00BC7A12">
        <w:rPr>
          <w:rFonts w:cs="Calibri"/>
        </w:rPr>
        <w:t>the</w:t>
      </w:r>
      <w:r w:rsidR="00CB25FD" w:rsidRPr="00BC7A12">
        <w:rPr>
          <w:rFonts w:cs="Calibri"/>
        </w:rPr>
        <w:t xml:space="preserve"> use </w:t>
      </w:r>
      <w:r w:rsidR="00E70A26" w:rsidRPr="00BC7A12">
        <w:rPr>
          <w:rFonts w:cs="Calibri"/>
        </w:rPr>
        <w:t xml:space="preserve">and quality </w:t>
      </w:r>
      <w:r w:rsidR="00CB25FD" w:rsidRPr="00BC7A12">
        <w:rPr>
          <w:rFonts w:cs="Calibri"/>
        </w:rPr>
        <w:t xml:space="preserve">of explicit local valuation </w:t>
      </w:r>
      <w:r w:rsidR="005D7D1C" w:rsidRPr="00BC7A12">
        <w:rPr>
          <w:rFonts w:cs="Calibri"/>
        </w:rPr>
        <w:t>approaches</w:t>
      </w:r>
      <w:r w:rsidR="00CB25FD" w:rsidRPr="00BC7A12">
        <w:rPr>
          <w:rFonts w:cs="Calibri"/>
        </w:rPr>
        <w:t>.</w:t>
      </w:r>
      <w:r w:rsidR="00ED7183" w:rsidRPr="00BC7A12">
        <w:rPr>
          <w:rFonts w:cs="Calibri"/>
        </w:rPr>
        <w:t xml:space="preserve"> </w:t>
      </w:r>
      <w:r w:rsidR="00E70A26" w:rsidRPr="00BC7A12">
        <w:rPr>
          <w:rFonts w:cs="Calibri"/>
        </w:rPr>
        <w:t xml:space="preserve">This quality, in turn, is driven by how readily the valuations can be </w:t>
      </w:r>
      <w:r w:rsidR="00ED7183" w:rsidRPr="00BC7A12">
        <w:rPr>
          <w:rFonts w:cs="Calibri"/>
        </w:rPr>
        <w:t xml:space="preserve">integrated with </w:t>
      </w:r>
      <w:r w:rsidR="009F252A" w:rsidRPr="00BC7A12">
        <w:rPr>
          <w:rFonts w:cs="Calibri"/>
        </w:rPr>
        <w:t xml:space="preserve">valuations of </w:t>
      </w:r>
      <w:r w:rsidR="00E70A26" w:rsidRPr="00BC7A12">
        <w:rPr>
          <w:rFonts w:cs="Calibri"/>
        </w:rPr>
        <w:t xml:space="preserve">other ecosystem services and existing </w:t>
      </w:r>
      <w:r w:rsidR="00ED7183" w:rsidRPr="00BC7A12">
        <w:rPr>
          <w:rFonts w:cs="Calibri"/>
        </w:rPr>
        <w:t xml:space="preserve">statutory planning processes. The implementation of these two steps </w:t>
      </w:r>
      <w:r w:rsidR="00C476B7" w:rsidRPr="00BC7A12">
        <w:rPr>
          <w:rFonts w:cs="Calibri"/>
        </w:rPr>
        <w:t>is</w:t>
      </w:r>
      <w:r w:rsidR="00ED7183" w:rsidRPr="00BC7A12">
        <w:rPr>
          <w:rFonts w:cs="Calibri"/>
        </w:rPr>
        <w:t xml:space="preserve"> eas</w:t>
      </w:r>
      <w:r w:rsidR="00C476B7" w:rsidRPr="00BC7A12">
        <w:rPr>
          <w:rFonts w:cs="Calibri"/>
        </w:rPr>
        <w:t xml:space="preserve">ed </w:t>
      </w:r>
      <w:r w:rsidR="00ED7183" w:rsidRPr="00BC7A12">
        <w:rPr>
          <w:rFonts w:cs="Calibri"/>
        </w:rPr>
        <w:t>with the adoption of classification standards for ecosystem types</w:t>
      </w:r>
      <w:r w:rsidR="008A25AE" w:rsidRPr="00BC7A12">
        <w:rPr>
          <w:rFonts w:cs="Calibri"/>
        </w:rPr>
        <w:t xml:space="preserve">, </w:t>
      </w:r>
      <w:r w:rsidR="00ED7183" w:rsidRPr="00BC7A12">
        <w:rPr>
          <w:rFonts w:cs="Calibri"/>
        </w:rPr>
        <w:t xml:space="preserve">ecosystem services </w:t>
      </w:r>
      <w:r w:rsidR="008A25AE" w:rsidRPr="00BC7A12">
        <w:rPr>
          <w:rFonts w:cs="Calibri"/>
        </w:rPr>
        <w:t>and data.</w:t>
      </w:r>
      <w:r w:rsidR="00E11418" w:rsidRPr="00BC7A12">
        <w:rPr>
          <w:rFonts w:cs="Calibri"/>
        </w:rPr>
        <w:t xml:space="preserve"> Attention is also warranted </w:t>
      </w:r>
      <w:r w:rsidR="008A25AE" w:rsidRPr="00BC7A12">
        <w:rPr>
          <w:rFonts w:cs="Calibri"/>
        </w:rPr>
        <w:t xml:space="preserve">to </w:t>
      </w:r>
      <w:r w:rsidR="00583753">
        <w:rPr>
          <w:rFonts w:cs="Calibri"/>
        </w:rPr>
        <w:t>improving</w:t>
      </w:r>
      <w:r w:rsidR="008A25AE" w:rsidRPr="00BC7A12">
        <w:rPr>
          <w:rFonts w:cs="Calibri"/>
        </w:rPr>
        <w:t xml:space="preserve"> modelling itself </w:t>
      </w:r>
      <w:r w:rsidR="000B03E2" w:rsidRPr="00BC7A12">
        <w:rPr>
          <w:rFonts w:cs="Calibri"/>
        </w:rPr>
        <w:t xml:space="preserve">as well as the </w:t>
      </w:r>
      <w:r w:rsidR="008A25AE" w:rsidRPr="00BC7A12">
        <w:rPr>
          <w:rFonts w:cs="Calibri"/>
        </w:rPr>
        <w:t xml:space="preserve">stakeholder engagement </w:t>
      </w:r>
      <w:r w:rsidR="00657240" w:rsidRPr="00BC7A12">
        <w:rPr>
          <w:rFonts w:cs="Calibri"/>
        </w:rPr>
        <w:t xml:space="preserve">process critical to </w:t>
      </w:r>
      <w:r w:rsidR="000B03E2" w:rsidRPr="00BC7A12">
        <w:rPr>
          <w:rFonts w:cs="Calibri"/>
        </w:rPr>
        <w:t>decision makers</w:t>
      </w:r>
      <w:r w:rsidR="00583753">
        <w:rPr>
          <w:rFonts w:cs="Calibri"/>
        </w:rPr>
        <w:t>’</w:t>
      </w:r>
      <w:r w:rsidR="000B03E2" w:rsidRPr="00BC7A12">
        <w:rPr>
          <w:rFonts w:cs="Calibri"/>
        </w:rPr>
        <w:t xml:space="preserve"> </w:t>
      </w:r>
      <w:r w:rsidR="00657240" w:rsidRPr="00BC7A12">
        <w:rPr>
          <w:rFonts w:cs="Calibri"/>
        </w:rPr>
        <w:t xml:space="preserve">acceptance of </w:t>
      </w:r>
      <w:r w:rsidR="008A25AE" w:rsidRPr="00BC7A12">
        <w:rPr>
          <w:rFonts w:cs="Calibri"/>
        </w:rPr>
        <w:t>valuation</w:t>
      </w:r>
      <w:r w:rsidR="00657240" w:rsidRPr="00BC7A12">
        <w:rPr>
          <w:rFonts w:cs="Calibri"/>
        </w:rPr>
        <w:t>s</w:t>
      </w:r>
      <w:r w:rsidR="008A25AE" w:rsidRPr="00BC7A12">
        <w:rPr>
          <w:rFonts w:cs="Calibri"/>
        </w:rPr>
        <w:t xml:space="preserve">. </w:t>
      </w:r>
      <w:r w:rsidR="00E11418" w:rsidRPr="00BC7A12">
        <w:rPr>
          <w:rFonts w:cs="Calibri"/>
        </w:rPr>
        <w:t xml:space="preserve">Finally, </w:t>
      </w:r>
      <w:r w:rsidR="00583753">
        <w:rPr>
          <w:rFonts w:cs="Calibri"/>
        </w:rPr>
        <w:t xml:space="preserve">this </w:t>
      </w:r>
      <w:r w:rsidR="00E11418" w:rsidRPr="00BC7A12">
        <w:rPr>
          <w:rFonts w:cs="Calibri"/>
        </w:rPr>
        <w:t xml:space="preserve">data and modelling </w:t>
      </w:r>
      <w:r w:rsidR="00583753">
        <w:rPr>
          <w:rFonts w:cs="Calibri"/>
        </w:rPr>
        <w:t xml:space="preserve">is helpful </w:t>
      </w:r>
      <w:r w:rsidR="00E11418" w:rsidRPr="00BC7A12">
        <w:rPr>
          <w:rFonts w:cs="Calibri"/>
        </w:rPr>
        <w:t xml:space="preserve">to decision making </w:t>
      </w:r>
      <w:r w:rsidR="00583753">
        <w:rPr>
          <w:rFonts w:cs="Calibri"/>
        </w:rPr>
        <w:t xml:space="preserve">processes </w:t>
      </w:r>
      <w:r w:rsidR="00E11418" w:rsidRPr="00BC7A12">
        <w:rPr>
          <w:rFonts w:cs="Calibri"/>
        </w:rPr>
        <w:t xml:space="preserve">that </w:t>
      </w:r>
      <w:r w:rsidR="00583753">
        <w:rPr>
          <w:rFonts w:cs="Calibri"/>
        </w:rPr>
        <w:t xml:space="preserve">do not </w:t>
      </w:r>
      <w:r w:rsidR="00E11418" w:rsidRPr="00BC7A12">
        <w:rPr>
          <w:rFonts w:cs="Calibri"/>
        </w:rPr>
        <w:t xml:space="preserve">use </w:t>
      </w:r>
      <w:r w:rsidR="00583753">
        <w:rPr>
          <w:rFonts w:cs="Calibri"/>
        </w:rPr>
        <w:t xml:space="preserve">monetary values, as well as to the </w:t>
      </w:r>
      <w:r w:rsidR="00E11418" w:rsidRPr="00BC7A12">
        <w:rPr>
          <w:rFonts w:cs="Calibri"/>
        </w:rPr>
        <w:t xml:space="preserve">insurance, real </w:t>
      </w:r>
      <w:proofErr w:type="gramStart"/>
      <w:r w:rsidR="00E11418" w:rsidRPr="00BC7A12">
        <w:rPr>
          <w:rFonts w:cs="Calibri"/>
        </w:rPr>
        <w:t>estate</w:t>
      </w:r>
      <w:proofErr w:type="gramEnd"/>
      <w:r w:rsidR="00E11418" w:rsidRPr="00BC7A12">
        <w:rPr>
          <w:rFonts w:cs="Calibri"/>
        </w:rPr>
        <w:t xml:space="preserve"> </w:t>
      </w:r>
      <w:r w:rsidR="0045461E">
        <w:rPr>
          <w:rFonts w:cs="Calibri"/>
        </w:rPr>
        <w:t>and</w:t>
      </w:r>
      <w:r w:rsidR="00E11418" w:rsidRPr="00BC7A12">
        <w:rPr>
          <w:rFonts w:cs="Calibri"/>
        </w:rPr>
        <w:t xml:space="preserve"> construction sectors.  </w:t>
      </w:r>
    </w:p>
    <w:p w14:paraId="08DA484F" w14:textId="6856384A" w:rsidR="00B91648" w:rsidRPr="00BC7A12" w:rsidRDefault="00C80ABC" w:rsidP="00997F8C">
      <w:pPr>
        <w:spacing w:after="200" w:line="276" w:lineRule="auto"/>
        <w:rPr>
          <w:rFonts w:cs="Calibri"/>
        </w:rPr>
      </w:pPr>
      <w:r w:rsidRPr="00BC7A12">
        <w:rPr>
          <w:rFonts w:cs="Calibri"/>
        </w:rPr>
        <w:t>Most of Australia</w:t>
      </w:r>
      <w:r w:rsidR="00C476B7" w:rsidRPr="00BC7A12">
        <w:rPr>
          <w:rFonts w:cs="Calibri"/>
        </w:rPr>
        <w:t>’s</w:t>
      </w:r>
      <w:r w:rsidRPr="00BC7A12">
        <w:rPr>
          <w:rFonts w:cs="Calibri"/>
        </w:rPr>
        <w:t xml:space="preserve"> coastal wetlands have been valued. </w:t>
      </w:r>
      <w:r w:rsidR="0045461E">
        <w:rPr>
          <w:rFonts w:cs="Calibri"/>
        </w:rPr>
        <w:t>T</w:t>
      </w:r>
      <w:r w:rsidR="008829D2" w:rsidRPr="00BC7A12">
        <w:rPr>
          <w:rFonts w:cs="Calibri"/>
        </w:rPr>
        <w:t xml:space="preserve">hese </w:t>
      </w:r>
      <w:r w:rsidR="0045461E">
        <w:rPr>
          <w:rFonts w:cs="Calibri"/>
        </w:rPr>
        <w:t xml:space="preserve">valuations </w:t>
      </w:r>
      <w:r w:rsidR="008829D2" w:rsidRPr="00BC7A12">
        <w:rPr>
          <w:rFonts w:cs="Calibri"/>
        </w:rPr>
        <w:t xml:space="preserve">were </w:t>
      </w:r>
      <w:r w:rsidR="0045461E">
        <w:rPr>
          <w:rFonts w:cs="Calibri"/>
        </w:rPr>
        <w:t xml:space="preserve">generally </w:t>
      </w:r>
      <w:r w:rsidR="008829D2" w:rsidRPr="00BC7A12">
        <w:rPr>
          <w:rFonts w:cs="Calibri"/>
        </w:rPr>
        <w:t>conducted a</w:t>
      </w:r>
      <w:r w:rsidR="0045461E">
        <w:rPr>
          <w:rFonts w:cs="Calibri"/>
        </w:rPr>
        <w:t>t</w:t>
      </w:r>
      <w:r w:rsidR="008829D2" w:rsidRPr="00BC7A12">
        <w:rPr>
          <w:rFonts w:cs="Calibri"/>
        </w:rPr>
        <w:t xml:space="preserve"> large geographic </w:t>
      </w:r>
      <w:r w:rsidR="0045461E">
        <w:rPr>
          <w:rFonts w:cs="Calibri"/>
        </w:rPr>
        <w:t xml:space="preserve">scales </w:t>
      </w:r>
      <w:r w:rsidR="00134CC2" w:rsidRPr="00BC7A12">
        <w:rPr>
          <w:rFonts w:cs="Calibri"/>
        </w:rPr>
        <w:t xml:space="preserve">or with </w:t>
      </w:r>
      <w:r w:rsidR="00E74423">
        <w:rPr>
          <w:rFonts w:cs="Calibri"/>
        </w:rPr>
        <w:t xml:space="preserve">valuation </w:t>
      </w:r>
      <w:r w:rsidR="008829D2" w:rsidRPr="00BC7A12">
        <w:rPr>
          <w:rFonts w:cs="Calibri"/>
        </w:rPr>
        <w:t>techniques</w:t>
      </w:r>
      <w:r w:rsidR="00E74423">
        <w:rPr>
          <w:rFonts w:cs="Calibri"/>
        </w:rPr>
        <w:t xml:space="preserve"> that deliver large value ranges</w:t>
      </w:r>
      <w:r w:rsidR="0045461E">
        <w:rPr>
          <w:rFonts w:cs="Calibri"/>
        </w:rPr>
        <w:t xml:space="preserve">. Both </w:t>
      </w:r>
      <w:r w:rsidR="00134CC2" w:rsidRPr="00BC7A12">
        <w:rPr>
          <w:rFonts w:cs="Calibri"/>
        </w:rPr>
        <w:t xml:space="preserve">produced </w:t>
      </w:r>
      <w:r w:rsidR="008829D2" w:rsidRPr="00BC7A12">
        <w:rPr>
          <w:rFonts w:cs="Calibri"/>
        </w:rPr>
        <w:t xml:space="preserve">broad ranges in </w:t>
      </w:r>
      <w:r w:rsidR="0045461E">
        <w:rPr>
          <w:rFonts w:cs="Calibri"/>
        </w:rPr>
        <w:t xml:space="preserve">approximate </w:t>
      </w:r>
      <w:r w:rsidR="008829D2" w:rsidRPr="00BC7A12">
        <w:rPr>
          <w:rFonts w:cs="Calibri"/>
        </w:rPr>
        <w:t xml:space="preserve">values. For example, </w:t>
      </w:r>
      <w:r w:rsidR="00134CC2" w:rsidRPr="00BC7A12">
        <w:rPr>
          <w:rFonts w:cs="Calibri"/>
        </w:rPr>
        <w:t xml:space="preserve">one study </w:t>
      </w:r>
      <w:r w:rsidR="008829D2" w:rsidRPr="00BC7A12">
        <w:rPr>
          <w:rFonts w:cs="Calibri"/>
        </w:rPr>
        <w:t xml:space="preserve">noted the </w:t>
      </w:r>
      <w:r w:rsidR="00134CC2" w:rsidRPr="00BC7A12">
        <w:rPr>
          <w:rFonts w:cs="Calibri"/>
        </w:rPr>
        <w:t xml:space="preserve">value of a </w:t>
      </w:r>
      <w:r w:rsidR="008829D2" w:rsidRPr="00BC7A12">
        <w:rPr>
          <w:rFonts w:cs="Calibri"/>
        </w:rPr>
        <w:t xml:space="preserve">hectare </w:t>
      </w:r>
      <w:r w:rsidR="00134CC2" w:rsidRPr="00BC7A12">
        <w:rPr>
          <w:rFonts w:cs="Calibri"/>
        </w:rPr>
        <w:t>of</w:t>
      </w:r>
      <w:r w:rsidR="008829D2" w:rsidRPr="00BC7A12">
        <w:rPr>
          <w:rFonts w:cs="Calibri"/>
        </w:rPr>
        <w:t xml:space="preserve"> wetlands ranging from INT$(2019)</w:t>
      </w:r>
      <w:r w:rsidR="00FD7E12" w:rsidRPr="00BC7A12">
        <w:rPr>
          <w:rFonts w:cs="Calibri"/>
        </w:rPr>
        <w:t xml:space="preserve"> </w:t>
      </w:r>
      <w:r w:rsidR="008829D2" w:rsidRPr="00BC7A12">
        <w:rPr>
          <w:rFonts w:cs="Calibri"/>
        </w:rPr>
        <w:t>2.57</w:t>
      </w:r>
      <w:r w:rsidR="008564D8">
        <w:rPr>
          <w:rFonts w:cs="Calibri"/>
        </w:rPr>
        <w:t xml:space="preserve"> to </w:t>
      </w:r>
      <w:r w:rsidR="008829D2" w:rsidRPr="00BC7A12">
        <w:rPr>
          <w:rFonts w:cs="Calibri"/>
        </w:rPr>
        <w:t xml:space="preserve">11,477 </w:t>
      </w:r>
      <w:r w:rsidR="008829D2" w:rsidRPr="00BC7A12">
        <w:rPr>
          <w:rFonts w:cs="Calibri"/>
        </w:rPr>
        <w:fldChar w:fldCharType="begin" w:fldLock="1"/>
      </w:r>
      <w:r w:rsidR="00C476B7" w:rsidRPr="00BC7A12">
        <w:rPr>
          <w:rFonts w:cs="Calibri"/>
        </w:rPr>
        <w:instrText>ADDIN CSL_CITATION {"citationItems":[{"id":"ITEM-1","itemData":{"DOI":"10.3389/fmars.2020.00453","abstract":"Temperate Australia has extensive and diverse coast and marine habitats throughout its inshore and offshore waters. The region includes the southernmost extent of mangroves, over 500 estuaries and coastal embayments, home to extensive meadows of seagrasses and tidal saltmarsh. In areas of hard substrate, rocky reefs are abundant and productive with large forests of macroalgae. Coastal regions can be densely populated by humans and often habitats can be degraded, polluted or lost, while some remain relatively isolated and pristine. These habitats provide services to society including provision of food, regulate our climate through sequestration of carbon, treating our waste and protecting our shorelines from damage from storms. Coastal areas are culturally importantly hubs for recreation and tourism. Habitat mapping demonstrates diverse habitats throughout temperate Australia, but a formal investigation of services provided by these habitats has been lacking. This review of ecosystem services provided by coast and marine environments throughout temperate Australia reveals vast and productive ecosystems that provide multiple ecosystem services, substantial value to the Australian economy and contribute to the health and well-being of people who live in, visit of benefit from services or products from these regions. Some of these are considered within traditional economic metrics such as provision of wild catch fisheries, but this review demonstrates that regulation and maintenance services including waste treatment and protecting shorelines from extreme events are under recognized, and their value is substantial. However, consistent with many locations globally, coast and marine habitats are under threat from increasing development, sewage, agricultural, industrial discharges, urban runoff and climate chang sewage, agricultural, industrial discharges, urban runoff and climate change. Resultantly, temperate Australian coast and marine habitat extent and condition is generally declining in many regions, putting the provision of services and benefits to the community at risk. Continued degraded or lost habitats indicate current management frameworks are not capturing the full risk from development and there are winners and losers in trade off decision making. Incorporating ecosystem services in decision making may allow an integrated approach to management, and acknowledgment of services provided could prevent habitats from being undervalued against economic…","author":[{"dropping-particle":"","family":"Gaylard","given":"Sam","non-dropping-particle":"","parse-names":false,"suffix":""},{"dropping-particle":"","family":"Waycott","given":"Michelle","non-dropping-particle":"","parse-names":false,"suffix":""},{"dropping-particle":"","family":"Lavery","given":"Paul","non-dropping-particle":"","parse-names":false,"suffix":""},{"dropping-particle":"","family":"Guthrie","given":"Amanda G","non-dropping-particle":"","parse-names":false,"suffix":""}],"container-title":"Frontiers in Marine Science","id":"ITEM-1","issue":"June","issued":{"date-parts":[["2020"]]},"page":"1-15","title":"Review of Coast and Marine Ecosystems in Temperate Australia Demonstrates a Wealth of Ecosystem Services","type":"article-journal","volume":"7"},"uris":["http://www.mendeley.com/documents/?uuid=9c8f459b-619e-4bf6-805b-926253cffbe3"]}],"mendeley":{"formattedCitation":"(Gaylard et al. 2020)","plainTextFormattedCitation":"(Gaylard et al. 2020)","previouslyFormattedCitation":"(Gaylard et al. 2020)"},"properties":{"noteIndex":0},"schema":"https://github.com/citation-style-language/schema/raw/master/csl-citation.json"}</w:instrText>
      </w:r>
      <w:r w:rsidR="008829D2" w:rsidRPr="00BC7A12">
        <w:rPr>
          <w:rFonts w:cs="Calibri"/>
        </w:rPr>
        <w:fldChar w:fldCharType="separate"/>
      </w:r>
      <w:r w:rsidR="008829D2" w:rsidRPr="00BC7A12">
        <w:rPr>
          <w:rFonts w:cs="Calibri"/>
          <w:noProof/>
        </w:rPr>
        <w:t>(Gaylard et al. 2020)</w:t>
      </w:r>
      <w:r w:rsidR="008829D2" w:rsidRPr="00BC7A12">
        <w:rPr>
          <w:rFonts w:cs="Calibri"/>
        </w:rPr>
        <w:fldChar w:fldCharType="end"/>
      </w:r>
      <w:r w:rsidR="00134CC2" w:rsidRPr="00BC7A12">
        <w:rPr>
          <w:rFonts w:cs="Calibri"/>
        </w:rPr>
        <w:t xml:space="preserve">. </w:t>
      </w:r>
      <w:r w:rsidR="00C476B7" w:rsidRPr="00BC7A12">
        <w:rPr>
          <w:rFonts w:cs="Calibri"/>
        </w:rPr>
        <w:t>Studies such as these can raise awareness but do not guide coastal planning decisions. In contrast, a valuation study that was integrated with coastal adaptation planning</w:t>
      </w:r>
      <w:r w:rsidR="0045461E">
        <w:rPr>
          <w:rFonts w:cs="Calibri"/>
        </w:rPr>
        <w:t xml:space="preserve"> efforts</w:t>
      </w:r>
      <w:r w:rsidR="00C476B7" w:rsidRPr="00BC7A12">
        <w:rPr>
          <w:rFonts w:cs="Calibri"/>
        </w:rPr>
        <w:t>, valued the DRR ecosystem services of intertidal marshes of Port Phillip Bay &amp; Bellarine Peninsula</w:t>
      </w:r>
      <w:r w:rsidR="008564D8">
        <w:rPr>
          <w:rFonts w:cs="Calibri"/>
        </w:rPr>
        <w:t>, Victoria,</w:t>
      </w:r>
      <w:r w:rsidR="00C476B7" w:rsidRPr="00BC7A12">
        <w:rPr>
          <w:rFonts w:cs="Calibri"/>
        </w:rPr>
        <w:t xml:space="preserve"> at AUD$(2019) 29,888,000 </w:t>
      </w:r>
      <w:r w:rsidR="00C476B7" w:rsidRPr="00BC7A12">
        <w:rPr>
          <w:rFonts w:cs="Calibri"/>
        </w:rPr>
        <w:fldChar w:fldCharType="begin" w:fldLock="1"/>
      </w:r>
      <w:r w:rsidR="000E623B" w:rsidRPr="00BC7A12">
        <w:rPr>
          <w:rFonts w:cs="Calibri"/>
        </w:rPr>
        <w:instrText>ADDIN CSL_CITATION {"citationItems":[{"id":"ITEM-1","itemData":{"ISBN":"9780648567721","author":[{"dropping-particle":"","family":"Carnell, P.E, Reeves, S.E, Nicholson, E.","given":"Macreadie","non-dropping-particle":"","parse-names":false,"suffix":""},{"dropping-particle":"","family":"P. Ierodiaconou, D., Young, M., Kelvin, J.","given":"Janes","non-dropping-particle":"","parse-names":false,"suffix":""},{"dropping-particle":"","family":"H., Navarro, A., Fitzsimons, J., Gillies","given":"C.L.","non-dropping-particle":"","parse-names":false,"suffix":""}],"id":"ITEM-1","issued":{"date-parts":[["2019"]]},"number-of-pages":"1-14","title":"Mapping Ocean Wealth Australia: The value of coastal wetlands to people and nature","type":"book"},"uris":["http://www.mendeley.com/documents/?uuid=adffe741-eb52-4ce7-bac4-8dbd9bf8040f"]}],"mendeley":{"formattedCitation":"(Carnell, P.E, Reeves, S.E, Nicholson, E. et al. 2019)","plainTextFormattedCitation":"(Carnell, P.E, Reeves, S.E, Nicholson, E. et al. 2019)","previouslyFormattedCitation":"(Carnell, P.E, Reeves, S.E, Nicholson, E. et al. 2019)"},"properties":{"noteIndex":0},"schema":"https://github.com/citation-style-language/schema/raw/master/csl-citation.json"}</w:instrText>
      </w:r>
      <w:r w:rsidR="00C476B7" w:rsidRPr="00BC7A12">
        <w:rPr>
          <w:rFonts w:cs="Calibri"/>
        </w:rPr>
        <w:fldChar w:fldCharType="separate"/>
      </w:r>
      <w:r w:rsidR="00C476B7" w:rsidRPr="00BC7A12">
        <w:rPr>
          <w:rFonts w:cs="Calibri"/>
          <w:noProof/>
        </w:rPr>
        <w:t>(Carnell, P.E, Reeves, S.E, Nicholson, E. et al. 2019)</w:t>
      </w:r>
      <w:r w:rsidR="00C476B7" w:rsidRPr="00BC7A12">
        <w:rPr>
          <w:rFonts w:cs="Calibri"/>
        </w:rPr>
        <w:fldChar w:fldCharType="end"/>
      </w:r>
      <w:r w:rsidR="00C476B7" w:rsidRPr="00BC7A12">
        <w:rPr>
          <w:rFonts w:cs="Calibri"/>
        </w:rPr>
        <w:t xml:space="preserve">. This study was conducted at small spatial resolution, providing coastal planners with clear options about that DRR implications of every section of </w:t>
      </w:r>
      <w:r w:rsidR="00FD7E12" w:rsidRPr="00BC7A12">
        <w:rPr>
          <w:rFonts w:cs="Calibri"/>
        </w:rPr>
        <w:t>marsh.</w:t>
      </w:r>
      <w:r w:rsidR="00C476B7" w:rsidRPr="00BC7A12">
        <w:rPr>
          <w:rFonts w:cs="Calibri"/>
        </w:rPr>
        <w:t xml:space="preserve"> </w:t>
      </w:r>
    </w:p>
    <w:p w14:paraId="7737A6B7" w14:textId="5635D2BD" w:rsidR="00FD7E12" w:rsidRPr="00BC7A12" w:rsidRDefault="00B665EA" w:rsidP="00BC541B">
      <w:pPr>
        <w:spacing w:after="200" w:line="276" w:lineRule="auto"/>
        <w:rPr>
          <w:rFonts w:cs="Calibri"/>
        </w:rPr>
      </w:pPr>
      <w:r w:rsidRPr="00BC7A12">
        <w:rPr>
          <w:rFonts w:cs="Calibri"/>
        </w:rPr>
        <w:t xml:space="preserve">Conducting </w:t>
      </w:r>
      <w:r w:rsidR="009F28C5" w:rsidRPr="00BC7A12">
        <w:rPr>
          <w:rFonts w:cs="Calibri"/>
        </w:rPr>
        <w:t xml:space="preserve">these </w:t>
      </w:r>
      <w:r w:rsidRPr="00BC7A12">
        <w:rPr>
          <w:rFonts w:cs="Calibri"/>
        </w:rPr>
        <w:t xml:space="preserve">explicit local valuations requires strong biophysical modelling about </w:t>
      </w:r>
      <w:r w:rsidR="00FD7E12" w:rsidRPr="00BC7A12">
        <w:rPr>
          <w:rFonts w:cs="Calibri"/>
        </w:rPr>
        <w:t xml:space="preserve">where </w:t>
      </w:r>
      <w:r w:rsidRPr="00BC7A12">
        <w:rPr>
          <w:rFonts w:cs="Calibri"/>
        </w:rPr>
        <w:t>hazards such as flood waters and winds</w:t>
      </w:r>
      <w:r w:rsidR="00FD7E12" w:rsidRPr="00BC7A12">
        <w:rPr>
          <w:rFonts w:cs="Calibri"/>
        </w:rPr>
        <w:t xml:space="preserve"> will impact human property. This modelling in turn, depends on access to quality data. This data and modelling is also required for most other coastal planning approaches and techniques, and can be readily used by the insurance, real estate and construction sectors (</w:t>
      </w:r>
      <w:r w:rsidR="00FD7E12" w:rsidRPr="00BC7A12">
        <w:rPr>
          <w:rFonts w:cs="Calibri"/>
        </w:rPr>
        <w:fldChar w:fldCharType="begin"/>
      </w:r>
      <w:r w:rsidR="00FD7E12" w:rsidRPr="00BC7A12">
        <w:rPr>
          <w:rFonts w:cs="Calibri"/>
        </w:rPr>
        <w:instrText xml:space="preserve"> REF _Ref45458440 \h </w:instrText>
      </w:r>
      <w:r w:rsidR="00BC7A12">
        <w:rPr>
          <w:rFonts w:cs="Calibri"/>
        </w:rPr>
        <w:instrText xml:space="preserve"> \* MERGEFORMAT </w:instrText>
      </w:r>
      <w:r w:rsidR="00FD7E12" w:rsidRPr="00BC7A12">
        <w:rPr>
          <w:rFonts w:cs="Calibri"/>
        </w:rPr>
      </w:r>
      <w:r w:rsidR="00FD7E12" w:rsidRPr="00BC7A12">
        <w:rPr>
          <w:rFonts w:cs="Calibri"/>
        </w:rPr>
        <w:fldChar w:fldCharType="separate"/>
      </w:r>
      <w:r w:rsidR="00657E34" w:rsidRPr="00BC7A12">
        <w:rPr>
          <w:rFonts w:cs="Calibri"/>
        </w:rPr>
        <w:t xml:space="preserve">Table </w:t>
      </w:r>
      <w:r w:rsidR="00657E34">
        <w:rPr>
          <w:rFonts w:cs="Calibri"/>
          <w:noProof/>
        </w:rPr>
        <w:t>10</w:t>
      </w:r>
      <w:r w:rsidR="00FD7E12" w:rsidRPr="00BC7A12">
        <w:rPr>
          <w:rFonts w:cs="Calibri"/>
        </w:rPr>
        <w:fldChar w:fldCharType="end"/>
      </w:r>
      <w:r w:rsidR="00FD7E12" w:rsidRPr="00BC7A12">
        <w:rPr>
          <w:rFonts w:cs="Calibri"/>
        </w:rPr>
        <w:t>). Therefore, the improvement of data is likely to</w:t>
      </w:r>
      <w:r w:rsidR="0045461E">
        <w:rPr>
          <w:rFonts w:cs="Calibri"/>
        </w:rPr>
        <w:t xml:space="preserve"> improve </w:t>
      </w:r>
      <w:r w:rsidR="00FD7E12" w:rsidRPr="00BC7A12">
        <w:rPr>
          <w:rFonts w:cs="Calibri"/>
        </w:rPr>
        <w:t>coastal planning</w:t>
      </w:r>
      <w:r w:rsidR="00BC541B">
        <w:rPr>
          <w:rFonts w:cs="Calibri"/>
        </w:rPr>
        <w:t xml:space="preserve"> in ways that are difficult to anticipate. </w:t>
      </w:r>
      <w:r w:rsidR="00FD7E12" w:rsidRPr="00BC7A12">
        <w:rPr>
          <w:rFonts w:cs="Calibri"/>
        </w:rPr>
        <w:t xml:space="preserve">  </w:t>
      </w:r>
      <w:r w:rsidR="00FD7E12" w:rsidRPr="00BC7A12">
        <w:rPr>
          <w:rFonts w:cs="Calibri"/>
        </w:rPr>
        <w:br w:type="page"/>
      </w:r>
    </w:p>
    <w:p w14:paraId="63FE4087" w14:textId="317C6809" w:rsidR="005873E3" w:rsidRPr="00BC7A12" w:rsidRDefault="005873E3" w:rsidP="005873E3">
      <w:pPr>
        <w:pStyle w:val="Caption"/>
        <w:keepNext/>
        <w:rPr>
          <w:rFonts w:cs="Calibri"/>
        </w:rPr>
      </w:pPr>
      <w:bookmarkStart w:id="89" w:name="_Ref45458440"/>
      <w:bookmarkStart w:id="90" w:name="_Toc46821749"/>
      <w:r w:rsidRPr="00BC7A12">
        <w:rPr>
          <w:rFonts w:cs="Calibri"/>
        </w:rPr>
        <w:lastRenderedPageBreak/>
        <w:t xml:space="preserve">Table </w:t>
      </w:r>
      <w:r w:rsidRPr="00BC7A12">
        <w:rPr>
          <w:rFonts w:cs="Calibri"/>
        </w:rPr>
        <w:fldChar w:fldCharType="begin"/>
      </w:r>
      <w:r w:rsidRPr="00BC7A12">
        <w:rPr>
          <w:rFonts w:cs="Calibri"/>
        </w:rPr>
        <w:instrText xml:space="preserve"> SEQ Table \* ARABIC </w:instrText>
      </w:r>
      <w:r w:rsidRPr="00BC7A12">
        <w:rPr>
          <w:rFonts w:cs="Calibri"/>
        </w:rPr>
        <w:fldChar w:fldCharType="separate"/>
      </w:r>
      <w:r w:rsidR="00657E34">
        <w:rPr>
          <w:rFonts w:cs="Calibri"/>
          <w:noProof/>
        </w:rPr>
        <w:t>10</w:t>
      </w:r>
      <w:r w:rsidRPr="00BC7A12">
        <w:rPr>
          <w:rFonts w:cs="Calibri"/>
        </w:rPr>
        <w:fldChar w:fldCharType="end"/>
      </w:r>
      <w:bookmarkEnd w:id="89"/>
      <w:r w:rsidRPr="00BC7A12">
        <w:rPr>
          <w:rFonts w:cs="Calibri"/>
        </w:rPr>
        <w:t xml:space="preserve"> Dependence o</w:t>
      </w:r>
      <w:r w:rsidR="00BC541B">
        <w:rPr>
          <w:rFonts w:cs="Calibri"/>
        </w:rPr>
        <w:t>f</w:t>
      </w:r>
      <w:r w:rsidRPr="00BC7A12">
        <w:rPr>
          <w:rFonts w:cs="Calibri"/>
        </w:rPr>
        <w:t xml:space="preserve"> techniques and approaches </w:t>
      </w:r>
      <w:r w:rsidR="00BC541B">
        <w:rPr>
          <w:rFonts w:cs="Calibri"/>
        </w:rPr>
        <w:t>on</w:t>
      </w:r>
      <w:r w:rsidRPr="00BC7A12">
        <w:rPr>
          <w:rFonts w:cs="Calibri"/>
        </w:rPr>
        <w:t xml:space="preserve"> biophysical modelling</w:t>
      </w:r>
      <w:bookmarkEnd w:id="90"/>
    </w:p>
    <w:tbl>
      <w:tblPr>
        <w:tblStyle w:val="GridTable4"/>
        <w:tblW w:w="0" w:type="auto"/>
        <w:tblLook w:val="0420" w:firstRow="1" w:lastRow="0" w:firstColumn="0" w:lastColumn="0" w:noHBand="0" w:noVBand="1"/>
      </w:tblPr>
      <w:tblGrid>
        <w:gridCol w:w="2094"/>
        <w:gridCol w:w="1607"/>
        <w:gridCol w:w="3177"/>
        <w:gridCol w:w="2143"/>
      </w:tblGrid>
      <w:tr w:rsidR="00C80ABC" w:rsidRPr="00BC7A12" w14:paraId="2646B9DB" w14:textId="77777777" w:rsidTr="0045461E">
        <w:trPr>
          <w:cnfStyle w:val="100000000000" w:firstRow="1" w:lastRow="0" w:firstColumn="0" w:lastColumn="0" w:oddVBand="0" w:evenVBand="0" w:oddHBand="0" w:evenHBand="0" w:firstRowFirstColumn="0" w:firstRowLastColumn="0" w:lastRowFirstColumn="0" w:lastRowLastColumn="0"/>
          <w:trHeight w:val="404"/>
        </w:trPr>
        <w:tc>
          <w:tcPr>
            <w:tcW w:w="0" w:type="auto"/>
            <w:tcBorders>
              <w:top w:val="nil"/>
              <w:left w:val="nil"/>
            </w:tcBorders>
            <w:shd w:val="clear" w:color="auto" w:fill="auto"/>
            <w:hideMark/>
          </w:tcPr>
          <w:p w14:paraId="10958B6F" w14:textId="77777777" w:rsidR="00B91648" w:rsidRPr="00BC7A12" w:rsidRDefault="00B91648" w:rsidP="00B91648">
            <w:pPr>
              <w:spacing w:after="200" w:line="276" w:lineRule="auto"/>
              <w:rPr>
                <w:rFonts w:cs="Calibri"/>
              </w:rPr>
            </w:pPr>
          </w:p>
        </w:tc>
        <w:tc>
          <w:tcPr>
            <w:tcW w:w="0" w:type="auto"/>
            <w:hideMark/>
          </w:tcPr>
          <w:p w14:paraId="5412EBCD" w14:textId="02A04215" w:rsidR="00B91648" w:rsidRPr="00BC7A12" w:rsidRDefault="00B91648" w:rsidP="00E3134A">
            <w:pPr>
              <w:spacing w:after="200" w:line="276" w:lineRule="auto"/>
              <w:jc w:val="center"/>
              <w:rPr>
                <w:rFonts w:cs="Calibri"/>
              </w:rPr>
            </w:pPr>
            <w:r w:rsidRPr="00BC7A12">
              <w:rPr>
                <w:rFonts w:cs="Calibri"/>
                <w:lang w:val="en-US"/>
              </w:rPr>
              <w:t>Approach</w:t>
            </w:r>
          </w:p>
        </w:tc>
        <w:tc>
          <w:tcPr>
            <w:tcW w:w="0" w:type="auto"/>
            <w:hideMark/>
          </w:tcPr>
          <w:p w14:paraId="74ED0670" w14:textId="77777777" w:rsidR="00B91648" w:rsidRPr="00BC7A12" w:rsidRDefault="00B91648" w:rsidP="00E3134A">
            <w:pPr>
              <w:spacing w:after="200" w:line="276" w:lineRule="auto"/>
              <w:jc w:val="center"/>
              <w:rPr>
                <w:rFonts w:cs="Calibri"/>
              </w:rPr>
            </w:pPr>
            <w:r w:rsidRPr="00BC7A12">
              <w:rPr>
                <w:rFonts w:cs="Calibri"/>
                <w:lang w:val="en-US"/>
              </w:rPr>
              <w:t>Technique</w:t>
            </w:r>
          </w:p>
        </w:tc>
        <w:tc>
          <w:tcPr>
            <w:tcW w:w="0" w:type="auto"/>
            <w:hideMark/>
          </w:tcPr>
          <w:p w14:paraId="441CF744" w14:textId="77777777" w:rsidR="00B91648" w:rsidRPr="00BC7A12" w:rsidRDefault="00B91648" w:rsidP="00E3134A">
            <w:pPr>
              <w:spacing w:after="200" w:line="276" w:lineRule="auto"/>
              <w:jc w:val="center"/>
              <w:rPr>
                <w:rFonts w:cs="Calibri"/>
              </w:rPr>
            </w:pPr>
            <w:r w:rsidRPr="00BC7A12">
              <w:rPr>
                <w:rFonts w:cs="Calibri"/>
                <w:lang w:val="en-US"/>
              </w:rPr>
              <w:t>Note</w:t>
            </w:r>
          </w:p>
        </w:tc>
      </w:tr>
      <w:tr w:rsidR="00C80ABC" w:rsidRPr="00BC7A12" w14:paraId="5188E854" w14:textId="77777777" w:rsidTr="006C32DE">
        <w:trPr>
          <w:cnfStyle w:val="000000100000" w:firstRow="0" w:lastRow="0" w:firstColumn="0" w:lastColumn="0" w:oddVBand="0" w:evenVBand="0" w:oddHBand="1" w:evenHBand="0" w:firstRowFirstColumn="0" w:firstRowLastColumn="0" w:lastRowFirstColumn="0" w:lastRowLastColumn="0"/>
          <w:trHeight w:val="584"/>
        </w:trPr>
        <w:tc>
          <w:tcPr>
            <w:tcW w:w="0" w:type="auto"/>
            <w:vMerge w:val="restart"/>
            <w:shd w:val="clear" w:color="auto" w:fill="auto"/>
            <w:vAlign w:val="center"/>
            <w:hideMark/>
          </w:tcPr>
          <w:p w14:paraId="0254CB59" w14:textId="6A504D51" w:rsidR="00B91648" w:rsidRPr="00BC541B" w:rsidRDefault="00B91648" w:rsidP="00E3134A">
            <w:pPr>
              <w:spacing w:after="0" w:line="276" w:lineRule="auto"/>
              <w:jc w:val="left"/>
              <w:rPr>
                <w:rFonts w:cs="Calibri"/>
                <w:b/>
                <w:bCs/>
                <w:sz w:val="24"/>
                <w:szCs w:val="24"/>
                <w:lang w:val="en-US"/>
              </w:rPr>
            </w:pPr>
            <w:r w:rsidRPr="00BC541B">
              <w:rPr>
                <w:rFonts w:cs="Calibri"/>
                <w:b/>
                <w:bCs/>
                <w:sz w:val="24"/>
                <w:szCs w:val="24"/>
                <w:lang w:val="en-US"/>
              </w:rPr>
              <w:t>Coastal planning require</w:t>
            </w:r>
            <w:r w:rsidR="00B665EA" w:rsidRPr="00BC541B">
              <w:rPr>
                <w:rFonts w:cs="Calibri"/>
                <w:b/>
                <w:bCs/>
                <w:sz w:val="24"/>
                <w:szCs w:val="24"/>
                <w:lang w:val="en-US"/>
              </w:rPr>
              <w:t>s</w:t>
            </w:r>
            <w:r w:rsidRPr="00BC541B">
              <w:rPr>
                <w:rFonts w:cs="Calibri"/>
                <w:b/>
                <w:bCs/>
                <w:sz w:val="24"/>
                <w:szCs w:val="24"/>
                <w:lang w:val="en-US"/>
              </w:rPr>
              <w:t xml:space="preserve"> biophysical modelling </w:t>
            </w:r>
          </w:p>
          <w:p w14:paraId="25B308C6" w14:textId="77777777" w:rsidR="0045461E" w:rsidRPr="00BC541B" w:rsidRDefault="0045461E" w:rsidP="00E3134A">
            <w:pPr>
              <w:spacing w:after="0" w:line="276" w:lineRule="auto"/>
              <w:jc w:val="left"/>
              <w:rPr>
                <w:rFonts w:cs="Calibri"/>
                <w:b/>
                <w:bCs/>
                <w:sz w:val="24"/>
                <w:szCs w:val="24"/>
              </w:rPr>
            </w:pPr>
          </w:p>
          <w:p w14:paraId="0A09BF12" w14:textId="77777777" w:rsidR="00B91648" w:rsidRPr="00BC7A12" w:rsidRDefault="00B91648" w:rsidP="00E3134A">
            <w:pPr>
              <w:spacing w:after="0" w:line="276" w:lineRule="auto"/>
              <w:jc w:val="left"/>
              <w:rPr>
                <w:rFonts w:cs="Calibri"/>
                <w:sz w:val="20"/>
                <w:szCs w:val="20"/>
              </w:rPr>
            </w:pPr>
            <w:r w:rsidRPr="00BC541B">
              <w:rPr>
                <w:rFonts w:cs="Calibri"/>
                <w:b/>
                <w:bCs/>
                <w:sz w:val="24"/>
                <w:szCs w:val="24"/>
                <w:lang w:val="en-US"/>
              </w:rPr>
              <w:t>(data dependent)</w:t>
            </w:r>
            <w:r w:rsidRPr="00BC7A12">
              <w:rPr>
                <w:rFonts w:cs="Calibri"/>
                <w:sz w:val="20"/>
                <w:szCs w:val="20"/>
                <w:lang w:val="en-US"/>
              </w:rPr>
              <w:t xml:space="preserve"> </w:t>
            </w:r>
          </w:p>
        </w:tc>
        <w:tc>
          <w:tcPr>
            <w:tcW w:w="0" w:type="auto"/>
            <w:vMerge w:val="restart"/>
            <w:shd w:val="clear" w:color="auto" w:fill="auto"/>
            <w:vAlign w:val="center"/>
            <w:hideMark/>
          </w:tcPr>
          <w:p w14:paraId="32F3CFB0"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Explicit local valuation </w:t>
            </w:r>
          </w:p>
        </w:tc>
        <w:tc>
          <w:tcPr>
            <w:tcW w:w="0" w:type="auto"/>
            <w:shd w:val="clear" w:color="auto" w:fill="auto"/>
            <w:vAlign w:val="center"/>
            <w:hideMark/>
          </w:tcPr>
          <w:p w14:paraId="4E735B9C"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Production function </w:t>
            </w:r>
          </w:p>
        </w:tc>
        <w:tc>
          <w:tcPr>
            <w:tcW w:w="0" w:type="auto"/>
            <w:vMerge w:val="restart"/>
            <w:shd w:val="clear" w:color="auto" w:fill="auto"/>
            <w:vAlign w:val="center"/>
            <w:hideMark/>
          </w:tcPr>
          <w:p w14:paraId="3A8E419B" w14:textId="7EA6BD40" w:rsidR="00B91648" w:rsidRDefault="00B91648" w:rsidP="00E3134A">
            <w:pPr>
              <w:spacing w:after="0" w:line="276" w:lineRule="auto"/>
              <w:jc w:val="left"/>
              <w:rPr>
                <w:rFonts w:cs="Calibri"/>
                <w:sz w:val="20"/>
                <w:szCs w:val="20"/>
                <w:lang w:val="en-US"/>
              </w:rPr>
            </w:pPr>
            <w:r w:rsidRPr="00BC7A12">
              <w:rPr>
                <w:rFonts w:cs="Calibri"/>
                <w:sz w:val="20"/>
                <w:szCs w:val="20"/>
                <w:lang w:val="en-US"/>
              </w:rPr>
              <w:t>Components of these techniques are often combined</w:t>
            </w:r>
          </w:p>
          <w:p w14:paraId="1834845C" w14:textId="77777777" w:rsidR="0045461E" w:rsidRPr="00BC7A12" w:rsidRDefault="0045461E" w:rsidP="00E3134A">
            <w:pPr>
              <w:spacing w:after="0" w:line="276" w:lineRule="auto"/>
              <w:jc w:val="left"/>
              <w:rPr>
                <w:rFonts w:cs="Calibri"/>
                <w:sz w:val="20"/>
                <w:szCs w:val="20"/>
              </w:rPr>
            </w:pPr>
          </w:p>
          <w:p w14:paraId="7E77B5DD" w14:textId="1C0C8D91" w:rsidR="00B91648" w:rsidRPr="00BC7A12" w:rsidRDefault="0045461E" w:rsidP="00E3134A">
            <w:pPr>
              <w:spacing w:after="0" w:line="276" w:lineRule="auto"/>
              <w:jc w:val="left"/>
              <w:rPr>
                <w:rFonts w:cs="Calibri"/>
                <w:sz w:val="20"/>
                <w:szCs w:val="20"/>
              </w:rPr>
            </w:pPr>
            <w:r>
              <w:rPr>
                <w:rFonts w:cs="Calibri"/>
                <w:sz w:val="20"/>
                <w:szCs w:val="20"/>
                <w:lang w:val="en-US"/>
              </w:rPr>
              <w:t>U</w:t>
            </w:r>
            <w:r w:rsidR="00B91648" w:rsidRPr="00BC7A12">
              <w:rPr>
                <w:rFonts w:cs="Calibri"/>
                <w:sz w:val="20"/>
                <w:szCs w:val="20"/>
                <w:lang w:val="en-US"/>
              </w:rPr>
              <w:t>sed for CBA</w:t>
            </w:r>
          </w:p>
        </w:tc>
      </w:tr>
      <w:tr w:rsidR="00C80ABC" w:rsidRPr="00BC7A12" w14:paraId="66EF35ED" w14:textId="77777777" w:rsidTr="006C32DE">
        <w:trPr>
          <w:trHeight w:val="584"/>
        </w:trPr>
        <w:tc>
          <w:tcPr>
            <w:tcW w:w="0" w:type="auto"/>
            <w:vMerge/>
            <w:shd w:val="clear" w:color="auto" w:fill="auto"/>
            <w:vAlign w:val="center"/>
            <w:hideMark/>
          </w:tcPr>
          <w:p w14:paraId="0C45C0E6" w14:textId="77777777" w:rsidR="00B91648" w:rsidRPr="00BC7A12" w:rsidRDefault="00B91648" w:rsidP="00E3134A">
            <w:pPr>
              <w:spacing w:after="0" w:line="276" w:lineRule="auto"/>
              <w:rPr>
                <w:rFonts w:cs="Calibri"/>
                <w:sz w:val="20"/>
                <w:szCs w:val="20"/>
              </w:rPr>
            </w:pPr>
          </w:p>
        </w:tc>
        <w:tc>
          <w:tcPr>
            <w:tcW w:w="0" w:type="auto"/>
            <w:vMerge/>
            <w:shd w:val="clear" w:color="auto" w:fill="auto"/>
            <w:vAlign w:val="center"/>
            <w:hideMark/>
          </w:tcPr>
          <w:p w14:paraId="6B05FDFC" w14:textId="77777777" w:rsidR="00B91648" w:rsidRPr="00BC7A12" w:rsidRDefault="00B91648" w:rsidP="00E3134A">
            <w:pPr>
              <w:spacing w:after="0" w:line="276" w:lineRule="auto"/>
              <w:jc w:val="left"/>
              <w:rPr>
                <w:rFonts w:cs="Calibri"/>
                <w:sz w:val="20"/>
                <w:szCs w:val="20"/>
              </w:rPr>
            </w:pPr>
          </w:p>
        </w:tc>
        <w:tc>
          <w:tcPr>
            <w:tcW w:w="0" w:type="auto"/>
            <w:shd w:val="clear" w:color="auto" w:fill="auto"/>
            <w:vAlign w:val="center"/>
            <w:hideMark/>
          </w:tcPr>
          <w:p w14:paraId="5FEDA2DB" w14:textId="004A0906" w:rsidR="00B91648" w:rsidRPr="00BC7A12" w:rsidRDefault="00BC541B" w:rsidP="00E3134A">
            <w:pPr>
              <w:spacing w:after="0" w:line="276" w:lineRule="auto"/>
              <w:jc w:val="left"/>
              <w:rPr>
                <w:rFonts w:cs="Calibri"/>
                <w:sz w:val="20"/>
                <w:szCs w:val="20"/>
              </w:rPr>
            </w:pPr>
            <w:r>
              <w:rPr>
                <w:rFonts w:cs="Calibri"/>
                <w:sz w:val="20"/>
                <w:szCs w:val="20"/>
                <w:lang w:val="en-US"/>
              </w:rPr>
              <w:t>Expected damage function</w:t>
            </w:r>
          </w:p>
        </w:tc>
        <w:tc>
          <w:tcPr>
            <w:tcW w:w="0" w:type="auto"/>
            <w:vMerge/>
            <w:shd w:val="clear" w:color="auto" w:fill="auto"/>
            <w:vAlign w:val="center"/>
            <w:hideMark/>
          </w:tcPr>
          <w:p w14:paraId="3A8DA492" w14:textId="77777777" w:rsidR="00B91648" w:rsidRPr="00BC7A12" w:rsidRDefault="00B91648" w:rsidP="00E3134A">
            <w:pPr>
              <w:spacing w:after="0" w:line="276" w:lineRule="auto"/>
              <w:jc w:val="left"/>
              <w:rPr>
                <w:rFonts w:cs="Calibri"/>
                <w:sz w:val="20"/>
                <w:szCs w:val="20"/>
              </w:rPr>
            </w:pPr>
          </w:p>
        </w:tc>
      </w:tr>
      <w:tr w:rsidR="00C80ABC" w:rsidRPr="00BC7A12" w14:paraId="7B30A7C1" w14:textId="77777777" w:rsidTr="006C32DE">
        <w:trPr>
          <w:cnfStyle w:val="000000100000" w:firstRow="0" w:lastRow="0" w:firstColumn="0" w:lastColumn="0" w:oddVBand="0" w:evenVBand="0" w:oddHBand="1" w:evenHBand="0" w:firstRowFirstColumn="0" w:firstRowLastColumn="0" w:lastRowFirstColumn="0" w:lastRowLastColumn="0"/>
          <w:trHeight w:val="584"/>
        </w:trPr>
        <w:tc>
          <w:tcPr>
            <w:tcW w:w="0" w:type="auto"/>
            <w:vMerge/>
            <w:shd w:val="clear" w:color="auto" w:fill="auto"/>
            <w:vAlign w:val="center"/>
            <w:hideMark/>
          </w:tcPr>
          <w:p w14:paraId="01F4AA7B" w14:textId="77777777" w:rsidR="00B91648" w:rsidRPr="00BC7A12" w:rsidRDefault="00B91648" w:rsidP="00E3134A">
            <w:pPr>
              <w:spacing w:after="0" w:line="276" w:lineRule="auto"/>
              <w:rPr>
                <w:rFonts w:cs="Calibri"/>
                <w:sz w:val="20"/>
                <w:szCs w:val="20"/>
              </w:rPr>
            </w:pPr>
          </w:p>
        </w:tc>
        <w:tc>
          <w:tcPr>
            <w:tcW w:w="0" w:type="auto"/>
            <w:vMerge/>
            <w:shd w:val="clear" w:color="auto" w:fill="auto"/>
            <w:vAlign w:val="center"/>
            <w:hideMark/>
          </w:tcPr>
          <w:p w14:paraId="223CDAF2" w14:textId="77777777" w:rsidR="00B91648" w:rsidRPr="00BC7A12" w:rsidRDefault="00B91648" w:rsidP="00E3134A">
            <w:pPr>
              <w:spacing w:after="0" w:line="276" w:lineRule="auto"/>
              <w:jc w:val="left"/>
              <w:rPr>
                <w:rFonts w:cs="Calibri"/>
                <w:sz w:val="20"/>
                <w:szCs w:val="20"/>
              </w:rPr>
            </w:pPr>
          </w:p>
        </w:tc>
        <w:tc>
          <w:tcPr>
            <w:tcW w:w="0" w:type="auto"/>
            <w:shd w:val="clear" w:color="auto" w:fill="auto"/>
            <w:vAlign w:val="center"/>
            <w:hideMark/>
          </w:tcPr>
          <w:p w14:paraId="13A83A7B"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Replacement cost</w:t>
            </w:r>
          </w:p>
        </w:tc>
        <w:tc>
          <w:tcPr>
            <w:tcW w:w="0" w:type="auto"/>
            <w:vMerge/>
            <w:shd w:val="clear" w:color="auto" w:fill="auto"/>
            <w:vAlign w:val="center"/>
            <w:hideMark/>
          </w:tcPr>
          <w:p w14:paraId="37D82C84" w14:textId="77777777" w:rsidR="00B91648" w:rsidRPr="00BC7A12" w:rsidRDefault="00B91648" w:rsidP="00E3134A">
            <w:pPr>
              <w:spacing w:after="0" w:line="276" w:lineRule="auto"/>
              <w:jc w:val="left"/>
              <w:rPr>
                <w:rFonts w:cs="Calibri"/>
                <w:sz w:val="20"/>
                <w:szCs w:val="20"/>
              </w:rPr>
            </w:pPr>
          </w:p>
        </w:tc>
      </w:tr>
      <w:tr w:rsidR="00C80ABC" w:rsidRPr="00BC7A12" w14:paraId="08ABF072" w14:textId="77777777" w:rsidTr="006C32DE">
        <w:trPr>
          <w:trHeight w:val="783"/>
        </w:trPr>
        <w:tc>
          <w:tcPr>
            <w:tcW w:w="0" w:type="auto"/>
            <w:vMerge/>
            <w:shd w:val="clear" w:color="auto" w:fill="auto"/>
            <w:vAlign w:val="center"/>
            <w:hideMark/>
          </w:tcPr>
          <w:p w14:paraId="14A09538" w14:textId="77777777" w:rsidR="00B91648" w:rsidRPr="00BC7A12" w:rsidRDefault="00B91648" w:rsidP="00E3134A">
            <w:pPr>
              <w:spacing w:after="0" w:line="276" w:lineRule="auto"/>
              <w:rPr>
                <w:rFonts w:cs="Calibri"/>
                <w:sz w:val="20"/>
                <w:szCs w:val="20"/>
              </w:rPr>
            </w:pPr>
          </w:p>
        </w:tc>
        <w:tc>
          <w:tcPr>
            <w:tcW w:w="0" w:type="auto"/>
            <w:shd w:val="clear" w:color="auto" w:fill="auto"/>
            <w:vAlign w:val="center"/>
            <w:hideMark/>
          </w:tcPr>
          <w:p w14:paraId="6F8953CB"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Stakeholder engagement </w:t>
            </w:r>
          </w:p>
        </w:tc>
        <w:tc>
          <w:tcPr>
            <w:tcW w:w="0" w:type="auto"/>
            <w:shd w:val="clear" w:color="auto" w:fill="auto"/>
            <w:vAlign w:val="center"/>
            <w:hideMark/>
          </w:tcPr>
          <w:p w14:paraId="02607368"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Stated preference</w:t>
            </w:r>
          </w:p>
        </w:tc>
        <w:tc>
          <w:tcPr>
            <w:tcW w:w="0" w:type="auto"/>
            <w:shd w:val="clear" w:color="auto" w:fill="auto"/>
            <w:vAlign w:val="center"/>
            <w:hideMark/>
          </w:tcPr>
          <w:p w14:paraId="49381C8C"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Requires clear options and stakeholder knowledge </w:t>
            </w:r>
          </w:p>
        </w:tc>
      </w:tr>
      <w:tr w:rsidR="00C80ABC" w:rsidRPr="00BC7A12" w14:paraId="35F99E4E" w14:textId="77777777" w:rsidTr="006C32DE">
        <w:trPr>
          <w:cnfStyle w:val="000000100000" w:firstRow="0" w:lastRow="0" w:firstColumn="0" w:lastColumn="0" w:oddVBand="0" w:evenVBand="0" w:oddHBand="1" w:evenHBand="0" w:firstRowFirstColumn="0" w:firstRowLastColumn="0" w:lastRowFirstColumn="0" w:lastRowLastColumn="0"/>
          <w:trHeight w:val="605"/>
        </w:trPr>
        <w:tc>
          <w:tcPr>
            <w:tcW w:w="0" w:type="auto"/>
            <w:vMerge/>
            <w:shd w:val="clear" w:color="auto" w:fill="auto"/>
            <w:vAlign w:val="center"/>
            <w:hideMark/>
          </w:tcPr>
          <w:p w14:paraId="4733F7C4" w14:textId="77777777" w:rsidR="00B91648" w:rsidRPr="00BC7A12" w:rsidRDefault="00B91648" w:rsidP="00E3134A">
            <w:pPr>
              <w:spacing w:after="0" w:line="276" w:lineRule="auto"/>
              <w:rPr>
                <w:rFonts w:cs="Calibri"/>
                <w:sz w:val="20"/>
                <w:szCs w:val="20"/>
              </w:rPr>
            </w:pPr>
          </w:p>
        </w:tc>
        <w:tc>
          <w:tcPr>
            <w:tcW w:w="0" w:type="auto"/>
            <w:shd w:val="clear" w:color="auto" w:fill="auto"/>
            <w:vAlign w:val="center"/>
            <w:hideMark/>
          </w:tcPr>
          <w:p w14:paraId="2FB4F671" w14:textId="77777777" w:rsidR="00B91648" w:rsidRPr="00BC7A12" w:rsidRDefault="00B91648" w:rsidP="00E3134A">
            <w:pPr>
              <w:spacing w:after="0" w:line="276" w:lineRule="auto"/>
              <w:jc w:val="left"/>
              <w:rPr>
                <w:rFonts w:cs="Calibri"/>
                <w:sz w:val="20"/>
                <w:szCs w:val="20"/>
              </w:rPr>
            </w:pPr>
            <w:proofErr w:type="spellStart"/>
            <w:proofErr w:type="gramStart"/>
            <w:r w:rsidRPr="00BC7A12">
              <w:rPr>
                <w:rFonts w:cs="Calibri"/>
                <w:sz w:val="20"/>
                <w:szCs w:val="20"/>
                <w:lang w:val="en-US"/>
              </w:rPr>
              <w:t>Non monetary</w:t>
            </w:r>
            <w:proofErr w:type="spellEnd"/>
            <w:proofErr w:type="gramEnd"/>
            <w:r w:rsidRPr="00BC7A12">
              <w:rPr>
                <w:rFonts w:cs="Calibri"/>
                <w:sz w:val="20"/>
                <w:szCs w:val="20"/>
                <w:lang w:val="en-US"/>
              </w:rPr>
              <w:t xml:space="preserve"> decision approaches  </w:t>
            </w:r>
          </w:p>
        </w:tc>
        <w:tc>
          <w:tcPr>
            <w:tcW w:w="0" w:type="auto"/>
            <w:shd w:val="clear" w:color="auto" w:fill="auto"/>
            <w:vAlign w:val="center"/>
            <w:hideMark/>
          </w:tcPr>
          <w:p w14:paraId="4C5F1787" w14:textId="659D3D8B" w:rsidR="00B91648" w:rsidRPr="00BC7A12" w:rsidRDefault="00C80ABC" w:rsidP="00C80ABC">
            <w:pPr>
              <w:tabs>
                <w:tab w:val="left" w:pos="2467"/>
              </w:tabs>
              <w:spacing w:after="0" w:line="276" w:lineRule="auto"/>
              <w:jc w:val="left"/>
              <w:rPr>
                <w:rFonts w:cs="Calibri"/>
                <w:sz w:val="20"/>
                <w:szCs w:val="20"/>
              </w:rPr>
            </w:pPr>
            <w:r w:rsidRPr="00BC7A12">
              <w:rPr>
                <w:rFonts w:cs="Calibri"/>
                <w:sz w:val="20"/>
                <w:szCs w:val="20"/>
                <w:lang w:val="en-US"/>
              </w:rPr>
              <w:t>Expert panel, cost effectiveness analysis, multicriteria analysis, empirical social values, unweighted multiple indicator assessment</w:t>
            </w:r>
          </w:p>
        </w:tc>
        <w:tc>
          <w:tcPr>
            <w:tcW w:w="0" w:type="auto"/>
            <w:shd w:val="clear" w:color="auto" w:fill="auto"/>
            <w:vAlign w:val="center"/>
            <w:hideMark/>
          </w:tcPr>
          <w:p w14:paraId="77168502" w14:textId="282D6D68" w:rsidR="00B91648" w:rsidRPr="00BC7A12" w:rsidRDefault="0045461E" w:rsidP="00E3134A">
            <w:pPr>
              <w:spacing w:after="0" w:line="276" w:lineRule="auto"/>
              <w:jc w:val="left"/>
              <w:rPr>
                <w:rFonts w:cs="Calibri"/>
                <w:sz w:val="20"/>
                <w:szCs w:val="20"/>
              </w:rPr>
            </w:pPr>
            <w:r>
              <w:rPr>
                <w:rFonts w:cs="Calibri"/>
                <w:sz w:val="20"/>
                <w:szCs w:val="20"/>
              </w:rPr>
              <w:t>Q</w:t>
            </w:r>
            <w:r w:rsidR="005873E3" w:rsidRPr="00BC7A12">
              <w:rPr>
                <w:rFonts w:cs="Calibri"/>
                <w:sz w:val="20"/>
                <w:szCs w:val="20"/>
              </w:rPr>
              <w:t xml:space="preserve">uality biophysical modelling </w:t>
            </w:r>
            <w:r>
              <w:rPr>
                <w:rFonts w:cs="Calibri"/>
                <w:sz w:val="20"/>
                <w:szCs w:val="20"/>
              </w:rPr>
              <w:t>is needed</w:t>
            </w:r>
          </w:p>
        </w:tc>
      </w:tr>
      <w:tr w:rsidR="00C80ABC" w:rsidRPr="00BC7A12" w14:paraId="553140DF" w14:textId="77777777" w:rsidTr="006C32DE">
        <w:tc>
          <w:tcPr>
            <w:tcW w:w="0" w:type="auto"/>
            <w:vMerge/>
            <w:shd w:val="clear" w:color="auto" w:fill="auto"/>
            <w:vAlign w:val="center"/>
            <w:hideMark/>
          </w:tcPr>
          <w:p w14:paraId="443AE47C" w14:textId="77777777" w:rsidR="00B91648" w:rsidRPr="00BC7A12" w:rsidRDefault="00B91648" w:rsidP="00E3134A">
            <w:pPr>
              <w:spacing w:after="0" w:line="276" w:lineRule="auto"/>
              <w:rPr>
                <w:rFonts w:cs="Calibri"/>
                <w:sz w:val="20"/>
                <w:szCs w:val="20"/>
              </w:rPr>
            </w:pPr>
          </w:p>
        </w:tc>
        <w:tc>
          <w:tcPr>
            <w:tcW w:w="0" w:type="auto"/>
            <w:shd w:val="clear" w:color="auto" w:fill="auto"/>
            <w:vAlign w:val="center"/>
            <w:hideMark/>
          </w:tcPr>
          <w:p w14:paraId="225C5432"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Repurpose data </w:t>
            </w:r>
          </w:p>
        </w:tc>
        <w:tc>
          <w:tcPr>
            <w:tcW w:w="0" w:type="auto"/>
            <w:shd w:val="clear" w:color="auto" w:fill="auto"/>
            <w:vAlign w:val="center"/>
            <w:hideMark/>
          </w:tcPr>
          <w:p w14:paraId="4B16D243"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Insurance products</w:t>
            </w:r>
          </w:p>
        </w:tc>
        <w:tc>
          <w:tcPr>
            <w:tcW w:w="0" w:type="auto"/>
            <w:shd w:val="clear" w:color="auto" w:fill="auto"/>
            <w:vAlign w:val="center"/>
            <w:hideMark/>
          </w:tcPr>
          <w:p w14:paraId="458D34D9" w14:textId="3FC3BEF9" w:rsidR="00B91648" w:rsidRPr="00BC7A12" w:rsidRDefault="0045461E" w:rsidP="00E3134A">
            <w:pPr>
              <w:spacing w:after="0" w:line="276" w:lineRule="auto"/>
              <w:jc w:val="left"/>
              <w:rPr>
                <w:rFonts w:cs="Calibri"/>
                <w:sz w:val="20"/>
                <w:szCs w:val="20"/>
              </w:rPr>
            </w:pPr>
            <w:r>
              <w:rPr>
                <w:rFonts w:cs="Calibri"/>
                <w:sz w:val="20"/>
                <w:szCs w:val="20"/>
                <w:lang w:val="en-US"/>
              </w:rPr>
              <w:t xml:space="preserve">Data has been </w:t>
            </w:r>
            <w:r w:rsidR="00B91648" w:rsidRPr="00BC7A12">
              <w:rPr>
                <w:rFonts w:cs="Calibri"/>
                <w:sz w:val="20"/>
                <w:szCs w:val="20"/>
                <w:lang w:val="en-US"/>
              </w:rPr>
              <w:t xml:space="preserve">requested </w:t>
            </w:r>
            <w:r>
              <w:rPr>
                <w:rFonts w:cs="Calibri"/>
                <w:sz w:val="20"/>
                <w:szCs w:val="20"/>
                <w:lang w:val="en-US"/>
              </w:rPr>
              <w:t xml:space="preserve">by industry </w:t>
            </w:r>
          </w:p>
        </w:tc>
      </w:tr>
      <w:tr w:rsidR="00C80ABC" w:rsidRPr="00BC7A12" w14:paraId="1C3EB87D" w14:textId="77777777" w:rsidTr="006C32DE">
        <w:trPr>
          <w:cnfStyle w:val="000000100000" w:firstRow="0" w:lastRow="0" w:firstColumn="0" w:lastColumn="0" w:oddVBand="0" w:evenVBand="0" w:oddHBand="1" w:evenHBand="0" w:firstRowFirstColumn="0" w:firstRowLastColumn="0" w:lastRowFirstColumn="0" w:lastRowLastColumn="0"/>
        </w:trPr>
        <w:tc>
          <w:tcPr>
            <w:tcW w:w="0" w:type="auto"/>
            <w:vMerge/>
            <w:tcBorders>
              <w:bottom w:val="single" w:sz="4" w:space="0" w:color="848484" w:themeColor="text1" w:themeTint="99"/>
            </w:tcBorders>
            <w:shd w:val="clear" w:color="auto" w:fill="auto"/>
            <w:vAlign w:val="center"/>
            <w:hideMark/>
          </w:tcPr>
          <w:p w14:paraId="5D929542" w14:textId="77777777" w:rsidR="00B91648" w:rsidRPr="00BC7A12" w:rsidRDefault="00B91648" w:rsidP="00E3134A">
            <w:pPr>
              <w:spacing w:after="0" w:line="276" w:lineRule="auto"/>
              <w:rPr>
                <w:rFonts w:cs="Calibri"/>
                <w:sz w:val="20"/>
                <w:szCs w:val="20"/>
              </w:rPr>
            </w:pPr>
          </w:p>
        </w:tc>
        <w:tc>
          <w:tcPr>
            <w:tcW w:w="0" w:type="auto"/>
            <w:shd w:val="clear" w:color="auto" w:fill="auto"/>
            <w:vAlign w:val="center"/>
            <w:hideMark/>
          </w:tcPr>
          <w:p w14:paraId="5B74F48B"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Repurpose data </w:t>
            </w:r>
          </w:p>
        </w:tc>
        <w:tc>
          <w:tcPr>
            <w:tcW w:w="0" w:type="auto"/>
            <w:shd w:val="clear" w:color="auto" w:fill="auto"/>
            <w:vAlign w:val="center"/>
            <w:hideMark/>
          </w:tcPr>
          <w:p w14:paraId="30D66418"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Construction, real estate </w:t>
            </w:r>
          </w:p>
        </w:tc>
        <w:tc>
          <w:tcPr>
            <w:tcW w:w="0" w:type="auto"/>
            <w:shd w:val="clear" w:color="auto" w:fill="auto"/>
            <w:vAlign w:val="center"/>
            <w:hideMark/>
          </w:tcPr>
          <w:p w14:paraId="2BCAC044"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Industry would likely use data </w:t>
            </w:r>
          </w:p>
        </w:tc>
      </w:tr>
      <w:tr w:rsidR="00C80ABC" w:rsidRPr="00BC7A12" w14:paraId="6D708F3C" w14:textId="77777777" w:rsidTr="006C32DE">
        <w:tc>
          <w:tcPr>
            <w:tcW w:w="0" w:type="auto"/>
            <w:tcBorders>
              <w:left w:val="single" w:sz="4" w:space="0" w:color="FFFFFF" w:themeColor="background1"/>
              <w:bottom w:val="single" w:sz="4" w:space="0" w:color="FFFFFF" w:themeColor="background1"/>
            </w:tcBorders>
            <w:shd w:val="clear" w:color="auto" w:fill="FFFFFF" w:themeFill="background1"/>
            <w:vAlign w:val="center"/>
            <w:hideMark/>
          </w:tcPr>
          <w:p w14:paraId="2D384756" w14:textId="77777777" w:rsidR="00B91648" w:rsidRPr="00BC7A12" w:rsidRDefault="00B91648" w:rsidP="00E3134A">
            <w:pPr>
              <w:spacing w:after="0" w:line="276" w:lineRule="auto"/>
              <w:rPr>
                <w:rFonts w:cs="Calibri"/>
                <w:sz w:val="20"/>
                <w:szCs w:val="20"/>
              </w:rPr>
            </w:pPr>
          </w:p>
        </w:tc>
        <w:tc>
          <w:tcPr>
            <w:tcW w:w="0" w:type="auto"/>
            <w:tcBorders>
              <w:bottom w:val="single" w:sz="4" w:space="0" w:color="848484" w:themeColor="text1" w:themeTint="99"/>
            </w:tcBorders>
            <w:shd w:val="clear" w:color="auto" w:fill="D9D9D9" w:themeFill="background1" w:themeFillShade="D9"/>
            <w:vAlign w:val="center"/>
            <w:hideMark/>
          </w:tcPr>
          <w:p w14:paraId="6315835C"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Awareness raising</w:t>
            </w:r>
          </w:p>
        </w:tc>
        <w:tc>
          <w:tcPr>
            <w:tcW w:w="0" w:type="auto"/>
            <w:shd w:val="clear" w:color="auto" w:fill="D9D9D9" w:themeFill="background1" w:themeFillShade="D9"/>
            <w:vAlign w:val="center"/>
            <w:hideMark/>
          </w:tcPr>
          <w:p w14:paraId="4B5D4773"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Benefit transfer </w:t>
            </w:r>
          </w:p>
        </w:tc>
        <w:tc>
          <w:tcPr>
            <w:tcW w:w="0" w:type="auto"/>
            <w:shd w:val="clear" w:color="auto" w:fill="D9D9D9" w:themeFill="background1" w:themeFillShade="D9"/>
            <w:vAlign w:val="center"/>
            <w:hideMark/>
          </w:tcPr>
          <w:p w14:paraId="548AD740" w14:textId="77777777"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Can spur improved costal planning through biophysical modeling </w:t>
            </w:r>
          </w:p>
        </w:tc>
      </w:tr>
      <w:tr w:rsidR="00C80ABC" w:rsidRPr="00BC7A12" w14:paraId="44D78471" w14:textId="77777777" w:rsidTr="003B5B97">
        <w:trPr>
          <w:cnfStyle w:val="000000100000" w:firstRow="0" w:lastRow="0" w:firstColumn="0" w:lastColumn="0" w:oddVBand="0" w:evenVBand="0" w:oddHBand="1" w:evenHBand="0" w:firstRowFirstColumn="0" w:firstRowLastColumn="0" w:lastRowFirstColumn="0" w:lastRowLastColumn="0"/>
          <w:trHeight w:val="368"/>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FFFFFF" w:themeFill="background1"/>
            <w:vAlign w:val="center"/>
            <w:hideMark/>
          </w:tcPr>
          <w:p w14:paraId="1233DA99" w14:textId="77777777" w:rsidR="00B91648" w:rsidRPr="00BC7A12" w:rsidRDefault="00B91648" w:rsidP="00E3134A">
            <w:pPr>
              <w:spacing w:after="0" w:line="276" w:lineRule="auto"/>
              <w:rPr>
                <w:rFonts w:cs="Calibri"/>
                <w:sz w:val="20"/>
                <w:szCs w:val="20"/>
              </w:rPr>
            </w:pPr>
          </w:p>
        </w:tc>
        <w:tc>
          <w:tcPr>
            <w:tcW w:w="0" w:type="auto"/>
            <w:tcBorders>
              <w:left w:val="single" w:sz="4" w:space="0" w:color="FFFFFF" w:themeColor="background1"/>
              <w:bottom w:val="single" w:sz="4" w:space="0" w:color="FFFFFF" w:themeColor="background1"/>
            </w:tcBorders>
            <w:shd w:val="clear" w:color="auto" w:fill="FFFFFF" w:themeFill="background1"/>
            <w:vAlign w:val="center"/>
            <w:hideMark/>
          </w:tcPr>
          <w:p w14:paraId="6A55E557" w14:textId="77777777" w:rsidR="00B91648" w:rsidRPr="00BC7A12" w:rsidRDefault="00B91648" w:rsidP="00E3134A">
            <w:pPr>
              <w:spacing w:after="0" w:line="276" w:lineRule="auto"/>
              <w:rPr>
                <w:rFonts w:cs="Calibri"/>
                <w:sz w:val="20"/>
                <w:szCs w:val="20"/>
              </w:rPr>
            </w:pPr>
          </w:p>
        </w:tc>
        <w:tc>
          <w:tcPr>
            <w:tcW w:w="0" w:type="auto"/>
            <w:vAlign w:val="center"/>
            <w:hideMark/>
          </w:tcPr>
          <w:p w14:paraId="7C4C1890" w14:textId="77777777" w:rsidR="00B91648" w:rsidRPr="00BC7A12" w:rsidRDefault="00B91648" w:rsidP="00E3134A">
            <w:pPr>
              <w:spacing w:after="0" w:line="276" w:lineRule="auto"/>
              <w:rPr>
                <w:rFonts w:cs="Calibri"/>
                <w:sz w:val="20"/>
                <w:szCs w:val="20"/>
              </w:rPr>
            </w:pPr>
            <w:r w:rsidRPr="00BC7A12">
              <w:rPr>
                <w:rFonts w:cs="Calibri"/>
                <w:sz w:val="20"/>
                <w:szCs w:val="20"/>
                <w:lang w:val="en-US"/>
              </w:rPr>
              <w:t xml:space="preserve">Hedonic pricing </w:t>
            </w:r>
          </w:p>
        </w:tc>
        <w:tc>
          <w:tcPr>
            <w:tcW w:w="0" w:type="auto"/>
            <w:vAlign w:val="center"/>
            <w:hideMark/>
          </w:tcPr>
          <w:p w14:paraId="0E5743FA" w14:textId="57A887A5" w:rsidR="00B91648" w:rsidRPr="00BC7A12" w:rsidRDefault="00B91648" w:rsidP="00E3134A">
            <w:pPr>
              <w:spacing w:after="0" w:line="276" w:lineRule="auto"/>
              <w:jc w:val="left"/>
              <w:rPr>
                <w:rFonts w:cs="Calibri"/>
                <w:sz w:val="20"/>
                <w:szCs w:val="20"/>
              </w:rPr>
            </w:pPr>
            <w:r w:rsidRPr="00BC7A12">
              <w:rPr>
                <w:rFonts w:cs="Calibri"/>
                <w:sz w:val="20"/>
                <w:szCs w:val="20"/>
                <w:lang w:val="en-US"/>
              </w:rPr>
              <w:t xml:space="preserve">Real estate market is not sufficiently incorporating </w:t>
            </w:r>
            <w:r w:rsidR="0045461E">
              <w:rPr>
                <w:rFonts w:cs="Calibri"/>
                <w:sz w:val="20"/>
                <w:szCs w:val="20"/>
                <w:lang w:val="en-US"/>
              </w:rPr>
              <w:t xml:space="preserve">disaster risks </w:t>
            </w:r>
          </w:p>
        </w:tc>
      </w:tr>
    </w:tbl>
    <w:p w14:paraId="3290F2A2" w14:textId="77777777" w:rsidR="00FD7E12" w:rsidRPr="00BC7A12" w:rsidRDefault="00FD7E12" w:rsidP="00997F8C">
      <w:pPr>
        <w:spacing w:after="200" w:line="276" w:lineRule="auto"/>
        <w:rPr>
          <w:rFonts w:cs="Calibri"/>
        </w:rPr>
      </w:pPr>
    </w:p>
    <w:p w14:paraId="68ED6690" w14:textId="207A866E" w:rsidR="00B91648" w:rsidRPr="00BC7A12" w:rsidRDefault="00FD7E12" w:rsidP="00997F8C">
      <w:pPr>
        <w:spacing w:after="200" w:line="276" w:lineRule="auto"/>
        <w:rPr>
          <w:rFonts w:cs="Calibri"/>
        </w:rPr>
      </w:pPr>
      <w:r w:rsidRPr="00BC7A12">
        <w:rPr>
          <w:rFonts w:cs="Calibri"/>
        </w:rPr>
        <w:t xml:space="preserve">There </w:t>
      </w:r>
      <w:r w:rsidR="006E55E1" w:rsidRPr="00BC7A12">
        <w:rPr>
          <w:rFonts w:cs="Calibri"/>
        </w:rPr>
        <w:t xml:space="preserve">are valuation techniques that are not dependent on this </w:t>
      </w:r>
      <w:r w:rsidRPr="00BC7A12">
        <w:rPr>
          <w:rFonts w:cs="Calibri"/>
        </w:rPr>
        <w:t>data</w:t>
      </w:r>
      <w:r w:rsidR="006E55E1" w:rsidRPr="00BC7A12">
        <w:rPr>
          <w:rFonts w:cs="Calibri"/>
        </w:rPr>
        <w:t xml:space="preserve"> and complex modelling</w:t>
      </w:r>
      <w:r w:rsidR="000E623B" w:rsidRPr="00BC7A12">
        <w:rPr>
          <w:rFonts w:cs="Calibri"/>
        </w:rPr>
        <w:t xml:space="preserve"> (</w:t>
      </w:r>
      <w:r w:rsidR="000E623B" w:rsidRPr="00BC7A12">
        <w:rPr>
          <w:rFonts w:cs="Calibri"/>
        </w:rPr>
        <w:fldChar w:fldCharType="begin"/>
      </w:r>
      <w:r w:rsidR="000E623B" w:rsidRPr="00BC7A12">
        <w:rPr>
          <w:rFonts w:cs="Calibri"/>
        </w:rPr>
        <w:instrText xml:space="preserve"> REF _Ref45458440 \h </w:instrText>
      </w:r>
      <w:r w:rsidR="00BC7A12">
        <w:rPr>
          <w:rFonts w:cs="Calibri"/>
        </w:rPr>
        <w:instrText xml:space="preserve"> \* MERGEFORMAT </w:instrText>
      </w:r>
      <w:r w:rsidR="000E623B" w:rsidRPr="00BC7A12">
        <w:rPr>
          <w:rFonts w:cs="Calibri"/>
        </w:rPr>
      </w:r>
      <w:r w:rsidR="000E623B" w:rsidRPr="00BC7A12">
        <w:rPr>
          <w:rFonts w:cs="Calibri"/>
        </w:rPr>
        <w:fldChar w:fldCharType="separate"/>
      </w:r>
      <w:r w:rsidR="00657E34" w:rsidRPr="00BC7A12">
        <w:rPr>
          <w:rFonts w:cs="Calibri"/>
        </w:rPr>
        <w:t xml:space="preserve">Table </w:t>
      </w:r>
      <w:r w:rsidR="00657E34">
        <w:rPr>
          <w:rFonts w:cs="Calibri"/>
          <w:noProof/>
        </w:rPr>
        <w:t>10</w:t>
      </w:r>
      <w:r w:rsidR="000E623B" w:rsidRPr="00BC7A12">
        <w:rPr>
          <w:rFonts w:cs="Calibri"/>
        </w:rPr>
        <w:fldChar w:fldCharType="end"/>
      </w:r>
      <w:r w:rsidR="000E623B" w:rsidRPr="00BC7A12">
        <w:rPr>
          <w:rFonts w:cs="Calibri"/>
        </w:rPr>
        <w:t>)</w:t>
      </w:r>
      <w:r w:rsidRPr="00BC7A12">
        <w:rPr>
          <w:rFonts w:cs="Calibri"/>
        </w:rPr>
        <w:t xml:space="preserve">. </w:t>
      </w:r>
      <w:r w:rsidRPr="00036F9D">
        <w:rPr>
          <w:rFonts w:cs="Calibri"/>
        </w:rPr>
        <w:t>Benefit transfer techniques</w:t>
      </w:r>
      <w:r w:rsidR="0045461E" w:rsidRPr="00036F9D">
        <w:rPr>
          <w:rFonts w:cs="Calibri"/>
        </w:rPr>
        <w:t xml:space="preserve"> are often used </w:t>
      </w:r>
      <w:r w:rsidRPr="00036F9D">
        <w:rPr>
          <w:rFonts w:cs="Calibri"/>
        </w:rPr>
        <w:t xml:space="preserve">because </w:t>
      </w:r>
      <w:r w:rsidR="0045461E" w:rsidRPr="00036F9D">
        <w:rPr>
          <w:rFonts w:cs="Calibri"/>
        </w:rPr>
        <w:t xml:space="preserve">of </w:t>
      </w:r>
      <w:r w:rsidRPr="00036F9D">
        <w:rPr>
          <w:rFonts w:cs="Calibri"/>
        </w:rPr>
        <w:t>data or capacity</w:t>
      </w:r>
      <w:r w:rsidR="0045461E" w:rsidRPr="00036F9D">
        <w:rPr>
          <w:rFonts w:cs="Calibri"/>
        </w:rPr>
        <w:t xml:space="preserve"> shortfalls</w:t>
      </w:r>
      <w:r w:rsidR="006E55E1" w:rsidRPr="00036F9D">
        <w:rPr>
          <w:rFonts w:cs="Calibri"/>
        </w:rPr>
        <w:t>.</w:t>
      </w:r>
      <w:r w:rsidR="006E55E1" w:rsidRPr="00BC7A12">
        <w:rPr>
          <w:rFonts w:cs="Calibri"/>
        </w:rPr>
        <w:t xml:space="preserve"> </w:t>
      </w:r>
      <w:r w:rsidR="0045461E">
        <w:rPr>
          <w:rFonts w:cs="Calibri"/>
        </w:rPr>
        <w:t xml:space="preserve">Benefit transfer techniques </w:t>
      </w:r>
      <w:r w:rsidR="006E55E1" w:rsidRPr="00BC7A12">
        <w:rPr>
          <w:rFonts w:cs="Calibri"/>
        </w:rPr>
        <w:t>can raise awareness and provide decision makers with a point of reference</w:t>
      </w:r>
      <w:r w:rsidR="00BC541B">
        <w:rPr>
          <w:rFonts w:cs="Calibri"/>
        </w:rPr>
        <w:t xml:space="preserve"> especially at the state or national level</w:t>
      </w:r>
      <w:r w:rsidR="006E55E1" w:rsidRPr="00BC7A12">
        <w:rPr>
          <w:rFonts w:cs="Calibri"/>
        </w:rPr>
        <w:t xml:space="preserve">. </w:t>
      </w:r>
      <w:r w:rsidR="000E623B" w:rsidRPr="00BC7A12">
        <w:rPr>
          <w:rFonts w:cs="Calibri"/>
        </w:rPr>
        <w:t>In addition, hedonic pricing techniques can reveal how DRR values are incorporated into property values. Presently, the Australia real estate market has not incorporated these values</w:t>
      </w:r>
      <w:r w:rsidR="00E500C5">
        <w:rPr>
          <w:rFonts w:cs="Calibri"/>
        </w:rPr>
        <w:t>, impeding the use of hedonic pricing</w:t>
      </w:r>
      <w:r w:rsidR="000E623B" w:rsidRPr="00BC7A12">
        <w:rPr>
          <w:rFonts w:cs="Calibri"/>
        </w:rPr>
        <w:t xml:space="preserve">. </w:t>
      </w:r>
    </w:p>
    <w:bookmarkEnd w:id="88"/>
    <w:p w14:paraId="02389871" w14:textId="4EBA60FF" w:rsidR="00CD7949" w:rsidRPr="00BC7A12" w:rsidRDefault="000E623B" w:rsidP="00997F8C">
      <w:pPr>
        <w:spacing w:after="200" w:line="276" w:lineRule="auto"/>
        <w:rPr>
          <w:rFonts w:cs="Calibri"/>
        </w:rPr>
      </w:pPr>
      <w:proofErr w:type="gramStart"/>
      <w:r w:rsidRPr="00BC7A12">
        <w:rPr>
          <w:rFonts w:cs="Calibri"/>
        </w:rPr>
        <w:t>In order to</w:t>
      </w:r>
      <w:proofErr w:type="gramEnd"/>
      <w:r w:rsidRPr="00BC7A12">
        <w:rPr>
          <w:rFonts w:cs="Calibri"/>
        </w:rPr>
        <w:t xml:space="preserve"> </w:t>
      </w:r>
      <w:r w:rsidR="00E500C5">
        <w:rPr>
          <w:rFonts w:cs="Calibri"/>
        </w:rPr>
        <w:t>expand the</w:t>
      </w:r>
      <w:r w:rsidRPr="00BC7A12">
        <w:rPr>
          <w:rFonts w:cs="Calibri"/>
        </w:rPr>
        <w:t xml:space="preserve"> </w:t>
      </w:r>
      <w:r w:rsidR="008564D8">
        <w:rPr>
          <w:rFonts w:cs="Calibri"/>
        </w:rPr>
        <w:t>use of</w:t>
      </w:r>
      <w:r w:rsidR="008564D8" w:rsidRPr="00BC7A12">
        <w:rPr>
          <w:rFonts w:cs="Calibri"/>
        </w:rPr>
        <w:t xml:space="preserve"> </w:t>
      </w:r>
      <w:r w:rsidRPr="00BC7A12">
        <w:rPr>
          <w:rFonts w:cs="Calibri"/>
        </w:rPr>
        <w:t xml:space="preserve">explicit local valuation approaches, the </w:t>
      </w:r>
      <w:r w:rsidR="00CD7949" w:rsidRPr="00BC7A12">
        <w:rPr>
          <w:rFonts w:cs="Calibri"/>
        </w:rPr>
        <w:t xml:space="preserve">following steps are recommended:  </w:t>
      </w:r>
    </w:p>
    <w:p w14:paraId="2E13EBF6" w14:textId="2680C993" w:rsidR="003D57FF" w:rsidRPr="00BC7A12" w:rsidRDefault="003D57FF" w:rsidP="00997F8C">
      <w:pPr>
        <w:pStyle w:val="ListParagraph"/>
        <w:numPr>
          <w:ilvl w:val="0"/>
          <w:numId w:val="41"/>
        </w:numPr>
        <w:spacing w:after="200" w:line="276" w:lineRule="auto"/>
        <w:rPr>
          <w:rFonts w:cs="Calibri"/>
          <w:b/>
          <w:bCs/>
        </w:rPr>
      </w:pPr>
      <w:r w:rsidRPr="00BC7A12">
        <w:rPr>
          <w:rFonts w:cs="Calibri"/>
          <w:b/>
          <w:bCs/>
        </w:rPr>
        <w:t xml:space="preserve">Promote explicit local valuation </w:t>
      </w:r>
      <w:r w:rsidR="004F6F3C" w:rsidRPr="00BC7A12">
        <w:rPr>
          <w:rFonts w:cs="Calibri"/>
          <w:b/>
          <w:bCs/>
        </w:rPr>
        <w:t xml:space="preserve">approaches </w:t>
      </w:r>
      <w:r w:rsidRPr="00BC7A12">
        <w:rPr>
          <w:rFonts w:cs="Calibri"/>
          <w:b/>
          <w:bCs/>
        </w:rPr>
        <w:t xml:space="preserve"> </w:t>
      </w:r>
    </w:p>
    <w:p w14:paraId="206C6C2E" w14:textId="668B1100" w:rsidR="00DB4001" w:rsidRPr="00BC7A12" w:rsidRDefault="000E623B" w:rsidP="00997F8C">
      <w:pPr>
        <w:pStyle w:val="ListParagraph"/>
        <w:spacing w:after="200" w:line="276" w:lineRule="auto"/>
        <w:ind w:left="360" w:firstLine="0"/>
        <w:rPr>
          <w:rFonts w:cs="Calibri"/>
        </w:rPr>
      </w:pPr>
      <w:r w:rsidRPr="00BC7A12">
        <w:rPr>
          <w:rFonts w:cs="Calibri"/>
        </w:rPr>
        <w:t xml:space="preserve">Nearly all Australian coastal wetlands have been valued. Recent studies </w:t>
      </w:r>
      <w:r w:rsidRPr="00BC7A12">
        <w:rPr>
          <w:rFonts w:cs="Calibri"/>
        </w:rPr>
        <w:fldChar w:fldCharType="begin" w:fldLock="1"/>
      </w:r>
      <w:r w:rsidR="00DB4001" w:rsidRPr="00BC7A12">
        <w:rPr>
          <w:rFonts w:cs="Calibri"/>
        </w:rPr>
        <w:instrText>ADDIN CSL_CITATION {"citationItems":[{"id":"ITEM-1","itemData":{"DOI":"10.1016/j.ecoser.2019.100943","ISSN":"22120416","abstract":"The concept of ecosystem services (ES) aims to quantify the contribution of ecosystems to human welfare. Past research has revealed a range of attitudes and levels of understanding among policy makers or practitioners to this concept. This study investigated the experience of environmental decision makers with the application of ES, using the state of Victoria, Australia as a case study. Analysis of data from 20 interview participants indicated that impediments to implementing ES included structural and governance deficiencies, lack of public and private leadership, complexity of language, and the lack of sustained, long-term investment. Proposed solutions include standardised measurement and reporting, improved communication tools, and potential commercial investment in ES through government regulated markets. The study revealed that ES concepts have arrived at a moment of change in Victoria. They can potentially provide a basis for better environmental management decisions, however, many respondents felt implementation has stalled. Implementing complex policy change requires sustained effort. Active political leadership, a supporting advocacy coalition, and explicit theory on mechanisms to implement ES are required if the concept is to be widely adopted by decision makers in public or private spheres.","author":[{"dropping-particle":"","family":"Keenan","given":"Rodney J.","non-dropping-particle":"","parse-names":false,"suffix":""},{"dropping-particle":"","family":"Pozza","given":"Greg","non-dropping-particle":"","parse-names":false,"suffix":""},{"dropping-particle":"","family":"Fitzsimons","given":"James A.","non-dropping-particle":"","parse-names":false,"suffix":""}],"container-title":"Ecosystem Services","id":"ITEM-1","issue":"June","issued":{"date-parts":[["2019"]]},"page":"100943","publisher":"Elsevier B.V.","title":"Ecosystem services in environmental policy: Barriers and opportunities for increased adoption","type":"article-journal","volume":"38"},"uris":["http://www.mendeley.com/documents/?uuid=cd7fb9ea-ab43-409e-8553-457f19649836"]}],"mendeley":{"formattedCitation":"(Keenan et al. 2019)","plainTextFormattedCitation":"(Keenan et al. 2019)","previouslyFormattedCitation":"(Keenan et al. 2019)"},"properties":{"noteIndex":0},"schema":"https://github.com/citation-style-language/schema/raw/master/csl-citation.json"}</w:instrText>
      </w:r>
      <w:r w:rsidRPr="00BC7A12">
        <w:rPr>
          <w:rFonts w:cs="Calibri"/>
        </w:rPr>
        <w:fldChar w:fldCharType="separate"/>
      </w:r>
      <w:r w:rsidRPr="00BC7A12">
        <w:rPr>
          <w:rFonts w:cs="Calibri"/>
          <w:noProof/>
        </w:rPr>
        <w:t>(Keenan et al. 2019)</w:t>
      </w:r>
      <w:r w:rsidRPr="00BC7A12">
        <w:rPr>
          <w:rFonts w:cs="Calibri"/>
        </w:rPr>
        <w:fldChar w:fldCharType="end"/>
      </w:r>
      <w:r w:rsidRPr="00BC7A12">
        <w:rPr>
          <w:rFonts w:cs="Calibri"/>
        </w:rPr>
        <w:t xml:space="preserve"> and interviews conducted for this report</w:t>
      </w:r>
      <w:r w:rsidR="00436AC1">
        <w:rPr>
          <w:rFonts w:cs="Calibri"/>
        </w:rPr>
        <w:t>,</w:t>
      </w:r>
      <w:r w:rsidRPr="00BC7A12">
        <w:rPr>
          <w:rFonts w:cs="Calibri"/>
        </w:rPr>
        <w:t xml:space="preserve"> indicate </w:t>
      </w:r>
      <w:r w:rsidR="00CA2A50">
        <w:rPr>
          <w:rFonts w:cs="Calibri"/>
        </w:rPr>
        <w:t xml:space="preserve">most state and local government </w:t>
      </w:r>
      <w:r w:rsidRPr="00BC7A12">
        <w:rPr>
          <w:rFonts w:cs="Calibri"/>
        </w:rPr>
        <w:t xml:space="preserve">decision makers in Australia are </w:t>
      </w:r>
      <w:r w:rsidR="00E500C5">
        <w:rPr>
          <w:rFonts w:cs="Calibri"/>
        </w:rPr>
        <w:t xml:space="preserve">generally </w:t>
      </w:r>
      <w:r w:rsidRPr="00BC7A12">
        <w:rPr>
          <w:rFonts w:cs="Calibri"/>
        </w:rPr>
        <w:t xml:space="preserve">aware </w:t>
      </w:r>
      <w:r w:rsidR="00326DFF">
        <w:rPr>
          <w:rFonts w:cs="Calibri"/>
        </w:rPr>
        <w:t xml:space="preserve">that </w:t>
      </w:r>
      <w:r w:rsidRPr="00BC7A12">
        <w:rPr>
          <w:rFonts w:cs="Calibri"/>
        </w:rPr>
        <w:t xml:space="preserve">DRR values </w:t>
      </w:r>
      <w:r w:rsidR="00326DFF">
        <w:rPr>
          <w:rFonts w:cs="Calibri"/>
        </w:rPr>
        <w:t xml:space="preserve">are </w:t>
      </w:r>
      <w:r w:rsidRPr="00BC7A12">
        <w:rPr>
          <w:rFonts w:cs="Calibri"/>
        </w:rPr>
        <w:t>provided by coastal wetlands</w:t>
      </w:r>
      <w:r w:rsidR="00DB4001" w:rsidRPr="00BC7A12">
        <w:rPr>
          <w:rFonts w:cs="Calibri"/>
        </w:rPr>
        <w:t xml:space="preserve"> </w:t>
      </w:r>
      <w:r w:rsidR="00DB4001" w:rsidRPr="00BC7A12">
        <w:rPr>
          <w:rFonts w:cs="Calibri"/>
        </w:rPr>
        <w:fldChar w:fldCharType="begin" w:fldLock="1"/>
      </w:r>
      <w:r w:rsidR="00C7754D" w:rsidRPr="00BC7A12">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 Stakeholder consultation","type":"article"},"uris":["http://www.mendeley.com/documents/?uuid=bafcc05a-a77b-48ec-bab0-63b9ec400826"]}],"mendeley":{"formattedCitation":"(IDEEA Group 2020b)","plainTextFormattedCitation":"(IDEEA Group 2020b)","previouslyFormattedCitation":"(IDEEA Group 2020b)"},"properties":{"noteIndex":0},"schema":"https://github.com/citation-style-language/schema/raw/master/csl-citation.json"}</w:instrText>
      </w:r>
      <w:r w:rsidR="00DB4001" w:rsidRPr="00BC7A12">
        <w:rPr>
          <w:rFonts w:cs="Calibri"/>
        </w:rPr>
        <w:fldChar w:fldCharType="separate"/>
      </w:r>
      <w:r w:rsidR="00DB4001" w:rsidRPr="00BC7A12">
        <w:rPr>
          <w:rFonts w:cs="Calibri"/>
          <w:noProof/>
        </w:rPr>
        <w:t>(IDEEA Group 2020b)</w:t>
      </w:r>
      <w:r w:rsidR="00DB4001" w:rsidRPr="00BC7A12">
        <w:rPr>
          <w:rFonts w:cs="Calibri"/>
        </w:rPr>
        <w:fldChar w:fldCharType="end"/>
      </w:r>
      <w:r w:rsidRPr="00BC7A12">
        <w:rPr>
          <w:rFonts w:cs="Calibri"/>
        </w:rPr>
        <w:t xml:space="preserve">. </w:t>
      </w:r>
      <w:r w:rsidR="00DB4001" w:rsidRPr="00BC7A12">
        <w:rPr>
          <w:rFonts w:cs="Calibri"/>
        </w:rPr>
        <w:t xml:space="preserve">Therefore, </w:t>
      </w:r>
      <w:r w:rsidR="003D57FF" w:rsidRPr="00BC7A12">
        <w:rPr>
          <w:rFonts w:cs="Calibri"/>
        </w:rPr>
        <w:t xml:space="preserve">additional benefit transfer </w:t>
      </w:r>
      <w:r w:rsidR="00DB4001" w:rsidRPr="00BC7A12">
        <w:rPr>
          <w:rFonts w:cs="Calibri"/>
        </w:rPr>
        <w:t xml:space="preserve">valuations </w:t>
      </w:r>
      <w:r w:rsidR="003D57FF" w:rsidRPr="00BC7A12">
        <w:rPr>
          <w:rFonts w:cs="Calibri"/>
        </w:rPr>
        <w:t xml:space="preserve">are unlikely to </w:t>
      </w:r>
      <w:r w:rsidR="000B03E2" w:rsidRPr="00BC7A12">
        <w:rPr>
          <w:rFonts w:cs="Calibri"/>
        </w:rPr>
        <w:t xml:space="preserve">create </w:t>
      </w:r>
      <w:r w:rsidR="003D57FF" w:rsidRPr="00BC7A12">
        <w:rPr>
          <w:rFonts w:cs="Calibri"/>
        </w:rPr>
        <w:t xml:space="preserve">additional </w:t>
      </w:r>
      <w:r w:rsidR="000B03E2" w:rsidRPr="00BC7A12">
        <w:rPr>
          <w:rFonts w:cs="Calibri"/>
        </w:rPr>
        <w:t>knowledge</w:t>
      </w:r>
      <w:r w:rsidR="00DB4001" w:rsidRPr="00BC7A12">
        <w:rPr>
          <w:rFonts w:cs="Calibri"/>
        </w:rPr>
        <w:t xml:space="preserve"> that coastal planners can use</w:t>
      </w:r>
      <w:r w:rsidR="00036F9D">
        <w:rPr>
          <w:rFonts w:cs="Calibri"/>
        </w:rPr>
        <w:t xml:space="preserve"> for local decision making</w:t>
      </w:r>
      <w:r w:rsidR="00DB4001" w:rsidRPr="00BC7A12">
        <w:rPr>
          <w:rFonts w:cs="Calibri"/>
        </w:rPr>
        <w:t>.</w:t>
      </w:r>
      <w:r w:rsidR="006F1993">
        <w:rPr>
          <w:rFonts w:cs="Calibri"/>
        </w:rPr>
        <w:t xml:space="preserve"> This said, awareness raising approaches, such as benefit transfers, may provide value to national or state policy analysis. </w:t>
      </w:r>
    </w:p>
    <w:p w14:paraId="6E71092D" w14:textId="77777777" w:rsidR="00DB4001" w:rsidRPr="00BC7A12" w:rsidRDefault="00DB4001" w:rsidP="00997F8C">
      <w:pPr>
        <w:pStyle w:val="ListParagraph"/>
        <w:spacing w:after="200" w:line="276" w:lineRule="auto"/>
        <w:ind w:left="360" w:firstLine="0"/>
        <w:rPr>
          <w:rFonts w:cs="Calibri"/>
        </w:rPr>
      </w:pPr>
    </w:p>
    <w:p w14:paraId="129C3602" w14:textId="00181036" w:rsidR="003D57FF" w:rsidRPr="00BC7A12" w:rsidRDefault="006F791B" w:rsidP="00997F8C">
      <w:pPr>
        <w:pStyle w:val="ListParagraph"/>
        <w:spacing w:after="200" w:line="276" w:lineRule="auto"/>
        <w:ind w:left="360" w:firstLine="0"/>
        <w:rPr>
          <w:rFonts w:cs="Calibri"/>
        </w:rPr>
      </w:pPr>
      <w:r w:rsidRPr="00BC7A12">
        <w:rPr>
          <w:rFonts w:cs="Calibri"/>
        </w:rPr>
        <w:t>Thus</w:t>
      </w:r>
      <w:r w:rsidR="003D57FF" w:rsidRPr="00BC7A12">
        <w:rPr>
          <w:rFonts w:cs="Calibri"/>
        </w:rPr>
        <w:t xml:space="preserve">, explicit local valuation </w:t>
      </w:r>
      <w:r w:rsidR="004F6F3C" w:rsidRPr="00BC7A12">
        <w:rPr>
          <w:rFonts w:cs="Calibri"/>
        </w:rPr>
        <w:t>approaches</w:t>
      </w:r>
      <w:r w:rsidR="007335FE" w:rsidRPr="00BC7A12">
        <w:rPr>
          <w:rFonts w:cs="Calibri"/>
        </w:rPr>
        <w:t xml:space="preserve">—that incorporate elements of </w:t>
      </w:r>
      <w:r w:rsidR="003D57FF" w:rsidRPr="00BC7A12">
        <w:rPr>
          <w:rFonts w:cs="Calibri"/>
        </w:rPr>
        <w:t>production function, expected damage function and replacement costs techniques</w:t>
      </w:r>
      <w:r w:rsidR="007335FE" w:rsidRPr="00BC7A12">
        <w:rPr>
          <w:rFonts w:cs="Calibri"/>
        </w:rPr>
        <w:t xml:space="preserve"> appropriately—should provide the most </w:t>
      </w:r>
      <w:r w:rsidRPr="00BC7A12">
        <w:rPr>
          <w:rFonts w:cs="Calibri"/>
        </w:rPr>
        <w:t>benefit to local decision making</w:t>
      </w:r>
      <w:r w:rsidR="007335FE" w:rsidRPr="00BC7A12">
        <w:rPr>
          <w:rFonts w:cs="Calibri"/>
        </w:rPr>
        <w:t>.</w:t>
      </w:r>
      <w:r w:rsidRPr="00BC7A12">
        <w:rPr>
          <w:rFonts w:cs="Calibri"/>
        </w:rPr>
        <w:t xml:space="preserve"> Stated preference techniques could be useful, though </w:t>
      </w:r>
      <w:r w:rsidR="009F252A" w:rsidRPr="00BC7A12">
        <w:rPr>
          <w:rFonts w:cs="Calibri"/>
        </w:rPr>
        <w:t>generally</w:t>
      </w:r>
      <w:r w:rsidR="008564D8">
        <w:rPr>
          <w:rFonts w:cs="Calibri"/>
        </w:rPr>
        <w:t>,</w:t>
      </w:r>
      <w:r w:rsidR="009F252A" w:rsidRPr="00BC7A12">
        <w:rPr>
          <w:rFonts w:cs="Calibri"/>
        </w:rPr>
        <w:t xml:space="preserve"> </w:t>
      </w:r>
      <w:r w:rsidRPr="00BC7A12">
        <w:rPr>
          <w:rFonts w:cs="Calibri"/>
        </w:rPr>
        <w:t>when a decisions rests on stakeholder</w:t>
      </w:r>
      <w:r w:rsidR="009F252A" w:rsidRPr="00BC7A12">
        <w:rPr>
          <w:rFonts w:cs="Calibri"/>
        </w:rPr>
        <w:t>’</w:t>
      </w:r>
      <w:r w:rsidRPr="00BC7A12">
        <w:rPr>
          <w:rFonts w:cs="Calibri"/>
        </w:rPr>
        <w:t xml:space="preserve">s </w:t>
      </w:r>
      <w:r w:rsidR="009F252A" w:rsidRPr="00BC7A12">
        <w:rPr>
          <w:rFonts w:cs="Calibri"/>
        </w:rPr>
        <w:t>preference from</w:t>
      </w:r>
      <w:r w:rsidRPr="00BC7A12">
        <w:rPr>
          <w:rFonts w:cs="Calibri"/>
        </w:rPr>
        <w:t xml:space="preserve"> two or three clear choices</w:t>
      </w:r>
      <w:r w:rsidR="008564D8">
        <w:rPr>
          <w:rFonts w:cs="Calibri"/>
        </w:rPr>
        <w:t>,</w:t>
      </w:r>
      <w:r w:rsidR="00DB4001" w:rsidRPr="00BC7A12">
        <w:rPr>
          <w:rFonts w:cs="Calibri"/>
        </w:rPr>
        <w:t xml:space="preserve"> </w:t>
      </w:r>
      <w:r w:rsidR="008564D8">
        <w:rPr>
          <w:rFonts w:cs="Calibri"/>
        </w:rPr>
        <w:t>this depends</w:t>
      </w:r>
      <w:r w:rsidR="00DB4001" w:rsidRPr="00BC7A12">
        <w:rPr>
          <w:rFonts w:cs="Calibri"/>
        </w:rPr>
        <w:t xml:space="preserve"> on quality biophysical modelling. Finally, the data created by explicit local valuation approaches can be repurposed by the insurance, real </w:t>
      </w:r>
      <w:proofErr w:type="gramStart"/>
      <w:r w:rsidR="00DB4001" w:rsidRPr="00BC7A12">
        <w:rPr>
          <w:rFonts w:cs="Calibri"/>
        </w:rPr>
        <w:t>estate</w:t>
      </w:r>
      <w:proofErr w:type="gramEnd"/>
      <w:r w:rsidR="00DB4001" w:rsidRPr="00BC7A12">
        <w:rPr>
          <w:rFonts w:cs="Calibri"/>
        </w:rPr>
        <w:t xml:space="preserve"> and construction industries. </w:t>
      </w:r>
    </w:p>
    <w:p w14:paraId="1A2F0196" w14:textId="77777777" w:rsidR="003D57FF" w:rsidRPr="00BC7A12" w:rsidRDefault="003D57FF" w:rsidP="00997F8C">
      <w:pPr>
        <w:pStyle w:val="ListParagraph"/>
        <w:spacing w:after="200" w:line="276" w:lineRule="auto"/>
        <w:ind w:left="360" w:firstLine="0"/>
        <w:rPr>
          <w:rFonts w:cs="Calibri"/>
        </w:rPr>
      </w:pPr>
    </w:p>
    <w:p w14:paraId="625C4E0D" w14:textId="10E1FA6C" w:rsidR="00755742" w:rsidRPr="00BC7A12" w:rsidRDefault="00D77AAC" w:rsidP="00997F8C">
      <w:pPr>
        <w:pStyle w:val="ListParagraph"/>
        <w:numPr>
          <w:ilvl w:val="0"/>
          <w:numId w:val="41"/>
        </w:numPr>
        <w:spacing w:after="200" w:line="276" w:lineRule="auto"/>
        <w:rPr>
          <w:rFonts w:cs="Calibri"/>
          <w:b/>
          <w:bCs/>
        </w:rPr>
      </w:pPr>
      <w:r w:rsidRPr="00BC7A12">
        <w:rPr>
          <w:rFonts w:cs="Calibri"/>
          <w:b/>
          <w:bCs/>
        </w:rPr>
        <w:t xml:space="preserve">Encourage the use of </w:t>
      </w:r>
      <w:r w:rsidR="00657240" w:rsidRPr="00BC7A12">
        <w:rPr>
          <w:rFonts w:cs="Calibri"/>
          <w:b/>
          <w:bCs/>
        </w:rPr>
        <w:t xml:space="preserve">standards for ecosystem types, ecosystem services and data </w:t>
      </w:r>
    </w:p>
    <w:p w14:paraId="4316C859" w14:textId="2F3917E1" w:rsidR="009A5B65" w:rsidRPr="00BC7A12" w:rsidRDefault="00917C3A" w:rsidP="00997F8C">
      <w:pPr>
        <w:spacing w:after="200" w:line="276" w:lineRule="auto"/>
        <w:ind w:left="360"/>
        <w:rPr>
          <w:rFonts w:cs="Calibri"/>
        </w:rPr>
      </w:pPr>
      <w:r w:rsidRPr="00BC7A12">
        <w:rPr>
          <w:rFonts w:cs="Calibri"/>
        </w:rPr>
        <w:t>As part of efforts to improve its management of natural areas, Australia has begun adopting the SEEA natural capital accounting standard. SEEA classifies data in ways that are</w:t>
      </w:r>
      <w:r w:rsidR="00443A4F" w:rsidRPr="00BC7A12">
        <w:rPr>
          <w:rFonts w:cs="Calibri"/>
        </w:rPr>
        <w:t xml:space="preserve"> interoperable</w:t>
      </w:r>
      <w:r w:rsidRPr="00BC7A12">
        <w:rPr>
          <w:rFonts w:cs="Calibri"/>
        </w:rPr>
        <w:t xml:space="preserve"> </w:t>
      </w:r>
      <w:r w:rsidR="00755742" w:rsidRPr="00BC7A12">
        <w:rPr>
          <w:rFonts w:cs="Calibri"/>
        </w:rPr>
        <w:t xml:space="preserve">with standard national accounting and its related </w:t>
      </w:r>
      <w:r w:rsidRPr="00BC7A12">
        <w:rPr>
          <w:rFonts w:cs="Calibri"/>
        </w:rPr>
        <w:t>financial and economic analysis, such as cost benefit analysis</w:t>
      </w:r>
      <w:r w:rsidR="00DB4001" w:rsidRPr="00BC7A12">
        <w:rPr>
          <w:rStyle w:val="FootnoteReference"/>
          <w:rFonts w:cs="Calibri"/>
        </w:rPr>
        <w:footnoteReference w:id="8"/>
      </w:r>
      <w:r w:rsidRPr="00BC7A12">
        <w:rPr>
          <w:rFonts w:cs="Calibri"/>
        </w:rPr>
        <w:t xml:space="preserve">. </w:t>
      </w:r>
      <w:r w:rsidR="008D4563" w:rsidRPr="00BC7A12">
        <w:rPr>
          <w:rFonts w:cs="Calibri"/>
        </w:rPr>
        <w:t xml:space="preserve">At the same time, parts of </w:t>
      </w:r>
      <w:r w:rsidR="009A5B65" w:rsidRPr="00BC7A12">
        <w:rPr>
          <w:rFonts w:cs="Calibri"/>
        </w:rPr>
        <w:t xml:space="preserve">the </w:t>
      </w:r>
      <w:r w:rsidR="00443A4F" w:rsidRPr="00BC7A12">
        <w:rPr>
          <w:rFonts w:cs="Calibri"/>
        </w:rPr>
        <w:t>Australia</w:t>
      </w:r>
      <w:r w:rsidR="00DB4001" w:rsidRPr="00BC7A12">
        <w:rPr>
          <w:rFonts w:cs="Calibri"/>
        </w:rPr>
        <w:t>n</w:t>
      </w:r>
      <w:r w:rsidR="00443A4F" w:rsidRPr="00BC7A12">
        <w:rPr>
          <w:rFonts w:cs="Calibri"/>
        </w:rPr>
        <w:t xml:space="preserve"> </w:t>
      </w:r>
      <w:r w:rsidR="00B82E50">
        <w:rPr>
          <w:rFonts w:cs="Calibri"/>
        </w:rPr>
        <w:t>G</w:t>
      </w:r>
      <w:r w:rsidR="00443A4F" w:rsidRPr="00BC7A12">
        <w:rPr>
          <w:rFonts w:cs="Calibri"/>
        </w:rPr>
        <w:t xml:space="preserve">overnment have begun using </w:t>
      </w:r>
      <w:r w:rsidR="00C7754D" w:rsidRPr="00BC7A12">
        <w:rPr>
          <w:rFonts w:cs="Calibri"/>
        </w:rPr>
        <w:t xml:space="preserve">components </w:t>
      </w:r>
      <w:r w:rsidR="009F252A" w:rsidRPr="00BC7A12">
        <w:rPr>
          <w:rFonts w:cs="Calibri"/>
        </w:rPr>
        <w:t xml:space="preserve">of </w:t>
      </w:r>
      <w:r w:rsidR="00443A4F" w:rsidRPr="00BC7A12">
        <w:rPr>
          <w:rFonts w:cs="Calibri"/>
        </w:rPr>
        <w:t>the SEEA standard</w:t>
      </w:r>
      <w:r w:rsidR="00C7754D" w:rsidRPr="00BC7A12">
        <w:rPr>
          <w:rFonts w:cs="Calibri"/>
        </w:rPr>
        <w:t xml:space="preserve"> (e.g. CICES)</w:t>
      </w:r>
      <w:r w:rsidR="00443A4F" w:rsidRPr="00BC7A12">
        <w:rPr>
          <w:rFonts w:cs="Calibri"/>
        </w:rPr>
        <w:t xml:space="preserve"> </w:t>
      </w:r>
      <w:r w:rsidR="00C7754D" w:rsidRPr="00BC7A12">
        <w:rPr>
          <w:rFonts w:cs="Calibri"/>
        </w:rPr>
        <w:t>because of its immediate value</w:t>
      </w:r>
      <w:r w:rsidR="00B82E50">
        <w:rPr>
          <w:rFonts w:cs="Calibri"/>
        </w:rPr>
        <w:t>, and there will be advantages in building linkages between work on the SEEA and other environmental measurement work</w:t>
      </w:r>
      <w:r w:rsidR="009A5B65" w:rsidRPr="00BC7A12">
        <w:rPr>
          <w:rFonts w:cs="Calibri"/>
        </w:rPr>
        <w:t>.</w:t>
      </w:r>
      <w:r w:rsidR="00443A4F" w:rsidRPr="00BC7A12">
        <w:rPr>
          <w:rFonts w:cs="Calibri"/>
        </w:rPr>
        <w:t xml:space="preserve"> </w:t>
      </w:r>
    </w:p>
    <w:p w14:paraId="56F0FB21" w14:textId="4DE8EA06" w:rsidR="00755742" w:rsidRPr="00BC7A12" w:rsidRDefault="00443A4F" w:rsidP="00997F8C">
      <w:pPr>
        <w:spacing w:after="200" w:line="276" w:lineRule="auto"/>
        <w:ind w:left="360"/>
        <w:rPr>
          <w:rFonts w:cs="Calibri"/>
        </w:rPr>
      </w:pPr>
      <w:r w:rsidRPr="00BC7A12">
        <w:rPr>
          <w:rFonts w:cs="Calibri"/>
        </w:rPr>
        <w:t>For example, Queensland is using CICES to identify ecosystem services</w:t>
      </w:r>
      <w:r w:rsidR="00DA1FA6" w:rsidRPr="00BC7A12">
        <w:rPr>
          <w:rFonts w:cs="Calibri"/>
        </w:rPr>
        <w:t xml:space="preserve"> along with </w:t>
      </w:r>
      <w:proofErr w:type="spellStart"/>
      <w:r w:rsidR="00DA1FA6" w:rsidRPr="00BC7A12">
        <w:rPr>
          <w:rFonts w:cs="Calibri"/>
        </w:rPr>
        <w:t>AquaBAMM</w:t>
      </w:r>
      <w:proofErr w:type="spellEnd"/>
      <w:r w:rsidR="00DA1FA6" w:rsidRPr="00BC7A12">
        <w:rPr>
          <w:rFonts w:cs="Calibri"/>
        </w:rPr>
        <w:t xml:space="preserve"> for wetland monitoring.</w:t>
      </w:r>
      <w:r w:rsidRPr="00BC7A12">
        <w:rPr>
          <w:rFonts w:cs="Calibri"/>
        </w:rPr>
        <w:t xml:space="preserve"> </w:t>
      </w:r>
      <w:r w:rsidRPr="00BC7A12">
        <w:rPr>
          <w:rFonts w:cs="Calibri"/>
        </w:rPr>
        <w:fldChar w:fldCharType="begin" w:fldLock="1"/>
      </w:r>
      <w:r w:rsidR="008829D2" w:rsidRPr="00BC7A12">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2020a)","manualFormatting":"(Ronan in IDEEA Group 2020a)","plainTextFormattedCitation":"(IDEEA Group 2020a)","previouslyFormattedCitation":"(IDEEA Group 2020a)"},"properties":{"noteIndex":0},"schema":"https://github.com/citation-style-language/schema/raw/master/csl-citation.json"}</w:instrText>
      </w:r>
      <w:r w:rsidRPr="00BC7A12">
        <w:rPr>
          <w:rFonts w:cs="Calibri"/>
        </w:rPr>
        <w:fldChar w:fldCharType="separate"/>
      </w:r>
      <w:r w:rsidRPr="00BC7A12">
        <w:rPr>
          <w:rFonts w:cs="Calibri"/>
          <w:noProof/>
        </w:rPr>
        <w:t>(</w:t>
      </w:r>
      <w:r w:rsidR="003F30F8" w:rsidRPr="00BC7A12">
        <w:rPr>
          <w:rFonts w:cs="Calibri"/>
          <w:noProof/>
        </w:rPr>
        <w:t>Ronan</w:t>
      </w:r>
      <w:r w:rsidRPr="00BC7A12">
        <w:rPr>
          <w:rFonts w:cs="Calibri"/>
          <w:noProof/>
        </w:rPr>
        <w:t xml:space="preserve"> in IDEEA Group 2020</w:t>
      </w:r>
      <w:r w:rsidR="002F3371" w:rsidRPr="00BC7A12">
        <w:rPr>
          <w:rFonts w:cs="Calibri"/>
          <w:noProof/>
        </w:rPr>
        <w:t>a</w:t>
      </w:r>
      <w:r w:rsidRPr="00BC7A12">
        <w:rPr>
          <w:rFonts w:cs="Calibri"/>
          <w:noProof/>
        </w:rPr>
        <w:t>)</w:t>
      </w:r>
      <w:r w:rsidRPr="00BC7A12">
        <w:rPr>
          <w:rFonts w:cs="Calibri"/>
        </w:rPr>
        <w:fldChar w:fldCharType="end"/>
      </w:r>
      <w:r w:rsidRPr="00BC7A12">
        <w:rPr>
          <w:rFonts w:cs="Calibri"/>
        </w:rPr>
        <w:t xml:space="preserve"> </w:t>
      </w:r>
      <w:r w:rsidR="00755742" w:rsidRPr="00BC7A12">
        <w:rPr>
          <w:rFonts w:cs="Calibri"/>
        </w:rPr>
        <w:t xml:space="preserve">The Australia National Aquatic Ecosystem </w:t>
      </w:r>
      <w:r w:rsidR="009A5B65" w:rsidRPr="00BC7A12">
        <w:rPr>
          <w:rFonts w:cs="Calibri"/>
        </w:rPr>
        <w:t xml:space="preserve">(ANAE) </w:t>
      </w:r>
      <w:r w:rsidR="00755742" w:rsidRPr="00BC7A12">
        <w:rPr>
          <w:rFonts w:cs="Calibri"/>
        </w:rPr>
        <w:t>classification is being used more broadly. It</w:t>
      </w:r>
      <w:r w:rsidR="009A5B65" w:rsidRPr="00BC7A12">
        <w:rPr>
          <w:rFonts w:cs="Calibri"/>
        </w:rPr>
        <w:t>, or the IUCN Global Ecosystem Typology (GET),</w:t>
      </w:r>
      <w:r w:rsidR="00755742" w:rsidRPr="00BC7A12">
        <w:rPr>
          <w:rFonts w:cs="Calibri"/>
        </w:rPr>
        <w:t xml:space="preserve"> could be promoted</w:t>
      </w:r>
      <w:r w:rsidR="009A5B65" w:rsidRPr="00BC7A12">
        <w:rPr>
          <w:rFonts w:cs="Calibri"/>
        </w:rPr>
        <w:t xml:space="preserve"> broadly</w:t>
      </w:r>
      <w:r w:rsidR="00755742" w:rsidRPr="00BC7A12">
        <w:rPr>
          <w:rFonts w:cs="Calibri"/>
        </w:rPr>
        <w:t xml:space="preserve">. </w:t>
      </w:r>
      <w:r w:rsidR="009A5B65" w:rsidRPr="00BC7A12">
        <w:rPr>
          <w:rFonts w:cs="Calibri"/>
        </w:rPr>
        <w:t xml:space="preserve">It is notable, </w:t>
      </w:r>
      <w:r w:rsidR="00C7754D" w:rsidRPr="00BC7A12">
        <w:rPr>
          <w:rFonts w:cs="Calibri"/>
        </w:rPr>
        <w:t xml:space="preserve">that once captured, </w:t>
      </w:r>
      <w:r w:rsidR="009A5B65" w:rsidRPr="00BC7A12">
        <w:rPr>
          <w:rFonts w:cs="Calibri"/>
        </w:rPr>
        <w:t xml:space="preserve">this classified </w:t>
      </w:r>
      <w:r w:rsidR="00755742" w:rsidRPr="00BC7A12">
        <w:rPr>
          <w:rFonts w:cs="Calibri"/>
        </w:rPr>
        <w:t xml:space="preserve">data could be </w:t>
      </w:r>
      <w:r w:rsidR="009A5B65" w:rsidRPr="00BC7A12">
        <w:rPr>
          <w:rFonts w:cs="Calibri"/>
        </w:rPr>
        <w:t xml:space="preserve">easily </w:t>
      </w:r>
      <w:r w:rsidR="00755742" w:rsidRPr="00BC7A12">
        <w:rPr>
          <w:rFonts w:cs="Calibri"/>
        </w:rPr>
        <w:t>incorporated into government reporting frameworks.</w:t>
      </w:r>
    </w:p>
    <w:p w14:paraId="6CFD05AB" w14:textId="3D0DB34E" w:rsidR="00755742" w:rsidRPr="00BC7A12" w:rsidRDefault="00B82E50" w:rsidP="00997F8C">
      <w:pPr>
        <w:spacing w:after="200" w:line="276" w:lineRule="auto"/>
        <w:ind w:left="360"/>
        <w:rPr>
          <w:rFonts w:cs="Calibri"/>
        </w:rPr>
      </w:pPr>
      <w:r>
        <w:rPr>
          <w:rFonts w:cs="Calibri"/>
        </w:rPr>
        <w:t>Working towards improved harmonization and</w:t>
      </w:r>
      <w:r w:rsidRPr="00BC7A12">
        <w:rPr>
          <w:rFonts w:cs="Calibri"/>
        </w:rPr>
        <w:t xml:space="preserve"> </w:t>
      </w:r>
      <w:r w:rsidR="00755742" w:rsidRPr="00BC7A12">
        <w:rPr>
          <w:rFonts w:cs="Calibri"/>
        </w:rPr>
        <w:t xml:space="preserve">standardization </w:t>
      </w:r>
      <w:r w:rsidR="00CD7949" w:rsidRPr="00BC7A12">
        <w:rPr>
          <w:rFonts w:cs="Calibri"/>
        </w:rPr>
        <w:t>would not only improve valuation</w:t>
      </w:r>
      <w:r w:rsidR="00755742" w:rsidRPr="00BC7A12">
        <w:rPr>
          <w:rFonts w:cs="Calibri"/>
        </w:rPr>
        <w:t>,</w:t>
      </w:r>
      <w:r w:rsidR="00CD7949" w:rsidRPr="00BC7A12">
        <w:rPr>
          <w:rFonts w:cs="Calibri"/>
        </w:rPr>
        <w:t xml:space="preserve"> but </w:t>
      </w:r>
      <w:r w:rsidR="00DD5609">
        <w:rPr>
          <w:rFonts w:cs="Calibri"/>
        </w:rPr>
        <w:t xml:space="preserve">also </w:t>
      </w:r>
      <w:r w:rsidR="006F791B" w:rsidRPr="00BC7A12">
        <w:rPr>
          <w:rFonts w:cs="Calibri"/>
        </w:rPr>
        <w:t>accelerate</w:t>
      </w:r>
      <w:r w:rsidR="00CD7949" w:rsidRPr="00BC7A12">
        <w:rPr>
          <w:rFonts w:cs="Calibri"/>
        </w:rPr>
        <w:t xml:space="preserve"> learning and data interoperability across government departments and economic sectors. </w:t>
      </w:r>
      <w:r w:rsidR="003D57FF" w:rsidRPr="00BC7A12">
        <w:rPr>
          <w:rFonts w:cs="Calibri"/>
        </w:rPr>
        <w:t xml:space="preserve">Success of such standards depends on their flexibility and adaptability to local circumstances. </w:t>
      </w:r>
      <w:r w:rsidR="009A5B65" w:rsidRPr="00BC7A12">
        <w:rPr>
          <w:rFonts w:cs="Calibri"/>
        </w:rPr>
        <w:t xml:space="preserve">Because they have been extensively tested and refined, SEEA, ANAE, GET, CICES and </w:t>
      </w:r>
      <w:proofErr w:type="spellStart"/>
      <w:r w:rsidR="009A5B65" w:rsidRPr="00BC7A12">
        <w:rPr>
          <w:rFonts w:cs="Calibri"/>
        </w:rPr>
        <w:t>AquaBAMM</w:t>
      </w:r>
      <w:proofErr w:type="spellEnd"/>
      <w:r w:rsidR="009A5B65" w:rsidRPr="00BC7A12">
        <w:rPr>
          <w:rFonts w:cs="Calibri"/>
        </w:rPr>
        <w:t xml:space="preserve"> are ready for broad adoption.  </w:t>
      </w:r>
    </w:p>
    <w:p w14:paraId="65758C59" w14:textId="4E7DDD11" w:rsidR="00CD7949" w:rsidRPr="00BC7A12" w:rsidRDefault="00A165BC" w:rsidP="008B570E">
      <w:pPr>
        <w:pStyle w:val="ListParagraph"/>
        <w:numPr>
          <w:ilvl w:val="0"/>
          <w:numId w:val="41"/>
        </w:numPr>
        <w:spacing w:after="200" w:line="276" w:lineRule="auto"/>
        <w:rPr>
          <w:rFonts w:cs="Calibri"/>
          <w:b/>
          <w:bCs/>
        </w:rPr>
      </w:pPr>
      <w:r w:rsidRPr="00BC7A12">
        <w:rPr>
          <w:rFonts w:cs="Calibri"/>
          <w:b/>
          <w:bCs/>
        </w:rPr>
        <w:t xml:space="preserve">Advance the </w:t>
      </w:r>
      <w:r w:rsidR="0027019A" w:rsidRPr="00BC7A12">
        <w:rPr>
          <w:rFonts w:cs="Calibri"/>
          <w:b/>
          <w:bCs/>
        </w:rPr>
        <w:t xml:space="preserve">use of best practices in stakeholder engagement for valuations </w:t>
      </w:r>
    </w:p>
    <w:p w14:paraId="778A6FA2" w14:textId="5A12765E" w:rsidR="002E7712" w:rsidRPr="00BC7A12" w:rsidRDefault="007909A5" w:rsidP="008B570E">
      <w:pPr>
        <w:spacing w:after="200" w:line="276" w:lineRule="auto"/>
        <w:ind w:left="360"/>
        <w:rPr>
          <w:rFonts w:cs="Calibri"/>
        </w:rPr>
      </w:pPr>
      <w:r w:rsidRPr="00BC7A12">
        <w:rPr>
          <w:rFonts w:cs="Calibri"/>
        </w:rPr>
        <w:t xml:space="preserve">In coordination with the promotion of explicit local valuation </w:t>
      </w:r>
      <w:r w:rsidR="004F6F3C" w:rsidRPr="00BC7A12">
        <w:rPr>
          <w:rFonts w:cs="Calibri"/>
        </w:rPr>
        <w:t>approaches</w:t>
      </w:r>
      <w:r w:rsidRPr="00BC7A12">
        <w:rPr>
          <w:rFonts w:cs="Calibri"/>
        </w:rPr>
        <w:t xml:space="preserve">, stakeholder engagement needs improvement. Researchers are likely unaware of the benefits that a few simple steps can </w:t>
      </w:r>
      <w:r w:rsidR="009F252A" w:rsidRPr="00BC7A12">
        <w:rPr>
          <w:rFonts w:cs="Calibri"/>
        </w:rPr>
        <w:t>offer</w:t>
      </w:r>
      <w:r w:rsidRPr="00BC7A12">
        <w:rPr>
          <w:rFonts w:cs="Calibri"/>
        </w:rPr>
        <w:t xml:space="preserve">. Several options are worth consideration. </w:t>
      </w:r>
      <w:r w:rsidR="00476034">
        <w:rPr>
          <w:rFonts w:cs="Calibri"/>
        </w:rPr>
        <w:t>There may be value in r</w:t>
      </w:r>
      <w:r w:rsidR="00E500C5">
        <w:rPr>
          <w:rFonts w:cs="Calibri"/>
        </w:rPr>
        <w:t xml:space="preserve">epurposing an existing list of </w:t>
      </w:r>
      <w:r w:rsidRPr="00BC7A12">
        <w:rPr>
          <w:rFonts w:cs="Calibri"/>
        </w:rPr>
        <w:t xml:space="preserve">best practices </w:t>
      </w:r>
      <w:r w:rsidR="00C7754D" w:rsidRPr="00BC7A12">
        <w:rPr>
          <w:rFonts w:cs="Calibri"/>
        </w:rPr>
        <w:fldChar w:fldCharType="begin" w:fldLock="1"/>
      </w:r>
      <w:r w:rsidR="0061297B">
        <w:rPr>
          <w:rFonts w:cs="Calibri"/>
        </w:rPr>
        <w:instrText>ADDIN CSL_CITATION {"citationItems":[{"id":"ITEM-1","itemData":{"abstract":"Coastal ecosystems are valuable to people and economies across the Caribbean, but are threatened by human pressures. Ecosystem valuation can make the economic case for protection of coastal ecosystems, but in many cases valuation studies have had a limited impact on decision making regarding coastal resource use in the Caribbean. Drawing on the lessons learned from coastal valuations that have successfully informed decision making in the Caribbean, this guidebook leads valuation practitioners through the three phases of a valuation effort to inform decision making: 1. Scoping 2. Analysis 3. Outreach and Use of Results.","author":[{"dropping-particle":"","family":"Waite","given":"Richard","non-dropping-particle":"","parse-names":false,"suffix":""},{"dropping-particle":"","family":"Burke","given":"Lauretta","non-dropping-particle":"","parse-names":false,"suffix":""},{"dropping-particle":"","family":"Gray","given":"Erin","non-dropping-particle":"","parse-names":false,"suffix":""},{"dropping-particle":"","family":"Beukering","given":"Pieter","non-dropping-particle":"van","parse-names":false,"suffix":""},{"dropping-particle":"","family":"Brander","given":"Luke","non-dropping-particle":"","parse-names":false,"suffix":""},{"dropping-particle":"","family":"McKenzie","given":"Emily","non-dropping-particle":"","parse-names":false,"suffix":""},{"dropping-particle":"","family":"Pendleton","given":"Linwood","non-dropping-particle":"","parse-names":false,"suffix":""},{"dropping-particle":"","family":"Schuhmann","given":"Peter","non-dropping-particle":"","parse-names":false,"suffix":""},{"dropping-particle":"","family":"Tompkins","given":"Emma","non-dropping-particle":"","parse-names":false,"suffix":""}],"id":"ITEM-1","issued":{"date-parts":[["2014"]]},"number-of-pages":"78","publisher-place":"Washington D. C.","title":"Coastal Capital: Ecosystem Valuation for Decision Making in the Caribbean","type":"report"},"uris":["http://www.mendeley.com/documents/?uuid=752b11fb-386f-484a-a522-3dcb90eada54"]},{"id":"ITEM-2","itemData":{"DOI":"10.1111/1467-8489.12031","ISSN":"14678489","abstract":"An extensive literature exists on environmental nonmarket valuation research. It appears that results from these studies should be useful inputs to decision-making about environmental policy or management. Here, we investigate the extent to which this occurs in practice in Australian environmental management bodies. Nonmarket valuation experts were surveyed about their studies that they believed to have influenced policy. Then, decision-makers in environmental bodies were interviewed about the level of influence nonmarket valuation has had on their decisions. We find that researchers' perceptions of the influence that nonmarket valuation has on decision-making are overly optimistic. Interviews with decision-makers suggest that nonmarket valuation is little used in decision-making. Indeed, the majority of them are unfamiliar with nonmarket valuation techniques. Nevertheless, once the concept was explained to them, many decision-makers believed it could benefit environmental policy. Researchers' perceptions of the reasons for low usage of nonmarket valuation are largely inaccurate. We suggest a range of strategies that economists can use to promote the use of nonmarket valuation in environmental policy and management decisions, including ways to improve communication and engagement with decision-makers, and strategies to increase the capacity for decision-makers to use nonmarket valuation results.","author":[{"dropping-particle":"","family":"Rogers","given":"Abbie A.","non-dropping-particle":"","parse-names":false,"suffix":""},{"dropping-particle":"","family":"Kragt","given":"Marit E.","non-dropping-particle":"","parse-names":false,"suffix":""},{"dropping-particle":"","family":"Gibson","given":"Fiona L.","non-dropping-particle":"","parse-names":false,"suffix":""},{"dropping-particle":"","family":"Burton","given":"Michael P.","non-dropping-particle":"","parse-names":false,"suffix":""},{"dropping-particle":"","family":"Petersen","given":"Elizabeth H.","non-dropping-particle":"","parse-names":false,"suffix":""},{"dropping-particle":"","family":"Pannell","given":"David J.","non-dropping-particle":"","parse-names":false,"suffix":""}],"container-title":"Australian Journal of Agricultural and Resource Economics","id":"ITEM-2","issue":"1","issued":{"date-parts":[["2015"]]},"page":"1-15","title":"Non-market valuation: Usage and impacts in environmental policy and management in Australia","type":"article-journal","volume":"59"},"uris":["http://www.mendeley.com/documents/?uuid=58ce8c9c-592f-4bd0-a7c2-5f04f76d903c"]}],"mendeley":{"formattedCitation":"(Waite et al. 2014, Rogers et al. 2015)","plainTextFormattedCitation":"(Waite et al. 2014, Rogers et al. 2015)","previouslyFormattedCitation":"(Waite et al. 2014, Rogers et al. 2015)"},"properties":{"noteIndex":0},"schema":"https://github.com/citation-style-language/schema/raw/master/csl-citation.json"}</w:instrText>
      </w:r>
      <w:r w:rsidR="00C7754D" w:rsidRPr="00BC7A12">
        <w:rPr>
          <w:rFonts w:cs="Calibri"/>
        </w:rPr>
        <w:fldChar w:fldCharType="separate"/>
      </w:r>
      <w:r w:rsidR="00C7754D" w:rsidRPr="00BC7A12">
        <w:rPr>
          <w:rFonts w:cs="Calibri"/>
          <w:noProof/>
        </w:rPr>
        <w:t>(Waite et al. 2014, Rogers et al. 2015)</w:t>
      </w:r>
      <w:r w:rsidR="00C7754D" w:rsidRPr="00BC7A12">
        <w:rPr>
          <w:rFonts w:cs="Calibri"/>
        </w:rPr>
        <w:fldChar w:fldCharType="end"/>
      </w:r>
      <w:r w:rsidR="00C7754D" w:rsidRPr="00BC7A12">
        <w:rPr>
          <w:rFonts w:cs="Calibri"/>
        </w:rPr>
        <w:t xml:space="preserve"> </w:t>
      </w:r>
      <w:r w:rsidR="00E500C5">
        <w:rPr>
          <w:rFonts w:cs="Calibri"/>
        </w:rPr>
        <w:t>into a checklist</w:t>
      </w:r>
      <w:r w:rsidR="00476034">
        <w:rPr>
          <w:rFonts w:cs="Calibri"/>
        </w:rPr>
        <w:t>,</w:t>
      </w:r>
      <w:r w:rsidR="00E500C5">
        <w:rPr>
          <w:rFonts w:cs="Calibri"/>
        </w:rPr>
        <w:t xml:space="preserve"> </w:t>
      </w:r>
      <w:r w:rsidR="00DE1046" w:rsidRPr="00BC7A12">
        <w:rPr>
          <w:rFonts w:cs="Calibri"/>
        </w:rPr>
        <w:t>with examples of how valuation can be conducted in a way that fully engages stakeholders</w:t>
      </w:r>
      <w:r w:rsidR="00476034">
        <w:rPr>
          <w:rFonts w:cs="Calibri"/>
        </w:rPr>
        <w:t>, and widely promoting this checklist</w:t>
      </w:r>
      <w:r w:rsidR="00DE1046" w:rsidRPr="00BC7A12">
        <w:rPr>
          <w:rFonts w:cs="Calibri"/>
        </w:rPr>
        <w:t xml:space="preserve">. </w:t>
      </w:r>
      <w:r w:rsidR="00476034">
        <w:rPr>
          <w:rFonts w:cs="Calibri"/>
        </w:rPr>
        <w:t>Improving stakeholder engagement</w:t>
      </w:r>
      <w:r w:rsidR="008867C2" w:rsidRPr="00BC7A12">
        <w:rPr>
          <w:rFonts w:cs="Calibri"/>
        </w:rPr>
        <w:t xml:space="preserve">, however, may </w:t>
      </w:r>
      <w:r w:rsidR="002E7712" w:rsidRPr="00BC7A12">
        <w:rPr>
          <w:rFonts w:cs="Calibri"/>
        </w:rPr>
        <w:t>require changes to the process used for government spon</w:t>
      </w:r>
      <w:r w:rsidR="002528C4" w:rsidRPr="00BC7A12">
        <w:rPr>
          <w:rFonts w:cs="Calibri"/>
        </w:rPr>
        <w:t>sored CBA</w:t>
      </w:r>
      <w:r w:rsidRPr="00BC7A12">
        <w:rPr>
          <w:rFonts w:cs="Calibri"/>
        </w:rPr>
        <w:t xml:space="preserve">. Most are </w:t>
      </w:r>
      <w:r w:rsidR="00407732" w:rsidRPr="00BC7A12">
        <w:rPr>
          <w:rFonts w:cs="Calibri"/>
        </w:rPr>
        <w:t xml:space="preserve">contracted to external parties </w:t>
      </w:r>
      <w:r w:rsidRPr="00BC7A12">
        <w:rPr>
          <w:rFonts w:cs="Calibri"/>
        </w:rPr>
        <w:t xml:space="preserve">who have </w:t>
      </w:r>
      <w:r w:rsidR="00407732" w:rsidRPr="00BC7A12">
        <w:rPr>
          <w:rFonts w:cs="Calibri"/>
        </w:rPr>
        <w:t>minimal engagement</w:t>
      </w:r>
      <w:r w:rsidRPr="00BC7A12">
        <w:rPr>
          <w:rFonts w:cs="Calibri"/>
        </w:rPr>
        <w:t xml:space="preserve"> with decision makers.</w:t>
      </w:r>
      <w:r w:rsidR="008867C2" w:rsidRPr="00BC7A12">
        <w:rPr>
          <w:rFonts w:cs="Calibri"/>
        </w:rPr>
        <w:t xml:space="preserve"> </w:t>
      </w:r>
    </w:p>
    <w:p w14:paraId="1162F354" w14:textId="74215895" w:rsidR="00CD7949" w:rsidRPr="00BC7A12" w:rsidRDefault="00D77AAC" w:rsidP="008B570E">
      <w:pPr>
        <w:pStyle w:val="ListParagraph"/>
        <w:numPr>
          <w:ilvl w:val="0"/>
          <w:numId w:val="41"/>
        </w:numPr>
        <w:spacing w:after="200" w:line="276" w:lineRule="auto"/>
        <w:rPr>
          <w:rFonts w:cs="Calibri"/>
          <w:b/>
          <w:bCs/>
        </w:rPr>
      </w:pPr>
      <w:r w:rsidRPr="00BC7A12">
        <w:rPr>
          <w:rFonts w:cs="Calibri"/>
          <w:b/>
          <w:bCs/>
        </w:rPr>
        <w:t xml:space="preserve">Build </w:t>
      </w:r>
      <w:r w:rsidR="00CD7949" w:rsidRPr="00BC7A12">
        <w:rPr>
          <w:rFonts w:cs="Calibri"/>
          <w:b/>
          <w:bCs/>
        </w:rPr>
        <w:t xml:space="preserve">partnerships among </w:t>
      </w:r>
      <w:r w:rsidR="00624EFB" w:rsidRPr="00BC7A12">
        <w:rPr>
          <w:rFonts w:cs="Calibri"/>
          <w:b/>
          <w:bCs/>
        </w:rPr>
        <w:t>environmental</w:t>
      </w:r>
      <w:r w:rsidR="00CD7949" w:rsidRPr="00BC7A12">
        <w:rPr>
          <w:rFonts w:cs="Calibri"/>
          <w:b/>
          <w:bCs/>
        </w:rPr>
        <w:t xml:space="preserve">, engineering and insurance </w:t>
      </w:r>
      <w:r w:rsidR="00624EFB" w:rsidRPr="00BC7A12">
        <w:rPr>
          <w:rFonts w:cs="Calibri"/>
          <w:b/>
          <w:bCs/>
        </w:rPr>
        <w:t>modellers</w:t>
      </w:r>
      <w:r w:rsidR="00CD7949" w:rsidRPr="00BC7A12">
        <w:rPr>
          <w:rFonts w:cs="Calibri"/>
          <w:b/>
          <w:bCs/>
        </w:rPr>
        <w:t xml:space="preserve"> </w:t>
      </w:r>
    </w:p>
    <w:p w14:paraId="3330253C" w14:textId="77777777" w:rsidR="008867C2" w:rsidRPr="00BC7A12" w:rsidRDefault="008867C2" w:rsidP="008B570E">
      <w:pPr>
        <w:pStyle w:val="ListParagraph"/>
        <w:spacing w:after="200" w:line="276" w:lineRule="auto"/>
        <w:ind w:left="360" w:firstLine="0"/>
        <w:rPr>
          <w:rFonts w:cs="Calibri"/>
        </w:rPr>
      </w:pPr>
    </w:p>
    <w:p w14:paraId="7581F0AC" w14:textId="3979CB5B" w:rsidR="004F7D4B" w:rsidRPr="00BC7A12" w:rsidRDefault="000E3747" w:rsidP="008B570E">
      <w:pPr>
        <w:pStyle w:val="ListParagraph"/>
        <w:spacing w:after="200" w:line="276" w:lineRule="auto"/>
        <w:ind w:left="360" w:firstLine="0"/>
        <w:rPr>
          <w:rFonts w:cs="Calibri"/>
        </w:rPr>
      </w:pPr>
      <w:r w:rsidRPr="00BC7A12">
        <w:rPr>
          <w:rFonts w:cs="Calibri"/>
        </w:rPr>
        <w:t xml:space="preserve">The quality of </w:t>
      </w:r>
      <w:r w:rsidR="00174565" w:rsidRPr="00BC7A12">
        <w:rPr>
          <w:rFonts w:cs="Calibri"/>
        </w:rPr>
        <w:t xml:space="preserve">disaster risk reduction </w:t>
      </w:r>
      <w:r w:rsidRPr="00BC7A12">
        <w:rPr>
          <w:rFonts w:cs="Calibri"/>
        </w:rPr>
        <w:t xml:space="preserve">modelling will improve more quickly with partnerships among </w:t>
      </w:r>
      <w:r w:rsidR="00174565" w:rsidRPr="00BC7A12">
        <w:rPr>
          <w:rFonts w:cs="Calibri"/>
        </w:rPr>
        <w:t xml:space="preserve">key experts. This shared learning could be advanced through a </w:t>
      </w:r>
      <w:proofErr w:type="gramStart"/>
      <w:r w:rsidR="00174565" w:rsidRPr="00BC7A12">
        <w:rPr>
          <w:rFonts w:cs="Calibri"/>
        </w:rPr>
        <w:t>long term</w:t>
      </w:r>
      <w:proofErr w:type="gramEnd"/>
      <w:r w:rsidR="00174565" w:rsidRPr="00BC7A12">
        <w:rPr>
          <w:rFonts w:cs="Calibri"/>
        </w:rPr>
        <w:t xml:space="preserve"> research project, </w:t>
      </w:r>
      <w:r w:rsidR="0082521F" w:rsidRPr="00BC7A12">
        <w:rPr>
          <w:rFonts w:cs="Calibri"/>
        </w:rPr>
        <w:t>with focus on developing</w:t>
      </w:r>
      <w:r w:rsidR="00174565" w:rsidRPr="00BC7A12">
        <w:rPr>
          <w:rFonts w:cs="Calibri"/>
        </w:rPr>
        <w:t xml:space="preserve"> best practices or targeted research such as </w:t>
      </w:r>
      <w:r w:rsidR="0082521F" w:rsidRPr="00BC7A12">
        <w:rPr>
          <w:rFonts w:cs="Calibri"/>
        </w:rPr>
        <w:t xml:space="preserve">implementing </w:t>
      </w:r>
      <w:r w:rsidR="00174565" w:rsidRPr="00BC7A12">
        <w:rPr>
          <w:rFonts w:cs="Calibri"/>
        </w:rPr>
        <w:t>a best in class</w:t>
      </w:r>
      <w:r w:rsidR="0062377E" w:rsidRPr="00BC7A12">
        <w:rPr>
          <w:rStyle w:val="FootnoteReference"/>
          <w:rFonts w:cs="Calibri"/>
        </w:rPr>
        <w:footnoteReference w:id="9"/>
      </w:r>
      <w:r w:rsidR="00174565" w:rsidRPr="00BC7A12">
        <w:rPr>
          <w:rFonts w:cs="Calibri"/>
        </w:rPr>
        <w:t xml:space="preserve"> explicit local valuation of a priority wetland.  </w:t>
      </w:r>
      <w:r w:rsidRPr="00BC7A12">
        <w:rPr>
          <w:rFonts w:cs="Calibri"/>
        </w:rPr>
        <w:t xml:space="preserve"> </w:t>
      </w:r>
    </w:p>
    <w:p w14:paraId="345402CF" w14:textId="77777777" w:rsidR="007263FA" w:rsidRPr="00BC7A12" w:rsidRDefault="007263FA" w:rsidP="008B570E">
      <w:pPr>
        <w:pStyle w:val="ListParagraph"/>
        <w:spacing w:after="200" w:line="276" w:lineRule="auto"/>
        <w:ind w:left="360" w:firstLine="0"/>
        <w:rPr>
          <w:rFonts w:cs="Calibri"/>
        </w:rPr>
      </w:pPr>
    </w:p>
    <w:p w14:paraId="1FF77F8C" w14:textId="2D889773" w:rsidR="007263FA" w:rsidRPr="00BC7A12" w:rsidRDefault="007263FA" w:rsidP="008B570E">
      <w:pPr>
        <w:pStyle w:val="ListParagraph"/>
        <w:numPr>
          <w:ilvl w:val="0"/>
          <w:numId w:val="41"/>
        </w:numPr>
        <w:spacing w:after="200" w:line="276" w:lineRule="auto"/>
        <w:rPr>
          <w:rFonts w:cs="Calibri"/>
          <w:b/>
          <w:bCs/>
        </w:rPr>
      </w:pPr>
      <w:r w:rsidRPr="00BC7A12">
        <w:rPr>
          <w:rFonts w:cs="Calibri"/>
          <w:b/>
          <w:bCs/>
        </w:rPr>
        <w:t xml:space="preserve">Explore opportunities for hedonic pricing studies </w:t>
      </w:r>
    </w:p>
    <w:p w14:paraId="1FE806BE" w14:textId="77777777" w:rsidR="000B03E2" w:rsidRPr="00BC7A12" w:rsidRDefault="000B03E2" w:rsidP="008B570E">
      <w:pPr>
        <w:pStyle w:val="ListParagraph"/>
        <w:spacing w:after="200" w:line="276" w:lineRule="auto"/>
        <w:ind w:left="360" w:firstLine="0"/>
        <w:rPr>
          <w:rFonts w:cs="Calibri"/>
        </w:rPr>
      </w:pPr>
    </w:p>
    <w:p w14:paraId="474DAEBB" w14:textId="40F20B09" w:rsidR="007263FA" w:rsidRPr="00BC7A12" w:rsidRDefault="00AF1D97" w:rsidP="008B570E">
      <w:pPr>
        <w:pStyle w:val="ListParagraph"/>
        <w:spacing w:after="200" w:line="276" w:lineRule="auto"/>
        <w:ind w:left="360" w:firstLine="0"/>
        <w:rPr>
          <w:rFonts w:cs="Calibri"/>
        </w:rPr>
      </w:pPr>
      <w:r w:rsidRPr="00BC7A12">
        <w:rPr>
          <w:rFonts w:cs="Calibri"/>
        </w:rPr>
        <w:t>The real estate market has responded to coastal risks</w:t>
      </w:r>
      <w:r w:rsidR="0082521F" w:rsidRPr="00BC7A12">
        <w:rPr>
          <w:rFonts w:cs="Calibri"/>
        </w:rPr>
        <w:t xml:space="preserve"> only in select Australian communities</w:t>
      </w:r>
      <w:r w:rsidRPr="00BC7A12">
        <w:rPr>
          <w:rFonts w:cs="Calibri"/>
        </w:rPr>
        <w:t xml:space="preserve">. </w:t>
      </w:r>
      <w:r w:rsidRPr="00BC7A12">
        <w:rPr>
          <w:rFonts w:cs="Calibri"/>
        </w:rPr>
        <w:fldChar w:fldCharType="begin" w:fldLock="1"/>
      </w:r>
      <w:r w:rsidR="006931D6" w:rsidRPr="00BC7A12">
        <w:rPr>
          <w:rFonts w:cs="Calibri"/>
        </w:rPr>
        <w:instrText>ADDIN CSL_CITATION {"citationItems":[{"id":"ITEM-1","itemData":{"author":[{"dropping-particle":"","family":"Anning","given":"David","non-dropping-particle":"","parse-names":false,"suffix":""}],"id":"ITEM-1","issued":{"date-parts":[["2012"]]},"publisher":"University of New South Wales","title":"Estimation of the economic importance of beaches in Sydney , Australia , and implications for management S","type":"thesis"},"uris":["http://www.mendeley.com/documents/?uuid=c896940b-1f51-4104-883e-d5086e9a577f"]}],"mendeley":{"formattedCitation":"(Anning 2012)","plainTextFormattedCitation":"(Anning 2012)","previouslyFormattedCitation":"(Anning 2012)"},"properties":{"noteIndex":0},"schema":"https://github.com/citation-style-language/schema/raw/master/csl-citation.json"}</w:instrText>
      </w:r>
      <w:r w:rsidRPr="00BC7A12">
        <w:rPr>
          <w:rFonts w:cs="Calibri"/>
        </w:rPr>
        <w:fldChar w:fldCharType="separate"/>
      </w:r>
      <w:r w:rsidRPr="00BC7A12">
        <w:rPr>
          <w:rFonts w:cs="Calibri"/>
          <w:noProof/>
        </w:rPr>
        <w:t>(Anning 2012)</w:t>
      </w:r>
      <w:r w:rsidRPr="00BC7A12">
        <w:rPr>
          <w:rFonts w:cs="Calibri"/>
        </w:rPr>
        <w:fldChar w:fldCharType="end"/>
      </w:r>
      <w:r w:rsidR="00476034">
        <w:rPr>
          <w:rFonts w:cs="Calibri"/>
        </w:rPr>
        <w:t>.</w:t>
      </w:r>
      <w:r w:rsidRPr="00BC7A12">
        <w:rPr>
          <w:rFonts w:cs="Calibri"/>
        </w:rPr>
        <w:t xml:space="preserve"> </w:t>
      </w:r>
      <w:r w:rsidR="00174565" w:rsidRPr="00BC7A12">
        <w:rPr>
          <w:rFonts w:cs="Calibri"/>
        </w:rPr>
        <w:t>Should</w:t>
      </w:r>
      <w:r w:rsidRPr="00BC7A12">
        <w:rPr>
          <w:rFonts w:cs="Calibri"/>
        </w:rPr>
        <w:t xml:space="preserve"> this market failure continue correct</w:t>
      </w:r>
      <w:r w:rsidR="00AE0496" w:rsidRPr="00BC7A12">
        <w:rPr>
          <w:rFonts w:cs="Calibri"/>
        </w:rPr>
        <w:t>ing itself</w:t>
      </w:r>
      <w:r w:rsidRPr="00BC7A12">
        <w:rPr>
          <w:rFonts w:cs="Calibri"/>
        </w:rPr>
        <w:t>, a hedonic pricing study could provide valuable insights on the DRR values of coastal wetlands.</w:t>
      </w:r>
      <w:r w:rsidR="00174565" w:rsidRPr="00BC7A12">
        <w:rPr>
          <w:rFonts w:cs="Calibri"/>
        </w:rPr>
        <w:t xml:space="preserve"> It </w:t>
      </w:r>
      <w:r w:rsidR="00AE0496" w:rsidRPr="00BC7A12">
        <w:rPr>
          <w:rFonts w:cs="Calibri"/>
        </w:rPr>
        <w:t xml:space="preserve">may </w:t>
      </w:r>
      <w:r w:rsidR="00174565" w:rsidRPr="00BC7A12">
        <w:rPr>
          <w:rFonts w:cs="Calibri"/>
        </w:rPr>
        <w:t>also directly impact insurance premiums and coastal planning as the study would</w:t>
      </w:r>
      <w:r w:rsidR="00AE0496" w:rsidRPr="00BC7A12">
        <w:rPr>
          <w:rFonts w:cs="Calibri"/>
        </w:rPr>
        <w:t xml:space="preserve"> reflect actual housing prices. Engaging the </w:t>
      </w:r>
      <w:r w:rsidRPr="00BC7A12">
        <w:rPr>
          <w:rFonts w:cs="Calibri"/>
        </w:rPr>
        <w:t xml:space="preserve">real estate </w:t>
      </w:r>
      <w:r w:rsidR="00AE0496" w:rsidRPr="00BC7A12">
        <w:rPr>
          <w:rFonts w:cs="Calibri"/>
        </w:rPr>
        <w:t xml:space="preserve">and </w:t>
      </w:r>
      <w:r w:rsidRPr="00BC7A12">
        <w:rPr>
          <w:rFonts w:cs="Calibri"/>
        </w:rPr>
        <w:t xml:space="preserve">insurance sectors would </w:t>
      </w:r>
      <w:r w:rsidR="00AE0496" w:rsidRPr="00BC7A12">
        <w:rPr>
          <w:rFonts w:cs="Calibri"/>
        </w:rPr>
        <w:t xml:space="preserve">speed the application of </w:t>
      </w:r>
      <w:r w:rsidRPr="00BC7A12">
        <w:rPr>
          <w:rFonts w:cs="Calibri"/>
        </w:rPr>
        <w:t xml:space="preserve">results </w:t>
      </w:r>
      <w:r w:rsidR="00AE0496" w:rsidRPr="00BC7A12">
        <w:rPr>
          <w:rFonts w:cs="Calibri"/>
        </w:rPr>
        <w:t xml:space="preserve">into </w:t>
      </w:r>
      <w:r w:rsidRPr="00BC7A12">
        <w:rPr>
          <w:rFonts w:cs="Calibri"/>
        </w:rPr>
        <w:t>sector</w:t>
      </w:r>
      <w:r w:rsidR="00AE0496" w:rsidRPr="00BC7A12">
        <w:rPr>
          <w:rFonts w:cs="Calibri"/>
        </w:rPr>
        <w:t xml:space="preserve"> practices</w:t>
      </w:r>
      <w:r w:rsidRPr="00BC7A12">
        <w:rPr>
          <w:rFonts w:cs="Calibri"/>
        </w:rPr>
        <w:t xml:space="preserve">. </w:t>
      </w:r>
    </w:p>
    <w:p w14:paraId="422752A1" w14:textId="77777777" w:rsidR="007263FA" w:rsidRPr="00BC7A12" w:rsidRDefault="007263FA" w:rsidP="008B570E">
      <w:pPr>
        <w:pStyle w:val="ListParagraph"/>
        <w:spacing w:after="200" w:line="276" w:lineRule="auto"/>
        <w:ind w:left="360" w:firstLine="0"/>
        <w:rPr>
          <w:rFonts w:cs="Calibri"/>
        </w:rPr>
      </w:pPr>
    </w:p>
    <w:p w14:paraId="58DC1DD9" w14:textId="754F8854" w:rsidR="00CD7949" w:rsidRPr="00BC7A12" w:rsidRDefault="00CD7949" w:rsidP="008B570E">
      <w:pPr>
        <w:pStyle w:val="ListParagraph"/>
        <w:numPr>
          <w:ilvl w:val="0"/>
          <w:numId w:val="41"/>
        </w:numPr>
        <w:spacing w:after="200" w:line="276" w:lineRule="auto"/>
        <w:rPr>
          <w:rFonts w:cs="Calibri"/>
          <w:b/>
          <w:bCs/>
        </w:rPr>
      </w:pPr>
      <w:r w:rsidRPr="00BC7A12">
        <w:rPr>
          <w:rFonts w:cs="Calibri"/>
          <w:b/>
          <w:bCs/>
        </w:rPr>
        <w:t xml:space="preserve">Support Pacific </w:t>
      </w:r>
      <w:r w:rsidR="00A735B9" w:rsidRPr="00BC7A12">
        <w:rPr>
          <w:rFonts w:cs="Calibri"/>
          <w:b/>
          <w:bCs/>
        </w:rPr>
        <w:t>i</w:t>
      </w:r>
      <w:r w:rsidRPr="00BC7A12">
        <w:rPr>
          <w:rFonts w:cs="Calibri"/>
          <w:b/>
          <w:bCs/>
        </w:rPr>
        <w:t xml:space="preserve">sland </w:t>
      </w:r>
      <w:r w:rsidR="00A735B9" w:rsidRPr="00BC7A12">
        <w:rPr>
          <w:rFonts w:cs="Calibri"/>
          <w:b/>
          <w:bCs/>
        </w:rPr>
        <w:t>n</w:t>
      </w:r>
      <w:r w:rsidRPr="00BC7A12">
        <w:rPr>
          <w:rFonts w:cs="Calibri"/>
          <w:b/>
          <w:bCs/>
        </w:rPr>
        <w:t>ations’ prioriti</w:t>
      </w:r>
      <w:r w:rsidR="009F43F8" w:rsidRPr="00BC7A12">
        <w:rPr>
          <w:rFonts w:cs="Calibri"/>
          <w:b/>
          <w:bCs/>
        </w:rPr>
        <w:t>s</w:t>
      </w:r>
      <w:r w:rsidRPr="00BC7A12">
        <w:rPr>
          <w:rFonts w:cs="Calibri"/>
          <w:b/>
          <w:bCs/>
        </w:rPr>
        <w:t>ation and explicit local valuation of wetland</w:t>
      </w:r>
      <w:r w:rsidR="00762B60" w:rsidRPr="00BC7A12">
        <w:rPr>
          <w:rFonts w:cs="Calibri"/>
          <w:b/>
          <w:bCs/>
        </w:rPr>
        <w:t xml:space="preserve">s </w:t>
      </w:r>
    </w:p>
    <w:p w14:paraId="772FF9B5" w14:textId="77777777" w:rsidR="00A735B9" w:rsidRPr="00BC7A12" w:rsidRDefault="00A735B9" w:rsidP="008B570E">
      <w:pPr>
        <w:pStyle w:val="ListParagraph"/>
        <w:spacing w:after="200" w:line="276" w:lineRule="auto"/>
        <w:ind w:left="360" w:firstLine="0"/>
        <w:rPr>
          <w:rFonts w:cs="Calibri"/>
        </w:rPr>
      </w:pPr>
    </w:p>
    <w:p w14:paraId="0399B1C6" w14:textId="17400DDD" w:rsidR="00EB1058" w:rsidRPr="00BC7A12" w:rsidRDefault="005A0074" w:rsidP="008B570E">
      <w:pPr>
        <w:pStyle w:val="ListParagraph"/>
        <w:spacing w:after="200" w:line="276" w:lineRule="auto"/>
        <w:ind w:left="360" w:firstLine="0"/>
        <w:rPr>
          <w:rFonts w:cs="Calibri"/>
        </w:rPr>
      </w:pPr>
      <w:r w:rsidRPr="00BC7A12">
        <w:rPr>
          <w:rFonts w:cs="Calibri"/>
        </w:rPr>
        <w:t xml:space="preserve">Australia is part of the Ramsar Convention’s Oceania Region, with an interest in promoting sustainable coastal wetland management in Pacific islands within that Region.  </w:t>
      </w:r>
      <w:r w:rsidR="00EB1058" w:rsidRPr="00BC7A12">
        <w:rPr>
          <w:rFonts w:cs="Calibri"/>
        </w:rPr>
        <w:t xml:space="preserve">Pacific </w:t>
      </w:r>
      <w:r w:rsidR="00A735B9" w:rsidRPr="00BC7A12">
        <w:rPr>
          <w:rFonts w:cs="Calibri"/>
        </w:rPr>
        <w:t>i</w:t>
      </w:r>
      <w:r w:rsidR="00EB1058" w:rsidRPr="00BC7A12">
        <w:rPr>
          <w:rFonts w:cs="Calibri"/>
        </w:rPr>
        <w:t xml:space="preserve">sland </w:t>
      </w:r>
      <w:r w:rsidR="00A735B9" w:rsidRPr="00BC7A12">
        <w:rPr>
          <w:rFonts w:cs="Calibri"/>
        </w:rPr>
        <w:t>n</w:t>
      </w:r>
      <w:r w:rsidR="00EB1058" w:rsidRPr="00BC7A12">
        <w:rPr>
          <w:rFonts w:cs="Calibri"/>
        </w:rPr>
        <w:t xml:space="preserve">ations </w:t>
      </w:r>
      <w:r w:rsidR="004E1FD0" w:rsidRPr="00BC7A12">
        <w:rPr>
          <w:rFonts w:cs="Calibri"/>
        </w:rPr>
        <w:t xml:space="preserve">are heavily dependent on coastal wetlands for disaster risk reduction and threats from development are real. An integrated effort to prioritize likely valuable wetlands that are also at risk of being </w:t>
      </w:r>
      <w:r w:rsidR="00335DED" w:rsidRPr="00BC7A12">
        <w:rPr>
          <w:rFonts w:cs="Calibri"/>
        </w:rPr>
        <w:t xml:space="preserve">converted could be followed by targeted </w:t>
      </w:r>
      <w:r w:rsidR="004E1FD0" w:rsidRPr="00BC7A12">
        <w:rPr>
          <w:rFonts w:cs="Calibri"/>
        </w:rPr>
        <w:t xml:space="preserve">explicit local </w:t>
      </w:r>
      <w:r w:rsidR="00335DED" w:rsidRPr="00BC7A12">
        <w:rPr>
          <w:rFonts w:cs="Calibri"/>
        </w:rPr>
        <w:t>valuations. Stakeholder participation would be critical to the success of such an effort</w:t>
      </w:r>
      <w:r w:rsidR="004E1FD0" w:rsidRPr="00BC7A12">
        <w:rPr>
          <w:rFonts w:cs="Calibri"/>
        </w:rPr>
        <w:t xml:space="preserve">. </w:t>
      </w:r>
      <w:r w:rsidR="00335DED" w:rsidRPr="00BC7A12">
        <w:rPr>
          <w:rFonts w:cs="Calibri"/>
        </w:rPr>
        <w:t xml:space="preserve"> </w:t>
      </w:r>
    </w:p>
    <w:p w14:paraId="034949CB" w14:textId="565F66FA" w:rsidR="004E1FD0" w:rsidRPr="00BC7A12" w:rsidRDefault="00B13E45" w:rsidP="008B570E">
      <w:pPr>
        <w:spacing w:after="200" w:line="276" w:lineRule="auto"/>
        <w:rPr>
          <w:rFonts w:cs="Calibri"/>
        </w:rPr>
      </w:pPr>
      <w:r w:rsidRPr="00BC7A12">
        <w:rPr>
          <w:rFonts w:cs="Calibri"/>
        </w:rPr>
        <w:t xml:space="preserve">The recent increase in in studies applying explicit local </w:t>
      </w:r>
      <w:r w:rsidR="00755742" w:rsidRPr="00BC7A12">
        <w:rPr>
          <w:rFonts w:cs="Calibri"/>
        </w:rPr>
        <w:t xml:space="preserve">valuation </w:t>
      </w:r>
      <w:r w:rsidR="004F6F3C" w:rsidRPr="00BC7A12">
        <w:rPr>
          <w:rFonts w:cs="Calibri"/>
        </w:rPr>
        <w:t>approaches</w:t>
      </w:r>
      <w:r w:rsidR="00755742" w:rsidRPr="00BC7A12">
        <w:rPr>
          <w:rFonts w:cs="Calibri"/>
        </w:rPr>
        <w:t xml:space="preserve"> in Australia </w:t>
      </w:r>
      <w:r w:rsidR="004E1FD0" w:rsidRPr="00BC7A12">
        <w:rPr>
          <w:rFonts w:cs="Calibri"/>
        </w:rPr>
        <w:t xml:space="preserve">and around the globe is encouraging. Continuing </w:t>
      </w:r>
      <w:r w:rsidRPr="00BC7A12">
        <w:rPr>
          <w:rFonts w:cs="Calibri"/>
        </w:rPr>
        <w:t>this progress, however, requires addressing critical bottlenecks related to the quality of modelling and data. This report detail</w:t>
      </w:r>
      <w:r w:rsidR="005A0074" w:rsidRPr="00BC7A12">
        <w:rPr>
          <w:rFonts w:cs="Calibri"/>
        </w:rPr>
        <w:t>s</w:t>
      </w:r>
      <w:r w:rsidRPr="00BC7A12">
        <w:rPr>
          <w:rFonts w:cs="Calibri"/>
        </w:rPr>
        <w:t xml:space="preserve"> the rationale for pragmatic recommendations that</w:t>
      </w:r>
      <w:r w:rsidR="005A0074" w:rsidRPr="00BC7A12">
        <w:rPr>
          <w:rFonts w:cs="Calibri"/>
        </w:rPr>
        <w:t xml:space="preserve"> </w:t>
      </w:r>
      <w:r w:rsidRPr="00BC7A12">
        <w:rPr>
          <w:rFonts w:cs="Calibri"/>
        </w:rPr>
        <w:t>build</w:t>
      </w:r>
      <w:r w:rsidR="00E500C5">
        <w:rPr>
          <w:rFonts w:cs="Calibri"/>
        </w:rPr>
        <w:t xml:space="preserve"> on</w:t>
      </w:r>
      <w:r w:rsidRPr="00BC7A12">
        <w:rPr>
          <w:rFonts w:cs="Calibri"/>
        </w:rPr>
        <w:t xml:space="preserve"> Australia’s existing expertise. </w:t>
      </w:r>
    </w:p>
    <w:p w14:paraId="40908985" w14:textId="64B6838B" w:rsidR="00053814" w:rsidRPr="00BC7A12" w:rsidRDefault="00053814" w:rsidP="00D77AAC">
      <w:pPr>
        <w:spacing w:after="200" w:line="276" w:lineRule="auto"/>
        <w:jc w:val="left"/>
        <w:rPr>
          <w:rFonts w:cs="Calibri"/>
        </w:rPr>
      </w:pPr>
      <w:r w:rsidRPr="00BC7A12">
        <w:rPr>
          <w:rFonts w:cs="Calibri"/>
        </w:rPr>
        <w:br w:type="page"/>
      </w:r>
    </w:p>
    <w:p w14:paraId="05522C3D" w14:textId="71EC3E7A" w:rsidR="004113B3" w:rsidRPr="00BC7A12" w:rsidRDefault="006807F3" w:rsidP="004113B3">
      <w:pPr>
        <w:pStyle w:val="Heading1"/>
        <w:rPr>
          <w:rFonts w:ascii="Calibri" w:hAnsi="Calibri" w:cs="Calibri"/>
        </w:rPr>
      </w:pPr>
      <w:bookmarkStart w:id="91" w:name="_Ref43645330"/>
      <w:bookmarkStart w:id="92" w:name="_Ref43645357"/>
      <w:bookmarkStart w:id="93" w:name="_Ref43645363"/>
      <w:bookmarkStart w:id="94" w:name="_Toc46822327"/>
      <w:r w:rsidRPr="00BC7A12">
        <w:rPr>
          <w:rFonts w:ascii="Calibri" w:hAnsi="Calibri" w:cs="Calibri"/>
        </w:rPr>
        <w:lastRenderedPageBreak/>
        <w:t xml:space="preserve">Appendix 1 List of </w:t>
      </w:r>
      <w:r w:rsidR="004113B3" w:rsidRPr="00BC7A12">
        <w:rPr>
          <w:rFonts w:ascii="Calibri" w:hAnsi="Calibri" w:cs="Calibri"/>
        </w:rPr>
        <w:t>valuation studies</w:t>
      </w:r>
      <w:bookmarkEnd w:id="91"/>
      <w:bookmarkEnd w:id="92"/>
      <w:bookmarkEnd w:id="93"/>
      <w:bookmarkEnd w:id="94"/>
      <w:r w:rsidR="004113B3" w:rsidRPr="00BC7A12">
        <w:rPr>
          <w:rFonts w:ascii="Calibri" w:hAnsi="Calibri" w:cs="Calibri"/>
        </w:rPr>
        <w:t xml:space="preserve"> </w:t>
      </w:r>
    </w:p>
    <w:p w14:paraId="21AE0F5E" w14:textId="3CBF0824" w:rsidR="00901422" w:rsidRPr="00BC7A12" w:rsidRDefault="00901422">
      <w:pPr>
        <w:spacing w:after="200" w:line="276" w:lineRule="auto"/>
        <w:jc w:val="left"/>
        <w:rPr>
          <w:rFonts w:cs="Calibri"/>
        </w:rPr>
      </w:pPr>
      <w:r w:rsidRPr="00BC7A12">
        <w:rPr>
          <w:rFonts w:cs="Calibri"/>
        </w:rPr>
        <w:t xml:space="preserve">These valuation studies </w:t>
      </w:r>
      <w:r w:rsidR="005072E8" w:rsidRPr="00BC7A12">
        <w:rPr>
          <w:rFonts w:cs="Calibri"/>
        </w:rPr>
        <w:t xml:space="preserve">were </w:t>
      </w:r>
      <w:proofErr w:type="gramStart"/>
      <w:r w:rsidR="005072E8" w:rsidRPr="00BC7A12">
        <w:rPr>
          <w:rFonts w:cs="Calibri"/>
        </w:rPr>
        <w:t>identified</w:t>
      </w:r>
      <w:proofErr w:type="gramEnd"/>
      <w:r w:rsidR="00F70647" w:rsidRPr="00BC7A12">
        <w:rPr>
          <w:rFonts w:cs="Calibri"/>
        </w:rPr>
        <w:t xml:space="preserve"> and their results and analysis captured in this report</w:t>
      </w:r>
      <w:r w:rsidR="005072E8" w:rsidRPr="00BC7A12">
        <w:rPr>
          <w:rFonts w:cs="Calibri"/>
        </w:rPr>
        <w:t>.</w:t>
      </w:r>
      <w:r w:rsidRPr="00BC7A12">
        <w:rPr>
          <w:rFonts w:cs="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8416"/>
      </w:tblGrid>
      <w:tr w:rsidR="001824F0" w:rsidRPr="00BC7A12" w14:paraId="23D86D93" w14:textId="77777777" w:rsidTr="0014568A">
        <w:trPr>
          <w:trHeight w:val="290"/>
          <w:tblHeader/>
        </w:trPr>
        <w:tc>
          <w:tcPr>
            <w:tcW w:w="591" w:type="dxa"/>
          </w:tcPr>
          <w:p w14:paraId="68FDFDB5" w14:textId="4A76B363" w:rsidR="001824F0" w:rsidRPr="00BC7A12" w:rsidRDefault="001824F0" w:rsidP="001824F0">
            <w:pPr>
              <w:spacing w:before="100" w:beforeAutospacing="1" w:after="100" w:afterAutospacing="1" w:line="240" w:lineRule="auto"/>
              <w:ind w:left="144"/>
              <w:jc w:val="left"/>
              <w:rPr>
                <w:rFonts w:eastAsia="Times New Roman" w:cs="Calibri"/>
                <w:b/>
                <w:bCs/>
                <w:color w:val="000000"/>
                <w:sz w:val="20"/>
                <w:szCs w:val="20"/>
                <w:lang w:eastAsia="en-AU"/>
              </w:rPr>
            </w:pPr>
            <w:r w:rsidRPr="00BC7A12">
              <w:rPr>
                <w:rFonts w:eastAsia="Times New Roman" w:cs="Calibri"/>
                <w:b/>
                <w:bCs/>
                <w:color w:val="000000"/>
                <w:sz w:val="20"/>
                <w:szCs w:val="20"/>
                <w:lang w:eastAsia="en-AU"/>
              </w:rPr>
              <w:t>No</w:t>
            </w:r>
          </w:p>
        </w:tc>
        <w:tc>
          <w:tcPr>
            <w:tcW w:w="8425" w:type="dxa"/>
            <w:shd w:val="clear" w:color="auto" w:fill="auto"/>
            <w:noWrap/>
          </w:tcPr>
          <w:p w14:paraId="72FB0AC0" w14:textId="6FBA7190" w:rsidR="001824F0" w:rsidRPr="00BC7A12" w:rsidRDefault="001824F0" w:rsidP="00901422">
            <w:pPr>
              <w:spacing w:after="0" w:line="240" w:lineRule="auto"/>
              <w:jc w:val="left"/>
              <w:rPr>
                <w:rFonts w:eastAsia="Times New Roman" w:cs="Calibri"/>
                <w:b/>
                <w:bCs/>
                <w:color w:val="000000"/>
                <w:sz w:val="20"/>
                <w:szCs w:val="20"/>
                <w:lang w:eastAsia="en-AU"/>
              </w:rPr>
            </w:pPr>
            <w:r w:rsidRPr="00BC7A12">
              <w:rPr>
                <w:rFonts w:eastAsia="Times New Roman" w:cs="Calibri"/>
                <w:b/>
                <w:bCs/>
                <w:color w:val="000000"/>
                <w:sz w:val="20"/>
                <w:szCs w:val="20"/>
                <w:lang w:eastAsia="en-AU"/>
              </w:rPr>
              <w:t xml:space="preserve">Study </w:t>
            </w:r>
          </w:p>
        </w:tc>
      </w:tr>
      <w:tr w:rsidR="00483CFD" w:rsidRPr="00BC7A12" w14:paraId="11F9BA5A" w14:textId="77777777" w:rsidTr="0014568A">
        <w:trPr>
          <w:trHeight w:val="395"/>
        </w:trPr>
        <w:tc>
          <w:tcPr>
            <w:tcW w:w="591" w:type="dxa"/>
          </w:tcPr>
          <w:p w14:paraId="29C66337"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EA16DAE" w14:textId="4932AD60"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Akber</w:t>
            </w:r>
            <w:proofErr w:type="spellEnd"/>
            <w:r w:rsidRPr="00BC7A12">
              <w:rPr>
                <w:rFonts w:cs="Calibri"/>
                <w:color w:val="000000"/>
                <w:sz w:val="20"/>
                <w:szCs w:val="20"/>
              </w:rPr>
              <w:t>, et al., 2018; Storm protection service of the Sundarbans mangrove forest, Bangladesh</w:t>
            </w:r>
          </w:p>
        </w:tc>
      </w:tr>
      <w:tr w:rsidR="00483CFD" w:rsidRPr="00BC7A12" w14:paraId="1B68FDA3" w14:textId="77777777" w:rsidTr="0014568A">
        <w:trPr>
          <w:trHeight w:val="290"/>
        </w:trPr>
        <w:tc>
          <w:tcPr>
            <w:tcW w:w="591" w:type="dxa"/>
          </w:tcPr>
          <w:p w14:paraId="30126E64"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346ED833" w14:textId="1153DFC0"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Arena, et al., </w:t>
            </w:r>
            <w:proofErr w:type="gramStart"/>
            <w:r w:rsidRPr="00BC7A12">
              <w:rPr>
                <w:rFonts w:cs="Calibri"/>
                <w:color w:val="000000"/>
                <w:sz w:val="20"/>
                <w:szCs w:val="20"/>
              </w:rPr>
              <w:t>2015;  National</w:t>
            </w:r>
            <w:proofErr w:type="gramEnd"/>
            <w:r w:rsidRPr="00BC7A12">
              <w:rPr>
                <w:rFonts w:cs="Calibri"/>
                <w:color w:val="000000"/>
                <w:sz w:val="20"/>
                <w:szCs w:val="20"/>
              </w:rPr>
              <w:t xml:space="preserve"> marine ecosystem service valuation: Solom</w:t>
            </w:r>
            <w:r w:rsidR="003630FB">
              <w:rPr>
                <w:rFonts w:cs="Calibri"/>
                <w:color w:val="000000"/>
                <w:sz w:val="20"/>
                <w:szCs w:val="20"/>
              </w:rPr>
              <w:t>o</w:t>
            </w:r>
            <w:r w:rsidRPr="00BC7A12">
              <w:rPr>
                <w:rFonts w:cs="Calibri"/>
                <w:color w:val="000000"/>
                <w:sz w:val="20"/>
                <w:szCs w:val="20"/>
              </w:rPr>
              <w:t>n Islands</w:t>
            </w:r>
          </w:p>
        </w:tc>
      </w:tr>
      <w:tr w:rsidR="00483CFD" w:rsidRPr="00BC7A12" w14:paraId="47F18213" w14:textId="77777777" w:rsidTr="0014568A">
        <w:trPr>
          <w:trHeight w:val="305"/>
        </w:trPr>
        <w:tc>
          <w:tcPr>
            <w:tcW w:w="591" w:type="dxa"/>
          </w:tcPr>
          <w:p w14:paraId="7F101CE8"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vAlign w:val="center"/>
            <w:hideMark/>
          </w:tcPr>
          <w:p w14:paraId="25D71947" w14:textId="151900C0"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Arkema, et al., 2013; Coastal habitats shield people and property from sea-level rise and storms</w:t>
            </w:r>
          </w:p>
        </w:tc>
      </w:tr>
      <w:tr w:rsidR="00483CFD" w:rsidRPr="00BC7A12" w14:paraId="09D6DE3C" w14:textId="77777777" w:rsidTr="0014568A">
        <w:trPr>
          <w:trHeight w:val="290"/>
        </w:trPr>
        <w:tc>
          <w:tcPr>
            <w:tcW w:w="591" w:type="dxa"/>
          </w:tcPr>
          <w:p w14:paraId="1C851202"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717DF1B" w14:textId="29F672A1"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Atkinson, et al., 2016; Prioritising mangrove ecosystem services results in spatially variable management priorities</w:t>
            </w:r>
          </w:p>
        </w:tc>
      </w:tr>
      <w:tr w:rsidR="00483CFD" w:rsidRPr="00BC7A12" w14:paraId="2AF24669" w14:textId="77777777" w:rsidTr="0014568A">
        <w:trPr>
          <w:trHeight w:val="290"/>
        </w:trPr>
        <w:tc>
          <w:tcPr>
            <w:tcW w:w="591" w:type="dxa"/>
          </w:tcPr>
          <w:p w14:paraId="7155B33C"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3186BF5" w14:textId="6279B3CC"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Badola</w:t>
            </w:r>
            <w:proofErr w:type="spellEnd"/>
            <w:r w:rsidRPr="00BC7A12">
              <w:rPr>
                <w:rFonts w:cs="Calibri"/>
                <w:color w:val="000000"/>
                <w:sz w:val="20"/>
                <w:szCs w:val="20"/>
              </w:rPr>
              <w:t xml:space="preserve"> and Hussain, 2005; Valuing ecosystem functions: An empirical study on the storm protection function of </w:t>
            </w:r>
            <w:proofErr w:type="spellStart"/>
            <w:r w:rsidRPr="00BC7A12">
              <w:rPr>
                <w:rFonts w:cs="Calibri"/>
                <w:color w:val="000000"/>
                <w:sz w:val="20"/>
                <w:szCs w:val="20"/>
              </w:rPr>
              <w:t>Bhitarkanika</w:t>
            </w:r>
            <w:proofErr w:type="spellEnd"/>
            <w:r w:rsidRPr="00BC7A12">
              <w:rPr>
                <w:rFonts w:cs="Calibri"/>
                <w:color w:val="000000"/>
                <w:sz w:val="20"/>
                <w:szCs w:val="20"/>
              </w:rPr>
              <w:t xml:space="preserve"> mangrove ecosystem, India</w:t>
            </w:r>
          </w:p>
        </w:tc>
      </w:tr>
      <w:tr w:rsidR="00483CFD" w:rsidRPr="00BC7A12" w14:paraId="7ECE17ED" w14:textId="77777777" w:rsidTr="0014568A">
        <w:trPr>
          <w:trHeight w:val="290"/>
        </w:trPr>
        <w:tc>
          <w:tcPr>
            <w:tcW w:w="591" w:type="dxa"/>
          </w:tcPr>
          <w:p w14:paraId="0431828C"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2B83EAA9" w14:textId="24961A0E"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Badola</w:t>
            </w:r>
            <w:proofErr w:type="spellEnd"/>
            <w:r w:rsidRPr="00BC7A12">
              <w:rPr>
                <w:rFonts w:cs="Calibri"/>
                <w:color w:val="000000"/>
                <w:sz w:val="20"/>
                <w:szCs w:val="20"/>
              </w:rPr>
              <w:t xml:space="preserve">, </w:t>
            </w:r>
            <w:proofErr w:type="spellStart"/>
            <w:r w:rsidRPr="00BC7A12">
              <w:rPr>
                <w:rFonts w:cs="Calibri"/>
                <w:color w:val="000000"/>
                <w:sz w:val="20"/>
                <w:szCs w:val="20"/>
              </w:rPr>
              <w:t>Barthwal</w:t>
            </w:r>
            <w:proofErr w:type="spellEnd"/>
            <w:r w:rsidRPr="00BC7A12">
              <w:rPr>
                <w:rFonts w:cs="Calibri"/>
                <w:color w:val="000000"/>
                <w:sz w:val="20"/>
                <w:szCs w:val="20"/>
              </w:rPr>
              <w:t xml:space="preserve"> and </w:t>
            </w:r>
            <w:proofErr w:type="spellStart"/>
            <w:r w:rsidRPr="00BC7A12">
              <w:rPr>
                <w:rFonts w:cs="Calibri"/>
                <w:color w:val="000000"/>
                <w:sz w:val="20"/>
                <w:szCs w:val="20"/>
              </w:rPr>
              <w:t>Hussian</w:t>
            </w:r>
            <w:proofErr w:type="spellEnd"/>
            <w:r w:rsidRPr="00BC7A12">
              <w:rPr>
                <w:rFonts w:cs="Calibri"/>
                <w:color w:val="000000"/>
                <w:sz w:val="20"/>
                <w:szCs w:val="20"/>
              </w:rPr>
              <w:t>, 2012; Attitudes of local communities towards conservation of mangrove forests: A case study from the east coast of India</w:t>
            </w:r>
          </w:p>
        </w:tc>
      </w:tr>
      <w:tr w:rsidR="00483CFD" w:rsidRPr="00BC7A12" w14:paraId="10D04B11" w14:textId="77777777" w:rsidTr="0014568A">
        <w:trPr>
          <w:trHeight w:val="290"/>
        </w:trPr>
        <w:tc>
          <w:tcPr>
            <w:tcW w:w="591" w:type="dxa"/>
          </w:tcPr>
          <w:p w14:paraId="4B5684AC"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4378EAB0" w14:textId="1377E4BF"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Barbier</w:t>
            </w:r>
            <w:proofErr w:type="spellEnd"/>
            <w:r w:rsidRPr="00BC7A12">
              <w:rPr>
                <w:rFonts w:cs="Calibri"/>
                <w:color w:val="000000"/>
                <w:sz w:val="20"/>
                <w:szCs w:val="20"/>
              </w:rPr>
              <w:t>, 2001; Valuing Mangrove Conservation in Southern Thailand</w:t>
            </w:r>
          </w:p>
        </w:tc>
      </w:tr>
      <w:tr w:rsidR="00483CFD" w:rsidRPr="00BC7A12" w14:paraId="220AC8D1" w14:textId="77777777" w:rsidTr="0014568A">
        <w:trPr>
          <w:trHeight w:val="290"/>
        </w:trPr>
        <w:tc>
          <w:tcPr>
            <w:tcW w:w="591" w:type="dxa"/>
          </w:tcPr>
          <w:p w14:paraId="38C6E8DB"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21DC7896" w14:textId="03AA7FC6"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Barbier</w:t>
            </w:r>
            <w:proofErr w:type="spellEnd"/>
            <w:r w:rsidRPr="00BC7A12">
              <w:rPr>
                <w:rFonts w:cs="Calibri"/>
                <w:color w:val="000000"/>
                <w:sz w:val="20"/>
                <w:szCs w:val="20"/>
              </w:rPr>
              <w:t>, 2007; Valuing ecosystem services as productive inputs</w:t>
            </w:r>
          </w:p>
        </w:tc>
      </w:tr>
      <w:tr w:rsidR="00483CFD" w:rsidRPr="00BC7A12" w14:paraId="6EEDCC6F" w14:textId="77777777" w:rsidTr="0014568A">
        <w:trPr>
          <w:trHeight w:val="290"/>
        </w:trPr>
        <w:tc>
          <w:tcPr>
            <w:tcW w:w="591" w:type="dxa"/>
          </w:tcPr>
          <w:p w14:paraId="471C26A4"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2C6C7DB" w14:textId="42504314"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Barbier</w:t>
            </w:r>
            <w:proofErr w:type="spellEnd"/>
            <w:r w:rsidRPr="00BC7A12">
              <w:rPr>
                <w:rFonts w:cs="Calibri"/>
                <w:color w:val="000000"/>
                <w:sz w:val="20"/>
                <w:szCs w:val="20"/>
              </w:rPr>
              <w:t>, et al., 2013; The Value of Wetlands in Protecting Southeast Louisiana from Hurricane Storm Surges</w:t>
            </w:r>
          </w:p>
        </w:tc>
      </w:tr>
      <w:tr w:rsidR="00483CFD" w:rsidRPr="00BC7A12" w14:paraId="37A6AE57" w14:textId="77777777" w:rsidTr="0014568A">
        <w:trPr>
          <w:trHeight w:val="290"/>
        </w:trPr>
        <w:tc>
          <w:tcPr>
            <w:tcW w:w="591" w:type="dxa"/>
          </w:tcPr>
          <w:p w14:paraId="7D72C4E2"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33C8C126" w14:textId="190B92EA"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Bayas, et al., </w:t>
            </w:r>
            <w:proofErr w:type="gramStart"/>
            <w:r w:rsidRPr="00BC7A12">
              <w:rPr>
                <w:rFonts w:cs="Calibri"/>
                <w:color w:val="000000"/>
                <w:sz w:val="20"/>
                <w:szCs w:val="20"/>
              </w:rPr>
              <w:t>2011;  Influence</w:t>
            </w:r>
            <w:proofErr w:type="gramEnd"/>
            <w:r w:rsidRPr="00BC7A12">
              <w:rPr>
                <w:rFonts w:cs="Calibri"/>
                <w:color w:val="000000"/>
                <w:sz w:val="20"/>
                <w:szCs w:val="20"/>
              </w:rPr>
              <w:t xml:space="preserve"> of coastal vegetation on the 2004 tsunami wave impact in west Aceh</w:t>
            </w:r>
          </w:p>
        </w:tc>
      </w:tr>
      <w:tr w:rsidR="00483CFD" w:rsidRPr="00BC7A12" w14:paraId="5B33371D" w14:textId="77777777" w:rsidTr="0014568A">
        <w:trPr>
          <w:trHeight w:val="290"/>
        </w:trPr>
        <w:tc>
          <w:tcPr>
            <w:tcW w:w="591" w:type="dxa"/>
          </w:tcPr>
          <w:p w14:paraId="66954410"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07B09CA" w14:textId="38511B9D"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Beck, et al., 2018; The global flood protection savings provided by coral reefs</w:t>
            </w:r>
          </w:p>
        </w:tc>
      </w:tr>
      <w:tr w:rsidR="00483CFD" w:rsidRPr="00BC7A12" w14:paraId="741E5072" w14:textId="77777777" w:rsidTr="0014568A">
        <w:trPr>
          <w:trHeight w:val="290"/>
        </w:trPr>
        <w:tc>
          <w:tcPr>
            <w:tcW w:w="591" w:type="dxa"/>
          </w:tcPr>
          <w:p w14:paraId="305E5D96"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56D63E3B" w14:textId="185717AD"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Bennet, 2015; Australia's Coastal Wetlands, 2010</w:t>
            </w:r>
          </w:p>
        </w:tc>
      </w:tr>
      <w:tr w:rsidR="00483CFD" w:rsidRPr="00BC7A12" w14:paraId="28019C40" w14:textId="77777777" w:rsidTr="0014568A">
        <w:trPr>
          <w:trHeight w:val="290"/>
        </w:trPr>
        <w:tc>
          <w:tcPr>
            <w:tcW w:w="591" w:type="dxa"/>
          </w:tcPr>
          <w:p w14:paraId="3CDF3AC9"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4A011EA6" w14:textId="44C4B642"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Birol</w:t>
            </w:r>
            <w:proofErr w:type="spellEnd"/>
            <w:r w:rsidRPr="00BC7A12">
              <w:rPr>
                <w:rFonts w:cs="Calibri"/>
                <w:color w:val="000000"/>
                <w:sz w:val="20"/>
                <w:szCs w:val="20"/>
              </w:rPr>
              <w:t xml:space="preserve">, et al., </w:t>
            </w:r>
            <w:proofErr w:type="gramStart"/>
            <w:r w:rsidRPr="00BC7A12">
              <w:rPr>
                <w:rFonts w:cs="Calibri"/>
                <w:color w:val="000000"/>
                <w:sz w:val="20"/>
                <w:szCs w:val="20"/>
              </w:rPr>
              <w:t>2009;  Optimal</w:t>
            </w:r>
            <w:proofErr w:type="gramEnd"/>
            <w:r w:rsidRPr="00BC7A12">
              <w:rPr>
                <w:rFonts w:cs="Calibri"/>
                <w:color w:val="000000"/>
                <w:sz w:val="20"/>
                <w:szCs w:val="20"/>
              </w:rPr>
              <w:t xml:space="preserve"> management of wetlands: Quantifying trade-offs between flood risks, recreation, and biodiversity conservation</w:t>
            </w:r>
          </w:p>
        </w:tc>
      </w:tr>
      <w:tr w:rsidR="00483CFD" w:rsidRPr="00BC7A12" w14:paraId="40A4189C" w14:textId="77777777" w:rsidTr="0014568A">
        <w:trPr>
          <w:trHeight w:val="290"/>
        </w:trPr>
        <w:tc>
          <w:tcPr>
            <w:tcW w:w="591" w:type="dxa"/>
          </w:tcPr>
          <w:p w14:paraId="37D06131"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60D403D6" w14:textId="526DD3B4"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Boutwell and </w:t>
            </w:r>
            <w:proofErr w:type="spellStart"/>
            <w:r w:rsidRPr="00BC7A12">
              <w:rPr>
                <w:rFonts w:cs="Calibri"/>
                <w:color w:val="000000"/>
                <w:sz w:val="20"/>
                <w:szCs w:val="20"/>
              </w:rPr>
              <w:t>Westra</w:t>
            </w:r>
            <w:proofErr w:type="spellEnd"/>
            <w:r w:rsidRPr="00BC7A12">
              <w:rPr>
                <w:rFonts w:cs="Calibri"/>
                <w:color w:val="000000"/>
                <w:sz w:val="20"/>
                <w:szCs w:val="20"/>
              </w:rPr>
              <w:t>., 2015; The economic value of wetlands as storm buffers</w:t>
            </w:r>
          </w:p>
        </w:tc>
      </w:tr>
      <w:tr w:rsidR="00483CFD" w:rsidRPr="00BC7A12" w14:paraId="278B30B8" w14:textId="77777777" w:rsidTr="0014568A">
        <w:trPr>
          <w:trHeight w:val="290"/>
        </w:trPr>
        <w:tc>
          <w:tcPr>
            <w:tcW w:w="591" w:type="dxa"/>
          </w:tcPr>
          <w:p w14:paraId="79900008"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250F9C7" w14:textId="1EAF9AC7"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Boyer-</w:t>
            </w:r>
            <w:proofErr w:type="spellStart"/>
            <w:r w:rsidRPr="00BC7A12">
              <w:rPr>
                <w:rFonts w:cs="Calibri"/>
                <w:color w:val="000000"/>
                <w:sz w:val="20"/>
                <w:szCs w:val="20"/>
              </w:rPr>
              <w:t>Villemaire</w:t>
            </w:r>
            <w:proofErr w:type="spellEnd"/>
            <w:r w:rsidRPr="00BC7A12">
              <w:rPr>
                <w:rFonts w:cs="Calibri"/>
                <w:color w:val="000000"/>
                <w:sz w:val="20"/>
                <w:szCs w:val="20"/>
              </w:rPr>
              <w:t xml:space="preserve">, et al., 2014; Quantifying community’s functional awareness of coastal changes and hazards from citizen perception analysis in Canada, </w:t>
            </w:r>
            <w:proofErr w:type="gramStart"/>
            <w:r w:rsidRPr="00BC7A12">
              <w:rPr>
                <w:rFonts w:cs="Calibri"/>
                <w:color w:val="000000"/>
                <w:sz w:val="20"/>
                <w:szCs w:val="20"/>
              </w:rPr>
              <w:t>UK</w:t>
            </w:r>
            <w:proofErr w:type="gramEnd"/>
            <w:r w:rsidRPr="00BC7A12">
              <w:rPr>
                <w:rFonts w:cs="Calibri"/>
                <w:color w:val="000000"/>
                <w:sz w:val="20"/>
                <w:szCs w:val="20"/>
              </w:rPr>
              <w:t xml:space="preserve"> and Spain</w:t>
            </w:r>
          </w:p>
        </w:tc>
      </w:tr>
      <w:tr w:rsidR="00483CFD" w:rsidRPr="00BC7A12" w14:paraId="151E93B3" w14:textId="77777777" w:rsidTr="0014568A">
        <w:trPr>
          <w:trHeight w:val="296"/>
        </w:trPr>
        <w:tc>
          <w:tcPr>
            <w:tcW w:w="591" w:type="dxa"/>
          </w:tcPr>
          <w:p w14:paraId="4CA4ED4D"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21D8CC33" w14:textId="6CB00971"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Bulu, et al., 2014; Economic valuation of mangrove ecosystem services in Vanuatu</w:t>
            </w:r>
          </w:p>
        </w:tc>
      </w:tr>
      <w:tr w:rsidR="00483CFD" w:rsidRPr="00BC7A12" w14:paraId="2E7A5669" w14:textId="77777777" w:rsidTr="0014568A">
        <w:trPr>
          <w:trHeight w:val="290"/>
        </w:trPr>
        <w:tc>
          <w:tcPr>
            <w:tcW w:w="591" w:type="dxa"/>
          </w:tcPr>
          <w:p w14:paraId="555C274B"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51150554" w14:textId="687AC84F"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Burke, et al., 2008; Coastal capital: economic valuation of coral reefs in Tobago and St. Lucia.</w:t>
            </w:r>
          </w:p>
        </w:tc>
      </w:tr>
      <w:tr w:rsidR="00483CFD" w:rsidRPr="00BC7A12" w14:paraId="2B41479A" w14:textId="77777777" w:rsidTr="0014568A">
        <w:trPr>
          <w:trHeight w:val="290"/>
        </w:trPr>
        <w:tc>
          <w:tcPr>
            <w:tcW w:w="591" w:type="dxa"/>
          </w:tcPr>
          <w:p w14:paraId="2F8DBE93"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2651CD64" w14:textId="0692B1EA"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Carnell, et al., 2019; Mapping Ocean Wealth Australia: The value of coastal wetlands to people and nature</w:t>
            </w:r>
          </w:p>
        </w:tc>
      </w:tr>
      <w:tr w:rsidR="00483CFD" w:rsidRPr="00BC7A12" w14:paraId="69DBADAD" w14:textId="77777777" w:rsidTr="0014568A">
        <w:trPr>
          <w:trHeight w:val="290"/>
        </w:trPr>
        <w:tc>
          <w:tcPr>
            <w:tcW w:w="591" w:type="dxa"/>
          </w:tcPr>
          <w:p w14:paraId="62927D5D"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0264A35C" w14:textId="1A5F91B5"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Costanza, et al., 2008; The Value of Coastal Wetlands for Hurricane Protection</w:t>
            </w:r>
          </w:p>
        </w:tc>
      </w:tr>
      <w:tr w:rsidR="00483CFD" w:rsidRPr="00BC7A12" w14:paraId="1CEB5C8A" w14:textId="77777777" w:rsidTr="0014568A">
        <w:trPr>
          <w:trHeight w:val="290"/>
        </w:trPr>
        <w:tc>
          <w:tcPr>
            <w:tcW w:w="591" w:type="dxa"/>
          </w:tcPr>
          <w:p w14:paraId="40C5BEF7"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2BA2BAF7" w14:textId="5830D859"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Das and </w:t>
            </w:r>
            <w:proofErr w:type="spellStart"/>
            <w:r w:rsidRPr="00BC7A12">
              <w:rPr>
                <w:rFonts w:cs="Calibri"/>
                <w:color w:val="000000"/>
                <w:sz w:val="20"/>
                <w:szCs w:val="20"/>
              </w:rPr>
              <w:t>Crépin</w:t>
            </w:r>
            <w:proofErr w:type="spellEnd"/>
            <w:r w:rsidRPr="00BC7A12">
              <w:rPr>
                <w:rFonts w:cs="Calibri"/>
                <w:color w:val="000000"/>
                <w:sz w:val="20"/>
                <w:szCs w:val="20"/>
              </w:rPr>
              <w:t>, 2013; Mangroves can provide protection against wind damage during storms</w:t>
            </w:r>
          </w:p>
        </w:tc>
      </w:tr>
      <w:tr w:rsidR="00483CFD" w:rsidRPr="00BC7A12" w14:paraId="0A1EE048" w14:textId="77777777" w:rsidTr="0014568A">
        <w:trPr>
          <w:trHeight w:val="290"/>
        </w:trPr>
        <w:tc>
          <w:tcPr>
            <w:tcW w:w="591" w:type="dxa"/>
          </w:tcPr>
          <w:p w14:paraId="7A600EB2"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0C49E690" w14:textId="4F59F132"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Das and Vincent, 2009; Mangroves protected villages and reduced death toll during Indian super cyclone</w:t>
            </w:r>
          </w:p>
        </w:tc>
      </w:tr>
      <w:tr w:rsidR="00483CFD" w:rsidRPr="00BC7A12" w14:paraId="4E18732B" w14:textId="77777777" w:rsidTr="0014568A">
        <w:trPr>
          <w:trHeight w:val="290"/>
        </w:trPr>
        <w:tc>
          <w:tcPr>
            <w:tcW w:w="591" w:type="dxa"/>
          </w:tcPr>
          <w:p w14:paraId="4C372389"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5D8EE5F3" w14:textId="7A31875A"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Department of Environment and Heritage Protection, 2012; Natural assets for flood and cyclone resilience: Synthesis of scientific evidence on the role of natural assets to reduce the human impacts of floods and cyclones</w:t>
            </w:r>
          </w:p>
        </w:tc>
      </w:tr>
      <w:tr w:rsidR="00483CFD" w:rsidRPr="00BC7A12" w14:paraId="79BAE645" w14:textId="77777777" w:rsidTr="0014568A">
        <w:trPr>
          <w:trHeight w:val="290"/>
        </w:trPr>
        <w:tc>
          <w:tcPr>
            <w:tcW w:w="591" w:type="dxa"/>
          </w:tcPr>
          <w:p w14:paraId="143085D2"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B0714EF" w14:textId="59BB75EE"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Emerton, 2005; Values and Rewards: Counting and Capturing Ecosystem Water Services for Sustainable Development</w:t>
            </w:r>
          </w:p>
        </w:tc>
      </w:tr>
      <w:tr w:rsidR="00483CFD" w:rsidRPr="00BC7A12" w14:paraId="0FD51EC0" w14:textId="77777777" w:rsidTr="0014568A">
        <w:trPr>
          <w:trHeight w:val="290"/>
        </w:trPr>
        <w:tc>
          <w:tcPr>
            <w:tcW w:w="591" w:type="dxa"/>
          </w:tcPr>
          <w:p w14:paraId="71346D9D"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220CFEB" w14:textId="03D6EC80"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Flight, et al., 2012; Valuing Wetland Ecosystem Services: A Case Study of Delaware</w:t>
            </w:r>
          </w:p>
        </w:tc>
      </w:tr>
      <w:tr w:rsidR="00483CFD" w:rsidRPr="00BC7A12" w14:paraId="486627F1" w14:textId="77777777" w:rsidTr="0014568A">
        <w:trPr>
          <w:trHeight w:val="290"/>
        </w:trPr>
        <w:tc>
          <w:tcPr>
            <w:tcW w:w="591" w:type="dxa"/>
          </w:tcPr>
          <w:p w14:paraId="4913C36E"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E095DF3" w14:textId="7439BC39"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Franco and </w:t>
            </w:r>
            <w:proofErr w:type="spellStart"/>
            <w:r w:rsidRPr="00BC7A12">
              <w:rPr>
                <w:rFonts w:cs="Calibri"/>
                <w:color w:val="000000"/>
                <w:sz w:val="20"/>
                <w:szCs w:val="20"/>
              </w:rPr>
              <w:t>Luiselli</w:t>
            </w:r>
            <w:proofErr w:type="spellEnd"/>
            <w:r w:rsidRPr="00BC7A12">
              <w:rPr>
                <w:rFonts w:cs="Calibri"/>
                <w:color w:val="000000"/>
                <w:sz w:val="20"/>
                <w:szCs w:val="20"/>
              </w:rPr>
              <w:t>, 2014; Shared ecological knowledge and wetland values: A case study</w:t>
            </w:r>
          </w:p>
        </w:tc>
      </w:tr>
      <w:tr w:rsidR="00483CFD" w:rsidRPr="00BC7A12" w14:paraId="7C449C6A" w14:textId="77777777" w:rsidTr="0014568A">
        <w:trPr>
          <w:trHeight w:val="290"/>
        </w:trPr>
        <w:tc>
          <w:tcPr>
            <w:tcW w:w="591" w:type="dxa"/>
          </w:tcPr>
          <w:p w14:paraId="71B11F2B"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tcPr>
          <w:p w14:paraId="3305B02E" w14:textId="4912A0CE" w:rsidR="00483CFD" w:rsidRPr="00BC7A12" w:rsidRDefault="00483CFD" w:rsidP="0014568A">
            <w:pPr>
              <w:spacing w:after="0" w:line="240" w:lineRule="auto"/>
              <w:jc w:val="left"/>
              <w:rPr>
                <w:rFonts w:cs="Calibri"/>
                <w:color w:val="000000"/>
                <w:sz w:val="20"/>
                <w:szCs w:val="20"/>
              </w:rPr>
            </w:pPr>
            <w:proofErr w:type="spellStart"/>
            <w:r w:rsidRPr="00BC7A12">
              <w:rPr>
                <w:rFonts w:cs="Calibri"/>
                <w:color w:val="000000"/>
                <w:sz w:val="20"/>
                <w:szCs w:val="20"/>
              </w:rPr>
              <w:t>Gaylard</w:t>
            </w:r>
            <w:proofErr w:type="spellEnd"/>
            <w:r w:rsidRPr="00BC7A12">
              <w:rPr>
                <w:rFonts w:cs="Calibri"/>
                <w:color w:val="000000"/>
                <w:sz w:val="20"/>
                <w:szCs w:val="20"/>
              </w:rPr>
              <w:t xml:space="preserve">, et al., Review of coast and Marine Ecosystems in Temperate Australia Demonstrates a </w:t>
            </w:r>
            <w:proofErr w:type="spellStart"/>
            <w:r w:rsidRPr="00BC7A12">
              <w:rPr>
                <w:rFonts w:cs="Calibri"/>
                <w:color w:val="000000"/>
                <w:sz w:val="20"/>
                <w:szCs w:val="20"/>
              </w:rPr>
              <w:t>Welath</w:t>
            </w:r>
            <w:proofErr w:type="spellEnd"/>
            <w:r w:rsidRPr="00BC7A12">
              <w:rPr>
                <w:rFonts w:cs="Calibri"/>
                <w:color w:val="000000"/>
                <w:sz w:val="20"/>
                <w:szCs w:val="20"/>
              </w:rPr>
              <w:t xml:space="preserve"> of Ecosystem Services. Front. Mar. Sci 7:453. </w:t>
            </w:r>
          </w:p>
        </w:tc>
      </w:tr>
      <w:tr w:rsidR="00483CFD" w:rsidRPr="00BC7A12" w14:paraId="1B80F429" w14:textId="77777777" w:rsidTr="0014568A">
        <w:trPr>
          <w:trHeight w:val="290"/>
        </w:trPr>
        <w:tc>
          <w:tcPr>
            <w:tcW w:w="591" w:type="dxa"/>
          </w:tcPr>
          <w:p w14:paraId="43D2A74F"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2171B5A" w14:textId="74E1EFFE"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Gerrad</w:t>
            </w:r>
            <w:proofErr w:type="spellEnd"/>
            <w:r w:rsidRPr="00BC7A12">
              <w:rPr>
                <w:rFonts w:cs="Calibri"/>
                <w:color w:val="000000"/>
                <w:sz w:val="20"/>
                <w:szCs w:val="20"/>
              </w:rPr>
              <w:t>., 2010; Wetlands reduce damages to infrastructure, Lao PDR</w:t>
            </w:r>
          </w:p>
        </w:tc>
      </w:tr>
      <w:tr w:rsidR="00483CFD" w:rsidRPr="00BC7A12" w14:paraId="15E5947F" w14:textId="77777777" w:rsidTr="0014568A">
        <w:trPr>
          <w:trHeight w:val="290"/>
        </w:trPr>
        <w:tc>
          <w:tcPr>
            <w:tcW w:w="591" w:type="dxa"/>
          </w:tcPr>
          <w:p w14:paraId="7BA771C7"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3D237FAB" w14:textId="75C0E708"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Gonzalez, et al., 2015; Fiji National Marine Ecosystem Service Valuation</w:t>
            </w:r>
          </w:p>
        </w:tc>
      </w:tr>
      <w:tr w:rsidR="00483CFD" w:rsidRPr="00BC7A12" w14:paraId="4873AA61" w14:textId="77777777" w:rsidTr="0014568A">
        <w:trPr>
          <w:trHeight w:val="290"/>
        </w:trPr>
        <w:tc>
          <w:tcPr>
            <w:tcW w:w="591" w:type="dxa"/>
          </w:tcPr>
          <w:p w14:paraId="55A2A0C8"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237E89A8" w14:textId="412B1CBF"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Grabowski, et al., 2012; Economic Valuation of Ecosystem Services Provided by Oyster Reefs</w:t>
            </w:r>
          </w:p>
        </w:tc>
      </w:tr>
      <w:tr w:rsidR="00483CFD" w:rsidRPr="00BC7A12" w14:paraId="1FB15CD7" w14:textId="77777777" w:rsidTr="0014568A">
        <w:trPr>
          <w:trHeight w:val="290"/>
        </w:trPr>
        <w:tc>
          <w:tcPr>
            <w:tcW w:w="591" w:type="dxa"/>
          </w:tcPr>
          <w:p w14:paraId="0247DCB3"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85C157F" w14:textId="03371888"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Gray, O'Neill and </w:t>
            </w:r>
            <w:proofErr w:type="spellStart"/>
            <w:r w:rsidRPr="00BC7A12">
              <w:rPr>
                <w:rFonts w:cs="Calibri"/>
                <w:color w:val="000000"/>
                <w:sz w:val="20"/>
                <w:szCs w:val="20"/>
              </w:rPr>
              <w:t>Qiu</w:t>
            </w:r>
            <w:proofErr w:type="spellEnd"/>
            <w:r w:rsidRPr="00BC7A12">
              <w:rPr>
                <w:rFonts w:cs="Calibri"/>
                <w:color w:val="000000"/>
                <w:sz w:val="20"/>
                <w:szCs w:val="20"/>
              </w:rPr>
              <w:t>, 2017; Coastal residents' perceptions of the function of and relationship between engineered and natural infrastructure for coastal hazard mitigation</w:t>
            </w:r>
          </w:p>
        </w:tc>
      </w:tr>
      <w:tr w:rsidR="00483CFD" w:rsidRPr="00BC7A12" w14:paraId="1E6C6AD1" w14:textId="77777777" w:rsidTr="0014568A">
        <w:trPr>
          <w:trHeight w:val="290"/>
        </w:trPr>
        <w:tc>
          <w:tcPr>
            <w:tcW w:w="591" w:type="dxa"/>
          </w:tcPr>
          <w:p w14:paraId="52AD6B3C"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2436451" w14:textId="79EE2E3B"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H.O and McNally, 2001; An Economic Valuation of the Terrestrial and Marine Resources of Samoa</w:t>
            </w:r>
          </w:p>
        </w:tc>
      </w:tr>
      <w:tr w:rsidR="00483CFD" w:rsidRPr="00BC7A12" w14:paraId="0A669BFC" w14:textId="77777777" w:rsidTr="0014568A">
        <w:trPr>
          <w:trHeight w:val="290"/>
        </w:trPr>
        <w:tc>
          <w:tcPr>
            <w:tcW w:w="591" w:type="dxa"/>
          </w:tcPr>
          <w:p w14:paraId="783490BA"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404AA346" w14:textId="13D45089"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Hassan, Olsen and Thorsen, 2019; Urban-rural divides in preferences for wetland conservation in Malaysia</w:t>
            </w:r>
          </w:p>
        </w:tc>
      </w:tr>
      <w:tr w:rsidR="00483CFD" w:rsidRPr="00BC7A12" w14:paraId="0A33E40B" w14:textId="77777777" w:rsidTr="0014568A">
        <w:trPr>
          <w:trHeight w:val="290"/>
        </w:trPr>
        <w:tc>
          <w:tcPr>
            <w:tcW w:w="591" w:type="dxa"/>
          </w:tcPr>
          <w:p w14:paraId="291197EC"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D7AC713" w14:textId="69033B26"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Huxham, et al., 2015; Applying Climate Compatible Development and economic valuation to coastal management: A case study of Kenya's mangrove forests</w:t>
            </w:r>
          </w:p>
        </w:tc>
      </w:tr>
      <w:tr w:rsidR="00483CFD" w:rsidRPr="00BC7A12" w14:paraId="01662C8F" w14:textId="77777777" w:rsidTr="0014568A">
        <w:trPr>
          <w:trHeight w:val="290"/>
        </w:trPr>
        <w:tc>
          <w:tcPr>
            <w:tcW w:w="591" w:type="dxa"/>
          </w:tcPr>
          <w:p w14:paraId="036CB902"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03C0400F" w14:textId="0D17F80E"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Kim and Petrolia, 2013; Public perceptions of wetland restoration benefits in Louisiana</w:t>
            </w:r>
          </w:p>
        </w:tc>
      </w:tr>
      <w:tr w:rsidR="00483CFD" w:rsidRPr="00BC7A12" w14:paraId="651D5940" w14:textId="77777777" w:rsidTr="0014568A">
        <w:trPr>
          <w:trHeight w:val="290"/>
        </w:trPr>
        <w:tc>
          <w:tcPr>
            <w:tcW w:w="591" w:type="dxa"/>
          </w:tcPr>
          <w:p w14:paraId="5780CBEB"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47C82AC3" w14:textId="25D3818B"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Liu, et al., 2019; Rice paddy fields’ hidden value for typhoon protection in coastal areas</w:t>
            </w:r>
          </w:p>
        </w:tc>
      </w:tr>
      <w:tr w:rsidR="00483CFD" w:rsidRPr="00BC7A12" w14:paraId="3DB18709" w14:textId="77777777" w:rsidTr="0014568A">
        <w:trPr>
          <w:trHeight w:val="290"/>
        </w:trPr>
        <w:tc>
          <w:tcPr>
            <w:tcW w:w="591" w:type="dxa"/>
          </w:tcPr>
          <w:p w14:paraId="5C90FEFA"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31F5CC76" w14:textId="0CAB489C"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Liu, et al., 2019; The value of China's coastal wetlands and seawalls for storm protection</w:t>
            </w:r>
          </w:p>
        </w:tc>
      </w:tr>
      <w:tr w:rsidR="00483CFD" w:rsidRPr="00BC7A12" w14:paraId="4407B349" w14:textId="77777777" w:rsidTr="0014568A">
        <w:trPr>
          <w:trHeight w:val="290"/>
        </w:trPr>
        <w:tc>
          <w:tcPr>
            <w:tcW w:w="591" w:type="dxa"/>
          </w:tcPr>
          <w:p w14:paraId="33C6CABD"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5E9638A3" w14:textId="71CC03D6"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Menéndez, 2020., 2020; The Global Flood Protection Benefits of Mangroves</w:t>
            </w:r>
          </w:p>
        </w:tc>
      </w:tr>
      <w:tr w:rsidR="00483CFD" w:rsidRPr="00BC7A12" w14:paraId="1FF37359" w14:textId="77777777" w:rsidTr="0014568A">
        <w:trPr>
          <w:trHeight w:val="290"/>
        </w:trPr>
        <w:tc>
          <w:tcPr>
            <w:tcW w:w="591" w:type="dxa"/>
          </w:tcPr>
          <w:p w14:paraId="3294DB8C"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675CAD6" w14:textId="5B934AAA"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Merriman and Murata., 2016; Guide for Rapid Economic Valuation of Wetland Ecosystem Services</w:t>
            </w:r>
          </w:p>
        </w:tc>
      </w:tr>
      <w:tr w:rsidR="00483CFD" w:rsidRPr="00BC7A12" w14:paraId="71F1D0A0" w14:textId="77777777" w:rsidTr="0014568A">
        <w:trPr>
          <w:trHeight w:val="290"/>
        </w:trPr>
        <w:tc>
          <w:tcPr>
            <w:tcW w:w="591" w:type="dxa"/>
          </w:tcPr>
          <w:p w14:paraId="7DAC595E"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599CDDB2" w14:textId="05D67BA9"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Ming, et al., 2007; Flood mitigation benefit of wetland soil - A case study in </w:t>
            </w:r>
            <w:proofErr w:type="spellStart"/>
            <w:r w:rsidRPr="00BC7A12">
              <w:rPr>
                <w:rFonts w:cs="Calibri"/>
                <w:color w:val="000000"/>
                <w:sz w:val="20"/>
                <w:szCs w:val="20"/>
              </w:rPr>
              <w:t>Momoge</w:t>
            </w:r>
            <w:proofErr w:type="spellEnd"/>
            <w:r w:rsidRPr="00BC7A12">
              <w:rPr>
                <w:rFonts w:cs="Calibri"/>
                <w:color w:val="000000"/>
                <w:sz w:val="20"/>
                <w:szCs w:val="20"/>
              </w:rPr>
              <w:t xml:space="preserve"> National Nature Reserve in China</w:t>
            </w:r>
          </w:p>
        </w:tc>
      </w:tr>
      <w:tr w:rsidR="00483CFD" w:rsidRPr="00BC7A12" w14:paraId="1F41EA99" w14:textId="77777777" w:rsidTr="0014568A">
        <w:trPr>
          <w:trHeight w:val="290"/>
        </w:trPr>
        <w:tc>
          <w:tcPr>
            <w:tcW w:w="591" w:type="dxa"/>
          </w:tcPr>
          <w:p w14:paraId="4A8CA9D2"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64DD7798" w14:textId="5A29C82E"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Narayan, et al., 2016; </w:t>
            </w:r>
            <w:r w:rsidR="00AB175B">
              <w:rPr>
                <w:rFonts w:cs="Calibri"/>
                <w:color w:val="000000"/>
                <w:sz w:val="20"/>
                <w:szCs w:val="20"/>
              </w:rPr>
              <w:t>C</w:t>
            </w:r>
            <w:r w:rsidR="00AB175B" w:rsidRPr="00BC7A12">
              <w:rPr>
                <w:rFonts w:cs="Calibri"/>
                <w:color w:val="000000"/>
                <w:sz w:val="20"/>
                <w:szCs w:val="20"/>
              </w:rPr>
              <w:t xml:space="preserve">oastal Wetlands </w:t>
            </w:r>
            <w:r w:rsidR="00AB175B">
              <w:rPr>
                <w:rFonts w:cs="Calibri"/>
                <w:color w:val="000000"/>
                <w:sz w:val="20"/>
                <w:szCs w:val="20"/>
              </w:rPr>
              <w:t>a</w:t>
            </w:r>
            <w:r w:rsidR="00AB175B" w:rsidRPr="00BC7A12">
              <w:rPr>
                <w:rFonts w:cs="Calibri"/>
                <w:color w:val="000000"/>
                <w:sz w:val="20"/>
                <w:szCs w:val="20"/>
              </w:rPr>
              <w:t xml:space="preserve">nd Flood Damage Reduction </w:t>
            </w:r>
            <w:r w:rsidRPr="00BC7A12">
              <w:rPr>
                <w:rFonts w:cs="Calibri"/>
                <w:color w:val="000000"/>
                <w:sz w:val="20"/>
                <w:szCs w:val="20"/>
              </w:rPr>
              <w:t xml:space="preserve">Using Risk Industry-based Models to Assess Natural </w:t>
            </w:r>
            <w:proofErr w:type="spellStart"/>
            <w:r w:rsidRPr="00BC7A12">
              <w:rPr>
                <w:rFonts w:cs="Calibri"/>
                <w:color w:val="000000"/>
                <w:sz w:val="20"/>
                <w:szCs w:val="20"/>
              </w:rPr>
              <w:t>Defenses</w:t>
            </w:r>
            <w:proofErr w:type="spellEnd"/>
            <w:r w:rsidRPr="00BC7A12">
              <w:rPr>
                <w:rFonts w:cs="Calibri"/>
                <w:color w:val="000000"/>
                <w:sz w:val="20"/>
                <w:szCs w:val="20"/>
              </w:rPr>
              <w:t xml:space="preserve"> in the </w:t>
            </w:r>
            <w:proofErr w:type="spellStart"/>
            <w:r w:rsidRPr="00BC7A12">
              <w:rPr>
                <w:rFonts w:cs="Calibri"/>
                <w:color w:val="000000"/>
                <w:sz w:val="20"/>
                <w:szCs w:val="20"/>
              </w:rPr>
              <w:t>Northeastern</w:t>
            </w:r>
            <w:proofErr w:type="spellEnd"/>
            <w:r w:rsidRPr="00BC7A12">
              <w:rPr>
                <w:rFonts w:cs="Calibri"/>
                <w:color w:val="000000"/>
                <w:sz w:val="20"/>
                <w:szCs w:val="20"/>
              </w:rPr>
              <w:t xml:space="preserve"> USA</w:t>
            </w:r>
          </w:p>
        </w:tc>
      </w:tr>
      <w:tr w:rsidR="00483CFD" w:rsidRPr="00BC7A12" w14:paraId="0B8EA671" w14:textId="77777777" w:rsidTr="0014568A">
        <w:trPr>
          <w:trHeight w:val="290"/>
        </w:trPr>
        <w:tc>
          <w:tcPr>
            <w:tcW w:w="591" w:type="dxa"/>
          </w:tcPr>
          <w:p w14:paraId="077BD3EE"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3ED1A408" w14:textId="68C7E62B"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Ouyang et al., 2018; </w:t>
            </w:r>
            <w:proofErr w:type="gramStart"/>
            <w:r w:rsidRPr="00BC7A12">
              <w:rPr>
                <w:rFonts w:cs="Calibri"/>
                <w:color w:val="000000"/>
                <w:sz w:val="20"/>
                <w:szCs w:val="20"/>
              </w:rPr>
              <w:t>Spatially-explicit</w:t>
            </w:r>
            <w:proofErr w:type="gramEnd"/>
            <w:r w:rsidRPr="00BC7A12">
              <w:rPr>
                <w:rFonts w:cs="Calibri"/>
                <w:color w:val="000000"/>
                <w:sz w:val="20"/>
                <w:szCs w:val="20"/>
              </w:rPr>
              <w:t xml:space="preserve"> valuation of coastal wetlands for cyclone mitigation in Australia and China</w:t>
            </w:r>
          </w:p>
        </w:tc>
      </w:tr>
      <w:tr w:rsidR="00483CFD" w:rsidRPr="00BC7A12" w14:paraId="1BE63588" w14:textId="77777777" w:rsidTr="0014568A">
        <w:trPr>
          <w:trHeight w:val="290"/>
        </w:trPr>
        <w:tc>
          <w:tcPr>
            <w:tcW w:w="591" w:type="dxa"/>
          </w:tcPr>
          <w:p w14:paraId="61FA9813"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A94073A" w14:textId="47C6F332"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Oxford Economics, 2009; Valuing the effects of Great Barrier Reef bleaching</w:t>
            </w:r>
          </w:p>
        </w:tc>
      </w:tr>
      <w:tr w:rsidR="00483CFD" w:rsidRPr="00BC7A12" w14:paraId="4995338C" w14:textId="77777777" w:rsidTr="0014568A">
        <w:trPr>
          <w:trHeight w:val="290"/>
        </w:trPr>
        <w:tc>
          <w:tcPr>
            <w:tcW w:w="591" w:type="dxa"/>
          </w:tcPr>
          <w:p w14:paraId="1C566BCB"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69A066D0" w14:textId="7F6D62EC"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Parthum</w:t>
            </w:r>
            <w:proofErr w:type="spellEnd"/>
            <w:r w:rsidRPr="00BC7A12">
              <w:rPr>
                <w:rFonts w:cs="Calibri"/>
                <w:color w:val="000000"/>
                <w:sz w:val="20"/>
                <w:szCs w:val="20"/>
              </w:rPr>
              <w:t>, 2017; Benefits of the fire mitigation ecosystem service in The Great Dismal Swamp National Wildlife Refuge, Virginia, USA</w:t>
            </w:r>
          </w:p>
        </w:tc>
      </w:tr>
      <w:tr w:rsidR="00483CFD" w:rsidRPr="00BC7A12" w14:paraId="740C46D6" w14:textId="77777777" w:rsidTr="0014568A">
        <w:trPr>
          <w:trHeight w:val="290"/>
        </w:trPr>
        <w:tc>
          <w:tcPr>
            <w:tcW w:w="591" w:type="dxa"/>
          </w:tcPr>
          <w:p w14:paraId="438E72BB"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BE7509B" w14:textId="13290241"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Pascal, et al., 2011; Cost-benefit analysis of community-based marine protected areas: 5 case studies in Vanuatu, South Pacific</w:t>
            </w:r>
          </w:p>
        </w:tc>
      </w:tr>
      <w:tr w:rsidR="00483CFD" w:rsidRPr="00BC7A12" w14:paraId="11C63FE8" w14:textId="77777777" w:rsidTr="0014568A">
        <w:trPr>
          <w:trHeight w:val="290"/>
        </w:trPr>
        <w:tc>
          <w:tcPr>
            <w:tcW w:w="591" w:type="dxa"/>
          </w:tcPr>
          <w:p w14:paraId="4D10A33F"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6067BC0" w14:textId="17FFF3A4"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Pascal, et al., 2015; National marine ecosystem service valuation: Vanuatu</w:t>
            </w:r>
          </w:p>
        </w:tc>
      </w:tr>
      <w:tr w:rsidR="00483CFD" w:rsidRPr="00BC7A12" w14:paraId="5A4DA9DC" w14:textId="77777777" w:rsidTr="0014568A">
        <w:trPr>
          <w:trHeight w:val="290"/>
        </w:trPr>
        <w:tc>
          <w:tcPr>
            <w:tcW w:w="591" w:type="dxa"/>
          </w:tcPr>
          <w:p w14:paraId="2BA9CB74"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D8E61DF" w14:textId="1CAE532E"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ProAct</w:t>
            </w:r>
            <w:proofErr w:type="spellEnd"/>
            <w:r w:rsidRPr="00BC7A12">
              <w:rPr>
                <w:rFonts w:cs="Calibri"/>
                <w:color w:val="000000"/>
                <w:sz w:val="20"/>
                <w:szCs w:val="20"/>
              </w:rPr>
              <w:t xml:space="preserve"> Network, et al., 2008; The role of environmental management and eco-engineering in disaster risk reduction and climate change adaptation</w:t>
            </w:r>
          </w:p>
        </w:tc>
      </w:tr>
      <w:tr w:rsidR="00483CFD" w:rsidRPr="00BC7A12" w14:paraId="20173486" w14:textId="77777777" w:rsidTr="0014568A">
        <w:trPr>
          <w:trHeight w:val="290"/>
        </w:trPr>
        <w:tc>
          <w:tcPr>
            <w:tcW w:w="591" w:type="dxa"/>
          </w:tcPr>
          <w:p w14:paraId="0AA65AC8"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07A54E1" w14:textId="02FBD72B"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Ragkos</w:t>
            </w:r>
            <w:proofErr w:type="spellEnd"/>
            <w:r w:rsidRPr="00BC7A12">
              <w:rPr>
                <w:rFonts w:cs="Calibri"/>
                <w:color w:val="000000"/>
                <w:sz w:val="20"/>
                <w:szCs w:val="20"/>
              </w:rPr>
              <w:t xml:space="preserve">, et al., 2006; Using a functional approach to wetland valuation: The case of </w:t>
            </w:r>
            <w:proofErr w:type="spellStart"/>
            <w:r w:rsidRPr="00BC7A12">
              <w:rPr>
                <w:rFonts w:cs="Calibri"/>
                <w:color w:val="000000"/>
                <w:sz w:val="20"/>
                <w:szCs w:val="20"/>
              </w:rPr>
              <w:t>Zazari-Cheimaditida</w:t>
            </w:r>
            <w:proofErr w:type="spellEnd"/>
          </w:p>
        </w:tc>
      </w:tr>
      <w:tr w:rsidR="00483CFD" w:rsidRPr="00BC7A12" w14:paraId="77E796EB" w14:textId="77777777" w:rsidTr="0014568A">
        <w:trPr>
          <w:trHeight w:val="290"/>
        </w:trPr>
        <w:tc>
          <w:tcPr>
            <w:tcW w:w="591" w:type="dxa"/>
          </w:tcPr>
          <w:p w14:paraId="21CFF409"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3546CB07" w14:textId="76F13124"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Reddy, et al., 2016; Evaluating the role of coastal habitats and sea-level rise in hurricane risk mitigation: An ecological economic assessment method and application to a business decision</w:t>
            </w:r>
          </w:p>
        </w:tc>
      </w:tr>
      <w:tr w:rsidR="00483CFD" w:rsidRPr="00BC7A12" w14:paraId="2AD6EBFF" w14:textId="77777777" w:rsidTr="0014568A">
        <w:trPr>
          <w:trHeight w:val="290"/>
        </w:trPr>
        <w:tc>
          <w:tcPr>
            <w:tcW w:w="591" w:type="dxa"/>
          </w:tcPr>
          <w:p w14:paraId="264AEBFB"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0A95AB3D" w14:textId="54C84997"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 xml:space="preserve">Reeves, et al, n.d. Mapping Ocean Wealth, The Nature Conservancy, Melbourne, Australia </w:t>
            </w:r>
          </w:p>
        </w:tc>
      </w:tr>
      <w:tr w:rsidR="00483CFD" w:rsidRPr="00BC7A12" w14:paraId="3440CD62" w14:textId="77777777" w:rsidTr="0014568A">
        <w:trPr>
          <w:trHeight w:val="290"/>
        </w:trPr>
        <w:tc>
          <w:tcPr>
            <w:tcW w:w="591" w:type="dxa"/>
          </w:tcPr>
          <w:p w14:paraId="2C5EF862"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12286F41" w14:textId="33317792"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Reguero</w:t>
            </w:r>
            <w:proofErr w:type="spellEnd"/>
            <w:r w:rsidRPr="00BC7A12">
              <w:rPr>
                <w:rFonts w:cs="Calibri"/>
                <w:color w:val="000000"/>
                <w:sz w:val="20"/>
                <w:szCs w:val="20"/>
              </w:rPr>
              <w:t>., 2018; Comparing the cost effectiveness of nature-based and coastal adaptation: A case study from the Gulf Coast of the United States</w:t>
            </w:r>
          </w:p>
        </w:tc>
      </w:tr>
      <w:tr w:rsidR="00483CFD" w:rsidRPr="00BC7A12" w14:paraId="57B7C860" w14:textId="77777777" w:rsidTr="0014568A">
        <w:trPr>
          <w:trHeight w:val="290"/>
        </w:trPr>
        <w:tc>
          <w:tcPr>
            <w:tcW w:w="591" w:type="dxa"/>
          </w:tcPr>
          <w:p w14:paraId="04377395"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3513E7FE" w14:textId="1D561335"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Rezaie</w:t>
            </w:r>
            <w:proofErr w:type="spellEnd"/>
            <w:r w:rsidRPr="00BC7A12">
              <w:rPr>
                <w:rFonts w:cs="Calibri"/>
                <w:color w:val="000000"/>
                <w:sz w:val="20"/>
                <w:szCs w:val="20"/>
              </w:rPr>
              <w:t>, et al., 2020; Valuing natural habitats for enhancing coastal resilience: Wetlands reduce property damage from storm surge and sea level rise</w:t>
            </w:r>
          </w:p>
        </w:tc>
      </w:tr>
      <w:tr w:rsidR="00483CFD" w:rsidRPr="00BC7A12" w14:paraId="4461F83B" w14:textId="77777777" w:rsidTr="0014568A">
        <w:trPr>
          <w:trHeight w:val="290"/>
        </w:trPr>
        <w:tc>
          <w:tcPr>
            <w:tcW w:w="591" w:type="dxa"/>
          </w:tcPr>
          <w:p w14:paraId="3729B88A"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408EE131" w14:textId="454B8335"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Rouatu</w:t>
            </w:r>
            <w:proofErr w:type="spellEnd"/>
            <w:r w:rsidRPr="00BC7A12">
              <w:rPr>
                <w:rFonts w:cs="Calibri"/>
                <w:color w:val="000000"/>
                <w:sz w:val="20"/>
                <w:szCs w:val="20"/>
              </w:rPr>
              <w:t>, et al. 2017; National Marine Ecosystem Service Valuation: Kiribati</w:t>
            </w:r>
          </w:p>
        </w:tc>
      </w:tr>
      <w:tr w:rsidR="00483CFD" w:rsidRPr="00BC7A12" w14:paraId="3778F1A5" w14:textId="77777777" w:rsidTr="0014568A">
        <w:trPr>
          <w:trHeight w:val="290"/>
        </w:trPr>
        <w:tc>
          <w:tcPr>
            <w:tcW w:w="591" w:type="dxa"/>
          </w:tcPr>
          <w:p w14:paraId="55DB3B6E"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7D7CCAB1" w14:textId="6C090CAA" w:rsidR="00483CFD" w:rsidRPr="00BC7A12" w:rsidRDefault="00483CFD" w:rsidP="0014568A">
            <w:pPr>
              <w:spacing w:after="0" w:line="240" w:lineRule="auto"/>
              <w:jc w:val="left"/>
              <w:rPr>
                <w:rFonts w:eastAsia="Times New Roman" w:cs="Calibri"/>
                <w:color w:val="000000"/>
                <w:sz w:val="20"/>
                <w:szCs w:val="20"/>
                <w:lang w:eastAsia="en-AU"/>
              </w:rPr>
            </w:pPr>
            <w:r w:rsidRPr="00BC7A12">
              <w:rPr>
                <w:rFonts w:cs="Calibri"/>
                <w:color w:val="000000"/>
                <w:sz w:val="20"/>
                <w:szCs w:val="20"/>
              </w:rPr>
              <w:t>Ruckelshaus, et al., 2016; Evaluating the Benefits of Green Infrastructure for Coastal Areas: Location, Location, Location</w:t>
            </w:r>
          </w:p>
        </w:tc>
      </w:tr>
      <w:tr w:rsidR="00483CFD" w:rsidRPr="00BC7A12" w14:paraId="323AADB1" w14:textId="77777777" w:rsidTr="0014568A">
        <w:trPr>
          <w:trHeight w:val="290"/>
        </w:trPr>
        <w:tc>
          <w:tcPr>
            <w:tcW w:w="591" w:type="dxa"/>
          </w:tcPr>
          <w:p w14:paraId="17BD22AC"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35DB1ED5" w14:textId="225498E9"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Russi</w:t>
            </w:r>
            <w:proofErr w:type="spellEnd"/>
            <w:r w:rsidRPr="00BC7A12">
              <w:rPr>
                <w:rFonts w:cs="Calibri"/>
                <w:color w:val="000000"/>
                <w:sz w:val="20"/>
                <w:szCs w:val="20"/>
              </w:rPr>
              <w:t>, et al., 2013; The Economics of Ecosystems and Biodiversity for Water and Wetlands</w:t>
            </w:r>
          </w:p>
        </w:tc>
      </w:tr>
      <w:tr w:rsidR="00483CFD" w:rsidRPr="00BC7A12" w14:paraId="2428FA3D" w14:textId="77777777" w:rsidTr="0014568A">
        <w:trPr>
          <w:trHeight w:val="413"/>
        </w:trPr>
        <w:tc>
          <w:tcPr>
            <w:tcW w:w="591" w:type="dxa"/>
          </w:tcPr>
          <w:p w14:paraId="56084482"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vAlign w:val="center"/>
            <w:hideMark/>
          </w:tcPr>
          <w:p w14:paraId="102630C0" w14:textId="602FB581"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Salcone</w:t>
            </w:r>
            <w:proofErr w:type="spellEnd"/>
            <w:r w:rsidRPr="00BC7A12">
              <w:rPr>
                <w:rFonts w:cs="Calibri"/>
                <w:color w:val="000000"/>
                <w:sz w:val="20"/>
                <w:szCs w:val="20"/>
              </w:rPr>
              <w:t>, et al., 2015; National marine ecosystem service valuation: Tonga</w:t>
            </w:r>
          </w:p>
        </w:tc>
      </w:tr>
      <w:tr w:rsidR="00483CFD" w:rsidRPr="00BC7A12" w14:paraId="5AD96298" w14:textId="77777777" w:rsidTr="0014568A">
        <w:trPr>
          <w:trHeight w:val="290"/>
        </w:trPr>
        <w:tc>
          <w:tcPr>
            <w:tcW w:w="591" w:type="dxa"/>
          </w:tcPr>
          <w:p w14:paraId="243A8D11"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hideMark/>
          </w:tcPr>
          <w:p w14:paraId="5314AA62" w14:textId="0AD8C37B" w:rsidR="00483CFD" w:rsidRPr="00BC7A12" w:rsidRDefault="00483CFD" w:rsidP="0014568A">
            <w:pPr>
              <w:spacing w:after="0" w:line="240" w:lineRule="auto"/>
              <w:jc w:val="left"/>
              <w:rPr>
                <w:rFonts w:eastAsia="Times New Roman" w:cs="Calibri"/>
                <w:color w:val="000000"/>
                <w:sz w:val="20"/>
                <w:szCs w:val="20"/>
                <w:lang w:eastAsia="en-AU"/>
              </w:rPr>
            </w:pPr>
            <w:proofErr w:type="spellStart"/>
            <w:r w:rsidRPr="00BC7A12">
              <w:rPr>
                <w:rFonts w:cs="Calibri"/>
                <w:color w:val="000000"/>
                <w:sz w:val="20"/>
                <w:szCs w:val="20"/>
              </w:rPr>
              <w:t>Sigren</w:t>
            </w:r>
            <w:proofErr w:type="spellEnd"/>
            <w:r w:rsidRPr="00BC7A12">
              <w:rPr>
                <w:rFonts w:cs="Calibri"/>
                <w:color w:val="000000"/>
                <w:sz w:val="20"/>
                <w:szCs w:val="20"/>
              </w:rPr>
              <w:t>. et al., 2018; The Effects of Coastal Dune Volume and Vegetation on Storm-Induced Property Damage: Analysis from Hurricane Ike</w:t>
            </w:r>
          </w:p>
        </w:tc>
      </w:tr>
      <w:tr w:rsidR="00483CFD" w:rsidRPr="00BC7A12" w14:paraId="1E5F27AB" w14:textId="77777777" w:rsidTr="0014568A">
        <w:trPr>
          <w:trHeight w:val="290"/>
        </w:trPr>
        <w:tc>
          <w:tcPr>
            <w:tcW w:w="591" w:type="dxa"/>
          </w:tcPr>
          <w:p w14:paraId="7DF09095"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tcPr>
          <w:p w14:paraId="10E78ED4" w14:textId="38D005AC" w:rsidR="00483CFD" w:rsidRPr="00BC7A12" w:rsidRDefault="00483CFD" w:rsidP="0014568A">
            <w:pPr>
              <w:spacing w:after="0" w:line="240" w:lineRule="auto"/>
              <w:jc w:val="left"/>
              <w:rPr>
                <w:rFonts w:cs="Calibri"/>
                <w:color w:val="000000"/>
                <w:sz w:val="20"/>
                <w:szCs w:val="20"/>
              </w:rPr>
            </w:pPr>
            <w:r w:rsidRPr="00BC7A12">
              <w:rPr>
                <w:rFonts w:cs="Calibri"/>
                <w:color w:val="000000"/>
                <w:sz w:val="20"/>
                <w:szCs w:val="20"/>
              </w:rPr>
              <w:t>Sun and Carson, 2020; Natural assets for flood and cyclone resilience: Synthesis of scientific evidence on the role of natural assets to reduce the human impacts of floods and cyclones</w:t>
            </w:r>
          </w:p>
        </w:tc>
      </w:tr>
      <w:tr w:rsidR="00483CFD" w:rsidRPr="00BC7A12" w14:paraId="5F5E3830" w14:textId="77777777" w:rsidTr="0014568A">
        <w:trPr>
          <w:trHeight w:val="290"/>
        </w:trPr>
        <w:tc>
          <w:tcPr>
            <w:tcW w:w="591" w:type="dxa"/>
          </w:tcPr>
          <w:p w14:paraId="43819DFE"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tcPr>
          <w:p w14:paraId="5E96EF11" w14:textId="1F7675F9" w:rsidR="00483CFD" w:rsidRPr="00BC7A12" w:rsidRDefault="00483CFD" w:rsidP="0014568A">
            <w:pPr>
              <w:spacing w:after="0" w:line="240" w:lineRule="auto"/>
              <w:jc w:val="left"/>
              <w:rPr>
                <w:rFonts w:cs="Calibri"/>
                <w:color w:val="000000"/>
                <w:sz w:val="20"/>
                <w:szCs w:val="20"/>
              </w:rPr>
            </w:pPr>
            <w:r w:rsidRPr="00BC7A12">
              <w:rPr>
                <w:rFonts w:cs="Calibri"/>
                <w:color w:val="000000"/>
                <w:sz w:val="20"/>
                <w:szCs w:val="20"/>
              </w:rPr>
              <w:t>Vázquez-González, et al., 2019; The value of coastal wetland flood prevention lost to urbanization on the coastal plain of the Gulf of Mexico: An analysis of flood damage by hurricane impacts</w:t>
            </w:r>
          </w:p>
        </w:tc>
      </w:tr>
      <w:tr w:rsidR="00483CFD" w:rsidRPr="00BC7A12" w14:paraId="59940672" w14:textId="77777777" w:rsidTr="0014568A">
        <w:trPr>
          <w:trHeight w:val="290"/>
        </w:trPr>
        <w:tc>
          <w:tcPr>
            <w:tcW w:w="591" w:type="dxa"/>
          </w:tcPr>
          <w:p w14:paraId="3C9E818C" w14:textId="77777777" w:rsidR="00483CFD" w:rsidRPr="00BC7A12" w:rsidRDefault="00483CFD" w:rsidP="00483CFD">
            <w:pPr>
              <w:pStyle w:val="ListParagraph"/>
              <w:numPr>
                <w:ilvl w:val="0"/>
                <w:numId w:val="20"/>
              </w:numPr>
              <w:spacing w:before="100" w:beforeAutospacing="1" w:after="100" w:afterAutospacing="1" w:line="240" w:lineRule="auto"/>
              <w:jc w:val="left"/>
              <w:rPr>
                <w:rFonts w:eastAsia="Times New Roman" w:cs="Calibri"/>
                <w:color w:val="000000"/>
                <w:sz w:val="20"/>
                <w:szCs w:val="20"/>
                <w:lang w:eastAsia="en-AU"/>
              </w:rPr>
            </w:pPr>
          </w:p>
        </w:tc>
        <w:tc>
          <w:tcPr>
            <w:tcW w:w="8425" w:type="dxa"/>
            <w:shd w:val="clear" w:color="auto" w:fill="auto"/>
            <w:noWrap/>
            <w:vAlign w:val="center"/>
          </w:tcPr>
          <w:p w14:paraId="27DCB838" w14:textId="1E9886CF" w:rsidR="00483CFD" w:rsidRPr="00BC7A12" w:rsidRDefault="00483CFD" w:rsidP="0014568A">
            <w:pPr>
              <w:spacing w:after="0" w:line="240" w:lineRule="auto"/>
              <w:jc w:val="left"/>
              <w:rPr>
                <w:rFonts w:cs="Calibri"/>
                <w:color w:val="000000"/>
                <w:sz w:val="20"/>
                <w:szCs w:val="20"/>
              </w:rPr>
            </w:pPr>
            <w:proofErr w:type="spellStart"/>
            <w:r w:rsidRPr="00BC7A12">
              <w:rPr>
                <w:rFonts w:cs="Calibri"/>
                <w:color w:val="000000"/>
                <w:sz w:val="20"/>
                <w:szCs w:val="20"/>
              </w:rPr>
              <w:t>Whiteoak</w:t>
            </w:r>
            <w:proofErr w:type="spellEnd"/>
            <w:r w:rsidRPr="00BC7A12">
              <w:rPr>
                <w:rFonts w:cs="Calibri"/>
                <w:color w:val="000000"/>
                <w:sz w:val="20"/>
                <w:szCs w:val="20"/>
              </w:rPr>
              <w:t>, et al., 2012; Literature Review of the Economic Value of Ecosystem Services that Wetlands Provide Final Report</w:t>
            </w:r>
          </w:p>
        </w:tc>
      </w:tr>
    </w:tbl>
    <w:p w14:paraId="6709CC92" w14:textId="2D905893" w:rsidR="00901422" w:rsidRPr="00BC7A12" w:rsidRDefault="00901422">
      <w:pPr>
        <w:spacing w:after="200" w:line="276" w:lineRule="auto"/>
        <w:jc w:val="left"/>
        <w:rPr>
          <w:rFonts w:cs="Calibri"/>
        </w:rPr>
      </w:pPr>
      <w:r w:rsidRPr="00BC7A12">
        <w:rPr>
          <w:rFonts w:cs="Calibri"/>
        </w:rPr>
        <w:t xml:space="preserve"> </w:t>
      </w:r>
    </w:p>
    <w:p w14:paraId="026AB246" w14:textId="4A67B263" w:rsidR="004C30BF" w:rsidRPr="00BC7A12" w:rsidRDefault="004C30BF">
      <w:pPr>
        <w:spacing w:after="200" w:line="276" w:lineRule="auto"/>
        <w:jc w:val="left"/>
        <w:rPr>
          <w:rFonts w:cs="Calibri"/>
        </w:rPr>
      </w:pPr>
      <w:r w:rsidRPr="00BC7A12">
        <w:rPr>
          <w:rFonts w:cs="Calibri"/>
        </w:rPr>
        <w:br w:type="page"/>
      </w:r>
    </w:p>
    <w:p w14:paraId="0DC472C2" w14:textId="30307EA6" w:rsidR="00377B1F" w:rsidRPr="00BC7A12" w:rsidRDefault="008C328B" w:rsidP="008C328B">
      <w:pPr>
        <w:pStyle w:val="Heading1"/>
        <w:rPr>
          <w:rFonts w:ascii="Calibri" w:hAnsi="Calibri" w:cs="Calibri"/>
        </w:rPr>
      </w:pPr>
      <w:bookmarkStart w:id="95" w:name="_Toc46822328"/>
      <w:r w:rsidRPr="00BC7A12">
        <w:rPr>
          <w:rFonts w:ascii="Calibri" w:hAnsi="Calibri" w:cs="Calibri"/>
        </w:rPr>
        <w:lastRenderedPageBreak/>
        <w:t>Appendix 2 List of experts interviewed</w:t>
      </w:r>
      <w:bookmarkEnd w:id="95"/>
      <w:r w:rsidRPr="00BC7A12">
        <w:rPr>
          <w:rFonts w:ascii="Calibri" w:hAnsi="Calibri" w:cs="Calibri"/>
        </w:rPr>
        <w:t xml:space="preserve"> </w:t>
      </w:r>
    </w:p>
    <w:p w14:paraId="4F776C36" w14:textId="114C2392" w:rsidR="008C328B" w:rsidRPr="00BC7A12" w:rsidRDefault="00EC1BAF">
      <w:pPr>
        <w:spacing w:after="200" w:line="276" w:lineRule="auto"/>
        <w:jc w:val="left"/>
        <w:rPr>
          <w:rFonts w:cs="Calibri"/>
        </w:rPr>
      </w:pPr>
      <w:r w:rsidRPr="00BC7A12">
        <w:rPr>
          <w:rFonts w:cs="Calibri"/>
        </w:rPr>
        <w:t xml:space="preserve">The following experts were interviewed. The MS Excel file </w:t>
      </w:r>
      <w:r w:rsidRPr="00BC7A12">
        <w:rPr>
          <w:rFonts w:cs="Calibri"/>
        </w:rPr>
        <w:fldChar w:fldCharType="begin" w:fldLock="1"/>
      </w:r>
      <w:r w:rsidR="008829D2" w:rsidRPr="00BC7A12">
        <w:rPr>
          <w:rFonts w:cs="Calibri"/>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Data from literature review","type":"article"},"uris":["http://www.mendeley.com/documents/?uuid=97883741-2b1e-49b5-b4cd-33f743e3d25c"]}],"mendeley":{"formattedCitation":"(IDEEA Group 2020a)","manualFormatting":"(IDEEA Group 2020a)","plainTextFormattedCitation":"(IDEEA Group 2020a)","previouslyFormattedCitation":"(IDEEA Group 2020a)"},"properties":{"noteIndex":0},"schema":"https://github.com/citation-style-language/schema/raw/master/csl-citation.json"}</w:instrText>
      </w:r>
      <w:r w:rsidRPr="00BC7A12">
        <w:rPr>
          <w:rFonts w:cs="Calibri"/>
        </w:rPr>
        <w:fldChar w:fldCharType="separate"/>
      </w:r>
      <w:r w:rsidRPr="00BC7A12">
        <w:rPr>
          <w:rFonts w:cs="Calibri"/>
          <w:noProof/>
        </w:rPr>
        <w:t>(IDEEA Group 2020</w:t>
      </w:r>
      <w:r w:rsidR="002F3371" w:rsidRPr="00BC7A12">
        <w:rPr>
          <w:rFonts w:cs="Calibri"/>
          <w:noProof/>
        </w:rPr>
        <w:t>a</w:t>
      </w:r>
      <w:r w:rsidRPr="00BC7A12">
        <w:rPr>
          <w:rFonts w:cs="Calibri"/>
          <w:noProof/>
        </w:rPr>
        <w:t>)</w:t>
      </w:r>
      <w:r w:rsidRPr="00BC7A12">
        <w:rPr>
          <w:rFonts w:cs="Calibri"/>
        </w:rPr>
        <w:fldChar w:fldCharType="end"/>
      </w:r>
      <w:r w:rsidRPr="00BC7A12">
        <w:rPr>
          <w:rFonts w:cs="Calibri"/>
        </w:rPr>
        <w:t xml:space="preserve"> provided with this report contains notes from the discussions</w:t>
      </w:r>
      <w:r w:rsidR="003B591B" w:rsidRPr="00BC7A12">
        <w:rPr>
          <w:rFonts w:cs="Calibri"/>
        </w:rPr>
        <w:t xml:space="preserve"> with each expert</w:t>
      </w:r>
      <w:r w:rsidRPr="00BC7A12">
        <w:rPr>
          <w:rFonts w:cs="Calibri"/>
        </w:rPr>
        <w:t xml:space="preserve">. </w:t>
      </w:r>
    </w:p>
    <w:tbl>
      <w:tblPr>
        <w:tblW w:w="0" w:type="auto"/>
        <w:tblLook w:val="04A0" w:firstRow="1" w:lastRow="0" w:firstColumn="1" w:lastColumn="0" w:noHBand="0" w:noVBand="1"/>
      </w:tblPr>
      <w:tblGrid>
        <w:gridCol w:w="538"/>
        <w:gridCol w:w="1857"/>
        <w:gridCol w:w="6616"/>
      </w:tblGrid>
      <w:tr w:rsidR="00BD570D" w:rsidRPr="00BC7A12" w14:paraId="332BB69A" w14:textId="77777777" w:rsidTr="00B13E45">
        <w:trPr>
          <w:trHeight w:val="320"/>
        </w:trPr>
        <w:tc>
          <w:tcPr>
            <w:tcW w:w="0" w:type="auto"/>
            <w:tcBorders>
              <w:top w:val="single" w:sz="8" w:space="0" w:color="auto"/>
              <w:left w:val="single" w:sz="8" w:space="0" w:color="auto"/>
              <w:bottom w:val="single" w:sz="8" w:space="0" w:color="auto"/>
              <w:right w:val="single" w:sz="8" w:space="0" w:color="auto"/>
            </w:tcBorders>
            <w:vAlign w:val="center"/>
          </w:tcPr>
          <w:p w14:paraId="3B3F5888" w14:textId="214B7E2A" w:rsidR="00BD570D" w:rsidRPr="00BC7A12" w:rsidRDefault="00BD570D" w:rsidP="00EB1058">
            <w:pPr>
              <w:spacing w:after="0" w:line="240" w:lineRule="auto"/>
              <w:jc w:val="left"/>
              <w:rPr>
                <w:rFonts w:eastAsia="Times New Roman" w:cs="Calibri"/>
                <w:b/>
                <w:bCs/>
                <w:color w:val="000000"/>
                <w:lang w:eastAsia="en-AU"/>
              </w:rPr>
            </w:pPr>
            <w:r w:rsidRPr="00BC7A12">
              <w:rPr>
                <w:rFonts w:eastAsia="Times New Roman" w:cs="Calibri"/>
                <w:b/>
                <w:bCs/>
                <w:color w:val="000000"/>
                <w:lang w:eastAsia="en-AU"/>
              </w:rPr>
              <w:t xml:space="preserve">No.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9C84075" w14:textId="069C74F4" w:rsidR="00BD570D" w:rsidRPr="00BC7A12" w:rsidRDefault="00BD570D" w:rsidP="00EB1058">
            <w:pPr>
              <w:spacing w:after="0" w:line="240" w:lineRule="auto"/>
              <w:jc w:val="left"/>
              <w:rPr>
                <w:rFonts w:eastAsia="Times New Roman" w:cs="Calibri"/>
                <w:b/>
                <w:bCs/>
                <w:color w:val="000000"/>
                <w:lang w:eastAsia="en-AU"/>
              </w:rPr>
            </w:pPr>
            <w:r w:rsidRPr="00BC7A12">
              <w:rPr>
                <w:rFonts w:eastAsia="Times New Roman" w:cs="Calibri"/>
                <w:b/>
                <w:bCs/>
                <w:color w:val="000000"/>
                <w:lang w:eastAsia="en-AU"/>
              </w:rPr>
              <w:t>Name</w:t>
            </w:r>
          </w:p>
        </w:tc>
        <w:tc>
          <w:tcPr>
            <w:tcW w:w="0" w:type="auto"/>
            <w:tcBorders>
              <w:top w:val="single" w:sz="8" w:space="0" w:color="auto"/>
              <w:left w:val="single" w:sz="4" w:space="0" w:color="auto"/>
              <w:bottom w:val="single" w:sz="8" w:space="0" w:color="auto"/>
              <w:right w:val="single" w:sz="4" w:space="0" w:color="auto"/>
            </w:tcBorders>
            <w:shd w:val="clear" w:color="auto" w:fill="auto"/>
            <w:vAlign w:val="center"/>
            <w:hideMark/>
          </w:tcPr>
          <w:p w14:paraId="125DCA6F" w14:textId="77777777" w:rsidR="00BD570D" w:rsidRPr="00BC7A12" w:rsidRDefault="00BD570D" w:rsidP="00EB1058">
            <w:pPr>
              <w:spacing w:after="0" w:line="240" w:lineRule="auto"/>
              <w:jc w:val="left"/>
              <w:rPr>
                <w:rFonts w:eastAsia="Times New Roman" w:cs="Calibri"/>
                <w:b/>
                <w:bCs/>
                <w:color w:val="000000"/>
                <w:lang w:eastAsia="en-AU"/>
              </w:rPr>
            </w:pPr>
            <w:r w:rsidRPr="00BC7A12">
              <w:rPr>
                <w:rFonts w:eastAsia="Times New Roman" w:cs="Calibri"/>
                <w:b/>
                <w:bCs/>
                <w:color w:val="000000"/>
                <w:lang w:eastAsia="en-AU"/>
              </w:rPr>
              <w:t xml:space="preserve">Organization </w:t>
            </w:r>
          </w:p>
        </w:tc>
      </w:tr>
      <w:tr w:rsidR="00BD570D" w:rsidRPr="00BC7A12" w14:paraId="62D1F75C" w14:textId="77777777" w:rsidTr="00B13E45">
        <w:trPr>
          <w:trHeight w:val="310"/>
        </w:trPr>
        <w:tc>
          <w:tcPr>
            <w:tcW w:w="0" w:type="auto"/>
            <w:tcBorders>
              <w:top w:val="single" w:sz="4" w:space="0" w:color="auto"/>
              <w:left w:val="single" w:sz="8" w:space="0" w:color="auto"/>
              <w:bottom w:val="single" w:sz="4" w:space="0" w:color="auto"/>
              <w:right w:val="single" w:sz="8" w:space="0" w:color="auto"/>
            </w:tcBorders>
            <w:vAlign w:val="center"/>
          </w:tcPr>
          <w:p w14:paraId="55A7692B" w14:textId="77777777" w:rsidR="00BD570D" w:rsidRPr="00BC7A12" w:rsidRDefault="00BD570D" w:rsidP="00BD570D">
            <w:pPr>
              <w:pStyle w:val="ListParagraph"/>
              <w:numPr>
                <w:ilvl w:val="0"/>
                <w:numId w:val="42"/>
              </w:numPr>
              <w:spacing w:after="0" w:line="240" w:lineRule="auto"/>
              <w:jc w:val="left"/>
              <w:rPr>
                <w:rFonts w:eastAsia="Times New Roman" w:cs="Calibri"/>
                <w:color w:val="000000"/>
                <w:lang w:eastAsia="en-AU"/>
              </w:rPr>
            </w:pP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2F090737" w14:textId="08343379"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Dr. Simone Maynard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669795" w14:textId="77777777"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University of the Sunshine Coast/IUCN</w:t>
            </w:r>
          </w:p>
        </w:tc>
      </w:tr>
      <w:tr w:rsidR="00BD570D" w:rsidRPr="00BC7A12" w14:paraId="58A388CB" w14:textId="77777777" w:rsidTr="00B13E45">
        <w:trPr>
          <w:trHeight w:val="310"/>
        </w:trPr>
        <w:tc>
          <w:tcPr>
            <w:tcW w:w="0" w:type="auto"/>
            <w:tcBorders>
              <w:top w:val="nil"/>
              <w:left w:val="single" w:sz="8" w:space="0" w:color="auto"/>
              <w:bottom w:val="single" w:sz="4" w:space="0" w:color="auto"/>
              <w:right w:val="single" w:sz="8" w:space="0" w:color="auto"/>
            </w:tcBorders>
            <w:vAlign w:val="center"/>
          </w:tcPr>
          <w:p w14:paraId="020D6471" w14:textId="77777777" w:rsidR="00BD570D" w:rsidRPr="00BC7A12" w:rsidRDefault="00BD570D" w:rsidP="00BD570D">
            <w:pPr>
              <w:pStyle w:val="ListParagraph"/>
              <w:numPr>
                <w:ilvl w:val="0"/>
                <w:numId w:val="42"/>
              </w:numPr>
              <w:spacing w:after="0" w:line="240" w:lineRule="auto"/>
              <w:jc w:val="left"/>
              <w:rPr>
                <w:rFonts w:eastAsia="Times New Roman" w:cs="Calibri"/>
                <w:color w:val="000000"/>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0B6229" w14:textId="127A8A04"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 xml:space="preserve">Dr. Jeffrey </w:t>
            </w:r>
            <w:proofErr w:type="spellStart"/>
            <w:r w:rsidRPr="00BC7A12">
              <w:rPr>
                <w:rFonts w:eastAsia="Times New Roman" w:cs="Calibri"/>
                <w:color w:val="000000"/>
                <w:lang w:eastAsia="en-AU"/>
              </w:rPr>
              <w:t>Wielgus</w:t>
            </w:r>
            <w:proofErr w:type="spellEnd"/>
            <w:r w:rsidRPr="00BC7A12">
              <w:rPr>
                <w:rFonts w:eastAsia="Times New Roman" w:cs="Calibri"/>
                <w:color w:val="000000"/>
                <w:lang w:eastAsia="en-AU"/>
              </w:rPr>
              <w:t xml:space="preserve">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C17B49" w14:textId="77777777"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U.S. National Oceanic and Atmospheric Administration (NOAA)</w:t>
            </w:r>
          </w:p>
        </w:tc>
      </w:tr>
      <w:tr w:rsidR="00BD570D" w:rsidRPr="00BC7A12" w14:paraId="466B042B"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7856730C" w14:textId="77777777" w:rsidR="00BD570D" w:rsidRPr="00BC7A12" w:rsidRDefault="00BD570D" w:rsidP="00BD570D">
            <w:pPr>
              <w:pStyle w:val="ListParagraph"/>
              <w:numPr>
                <w:ilvl w:val="0"/>
                <w:numId w:val="42"/>
              </w:numPr>
              <w:spacing w:after="0" w:line="240" w:lineRule="auto"/>
              <w:jc w:val="left"/>
              <w:rPr>
                <w:rFonts w:eastAsia="Times New Roman" w:cs="Calibri"/>
                <w:color w:val="000000"/>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4C3B575" w14:textId="2A5381A1"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 xml:space="preserve">Mike </w:t>
            </w:r>
            <w:r w:rsidR="003F30F8" w:rsidRPr="00BC7A12">
              <w:rPr>
                <w:rFonts w:eastAsia="Times New Roman" w:cs="Calibri"/>
                <w:color w:val="000000"/>
                <w:lang w:eastAsia="en-AU"/>
              </w:rPr>
              <w:t>Ronan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14F796" w14:textId="3F0C884F" w:rsidR="00BD570D" w:rsidRPr="00BC7A12" w:rsidRDefault="00BD570D" w:rsidP="00624EFB">
            <w:pPr>
              <w:spacing w:after="0" w:line="240" w:lineRule="auto"/>
              <w:jc w:val="left"/>
              <w:rPr>
                <w:rFonts w:eastAsia="Times New Roman" w:cs="Calibri"/>
                <w:color w:val="000000"/>
                <w:lang w:eastAsia="en-AU"/>
              </w:rPr>
            </w:pPr>
            <w:r w:rsidRPr="00BC7A12">
              <w:rPr>
                <w:rFonts w:eastAsia="Times New Roman" w:cs="Calibri"/>
                <w:color w:val="000000"/>
                <w:lang w:eastAsia="en-AU"/>
              </w:rPr>
              <w:t>Q</w:t>
            </w:r>
            <w:r w:rsidR="00624EFB" w:rsidRPr="00BC7A12">
              <w:rPr>
                <w:rFonts w:eastAsia="Times New Roman" w:cs="Calibri"/>
                <w:color w:val="000000"/>
                <w:lang w:eastAsia="en-AU"/>
              </w:rPr>
              <w:t>ueensland Wetlands Program,</w:t>
            </w:r>
            <w:r w:rsidRPr="00BC7A12">
              <w:rPr>
                <w:rFonts w:eastAsia="Times New Roman" w:cs="Calibri"/>
                <w:color w:val="000000"/>
                <w:lang w:eastAsia="en-AU"/>
              </w:rPr>
              <w:t xml:space="preserve"> Department of Environment and Science </w:t>
            </w:r>
          </w:p>
        </w:tc>
      </w:tr>
      <w:tr w:rsidR="00BD570D" w:rsidRPr="00BC7A12" w14:paraId="0DE3420D"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3D2A51B7" w14:textId="77777777" w:rsidR="00BD570D" w:rsidRPr="00BC7A12" w:rsidRDefault="00BD570D" w:rsidP="00BD570D">
            <w:pPr>
              <w:pStyle w:val="ListParagraph"/>
              <w:numPr>
                <w:ilvl w:val="0"/>
                <w:numId w:val="42"/>
              </w:numPr>
              <w:spacing w:after="0" w:line="240" w:lineRule="auto"/>
              <w:jc w:val="left"/>
              <w:rPr>
                <w:rFonts w:eastAsia="Times New Roman" w:cs="Calibri"/>
                <w:color w:val="000000"/>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28BB4D3" w14:textId="278890DE" w:rsidR="00BD570D" w:rsidRPr="00BC7A12" w:rsidRDefault="00BD570D" w:rsidP="00EB1058">
            <w:pPr>
              <w:spacing w:after="0" w:line="240" w:lineRule="auto"/>
              <w:jc w:val="left"/>
              <w:rPr>
                <w:rFonts w:eastAsia="Times New Roman" w:cs="Calibri"/>
                <w:color w:val="000000"/>
                <w:lang w:eastAsia="en-AU"/>
              </w:rPr>
            </w:pPr>
            <w:proofErr w:type="spellStart"/>
            <w:r w:rsidRPr="00BC7A12">
              <w:rPr>
                <w:rFonts w:eastAsia="Times New Roman" w:cs="Calibri"/>
                <w:color w:val="000000"/>
                <w:lang w:eastAsia="en-AU"/>
              </w:rPr>
              <w:t>Sel</w:t>
            </w:r>
            <w:proofErr w:type="spellEnd"/>
            <w:r w:rsidRPr="00BC7A12">
              <w:rPr>
                <w:rFonts w:eastAsia="Times New Roman" w:cs="Calibri"/>
                <w:color w:val="000000"/>
                <w:lang w:eastAsia="en-AU"/>
              </w:rPr>
              <w:t xml:space="preserve"> </w:t>
            </w:r>
            <w:proofErr w:type="spellStart"/>
            <w:r w:rsidRPr="00BC7A12">
              <w:rPr>
                <w:rFonts w:eastAsia="Times New Roman" w:cs="Calibri"/>
                <w:color w:val="000000"/>
                <w:lang w:eastAsia="en-AU"/>
              </w:rPr>
              <w:t>Sultmann</w:t>
            </w:r>
            <w:proofErr w:type="spellEnd"/>
            <w:r w:rsidRPr="00BC7A12">
              <w:rPr>
                <w:rFonts w:eastAsia="Times New Roman" w:cs="Calibri"/>
                <w:color w:val="000000"/>
                <w:lang w:eastAsia="en-AU"/>
              </w:rPr>
              <w:t xml:space="preserve">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A4B5E8" w14:textId="1301BF41" w:rsidR="00BD570D" w:rsidRPr="00BC7A12" w:rsidRDefault="003F30F8"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Coastal Planning</w:t>
            </w:r>
            <w:r w:rsidR="00BD570D" w:rsidRPr="00BC7A12">
              <w:rPr>
                <w:rFonts w:eastAsia="Times New Roman" w:cs="Calibri"/>
                <w:color w:val="000000"/>
                <w:lang w:eastAsia="en-AU"/>
              </w:rPr>
              <w:t xml:space="preserve">, Department of Environment and Science </w:t>
            </w:r>
          </w:p>
        </w:tc>
      </w:tr>
      <w:tr w:rsidR="00BD570D" w:rsidRPr="00BC7A12" w14:paraId="18D1C089"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265BC001" w14:textId="77777777" w:rsidR="00BD570D" w:rsidRPr="00BC7A12" w:rsidRDefault="00BD570D" w:rsidP="00BD570D">
            <w:pPr>
              <w:pStyle w:val="ListParagraph"/>
              <w:numPr>
                <w:ilvl w:val="0"/>
                <w:numId w:val="42"/>
              </w:numPr>
              <w:spacing w:after="0" w:line="240" w:lineRule="auto"/>
              <w:jc w:val="left"/>
              <w:rPr>
                <w:rFonts w:eastAsia="Times New Roman" w:cs="Calibri"/>
                <w:color w:val="000000"/>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69AC1C" w14:textId="1B8DB4BF"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Dr Mike Coote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FCA1A4" w14:textId="77777777"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WA, Wetlands Section, Department of Biodiversity, Conservation and Attractions</w:t>
            </w:r>
          </w:p>
        </w:tc>
      </w:tr>
      <w:tr w:rsidR="00BD570D" w:rsidRPr="00BC7A12" w14:paraId="57F84658"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7749C00D" w14:textId="77777777" w:rsidR="00BD570D" w:rsidRPr="00BC7A12" w:rsidRDefault="00BD570D" w:rsidP="00BD570D">
            <w:pPr>
              <w:pStyle w:val="ListParagraph"/>
              <w:numPr>
                <w:ilvl w:val="0"/>
                <w:numId w:val="42"/>
              </w:numPr>
              <w:spacing w:after="0" w:line="240" w:lineRule="auto"/>
              <w:jc w:val="left"/>
              <w:rPr>
                <w:rFonts w:eastAsia="Times New Roman" w:cs="Calibri"/>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1D404D6" w14:textId="28E1BE2E"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Dr Alaric Fisher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CA6100" w14:textId="77777777"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NT, Species Conservation, Department of Environment and Natural Resources</w:t>
            </w:r>
          </w:p>
        </w:tc>
      </w:tr>
      <w:tr w:rsidR="00BD570D" w:rsidRPr="00BC7A12" w14:paraId="6057B03E"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028E274C" w14:textId="77777777" w:rsidR="00BD570D" w:rsidRPr="00BC7A12" w:rsidRDefault="00BD570D" w:rsidP="00BD570D">
            <w:pPr>
              <w:pStyle w:val="ListParagraph"/>
              <w:numPr>
                <w:ilvl w:val="0"/>
                <w:numId w:val="42"/>
              </w:numPr>
              <w:spacing w:after="0" w:line="240" w:lineRule="auto"/>
              <w:jc w:val="left"/>
              <w:rPr>
                <w:rFonts w:eastAsia="Times New Roman" w:cs="Calibri"/>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AAF75DB" w14:textId="6359AEA7"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Andrew Crane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849553B" w14:textId="77777777"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 xml:space="preserve">TAS, Policy and Conservation Advice Branch, Department of Primary Industries, Parks, Water and Environment </w:t>
            </w:r>
          </w:p>
        </w:tc>
      </w:tr>
      <w:tr w:rsidR="00BD570D" w:rsidRPr="00BC7A12" w14:paraId="21191813"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109CDA75" w14:textId="77777777" w:rsidR="00BD570D" w:rsidRPr="00BC7A12" w:rsidRDefault="00BD570D" w:rsidP="00BD570D">
            <w:pPr>
              <w:pStyle w:val="ListParagraph"/>
              <w:numPr>
                <w:ilvl w:val="0"/>
                <w:numId w:val="42"/>
              </w:numPr>
              <w:spacing w:after="0" w:line="240" w:lineRule="auto"/>
              <w:jc w:val="left"/>
              <w:rPr>
                <w:rFonts w:eastAsia="Times New Roman" w:cs="Calibri"/>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112560" w14:textId="3EDFFA11"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 xml:space="preserve">Dr. </w:t>
            </w:r>
            <w:r w:rsidR="00CA2A50">
              <w:rPr>
                <w:rFonts w:eastAsia="Times New Roman" w:cs="Calibri"/>
                <w:lang w:eastAsia="en-AU"/>
              </w:rPr>
              <w:t>Michael</w:t>
            </w:r>
            <w:r w:rsidRPr="00BC7A12">
              <w:rPr>
                <w:rFonts w:eastAsia="Times New Roman" w:cs="Calibri"/>
                <w:lang w:eastAsia="en-AU"/>
              </w:rPr>
              <w:t xml:space="preserve"> </w:t>
            </w:r>
            <w:proofErr w:type="spellStart"/>
            <w:r w:rsidRPr="00BC7A12">
              <w:rPr>
                <w:rFonts w:eastAsia="Times New Roman" w:cs="Calibri"/>
                <w:lang w:eastAsia="en-AU"/>
              </w:rPr>
              <w:t>Bordt</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D38819" w14:textId="77777777"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ESCAP</w:t>
            </w:r>
          </w:p>
        </w:tc>
      </w:tr>
      <w:tr w:rsidR="00BD570D" w:rsidRPr="00BC7A12" w14:paraId="52036EDD" w14:textId="77777777" w:rsidTr="00B13E45">
        <w:trPr>
          <w:trHeight w:val="440"/>
        </w:trPr>
        <w:tc>
          <w:tcPr>
            <w:tcW w:w="0" w:type="auto"/>
            <w:tcBorders>
              <w:top w:val="nil"/>
              <w:left w:val="single" w:sz="8" w:space="0" w:color="auto"/>
              <w:bottom w:val="single" w:sz="4" w:space="0" w:color="auto"/>
              <w:right w:val="single" w:sz="8" w:space="0" w:color="auto"/>
            </w:tcBorders>
            <w:vAlign w:val="center"/>
          </w:tcPr>
          <w:p w14:paraId="72D1E7C8" w14:textId="77777777" w:rsidR="00BD570D" w:rsidRPr="00BC7A12" w:rsidRDefault="00BD570D" w:rsidP="00BD570D">
            <w:pPr>
              <w:pStyle w:val="ListParagraph"/>
              <w:numPr>
                <w:ilvl w:val="0"/>
                <w:numId w:val="42"/>
              </w:numPr>
              <w:spacing w:after="0" w:line="240" w:lineRule="auto"/>
              <w:jc w:val="left"/>
              <w:rPr>
                <w:rFonts w:eastAsia="Times New Roman" w:cs="Calibri"/>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ABD6771" w14:textId="6C75808F"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 xml:space="preserve">Tamara van </w:t>
            </w:r>
            <w:proofErr w:type="spellStart"/>
            <w:r w:rsidRPr="00BC7A12">
              <w:rPr>
                <w:rFonts w:eastAsia="Times New Roman" w:cs="Calibri"/>
                <w:lang w:eastAsia="en-AU"/>
              </w:rPr>
              <w:t>Polanen</w:t>
            </w:r>
            <w:proofErr w:type="spellEnd"/>
            <w:r w:rsidRPr="00BC7A12">
              <w:rPr>
                <w:rFonts w:eastAsia="Times New Roman" w:cs="Calibri"/>
                <w:lang w:eastAsia="en-AU"/>
              </w:rPr>
              <w:t xml:space="preserve"> </w:t>
            </w:r>
            <w:proofErr w:type="spellStart"/>
            <w:r w:rsidRPr="00BC7A12">
              <w:rPr>
                <w:rFonts w:eastAsia="Times New Roman" w:cs="Calibri"/>
                <w:lang w:eastAsia="en-AU"/>
              </w:rPr>
              <w:t>Petel</w:t>
            </w:r>
            <w:proofErr w:type="spellEnd"/>
            <w:r w:rsidRPr="00BC7A12">
              <w:rPr>
                <w:rFonts w:eastAsia="Times New Roman" w:cs="Calibri"/>
                <w:lang w:eastAsia="en-AU"/>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365263" w14:textId="77777777"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 xml:space="preserve">Port Phillip Bay Coastal Hazard Assessment </w:t>
            </w:r>
          </w:p>
        </w:tc>
      </w:tr>
      <w:tr w:rsidR="00BD570D" w:rsidRPr="00BC7A12" w14:paraId="52ABCF05"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4E38EB9B" w14:textId="77777777" w:rsidR="00BD570D" w:rsidRPr="00BC7A12" w:rsidRDefault="00BD570D" w:rsidP="00BD570D">
            <w:pPr>
              <w:pStyle w:val="ListParagraph"/>
              <w:numPr>
                <w:ilvl w:val="0"/>
                <w:numId w:val="42"/>
              </w:numPr>
              <w:spacing w:after="0" w:line="240" w:lineRule="auto"/>
              <w:jc w:val="left"/>
              <w:rPr>
                <w:rFonts w:eastAsia="Times New Roman" w:cs="Calibri"/>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8C0F863" w14:textId="79B5CAFB" w:rsidR="00BD570D" w:rsidRPr="00BC7A12" w:rsidRDefault="00BD570D" w:rsidP="00EB1058">
            <w:pPr>
              <w:spacing w:after="0" w:line="240" w:lineRule="auto"/>
              <w:jc w:val="left"/>
              <w:rPr>
                <w:rFonts w:eastAsia="Times New Roman" w:cs="Calibri"/>
                <w:lang w:eastAsia="en-AU"/>
              </w:rPr>
            </w:pPr>
            <w:proofErr w:type="spellStart"/>
            <w:r w:rsidRPr="00BC7A12">
              <w:rPr>
                <w:rFonts w:eastAsia="Times New Roman" w:cs="Calibri"/>
                <w:lang w:eastAsia="en-AU"/>
              </w:rPr>
              <w:t>Lawrance</w:t>
            </w:r>
            <w:proofErr w:type="spellEnd"/>
            <w:r w:rsidRPr="00BC7A12">
              <w:rPr>
                <w:rFonts w:eastAsia="Times New Roman" w:cs="Calibri"/>
                <w:lang w:eastAsia="en-AU"/>
              </w:rPr>
              <w:t xml:space="preserve"> Ferns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05E194" w14:textId="77777777"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 xml:space="preserve">Marine Policy (VIC) </w:t>
            </w:r>
          </w:p>
        </w:tc>
      </w:tr>
      <w:tr w:rsidR="00BD570D" w:rsidRPr="00BC7A12" w14:paraId="3F51B6D0"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1663D558" w14:textId="77777777" w:rsidR="00BD570D" w:rsidRPr="00BC7A12" w:rsidRDefault="00BD570D" w:rsidP="00BD570D">
            <w:pPr>
              <w:pStyle w:val="ListParagraph"/>
              <w:numPr>
                <w:ilvl w:val="0"/>
                <w:numId w:val="42"/>
              </w:numPr>
              <w:spacing w:after="0" w:line="240" w:lineRule="auto"/>
              <w:jc w:val="left"/>
              <w:rPr>
                <w:rFonts w:eastAsia="Times New Roman" w:cs="Calibri"/>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431CE02" w14:textId="78B36CDA"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Dr. Karl Mallon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B8D861" w14:textId="77777777"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 xml:space="preserve">Climate Risk Pty Ltd, XDI Systems, climatevaluation.com </w:t>
            </w:r>
          </w:p>
        </w:tc>
      </w:tr>
      <w:tr w:rsidR="00BD570D" w:rsidRPr="00BC7A12" w14:paraId="4B2280DA" w14:textId="77777777" w:rsidTr="00B13E45">
        <w:trPr>
          <w:trHeight w:val="400"/>
        </w:trPr>
        <w:tc>
          <w:tcPr>
            <w:tcW w:w="0" w:type="auto"/>
            <w:tcBorders>
              <w:top w:val="nil"/>
              <w:left w:val="single" w:sz="8" w:space="0" w:color="auto"/>
              <w:bottom w:val="single" w:sz="4" w:space="0" w:color="auto"/>
              <w:right w:val="single" w:sz="8" w:space="0" w:color="auto"/>
            </w:tcBorders>
            <w:vAlign w:val="center"/>
          </w:tcPr>
          <w:p w14:paraId="7EF19A0C" w14:textId="77777777" w:rsidR="00BD570D" w:rsidRPr="00BC7A12" w:rsidRDefault="00BD570D" w:rsidP="00BD570D">
            <w:pPr>
              <w:pStyle w:val="ListParagraph"/>
              <w:numPr>
                <w:ilvl w:val="0"/>
                <w:numId w:val="42"/>
              </w:numPr>
              <w:spacing w:after="0" w:line="240" w:lineRule="auto"/>
              <w:jc w:val="left"/>
              <w:rPr>
                <w:rFonts w:eastAsia="Times New Roman" w:cs="Calibri"/>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DF1E88" w14:textId="0EFC450C"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 xml:space="preserve">Dr. Rebecca Cunningham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A3207F" w14:textId="77777777"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Institute for Sustainable Futures (University of Technology Sydney)</w:t>
            </w:r>
          </w:p>
        </w:tc>
      </w:tr>
      <w:tr w:rsidR="00BD570D" w:rsidRPr="00BC7A12" w14:paraId="6AFA6270"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12EC2387" w14:textId="77777777" w:rsidR="00BD570D" w:rsidRPr="00BC7A12" w:rsidRDefault="00BD570D" w:rsidP="00BD570D">
            <w:pPr>
              <w:pStyle w:val="ListParagraph"/>
              <w:numPr>
                <w:ilvl w:val="0"/>
                <w:numId w:val="42"/>
              </w:numPr>
              <w:spacing w:after="0" w:line="240" w:lineRule="auto"/>
              <w:jc w:val="left"/>
              <w:rPr>
                <w:rFonts w:eastAsia="Times New Roman" w:cs="Calibri"/>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5B60770" w14:textId="15AFC383"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 xml:space="preserve">Dr. </w:t>
            </w:r>
            <w:proofErr w:type="spellStart"/>
            <w:r w:rsidRPr="00BC7A12">
              <w:rPr>
                <w:rFonts w:eastAsia="Times New Roman" w:cs="Calibri"/>
                <w:lang w:eastAsia="en-AU"/>
              </w:rPr>
              <w:t>Brendt</w:t>
            </w:r>
            <w:proofErr w:type="spellEnd"/>
            <w:r w:rsidRPr="00BC7A12">
              <w:rPr>
                <w:rFonts w:eastAsia="Times New Roman" w:cs="Calibri"/>
                <w:lang w:eastAsia="en-AU"/>
              </w:rPr>
              <w:t xml:space="preserve"> Jacobs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47F7CE" w14:textId="77777777"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Institute for Sustainable Futures (University of Technology Sydney)</w:t>
            </w:r>
          </w:p>
        </w:tc>
      </w:tr>
      <w:tr w:rsidR="00BD570D" w:rsidRPr="00BC7A12" w14:paraId="14779759" w14:textId="77777777" w:rsidTr="00B13E45">
        <w:trPr>
          <w:trHeight w:val="350"/>
        </w:trPr>
        <w:tc>
          <w:tcPr>
            <w:tcW w:w="0" w:type="auto"/>
            <w:tcBorders>
              <w:top w:val="nil"/>
              <w:left w:val="single" w:sz="8" w:space="0" w:color="auto"/>
              <w:bottom w:val="single" w:sz="4" w:space="0" w:color="auto"/>
              <w:right w:val="single" w:sz="8" w:space="0" w:color="auto"/>
            </w:tcBorders>
            <w:vAlign w:val="center"/>
          </w:tcPr>
          <w:p w14:paraId="281F8BB0" w14:textId="77777777" w:rsidR="00BD570D" w:rsidRPr="00BC7A12" w:rsidRDefault="00BD570D" w:rsidP="00BD570D">
            <w:pPr>
              <w:pStyle w:val="ListParagraph"/>
              <w:numPr>
                <w:ilvl w:val="0"/>
                <w:numId w:val="42"/>
              </w:numPr>
              <w:spacing w:after="0" w:line="240" w:lineRule="auto"/>
              <w:jc w:val="left"/>
              <w:rPr>
                <w:rFonts w:eastAsia="Times New Roman" w:cs="Calibri"/>
                <w:lang w:eastAsia="en-AU"/>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29F6344" w14:textId="5ED61218" w:rsidR="00BD570D" w:rsidRPr="00BC7A12" w:rsidRDefault="00BD570D" w:rsidP="00EB1058">
            <w:pPr>
              <w:spacing w:after="0" w:line="240" w:lineRule="auto"/>
              <w:jc w:val="left"/>
              <w:rPr>
                <w:rFonts w:eastAsia="Times New Roman" w:cs="Calibri"/>
                <w:lang w:eastAsia="en-AU"/>
              </w:rPr>
            </w:pPr>
            <w:r w:rsidRPr="00BC7A12">
              <w:rPr>
                <w:rFonts w:eastAsia="Times New Roman" w:cs="Calibri"/>
                <w:lang w:eastAsia="en-AU"/>
              </w:rPr>
              <w:t xml:space="preserve">Dr. Roel Plant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AFF5DA" w14:textId="77777777" w:rsidR="00BD570D" w:rsidRPr="00BC7A12" w:rsidRDefault="00BD570D" w:rsidP="00EB1058">
            <w:pPr>
              <w:spacing w:after="0" w:line="240" w:lineRule="auto"/>
              <w:jc w:val="left"/>
              <w:rPr>
                <w:rFonts w:eastAsia="Times New Roman" w:cs="Calibri"/>
                <w:color w:val="000000"/>
                <w:lang w:eastAsia="en-AU"/>
              </w:rPr>
            </w:pPr>
            <w:r w:rsidRPr="00BC7A12">
              <w:rPr>
                <w:rFonts w:eastAsia="Times New Roman" w:cs="Calibri"/>
                <w:color w:val="000000"/>
                <w:lang w:eastAsia="en-AU"/>
              </w:rPr>
              <w:t>Institute for Sustainable Futures (University of Technology Sydney)</w:t>
            </w:r>
          </w:p>
        </w:tc>
      </w:tr>
    </w:tbl>
    <w:p w14:paraId="316C0539" w14:textId="1B29501B" w:rsidR="008C328B" w:rsidRPr="00BC7A12" w:rsidRDefault="008C328B">
      <w:pPr>
        <w:spacing w:after="200" w:line="276" w:lineRule="auto"/>
        <w:jc w:val="left"/>
        <w:rPr>
          <w:rFonts w:cs="Calibri"/>
        </w:rPr>
      </w:pPr>
    </w:p>
    <w:p w14:paraId="7991EB55" w14:textId="7A84CAB3" w:rsidR="00BE4075" w:rsidRPr="00BC7A12" w:rsidRDefault="00BE4075" w:rsidP="00BE4075">
      <w:pPr>
        <w:spacing w:after="200" w:line="276" w:lineRule="auto"/>
        <w:jc w:val="left"/>
        <w:rPr>
          <w:rFonts w:cs="Calibri"/>
        </w:rPr>
      </w:pPr>
      <w:r w:rsidRPr="00BC7A12">
        <w:rPr>
          <w:rFonts w:cs="Calibri"/>
          <w:u w:val="single"/>
          <w:lang w:val="en-US"/>
        </w:rPr>
        <w:t xml:space="preserve">Candidate questions </w:t>
      </w:r>
      <w:r w:rsidR="00823709" w:rsidRPr="00BC7A12">
        <w:rPr>
          <w:rFonts w:cs="Calibri"/>
          <w:u w:val="single"/>
          <w:lang w:val="en-US"/>
        </w:rPr>
        <w:t>include</w:t>
      </w:r>
      <w:r w:rsidR="00EC1BAF" w:rsidRPr="00BC7A12">
        <w:rPr>
          <w:rFonts w:cs="Calibri"/>
          <w:u w:val="single"/>
          <w:lang w:val="en-US"/>
        </w:rPr>
        <w:t>d</w:t>
      </w:r>
    </w:p>
    <w:p w14:paraId="6DFE0E97" w14:textId="77777777" w:rsidR="00BE4075" w:rsidRPr="00BC7A12" w:rsidRDefault="00BE4075" w:rsidP="00C7005B">
      <w:pPr>
        <w:numPr>
          <w:ilvl w:val="0"/>
          <w:numId w:val="9"/>
        </w:numPr>
        <w:spacing w:line="240" w:lineRule="auto"/>
        <w:jc w:val="left"/>
        <w:rPr>
          <w:rFonts w:cs="Calibri"/>
        </w:rPr>
      </w:pPr>
      <w:r w:rsidRPr="00BC7A12">
        <w:rPr>
          <w:rFonts w:cs="Calibri"/>
          <w:lang w:val="en-US"/>
        </w:rPr>
        <w:t xml:space="preserve">“What is the state of knowledge coastal wetlands disaster risk reduction ecosystem services values and valuation data in your sector?”  </w:t>
      </w:r>
    </w:p>
    <w:p w14:paraId="4682BAA7" w14:textId="77777777" w:rsidR="00BE4075" w:rsidRPr="00BC7A12" w:rsidRDefault="00BE4075" w:rsidP="00C7005B">
      <w:pPr>
        <w:numPr>
          <w:ilvl w:val="0"/>
          <w:numId w:val="9"/>
        </w:numPr>
        <w:spacing w:line="240" w:lineRule="auto"/>
        <w:jc w:val="left"/>
        <w:rPr>
          <w:rFonts w:cs="Calibri"/>
        </w:rPr>
      </w:pPr>
      <w:r w:rsidRPr="00BC7A12">
        <w:rPr>
          <w:rFonts w:cs="Calibri"/>
          <w:lang w:val="en-US"/>
        </w:rPr>
        <w:t xml:space="preserve">“What barriers exist to using valuation studies?” </w:t>
      </w:r>
    </w:p>
    <w:p w14:paraId="203F85FE" w14:textId="77777777" w:rsidR="00BE4075" w:rsidRPr="00BC7A12" w:rsidRDefault="00BE4075" w:rsidP="00C7005B">
      <w:pPr>
        <w:numPr>
          <w:ilvl w:val="0"/>
          <w:numId w:val="9"/>
        </w:numPr>
        <w:spacing w:line="240" w:lineRule="auto"/>
        <w:jc w:val="left"/>
        <w:rPr>
          <w:rFonts w:cs="Calibri"/>
        </w:rPr>
      </w:pPr>
      <w:r w:rsidRPr="00BC7A12">
        <w:rPr>
          <w:rFonts w:cs="Calibri"/>
          <w:lang w:val="en-US"/>
        </w:rPr>
        <w:t xml:space="preserve">“How can valuation studies and data be made most effective to your sector?” </w:t>
      </w:r>
    </w:p>
    <w:p w14:paraId="43696786" w14:textId="2A0DBAAB" w:rsidR="007D5866" w:rsidRPr="00BC7A12" w:rsidRDefault="00BE4075" w:rsidP="00C7005B">
      <w:pPr>
        <w:numPr>
          <w:ilvl w:val="0"/>
          <w:numId w:val="9"/>
        </w:numPr>
        <w:spacing w:line="240" w:lineRule="auto"/>
        <w:jc w:val="left"/>
        <w:rPr>
          <w:rFonts w:cs="Calibri"/>
        </w:rPr>
      </w:pPr>
      <w:r w:rsidRPr="00BC7A12">
        <w:rPr>
          <w:rFonts w:cs="Calibri"/>
          <w:lang w:val="en-US"/>
        </w:rPr>
        <w:t xml:space="preserve">"What value would standardized data provide? </w:t>
      </w:r>
    </w:p>
    <w:p w14:paraId="6D4B4832" w14:textId="77777777" w:rsidR="00366C5F" w:rsidRPr="00BC7A12" w:rsidRDefault="00366C5F" w:rsidP="00366C5F">
      <w:pPr>
        <w:pStyle w:val="Heading1"/>
        <w:rPr>
          <w:rFonts w:ascii="Calibri" w:hAnsi="Calibri" w:cs="Calibri"/>
        </w:rPr>
        <w:sectPr w:rsidR="00366C5F" w:rsidRPr="00BC7A12" w:rsidSect="00F34357">
          <w:pgSz w:w="11906" w:h="16838" w:code="9"/>
          <w:pgMar w:top="1440" w:right="1440" w:bottom="1440" w:left="1440" w:header="425" w:footer="369" w:gutter="0"/>
          <w:cols w:space="708"/>
          <w:titlePg/>
          <w:docGrid w:linePitch="360"/>
        </w:sectPr>
      </w:pPr>
    </w:p>
    <w:p w14:paraId="4343F7D0" w14:textId="30055343" w:rsidR="00366C5F" w:rsidRPr="00BC7A12" w:rsidRDefault="00366C5F" w:rsidP="00366C5F">
      <w:pPr>
        <w:pStyle w:val="Heading1"/>
        <w:rPr>
          <w:rFonts w:ascii="Calibri" w:hAnsi="Calibri" w:cs="Calibri"/>
        </w:rPr>
      </w:pPr>
      <w:bookmarkStart w:id="96" w:name="_Ref43036835"/>
      <w:bookmarkStart w:id="97" w:name="_Toc46822329"/>
      <w:r w:rsidRPr="00BC7A12">
        <w:rPr>
          <w:rFonts w:ascii="Calibri" w:hAnsi="Calibri" w:cs="Calibri"/>
        </w:rPr>
        <w:lastRenderedPageBreak/>
        <w:t xml:space="preserve">Appendix 3 DRR </w:t>
      </w:r>
      <w:bookmarkEnd w:id="96"/>
      <w:r w:rsidR="00833B30" w:rsidRPr="00BC7A12">
        <w:rPr>
          <w:rFonts w:ascii="Calibri" w:hAnsi="Calibri" w:cs="Calibri"/>
        </w:rPr>
        <w:t>coastal wetland models</w:t>
      </w:r>
      <w:bookmarkEnd w:id="97"/>
    </w:p>
    <w:p w14:paraId="36658496" w14:textId="083EFE48" w:rsidR="00EC1BAF" w:rsidRPr="00BC7A12" w:rsidRDefault="00751BC5" w:rsidP="00EC1BAF">
      <w:pPr>
        <w:rPr>
          <w:rFonts w:cs="Calibri"/>
        </w:rPr>
      </w:pPr>
      <w:r w:rsidRPr="00BC7A12">
        <w:rPr>
          <w:rFonts w:cs="Calibri"/>
        </w:rPr>
        <w:t xml:space="preserve">Six </w:t>
      </w:r>
      <w:r w:rsidR="00EC1BAF" w:rsidRPr="00BC7A12">
        <w:rPr>
          <w:rFonts w:cs="Calibri"/>
        </w:rPr>
        <w:t xml:space="preserve">DRR ecosystem services valuation models from the U.S. Environmental Protection Agency’s </w:t>
      </w:r>
      <w:proofErr w:type="spellStart"/>
      <w:r w:rsidR="00EC1BAF" w:rsidRPr="00BC7A12">
        <w:rPr>
          <w:rFonts w:cs="Calibri"/>
        </w:rPr>
        <w:t>EcoModels</w:t>
      </w:r>
      <w:proofErr w:type="spellEnd"/>
      <w:r w:rsidR="00EC1BAF" w:rsidRPr="00BC7A12">
        <w:rPr>
          <w:rFonts w:cs="Calibri"/>
        </w:rPr>
        <w:t xml:space="preserve"> Library </w:t>
      </w:r>
      <w:r w:rsidR="00EC1BAF" w:rsidRPr="00BC7A12">
        <w:rPr>
          <w:rFonts w:cs="Calibri"/>
        </w:rPr>
        <w:fldChar w:fldCharType="begin" w:fldLock="1"/>
      </w:r>
      <w:r w:rsidR="00660375" w:rsidRPr="00BC7A12">
        <w:rPr>
          <w:rFonts w:cs="Calibri"/>
        </w:rPr>
        <w:instrText>ADDIN CSL_CITATION {"citationItems":[{"id":"ITEM-1","itemData":{"URL":"https://esml.epa.gov/","accessed":{"date-parts":[["2020","6","7"]]},"author":[{"dropping-particle":"","family":"U.S. Environmental Protection Agency","given":"","non-dropping-particle":"","parse-names":false,"suffix":""}],"id":"ITEM-1","issued":{"date-parts":[["2020"]]},"publisher":"U.S. Environmental Protection Agency, Office of Research and Development, Washington, D.C. EPA/600/R-13/ORD-004914","title":"EcoService Models Library","type":"webpage"},"uris":["http://www.mendeley.com/documents/?uuid=69c8b170-9078-4f54-ac3d-ffa38dc2aafa"]}],"mendeley":{"formattedCitation":"(U.S. Environmental Protection Agency 2020)","plainTextFormattedCitation":"(U.S. Environmental Protection Agency 2020)","previouslyFormattedCitation":"(U.S. Environmental Protection Agency 2020)"},"properties":{"noteIndex":0},"schema":"https://github.com/citation-style-language/schema/raw/master/csl-citation.json"}</w:instrText>
      </w:r>
      <w:r w:rsidR="00EC1BAF" w:rsidRPr="00BC7A12">
        <w:rPr>
          <w:rFonts w:cs="Calibri"/>
        </w:rPr>
        <w:fldChar w:fldCharType="separate"/>
      </w:r>
      <w:r w:rsidR="00EC1BAF" w:rsidRPr="00BC7A12">
        <w:rPr>
          <w:rFonts w:cs="Calibri"/>
          <w:noProof/>
        </w:rPr>
        <w:t>(U.S. Environmental Protection Agency 2020)</w:t>
      </w:r>
      <w:r w:rsidR="00EC1BAF" w:rsidRPr="00BC7A12">
        <w:rPr>
          <w:rFonts w:cs="Calibri"/>
        </w:rPr>
        <w:fldChar w:fldCharType="end"/>
      </w:r>
      <w:r w:rsidR="005A6D1B" w:rsidRPr="00BC7A12">
        <w:rPr>
          <w:rFonts w:cs="Calibri"/>
        </w:rPr>
        <w:t>.</w:t>
      </w:r>
    </w:p>
    <w:tbl>
      <w:tblPr>
        <w:tblStyle w:val="GridTable4"/>
        <w:tblW w:w="0" w:type="auto"/>
        <w:tblLook w:val="04A0" w:firstRow="1" w:lastRow="0" w:firstColumn="1" w:lastColumn="0" w:noHBand="0" w:noVBand="1"/>
      </w:tblPr>
      <w:tblGrid>
        <w:gridCol w:w="1763"/>
        <w:gridCol w:w="2839"/>
        <w:gridCol w:w="1610"/>
        <w:gridCol w:w="2237"/>
        <w:gridCol w:w="1835"/>
        <w:gridCol w:w="1835"/>
        <w:gridCol w:w="1829"/>
      </w:tblGrid>
      <w:tr w:rsidR="00DA6CFD" w:rsidRPr="00BC7A12" w14:paraId="50A5DDA3" w14:textId="77777777" w:rsidTr="007A09A0">
        <w:trPr>
          <w:cnfStyle w:val="100000000000" w:firstRow="1" w:lastRow="0" w:firstColumn="0" w:lastColumn="0" w:oddVBand="0" w:evenVBand="0" w:oddHBand="0" w:evenHBand="0" w:firstRowFirstColumn="0" w:firstRowLastColumn="0" w:lastRowFirstColumn="0" w:lastRowLastColumn="0"/>
          <w:trHeight w:val="100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6FF05D3" w14:textId="77777777" w:rsidR="008F0045" w:rsidRPr="00BC7A12" w:rsidRDefault="008F0045">
            <w:pPr>
              <w:rPr>
                <w:rFonts w:cs="Calibri"/>
                <w:sz w:val="20"/>
                <w:szCs w:val="20"/>
              </w:rPr>
            </w:pPr>
            <w:r w:rsidRPr="00BC7A12">
              <w:rPr>
                <w:rFonts w:cs="Calibri"/>
                <w:sz w:val="20"/>
                <w:szCs w:val="20"/>
              </w:rPr>
              <w:t>Model Name</w:t>
            </w:r>
          </w:p>
        </w:tc>
        <w:tc>
          <w:tcPr>
            <w:tcW w:w="0" w:type="auto"/>
            <w:hideMark/>
          </w:tcPr>
          <w:p w14:paraId="208F2E5F" w14:textId="77777777" w:rsidR="008F0045" w:rsidRPr="00BC7A12" w:rsidRDefault="008F0045">
            <w:pPr>
              <w:cnfStyle w:val="100000000000" w:firstRow="1"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Mangrove wetland development, Tampa Bay, FL, USA</w:t>
            </w:r>
          </w:p>
        </w:tc>
        <w:tc>
          <w:tcPr>
            <w:tcW w:w="0" w:type="auto"/>
            <w:hideMark/>
          </w:tcPr>
          <w:p w14:paraId="2FF2A743" w14:textId="77777777" w:rsidR="008F0045" w:rsidRPr="00BC7A12" w:rsidRDefault="008F0045">
            <w:pPr>
              <w:cnfStyle w:val="100000000000" w:firstRow="1"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Coastal protection, Europe</w:t>
            </w:r>
          </w:p>
        </w:tc>
        <w:tc>
          <w:tcPr>
            <w:tcW w:w="0" w:type="auto"/>
            <w:hideMark/>
          </w:tcPr>
          <w:p w14:paraId="0B078A63" w14:textId="77777777" w:rsidR="008F0045" w:rsidRPr="00BC7A12" w:rsidRDefault="008F0045">
            <w:pPr>
              <w:cnfStyle w:val="100000000000" w:firstRow="1"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ARIES (Artificial Intelligence for Ecosystem Services) Flood Regulation, Puget Sound Region, Washington, USA</w:t>
            </w:r>
          </w:p>
        </w:tc>
        <w:tc>
          <w:tcPr>
            <w:tcW w:w="0" w:type="auto"/>
            <w:hideMark/>
          </w:tcPr>
          <w:p w14:paraId="3B54B1A9" w14:textId="77777777" w:rsidR="008F0045" w:rsidRPr="00BC7A12" w:rsidRDefault="008F0045">
            <w:pPr>
              <w:cnfStyle w:val="100000000000" w:firstRow="1"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CRPI (Coral Reef Protection Index, St. Croix, USVI</w:t>
            </w:r>
          </w:p>
        </w:tc>
        <w:tc>
          <w:tcPr>
            <w:tcW w:w="0" w:type="auto"/>
            <w:hideMark/>
          </w:tcPr>
          <w:p w14:paraId="3B3074FD" w14:textId="77777777" w:rsidR="008F0045" w:rsidRPr="00BC7A12" w:rsidRDefault="008F0045">
            <w:pPr>
              <w:cnfStyle w:val="100000000000" w:firstRow="1"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Decrease in wave runup (by reef), St. Croix, USVI</w:t>
            </w:r>
          </w:p>
        </w:tc>
        <w:tc>
          <w:tcPr>
            <w:tcW w:w="0" w:type="auto"/>
            <w:hideMark/>
          </w:tcPr>
          <w:p w14:paraId="4D04EA85" w14:textId="77777777" w:rsidR="008F0045" w:rsidRPr="00BC7A12" w:rsidRDefault="008F0045">
            <w:pPr>
              <w:cnfStyle w:val="100000000000" w:firstRow="1"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Coastal Protection provided by Coral, Seagrasses and Mangroves in Belize:</w:t>
            </w:r>
          </w:p>
        </w:tc>
      </w:tr>
      <w:tr w:rsidR="008F0045" w:rsidRPr="00BC7A12" w14:paraId="6949F22F" w14:textId="77777777" w:rsidTr="007A09A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06349095" w14:textId="77777777" w:rsidR="008F0045" w:rsidRPr="00BC7A12" w:rsidRDefault="008F0045">
            <w:pPr>
              <w:rPr>
                <w:rFonts w:cs="Calibri"/>
                <w:color w:val="000000"/>
                <w:sz w:val="20"/>
                <w:szCs w:val="20"/>
              </w:rPr>
            </w:pPr>
            <w:r w:rsidRPr="00BC7A12">
              <w:rPr>
                <w:rFonts w:cs="Calibri"/>
                <w:color w:val="000000"/>
                <w:sz w:val="20"/>
                <w:szCs w:val="20"/>
              </w:rPr>
              <w:t>Model Short Name</w:t>
            </w:r>
          </w:p>
        </w:tc>
        <w:tc>
          <w:tcPr>
            <w:tcW w:w="0" w:type="auto"/>
            <w:hideMark/>
          </w:tcPr>
          <w:p w14:paraId="299B59DB" w14:textId="77777777" w:rsidR="008F0045" w:rsidRPr="00BC7A12" w:rsidRDefault="008F0045">
            <w:pPr>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Mangrove development, Tampa Bay, FL, USA</w:t>
            </w:r>
          </w:p>
        </w:tc>
        <w:tc>
          <w:tcPr>
            <w:tcW w:w="0" w:type="auto"/>
            <w:hideMark/>
          </w:tcPr>
          <w:p w14:paraId="47D2E31A" w14:textId="77777777" w:rsidR="008F0045" w:rsidRPr="00BC7A12" w:rsidRDefault="008F0045">
            <w:pPr>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Coastal protection, Europe</w:t>
            </w:r>
          </w:p>
        </w:tc>
        <w:tc>
          <w:tcPr>
            <w:tcW w:w="0" w:type="auto"/>
            <w:hideMark/>
          </w:tcPr>
          <w:p w14:paraId="005F2D4C" w14:textId="77777777" w:rsidR="008F0045" w:rsidRPr="00BC7A12" w:rsidRDefault="008F0045">
            <w:pPr>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ARIES flood regulation, Puget Sound Region, USA</w:t>
            </w:r>
          </w:p>
        </w:tc>
        <w:tc>
          <w:tcPr>
            <w:tcW w:w="0" w:type="auto"/>
            <w:hideMark/>
          </w:tcPr>
          <w:p w14:paraId="5E596FB5" w14:textId="77777777" w:rsidR="008F0045" w:rsidRPr="00BC7A12" w:rsidRDefault="008F0045">
            <w:pPr>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CRPI, St. Croix, USVI</w:t>
            </w:r>
          </w:p>
        </w:tc>
        <w:tc>
          <w:tcPr>
            <w:tcW w:w="0" w:type="auto"/>
            <w:hideMark/>
          </w:tcPr>
          <w:p w14:paraId="281F6E50" w14:textId="77777777" w:rsidR="008F0045" w:rsidRPr="00BC7A12" w:rsidRDefault="008F0045">
            <w:pPr>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Decrease in wave runup, St. Croix, USVI</w:t>
            </w:r>
          </w:p>
        </w:tc>
        <w:tc>
          <w:tcPr>
            <w:tcW w:w="0" w:type="auto"/>
            <w:hideMark/>
          </w:tcPr>
          <w:p w14:paraId="58D7C914" w14:textId="77777777" w:rsidR="008F0045" w:rsidRPr="00BC7A12" w:rsidRDefault="008F0045">
            <w:pPr>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Coastal protection in Belize</w:t>
            </w:r>
          </w:p>
        </w:tc>
      </w:tr>
      <w:tr w:rsidR="00DA6CFD" w:rsidRPr="00BC7A12" w14:paraId="7689CD38" w14:textId="77777777" w:rsidTr="007A09A0">
        <w:trPr>
          <w:trHeight w:val="1052"/>
        </w:trPr>
        <w:tc>
          <w:tcPr>
            <w:cnfStyle w:val="001000000000" w:firstRow="0" w:lastRow="0" w:firstColumn="1" w:lastColumn="0" w:oddVBand="0" w:evenVBand="0" w:oddHBand="0" w:evenHBand="0" w:firstRowFirstColumn="0" w:firstRowLastColumn="0" w:lastRowFirstColumn="0" w:lastRowLastColumn="0"/>
            <w:tcW w:w="0" w:type="auto"/>
            <w:hideMark/>
          </w:tcPr>
          <w:p w14:paraId="54DCE0D2" w14:textId="77777777" w:rsidR="008F0045" w:rsidRPr="00BC7A12" w:rsidRDefault="008F0045">
            <w:pPr>
              <w:rPr>
                <w:rFonts w:cs="Calibri"/>
                <w:color w:val="000000"/>
                <w:sz w:val="20"/>
                <w:szCs w:val="20"/>
              </w:rPr>
            </w:pPr>
            <w:r w:rsidRPr="00BC7A12">
              <w:rPr>
                <w:rFonts w:cs="Calibri"/>
                <w:color w:val="000000"/>
                <w:sz w:val="20"/>
                <w:szCs w:val="20"/>
              </w:rPr>
              <w:t>Document Author</w:t>
            </w:r>
          </w:p>
        </w:tc>
        <w:tc>
          <w:tcPr>
            <w:tcW w:w="0" w:type="auto"/>
            <w:hideMark/>
          </w:tcPr>
          <w:p w14:paraId="38A9B9C6"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roofErr w:type="spellStart"/>
            <w:r w:rsidRPr="00BC7A12">
              <w:rPr>
                <w:rFonts w:cs="Calibri"/>
                <w:sz w:val="14"/>
                <w:szCs w:val="14"/>
              </w:rPr>
              <w:t>Osland</w:t>
            </w:r>
            <w:proofErr w:type="spellEnd"/>
            <w:r w:rsidRPr="00BC7A12">
              <w:rPr>
                <w:rFonts w:cs="Calibri"/>
                <w:sz w:val="14"/>
                <w:szCs w:val="14"/>
              </w:rPr>
              <w:t xml:space="preserve">, M. J., Spivak, A. C., </w:t>
            </w:r>
            <w:proofErr w:type="spellStart"/>
            <w:r w:rsidRPr="00BC7A12">
              <w:rPr>
                <w:rFonts w:cs="Calibri"/>
                <w:sz w:val="14"/>
                <w:szCs w:val="14"/>
              </w:rPr>
              <w:t>Nestlerode</w:t>
            </w:r>
            <w:proofErr w:type="spellEnd"/>
            <w:r w:rsidRPr="00BC7A12">
              <w:rPr>
                <w:rFonts w:cs="Calibri"/>
                <w:sz w:val="14"/>
                <w:szCs w:val="14"/>
              </w:rPr>
              <w:t xml:space="preserve">, J. A., </w:t>
            </w:r>
            <w:proofErr w:type="spellStart"/>
            <w:r w:rsidRPr="00BC7A12">
              <w:rPr>
                <w:rFonts w:cs="Calibri"/>
                <w:sz w:val="14"/>
                <w:szCs w:val="14"/>
              </w:rPr>
              <w:t>Lessmann</w:t>
            </w:r>
            <w:proofErr w:type="spellEnd"/>
            <w:r w:rsidRPr="00BC7A12">
              <w:rPr>
                <w:rFonts w:cs="Calibri"/>
                <w:sz w:val="14"/>
                <w:szCs w:val="14"/>
              </w:rPr>
              <w:t xml:space="preserve">, J. M., </w:t>
            </w:r>
            <w:proofErr w:type="spellStart"/>
            <w:r w:rsidRPr="00BC7A12">
              <w:rPr>
                <w:rFonts w:cs="Calibri"/>
                <w:sz w:val="14"/>
                <w:szCs w:val="14"/>
              </w:rPr>
              <w:t>Almario</w:t>
            </w:r>
            <w:proofErr w:type="spellEnd"/>
            <w:r w:rsidRPr="00BC7A12">
              <w:rPr>
                <w:rFonts w:cs="Calibri"/>
                <w:sz w:val="14"/>
                <w:szCs w:val="14"/>
              </w:rPr>
              <w:t xml:space="preserve">, A. E., </w:t>
            </w:r>
            <w:proofErr w:type="spellStart"/>
            <w:r w:rsidRPr="00BC7A12">
              <w:rPr>
                <w:rFonts w:cs="Calibri"/>
                <w:sz w:val="14"/>
                <w:szCs w:val="14"/>
              </w:rPr>
              <w:t>Heitmuller</w:t>
            </w:r>
            <w:proofErr w:type="spellEnd"/>
            <w:r w:rsidRPr="00BC7A12">
              <w:rPr>
                <w:rFonts w:cs="Calibri"/>
                <w:sz w:val="14"/>
                <w:szCs w:val="14"/>
              </w:rPr>
              <w:t xml:space="preserve">, P. T., Russell, M. J., Krauss, K. W., Alvarez, F., </w:t>
            </w:r>
            <w:proofErr w:type="spellStart"/>
            <w:r w:rsidRPr="00BC7A12">
              <w:rPr>
                <w:rFonts w:cs="Calibri"/>
                <w:sz w:val="14"/>
                <w:szCs w:val="14"/>
              </w:rPr>
              <w:t>Dantin</w:t>
            </w:r>
            <w:proofErr w:type="spellEnd"/>
            <w:r w:rsidRPr="00BC7A12">
              <w:rPr>
                <w:rFonts w:cs="Calibri"/>
                <w:sz w:val="14"/>
                <w:szCs w:val="14"/>
              </w:rPr>
              <w:t>, D. D., Harvey, J. E., From, A. S., Cormier, N. and Stagg, C.L.</w:t>
            </w:r>
          </w:p>
        </w:tc>
        <w:tc>
          <w:tcPr>
            <w:tcW w:w="0" w:type="auto"/>
            <w:hideMark/>
          </w:tcPr>
          <w:p w14:paraId="6248A078"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roofErr w:type="spellStart"/>
            <w:r w:rsidRPr="00BC7A12">
              <w:rPr>
                <w:rFonts w:cs="Calibri"/>
                <w:sz w:val="14"/>
                <w:szCs w:val="14"/>
              </w:rPr>
              <w:t>Liquete</w:t>
            </w:r>
            <w:proofErr w:type="spellEnd"/>
            <w:r w:rsidRPr="00BC7A12">
              <w:rPr>
                <w:rFonts w:cs="Calibri"/>
                <w:sz w:val="14"/>
                <w:szCs w:val="14"/>
              </w:rPr>
              <w:t xml:space="preserve">, C., </w:t>
            </w:r>
            <w:proofErr w:type="spellStart"/>
            <w:r w:rsidRPr="00BC7A12">
              <w:rPr>
                <w:rFonts w:cs="Calibri"/>
                <w:sz w:val="14"/>
                <w:szCs w:val="14"/>
              </w:rPr>
              <w:t>Zulian</w:t>
            </w:r>
            <w:proofErr w:type="spellEnd"/>
            <w:r w:rsidRPr="00BC7A12">
              <w:rPr>
                <w:rFonts w:cs="Calibri"/>
                <w:sz w:val="14"/>
                <w:szCs w:val="14"/>
              </w:rPr>
              <w:t xml:space="preserve">, G., Delgado, I., </w:t>
            </w:r>
            <w:proofErr w:type="spellStart"/>
            <w:r w:rsidRPr="00BC7A12">
              <w:rPr>
                <w:rFonts w:cs="Calibri"/>
                <w:sz w:val="14"/>
                <w:szCs w:val="14"/>
              </w:rPr>
              <w:t>Stips</w:t>
            </w:r>
            <w:proofErr w:type="spellEnd"/>
            <w:r w:rsidRPr="00BC7A12">
              <w:rPr>
                <w:rFonts w:cs="Calibri"/>
                <w:sz w:val="14"/>
                <w:szCs w:val="14"/>
              </w:rPr>
              <w:t xml:space="preserve">, A., and </w:t>
            </w:r>
            <w:proofErr w:type="spellStart"/>
            <w:r w:rsidRPr="00BC7A12">
              <w:rPr>
                <w:rFonts w:cs="Calibri"/>
                <w:sz w:val="14"/>
                <w:szCs w:val="14"/>
              </w:rPr>
              <w:t>Maes</w:t>
            </w:r>
            <w:proofErr w:type="spellEnd"/>
            <w:r w:rsidRPr="00BC7A12">
              <w:rPr>
                <w:rFonts w:cs="Calibri"/>
                <w:sz w:val="14"/>
                <w:szCs w:val="14"/>
              </w:rPr>
              <w:t>, J.</w:t>
            </w:r>
          </w:p>
        </w:tc>
        <w:tc>
          <w:tcPr>
            <w:tcW w:w="0" w:type="auto"/>
            <w:hideMark/>
          </w:tcPr>
          <w:p w14:paraId="1740F6A2"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roofErr w:type="spellStart"/>
            <w:r w:rsidRPr="00BC7A12">
              <w:rPr>
                <w:rFonts w:cs="Calibri"/>
                <w:sz w:val="14"/>
                <w:szCs w:val="14"/>
              </w:rPr>
              <w:t>Bagstad</w:t>
            </w:r>
            <w:proofErr w:type="spellEnd"/>
            <w:r w:rsidRPr="00BC7A12">
              <w:rPr>
                <w:rFonts w:cs="Calibri"/>
                <w:sz w:val="14"/>
                <w:szCs w:val="14"/>
              </w:rPr>
              <w:t xml:space="preserve">, K.J., Villa, F., </w:t>
            </w:r>
            <w:proofErr w:type="spellStart"/>
            <w:r w:rsidRPr="00BC7A12">
              <w:rPr>
                <w:rFonts w:cs="Calibri"/>
                <w:sz w:val="14"/>
                <w:szCs w:val="14"/>
              </w:rPr>
              <w:t>Batker</w:t>
            </w:r>
            <w:proofErr w:type="spellEnd"/>
            <w:r w:rsidRPr="00BC7A12">
              <w:rPr>
                <w:rFonts w:cs="Calibri"/>
                <w:sz w:val="14"/>
                <w:szCs w:val="14"/>
              </w:rPr>
              <w:t>, D., Harrison-Cox, J., Voigt, B., and Johnson, G.W.</w:t>
            </w:r>
          </w:p>
        </w:tc>
        <w:tc>
          <w:tcPr>
            <w:tcW w:w="0" w:type="auto"/>
            <w:hideMark/>
          </w:tcPr>
          <w:p w14:paraId="324272EE"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Yee, S. H., Dittmar, J. A., and L. M. Oliver</w:t>
            </w:r>
          </w:p>
        </w:tc>
        <w:tc>
          <w:tcPr>
            <w:tcW w:w="0" w:type="auto"/>
            <w:hideMark/>
          </w:tcPr>
          <w:p w14:paraId="3A3FD247"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Yee, S. H., Dittmar, J. A., and L. M. Oliver</w:t>
            </w:r>
          </w:p>
        </w:tc>
        <w:tc>
          <w:tcPr>
            <w:tcW w:w="0" w:type="auto"/>
            <w:hideMark/>
          </w:tcPr>
          <w:p w14:paraId="3D72C203"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roofErr w:type="spellStart"/>
            <w:r w:rsidRPr="00BC7A12">
              <w:rPr>
                <w:rFonts w:cs="Calibri"/>
                <w:sz w:val="14"/>
                <w:szCs w:val="14"/>
              </w:rPr>
              <w:t>Guannel</w:t>
            </w:r>
            <w:proofErr w:type="spellEnd"/>
            <w:r w:rsidRPr="00BC7A12">
              <w:rPr>
                <w:rFonts w:cs="Calibri"/>
                <w:sz w:val="14"/>
                <w:szCs w:val="14"/>
              </w:rPr>
              <w:t>, G., Arkema, K., Ruggiero, P.</w:t>
            </w:r>
            <w:proofErr w:type="gramStart"/>
            <w:r w:rsidRPr="00BC7A12">
              <w:rPr>
                <w:rFonts w:cs="Calibri"/>
                <w:sz w:val="14"/>
                <w:szCs w:val="14"/>
              </w:rPr>
              <w:t>,  and</w:t>
            </w:r>
            <w:proofErr w:type="gramEnd"/>
            <w:r w:rsidRPr="00BC7A12">
              <w:rPr>
                <w:rFonts w:cs="Calibri"/>
                <w:sz w:val="14"/>
                <w:szCs w:val="14"/>
              </w:rPr>
              <w:t xml:space="preserve"> G. </w:t>
            </w:r>
            <w:proofErr w:type="spellStart"/>
            <w:r w:rsidRPr="00BC7A12">
              <w:rPr>
                <w:rFonts w:cs="Calibri"/>
                <w:sz w:val="14"/>
                <w:szCs w:val="14"/>
              </w:rPr>
              <w:t>Verutes</w:t>
            </w:r>
            <w:proofErr w:type="spellEnd"/>
          </w:p>
        </w:tc>
      </w:tr>
      <w:tr w:rsidR="008F0045" w:rsidRPr="00BC7A12" w14:paraId="2D38E7A2" w14:textId="77777777" w:rsidTr="007A09A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1F92DF46" w14:textId="77777777" w:rsidR="008F0045" w:rsidRPr="00BC7A12" w:rsidRDefault="008F0045">
            <w:pPr>
              <w:rPr>
                <w:rFonts w:cs="Calibri"/>
                <w:color w:val="000000"/>
                <w:sz w:val="20"/>
                <w:szCs w:val="20"/>
              </w:rPr>
            </w:pPr>
            <w:r w:rsidRPr="00BC7A12">
              <w:rPr>
                <w:rFonts w:cs="Calibri"/>
                <w:color w:val="000000"/>
                <w:sz w:val="20"/>
                <w:szCs w:val="20"/>
              </w:rPr>
              <w:t>Document Year</w:t>
            </w:r>
          </w:p>
        </w:tc>
        <w:tc>
          <w:tcPr>
            <w:tcW w:w="0" w:type="auto"/>
            <w:hideMark/>
          </w:tcPr>
          <w:p w14:paraId="608C32B4"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2012</w:t>
            </w:r>
          </w:p>
        </w:tc>
        <w:tc>
          <w:tcPr>
            <w:tcW w:w="0" w:type="auto"/>
            <w:hideMark/>
          </w:tcPr>
          <w:p w14:paraId="7D821F05"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2013</w:t>
            </w:r>
          </w:p>
        </w:tc>
        <w:tc>
          <w:tcPr>
            <w:tcW w:w="0" w:type="auto"/>
            <w:hideMark/>
          </w:tcPr>
          <w:p w14:paraId="03ECF7C9"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2014</w:t>
            </w:r>
          </w:p>
        </w:tc>
        <w:tc>
          <w:tcPr>
            <w:tcW w:w="0" w:type="auto"/>
            <w:hideMark/>
          </w:tcPr>
          <w:p w14:paraId="34EA7BF7"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2014</w:t>
            </w:r>
          </w:p>
        </w:tc>
        <w:tc>
          <w:tcPr>
            <w:tcW w:w="0" w:type="auto"/>
            <w:hideMark/>
          </w:tcPr>
          <w:p w14:paraId="22A27113"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2014</w:t>
            </w:r>
          </w:p>
        </w:tc>
        <w:tc>
          <w:tcPr>
            <w:tcW w:w="0" w:type="auto"/>
            <w:hideMark/>
          </w:tcPr>
          <w:p w14:paraId="4CD89E2C"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2016</w:t>
            </w:r>
          </w:p>
        </w:tc>
      </w:tr>
      <w:tr w:rsidR="00DA6CFD" w:rsidRPr="00BC7A12" w14:paraId="7ED0EF89" w14:textId="77777777" w:rsidTr="007A09A0">
        <w:trPr>
          <w:trHeight w:val="1000"/>
        </w:trPr>
        <w:tc>
          <w:tcPr>
            <w:cnfStyle w:val="001000000000" w:firstRow="0" w:lastRow="0" w:firstColumn="1" w:lastColumn="0" w:oddVBand="0" w:evenVBand="0" w:oddHBand="0" w:evenHBand="0" w:firstRowFirstColumn="0" w:firstRowLastColumn="0" w:lastRowFirstColumn="0" w:lastRowLastColumn="0"/>
            <w:tcW w:w="0" w:type="auto"/>
            <w:hideMark/>
          </w:tcPr>
          <w:p w14:paraId="7B1B1008" w14:textId="77777777" w:rsidR="008F0045" w:rsidRPr="00BC7A12" w:rsidRDefault="008F0045">
            <w:pPr>
              <w:rPr>
                <w:rFonts w:cs="Calibri"/>
                <w:color w:val="000000"/>
                <w:sz w:val="20"/>
                <w:szCs w:val="20"/>
              </w:rPr>
            </w:pPr>
            <w:r w:rsidRPr="00BC7A12">
              <w:rPr>
                <w:rFonts w:cs="Calibri"/>
                <w:color w:val="000000"/>
                <w:sz w:val="20"/>
                <w:szCs w:val="20"/>
              </w:rPr>
              <w:t>Document Title</w:t>
            </w:r>
          </w:p>
        </w:tc>
        <w:tc>
          <w:tcPr>
            <w:tcW w:w="0" w:type="auto"/>
            <w:hideMark/>
          </w:tcPr>
          <w:p w14:paraId="58430F78" w14:textId="7AFBBC59" w:rsidR="008F0045" w:rsidRPr="00BC7A12" w:rsidRDefault="00535A67" w:rsidP="00AB175B">
            <w:pPr>
              <w:jc w:val="left"/>
              <w:cnfStyle w:val="000000000000" w:firstRow="0" w:lastRow="0" w:firstColumn="0" w:lastColumn="0" w:oddVBand="0" w:evenVBand="0" w:oddHBand="0" w:evenHBand="0" w:firstRowFirstColumn="0" w:firstRowLastColumn="0" w:lastRowFirstColumn="0" w:lastRowLastColumn="0"/>
              <w:rPr>
                <w:rFonts w:cs="Calibri"/>
                <w:color w:val="0000FF"/>
                <w:sz w:val="14"/>
                <w:szCs w:val="14"/>
                <w:u w:val="single"/>
              </w:rPr>
            </w:pPr>
            <w:hyperlink r:id="rId26" w:history="1">
              <w:r w:rsidR="008F0045" w:rsidRPr="00BC7A12">
                <w:rPr>
                  <w:rStyle w:val="Hyperlink"/>
                  <w:rFonts w:cs="Calibri"/>
                  <w:color w:val="0000FF"/>
                  <w:sz w:val="14"/>
                  <w:szCs w:val="14"/>
                </w:rPr>
                <w:t xml:space="preserve">Ecosystem development after mangrove wetland creation: plant-soil change across a 20-year </w:t>
              </w:r>
              <w:proofErr w:type="spellStart"/>
              <w:r w:rsidR="008F0045" w:rsidRPr="00BC7A12">
                <w:rPr>
                  <w:rStyle w:val="Hyperlink"/>
                  <w:rFonts w:cs="Calibri"/>
                  <w:color w:val="0000FF"/>
                  <w:sz w:val="14"/>
                  <w:szCs w:val="14"/>
                </w:rPr>
                <w:t>chronosequence</w:t>
              </w:r>
              <w:proofErr w:type="spellEnd"/>
            </w:hyperlink>
          </w:p>
        </w:tc>
        <w:tc>
          <w:tcPr>
            <w:tcW w:w="0" w:type="auto"/>
            <w:hideMark/>
          </w:tcPr>
          <w:p w14:paraId="1FB56582" w14:textId="26758F48" w:rsidR="008F0045" w:rsidRPr="00BC7A12" w:rsidRDefault="00535A67" w:rsidP="00AB175B">
            <w:pPr>
              <w:jc w:val="left"/>
              <w:cnfStyle w:val="000000000000" w:firstRow="0" w:lastRow="0" w:firstColumn="0" w:lastColumn="0" w:oddVBand="0" w:evenVBand="0" w:oddHBand="0" w:evenHBand="0" w:firstRowFirstColumn="0" w:firstRowLastColumn="0" w:lastRowFirstColumn="0" w:lastRowLastColumn="0"/>
              <w:rPr>
                <w:rFonts w:cs="Calibri"/>
                <w:color w:val="0000FF"/>
                <w:sz w:val="14"/>
                <w:szCs w:val="14"/>
                <w:u w:val="single"/>
              </w:rPr>
            </w:pPr>
            <w:hyperlink r:id="rId27" w:history="1">
              <w:r w:rsidR="008F0045" w:rsidRPr="00BC7A12">
                <w:rPr>
                  <w:rStyle w:val="Hyperlink"/>
                  <w:rFonts w:cs="Calibri"/>
                  <w:color w:val="0000FF"/>
                  <w:sz w:val="14"/>
                  <w:szCs w:val="14"/>
                </w:rPr>
                <w:t>Assessment of coastal protection as an ecosystem service in Europe</w:t>
              </w:r>
            </w:hyperlink>
          </w:p>
        </w:tc>
        <w:tc>
          <w:tcPr>
            <w:tcW w:w="0" w:type="auto"/>
            <w:hideMark/>
          </w:tcPr>
          <w:p w14:paraId="0D03E9D2" w14:textId="070674D5" w:rsidR="008F0045" w:rsidRPr="00BC7A12" w:rsidRDefault="00535A67" w:rsidP="00AB175B">
            <w:pPr>
              <w:jc w:val="left"/>
              <w:cnfStyle w:val="000000000000" w:firstRow="0" w:lastRow="0" w:firstColumn="0" w:lastColumn="0" w:oddVBand="0" w:evenVBand="0" w:oddHBand="0" w:evenHBand="0" w:firstRowFirstColumn="0" w:firstRowLastColumn="0" w:lastRowFirstColumn="0" w:lastRowLastColumn="0"/>
              <w:rPr>
                <w:rFonts w:cs="Calibri"/>
                <w:color w:val="0000FF"/>
                <w:sz w:val="14"/>
                <w:szCs w:val="14"/>
                <w:u w:val="single"/>
              </w:rPr>
            </w:pPr>
            <w:hyperlink r:id="rId28" w:history="1">
              <w:r w:rsidR="008F0045" w:rsidRPr="00BC7A12">
                <w:rPr>
                  <w:rStyle w:val="Hyperlink"/>
                  <w:rFonts w:cs="Calibri"/>
                  <w:color w:val="0000FF"/>
                  <w:sz w:val="14"/>
                  <w:szCs w:val="14"/>
                </w:rPr>
                <w:t>From theoretical to actual ecosystem services: mapping beneficiaries and spatial flows in ecosystem service assessments</w:t>
              </w:r>
            </w:hyperlink>
          </w:p>
        </w:tc>
        <w:tc>
          <w:tcPr>
            <w:tcW w:w="0" w:type="auto"/>
            <w:hideMark/>
          </w:tcPr>
          <w:p w14:paraId="6A2DDC9A" w14:textId="1DBCC149" w:rsidR="008F0045" w:rsidRPr="00BC7A12" w:rsidRDefault="00535A67" w:rsidP="00AB175B">
            <w:pPr>
              <w:jc w:val="left"/>
              <w:cnfStyle w:val="000000000000" w:firstRow="0" w:lastRow="0" w:firstColumn="0" w:lastColumn="0" w:oddVBand="0" w:evenVBand="0" w:oddHBand="0" w:evenHBand="0" w:firstRowFirstColumn="0" w:firstRowLastColumn="0" w:lastRowFirstColumn="0" w:lastRowLastColumn="0"/>
              <w:rPr>
                <w:rFonts w:cs="Calibri"/>
                <w:color w:val="0000FF"/>
                <w:sz w:val="14"/>
                <w:szCs w:val="14"/>
                <w:u w:val="single"/>
              </w:rPr>
            </w:pPr>
            <w:hyperlink r:id="rId29" w:history="1">
              <w:r w:rsidR="008F0045" w:rsidRPr="00BC7A12">
                <w:rPr>
                  <w:rStyle w:val="Hyperlink"/>
                  <w:rFonts w:cs="Calibri"/>
                  <w:color w:val="0000FF"/>
                  <w:sz w:val="14"/>
                  <w:szCs w:val="14"/>
                </w:rPr>
                <w:t>Comparison of methods for quantifying reef ecosystem services: A case study mapping services for St. Croix, USVI</w:t>
              </w:r>
            </w:hyperlink>
          </w:p>
        </w:tc>
        <w:tc>
          <w:tcPr>
            <w:tcW w:w="0" w:type="auto"/>
            <w:hideMark/>
          </w:tcPr>
          <w:p w14:paraId="7C74EC70" w14:textId="6D4FBFF2" w:rsidR="008F0045" w:rsidRPr="00BC7A12" w:rsidRDefault="00535A67" w:rsidP="00AB175B">
            <w:pPr>
              <w:jc w:val="left"/>
              <w:cnfStyle w:val="000000000000" w:firstRow="0" w:lastRow="0" w:firstColumn="0" w:lastColumn="0" w:oddVBand="0" w:evenVBand="0" w:oddHBand="0" w:evenHBand="0" w:firstRowFirstColumn="0" w:firstRowLastColumn="0" w:lastRowFirstColumn="0" w:lastRowLastColumn="0"/>
              <w:rPr>
                <w:rFonts w:cs="Calibri"/>
                <w:color w:val="0000FF"/>
                <w:sz w:val="14"/>
                <w:szCs w:val="14"/>
                <w:u w:val="single"/>
              </w:rPr>
            </w:pPr>
            <w:hyperlink r:id="rId30" w:history="1">
              <w:r w:rsidR="008F0045" w:rsidRPr="00BC7A12">
                <w:rPr>
                  <w:rStyle w:val="Hyperlink"/>
                  <w:rFonts w:cs="Calibri"/>
                  <w:color w:val="0000FF"/>
                  <w:sz w:val="14"/>
                  <w:szCs w:val="14"/>
                </w:rPr>
                <w:t>Comparison of methods for quantifying reef ecosystem services: A case study mapping services for St. Croix, USVI</w:t>
              </w:r>
            </w:hyperlink>
          </w:p>
        </w:tc>
        <w:tc>
          <w:tcPr>
            <w:tcW w:w="0" w:type="auto"/>
            <w:hideMark/>
          </w:tcPr>
          <w:p w14:paraId="2C9F857E" w14:textId="27838A1F" w:rsidR="008F0045" w:rsidRPr="00BC7A12" w:rsidRDefault="00535A67" w:rsidP="00AB175B">
            <w:pPr>
              <w:jc w:val="left"/>
              <w:cnfStyle w:val="000000000000" w:firstRow="0" w:lastRow="0" w:firstColumn="0" w:lastColumn="0" w:oddVBand="0" w:evenVBand="0" w:oddHBand="0" w:evenHBand="0" w:firstRowFirstColumn="0" w:firstRowLastColumn="0" w:lastRowFirstColumn="0" w:lastRowLastColumn="0"/>
              <w:rPr>
                <w:rFonts w:cs="Calibri"/>
                <w:color w:val="0000FF"/>
                <w:sz w:val="14"/>
                <w:szCs w:val="14"/>
                <w:u w:val="single"/>
              </w:rPr>
            </w:pPr>
            <w:hyperlink r:id="rId31" w:history="1">
              <w:r w:rsidR="008F0045" w:rsidRPr="00BC7A12">
                <w:rPr>
                  <w:rStyle w:val="Hyperlink"/>
                  <w:rFonts w:cs="Calibri"/>
                  <w:color w:val="0000FF"/>
                  <w:sz w:val="14"/>
                  <w:szCs w:val="14"/>
                </w:rPr>
                <w:t>The Power of Three: Coral Reefs, Seagrasses and Mangroves Protect Coastal Regions and Increase Their Resilience</w:t>
              </w:r>
            </w:hyperlink>
          </w:p>
        </w:tc>
      </w:tr>
      <w:tr w:rsidR="008F0045" w:rsidRPr="00BC7A12" w14:paraId="011A61EB" w14:textId="77777777" w:rsidTr="007A09A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308266E3" w14:textId="77777777" w:rsidR="008F0045" w:rsidRPr="00BC7A12" w:rsidRDefault="008F0045">
            <w:pPr>
              <w:rPr>
                <w:rFonts w:cs="Calibri"/>
                <w:color w:val="000000"/>
                <w:sz w:val="20"/>
                <w:szCs w:val="20"/>
              </w:rPr>
            </w:pPr>
            <w:r w:rsidRPr="00BC7A12">
              <w:rPr>
                <w:rFonts w:cs="Calibri"/>
                <w:color w:val="000000"/>
                <w:sz w:val="20"/>
                <w:szCs w:val="20"/>
              </w:rPr>
              <w:t>Document ID</w:t>
            </w:r>
          </w:p>
        </w:tc>
        <w:tc>
          <w:tcPr>
            <w:tcW w:w="0" w:type="auto"/>
            <w:hideMark/>
          </w:tcPr>
          <w:p w14:paraId="15B1DFB8"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97</w:t>
            </w:r>
          </w:p>
        </w:tc>
        <w:tc>
          <w:tcPr>
            <w:tcW w:w="0" w:type="auto"/>
            <w:hideMark/>
          </w:tcPr>
          <w:p w14:paraId="63E053BC"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296</w:t>
            </w:r>
          </w:p>
        </w:tc>
        <w:tc>
          <w:tcPr>
            <w:tcW w:w="0" w:type="auto"/>
            <w:hideMark/>
          </w:tcPr>
          <w:p w14:paraId="2FF92E7C"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302</w:t>
            </w:r>
          </w:p>
        </w:tc>
        <w:tc>
          <w:tcPr>
            <w:tcW w:w="0" w:type="auto"/>
            <w:hideMark/>
          </w:tcPr>
          <w:p w14:paraId="05792710"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335</w:t>
            </w:r>
          </w:p>
        </w:tc>
        <w:tc>
          <w:tcPr>
            <w:tcW w:w="0" w:type="auto"/>
            <w:hideMark/>
          </w:tcPr>
          <w:p w14:paraId="13DC4664"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335</w:t>
            </w:r>
          </w:p>
        </w:tc>
        <w:tc>
          <w:tcPr>
            <w:tcW w:w="0" w:type="auto"/>
            <w:hideMark/>
          </w:tcPr>
          <w:p w14:paraId="048518F0"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350</w:t>
            </w:r>
          </w:p>
        </w:tc>
      </w:tr>
      <w:tr w:rsidR="00DA6CFD" w:rsidRPr="00BC7A12" w14:paraId="168F139F" w14:textId="77777777" w:rsidTr="007A09A0">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6C2B26B8" w14:textId="77777777" w:rsidR="008F0045" w:rsidRPr="00BC7A12" w:rsidRDefault="008F0045">
            <w:pPr>
              <w:rPr>
                <w:rFonts w:cs="Calibri"/>
                <w:color w:val="000000"/>
                <w:sz w:val="20"/>
                <w:szCs w:val="20"/>
              </w:rPr>
            </w:pPr>
            <w:r w:rsidRPr="00BC7A12">
              <w:rPr>
                <w:rFonts w:cs="Calibri"/>
                <w:color w:val="000000"/>
                <w:sz w:val="20"/>
                <w:szCs w:val="20"/>
              </w:rPr>
              <w:t>Document Status</w:t>
            </w:r>
          </w:p>
        </w:tc>
        <w:tc>
          <w:tcPr>
            <w:tcW w:w="0" w:type="auto"/>
            <w:hideMark/>
          </w:tcPr>
          <w:p w14:paraId="4E796372"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Peer reviewed and published</w:t>
            </w:r>
          </w:p>
        </w:tc>
        <w:tc>
          <w:tcPr>
            <w:tcW w:w="0" w:type="auto"/>
            <w:hideMark/>
          </w:tcPr>
          <w:p w14:paraId="21E8E282"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Peer reviewed and published</w:t>
            </w:r>
          </w:p>
        </w:tc>
        <w:tc>
          <w:tcPr>
            <w:tcW w:w="0" w:type="auto"/>
            <w:hideMark/>
          </w:tcPr>
          <w:p w14:paraId="7E4663BF"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Peer reviewed and published</w:t>
            </w:r>
          </w:p>
        </w:tc>
        <w:tc>
          <w:tcPr>
            <w:tcW w:w="0" w:type="auto"/>
            <w:hideMark/>
          </w:tcPr>
          <w:p w14:paraId="6D6DA460"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Peer reviewed and published</w:t>
            </w:r>
          </w:p>
        </w:tc>
        <w:tc>
          <w:tcPr>
            <w:tcW w:w="0" w:type="auto"/>
            <w:hideMark/>
          </w:tcPr>
          <w:p w14:paraId="2247D8CF"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Peer reviewed and published</w:t>
            </w:r>
          </w:p>
        </w:tc>
        <w:tc>
          <w:tcPr>
            <w:tcW w:w="0" w:type="auto"/>
            <w:hideMark/>
          </w:tcPr>
          <w:p w14:paraId="39554043"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Peer reviewed and published</w:t>
            </w:r>
          </w:p>
        </w:tc>
      </w:tr>
      <w:tr w:rsidR="008F0045" w:rsidRPr="00BC7A12" w14:paraId="0903CB68" w14:textId="77777777" w:rsidTr="007A09A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09F086F8" w14:textId="77777777" w:rsidR="008F0045" w:rsidRPr="00BC7A12" w:rsidRDefault="008F0045">
            <w:pPr>
              <w:rPr>
                <w:rFonts w:cs="Calibri"/>
                <w:color w:val="000000"/>
                <w:sz w:val="20"/>
                <w:szCs w:val="20"/>
              </w:rPr>
            </w:pPr>
            <w:r w:rsidRPr="00BC7A12">
              <w:rPr>
                <w:rFonts w:cs="Calibri"/>
                <w:color w:val="000000"/>
                <w:sz w:val="20"/>
                <w:szCs w:val="20"/>
              </w:rPr>
              <w:t>Comments on Status</w:t>
            </w:r>
          </w:p>
        </w:tc>
        <w:tc>
          <w:tcPr>
            <w:tcW w:w="0" w:type="auto"/>
            <w:hideMark/>
          </w:tcPr>
          <w:p w14:paraId="6B768127"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Published journal manuscript</w:t>
            </w:r>
          </w:p>
        </w:tc>
        <w:tc>
          <w:tcPr>
            <w:tcW w:w="0" w:type="auto"/>
            <w:hideMark/>
          </w:tcPr>
          <w:p w14:paraId="3C45A3B0"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Published journal manuscript</w:t>
            </w:r>
          </w:p>
        </w:tc>
        <w:tc>
          <w:tcPr>
            <w:tcW w:w="0" w:type="auto"/>
            <w:hideMark/>
          </w:tcPr>
          <w:p w14:paraId="56A56DC7"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Published journal manuscript</w:t>
            </w:r>
          </w:p>
        </w:tc>
        <w:tc>
          <w:tcPr>
            <w:tcW w:w="0" w:type="auto"/>
            <w:hideMark/>
          </w:tcPr>
          <w:p w14:paraId="23715924"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Published journal manuscript</w:t>
            </w:r>
          </w:p>
        </w:tc>
        <w:tc>
          <w:tcPr>
            <w:tcW w:w="0" w:type="auto"/>
            <w:hideMark/>
          </w:tcPr>
          <w:p w14:paraId="4E75787E"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Published journal manuscript</w:t>
            </w:r>
          </w:p>
        </w:tc>
        <w:tc>
          <w:tcPr>
            <w:tcW w:w="0" w:type="auto"/>
            <w:hideMark/>
          </w:tcPr>
          <w:p w14:paraId="0B9C5F61"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Published journal manuscript</w:t>
            </w:r>
          </w:p>
        </w:tc>
      </w:tr>
      <w:tr w:rsidR="00DA6CFD" w:rsidRPr="00BC7A12" w14:paraId="3DDD59A0" w14:textId="77777777" w:rsidTr="007A09A0">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719F0CFA" w14:textId="77777777" w:rsidR="008F0045" w:rsidRPr="00BC7A12" w:rsidRDefault="008F0045">
            <w:pPr>
              <w:rPr>
                <w:rFonts w:cs="Calibri"/>
                <w:color w:val="000000"/>
                <w:sz w:val="20"/>
                <w:szCs w:val="20"/>
              </w:rPr>
            </w:pPr>
            <w:r w:rsidRPr="00BC7A12">
              <w:rPr>
                <w:rFonts w:cs="Calibri"/>
                <w:color w:val="000000"/>
                <w:sz w:val="20"/>
                <w:szCs w:val="20"/>
              </w:rPr>
              <w:t>EM Source or Collection</w:t>
            </w:r>
          </w:p>
        </w:tc>
        <w:tc>
          <w:tcPr>
            <w:tcW w:w="0" w:type="auto"/>
            <w:hideMark/>
          </w:tcPr>
          <w:p w14:paraId="7DC1B57F"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US EPA</w:t>
            </w:r>
          </w:p>
        </w:tc>
        <w:tc>
          <w:tcPr>
            <w:tcW w:w="0" w:type="auto"/>
            <w:hideMark/>
          </w:tcPr>
          <w:p w14:paraId="0B5CD1E2"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EU Biodiversity Action 5</w:t>
            </w:r>
          </w:p>
        </w:tc>
        <w:tc>
          <w:tcPr>
            <w:tcW w:w="0" w:type="auto"/>
            <w:hideMark/>
          </w:tcPr>
          <w:p w14:paraId="02EC919D"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ARIES</w:t>
            </w:r>
          </w:p>
        </w:tc>
        <w:tc>
          <w:tcPr>
            <w:tcW w:w="0" w:type="auto"/>
            <w:hideMark/>
          </w:tcPr>
          <w:p w14:paraId="489AE497"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US EPA</w:t>
            </w:r>
          </w:p>
        </w:tc>
        <w:tc>
          <w:tcPr>
            <w:tcW w:w="0" w:type="auto"/>
            <w:hideMark/>
          </w:tcPr>
          <w:p w14:paraId="7940434E"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US EPA</w:t>
            </w:r>
          </w:p>
        </w:tc>
        <w:tc>
          <w:tcPr>
            <w:tcW w:w="0" w:type="auto"/>
            <w:hideMark/>
          </w:tcPr>
          <w:p w14:paraId="3162FEFF"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roofErr w:type="spellStart"/>
            <w:r w:rsidRPr="00BC7A12">
              <w:rPr>
                <w:rFonts w:cs="Calibri"/>
                <w:sz w:val="14"/>
                <w:szCs w:val="14"/>
              </w:rPr>
              <w:t>InVEST</w:t>
            </w:r>
            <w:proofErr w:type="spellEnd"/>
          </w:p>
        </w:tc>
      </w:tr>
      <w:tr w:rsidR="008F0045" w:rsidRPr="00BC7A12" w14:paraId="6A127892" w14:textId="77777777" w:rsidTr="007A09A0">
        <w:trPr>
          <w:cnfStyle w:val="000000100000" w:firstRow="0" w:lastRow="0" w:firstColumn="0" w:lastColumn="0" w:oddVBand="0" w:evenVBand="0" w:oddHBand="1" w:evenHBand="0" w:firstRowFirstColumn="0" w:firstRowLastColumn="0" w:lastRowFirstColumn="0" w:lastRowLastColumn="0"/>
          <w:trHeight w:val="7500"/>
        </w:trPr>
        <w:tc>
          <w:tcPr>
            <w:cnfStyle w:val="001000000000" w:firstRow="0" w:lastRow="0" w:firstColumn="1" w:lastColumn="0" w:oddVBand="0" w:evenVBand="0" w:oddHBand="0" w:evenHBand="0" w:firstRowFirstColumn="0" w:firstRowLastColumn="0" w:lastRowFirstColumn="0" w:lastRowLastColumn="0"/>
            <w:tcW w:w="0" w:type="auto"/>
            <w:hideMark/>
          </w:tcPr>
          <w:p w14:paraId="6FC4128F" w14:textId="77777777" w:rsidR="008F0045" w:rsidRPr="00BC7A12" w:rsidRDefault="008F0045">
            <w:pPr>
              <w:rPr>
                <w:rFonts w:cs="Calibri"/>
                <w:color w:val="000000"/>
                <w:sz w:val="20"/>
                <w:szCs w:val="20"/>
              </w:rPr>
            </w:pPr>
            <w:r w:rsidRPr="00BC7A12">
              <w:rPr>
                <w:rFonts w:cs="Calibri"/>
                <w:color w:val="000000"/>
                <w:sz w:val="20"/>
                <w:szCs w:val="20"/>
              </w:rPr>
              <w:lastRenderedPageBreak/>
              <w:t>Driving Variables (and Units)</w:t>
            </w:r>
          </w:p>
        </w:tc>
        <w:tc>
          <w:tcPr>
            <w:tcW w:w="0" w:type="auto"/>
            <w:hideMark/>
          </w:tcPr>
          <w:p w14:paraId="5008E412" w14:textId="77777777" w:rsidR="008F0045" w:rsidRPr="00BC7A12" w:rsidRDefault="008F0045">
            <w:pPr>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Time (</w:t>
            </w:r>
            <w:proofErr w:type="spellStart"/>
            <w:r w:rsidRPr="00BC7A12">
              <w:rPr>
                <w:rFonts w:cs="Calibri"/>
                <w:sz w:val="14"/>
                <w:szCs w:val="14"/>
              </w:rPr>
              <w:t>yr</w:t>
            </w:r>
            <w:proofErr w:type="spellEnd"/>
            <w:r w:rsidRPr="00BC7A12">
              <w:rPr>
                <w:rFonts w:cs="Calibri"/>
                <w:sz w:val="14"/>
                <w:szCs w:val="14"/>
              </w:rPr>
              <w:t>)</w:t>
            </w:r>
          </w:p>
        </w:tc>
        <w:tc>
          <w:tcPr>
            <w:tcW w:w="0" w:type="auto"/>
            <w:hideMark/>
          </w:tcPr>
          <w:p w14:paraId="00226494"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Artificial surface cover (%)</w:t>
            </w:r>
            <w:r w:rsidRPr="00BC7A12">
              <w:rPr>
                <w:rFonts w:cs="Calibri"/>
                <w:sz w:val="14"/>
                <w:szCs w:val="14"/>
              </w:rPr>
              <w:br/>
              <w:t>Coastline geomorphology rank for coastal protection (Not applicable)</w:t>
            </w:r>
            <w:r w:rsidRPr="00BC7A12">
              <w:rPr>
                <w:rFonts w:cs="Calibri"/>
                <w:sz w:val="14"/>
                <w:szCs w:val="14"/>
              </w:rPr>
              <w:br/>
              <w:t>Emerged habitat rank for coastal protection (Not applicable)</w:t>
            </w:r>
            <w:r w:rsidRPr="00BC7A12">
              <w:rPr>
                <w:rFonts w:cs="Calibri"/>
                <w:sz w:val="14"/>
                <w:szCs w:val="14"/>
              </w:rPr>
              <w:br/>
              <w:t>Maximum wave significant height (m)</w:t>
            </w:r>
            <w:r w:rsidRPr="00BC7A12">
              <w:rPr>
                <w:rFonts w:cs="Calibri"/>
                <w:sz w:val="14"/>
                <w:szCs w:val="14"/>
              </w:rPr>
              <w:br/>
              <w:t>Number of UNESCO World Heritage Sites (No.)</w:t>
            </w:r>
            <w:r w:rsidRPr="00BC7A12">
              <w:rPr>
                <w:rFonts w:cs="Calibri"/>
                <w:sz w:val="14"/>
                <w:szCs w:val="14"/>
              </w:rPr>
              <w:br/>
              <w:t>Population density (</w:t>
            </w:r>
            <w:proofErr w:type="spellStart"/>
            <w:r w:rsidRPr="00BC7A12">
              <w:rPr>
                <w:rFonts w:cs="Calibri"/>
                <w:sz w:val="14"/>
                <w:szCs w:val="14"/>
              </w:rPr>
              <w:t>hab</w:t>
            </w:r>
            <w:proofErr w:type="spellEnd"/>
            <w:r w:rsidRPr="00BC7A12">
              <w:rPr>
                <w:rFonts w:cs="Calibri"/>
                <w:sz w:val="14"/>
                <w:szCs w:val="14"/>
              </w:rPr>
              <w:t>/km^2)</w:t>
            </w:r>
            <w:r w:rsidRPr="00BC7A12">
              <w:rPr>
                <w:rFonts w:cs="Calibri"/>
                <w:sz w:val="14"/>
                <w:szCs w:val="14"/>
              </w:rPr>
              <w:br/>
              <w:t>Relative sea level rise (mm/</w:t>
            </w:r>
            <w:proofErr w:type="spellStart"/>
            <w:r w:rsidRPr="00BC7A12">
              <w:rPr>
                <w:rFonts w:cs="Calibri"/>
                <w:sz w:val="14"/>
                <w:szCs w:val="14"/>
              </w:rPr>
              <w:t>yr</w:t>
            </w:r>
            <w:proofErr w:type="spellEnd"/>
            <w:r w:rsidRPr="00BC7A12">
              <w:rPr>
                <w:rFonts w:cs="Calibri"/>
                <w:sz w:val="14"/>
                <w:szCs w:val="14"/>
              </w:rPr>
              <w:t>)</w:t>
            </w:r>
            <w:r w:rsidRPr="00BC7A12">
              <w:rPr>
                <w:rFonts w:cs="Calibri"/>
                <w:sz w:val="14"/>
                <w:szCs w:val="14"/>
              </w:rPr>
              <w:br/>
              <w:t>Road density (km km^-2)</w:t>
            </w:r>
            <w:r w:rsidRPr="00BC7A12">
              <w:rPr>
                <w:rFonts w:cs="Calibri"/>
                <w:sz w:val="14"/>
                <w:szCs w:val="14"/>
              </w:rPr>
              <w:br/>
              <w:t>Slope (degrees)</w:t>
            </w:r>
            <w:r w:rsidRPr="00BC7A12">
              <w:rPr>
                <w:rFonts w:cs="Calibri"/>
                <w:sz w:val="14"/>
                <w:szCs w:val="14"/>
              </w:rPr>
              <w:br/>
              <w:t xml:space="preserve">Storm surge potential (100 </w:t>
            </w:r>
            <w:proofErr w:type="spellStart"/>
            <w:r w:rsidRPr="00BC7A12">
              <w:rPr>
                <w:rFonts w:cs="Calibri"/>
                <w:sz w:val="14"/>
                <w:szCs w:val="14"/>
              </w:rPr>
              <w:t>yr</w:t>
            </w:r>
            <w:proofErr w:type="spellEnd"/>
            <w:r w:rsidRPr="00BC7A12">
              <w:rPr>
                <w:rFonts w:cs="Calibri"/>
                <w:sz w:val="14"/>
                <w:szCs w:val="14"/>
              </w:rPr>
              <w:t xml:space="preserve"> return period) (m)</w:t>
            </w:r>
            <w:r w:rsidRPr="00BC7A12">
              <w:rPr>
                <w:rFonts w:cs="Calibri"/>
                <w:sz w:val="14"/>
                <w:szCs w:val="14"/>
              </w:rPr>
              <w:br/>
              <w:t>Submarine habitat rank for coastal protection (Not applicable)</w:t>
            </w:r>
            <w:r w:rsidRPr="00BC7A12">
              <w:rPr>
                <w:rFonts w:cs="Calibri"/>
                <w:sz w:val="14"/>
                <w:szCs w:val="14"/>
              </w:rPr>
              <w:br/>
              <w:t>Tidal range (m)</w:t>
            </w:r>
          </w:p>
        </w:tc>
        <w:tc>
          <w:tcPr>
            <w:tcW w:w="0" w:type="auto"/>
            <w:hideMark/>
          </w:tcPr>
          <w:p w14:paraId="427933AB"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Dam storage (Not applicable)</w:t>
            </w:r>
            <w:r w:rsidRPr="00BC7A12">
              <w:rPr>
                <w:rFonts w:cs="Calibri"/>
                <w:sz w:val="14"/>
                <w:szCs w:val="14"/>
              </w:rPr>
              <w:br/>
              <w:t>Detention basin storage (Not applicable)</w:t>
            </w:r>
            <w:r w:rsidRPr="00BC7A12">
              <w:rPr>
                <w:rFonts w:cs="Calibri"/>
                <w:sz w:val="14"/>
                <w:szCs w:val="14"/>
              </w:rPr>
              <w:br/>
              <w:t>Developed land in 100-year floodplain (y/n) (Not applicable)</w:t>
            </w:r>
            <w:r w:rsidRPr="00BC7A12">
              <w:rPr>
                <w:rFonts w:cs="Calibri"/>
                <w:sz w:val="14"/>
                <w:szCs w:val="14"/>
              </w:rPr>
              <w:br/>
              <w:t>Hydrologic soils group (Not applicable)</w:t>
            </w:r>
            <w:r w:rsidRPr="00BC7A12">
              <w:rPr>
                <w:rFonts w:cs="Calibri"/>
                <w:sz w:val="14"/>
                <w:szCs w:val="14"/>
              </w:rPr>
              <w:br/>
              <w:t>Impervious cover (Not applicable)</w:t>
            </w:r>
            <w:r w:rsidRPr="00BC7A12">
              <w:rPr>
                <w:rFonts w:cs="Calibri"/>
                <w:sz w:val="14"/>
                <w:szCs w:val="14"/>
              </w:rPr>
              <w:br/>
              <w:t>Mean annual precipitation (mm)</w:t>
            </w:r>
            <w:r w:rsidRPr="00BC7A12">
              <w:rPr>
                <w:rFonts w:cs="Calibri"/>
                <w:sz w:val="14"/>
                <w:szCs w:val="14"/>
              </w:rPr>
              <w:br/>
              <w:t>Slope (Not applicable)</w:t>
            </w:r>
            <w:r w:rsidRPr="00BC7A12">
              <w:rPr>
                <w:rFonts w:cs="Calibri"/>
                <w:sz w:val="14"/>
                <w:szCs w:val="14"/>
              </w:rPr>
              <w:br/>
              <w:t>Successional stage (vegetation) (Not applicable)</w:t>
            </w:r>
            <w:r w:rsidRPr="00BC7A12">
              <w:rPr>
                <w:rFonts w:cs="Calibri"/>
                <w:sz w:val="14"/>
                <w:szCs w:val="14"/>
              </w:rPr>
              <w:br/>
              <w:t>Tree canopy cover (Not applicable)</w:t>
            </w:r>
            <w:r w:rsidRPr="00BC7A12">
              <w:rPr>
                <w:rFonts w:cs="Calibri"/>
                <w:sz w:val="14"/>
                <w:szCs w:val="14"/>
              </w:rPr>
              <w:br/>
              <w:t>Vegetation height (Not applicable)</w:t>
            </w:r>
            <w:r w:rsidRPr="00BC7A12">
              <w:rPr>
                <w:rFonts w:cs="Calibri"/>
                <w:sz w:val="14"/>
                <w:szCs w:val="14"/>
              </w:rPr>
              <w:br/>
              <w:t>Vegetation type (Not applicable)</w:t>
            </w:r>
          </w:p>
        </w:tc>
        <w:tc>
          <w:tcPr>
            <w:tcW w:w="0" w:type="auto"/>
            <w:hideMark/>
          </w:tcPr>
          <w:p w14:paraId="3EBFFFEA"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Reef distance (from shore) (m)</w:t>
            </w:r>
            <w:r w:rsidRPr="00BC7A12">
              <w:rPr>
                <w:rFonts w:cs="Calibri"/>
                <w:sz w:val="14"/>
                <w:szCs w:val="14"/>
              </w:rPr>
              <w:br/>
              <w:t>Reef distribution (Not applicable)</w:t>
            </w:r>
            <w:r w:rsidRPr="00BC7A12">
              <w:rPr>
                <w:rFonts w:cs="Calibri"/>
                <w:sz w:val="14"/>
                <w:szCs w:val="14"/>
              </w:rPr>
              <w:br/>
              <w:t>Reef habitat type class (Not applicable)</w:t>
            </w:r>
          </w:p>
        </w:tc>
        <w:tc>
          <w:tcPr>
            <w:tcW w:w="0" w:type="auto"/>
            <w:hideMark/>
          </w:tcPr>
          <w:p w14:paraId="66C97F3C"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Beach slope angle (%)</w:t>
            </w:r>
            <w:r w:rsidRPr="00BC7A12">
              <w:rPr>
                <w:rFonts w:cs="Calibri"/>
                <w:sz w:val="14"/>
                <w:szCs w:val="14"/>
              </w:rPr>
              <w:br/>
              <w:t>Offshore (deep water) wave height (m)</w:t>
            </w:r>
            <w:r w:rsidRPr="00BC7A12">
              <w:rPr>
                <w:rFonts w:cs="Calibri"/>
                <w:sz w:val="14"/>
                <w:szCs w:val="14"/>
              </w:rPr>
              <w:br/>
              <w:t>Wave height nearshore (m)</w:t>
            </w:r>
          </w:p>
        </w:tc>
        <w:tc>
          <w:tcPr>
            <w:tcW w:w="0" w:type="auto"/>
            <w:hideMark/>
          </w:tcPr>
          <w:p w14:paraId="5B2308B9"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Bathymetry (m)</w:t>
            </w:r>
            <w:r w:rsidRPr="00BC7A12">
              <w:rPr>
                <w:rFonts w:cs="Calibri"/>
                <w:sz w:val="14"/>
                <w:szCs w:val="14"/>
              </w:rPr>
              <w:br/>
              <w:t>Bed shear stress (Not reported)</w:t>
            </w:r>
            <w:r w:rsidRPr="00BC7A12">
              <w:rPr>
                <w:rFonts w:cs="Calibri"/>
                <w:sz w:val="14"/>
                <w:szCs w:val="14"/>
              </w:rPr>
              <w:br/>
              <w:t>Cross shore distance (Not reported)</w:t>
            </w:r>
            <w:r w:rsidRPr="00BC7A12">
              <w:rPr>
                <w:rFonts w:cs="Calibri"/>
                <w:sz w:val="14"/>
                <w:szCs w:val="14"/>
              </w:rPr>
              <w:br/>
              <w:t>Depth average undertow (m/sec)</w:t>
            </w:r>
            <w:r w:rsidRPr="00BC7A12">
              <w:rPr>
                <w:rFonts w:cs="Calibri"/>
                <w:sz w:val="14"/>
                <w:szCs w:val="14"/>
              </w:rPr>
              <w:br/>
              <w:t>Depth of still water (m)</w:t>
            </w:r>
            <w:r w:rsidRPr="00BC7A12">
              <w:rPr>
                <w:rFonts w:cs="Calibri"/>
                <w:sz w:val="14"/>
                <w:szCs w:val="14"/>
              </w:rPr>
              <w:br/>
              <w:t>Hurricane high waves (m)</w:t>
            </w:r>
            <w:r w:rsidRPr="00BC7A12">
              <w:rPr>
                <w:rFonts w:cs="Calibri"/>
                <w:sz w:val="14"/>
                <w:szCs w:val="14"/>
              </w:rPr>
              <w:br/>
              <w:t>Long Shore current (wind induced) (Not reported)</w:t>
            </w:r>
            <w:r w:rsidRPr="00BC7A12">
              <w:rPr>
                <w:rFonts w:cs="Calibri"/>
                <w:sz w:val="14"/>
                <w:szCs w:val="14"/>
              </w:rPr>
              <w:br/>
              <w:t>Offshore maximum sustained wind speed (km/hr)</w:t>
            </w:r>
            <w:r w:rsidRPr="00BC7A12">
              <w:rPr>
                <w:rFonts w:cs="Calibri"/>
                <w:sz w:val="14"/>
                <w:szCs w:val="14"/>
              </w:rPr>
              <w:br/>
              <w:t>Reduction in wave height (m)</w:t>
            </w:r>
            <w:r w:rsidRPr="00BC7A12">
              <w:rPr>
                <w:rFonts w:cs="Calibri"/>
                <w:sz w:val="14"/>
                <w:szCs w:val="14"/>
              </w:rPr>
              <w:br/>
              <w:t>Root density (#/m^2)</w:t>
            </w:r>
            <w:r w:rsidRPr="00BC7A12">
              <w:rPr>
                <w:rFonts w:cs="Calibri"/>
                <w:sz w:val="14"/>
                <w:szCs w:val="14"/>
              </w:rPr>
              <w:br/>
              <w:t>Root height (Mangrove) (m)</w:t>
            </w:r>
            <w:r w:rsidRPr="00BC7A12">
              <w:rPr>
                <w:rFonts w:cs="Calibri"/>
                <w:sz w:val="14"/>
                <w:szCs w:val="14"/>
              </w:rPr>
              <w:br/>
              <w:t>Root size (Mangrove) (m)</w:t>
            </w:r>
            <w:r w:rsidRPr="00BC7A12">
              <w:rPr>
                <w:rFonts w:cs="Calibri"/>
                <w:sz w:val="14"/>
                <w:szCs w:val="14"/>
              </w:rPr>
              <w:br/>
              <w:t>Sea level increase (Not applicable)</w:t>
            </w:r>
            <w:r w:rsidRPr="00BC7A12">
              <w:rPr>
                <w:rFonts w:cs="Calibri"/>
                <w:sz w:val="14"/>
                <w:szCs w:val="14"/>
              </w:rPr>
              <w:br/>
              <w:t>Stem density (#/m^2)</w:t>
            </w:r>
            <w:r w:rsidRPr="00BC7A12">
              <w:rPr>
                <w:rFonts w:cs="Calibri"/>
                <w:sz w:val="14"/>
                <w:szCs w:val="14"/>
              </w:rPr>
              <w:br/>
              <w:t>Stem height (m)</w:t>
            </w:r>
            <w:r w:rsidRPr="00BC7A12">
              <w:rPr>
                <w:rFonts w:cs="Calibri"/>
                <w:sz w:val="14"/>
                <w:szCs w:val="14"/>
              </w:rPr>
              <w:br/>
              <w:t>Surface wind (Not reported)</w:t>
            </w:r>
            <w:r w:rsidRPr="00BC7A12">
              <w:rPr>
                <w:rFonts w:cs="Calibri"/>
                <w:sz w:val="14"/>
                <w:szCs w:val="14"/>
              </w:rPr>
              <w:br/>
              <w:t>Vegetation type (red mangrove, sea grass) (Not applicable)</w:t>
            </w:r>
            <w:r w:rsidRPr="00BC7A12">
              <w:rPr>
                <w:rFonts w:cs="Calibri"/>
                <w:sz w:val="14"/>
                <w:szCs w:val="14"/>
              </w:rPr>
              <w:br/>
              <w:t>Vegetation wave energy dissipation (Not reported)</w:t>
            </w:r>
            <w:r w:rsidRPr="00BC7A12">
              <w:rPr>
                <w:rFonts w:cs="Calibri"/>
                <w:sz w:val="14"/>
                <w:szCs w:val="14"/>
              </w:rPr>
              <w:br/>
              <w:t>Wave climate (Not applicable)</w:t>
            </w:r>
            <w:r w:rsidRPr="00BC7A12">
              <w:rPr>
                <w:rFonts w:cs="Calibri"/>
                <w:sz w:val="14"/>
                <w:szCs w:val="14"/>
              </w:rPr>
              <w:br/>
              <w:t>Wave height (distant storm swells) (m)</w:t>
            </w:r>
            <w:r w:rsidRPr="00BC7A12">
              <w:rPr>
                <w:rFonts w:cs="Calibri"/>
                <w:sz w:val="14"/>
                <w:szCs w:val="14"/>
              </w:rPr>
              <w:br/>
              <w:t>Wave number (Not reported)</w:t>
            </w:r>
            <w:r w:rsidRPr="00BC7A12">
              <w:rPr>
                <w:rFonts w:cs="Calibri"/>
                <w:sz w:val="14"/>
                <w:szCs w:val="14"/>
              </w:rPr>
              <w:br/>
              <w:t>Wave period (s)</w:t>
            </w:r>
            <w:r w:rsidRPr="00BC7A12">
              <w:rPr>
                <w:rFonts w:cs="Calibri"/>
                <w:sz w:val="14"/>
                <w:szCs w:val="14"/>
              </w:rPr>
              <w:br/>
              <w:t>Wave power (kW/m)</w:t>
            </w:r>
            <w:r w:rsidRPr="00BC7A12">
              <w:rPr>
                <w:rFonts w:cs="Calibri"/>
                <w:sz w:val="14"/>
                <w:szCs w:val="14"/>
              </w:rPr>
              <w:br/>
              <w:t>Wave surge (m)</w:t>
            </w:r>
          </w:p>
        </w:tc>
      </w:tr>
      <w:tr w:rsidR="00DA6CFD" w:rsidRPr="00BC7A12" w14:paraId="52AEA7A4" w14:textId="77777777" w:rsidTr="007A09A0">
        <w:trPr>
          <w:trHeight w:val="7000"/>
        </w:trPr>
        <w:tc>
          <w:tcPr>
            <w:cnfStyle w:val="001000000000" w:firstRow="0" w:lastRow="0" w:firstColumn="1" w:lastColumn="0" w:oddVBand="0" w:evenVBand="0" w:oddHBand="0" w:evenHBand="0" w:firstRowFirstColumn="0" w:firstRowLastColumn="0" w:lastRowFirstColumn="0" w:lastRowLastColumn="0"/>
            <w:tcW w:w="0" w:type="auto"/>
            <w:hideMark/>
          </w:tcPr>
          <w:p w14:paraId="61A8714C" w14:textId="77777777" w:rsidR="008F0045" w:rsidRPr="00BC7A12" w:rsidRDefault="008F0045">
            <w:pPr>
              <w:rPr>
                <w:rFonts w:cs="Calibri"/>
                <w:color w:val="000000"/>
                <w:sz w:val="20"/>
                <w:szCs w:val="20"/>
              </w:rPr>
            </w:pPr>
            <w:r w:rsidRPr="00BC7A12">
              <w:rPr>
                <w:rFonts w:cs="Calibri"/>
                <w:color w:val="000000"/>
                <w:sz w:val="20"/>
                <w:szCs w:val="20"/>
              </w:rPr>
              <w:lastRenderedPageBreak/>
              <w:t>Constant or Factor Variables (and Units)</w:t>
            </w:r>
          </w:p>
        </w:tc>
        <w:tc>
          <w:tcPr>
            <w:tcW w:w="0" w:type="auto"/>
            <w:hideMark/>
          </w:tcPr>
          <w:p w14:paraId="160F5EE8" w14:textId="77777777" w:rsidR="008F0045" w:rsidRPr="00BC7A12" w:rsidRDefault="008F0045">
            <w:pPr>
              <w:cnfStyle w:val="000000000000" w:firstRow="0" w:lastRow="0" w:firstColumn="0" w:lastColumn="0" w:oddVBand="0" w:evenVBand="0" w:oddHBand="0" w:evenHBand="0" w:firstRowFirstColumn="0" w:firstRowLastColumn="0" w:lastRowFirstColumn="0" w:lastRowLastColumn="0"/>
              <w:rPr>
                <w:rFonts w:cs="Calibri"/>
                <w:color w:val="000000"/>
                <w:sz w:val="14"/>
                <w:szCs w:val="14"/>
              </w:rPr>
            </w:pPr>
          </w:p>
        </w:tc>
        <w:tc>
          <w:tcPr>
            <w:tcW w:w="0" w:type="auto"/>
            <w:hideMark/>
          </w:tcPr>
          <w:p w14:paraId="66B8AC24"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Weight for artificial surface cover (unitless)</w:t>
            </w:r>
            <w:r w:rsidRPr="00BC7A12">
              <w:rPr>
                <w:rFonts w:cs="Calibri"/>
                <w:sz w:val="14"/>
                <w:szCs w:val="14"/>
              </w:rPr>
              <w:br/>
              <w:t>Weight for coastline geomorphology (unitless)</w:t>
            </w:r>
            <w:r w:rsidRPr="00BC7A12">
              <w:rPr>
                <w:rFonts w:cs="Calibri"/>
                <w:sz w:val="14"/>
                <w:szCs w:val="14"/>
              </w:rPr>
              <w:br/>
              <w:t>Weight for emerged habitats (unitless)</w:t>
            </w:r>
            <w:r w:rsidRPr="00BC7A12">
              <w:rPr>
                <w:rFonts w:cs="Calibri"/>
                <w:sz w:val="14"/>
                <w:szCs w:val="14"/>
              </w:rPr>
              <w:br/>
              <w:t>Weight for maximum wave significant height (unitless)</w:t>
            </w:r>
            <w:r w:rsidRPr="00BC7A12">
              <w:rPr>
                <w:rFonts w:cs="Calibri"/>
                <w:sz w:val="14"/>
                <w:szCs w:val="14"/>
              </w:rPr>
              <w:br/>
              <w:t>Weight for number of UNESCO World Heritage Sites (unitless)</w:t>
            </w:r>
            <w:r w:rsidRPr="00BC7A12">
              <w:rPr>
                <w:rFonts w:cs="Calibri"/>
                <w:sz w:val="14"/>
                <w:szCs w:val="14"/>
              </w:rPr>
              <w:br/>
              <w:t>Weight for population density (unitless)</w:t>
            </w:r>
            <w:r w:rsidRPr="00BC7A12">
              <w:rPr>
                <w:rFonts w:cs="Calibri"/>
                <w:sz w:val="14"/>
                <w:szCs w:val="14"/>
              </w:rPr>
              <w:br/>
              <w:t>Weight for relative sea level rise (unitless)</w:t>
            </w:r>
            <w:r w:rsidRPr="00BC7A12">
              <w:rPr>
                <w:rFonts w:cs="Calibri"/>
                <w:sz w:val="14"/>
                <w:szCs w:val="14"/>
              </w:rPr>
              <w:br/>
              <w:t>Weight for road density (unitless)</w:t>
            </w:r>
            <w:r w:rsidRPr="00BC7A12">
              <w:rPr>
                <w:rFonts w:cs="Calibri"/>
                <w:sz w:val="14"/>
                <w:szCs w:val="14"/>
              </w:rPr>
              <w:br/>
              <w:t>Weight for slope (unitless)</w:t>
            </w:r>
            <w:r w:rsidRPr="00BC7A12">
              <w:rPr>
                <w:rFonts w:cs="Calibri"/>
                <w:sz w:val="14"/>
                <w:szCs w:val="14"/>
              </w:rPr>
              <w:br/>
              <w:t>Weight for storm surge potential (unitless)</w:t>
            </w:r>
            <w:r w:rsidRPr="00BC7A12">
              <w:rPr>
                <w:rFonts w:cs="Calibri"/>
                <w:sz w:val="14"/>
                <w:szCs w:val="14"/>
              </w:rPr>
              <w:br/>
              <w:t>Weight for submarine habitats (unitless)</w:t>
            </w:r>
            <w:r w:rsidRPr="00BC7A12">
              <w:rPr>
                <w:rFonts w:cs="Calibri"/>
                <w:sz w:val="14"/>
                <w:szCs w:val="14"/>
              </w:rPr>
              <w:br/>
              <w:t>Weight for tidal range (unitless)</w:t>
            </w:r>
          </w:p>
        </w:tc>
        <w:tc>
          <w:tcPr>
            <w:tcW w:w="0" w:type="auto"/>
            <w:hideMark/>
          </w:tcPr>
          <w:p w14:paraId="55B0D451"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
        </w:tc>
        <w:tc>
          <w:tcPr>
            <w:tcW w:w="0" w:type="auto"/>
            <w:hideMark/>
          </w:tcPr>
          <w:p w14:paraId="7BCE0F33"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Scaled magnitude of coastal protection for each reef habitat type (Not applicable)</w:t>
            </w:r>
            <w:r w:rsidRPr="00BC7A12">
              <w:rPr>
                <w:rFonts w:cs="Calibri"/>
                <w:sz w:val="14"/>
                <w:szCs w:val="14"/>
              </w:rPr>
              <w:br/>
              <w:t>Scaled magnitude of coastal protection for reef distance (from shore) (Not applicable)</w:t>
            </w:r>
            <w:r w:rsidRPr="00BC7A12">
              <w:rPr>
                <w:rFonts w:cs="Calibri"/>
                <w:sz w:val="14"/>
                <w:szCs w:val="14"/>
              </w:rPr>
              <w:br/>
              <w:t>Scaled magnitude of coastal protection for reef distribution (Not applicable)</w:t>
            </w:r>
          </w:p>
        </w:tc>
        <w:tc>
          <w:tcPr>
            <w:tcW w:w="0" w:type="auto"/>
            <w:hideMark/>
          </w:tcPr>
          <w:p w14:paraId="2B2A0752"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
        </w:tc>
        <w:tc>
          <w:tcPr>
            <w:tcW w:w="0" w:type="auto"/>
            <w:hideMark/>
          </w:tcPr>
          <w:p w14:paraId="0667AEEE"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2"/>
                <w:szCs w:val="12"/>
              </w:rPr>
            </w:pPr>
            <w:r w:rsidRPr="00BC7A12">
              <w:rPr>
                <w:rFonts w:cs="Calibri"/>
                <w:sz w:val="12"/>
                <w:szCs w:val="12"/>
              </w:rPr>
              <w:t>Atmospheric pressure (normal) (mb)</w:t>
            </w:r>
            <w:r w:rsidRPr="00BC7A12">
              <w:rPr>
                <w:rFonts w:cs="Calibri"/>
                <w:sz w:val="12"/>
                <w:szCs w:val="12"/>
              </w:rPr>
              <w:br/>
              <w:t>Atmospheric pressure constant (Not applicable)</w:t>
            </w:r>
            <w:r w:rsidRPr="00BC7A12">
              <w:rPr>
                <w:rFonts w:cs="Calibri"/>
                <w:sz w:val="12"/>
                <w:szCs w:val="12"/>
              </w:rPr>
              <w:br/>
              <w:t>Breaker coefficient (Not applicable)</w:t>
            </w:r>
            <w:r w:rsidRPr="00BC7A12">
              <w:rPr>
                <w:rFonts w:cs="Calibri"/>
                <w:sz w:val="12"/>
                <w:szCs w:val="12"/>
              </w:rPr>
              <w:br/>
              <w:t>Coral class (live/dead) (Not applicable)</w:t>
            </w:r>
            <w:r w:rsidRPr="00BC7A12">
              <w:rPr>
                <w:rFonts w:cs="Calibri"/>
                <w:sz w:val="12"/>
                <w:szCs w:val="12"/>
              </w:rPr>
              <w:br/>
              <w:t>Coral friction coefficient (Not reported)</w:t>
            </w:r>
            <w:r w:rsidRPr="00BC7A12">
              <w:rPr>
                <w:rFonts w:cs="Calibri"/>
                <w:sz w:val="12"/>
                <w:szCs w:val="12"/>
              </w:rPr>
              <w:br/>
              <w:t>Coral reef type (barrier or fringe) (Not applicable)</w:t>
            </w:r>
            <w:r w:rsidRPr="00BC7A12">
              <w:rPr>
                <w:rFonts w:cs="Calibri"/>
                <w:sz w:val="12"/>
                <w:szCs w:val="12"/>
              </w:rPr>
              <w:br/>
              <w:t>Coriolis parameter (Not reported)</w:t>
            </w:r>
            <w:r w:rsidRPr="00BC7A12">
              <w:rPr>
                <w:rFonts w:cs="Calibri"/>
                <w:sz w:val="12"/>
                <w:szCs w:val="12"/>
              </w:rPr>
              <w:br/>
              <w:t>Deep water significant wave height (m)</w:t>
            </w:r>
            <w:r w:rsidRPr="00BC7A12">
              <w:rPr>
                <w:rFonts w:cs="Calibri"/>
                <w:sz w:val="12"/>
                <w:szCs w:val="12"/>
              </w:rPr>
              <w:br/>
              <w:t>Drag coefficient (Not reported)</w:t>
            </w:r>
            <w:r w:rsidRPr="00BC7A12">
              <w:rPr>
                <w:rFonts w:cs="Calibri"/>
                <w:sz w:val="12"/>
                <w:szCs w:val="12"/>
              </w:rPr>
              <w:br/>
              <w:t>Gravity constant (Not reported)</w:t>
            </w:r>
            <w:r w:rsidRPr="00BC7A12">
              <w:rPr>
                <w:rFonts w:cs="Calibri"/>
                <w:sz w:val="12"/>
                <w:szCs w:val="12"/>
              </w:rPr>
              <w:br/>
              <w:t>Hurricane barometric pressure (mb)</w:t>
            </w:r>
            <w:r w:rsidRPr="00BC7A12">
              <w:rPr>
                <w:rFonts w:cs="Calibri"/>
                <w:sz w:val="12"/>
                <w:szCs w:val="12"/>
              </w:rPr>
              <w:br/>
              <w:t>Hurricane forward speed (km/hr)</w:t>
            </w:r>
            <w:r w:rsidRPr="00BC7A12">
              <w:rPr>
                <w:rFonts w:cs="Calibri"/>
                <w:sz w:val="12"/>
                <w:szCs w:val="12"/>
              </w:rPr>
              <w:br/>
              <w:t>Peak period (significant wave height) (s)</w:t>
            </w:r>
            <w:r w:rsidRPr="00BC7A12">
              <w:rPr>
                <w:rFonts w:cs="Calibri"/>
                <w:sz w:val="12"/>
                <w:szCs w:val="12"/>
              </w:rPr>
              <w:br/>
              <w:t>Radius of maximum winds (km)</w:t>
            </w:r>
            <w:r w:rsidRPr="00BC7A12">
              <w:rPr>
                <w:rFonts w:cs="Calibri"/>
                <w:sz w:val="12"/>
                <w:szCs w:val="12"/>
              </w:rPr>
              <w:br/>
              <w:t>Stem/trunk diameter (m)</w:t>
            </w:r>
            <w:r w:rsidRPr="00BC7A12">
              <w:rPr>
                <w:rFonts w:cs="Calibri"/>
                <w:sz w:val="12"/>
                <w:szCs w:val="12"/>
              </w:rPr>
              <w:br/>
              <w:t>Storm surge reduction (Mangrove) (m/km)</w:t>
            </w:r>
            <w:r w:rsidRPr="00BC7A12">
              <w:rPr>
                <w:rFonts w:cs="Calibri"/>
                <w:sz w:val="12"/>
                <w:szCs w:val="12"/>
              </w:rPr>
              <w:br/>
              <w:t>Water density (Not reported)</w:t>
            </w:r>
            <w:r w:rsidRPr="00BC7A12">
              <w:rPr>
                <w:rFonts w:cs="Calibri"/>
                <w:sz w:val="12"/>
                <w:szCs w:val="12"/>
              </w:rPr>
              <w:br/>
              <w:t>Water density (Not reported)</w:t>
            </w:r>
            <w:r w:rsidRPr="00BC7A12">
              <w:rPr>
                <w:rFonts w:cs="Calibri"/>
                <w:sz w:val="12"/>
                <w:szCs w:val="12"/>
              </w:rPr>
              <w:br/>
              <w:t>Wave breaker index (Not applicable)</w:t>
            </w:r>
            <w:r w:rsidRPr="00BC7A12">
              <w:rPr>
                <w:rFonts w:cs="Calibri"/>
                <w:sz w:val="12"/>
                <w:szCs w:val="12"/>
              </w:rPr>
              <w:br/>
              <w:t>Wave radial frequency (Not reported)</w:t>
            </w:r>
          </w:p>
        </w:tc>
      </w:tr>
      <w:tr w:rsidR="008F0045" w:rsidRPr="00BC7A12" w14:paraId="472C1A6E" w14:textId="77777777" w:rsidTr="007A09A0">
        <w:trPr>
          <w:cnfStyle w:val="000000100000" w:firstRow="0" w:lastRow="0" w:firstColumn="0" w:lastColumn="0" w:oddVBand="0" w:evenVBand="0" w:oddHBand="1"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0" w:type="auto"/>
            <w:hideMark/>
          </w:tcPr>
          <w:p w14:paraId="11622DDA" w14:textId="77777777" w:rsidR="008F0045" w:rsidRPr="00BC7A12" w:rsidRDefault="008F0045">
            <w:pPr>
              <w:rPr>
                <w:rFonts w:cs="Calibri"/>
                <w:color w:val="000000"/>
                <w:sz w:val="20"/>
                <w:szCs w:val="20"/>
              </w:rPr>
            </w:pPr>
            <w:r w:rsidRPr="00BC7A12">
              <w:rPr>
                <w:rFonts w:cs="Calibri"/>
                <w:color w:val="000000"/>
                <w:sz w:val="20"/>
                <w:szCs w:val="20"/>
              </w:rPr>
              <w:lastRenderedPageBreak/>
              <w:t>Intermediate (Computed) Variables (and Units)</w:t>
            </w:r>
          </w:p>
        </w:tc>
        <w:tc>
          <w:tcPr>
            <w:tcW w:w="0" w:type="auto"/>
            <w:hideMark/>
          </w:tcPr>
          <w:p w14:paraId="7E85AD8D"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color w:val="000000"/>
                <w:sz w:val="14"/>
                <w:szCs w:val="14"/>
              </w:rPr>
            </w:pPr>
          </w:p>
        </w:tc>
        <w:tc>
          <w:tcPr>
            <w:tcW w:w="0" w:type="auto"/>
            <w:hideMark/>
          </w:tcPr>
          <w:p w14:paraId="6960049D"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Human demand for coastline protection (Not applicable)</w:t>
            </w:r>
            <w:r w:rsidRPr="00BC7A12">
              <w:rPr>
                <w:rFonts w:cs="Calibri"/>
                <w:sz w:val="14"/>
                <w:szCs w:val="14"/>
              </w:rPr>
              <w:br/>
              <w:t>Natural capacity for coastal protection (Not applicable)</w:t>
            </w:r>
            <w:r w:rsidRPr="00BC7A12">
              <w:rPr>
                <w:rFonts w:cs="Calibri"/>
                <w:sz w:val="14"/>
                <w:szCs w:val="14"/>
              </w:rPr>
              <w:br/>
              <w:t>Natural exposure of coastlines (Not applicable)</w:t>
            </w:r>
          </w:p>
        </w:tc>
        <w:tc>
          <w:tcPr>
            <w:tcW w:w="0" w:type="auto"/>
            <w:hideMark/>
          </w:tcPr>
          <w:p w14:paraId="239DE7C2"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Evapotranspiration (Not applicable)</w:t>
            </w:r>
            <w:r w:rsidRPr="00BC7A12">
              <w:rPr>
                <w:rFonts w:cs="Calibri"/>
                <w:sz w:val="14"/>
                <w:szCs w:val="14"/>
              </w:rPr>
              <w:br/>
              <w:t>Mean days of precipitation per year (Not applicable)</w:t>
            </w:r>
            <w:r w:rsidRPr="00BC7A12">
              <w:rPr>
                <w:rFonts w:cs="Calibri"/>
                <w:sz w:val="14"/>
                <w:szCs w:val="14"/>
              </w:rPr>
              <w:br/>
              <w:t>Soil infiltration (Not applicable)</w:t>
            </w:r>
          </w:p>
        </w:tc>
        <w:tc>
          <w:tcPr>
            <w:tcW w:w="0" w:type="auto"/>
            <w:hideMark/>
          </w:tcPr>
          <w:p w14:paraId="7BD0C674"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p>
        </w:tc>
        <w:tc>
          <w:tcPr>
            <w:tcW w:w="0" w:type="auto"/>
            <w:hideMark/>
          </w:tcPr>
          <w:p w14:paraId="135A4D33"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p>
        </w:tc>
        <w:tc>
          <w:tcPr>
            <w:tcW w:w="0" w:type="auto"/>
            <w:hideMark/>
          </w:tcPr>
          <w:p w14:paraId="0A505727"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Bottom friction wave energy dissipation (energy) (Not reported)</w:t>
            </w:r>
            <w:r w:rsidRPr="00BC7A12">
              <w:rPr>
                <w:rFonts w:cs="Calibri"/>
                <w:sz w:val="14"/>
                <w:szCs w:val="14"/>
              </w:rPr>
              <w:br/>
              <w:t>Energy source (wind set up) (Not reported)</w:t>
            </w:r>
            <w:r w:rsidRPr="00BC7A12">
              <w:rPr>
                <w:rFonts w:cs="Calibri"/>
                <w:sz w:val="14"/>
                <w:szCs w:val="14"/>
              </w:rPr>
              <w:br/>
            </w:r>
            <w:proofErr w:type="spellStart"/>
            <w:r w:rsidRPr="00BC7A12">
              <w:rPr>
                <w:rFonts w:cs="Calibri"/>
                <w:sz w:val="14"/>
                <w:szCs w:val="14"/>
              </w:rPr>
              <w:t>Vegtetation</w:t>
            </w:r>
            <w:proofErr w:type="spellEnd"/>
            <w:r w:rsidRPr="00BC7A12">
              <w:rPr>
                <w:rFonts w:cs="Calibri"/>
                <w:sz w:val="14"/>
                <w:szCs w:val="14"/>
              </w:rPr>
              <w:t xml:space="preserve"> wave energy dissipation (Not reported)</w:t>
            </w:r>
            <w:r w:rsidRPr="00BC7A12">
              <w:rPr>
                <w:rFonts w:cs="Calibri"/>
                <w:sz w:val="14"/>
                <w:szCs w:val="14"/>
              </w:rPr>
              <w:br/>
              <w:t>Wave breaking energy dissipation (Not reported)</w:t>
            </w:r>
          </w:p>
        </w:tc>
      </w:tr>
      <w:tr w:rsidR="00DA6CFD" w:rsidRPr="00BC7A12" w14:paraId="4B833F6E" w14:textId="77777777" w:rsidTr="007A09A0">
        <w:trPr>
          <w:trHeight w:val="4000"/>
        </w:trPr>
        <w:tc>
          <w:tcPr>
            <w:cnfStyle w:val="001000000000" w:firstRow="0" w:lastRow="0" w:firstColumn="1" w:lastColumn="0" w:oddVBand="0" w:evenVBand="0" w:oddHBand="0" w:evenHBand="0" w:firstRowFirstColumn="0" w:firstRowLastColumn="0" w:lastRowFirstColumn="0" w:lastRowLastColumn="0"/>
            <w:tcW w:w="0" w:type="auto"/>
            <w:hideMark/>
          </w:tcPr>
          <w:p w14:paraId="01FECEB3" w14:textId="77777777" w:rsidR="008F0045" w:rsidRPr="00BC7A12" w:rsidRDefault="008F0045">
            <w:pPr>
              <w:rPr>
                <w:rFonts w:cs="Calibri"/>
                <w:color w:val="000000"/>
                <w:sz w:val="20"/>
                <w:szCs w:val="20"/>
              </w:rPr>
            </w:pPr>
            <w:r w:rsidRPr="00BC7A12">
              <w:rPr>
                <w:rFonts w:cs="Calibri"/>
                <w:color w:val="000000"/>
                <w:sz w:val="20"/>
                <w:szCs w:val="20"/>
              </w:rPr>
              <w:t>Observed Response Variables (and Units)</w:t>
            </w:r>
          </w:p>
        </w:tc>
        <w:tc>
          <w:tcPr>
            <w:tcW w:w="0" w:type="auto"/>
            <w:hideMark/>
          </w:tcPr>
          <w:p w14:paraId="274C4940"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r w:rsidRPr="00BC7A12">
              <w:rPr>
                <w:rFonts w:cs="Calibri"/>
                <w:sz w:val="14"/>
                <w:szCs w:val="14"/>
              </w:rPr>
              <w:t>Mangrove adult tree density (ind./ha)</w:t>
            </w:r>
            <w:r w:rsidRPr="00BC7A12">
              <w:rPr>
                <w:rFonts w:cs="Calibri"/>
                <w:sz w:val="14"/>
                <w:szCs w:val="14"/>
              </w:rPr>
              <w:br/>
              <w:t>Mangrove adult tree diameter (cm)</w:t>
            </w:r>
            <w:r w:rsidRPr="00BC7A12">
              <w:rPr>
                <w:rFonts w:cs="Calibri"/>
                <w:sz w:val="14"/>
                <w:szCs w:val="14"/>
              </w:rPr>
              <w:br/>
              <w:t>Mangrove juvenile tree density (ind./m^2)</w:t>
            </w:r>
            <w:r w:rsidRPr="00BC7A12">
              <w:rPr>
                <w:rFonts w:cs="Calibri"/>
                <w:sz w:val="14"/>
                <w:szCs w:val="14"/>
              </w:rPr>
              <w:br/>
              <w:t>Mangrove juvenile tree height (cm)</w:t>
            </w:r>
            <w:r w:rsidRPr="00BC7A12">
              <w:rPr>
                <w:rFonts w:cs="Calibri"/>
                <w:sz w:val="14"/>
                <w:szCs w:val="14"/>
              </w:rPr>
              <w:br/>
              <w:t>Percent sand (%)</w:t>
            </w:r>
            <w:r w:rsidRPr="00BC7A12">
              <w:rPr>
                <w:rFonts w:cs="Calibri"/>
                <w:sz w:val="14"/>
                <w:szCs w:val="14"/>
              </w:rPr>
              <w:br/>
              <w:t>Percent soil moisture (%)</w:t>
            </w:r>
            <w:r w:rsidRPr="00BC7A12">
              <w:rPr>
                <w:rFonts w:cs="Calibri"/>
                <w:sz w:val="14"/>
                <w:szCs w:val="14"/>
              </w:rPr>
              <w:br/>
              <w:t>Soil bulk density (g/cm^3)</w:t>
            </w:r>
            <w:r w:rsidRPr="00BC7A12">
              <w:rPr>
                <w:rFonts w:cs="Calibri"/>
                <w:sz w:val="14"/>
                <w:szCs w:val="14"/>
              </w:rPr>
              <w:br/>
              <w:t>Soil carbon (g/kg)</w:t>
            </w:r>
            <w:r w:rsidRPr="00BC7A12">
              <w:rPr>
                <w:rFonts w:cs="Calibri"/>
                <w:sz w:val="14"/>
                <w:szCs w:val="14"/>
              </w:rPr>
              <w:br/>
              <w:t>Soil carbon storage (g/m^2)</w:t>
            </w:r>
            <w:r w:rsidRPr="00BC7A12">
              <w:rPr>
                <w:rFonts w:cs="Calibri"/>
                <w:sz w:val="14"/>
                <w:szCs w:val="14"/>
              </w:rPr>
              <w:br/>
              <w:t>Soil nitrogen storage (g/m^2)</w:t>
            </w:r>
            <w:r w:rsidRPr="00BC7A12">
              <w:rPr>
                <w:rFonts w:cs="Calibri"/>
                <w:sz w:val="14"/>
                <w:szCs w:val="14"/>
              </w:rPr>
              <w:br/>
              <w:t>Soil organic matter (%)</w:t>
            </w:r>
            <w:r w:rsidRPr="00BC7A12">
              <w:rPr>
                <w:rFonts w:cs="Calibri"/>
                <w:sz w:val="14"/>
                <w:szCs w:val="14"/>
              </w:rPr>
              <w:br/>
              <w:t>Spartina above ground biomass (g/m^2)</w:t>
            </w:r>
            <w:r w:rsidRPr="00BC7A12">
              <w:rPr>
                <w:rFonts w:cs="Calibri"/>
                <w:sz w:val="14"/>
                <w:szCs w:val="14"/>
              </w:rPr>
              <w:br/>
              <w:t>Spartina stem density (stems/m^2)</w:t>
            </w:r>
          </w:p>
        </w:tc>
        <w:tc>
          <w:tcPr>
            <w:tcW w:w="0" w:type="auto"/>
            <w:hideMark/>
          </w:tcPr>
          <w:p w14:paraId="34A2D3C6"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
        </w:tc>
        <w:tc>
          <w:tcPr>
            <w:tcW w:w="0" w:type="auto"/>
            <w:hideMark/>
          </w:tcPr>
          <w:p w14:paraId="65A33442"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
        </w:tc>
        <w:tc>
          <w:tcPr>
            <w:tcW w:w="0" w:type="auto"/>
            <w:hideMark/>
          </w:tcPr>
          <w:p w14:paraId="4118C64E"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
        </w:tc>
        <w:tc>
          <w:tcPr>
            <w:tcW w:w="0" w:type="auto"/>
            <w:hideMark/>
          </w:tcPr>
          <w:p w14:paraId="6E7C819D"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
        </w:tc>
        <w:tc>
          <w:tcPr>
            <w:tcW w:w="0" w:type="auto"/>
            <w:hideMark/>
          </w:tcPr>
          <w:p w14:paraId="398557BA" w14:textId="77777777" w:rsidR="008F0045" w:rsidRPr="00BC7A12" w:rsidRDefault="008F0045" w:rsidP="00AB175B">
            <w:pPr>
              <w:jc w:val="left"/>
              <w:cnfStyle w:val="000000000000" w:firstRow="0" w:lastRow="0" w:firstColumn="0" w:lastColumn="0" w:oddVBand="0" w:evenVBand="0" w:oddHBand="0" w:evenHBand="0" w:firstRowFirstColumn="0" w:firstRowLastColumn="0" w:lastRowFirstColumn="0" w:lastRowLastColumn="0"/>
              <w:rPr>
                <w:rFonts w:cs="Calibri"/>
                <w:sz w:val="14"/>
                <w:szCs w:val="14"/>
              </w:rPr>
            </w:pPr>
          </w:p>
        </w:tc>
      </w:tr>
      <w:tr w:rsidR="008F0045" w:rsidRPr="00BC7A12" w14:paraId="014DEEDA" w14:textId="77777777" w:rsidTr="007A09A0">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0" w:type="auto"/>
            <w:hideMark/>
          </w:tcPr>
          <w:p w14:paraId="05253608" w14:textId="77777777" w:rsidR="008F0045" w:rsidRPr="00BC7A12" w:rsidRDefault="008F0045">
            <w:pPr>
              <w:rPr>
                <w:rFonts w:cs="Calibri"/>
                <w:color w:val="000000"/>
                <w:sz w:val="20"/>
                <w:szCs w:val="20"/>
              </w:rPr>
            </w:pPr>
            <w:r w:rsidRPr="00BC7A12">
              <w:rPr>
                <w:rFonts w:cs="Calibri"/>
                <w:color w:val="000000"/>
                <w:sz w:val="20"/>
                <w:szCs w:val="20"/>
              </w:rPr>
              <w:lastRenderedPageBreak/>
              <w:t>Computed Response Variables (and Units)</w:t>
            </w:r>
          </w:p>
        </w:tc>
        <w:tc>
          <w:tcPr>
            <w:tcW w:w="0" w:type="auto"/>
            <w:hideMark/>
          </w:tcPr>
          <w:p w14:paraId="7F9686ED"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color w:val="000000"/>
                <w:sz w:val="14"/>
                <w:szCs w:val="14"/>
              </w:rPr>
            </w:pPr>
          </w:p>
        </w:tc>
        <w:tc>
          <w:tcPr>
            <w:tcW w:w="0" w:type="auto"/>
            <w:hideMark/>
          </w:tcPr>
          <w:p w14:paraId="4CC330E0"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Coastal protection ecosystem service benefit (Not applicable)</w:t>
            </w:r>
            <w:r w:rsidRPr="00BC7A12">
              <w:rPr>
                <w:rFonts w:cs="Calibri"/>
                <w:sz w:val="14"/>
                <w:szCs w:val="14"/>
              </w:rPr>
              <w:br/>
              <w:t>Coastal protection ecosystem service flow (Not applicable)</w:t>
            </w:r>
          </w:p>
        </w:tc>
        <w:tc>
          <w:tcPr>
            <w:tcW w:w="0" w:type="auto"/>
            <w:hideMark/>
          </w:tcPr>
          <w:p w14:paraId="7736E819"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Actual flood regulation for developed land in 100-year floodplain (mm)</w:t>
            </w:r>
            <w:r w:rsidRPr="00BC7A12">
              <w:rPr>
                <w:rFonts w:cs="Calibri"/>
                <w:sz w:val="14"/>
                <w:szCs w:val="14"/>
              </w:rPr>
              <w:br/>
              <w:t>Actual flood regulation summed for developed land in 100-year floodplain (billion m^3 water/</w:t>
            </w:r>
            <w:proofErr w:type="spellStart"/>
            <w:r w:rsidRPr="00BC7A12">
              <w:rPr>
                <w:rFonts w:cs="Calibri"/>
                <w:sz w:val="14"/>
                <w:szCs w:val="14"/>
              </w:rPr>
              <w:t>yr</w:t>
            </w:r>
            <w:proofErr w:type="spellEnd"/>
            <w:r w:rsidRPr="00BC7A12">
              <w:rPr>
                <w:rFonts w:cs="Calibri"/>
                <w:sz w:val="14"/>
                <w:szCs w:val="14"/>
              </w:rPr>
              <w:t>)</w:t>
            </w:r>
            <w:r w:rsidRPr="00BC7A12">
              <w:rPr>
                <w:rFonts w:cs="Calibri"/>
                <w:sz w:val="14"/>
                <w:szCs w:val="14"/>
              </w:rPr>
              <w:br/>
              <w:t>Gray infrastructure storage (water) (Not reported)</w:t>
            </w:r>
            <w:r w:rsidRPr="00BC7A12">
              <w:rPr>
                <w:rFonts w:cs="Calibri"/>
                <w:sz w:val="14"/>
                <w:szCs w:val="14"/>
              </w:rPr>
              <w:br/>
              <w:t>Green infrastructure storage (water) (Not reported)</w:t>
            </w:r>
            <w:r w:rsidRPr="00BC7A12">
              <w:rPr>
                <w:rFonts w:cs="Calibri"/>
                <w:sz w:val="14"/>
                <w:szCs w:val="14"/>
              </w:rPr>
              <w:br/>
              <w:t>Ratio of actual to theoretical flood regulation for developed land in 100-year floodplain (%)</w:t>
            </w:r>
            <w:r w:rsidRPr="00BC7A12">
              <w:rPr>
                <w:rFonts w:cs="Calibri"/>
                <w:sz w:val="14"/>
                <w:szCs w:val="14"/>
              </w:rPr>
              <w:br/>
              <w:t>Theoretical flood regulation (mm)</w:t>
            </w:r>
            <w:r w:rsidRPr="00BC7A12">
              <w:rPr>
                <w:rFonts w:cs="Calibri"/>
                <w:sz w:val="14"/>
                <w:szCs w:val="14"/>
              </w:rPr>
              <w:br/>
              <w:t>Theoretical flood regulation summed (billion m^3 water/</w:t>
            </w:r>
            <w:proofErr w:type="spellStart"/>
            <w:r w:rsidRPr="00BC7A12">
              <w:rPr>
                <w:rFonts w:cs="Calibri"/>
                <w:sz w:val="14"/>
                <w:szCs w:val="14"/>
              </w:rPr>
              <w:t>yr</w:t>
            </w:r>
            <w:proofErr w:type="spellEnd"/>
            <w:r w:rsidRPr="00BC7A12">
              <w:rPr>
                <w:rFonts w:cs="Calibri"/>
                <w:sz w:val="14"/>
                <w:szCs w:val="14"/>
              </w:rPr>
              <w:t>)</w:t>
            </w:r>
          </w:p>
        </w:tc>
        <w:tc>
          <w:tcPr>
            <w:tcW w:w="0" w:type="auto"/>
            <w:hideMark/>
          </w:tcPr>
          <w:p w14:paraId="10730869"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Coral reef protection index (unitless)</w:t>
            </w:r>
          </w:p>
        </w:tc>
        <w:tc>
          <w:tcPr>
            <w:tcW w:w="0" w:type="auto"/>
            <w:hideMark/>
          </w:tcPr>
          <w:p w14:paraId="28166B67"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Decrease in wave runup (%)</w:t>
            </w:r>
          </w:p>
        </w:tc>
        <w:tc>
          <w:tcPr>
            <w:tcW w:w="0" w:type="auto"/>
            <w:hideMark/>
          </w:tcPr>
          <w:p w14:paraId="7F231E4A" w14:textId="77777777" w:rsidR="008F0045" w:rsidRPr="00BC7A12" w:rsidRDefault="008F0045" w:rsidP="00AB175B">
            <w:pPr>
              <w:jc w:val="left"/>
              <w:cnfStyle w:val="000000100000" w:firstRow="0" w:lastRow="0" w:firstColumn="0" w:lastColumn="0" w:oddVBand="0" w:evenVBand="0" w:oddHBand="1" w:evenHBand="0" w:firstRowFirstColumn="0" w:firstRowLastColumn="0" w:lastRowFirstColumn="0" w:lastRowLastColumn="0"/>
              <w:rPr>
                <w:rFonts w:cs="Calibri"/>
                <w:sz w:val="14"/>
                <w:szCs w:val="14"/>
              </w:rPr>
            </w:pPr>
            <w:r w:rsidRPr="00BC7A12">
              <w:rPr>
                <w:rFonts w:cs="Calibri"/>
                <w:sz w:val="14"/>
                <w:szCs w:val="14"/>
              </w:rPr>
              <w:t>Inundation level (m)</w:t>
            </w:r>
            <w:r w:rsidRPr="00BC7A12">
              <w:rPr>
                <w:rFonts w:cs="Calibri"/>
                <w:sz w:val="14"/>
                <w:szCs w:val="14"/>
              </w:rPr>
              <w:br/>
            </w:r>
            <w:proofErr w:type="spellStart"/>
            <w:r w:rsidRPr="00BC7A12">
              <w:rPr>
                <w:rFonts w:cs="Calibri"/>
                <w:sz w:val="14"/>
                <w:szCs w:val="14"/>
              </w:rPr>
              <w:t>Mudbed</w:t>
            </w:r>
            <w:proofErr w:type="spellEnd"/>
            <w:r w:rsidRPr="00BC7A12">
              <w:rPr>
                <w:rFonts w:cs="Calibri"/>
                <w:sz w:val="14"/>
                <w:szCs w:val="14"/>
              </w:rPr>
              <w:t xml:space="preserve"> scour (m^3/m)</w:t>
            </w:r>
            <w:r w:rsidRPr="00BC7A12">
              <w:rPr>
                <w:rFonts w:cs="Calibri"/>
                <w:sz w:val="14"/>
                <w:szCs w:val="14"/>
              </w:rPr>
              <w:br/>
              <w:t>Sand erosion potential (W/m)</w:t>
            </w:r>
          </w:p>
        </w:tc>
      </w:tr>
    </w:tbl>
    <w:p w14:paraId="462D4656" w14:textId="25D0DF50" w:rsidR="00C47C1B" w:rsidRPr="00BC7A12" w:rsidRDefault="008F0045">
      <w:pPr>
        <w:spacing w:after="200" w:line="276" w:lineRule="auto"/>
        <w:jc w:val="left"/>
        <w:rPr>
          <w:rFonts w:cs="Calibri"/>
        </w:rPr>
      </w:pPr>
      <w:r w:rsidRPr="00BC7A12">
        <w:rPr>
          <w:rFonts w:cs="Calibri"/>
        </w:rPr>
        <w:t xml:space="preserve"> </w:t>
      </w:r>
      <w:r w:rsidR="00C47C1B" w:rsidRPr="00BC7A12">
        <w:rPr>
          <w:rFonts w:cs="Calibri"/>
        </w:rPr>
        <w:br w:type="page"/>
      </w:r>
    </w:p>
    <w:p w14:paraId="16BE0A55" w14:textId="77777777" w:rsidR="00366C5F" w:rsidRPr="00BC7A12" w:rsidRDefault="00366C5F" w:rsidP="00C47C1B">
      <w:pPr>
        <w:pStyle w:val="Heading1"/>
        <w:rPr>
          <w:rFonts w:ascii="Calibri" w:hAnsi="Calibri" w:cs="Calibri"/>
        </w:rPr>
        <w:sectPr w:rsidR="00366C5F" w:rsidRPr="00BC7A12" w:rsidSect="00366C5F">
          <w:pgSz w:w="16838" w:h="11906" w:orient="landscape" w:code="9"/>
          <w:pgMar w:top="1440" w:right="1440" w:bottom="1440" w:left="1440" w:header="432" w:footer="374" w:gutter="0"/>
          <w:cols w:space="708"/>
          <w:titlePg/>
          <w:docGrid w:linePitch="360"/>
        </w:sectPr>
      </w:pPr>
    </w:p>
    <w:p w14:paraId="1C07101E" w14:textId="48689F4D" w:rsidR="00CD762C" w:rsidRPr="00BC7A12" w:rsidRDefault="00CD762C" w:rsidP="00CD762C">
      <w:pPr>
        <w:pStyle w:val="Heading1"/>
        <w:rPr>
          <w:rFonts w:ascii="Calibri" w:hAnsi="Calibri" w:cs="Calibri"/>
        </w:rPr>
      </w:pPr>
      <w:bookmarkStart w:id="98" w:name="_Ref44251921"/>
      <w:bookmarkStart w:id="99" w:name="_Toc46822330"/>
      <w:bookmarkStart w:id="100" w:name="_Ref43147341"/>
      <w:bookmarkStart w:id="101" w:name="_Ref43147355"/>
      <w:r w:rsidRPr="00BC7A12">
        <w:rPr>
          <w:rFonts w:ascii="Calibri" w:hAnsi="Calibri" w:cs="Calibri"/>
        </w:rPr>
        <w:lastRenderedPageBreak/>
        <w:t>Appendix 4 Natural capital accounting data structure</w:t>
      </w:r>
      <w:bookmarkEnd w:id="98"/>
      <w:bookmarkEnd w:id="99"/>
      <w:r w:rsidRPr="00BC7A12">
        <w:rPr>
          <w:rFonts w:ascii="Calibri" w:hAnsi="Calibri" w:cs="Calibri"/>
        </w:rPr>
        <w:t xml:space="preserve">  </w:t>
      </w:r>
    </w:p>
    <w:p w14:paraId="560214CE" w14:textId="3271AA1A" w:rsidR="00CD762C" w:rsidRPr="00BC7A12" w:rsidRDefault="005D7D1C" w:rsidP="00CD762C">
      <w:pPr>
        <w:rPr>
          <w:rFonts w:cs="Calibri"/>
        </w:rPr>
      </w:pPr>
      <w:r w:rsidRPr="00BC7A12">
        <w:rPr>
          <w:rFonts w:cs="Calibri"/>
        </w:rPr>
        <w:t xml:space="preserve">The </w:t>
      </w:r>
      <w:r w:rsidR="00CD762C" w:rsidRPr="00BC7A12">
        <w:rPr>
          <w:rFonts w:cs="Calibri"/>
        </w:rPr>
        <w:t xml:space="preserve">System of Environmental-Economic Accounting (SEEA) </w:t>
      </w:r>
      <w:r w:rsidR="00CD762C" w:rsidRPr="00BC7A12">
        <w:rPr>
          <w:rFonts w:cs="Calibri"/>
        </w:rPr>
        <w:fldChar w:fldCharType="begin" w:fldLock="1"/>
      </w:r>
      <w:r w:rsidR="00CD762C" w:rsidRPr="00BC7A12">
        <w:rPr>
          <w:rFonts w:cs="Calibri"/>
        </w:rPr>
        <w:instrText>ADDIN CSL_CITATION {"citationItems":[{"id":"ITEM-1","itemData":{"author":[{"dropping-particle":"","family":"United Nations","given":"","non-dropping-particle":"","parse-names":false,"suffix":""},{"dropping-particle":"","family":"European Commission","given":"","non-dropping-particle":"","parse-names":false,"suffix":""},{"dropping-particle":"","family":"Food and Agriculture Organization of the United Nations","given":"","non-dropping-particle":"","parse-names":false,"suffix":""},{"dropping-particle":"","family":"International Monetary Fund","given":"","non-dropping-particle":"","parse-names":false,"suffix":""},{"dropping-particle":"","family":"Organisation for Economic Co-Operation and Development","given":"","non-dropping-particle":"","parse-names":false,"suffix":""},{"dropping-particle":"","family":"World Bank","given":"","non-dropping-particle":"","parse-names":false,"suffix":""}],"id":"ITEM-1","issued":{"date-parts":[["2014"]]},"publisher":"United Nations","publisher-place":"New York","title":"System of Environmental-Economic Accounting 2012 Central Framework","type":"book"},"uris":["http://www.mendeley.com/documents/?uuid=14d16387-b39b-4b49-a48d-23e648a0bc85"]}],"mendeley":{"formattedCitation":"(United Nations et al. 2014b)","plainTextFormattedCitation":"(United Nations et al. 2014b)","previouslyFormattedCitation":"(United Nations et al. 2014b)"},"properties":{"noteIndex":0},"schema":"https://github.com/citation-style-language/schema/raw/master/csl-citation.json"}</w:instrText>
      </w:r>
      <w:r w:rsidR="00CD762C" w:rsidRPr="00BC7A12">
        <w:rPr>
          <w:rFonts w:cs="Calibri"/>
        </w:rPr>
        <w:fldChar w:fldCharType="separate"/>
      </w:r>
      <w:r w:rsidR="00CD762C" w:rsidRPr="00BC7A12">
        <w:rPr>
          <w:rFonts w:cs="Calibri"/>
          <w:noProof/>
        </w:rPr>
        <w:t>(United Nations et al. 2014b)</w:t>
      </w:r>
      <w:r w:rsidR="00CD762C" w:rsidRPr="00BC7A12">
        <w:rPr>
          <w:rFonts w:cs="Calibri"/>
        </w:rPr>
        <w:fldChar w:fldCharType="end"/>
      </w:r>
      <w:r w:rsidR="00CD762C" w:rsidRPr="00BC7A12">
        <w:rPr>
          <w:rFonts w:cs="Calibri"/>
        </w:rPr>
        <w:t xml:space="preserve"> is the global standard</w:t>
      </w:r>
      <w:r w:rsidRPr="00BC7A12">
        <w:rPr>
          <w:rFonts w:cs="Calibri"/>
        </w:rPr>
        <w:t xml:space="preserve"> for natural capital accounting</w:t>
      </w:r>
      <w:r w:rsidR="00CD762C" w:rsidRPr="00BC7A12">
        <w:rPr>
          <w:rFonts w:cs="Calibri"/>
        </w:rPr>
        <w:t xml:space="preserve">. One component of SEEA, is that provides uniform classification of data for improved speed and accuracy in defining and discovering data.  </w:t>
      </w:r>
      <w:r w:rsidR="00CD762C" w:rsidRPr="00BC7A12">
        <w:rPr>
          <w:rFonts w:cs="Calibri"/>
        </w:rPr>
        <w:fldChar w:fldCharType="begin"/>
      </w:r>
      <w:r w:rsidR="00CD762C" w:rsidRPr="00BC7A12">
        <w:rPr>
          <w:rFonts w:cs="Calibri"/>
        </w:rPr>
        <w:instrText xml:space="preserve"> REF _Ref44167848 \h </w:instrText>
      </w:r>
      <w:r w:rsidR="00BC7A12">
        <w:rPr>
          <w:rFonts w:cs="Calibri"/>
        </w:rPr>
        <w:instrText xml:space="preserve"> \* MERGEFORMAT </w:instrText>
      </w:r>
      <w:r w:rsidR="00CD762C" w:rsidRPr="00BC7A12">
        <w:rPr>
          <w:rFonts w:cs="Calibri"/>
        </w:rPr>
      </w:r>
      <w:r w:rsidR="00CD762C" w:rsidRPr="00BC7A12">
        <w:rPr>
          <w:rFonts w:cs="Calibri"/>
        </w:rPr>
        <w:fldChar w:fldCharType="separate"/>
      </w:r>
      <w:r w:rsidR="00657E34">
        <w:rPr>
          <w:rFonts w:cs="Calibri"/>
          <w:b/>
          <w:bCs/>
          <w:lang w:val="en-US"/>
        </w:rPr>
        <w:t>Error! Reference source not found.</w:t>
      </w:r>
      <w:r w:rsidR="00CD762C" w:rsidRPr="00BC7A12">
        <w:rPr>
          <w:rFonts w:cs="Calibri"/>
        </w:rPr>
        <w:fldChar w:fldCharType="end"/>
      </w:r>
      <w:r w:rsidR="00CD762C" w:rsidRPr="00BC7A12">
        <w:rPr>
          <w:rFonts w:cs="Calibri"/>
        </w:rPr>
        <w:t xml:space="preserve"> </w:t>
      </w:r>
      <w:r w:rsidR="002E5280" w:rsidRPr="00BC7A12">
        <w:rPr>
          <w:rFonts w:cs="Calibri"/>
        </w:rPr>
        <w:t>demonstrated how SEEA organized different social and economic data.</w:t>
      </w:r>
      <w:r w:rsidR="00CD762C" w:rsidRPr="00BC7A12">
        <w:rPr>
          <w:rFonts w:cs="Calibri"/>
        </w:rPr>
        <w:t xml:space="preserve"> </w:t>
      </w:r>
    </w:p>
    <w:p w14:paraId="58DB15E8" w14:textId="4964FB72" w:rsidR="00F0367C" w:rsidRPr="00BC7A12" w:rsidRDefault="00F0367C" w:rsidP="00F0367C">
      <w:pPr>
        <w:pStyle w:val="Caption"/>
        <w:keepNext/>
        <w:rPr>
          <w:rFonts w:cs="Calibri"/>
        </w:rPr>
      </w:pPr>
      <w:bookmarkStart w:id="102" w:name="_Toc46821750"/>
      <w:r w:rsidRPr="00BC7A12">
        <w:rPr>
          <w:rFonts w:cs="Calibri"/>
        </w:rPr>
        <w:t xml:space="preserve">Table </w:t>
      </w:r>
      <w:r w:rsidRPr="00BC7A12">
        <w:rPr>
          <w:rFonts w:cs="Calibri"/>
        </w:rPr>
        <w:fldChar w:fldCharType="begin"/>
      </w:r>
      <w:r w:rsidRPr="00BC7A12">
        <w:rPr>
          <w:rFonts w:cs="Calibri"/>
        </w:rPr>
        <w:instrText xml:space="preserve"> SEQ Table \* ARABIC </w:instrText>
      </w:r>
      <w:r w:rsidRPr="00BC7A12">
        <w:rPr>
          <w:rFonts w:cs="Calibri"/>
        </w:rPr>
        <w:fldChar w:fldCharType="separate"/>
      </w:r>
      <w:r w:rsidR="00657E34">
        <w:rPr>
          <w:rFonts w:cs="Calibri"/>
          <w:noProof/>
        </w:rPr>
        <w:t>11</w:t>
      </w:r>
      <w:r w:rsidRPr="00BC7A12">
        <w:rPr>
          <w:rFonts w:cs="Calibri"/>
        </w:rPr>
        <w:fldChar w:fldCharType="end"/>
      </w:r>
      <w:r w:rsidRPr="00BC7A12">
        <w:rPr>
          <w:rFonts w:cs="Calibri"/>
        </w:rPr>
        <w:t xml:space="preserve"> SEEA data classification structure</w:t>
      </w:r>
      <w:bookmarkEnd w:id="102"/>
    </w:p>
    <w:tbl>
      <w:tblPr>
        <w:tblStyle w:val="TableGrid"/>
        <w:tblW w:w="0" w:type="auto"/>
        <w:tblLook w:val="04A0" w:firstRow="1" w:lastRow="0" w:firstColumn="1" w:lastColumn="0" w:noHBand="0" w:noVBand="1"/>
      </w:tblPr>
      <w:tblGrid>
        <w:gridCol w:w="1417"/>
        <w:gridCol w:w="2487"/>
        <w:gridCol w:w="5112"/>
      </w:tblGrid>
      <w:tr w:rsidR="00CD762C" w:rsidRPr="00BC7A12" w14:paraId="017BD400" w14:textId="77777777" w:rsidTr="007A0C04">
        <w:trPr>
          <w:trHeight w:val="206"/>
          <w:tblHeader/>
        </w:trPr>
        <w:tc>
          <w:tcPr>
            <w:tcW w:w="0" w:type="auto"/>
            <w:gridSpan w:val="3"/>
          </w:tcPr>
          <w:p w14:paraId="3687595B" w14:textId="77777777" w:rsidR="00CD762C" w:rsidRPr="00BC7A12" w:rsidRDefault="00CD762C" w:rsidP="007A0C04">
            <w:pPr>
              <w:spacing w:after="0" w:line="240" w:lineRule="auto"/>
              <w:jc w:val="center"/>
              <w:rPr>
                <w:rFonts w:cs="Calibri"/>
                <w:b/>
                <w:bCs/>
                <w:sz w:val="18"/>
                <w:szCs w:val="18"/>
              </w:rPr>
            </w:pPr>
            <w:r w:rsidRPr="00BC7A12">
              <w:rPr>
                <w:rFonts w:cs="Calibri"/>
                <w:b/>
                <w:bCs/>
                <w:sz w:val="18"/>
                <w:szCs w:val="18"/>
              </w:rPr>
              <w:t xml:space="preserve">Generic SEEA data classification structure  </w:t>
            </w:r>
            <w:r w:rsidRPr="00BC7A12">
              <w:rPr>
                <w:rFonts w:cs="Calibri"/>
                <w:b/>
                <w:bCs/>
                <w:sz w:val="18"/>
                <w:szCs w:val="18"/>
              </w:rPr>
              <w:fldChar w:fldCharType="begin" w:fldLock="1"/>
            </w:r>
            <w:r w:rsidRPr="00BC7A12">
              <w:rPr>
                <w:rFonts w:cs="Calibri"/>
                <w:b/>
                <w:bCs/>
                <w:sz w:val="18"/>
                <w:szCs w:val="18"/>
              </w:rPr>
              <w:instrText>ADDIN CSL_CITATION {"citationItems":[{"id":"ITEM-1","itemData":{"author":[{"dropping-particle":"","family":"United Nations Statistics Division","given":"","non-dropping-particle":"","parse-names":false,"suffix":""}],"id":"ITEM-1","issued":{"date-parts":[["2018"]]},"title":"Technical Recommendations in support of the System of Environmentla-Economic Accounting 2012","type":"article-journal"},"uris":["http://www.mendeley.com/documents/?uuid=59d11c91-a3a7-478f-b15d-d7188d3d5b5d"]}],"mendeley":{"formattedCitation":"(United Nations Statistics Division 2018)","manualFormatting":"(adopted from United Nations Statistics Division 2018)","plainTextFormattedCitation":"(United Nations Statistics Division 2018)","previouslyFormattedCitation":"(United Nations Statistics Division 2018)"},"properties":{"noteIndex":0},"schema":"https://github.com/citation-style-language/schema/raw/master/csl-citation.json"}</w:instrText>
            </w:r>
            <w:r w:rsidRPr="00BC7A12">
              <w:rPr>
                <w:rFonts w:cs="Calibri"/>
                <w:b/>
                <w:bCs/>
                <w:sz w:val="18"/>
                <w:szCs w:val="18"/>
              </w:rPr>
              <w:fldChar w:fldCharType="separate"/>
            </w:r>
            <w:r w:rsidRPr="00BC7A12">
              <w:rPr>
                <w:rFonts w:cs="Calibri"/>
                <w:bCs/>
                <w:noProof/>
                <w:sz w:val="18"/>
                <w:szCs w:val="18"/>
              </w:rPr>
              <w:t>(adopted from United Nations Statistics Division 2018)</w:t>
            </w:r>
            <w:r w:rsidRPr="00BC7A12">
              <w:rPr>
                <w:rFonts w:cs="Calibri"/>
                <w:b/>
                <w:bCs/>
                <w:sz w:val="18"/>
                <w:szCs w:val="18"/>
              </w:rPr>
              <w:fldChar w:fldCharType="end"/>
            </w:r>
          </w:p>
        </w:tc>
      </w:tr>
      <w:tr w:rsidR="00CD762C" w:rsidRPr="00BC7A12" w14:paraId="22EED1F7" w14:textId="77777777" w:rsidTr="007A0C04">
        <w:trPr>
          <w:tblHeader/>
        </w:trPr>
        <w:tc>
          <w:tcPr>
            <w:tcW w:w="0" w:type="auto"/>
          </w:tcPr>
          <w:p w14:paraId="0680B29C" w14:textId="77777777" w:rsidR="00CD762C" w:rsidRPr="00BC7A12" w:rsidRDefault="00CD762C" w:rsidP="007A0C04">
            <w:pPr>
              <w:spacing w:after="0" w:line="240" w:lineRule="auto"/>
              <w:rPr>
                <w:rFonts w:cs="Calibri"/>
                <w:b/>
                <w:bCs/>
                <w:sz w:val="18"/>
                <w:szCs w:val="18"/>
              </w:rPr>
            </w:pPr>
            <w:r w:rsidRPr="00BC7A12">
              <w:rPr>
                <w:rFonts w:cs="Calibri"/>
                <w:b/>
                <w:bCs/>
                <w:sz w:val="18"/>
                <w:szCs w:val="18"/>
              </w:rPr>
              <w:t>Subcomponent</w:t>
            </w:r>
          </w:p>
        </w:tc>
        <w:tc>
          <w:tcPr>
            <w:tcW w:w="0" w:type="auto"/>
          </w:tcPr>
          <w:p w14:paraId="1250BD67" w14:textId="77777777" w:rsidR="00CD762C" w:rsidRPr="00BC7A12" w:rsidRDefault="00CD762C" w:rsidP="007A0C04">
            <w:pPr>
              <w:spacing w:after="0" w:line="240" w:lineRule="auto"/>
              <w:rPr>
                <w:rFonts w:cs="Calibri"/>
                <w:b/>
                <w:bCs/>
                <w:sz w:val="18"/>
                <w:szCs w:val="18"/>
              </w:rPr>
            </w:pPr>
            <w:r w:rsidRPr="00BC7A12">
              <w:rPr>
                <w:rFonts w:cs="Calibri"/>
                <w:b/>
                <w:bCs/>
                <w:sz w:val="18"/>
                <w:szCs w:val="18"/>
              </w:rPr>
              <w:t>Definition</w:t>
            </w:r>
          </w:p>
        </w:tc>
        <w:tc>
          <w:tcPr>
            <w:tcW w:w="0" w:type="auto"/>
          </w:tcPr>
          <w:p w14:paraId="3E7ED644" w14:textId="77777777" w:rsidR="00CD762C" w:rsidRPr="00BC7A12" w:rsidRDefault="00CD762C" w:rsidP="007A0C04">
            <w:pPr>
              <w:spacing w:after="0" w:line="240" w:lineRule="auto"/>
              <w:rPr>
                <w:rFonts w:cs="Calibri"/>
                <w:b/>
                <w:bCs/>
                <w:sz w:val="18"/>
                <w:szCs w:val="18"/>
              </w:rPr>
            </w:pPr>
            <w:r w:rsidRPr="00BC7A12">
              <w:rPr>
                <w:rFonts w:cs="Calibri"/>
                <w:b/>
                <w:bCs/>
                <w:sz w:val="18"/>
                <w:szCs w:val="18"/>
              </w:rPr>
              <w:t>Example</w:t>
            </w:r>
          </w:p>
        </w:tc>
      </w:tr>
      <w:tr w:rsidR="00CD762C" w:rsidRPr="00BC7A12" w14:paraId="392AD3E2" w14:textId="77777777" w:rsidTr="007A0C04">
        <w:tc>
          <w:tcPr>
            <w:tcW w:w="0" w:type="auto"/>
          </w:tcPr>
          <w:p w14:paraId="3EF9C5ED" w14:textId="77777777" w:rsidR="00CD762C" w:rsidRPr="00BC7A12" w:rsidRDefault="00CD762C" w:rsidP="007A0C04">
            <w:pPr>
              <w:spacing w:after="0" w:line="240" w:lineRule="auto"/>
              <w:rPr>
                <w:rFonts w:cs="Calibri"/>
                <w:sz w:val="12"/>
                <w:szCs w:val="12"/>
              </w:rPr>
            </w:pPr>
            <w:r w:rsidRPr="00BC7A12">
              <w:rPr>
                <w:rFonts w:cs="Calibri"/>
                <w:sz w:val="12"/>
                <w:szCs w:val="12"/>
              </w:rPr>
              <w:t>Physical extent</w:t>
            </w:r>
          </w:p>
        </w:tc>
        <w:tc>
          <w:tcPr>
            <w:tcW w:w="0" w:type="auto"/>
          </w:tcPr>
          <w:p w14:paraId="0F2ADCBB" w14:textId="77777777" w:rsidR="00CD762C" w:rsidRPr="00BC7A12" w:rsidRDefault="00CD762C" w:rsidP="007A0C04">
            <w:pPr>
              <w:spacing w:after="0" w:line="240" w:lineRule="auto"/>
              <w:rPr>
                <w:rFonts w:cs="Calibri"/>
                <w:sz w:val="12"/>
                <w:szCs w:val="12"/>
              </w:rPr>
            </w:pPr>
            <w:r w:rsidRPr="00BC7A12">
              <w:rPr>
                <w:rFonts w:cs="Calibri"/>
                <w:sz w:val="12"/>
                <w:szCs w:val="12"/>
              </w:rPr>
              <w:t>Area in terms of coverage and arrangement</w:t>
            </w:r>
          </w:p>
        </w:tc>
        <w:tc>
          <w:tcPr>
            <w:tcW w:w="0" w:type="auto"/>
          </w:tcPr>
          <w:p w14:paraId="7A62BE48"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Topography, geography </w:t>
            </w:r>
          </w:p>
        </w:tc>
      </w:tr>
      <w:tr w:rsidR="00CD762C" w:rsidRPr="00BC7A12" w14:paraId="1DBD988F" w14:textId="77777777" w:rsidTr="007A0C04">
        <w:tc>
          <w:tcPr>
            <w:tcW w:w="0" w:type="auto"/>
          </w:tcPr>
          <w:p w14:paraId="3B0F452A" w14:textId="77777777" w:rsidR="00CD762C" w:rsidRPr="00BC7A12" w:rsidRDefault="00CD762C" w:rsidP="007A0C04">
            <w:pPr>
              <w:spacing w:after="0" w:line="240" w:lineRule="auto"/>
              <w:rPr>
                <w:rFonts w:cs="Calibri"/>
                <w:sz w:val="12"/>
                <w:szCs w:val="12"/>
              </w:rPr>
            </w:pPr>
            <w:r w:rsidRPr="00BC7A12">
              <w:rPr>
                <w:rFonts w:cs="Calibri"/>
                <w:sz w:val="12"/>
                <w:szCs w:val="12"/>
              </w:rPr>
              <w:t>Institutional extent</w:t>
            </w:r>
          </w:p>
        </w:tc>
        <w:tc>
          <w:tcPr>
            <w:tcW w:w="0" w:type="auto"/>
          </w:tcPr>
          <w:p w14:paraId="53DD41B6" w14:textId="77777777" w:rsidR="00CD762C" w:rsidRPr="00BC7A12" w:rsidRDefault="00CD762C" w:rsidP="007A0C04">
            <w:pPr>
              <w:spacing w:after="0" w:line="240" w:lineRule="auto"/>
              <w:rPr>
                <w:rFonts w:cs="Calibri"/>
                <w:sz w:val="12"/>
                <w:szCs w:val="12"/>
              </w:rPr>
            </w:pPr>
            <w:r w:rsidRPr="00BC7A12">
              <w:rPr>
                <w:rFonts w:cs="Calibri"/>
                <w:sz w:val="12"/>
                <w:szCs w:val="12"/>
              </w:rPr>
              <w:t>Zoning such as regulatory and planning areas</w:t>
            </w:r>
          </w:p>
        </w:tc>
        <w:tc>
          <w:tcPr>
            <w:tcW w:w="0" w:type="auto"/>
          </w:tcPr>
          <w:p w14:paraId="6A2EBAB5"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State and Council Zones, Ramsar boundaries </w:t>
            </w:r>
          </w:p>
        </w:tc>
      </w:tr>
      <w:tr w:rsidR="00CD762C" w:rsidRPr="00BC7A12" w14:paraId="24EEF8A1" w14:textId="77777777" w:rsidTr="007A0C04">
        <w:tc>
          <w:tcPr>
            <w:tcW w:w="0" w:type="auto"/>
          </w:tcPr>
          <w:p w14:paraId="0D926185" w14:textId="77777777" w:rsidR="00CD762C" w:rsidRPr="00BC7A12" w:rsidRDefault="00CD762C" w:rsidP="007A0C04">
            <w:pPr>
              <w:spacing w:after="0" w:line="240" w:lineRule="auto"/>
              <w:rPr>
                <w:rFonts w:cs="Calibri"/>
                <w:sz w:val="12"/>
                <w:szCs w:val="12"/>
              </w:rPr>
            </w:pPr>
            <w:r w:rsidRPr="00BC7A12">
              <w:rPr>
                <w:rFonts w:cs="Calibri"/>
                <w:sz w:val="12"/>
                <w:szCs w:val="12"/>
              </w:rPr>
              <w:t>Ecosystem extent</w:t>
            </w:r>
          </w:p>
        </w:tc>
        <w:tc>
          <w:tcPr>
            <w:tcW w:w="0" w:type="auto"/>
          </w:tcPr>
          <w:p w14:paraId="43B3EE4D" w14:textId="77777777" w:rsidR="00CD762C" w:rsidRPr="00BC7A12" w:rsidRDefault="00CD762C" w:rsidP="007A0C04">
            <w:pPr>
              <w:spacing w:after="0" w:line="240" w:lineRule="auto"/>
              <w:rPr>
                <w:rFonts w:cs="Calibri"/>
                <w:sz w:val="12"/>
                <w:szCs w:val="12"/>
              </w:rPr>
            </w:pPr>
            <w:r w:rsidRPr="00BC7A12">
              <w:rPr>
                <w:rFonts w:cs="Calibri"/>
                <w:sz w:val="12"/>
                <w:szCs w:val="12"/>
              </w:rPr>
              <w:t>Extent and composition of the ecosystem types</w:t>
            </w:r>
          </w:p>
        </w:tc>
        <w:tc>
          <w:tcPr>
            <w:tcW w:w="0" w:type="auto"/>
          </w:tcPr>
          <w:p w14:paraId="68C9E8A5" w14:textId="09192E16" w:rsidR="00CD762C" w:rsidRPr="00BC7A12" w:rsidRDefault="00CD762C" w:rsidP="007A0C04">
            <w:pPr>
              <w:spacing w:after="0" w:line="240" w:lineRule="auto"/>
              <w:rPr>
                <w:rFonts w:cs="Calibri"/>
                <w:sz w:val="12"/>
                <w:szCs w:val="12"/>
              </w:rPr>
            </w:pPr>
            <w:r w:rsidRPr="00BC7A12">
              <w:rPr>
                <w:rFonts w:cs="Calibri"/>
                <w:sz w:val="12"/>
                <w:szCs w:val="12"/>
              </w:rPr>
              <w:t xml:space="preserve">Seagrass, rocky reef, </w:t>
            </w:r>
            <w:proofErr w:type="gramStart"/>
            <w:r w:rsidRPr="00BC7A12">
              <w:rPr>
                <w:rFonts w:cs="Calibri"/>
                <w:sz w:val="12"/>
                <w:szCs w:val="12"/>
              </w:rPr>
              <w:t>mangrove</w:t>
            </w:r>
            <w:proofErr w:type="gramEnd"/>
            <w:r w:rsidRPr="00BC7A12">
              <w:rPr>
                <w:rFonts w:cs="Calibri"/>
                <w:sz w:val="12"/>
                <w:szCs w:val="12"/>
              </w:rPr>
              <w:t xml:space="preserve"> and salt</w:t>
            </w:r>
            <w:r w:rsidR="00C7242D">
              <w:rPr>
                <w:rFonts w:cs="Calibri"/>
                <w:sz w:val="12"/>
                <w:szCs w:val="12"/>
              </w:rPr>
              <w:t xml:space="preserve"> </w:t>
            </w:r>
            <w:r w:rsidRPr="00BC7A12">
              <w:rPr>
                <w:rFonts w:cs="Calibri"/>
                <w:sz w:val="12"/>
                <w:szCs w:val="12"/>
              </w:rPr>
              <w:t xml:space="preserve">marshes </w:t>
            </w:r>
          </w:p>
        </w:tc>
      </w:tr>
      <w:tr w:rsidR="00CD762C" w:rsidRPr="00BC7A12" w14:paraId="76ACD9C8" w14:textId="77777777" w:rsidTr="007A0C04">
        <w:tc>
          <w:tcPr>
            <w:tcW w:w="0" w:type="auto"/>
          </w:tcPr>
          <w:p w14:paraId="7EC50789" w14:textId="77777777" w:rsidR="00CD762C" w:rsidRPr="00BC7A12" w:rsidRDefault="00CD762C" w:rsidP="007A0C04">
            <w:pPr>
              <w:spacing w:after="0" w:line="240" w:lineRule="auto"/>
              <w:rPr>
                <w:rFonts w:cs="Calibri"/>
                <w:sz w:val="12"/>
                <w:szCs w:val="12"/>
              </w:rPr>
            </w:pPr>
            <w:r w:rsidRPr="00BC7A12">
              <w:rPr>
                <w:rFonts w:cs="Calibri"/>
                <w:sz w:val="12"/>
                <w:szCs w:val="12"/>
              </w:rPr>
              <w:t>Context</w:t>
            </w:r>
          </w:p>
        </w:tc>
        <w:tc>
          <w:tcPr>
            <w:tcW w:w="0" w:type="auto"/>
          </w:tcPr>
          <w:p w14:paraId="67BF04CF" w14:textId="77777777" w:rsidR="00CD762C" w:rsidRPr="00BC7A12" w:rsidRDefault="00CD762C" w:rsidP="007A0C04">
            <w:pPr>
              <w:spacing w:after="0" w:line="240" w:lineRule="auto"/>
              <w:rPr>
                <w:rFonts w:cs="Calibri"/>
                <w:sz w:val="12"/>
                <w:szCs w:val="12"/>
              </w:rPr>
            </w:pPr>
            <w:r w:rsidRPr="00BC7A12">
              <w:rPr>
                <w:rFonts w:cs="Calibri"/>
                <w:sz w:val="12"/>
                <w:szCs w:val="12"/>
              </w:rPr>
              <w:t>Contextual information that makes up the broader socio-ecological system</w:t>
            </w:r>
          </w:p>
        </w:tc>
        <w:tc>
          <w:tcPr>
            <w:tcW w:w="0" w:type="auto"/>
          </w:tcPr>
          <w:p w14:paraId="262864B9"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Cities, agricultural land, river connections </w:t>
            </w:r>
          </w:p>
        </w:tc>
      </w:tr>
      <w:tr w:rsidR="00CD762C" w:rsidRPr="00BC7A12" w14:paraId="75044512" w14:textId="77777777" w:rsidTr="007A0C04">
        <w:tc>
          <w:tcPr>
            <w:tcW w:w="0" w:type="auto"/>
          </w:tcPr>
          <w:p w14:paraId="602BBFEC" w14:textId="77777777" w:rsidR="00CD762C" w:rsidRPr="00BC7A12" w:rsidRDefault="00CD762C" w:rsidP="007A0C04">
            <w:pPr>
              <w:spacing w:after="0" w:line="240" w:lineRule="auto"/>
              <w:rPr>
                <w:rFonts w:cs="Calibri"/>
                <w:sz w:val="12"/>
                <w:szCs w:val="12"/>
              </w:rPr>
            </w:pPr>
            <w:r w:rsidRPr="00BC7A12">
              <w:rPr>
                <w:rFonts w:cs="Calibri"/>
                <w:sz w:val="12"/>
                <w:szCs w:val="12"/>
              </w:rPr>
              <w:t>Coastal use</w:t>
            </w:r>
          </w:p>
        </w:tc>
        <w:tc>
          <w:tcPr>
            <w:tcW w:w="0" w:type="auto"/>
          </w:tcPr>
          <w:p w14:paraId="096E9ABA" w14:textId="77777777" w:rsidR="00CD762C" w:rsidRPr="00BC7A12" w:rsidRDefault="00CD762C" w:rsidP="007A0C04">
            <w:pPr>
              <w:spacing w:after="0" w:line="240" w:lineRule="auto"/>
              <w:rPr>
                <w:rFonts w:cs="Calibri"/>
                <w:sz w:val="12"/>
                <w:szCs w:val="12"/>
              </w:rPr>
            </w:pPr>
            <w:r w:rsidRPr="00BC7A12">
              <w:rPr>
                <w:rFonts w:cs="Calibri"/>
                <w:sz w:val="12"/>
                <w:szCs w:val="12"/>
              </w:rPr>
              <w:t>Terrestrial areas designated for use relating to the marine environment</w:t>
            </w:r>
          </w:p>
        </w:tc>
        <w:tc>
          <w:tcPr>
            <w:tcW w:w="0" w:type="auto"/>
          </w:tcPr>
          <w:p w14:paraId="73328AD0" w14:textId="77777777" w:rsidR="00CD762C" w:rsidRPr="00BC7A12" w:rsidRDefault="00CD762C" w:rsidP="007A0C04">
            <w:pPr>
              <w:spacing w:after="0" w:line="240" w:lineRule="auto"/>
              <w:rPr>
                <w:rFonts w:cs="Calibri"/>
                <w:sz w:val="12"/>
                <w:szCs w:val="12"/>
              </w:rPr>
            </w:pPr>
            <w:r w:rsidRPr="00BC7A12">
              <w:rPr>
                <w:rFonts w:cs="Calibri"/>
                <w:sz w:val="12"/>
                <w:szCs w:val="12"/>
              </w:rPr>
              <w:t>Homes, ports, piers</w:t>
            </w:r>
          </w:p>
        </w:tc>
      </w:tr>
      <w:tr w:rsidR="00CD762C" w:rsidRPr="00BC7A12" w14:paraId="4F52CB01" w14:textId="77777777" w:rsidTr="007A0C04">
        <w:tc>
          <w:tcPr>
            <w:tcW w:w="0" w:type="auto"/>
          </w:tcPr>
          <w:p w14:paraId="3FDAB8F4" w14:textId="77777777" w:rsidR="00CD762C" w:rsidRPr="00BC7A12" w:rsidRDefault="00CD762C" w:rsidP="007A0C04">
            <w:pPr>
              <w:spacing w:after="0" w:line="240" w:lineRule="auto"/>
              <w:rPr>
                <w:rFonts w:cs="Calibri"/>
                <w:sz w:val="12"/>
                <w:szCs w:val="12"/>
              </w:rPr>
            </w:pPr>
            <w:r w:rsidRPr="00BC7A12">
              <w:rPr>
                <w:rFonts w:cs="Calibri"/>
                <w:sz w:val="12"/>
                <w:szCs w:val="12"/>
              </w:rPr>
              <w:t>Use</w:t>
            </w:r>
          </w:p>
        </w:tc>
        <w:tc>
          <w:tcPr>
            <w:tcW w:w="0" w:type="auto"/>
          </w:tcPr>
          <w:p w14:paraId="44F63465" w14:textId="77777777" w:rsidR="00CD762C" w:rsidRPr="00BC7A12" w:rsidRDefault="00CD762C" w:rsidP="007A0C04">
            <w:pPr>
              <w:spacing w:after="0" w:line="240" w:lineRule="auto"/>
              <w:rPr>
                <w:rFonts w:cs="Calibri"/>
                <w:sz w:val="12"/>
                <w:szCs w:val="12"/>
              </w:rPr>
            </w:pPr>
            <w:r w:rsidRPr="00BC7A12">
              <w:rPr>
                <w:rFonts w:cs="Calibri"/>
                <w:sz w:val="12"/>
                <w:szCs w:val="12"/>
              </w:rPr>
              <w:t>Uses of the wetland environment</w:t>
            </w:r>
          </w:p>
        </w:tc>
        <w:tc>
          <w:tcPr>
            <w:tcW w:w="0" w:type="auto"/>
          </w:tcPr>
          <w:p w14:paraId="3444D2AB" w14:textId="77777777" w:rsidR="00CD762C" w:rsidRPr="00BC7A12" w:rsidRDefault="00CD762C" w:rsidP="007A0C04">
            <w:pPr>
              <w:spacing w:after="0" w:line="240" w:lineRule="auto"/>
              <w:rPr>
                <w:rFonts w:cs="Calibri"/>
                <w:sz w:val="12"/>
                <w:szCs w:val="12"/>
              </w:rPr>
            </w:pPr>
            <w:r w:rsidRPr="00BC7A12">
              <w:rPr>
                <w:rFonts w:cs="Calibri"/>
                <w:sz w:val="12"/>
                <w:szCs w:val="12"/>
              </w:rPr>
              <w:t>Disaster risk reduction, tourism, fishing</w:t>
            </w:r>
          </w:p>
        </w:tc>
      </w:tr>
      <w:tr w:rsidR="00CD762C" w:rsidRPr="00BC7A12" w14:paraId="288D5939" w14:textId="77777777" w:rsidTr="007A0C04">
        <w:tc>
          <w:tcPr>
            <w:tcW w:w="0" w:type="auto"/>
          </w:tcPr>
          <w:p w14:paraId="3642B9E2" w14:textId="77777777" w:rsidR="00CD762C" w:rsidRPr="00BC7A12" w:rsidRDefault="00CD762C" w:rsidP="007A0C04">
            <w:pPr>
              <w:spacing w:after="0" w:line="240" w:lineRule="auto"/>
              <w:rPr>
                <w:rFonts w:cs="Calibri"/>
                <w:sz w:val="12"/>
                <w:szCs w:val="12"/>
              </w:rPr>
            </w:pPr>
            <w:r w:rsidRPr="00BC7A12">
              <w:rPr>
                <w:rFonts w:cs="Calibri"/>
                <w:sz w:val="12"/>
                <w:szCs w:val="12"/>
              </w:rPr>
              <w:t>Physical characteristics</w:t>
            </w:r>
          </w:p>
        </w:tc>
        <w:tc>
          <w:tcPr>
            <w:tcW w:w="0" w:type="auto"/>
          </w:tcPr>
          <w:p w14:paraId="38E1E8BF"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Physical attributes system quality </w:t>
            </w:r>
          </w:p>
        </w:tc>
        <w:tc>
          <w:tcPr>
            <w:tcW w:w="0" w:type="auto"/>
          </w:tcPr>
          <w:p w14:paraId="4DAAB277" w14:textId="77777777" w:rsidR="00CD762C" w:rsidRPr="00BC7A12" w:rsidRDefault="00CD762C" w:rsidP="007A0C04">
            <w:pPr>
              <w:spacing w:after="0" w:line="240" w:lineRule="auto"/>
              <w:rPr>
                <w:rFonts w:cs="Calibri"/>
                <w:sz w:val="12"/>
                <w:szCs w:val="12"/>
              </w:rPr>
            </w:pPr>
            <w:r w:rsidRPr="00BC7A12">
              <w:rPr>
                <w:rFonts w:cs="Calibri"/>
                <w:sz w:val="12"/>
                <w:szCs w:val="12"/>
              </w:rPr>
              <w:t>Soil types, waves, tides, winds, salinity, heat content, mean sea surface, mean dynamic topography, turbidity (reflectance), mixed layer thickness, water pressure, water density</w:t>
            </w:r>
          </w:p>
        </w:tc>
      </w:tr>
      <w:tr w:rsidR="00CD762C" w:rsidRPr="00BC7A12" w14:paraId="0311F323" w14:textId="77777777" w:rsidTr="007A0C04">
        <w:tc>
          <w:tcPr>
            <w:tcW w:w="0" w:type="auto"/>
          </w:tcPr>
          <w:p w14:paraId="51A498F4" w14:textId="77777777" w:rsidR="00CD762C" w:rsidRPr="00BC7A12" w:rsidRDefault="00CD762C" w:rsidP="007A0C04">
            <w:pPr>
              <w:spacing w:after="0" w:line="240" w:lineRule="auto"/>
              <w:rPr>
                <w:rFonts w:cs="Calibri"/>
                <w:sz w:val="12"/>
                <w:szCs w:val="12"/>
              </w:rPr>
            </w:pPr>
            <w:r w:rsidRPr="00BC7A12">
              <w:rPr>
                <w:rFonts w:cs="Calibri"/>
                <w:sz w:val="12"/>
                <w:szCs w:val="12"/>
              </w:rPr>
              <w:t>Chemical characteristics</w:t>
            </w:r>
          </w:p>
        </w:tc>
        <w:tc>
          <w:tcPr>
            <w:tcW w:w="0" w:type="auto"/>
          </w:tcPr>
          <w:p w14:paraId="328C99CA"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Chemicals and nutrients system quality </w:t>
            </w:r>
          </w:p>
        </w:tc>
        <w:tc>
          <w:tcPr>
            <w:tcW w:w="0" w:type="auto"/>
          </w:tcPr>
          <w:p w14:paraId="56F4A95B" w14:textId="77777777" w:rsidR="00CD762C" w:rsidRPr="00BC7A12" w:rsidRDefault="00CD762C" w:rsidP="007A0C04">
            <w:pPr>
              <w:spacing w:after="0" w:line="240" w:lineRule="auto"/>
              <w:rPr>
                <w:rFonts w:cs="Calibri"/>
                <w:sz w:val="12"/>
                <w:szCs w:val="12"/>
              </w:rPr>
            </w:pPr>
            <w:r w:rsidRPr="00BC7A12">
              <w:rPr>
                <w:rFonts w:cs="Calibri"/>
                <w:sz w:val="12"/>
                <w:szCs w:val="12"/>
              </w:rPr>
              <w:t>Phosphate, nitrate, silicate, alkalinity, pH, CO2, oxygen/hypoxia, tritium, oil-spill trajectory</w:t>
            </w:r>
          </w:p>
        </w:tc>
      </w:tr>
      <w:tr w:rsidR="00CD762C" w:rsidRPr="00BC7A12" w14:paraId="0B853CA4" w14:textId="77777777" w:rsidTr="007A0C04">
        <w:tc>
          <w:tcPr>
            <w:tcW w:w="0" w:type="auto"/>
          </w:tcPr>
          <w:p w14:paraId="62A9287B" w14:textId="77777777" w:rsidR="00CD762C" w:rsidRPr="00BC7A12" w:rsidRDefault="00CD762C" w:rsidP="007A0C04">
            <w:pPr>
              <w:spacing w:after="0" w:line="240" w:lineRule="auto"/>
              <w:rPr>
                <w:rFonts w:cs="Calibri"/>
                <w:sz w:val="12"/>
                <w:szCs w:val="12"/>
              </w:rPr>
            </w:pPr>
            <w:r w:rsidRPr="00BC7A12">
              <w:rPr>
                <w:rFonts w:cs="Calibri"/>
                <w:sz w:val="12"/>
                <w:szCs w:val="12"/>
              </w:rPr>
              <w:t>Biological characteristics</w:t>
            </w:r>
          </w:p>
        </w:tc>
        <w:tc>
          <w:tcPr>
            <w:tcW w:w="0" w:type="auto"/>
          </w:tcPr>
          <w:p w14:paraId="0E82DB51" w14:textId="77777777" w:rsidR="00CD762C" w:rsidRPr="00BC7A12" w:rsidRDefault="00CD762C" w:rsidP="007A0C04">
            <w:pPr>
              <w:spacing w:after="0" w:line="240" w:lineRule="auto"/>
              <w:rPr>
                <w:rFonts w:cs="Calibri"/>
                <w:sz w:val="12"/>
                <w:szCs w:val="12"/>
              </w:rPr>
            </w:pPr>
            <w:r w:rsidRPr="00BC7A12">
              <w:rPr>
                <w:rFonts w:cs="Calibri"/>
                <w:sz w:val="12"/>
                <w:szCs w:val="12"/>
              </w:rPr>
              <w:t>Biological attributes</w:t>
            </w:r>
          </w:p>
        </w:tc>
        <w:tc>
          <w:tcPr>
            <w:tcW w:w="0" w:type="auto"/>
          </w:tcPr>
          <w:p w14:paraId="4D247ABB"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algal </w:t>
            </w:r>
            <w:proofErr w:type="gramStart"/>
            <w:r w:rsidRPr="00BC7A12">
              <w:rPr>
                <w:rFonts w:cs="Calibri"/>
                <w:sz w:val="12"/>
                <w:szCs w:val="12"/>
              </w:rPr>
              <w:t>bloom,  water</w:t>
            </w:r>
            <w:proofErr w:type="gramEnd"/>
            <w:r w:rsidRPr="00BC7A12">
              <w:rPr>
                <w:rFonts w:cs="Calibri"/>
                <w:sz w:val="12"/>
                <w:szCs w:val="12"/>
              </w:rPr>
              <w:t xml:space="preserve"> quality, pests (starfish, sea urchins), bleaching </w:t>
            </w:r>
          </w:p>
        </w:tc>
      </w:tr>
      <w:tr w:rsidR="00CD762C" w:rsidRPr="00BC7A12" w14:paraId="0BF297DB" w14:textId="77777777" w:rsidTr="007A0C04">
        <w:tc>
          <w:tcPr>
            <w:tcW w:w="0" w:type="auto"/>
          </w:tcPr>
          <w:p w14:paraId="117417DA" w14:textId="77777777" w:rsidR="00CD762C" w:rsidRPr="00BC7A12" w:rsidRDefault="00CD762C" w:rsidP="007A0C04">
            <w:pPr>
              <w:spacing w:after="0" w:line="240" w:lineRule="auto"/>
              <w:rPr>
                <w:rFonts w:cs="Calibri"/>
                <w:sz w:val="12"/>
                <w:szCs w:val="12"/>
              </w:rPr>
            </w:pPr>
            <w:r w:rsidRPr="00BC7A12">
              <w:rPr>
                <w:rFonts w:cs="Calibri"/>
                <w:sz w:val="12"/>
                <w:szCs w:val="12"/>
              </w:rPr>
              <w:t>Ecological characteristics</w:t>
            </w:r>
          </w:p>
        </w:tc>
        <w:tc>
          <w:tcPr>
            <w:tcW w:w="0" w:type="auto"/>
          </w:tcPr>
          <w:p w14:paraId="2DC3C97B"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Ecological characteristics of system </w:t>
            </w:r>
          </w:p>
        </w:tc>
        <w:tc>
          <w:tcPr>
            <w:tcW w:w="0" w:type="auto"/>
          </w:tcPr>
          <w:p w14:paraId="4B1551DE" w14:textId="77777777" w:rsidR="00CD762C" w:rsidRPr="00BC7A12" w:rsidRDefault="00CD762C" w:rsidP="007A0C04">
            <w:pPr>
              <w:spacing w:after="0" w:line="240" w:lineRule="auto"/>
              <w:rPr>
                <w:rFonts w:cs="Calibri"/>
                <w:sz w:val="12"/>
                <w:szCs w:val="12"/>
              </w:rPr>
            </w:pPr>
            <w:r w:rsidRPr="00BC7A12">
              <w:rPr>
                <w:rFonts w:cs="Calibri"/>
                <w:sz w:val="12"/>
                <w:szCs w:val="12"/>
              </w:rPr>
              <w:t>Cover, density, diversity of species</w:t>
            </w:r>
          </w:p>
        </w:tc>
      </w:tr>
      <w:tr w:rsidR="00CD762C" w:rsidRPr="00BC7A12" w14:paraId="23480A60" w14:textId="77777777" w:rsidTr="007A0C04">
        <w:tc>
          <w:tcPr>
            <w:tcW w:w="0" w:type="auto"/>
          </w:tcPr>
          <w:p w14:paraId="74B856BE" w14:textId="77777777" w:rsidR="00CD762C" w:rsidRPr="00BC7A12" w:rsidRDefault="00CD762C" w:rsidP="007A0C04">
            <w:pPr>
              <w:spacing w:after="0" w:line="240" w:lineRule="auto"/>
              <w:rPr>
                <w:rFonts w:cs="Calibri"/>
                <w:sz w:val="12"/>
                <w:szCs w:val="12"/>
              </w:rPr>
            </w:pPr>
            <w:r w:rsidRPr="00BC7A12">
              <w:rPr>
                <w:rFonts w:cs="Calibri"/>
                <w:sz w:val="12"/>
                <w:szCs w:val="12"/>
              </w:rPr>
              <w:t>Biotic assets</w:t>
            </w:r>
          </w:p>
        </w:tc>
        <w:tc>
          <w:tcPr>
            <w:tcW w:w="0" w:type="auto"/>
          </w:tcPr>
          <w:p w14:paraId="5EE49AFA" w14:textId="77777777" w:rsidR="00CD762C" w:rsidRPr="00BC7A12" w:rsidRDefault="00CD762C" w:rsidP="007A0C04">
            <w:pPr>
              <w:spacing w:after="0" w:line="240" w:lineRule="auto"/>
              <w:rPr>
                <w:rFonts w:cs="Calibri"/>
                <w:sz w:val="12"/>
                <w:szCs w:val="12"/>
              </w:rPr>
            </w:pPr>
            <w:r w:rsidRPr="00BC7A12">
              <w:rPr>
                <w:rFonts w:cs="Calibri"/>
                <w:sz w:val="12"/>
                <w:szCs w:val="12"/>
              </w:rPr>
              <w:t>Living natural assets</w:t>
            </w:r>
          </w:p>
        </w:tc>
        <w:tc>
          <w:tcPr>
            <w:tcW w:w="0" w:type="auto"/>
          </w:tcPr>
          <w:p w14:paraId="031A4EA7"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Aquatic plants, seaweeds, fish, birds, shrubs, trees, </w:t>
            </w:r>
          </w:p>
        </w:tc>
      </w:tr>
      <w:tr w:rsidR="00CD762C" w:rsidRPr="00BC7A12" w14:paraId="3BD894ED" w14:textId="77777777" w:rsidTr="007A0C04">
        <w:tc>
          <w:tcPr>
            <w:tcW w:w="0" w:type="auto"/>
          </w:tcPr>
          <w:p w14:paraId="1DC2D713" w14:textId="77777777" w:rsidR="00CD762C" w:rsidRPr="00BC7A12" w:rsidRDefault="00CD762C" w:rsidP="007A0C04">
            <w:pPr>
              <w:spacing w:after="0" w:line="240" w:lineRule="auto"/>
              <w:rPr>
                <w:rFonts w:cs="Calibri"/>
                <w:sz w:val="12"/>
                <w:szCs w:val="12"/>
              </w:rPr>
            </w:pPr>
            <w:r w:rsidRPr="00BC7A12">
              <w:rPr>
                <w:rFonts w:cs="Calibri"/>
                <w:sz w:val="12"/>
                <w:szCs w:val="12"/>
              </w:rPr>
              <w:t>Abiotic assets</w:t>
            </w:r>
          </w:p>
        </w:tc>
        <w:tc>
          <w:tcPr>
            <w:tcW w:w="0" w:type="auto"/>
          </w:tcPr>
          <w:p w14:paraId="56C1C858" w14:textId="77777777" w:rsidR="00CD762C" w:rsidRPr="00BC7A12" w:rsidRDefault="00CD762C" w:rsidP="007A0C04">
            <w:pPr>
              <w:spacing w:after="0" w:line="240" w:lineRule="auto"/>
              <w:rPr>
                <w:rFonts w:cs="Calibri"/>
                <w:sz w:val="12"/>
                <w:szCs w:val="12"/>
              </w:rPr>
            </w:pPr>
            <w:r w:rsidRPr="00BC7A12">
              <w:rPr>
                <w:rFonts w:cs="Calibri"/>
                <w:sz w:val="12"/>
                <w:szCs w:val="12"/>
              </w:rPr>
              <w:t>Nonliving natural assets</w:t>
            </w:r>
          </w:p>
        </w:tc>
        <w:tc>
          <w:tcPr>
            <w:tcW w:w="0" w:type="auto"/>
          </w:tcPr>
          <w:p w14:paraId="632FCD01" w14:textId="77777777" w:rsidR="00CD762C" w:rsidRPr="00BC7A12" w:rsidRDefault="00CD762C" w:rsidP="007A0C04">
            <w:pPr>
              <w:spacing w:after="0" w:line="240" w:lineRule="auto"/>
              <w:rPr>
                <w:rFonts w:cs="Calibri"/>
                <w:sz w:val="12"/>
                <w:szCs w:val="12"/>
              </w:rPr>
            </w:pPr>
            <w:r w:rsidRPr="00BC7A12">
              <w:rPr>
                <w:rFonts w:cs="Calibri"/>
                <w:sz w:val="12"/>
                <w:szCs w:val="12"/>
              </w:rPr>
              <w:t>Beach, seafloor sediments and rocks</w:t>
            </w:r>
          </w:p>
        </w:tc>
      </w:tr>
      <w:tr w:rsidR="00CD762C" w:rsidRPr="00BC7A12" w14:paraId="49CD54A0" w14:textId="77777777" w:rsidTr="007A0C04">
        <w:tc>
          <w:tcPr>
            <w:tcW w:w="0" w:type="auto"/>
          </w:tcPr>
          <w:p w14:paraId="7ED621B5" w14:textId="77777777" w:rsidR="00CD762C" w:rsidRPr="00BC7A12" w:rsidRDefault="00CD762C" w:rsidP="007A0C04">
            <w:pPr>
              <w:spacing w:after="0" w:line="240" w:lineRule="auto"/>
              <w:rPr>
                <w:rFonts w:cs="Calibri"/>
                <w:sz w:val="12"/>
                <w:szCs w:val="12"/>
              </w:rPr>
            </w:pPr>
            <w:r w:rsidRPr="00BC7A12">
              <w:rPr>
                <w:rFonts w:cs="Calibri"/>
                <w:sz w:val="12"/>
                <w:szCs w:val="12"/>
              </w:rPr>
              <w:t>Biotic physical services</w:t>
            </w:r>
          </w:p>
        </w:tc>
        <w:tc>
          <w:tcPr>
            <w:tcW w:w="0" w:type="auto"/>
          </w:tcPr>
          <w:p w14:paraId="77D8263F" w14:textId="77777777" w:rsidR="00CD762C" w:rsidRPr="00BC7A12" w:rsidRDefault="00CD762C" w:rsidP="007A0C04">
            <w:pPr>
              <w:spacing w:after="0" w:line="240" w:lineRule="auto"/>
              <w:rPr>
                <w:rFonts w:cs="Calibri"/>
                <w:sz w:val="12"/>
                <w:szCs w:val="12"/>
              </w:rPr>
            </w:pPr>
            <w:r w:rsidRPr="00BC7A12">
              <w:rPr>
                <w:rFonts w:cs="Calibri"/>
                <w:sz w:val="12"/>
                <w:szCs w:val="12"/>
              </w:rPr>
              <w:t>Services that living components of the system provide</w:t>
            </w:r>
          </w:p>
        </w:tc>
        <w:tc>
          <w:tcPr>
            <w:tcW w:w="0" w:type="auto"/>
          </w:tcPr>
          <w:p w14:paraId="3A4024B7" w14:textId="77777777" w:rsidR="00CD762C" w:rsidRPr="00BC7A12" w:rsidRDefault="00CD762C" w:rsidP="007A0C04">
            <w:pPr>
              <w:spacing w:after="0" w:line="240" w:lineRule="auto"/>
              <w:rPr>
                <w:rFonts w:cs="Calibri"/>
                <w:sz w:val="12"/>
                <w:szCs w:val="12"/>
              </w:rPr>
            </w:pPr>
            <w:r w:rsidRPr="00BC7A12">
              <w:rPr>
                <w:rFonts w:cs="Calibri"/>
                <w:sz w:val="12"/>
                <w:szCs w:val="12"/>
              </w:rPr>
              <w:t>Protection of human property (wave attenuation, wind speed reduction), habitat services, carbon sequestration and storage, cultural services, tourism</w:t>
            </w:r>
          </w:p>
        </w:tc>
      </w:tr>
      <w:tr w:rsidR="00CD762C" w:rsidRPr="00BC7A12" w14:paraId="2BD2199A" w14:textId="77777777" w:rsidTr="007A0C04">
        <w:tc>
          <w:tcPr>
            <w:tcW w:w="0" w:type="auto"/>
          </w:tcPr>
          <w:p w14:paraId="6534574A" w14:textId="77777777" w:rsidR="00CD762C" w:rsidRPr="00BC7A12" w:rsidRDefault="00CD762C" w:rsidP="007A0C04">
            <w:pPr>
              <w:spacing w:after="0" w:line="240" w:lineRule="auto"/>
              <w:rPr>
                <w:rFonts w:cs="Calibri"/>
                <w:sz w:val="12"/>
                <w:szCs w:val="12"/>
              </w:rPr>
            </w:pPr>
            <w:r w:rsidRPr="00BC7A12">
              <w:rPr>
                <w:rFonts w:cs="Calibri"/>
                <w:sz w:val="12"/>
                <w:szCs w:val="12"/>
              </w:rPr>
              <w:t>Biotic monetary services</w:t>
            </w:r>
          </w:p>
        </w:tc>
        <w:tc>
          <w:tcPr>
            <w:tcW w:w="0" w:type="auto"/>
          </w:tcPr>
          <w:p w14:paraId="24059191"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Valuation of physical services </w:t>
            </w:r>
          </w:p>
        </w:tc>
        <w:tc>
          <w:tcPr>
            <w:tcW w:w="0" w:type="auto"/>
          </w:tcPr>
          <w:p w14:paraId="04AE3FCC" w14:textId="77777777" w:rsidR="00CD762C" w:rsidRPr="00BC7A12" w:rsidRDefault="00CD762C" w:rsidP="007A0C04">
            <w:pPr>
              <w:spacing w:after="0" w:line="240" w:lineRule="auto"/>
              <w:rPr>
                <w:rFonts w:cs="Calibri"/>
                <w:sz w:val="12"/>
                <w:szCs w:val="12"/>
              </w:rPr>
            </w:pPr>
            <w:r w:rsidRPr="00BC7A12">
              <w:rPr>
                <w:rFonts w:cs="Calibri"/>
                <w:sz w:val="12"/>
                <w:szCs w:val="12"/>
              </w:rPr>
              <w:t>As above, but valuation perspective</w:t>
            </w:r>
          </w:p>
        </w:tc>
      </w:tr>
      <w:tr w:rsidR="00CD762C" w:rsidRPr="00BC7A12" w14:paraId="3553895C" w14:textId="77777777" w:rsidTr="007A0C04">
        <w:tc>
          <w:tcPr>
            <w:tcW w:w="0" w:type="auto"/>
          </w:tcPr>
          <w:p w14:paraId="362CEE08" w14:textId="77777777" w:rsidR="00CD762C" w:rsidRPr="00BC7A12" w:rsidRDefault="00CD762C" w:rsidP="007A0C04">
            <w:pPr>
              <w:spacing w:after="0" w:line="240" w:lineRule="auto"/>
              <w:rPr>
                <w:rFonts w:cs="Calibri"/>
                <w:sz w:val="12"/>
                <w:szCs w:val="12"/>
              </w:rPr>
            </w:pPr>
            <w:r w:rsidRPr="00BC7A12">
              <w:rPr>
                <w:rFonts w:cs="Calibri"/>
                <w:sz w:val="12"/>
                <w:szCs w:val="12"/>
              </w:rPr>
              <w:t>Abiotic physical services</w:t>
            </w:r>
          </w:p>
        </w:tc>
        <w:tc>
          <w:tcPr>
            <w:tcW w:w="0" w:type="auto"/>
          </w:tcPr>
          <w:p w14:paraId="74B46E83" w14:textId="77777777" w:rsidR="00CD762C" w:rsidRPr="00BC7A12" w:rsidRDefault="00CD762C" w:rsidP="007A0C04">
            <w:pPr>
              <w:spacing w:after="0" w:line="240" w:lineRule="auto"/>
              <w:rPr>
                <w:rFonts w:cs="Calibri"/>
                <w:sz w:val="12"/>
                <w:szCs w:val="12"/>
              </w:rPr>
            </w:pPr>
            <w:r w:rsidRPr="00BC7A12">
              <w:rPr>
                <w:rFonts w:cs="Calibri"/>
                <w:sz w:val="12"/>
                <w:szCs w:val="12"/>
              </w:rPr>
              <w:t>Non-living components the system provides</w:t>
            </w:r>
          </w:p>
        </w:tc>
        <w:tc>
          <w:tcPr>
            <w:tcW w:w="0" w:type="auto"/>
          </w:tcPr>
          <w:p w14:paraId="49008DFA"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Wind and wave energy reduction, </w:t>
            </w:r>
          </w:p>
        </w:tc>
      </w:tr>
      <w:tr w:rsidR="00CD762C" w:rsidRPr="00BC7A12" w14:paraId="0D075333" w14:textId="77777777" w:rsidTr="007A0C04">
        <w:tc>
          <w:tcPr>
            <w:tcW w:w="0" w:type="auto"/>
          </w:tcPr>
          <w:p w14:paraId="60C96A95" w14:textId="77777777" w:rsidR="00CD762C" w:rsidRPr="00BC7A12" w:rsidRDefault="00CD762C" w:rsidP="007A0C04">
            <w:pPr>
              <w:spacing w:after="0" w:line="240" w:lineRule="auto"/>
              <w:rPr>
                <w:rFonts w:cs="Calibri"/>
                <w:sz w:val="12"/>
                <w:szCs w:val="12"/>
              </w:rPr>
            </w:pPr>
            <w:r w:rsidRPr="00BC7A12">
              <w:rPr>
                <w:rFonts w:cs="Calibri"/>
                <w:sz w:val="12"/>
                <w:szCs w:val="12"/>
              </w:rPr>
              <w:t>Abiotic monetary services</w:t>
            </w:r>
          </w:p>
        </w:tc>
        <w:tc>
          <w:tcPr>
            <w:tcW w:w="0" w:type="auto"/>
          </w:tcPr>
          <w:p w14:paraId="2A0AC001"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Valuation of abiotic physical services </w:t>
            </w:r>
          </w:p>
        </w:tc>
        <w:tc>
          <w:tcPr>
            <w:tcW w:w="0" w:type="auto"/>
          </w:tcPr>
          <w:p w14:paraId="7974B316" w14:textId="77777777" w:rsidR="00CD762C" w:rsidRPr="00BC7A12" w:rsidRDefault="00CD762C" w:rsidP="007A0C04">
            <w:pPr>
              <w:spacing w:after="0" w:line="240" w:lineRule="auto"/>
              <w:rPr>
                <w:rFonts w:cs="Calibri"/>
                <w:sz w:val="12"/>
                <w:szCs w:val="12"/>
              </w:rPr>
            </w:pPr>
            <w:r w:rsidRPr="00BC7A12">
              <w:rPr>
                <w:rFonts w:cs="Calibri"/>
                <w:sz w:val="12"/>
                <w:szCs w:val="12"/>
              </w:rPr>
              <w:t xml:space="preserve">Wave attenuation of rocky reef </w:t>
            </w:r>
          </w:p>
        </w:tc>
      </w:tr>
    </w:tbl>
    <w:p w14:paraId="6D0F76E9" w14:textId="77777777" w:rsidR="00CD762C" w:rsidRPr="00BC7A12" w:rsidRDefault="00CD762C" w:rsidP="00CD762C">
      <w:pPr>
        <w:rPr>
          <w:rFonts w:eastAsia="Times New Roman" w:cs="Calibri"/>
        </w:rPr>
      </w:pPr>
    </w:p>
    <w:p w14:paraId="0551A902" w14:textId="77777777" w:rsidR="00CD762C" w:rsidRPr="00BC7A12" w:rsidRDefault="00CD762C" w:rsidP="00CD762C">
      <w:pPr>
        <w:spacing w:after="200" w:line="276" w:lineRule="auto"/>
        <w:jc w:val="left"/>
        <w:rPr>
          <w:rFonts w:eastAsia="Times New Roman" w:cs="Calibri"/>
        </w:rPr>
      </w:pPr>
      <w:r w:rsidRPr="00BC7A12">
        <w:rPr>
          <w:rFonts w:eastAsia="Times New Roman" w:cs="Calibri"/>
        </w:rPr>
        <w:br w:type="page"/>
      </w:r>
    </w:p>
    <w:p w14:paraId="454D4864" w14:textId="4D60E748" w:rsidR="00C47C1B" w:rsidRPr="00BC7A12" w:rsidRDefault="0067011C" w:rsidP="00C47C1B">
      <w:pPr>
        <w:pStyle w:val="Heading1"/>
        <w:rPr>
          <w:rFonts w:ascii="Calibri" w:hAnsi="Calibri" w:cs="Calibri"/>
        </w:rPr>
      </w:pPr>
      <w:bookmarkStart w:id="103" w:name="_Ref45441913"/>
      <w:bookmarkStart w:id="104" w:name="_Toc46822331"/>
      <w:r w:rsidRPr="00BC7A12">
        <w:rPr>
          <w:rFonts w:ascii="Calibri" w:hAnsi="Calibri" w:cs="Calibri"/>
        </w:rPr>
        <w:lastRenderedPageBreak/>
        <w:t xml:space="preserve">Appendix </w:t>
      </w:r>
      <w:r w:rsidR="00CD762C" w:rsidRPr="00BC7A12">
        <w:rPr>
          <w:rFonts w:ascii="Calibri" w:hAnsi="Calibri" w:cs="Calibri"/>
        </w:rPr>
        <w:t>5</w:t>
      </w:r>
      <w:r w:rsidRPr="00BC7A12">
        <w:rPr>
          <w:rFonts w:ascii="Calibri" w:hAnsi="Calibri" w:cs="Calibri"/>
        </w:rPr>
        <w:t xml:space="preserve"> </w:t>
      </w:r>
      <w:r w:rsidR="00C47C1B" w:rsidRPr="00BC7A12">
        <w:rPr>
          <w:rFonts w:ascii="Calibri" w:hAnsi="Calibri" w:cs="Calibri"/>
        </w:rPr>
        <w:t>History of ecosystem services classification</w:t>
      </w:r>
      <w:bookmarkEnd w:id="100"/>
      <w:bookmarkEnd w:id="101"/>
      <w:bookmarkEnd w:id="103"/>
      <w:bookmarkEnd w:id="104"/>
      <w:r w:rsidR="00C47C1B" w:rsidRPr="00BC7A12">
        <w:rPr>
          <w:rFonts w:ascii="Calibri" w:hAnsi="Calibri" w:cs="Calibri"/>
        </w:rPr>
        <w:t xml:space="preserve"> </w:t>
      </w:r>
    </w:p>
    <w:p w14:paraId="14F64503" w14:textId="544AFE08" w:rsidR="00C47C1B" w:rsidRPr="00BC7A12" w:rsidRDefault="00721AD4" w:rsidP="00953ED4">
      <w:pPr>
        <w:pStyle w:val="NormalWeb"/>
        <w:spacing w:before="0" w:beforeAutospacing="0" w:after="90" w:afterAutospacing="0"/>
        <w:jc w:val="center"/>
        <w:rPr>
          <w:rFonts w:ascii="Calibri" w:hAnsi="Calibri" w:cs="Calibri"/>
        </w:rPr>
      </w:pPr>
      <w:r w:rsidRPr="00BC7A12">
        <w:rPr>
          <w:rFonts w:ascii="Calibri" w:hAnsi="Calibri" w:cs="Calibri"/>
        </w:rPr>
        <w:t xml:space="preserve">This section is adapted from a Sustainable Flows working paper </w:t>
      </w:r>
      <w:r w:rsidR="00E04799" w:rsidRPr="00BC7A12">
        <w:rPr>
          <w:rFonts w:ascii="Calibri" w:hAnsi="Calibri" w:cs="Calibri"/>
          <w:sz w:val="22"/>
          <w:szCs w:val="22"/>
        </w:rPr>
        <w:fldChar w:fldCharType="begin" w:fldLock="1"/>
      </w:r>
      <w:r w:rsidR="004F5237" w:rsidRPr="00BC7A12">
        <w:rPr>
          <w:rFonts w:ascii="Calibri" w:hAnsi="Calibri" w:cs="Calibri"/>
          <w:sz w:val="22"/>
          <w:szCs w:val="22"/>
        </w:rPr>
        <w:instrText>ADDIN CSL_CITATION {"citationItems":[{"id":"ITEM-1","itemData":{"author":[{"dropping-particle":"","family":"Finisdore","given":"John","non-dropping-particle":"","parse-names":false,"suffix":""},{"dropping-particle":"","family":"Rhodes","given":"Charles R","non-dropping-particle":"","parse-names":false,"suffix":""},{"dropping-particle":"","family":"Haines-young","given":"Roy H","non-dropping-particle":"","parse-names":false,"suffix":""}],"container-title":"Sustainable Flows: Improving Financial &amp; Ecosystem Service Flows","id":"ITEM-1","issue":"March","issued":{"date-parts":[["2019"]]},"page":"44 p.","title":"Working Paper: Expanding the field of ecosystem services practitioners — 18 benefits from using classification systems (Version 1.1, March 2019)","type":"article-journal","volume":"Version 1."},"uris":["http://www.mendeley.com/documents/?uuid=a73336c9-ac90-4f70-a0a1-cdcc3dd7ca6c"]}],"mendeley":{"formattedCitation":"(Finisdore et al. 2019)","plainTextFormattedCitation":"(Finisdore et al. 2019)","previouslyFormattedCitation":"(Finisdore et al. 2019)"},"properties":{"noteIndex":0},"schema":"https://github.com/citation-style-language/schema/raw/master/csl-citation.json"}</w:instrText>
      </w:r>
      <w:r w:rsidR="00E04799" w:rsidRPr="00BC7A12">
        <w:rPr>
          <w:rFonts w:ascii="Calibri" w:hAnsi="Calibri" w:cs="Calibri"/>
          <w:sz w:val="22"/>
          <w:szCs w:val="22"/>
        </w:rPr>
        <w:fldChar w:fldCharType="separate"/>
      </w:r>
      <w:r w:rsidR="00E67730" w:rsidRPr="00BC7A12">
        <w:rPr>
          <w:rFonts w:ascii="Calibri" w:hAnsi="Calibri" w:cs="Calibri"/>
          <w:noProof/>
          <w:sz w:val="22"/>
          <w:szCs w:val="22"/>
        </w:rPr>
        <w:t>(Finisdore et al. 2019)</w:t>
      </w:r>
      <w:r w:rsidR="00E04799" w:rsidRPr="00BC7A12">
        <w:rPr>
          <w:rFonts w:ascii="Calibri" w:hAnsi="Calibri" w:cs="Calibri"/>
          <w:sz w:val="22"/>
          <w:szCs w:val="22"/>
        </w:rPr>
        <w:fldChar w:fldCharType="end"/>
      </w:r>
      <w:r w:rsidR="00C47C1B" w:rsidRPr="00BC7A12">
        <w:rPr>
          <w:rFonts w:ascii="Calibri" w:hAnsi="Calibri" w:cs="Calibri"/>
          <w:sz w:val="22"/>
          <w:szCs w:val="22"/>
        </w:rPr>
        <w:t>.</w:t>
      </w:r>
    </w:p>
    <w:p w14:paraId="7DE03761" w14:textId="77777777" w:rsidR="00C47C1B" w:rsidRPr="00BC7A12" w:rsidRDefault="00C47C1B" w:rsidP="00C47C1B">
      <w:pPr>
        <w:rPr>
          <w:rFonts w:cs="Calibri"/>
        </w:rPr>
      </w:pPr>
    </w:p>
    <w:p w14:paraId="54CC2529" w14:textId="414BD7A6" w:rsidR="00C47C1B" w:rsidRPr="00BC7A12" w:rsidRDefault="00C47C1B" w:rsidP="00C47C1B">
      <w:pPr>
        <w:rPr>
          <w:rFonts w:eastAsia="Times New Roman" w:cs="Calibri"/>
        </w:rPr>
      </w:pPr>
      <w:r w:rsidRPr="00BC7A12">
        <w:rPr>
          <w:rFonts w:eastAsia="Times New Roman" w:cs="Calibri"/>
        </w:rPr>
        <w:t>When the concept of ecosystem services (ES) was popularized</w:t>
      </w:r>
      <w:r w:rsidRPr="00BC7A12">
        <w:rPr>
          <w:rStyle w:val="FootnoteReference"/>
          <w:rFonts w:eastAsia="Times New Roman" w:cs="Calibri"/>
        </w:rPr>
        <w:footnoteReference w:id="10"/>
      </w:r>
      <w:r w:rsidRPr="00BC7A12">
        <w:rPr>
          <w:rFonts w:eastAsia="Times New Roman" w:cs="Calibri"/>
        </w:rPr>
        <w:t xml:space="preserve"> in 1997’s Nature’s Services</w:t>
      </w:r>
      <w:r w:rsidR="00E04799" w:rsidRPr="00BC7A12">
        <w:rPr>
          <w:rFonts w:eastAsia="Times New Roman" w:cs="Calibri"/>
        </w:rPr>
        <w:t xml:space="preserve"> </w:t>
      </w:r>
      <w:r w:rsidR="00E04799" w:rsidRPr="00BC7A12">
        <w:rPr>
          <w:rFonts w:eastAsia="Times New Roman" w:cs="Calibri"/>
        </w:rPr>
        <w:fldChar w:fldCharType="begin" w:fldLock="1"/>
      </w:r>
      <w:r w:rsidR="00E04799" w:rsidRPr="00BC7A12">
        <w:rPr>
          <w:rFonts w:eastAsia="Times New Roman" w:cs="Calibri"/>
        </w:rPr>
        <w:instrText>ADDIN CSL_CITATION {"citationItems":[{"id":"ITEM-1","itemData":{"ISBN":"9780300184617","abstract":"Unprecedented growth and global expansion of human populations over the last 100 years has resulted in the widespread degradation of natural ecosystems. Of equal concern is the basic failure of people to appreciate the ecological, economic and social values of the services natural ecosystems provide and the ultimate impacts of their loss.","author":[{"dropping-particle":"","family":"Daily","given":"Gretchen C","non-dropping-particle":"","parse-names":false,"suffix":""}],"container-title":"The Future of Nature: Documents of Global Change","id":"ITEM-1","issued":{"date-parts":[["2013"]]},"title":"Nature's services: Societal dependence on natural ecosystems","type":"chapter"},"uris":["http://www.mendeley.com/documents/?uuid=61cc77aa-0958-40cd-982f-b33adbed7927"]}],"mendeley":{"formattedCitation":"(Daily 2013)","plainTextFormattedCitation":"(Daily 2013)","previouslyFormattedCitation":"(Daily 2013)"},"properties":{"noteIndex":0},"schema":"https://github.com/citation-style-language/schema/raw/master/csl-citation.json"}</w:instrText>
      </w:r>
      <w:r w:rsidR="00E04799" w:rsidRPr="00BC7A12">
        <w:rPr>
          <w:rFonts w:eastAsia="Times New Roman" w:cs="Calibri"/>
        </w:rPr>
        <w:fldChar w:fldCharType="separate"/>
      </w:r>
      <w:r w:rsidR="00E04799" w:rsidRPr="00BC7A12">
        <w:rPr>
          <w:rFonts w:eastAsia="Times New Roman" w:cs="Calibri"/>
          <w:noProof/>
        </w:rPr>
        <w:t>(Daily 2013)</w:t>
      </w:r>
      <w:r w:rsidR="00E04799" w:rsidRPr="00BC7A12">
        <w:rPr>
          <w:rFonts w:eastAsia="Times New Roman" w:cs="Calibri"/>
        </w:rPr>
        <w:fldChar w:fldCharType="end"/>
      </w:r>
      <w:r w:rsidRPr="00BC7A12">
        <w:rPr>
          <w:rFonts w:eastAsia="Times New Roman" w:cs="Calibri"/>
        </w:rPr>
        <w:t xml:space="preserve"> and Valuing Ecosystem Services</w:t>
      </w:r>
      <w:r w:rsidR="00E04799" w:rsidRPr="00BC7A12">
        <w:rPr>
          <w:rFonts w:eastAsia="Times New Roman" w:cs="Calibri"/>
        </w:rPr>
        <w:t xml:space="preserve"> </w:t>
      </w:r>
      <w:r w:rsidR="00E04799" w:rsidRPr="00BC7A12">
        <w:rPr>
          <w:rFonts w:eastAsia="Times New Roman" w:cs="Calibri"/>
        </w:rPr>
        <w:fldChar w:fldCharType="begin" w:fldLock="1"/>
      </w:r>
      <w:r w:rsidR="00E04799" w:rsidRPr="00BC7A12">
        <w:rPr>
          <w:rFonts w:eastAsia="Times New Roman" w:cs="Calibri"/>
        </w:rPr>
        <w:instrText>ADDIN CSL_CITATION {"citationItems":[{"id":"ITEM-1","itemData":{"DOI":"10.1038/387253a0","ISSN":"00280836","abstract":"The services of ecological systems and the natural capital stocksthat produce them are critical to the functioning of the Earth's life-support system. They contribute to human welfare, both directly and indirectly, and therefore represent part of the total economic value of the planet.We have estimated the current economic value of 17 ecosystem services for 16 biomes, based on published studies and a few original calculations. For the entire biosphere, the value (most of which is outside the market) is estimated to be in the range of US$16-54 trillion (1012) per year, with an average of US$33trillion per year. Because of the nature of the uncertainties, thismust be considered a minimum estimate. Global gross national product total is around US$18 trillion per year.","author":[{"dropping-particle":"","family":"Costanza","given":"Robert","non-dropping-particle":"","parse-names":false,"suffix":""},{"dropping-particle":"","family":"D'Arge","given":"Ralph","non-dropping-particle":"","parse-names":false,"suffix":""},{"dropping-particle":"","family":"Groot","given":"Rudolf","non-dropping-particle":"De","parse-names":false,"suffix":""},{"dropping-particle":"","family":"Farber","given":"Stephen","non-dropping-particle":"","parse-names":false,"suffix":""},{"dropping-particle":"","family":"Grasso","given":"Monica","non-dropping-particle":"","parse-names":false,"suffix":""},{"dropping-particle":"","family":"Hannon","given":"Bruce","non-dropping-particle":"","parse-names":false,"suffix":""},{"dropping-particle":"","family":"Limburg","given":"Karin","non-dropping-particle":"","parse-names":false,"suffix":""},{"dropping-particle":"","family":"Naeem","given":"Shahid","non-dropping-particle":"","parse-names":false,"suffix":""},{"dropping-particle":"V","family":"O'Neill","given":"Robert","non-dropping-particle":"","parse-names":false,"suffix":""},{"dropping-particle":"","family":"Paruelo","given":"Jose","non-dropping-particle":"","parse-names":false,"suffix":""},{"dropping-particle":"","family":"Raskin","given":"Robert G","non-dropping-particle":"","parse-names":false,"suffix":""},{"dropping-particle":"","family":"Sutton","given":"Paul","non-dropping-particle":"","parse-names":false,"suffix":""},{"dropping-particle":"","family":"Belt","given":"Marjan","non-dropping-particle":"Van Den","parse-names":false,"suffix":""}],"container-title":"Nature","id":"ITEM-1","issued":{"date-parts":[["1997"]]},"title":"The value of the world's ecosystem services and natural capital","type":"article-journal"},"uris":["http://www.mendeley.com/documents/?uuid=6d6f9b8b-a6e0-4af0-9a32-9b3b309f82ca"]}],"mendeley":{"formattedCitation":"(Costanza et al. 1997)","plainTextFormattedCitation":"(Costanza et al. 1997)","previouslyFormattedCitation":"(Costanza et al. 1997)"},"properties":{"noteIndex":0},"schema":"https://github.com/citation-style-language/schema/raw/master/csl-citation.json"}</w:instrText>
      </w:r>
      <w:r w:rsidR="00E04799" w:rsidRPr="00BC7A12">
        <w:rPr>
          <w:rFonts w:eastAsia="Times New Roman" w:cs="Calibri"/>
        </w:rPr>
        <w:fldChar w:fldCharType="separate"/>
      </w:r>
      <w:r w:rsidR="00E04799" w:rsidRPr="00BC7A12">
        <w:rPr>
          <w:rFonts w:eastAsia="Times New Roman" w:cs="Calibri"/>
          <w:noProof/>
        </w:rPr>
        <w:t>(Costanza et al. 1997)</w:t>
      </w:r>
      <w:r w:rsidR="00E04799" w:rsidRPr="00BC7A12">
        <w:rPr>
          <w:rFonts w:eastAsia="Times New Roman" w:cs="Calibri"/>
        </w:rPr>
        <w:fldChar w:fldCharType="end"/>
      </w:r>
      <w:r w:rsidRPr="00BC7A12">
        <w:rPr>
          <w:rFonts w:eastAsia="Times New Roman" w:cs="Calibri"/>
        </w:rPr>
        <w:t xml:space="preserve"> two lists defined them. One list had thirteen ES, the other seventeen, from which discussion to define, group, measure, and value</w:t>
      </w:r>
      <w:r w:rsidR="000100D8" w:rsidRPr="00BC7A12">
        <w:rPr>
          <w:rFonts w:eastAsia="Times New Roman" w:cs="Calibri"/>
        </w:rPr>
        <w:t xml:space="preserve"> ecosystem services </w:t>
      </w:r>
      <w:r w:rsidRPr="00BC7A12">
        <w:rPr>
          <w:rFonts w:eastAsia="Times New Roman" w:cs="Calibri"/>
        </w:rPr>
        <w:t>grew. Today the utility of applying the principles of classification systems (CS) to the field is being discussed</w:t>
      </w:r>
      <w:r w:rsidR="00E04799" w:rsidRPr="00BC7A12">
        <w:rPr>
          <w:rFonts w:eastAsia="Times New Roman" w:cs="Calibri"/>
        </w:rPr>
        <w:t xml:space="preserve"> </w:t>
      </w:r>
      <w:r w:rsidR="00E04799" w:rsidRPr="00BC7A12">
        <w:rPr>
          <w:rFonts w:eastAsia="Times New Roman" w:cs="Calibri"/>
        </w:rPr>
        <w:fldChar w:fldCharType="begin" w:fldLock="1"/>
      </w:r>
      <w:r w:rsidR="00BE5D0E" w:rsidRPr="00BC7A12">
        <w:rPr>
          <w:rFonts w:eastAsia="Times New Roman" w:cs="Calibri"/>
        </w:rPr>
        <w:instrText>ADDIN CSL_CITATION {"citationItems":[{"id":"ITEM-1","itemData":{"DOI":"10.3897/oneeco.4.e31420","ISSN":"23678194","abstract":"For ecosystem measurement frameworks to be accepted, operationalised and implemented by diverse international communities, clear and agreeable concepts and classifications are essential. This paper analyses and develops two foundational typology challenges within ecosystem measurement: the classification of ecosystems and the classification of their services. Our aim is to determine if there is sufficient consensus to ascertain “Which ecosystems provide which services?” for standardised ecosystem accounting.This paper first compares classifications used in nine selected ecosystem assessments as input studies that make value statements about multiple ecosystems providing multiple ecosystem services. Given that these nine studies do not use identical concepts, classifications and terminologies, we develop “supersets” that can accommodate the diversity of classifications used in these input studies. Each input study is then corresponded to these new supersets.On the basis of this analysis, substantial consensus was found that some ecosystems are more likely to provide certain services than others are. However, for several ecosystem types, there was little or no consensus on which services they provide. Linkages for which there is consensus can serve as a checklist for future ecosystem services assessments. Both the framework of the supersets and the correspondence and visual methods developed will be useful for integrating information at different scales (for example, linkages from local, ecosystem-specific and ecosystem services-specific studies). This paper also provides guidance to future ecosystem services assessments to use, test and extend the current classifications of ecosystems and ecosystem services.","author":[{"dropping-particle":"","family":"Bordt","given":"Michael","non-dropping-particle":"","parse-names":false,"suffix":""},{"dropping-particle":"","family":"Saner","given":"Marc A","non-dropping-particle":"","parse-names":false,"suffix":""}],"container-title":"One Ecosystem","id":"ITEM-1","issued":{"date-parts":[["2019"]]},"title":"Which ecosystems provide which services? A meta-analysis of nine selected ecosystem services assessments","type":"article-journal","volume":"4"},"uris":["http://www.mendeley.com/documents/?uuid=f6440966-f822-47f9-9adb-af2290e1030d"]}],"mendeley":{"formattedCitation":"(Bordt &amp; Saner 2019)","plainTextFormattedCitation":"(Bordt &amp; Saner 2019)","previouslyFormattedCitation":"(Bordt &amp; Saner 2019)"},"properties":{"noteIndex":0},"schema":"https://github.com/citation-style-language/schema/raw/master/csl-citation.json"}</w:instrText>
      </w:r>
      <w:r w:rsidR="00E04799" w:rsidRPr="00BC7A12">
        <w:rPr>
          <w:rFonts w:eastAsia="Times New Roman" w:cs="Calibri"/>
        </w:rPr>
        <w:fldChar w:fldCharType="separate"/>
      </w:r>
      <w:r w:rsidR="00E04799" w:rsidRPr="00BC7A12">
        <w:rPr>
          <w:rFonts w:eastAsia="Times New Roman" w:cs="Calibri"/>
          <w:noProof/>
        </w:rPr>
        <w:t>(Bordt &amp; Saner 2019)</w:t>
      </w:r>
      <w:r w:rsidR="00E04799" w:rsidRPr="00BC7A12">
        <w:rPr>
          <w:rFonts w:eastAsia="Times New Roman" w:cs="Calibri"/>
        </w:rPr>
        <w:fldChar w:fldCharType="end"/>
      </w:r>
      <w:r w:rsidRPr="00BC7A12">
        <w:rPr>
          <w:rFonts w:eastAsia="Times New Roman" w:cs="Calibri"/>
        </w:rPr>
        <w:t xml:space="preserve">. </w:t>
      </w:r>
    </w:p>
    <w:p w14:paraId="2CCA0987" w14:textId="39A1A108" w:rsidR="00C47C1B" w:rsidRPr="00BC7A12" w:rsidRDefault="00C47C1B" w:rsidP="00C47C1B">
      <w:pPr>
        <w:rPr>
          <w:rFonts w:eastAsia="Times New Roman" w:cs="Calibri"/>
          <w:color w:val="000000"/>
        </w:rPr>
      </w:pPr>
      <w:r w:rsidRPr="00BC7A12">
        <w:rPr>
          <w:rFonts w:eastAsia="Times New Roman" w:cs="Calibri"/>
          <w:color w:val="000000"/>
        </w:rPr>
        <w:t>Classification systems organize information so that data may be easily compared with other data</w:t>
      </w:r>
      <w:r w:rsidR="00BE5D0E" w:rsidRPr="00BC7A12">
        <w:rPr>
          <w:rFonts w:eastAsia="Times New Roman" w:cs="Calibri"/>
          <w:color w:val="000000"/>
        </w:rPr>
        <w:t xml:space="preserve"> </w:t>
      </w:r>
      <w:r w:rsidR="00BE5D0E" w:rsidRPr="00BC7A12">
        <w:rPr>
          <w:rFonts w:eastAsia="Times New Roman" w:cs="Calibri"/>
          <w:color w:val="000000"/>
        </w:rPr>
        <w:fldChar w:fldCharType="begin" w:fldLock="1"/>
      </w:r>
      <w:r w:rsidR="000F5E84" w:rsidRPr="00BC7A12">
        <w:rPr>
          <w:rFonts w:eastAsia="Times New Roman" w:cs="Calibri"/>
          <w:color w:val="000000"/>
        </w:rPr>
        <w:instrText>ADDIN CSL_CITATION {"citationItems":[{"id":"ITEM-1","itemData":{"author":[{"dropping-particle":"","family":"U.S. Bureau of Labor Statistics","given":"","non-dropping-particle":"","parse-names":false,"suffix":""}],"id":"ITEM-1","issued":{"date-parts":[["0"]]},"title":"Handbook of Methods: Classification Systems","type":"article"},"uris":["http://www.mendeley.com/documents/?uuid=3a5d636a-e0e2-46f0-977e-de555d793285"]},{"id":"ITEM-2","itemData":{"abstract":"Expert Group Meeting on International Statistical Classifications New York, 13-15 May 2013","author":[{"dropping-particle":"","family":"Hancock","given":"Andrew","non-dropping-particle":"","parse-names":false,"suffix":""}],"container-title":"Expert Group Meeting on International Statistical Classifications. New York, 13-15 May 2013","id":"ITEM-2","issue":"June","issued":{"date-parts":[["2013"]]},"page":"16","title":"Best practice guidelines for Developing International Statistical Classifications","type":"article-journal"},"uris":["http://www.mendeley.com/documents/?uuid=c8b7865d-31e1-4c24-8b28-42be241596cc"]}],"mendeley":{"formattedCitation":"(U.S. Bureau of Labor Statistics n.d., Hancock 2013)","plainTextFormattedCitation":"(U.S. Bureau of Labor Statistics n.d., Hancock 2013)","previouslyFormattedCitation":"(U.S. Bureau of Labor Statistics n.d., Hancock 2013)"},"properties":{"noteIndex":0},"schema":"https://github.com/citation-style-language/schema/raw/master/csl-citation.json"}</w:instrText>
      </w:r>
      <w:r w:rsidR="00BE5D0E" w:rsidRPr="00BC7A12">
        <w:rPr>
          <w:rFonts w:eastAsia="Times New Roman" w:cs="Calibri"/>
          <w:color w:val="000000"/>
        </w:rPr>
        <w:fldChar w:fldCharType="separate"/>
      </w:r>
      <w:r w:rsidR="00BE5D0E" w:rsidRPr="00BC7A12">
        <w:rPr>
          <w:rFonts w:eastAsia="Times New Roman" w:cs="Calibri"/>
          <w:noProof/>
          <w:color w:val="000000"/>
        </w:rPr>
        <w:t>(U.S. Bureau of Labor Statistics n.d., Hancock 2013)</w:t>
      </w:r>
      <w:r w:rsidR="00BE5D0E" w:rsidRPr="00BC7A12">
        <w:rPr>
          <w:rFonts w:eastAsia="Times New Roman" w:cs="Calibri"/>
          <w:color w:val="000000"/>
        </w:rPr>
        <w:fldChar w:fldCharType="end"/>
      </w:r>
      <w:r w:rsidRPr="00BC7A12">
        <w:rPr>
          <w:rFonts w:eastAsia="Times New Roman" w:cs="Calibri"/>
          <w:color w:val="000000"/>
        </w:rPr>
        <w:t>. CS are used in a wide array of fields; those related to</w:t>
      </w:r>
      <w:r w:rsidR="000100D8" w:rsidRPr="00BC7A12">
        <w:rPr>
          <w:rFonts w:eastAsia="Times New Roman" w:cs="Calibri"/>
          <w:color w:val="000000"/>
        </w:rPr>
        <w:t xml:space="preserve"> ecosystem services </w:t>
      </w:r>
      <w:r w:rsidRPr="00BC7A12">
        <w:rPr>
          <w:rFonts w:eastAsia="Times New Roman" w:cs="Calibri"/>
          <w:color w:val="000000"/>
        </w:rPr>
        <w:t xml:space="preserve">include ecology, hydrology, economics, national accounting, and health. These fields require large amounts of data that are often collected, </w:t>
      </w:r>
      <w:r w:rsidR="002D767A" w:rsidRPr="00BC7A12">
        <w:rPr>
          <w:rFonts w:eastAsia="Times New Roman" w:cs="Calibri"/>
          <w:color w:val="000000"/>
        </w:rPr>
        <w:t>analysed</w:t>
      </w:r>
      <w:r w:rsidRPr="00BC7A12">
        <w:rPr>
          <w:rFonts w:eastAsia="Times New Roman" w:cs="Calibri"/>
          <w:color w:val="000000"/>
        </w:rPr>
        <w:t xml:space="preserve">, and shared among independent practitioners. CS all have a: </w:t>
      </w:r>
    </w:p>
    <w:p w14:paraId="615E5F3E" w14:textId="4E2DEAF9" w:rsidR="000F5E84" w:rsidRPr="00BC7A12" w:rsidRDefault="00C47C1B" w:rsidP="00413DAD">
      <w:pPr>
        <w:numPr>
          <w:ilvl w:val="0"/>
          <w:numId w:val="12"/>
        </w:numPr>
        <w:pBdr>
          <w:top w:val="nil"/>
          <w:left w:val="nil"/>
          <w:bottom w:val="nil"/>
          <w:right w:val="nil"/>
          <w:between w:val="nil"/>
        </w:pBdr>
        <w:spacing w:after="0" w:line="240" w:lineRule="auto"/>
        <w:ind w:left="720"/>
        <w:jc w:val="left"/>
        <w:rPr>
          <w:rFonts w:eastAsia="Times New Roman" w:cs="Calibri"/>
          <w:color w:val="000000"/>
        </w:rPr>
      </w:pPr>
      <w:r w:rsidRPr="00BC7A12">
        <w:rPr>
          <w:rFonts w:eastAsia="CG Times" w:cs="Calibri"/>
          <w:color w:val="000000"/>
        </w:rPr>
        <w:t>Hierarchy of classification that nests sub-groups</w:t>
      </w:r>
      <w:r w:rsidRPr="00BC7A12">
        <w:rPr>
          <w:rStyle w:val="FootnoteReference"/>
          <w:rFonts w:eastAsia="CG Times" w:cs="Calibri"/>
          <w:color w:val="000000"/>
        </w:rPr>
        <w:footnoteReference w:id="11"/>
      </w:r>
      <w:r w:rsidRPr="00BC7A12">
        <w:rPr>
          <w:rFonts w:eastAsia="CG Times" w:cs="Calibri"/>
          <w:color w:val="000000"/>
        </w:rPr>
        <w:t xml:space="preserve"> in a way that is complete,</w:t>
      </w:r>
      <w:r w:rsidR="00BE5D0E" w:rsidRPr="00BC7A12">
        <w:rPr>
          <w:rFonts w:eastAsia="CG Times" w:cs="Calibri"/>
          <w:color w:val="000000"/>
        </w:rPr>
        <w:t xml:space="preserve"> </w:t>
      </w:r>
      <w:r w:rsidRPr="00BC7A12">
        <w:rPr>
          <w:rFonts w:eastAsia="CG Times" w:cs="Calibri"/>
          <w:color w:val="000000"/>
        </w:rPr>
        <w:t>mutually exclusive, consist</w:t>
      </w:r>
      <w:r w:rsidRPr="00BC7A12">
        <w:rPr>
          <w:rFonts w:eastAsia="CG Times" w:cs="Calibri"/>
        </w:rPr>
        <w:t>e</w:t>
      </w:r>
      <w:r w:rsidRPr="00BC7A12">
        <w:rPr>
          <w:rFonts w:eastAsia="CG Times" w:cs="Calibri"/>
          <w:color w:val="000000"/>
        </w:rPr>
        <w:t>nt, relev</w:t>
      </w:r>
      <w:r w:rsidRPr="00BC7A12">
        <w:rPr>
          <w:rFonts w:eastAsia="CG Times" w:cs="Calibri"/>
        </w:rPr>
        <w:t>a</w:t>
      </w:r>
      <w:r w:rsidRPr="00BC7A12">
        <w:rPr>
          <w:rFonts w:eastAsia="CG Times" w:cs="Calibri"/>
          <w:color w:val="000000"/>
        </w:rPr>
        <w:t xml:space="preserve">nt to the practical needs of users (e.g. balanced among users’ needs) and what they are defining and measuring, stable through time, and comparable to other classifications </w:t>
      </w:r>
      <w:r w:rsidR="000F5E84" w:rsidRPr="00BC7A12">
        <w:rPr>
          <w:rFonts w:eastAsia="CG Times" w:cs="Calibri"/>
          <w:color w:val="000000"/>
        </w:rPr>
        <w:fldChar w:fldCharType="begin" w:fldLock="1"/>
      </w:r>
      <w:r w:rsidR="00EB311E">
        <w:rPr>
          <w:rFonts w:eastAsia="CG Times" w:cs="Calibri"/>
          <w:color w:val="000000"/>
        </w:rPr>
        <w:instrText>ADDIN CSL_CITATION {"citationItems":[{"id":"ITEM-1","itemData":{"DOI":"10.1007/s11284-010-0766-3","ISSN":"09123814","abstract":"Many studies have been conducted on ecosystem services and double counting is a frequent problem that causes uncertainty and poor reliability of estimating the value of ecosystem services. By referring to previous studies of ecosystem service valuation, our research has identified the basic causes of double counting. These include ambiguous definitions and inconsistent classifications of ecosystem services, poor understanding of ecosystem complexity, inadequate recognition of exclusiveness and complementarities of individual ecosystem services, spatio-temporal scale dependence of ecosystem services, and overlap and lack of cross-referencing between ecosystem service valuation methods. Measures for reducing double counting in ecosystem service valuation are proposed as follow: (1) identifying the spatio-temporal scales of ecosystem services; (2) valuing the final benefits obtained from ecosystem services; (3) establishing consistent classification systems for ecosystem services; and (4) selecting valuation methods appropriate for the study context. ? 2010 The Ecological Society of Japan.","author":[{"dropping-particle":"","family":"Fu","given":"Bo Jie","non-dropping-particle":"","parse-names":false,"suffix":""},{"dropping-particle":"","family":"Su","given":"Chang Hong","non-dropping-particle":"","parse-names":false,"suffix":""},{"dropping-particle":"","family":"Wei","given":"Yong Ping","non-dropping-particle":"","parse-names":false,"suffix":""},{"dropping-particle":"","family":"Willett","given":"Ian R","non-dropping-particle":"","parse-names":false,"suffix":""},{"dropping-particle":"","family":"Lü","given":"Yi He","non-dropping-particle":"","parse-names":false,"suffix":""},{"dropping-particle":"","family":"Liu","given":"Guo Hua","non-dropping-particle":"","parse-names":false,"suffix":""}],"container-title":"Ecological Research","id":"ITEM-1","issue":"1","issued":{"date-parts":[["2011"]]},"page":"1-14","title":"Double counting in ecosystem services valuation: Causes and countermeasures","type":"article-journal","volume":"26"},"uris":["http://www.mendeley.com/documents/?uuid=f9b09939-bb2f-48b5-b20e-a077ee9e7633"]},{"id":"ITEM-2","itemData":{"DOI":"10.1080/07038992.1999.10874736","ISSN":"17127971","abstract":"The large number of components, nonlinear interactions, time delays and feedbacks, and spatial heterogeneity together often make ecological systems overwhelmingly complex. This complexity must be effectively dealt with for understanding and scaling. Hierarchy theory suggests that ecological systems are nearly completely decomposable (or nearly decomposable) systems because of their loose vertical and horizontal coupling in structure and function. Such systems can thus be simplified based on the principle of time-space decomposition. Patch dynamics provides a powerful way of dealing explicitly with spatial heterogeneity, and has emerged as a unifying concept across different fields of earth sciences. The integration between hierarchy theory and patch dynamics has led to the emergence of the hierarchical patch dynamics paradigm (HPDP). In this paper, I shall discuss some major elements of ecological complexity, hierarchy theory, and hierarchical patch dynamics, and then present a hierarchical scaling strategy. The strategy consists of three stages, each of which may involve a number of steps and methods: (1) identifying appropriate patch hierarchies, (2) making observations and developing models of patterns and processes around focal levels, and (3) extrapolation across the domains of scale using a hierarchy of models. Identifying and taking advantage of the hierarchical structure and near-decomposability of complex eco- logical systems are essential to understanding and prediction because a hierarchical approach can greatly facilitate simplification and scaling. It is hardly justifiable theoretically and overwhelmingly difficult technically to translate information directly between two distant levels (or corresponding scales), when ignoring intervening levels that are relevant to the phenomenon under study. Although it may be possible to scale up from the cell to globe, or vice versa, successful approaches most likely have to be hierarchical. In this paper I shall describe one of such approaches in which patch hierarchies are used as “scaling ladders”. This scaling ladder approach can help simplify the complexity of systems under study, enhance ecological understanding, and, in the same time, minimize the danger of intolerable error propagation in translating information across multiple scales.","author":[{"dropping-particle":"","family":"Wu","given":"Jianguo","non-dropping-particle":"","parse-names":false,"suffix":""}],"container-title":"Canadian Journal of Remote Sensing","id":"ITEM-2","issued":{"date-parts":[["1999"]]},"title":"Hierarchy and scaling: Extrapolating information along a scaling ladder","type":"article-journal"},"uris":["http://www.mendeley.com/documents/?uuid=75f9878c-21ba-45f7-b88b-256a438b5497"]},{"id":"ITEM-3","itemData":{"author":[{"dropping-particle":"","family":"Hoffmann","given":"Eivind","non-dropping-particle":"","parse-names":false,"suffix":""},{"dropping-particle":"","family":"Chamie","given":"Mary","non-dropping-particle":"","parse-names":false,"suffix":""}],"container-title":"STATISTICAL COMMISSION 10 February 1999 Thirtieth session New York, 1-5 March 1999 Items 8 of the provisional agenda","id":"ITEM-3","issued":{"date-parts":[["1999"]]},"page":"35","title":"STANDARD STATISTICAL CLASSIFICATIONS: BASIC PRINCIPLES","type":"paper-conference"},"uris":["http://www.mendeley.com/documents/?uuid=4fe37978-29e0-4349-88f9-49c3b712c1cd"]},{"id":"ITEM-4","itemData":{"abstract":"Expert Group Meeting on International Statistical Classifications New York, 13-15 May 2013","author":[{"dropping-particle":"","family":"Hancock","given":"Andrew","non-dropping-particle":"","parse-names":false,"suffix":""}],"container-title":"Expert Group Meeting on International Statistical Classifications. New York, 13-15 May 2013","id":"ITEM-4","issue":"June","issued":{"date-parts":[["2013"]]},"page":"16","title":"Best practice guidelines for Developing International Statistical Classifications","type":"article-journal"},"uris":["http://www.mendeley.com/documents/?uuid=c8b7865d-31e1-4c24-8b28-42be241596cc"]}],"mendeley":{"formattedCitation":"(Fu et al. 2011, Wu 1999, Hoffmann &amp; Chamie 1999, Hancock 2013)","plainTextFormattedCitation":"(Fu et al. 2011, Wu 1999, Hoffmann &amp; Chamie 1999, Hancock 2013)","previouslyFormattedCitation":"(Fu et al. 2011, Wu 1999, Hoffmann &amp; Chamie 1999, Hancock 2013)"},"properties":{"noteIndex":0},"schema":"https://github.com/citation-style-language/schema/raw/master/csl-citation.json"}</w:instrText>
      </w:r>
      <w:r w:rsidR="000F5E84" w:rsidRPr="00BC7A12">
        <w:rPr>
          <w:rFonts w:eastAsia="CG Times" w:cs="Calibri"/>
          <w:color w:val="000000"/>
        </w:rPr>
        <w:fldChar w:fldCharType="separate"/>
      </w:r>
      <w:r w:rsidR="002E61E6" w:rsidRPr="002E61E6">
        <w:rPr>
          <w:rFonts w:eastAsia="CG Times" w:cs="Calibri"/>
          <w:noProof/>
          <w:color w:val="000000"/>
        </w:rPr>
        <w:t>(Fu et al. 2011, Wu 1999, Hoffmann &amp; Chamie 1999, Hancock 2013)</w:t>
      </w:r>
      <w:r w:rsidR="000F5E84" w:rsidRPr="00BC7A12">
        <w:rPr>
          <w:rFonts w:eastAsia="CG Times" w:cs="Calibri"/>
          <w:color w:val="000000"/>
        </w:rPr>
        <w:fldChar w:fldCharType="end"/>
      </w:r>
      <w:r w:rsidR="000F5E84" w:rsidRPr="00BC7A12">
        <w:rPr>
          <w:rFonts w:eastAsia="CG Times" w:cs="Calibri"/>
          <w:color w:val="000000"/>
        </w:rPr>
        <w:t>.</w:t>
      </w:r>
      <w:r w:rsidR="000F5E84" w:rsidRPr="00BC7A12">
        <w:rPr>
          <w:rFonts w:eastAsia="Times New Roman" w:cs="Calibri"/>
          <w:color w:val="000000"/>
        </w:rPr>
        <w:t xml:space="preserve"> </w:t>
      </w:r>
    </w:p>
    <w:p w14:paraId="64FBD81D" w14:textId="0E317C63" w:rsidR="00C47C1B" w:rsidRPr="00BC7A12" w:rsidRDefault="00C47C1B" w:rsidP="00413DAD">
      <w:pPr>
        <w:numPr>
          <w:ilvl w:val="0"/>
          <w:numId w:val="12"/>
        </w:numPr>
        <w:pBdr>
          <w:top w:val="nil"/>
          <w:left w:val="nil"/>
          <w:bottom w:val="nil"/>
          <w:right w:val="nil"/>
          <w:between w:val="nil"/>
        </w:pBdr>
        <w:spacing w:after="0" w:line="240" w:lineRule="auto"/>
        <w:ind w:left="720"/>
        <w:jc w:val="left"/>
        <w:rPr>
          <w:rFonts w:eastAsia="Times New Roman" w:cs="Calibri"/>
          <w:color w:val="000000"/>
        </w:rPr>
      </w:pPr>
      <w:r w:rsidRPr="00BC7A12">
        <w:rPr>
          <w:rFonts w:eastAsia="CG Times" w:cs="Calibri"/>
          <w:color w:val="000000"/>
        </w:rPr>
        <w:t>Thesaurus that lists all the terms related to the classification system</w:t>
      </w:r>
      <w:r w:rsidR="000F5E84" w:rsidRPr="00BC7A12">
        <w:rPr>
          <w:rFonts w:eastAsia="CG Times" w:cs="Calibri"/>
          <w:noProof/>
          <w:color w:val="000000"/>
        </w:rPr>
        <w:t xml:space="preserve"> </w:t>
      </w:r>
    </w:p>
    <w:p w14:paraId="2C9EC2BA" w14:textId="1B7DA94D" w:rsidR="00C47C1B" w:rsidRPr="00BC7A12" w:rsidRDefault="00C47C1B" w:rsidP="00413DAD">
      <w:pPr>
        <w:numPr>
          <w:ilvl w:val="0"/>
          <w:numId w:val="12"/>
        </w:numPr>
        <w:pBdr>
          <w:top w:val="nil"/>
          <w:left w:val="nil"/>
          <w:bottom w:val="nil"/>
          <w:right w:val="nil"/>
          <w:between w:val="nil"/>
        </w:pBdr>
        <w:spacing w:after="0" w:line="240" w:lineRule="auto"/>
        <w:ind w:left="720"/>
        <w:jc w:val="left"/>
        <w:rPr>
          <w:rFonts w:eastAsia="Times New Roman" w:cs="Calibri"/>
          <w:color w:val="000000"/>
        </w:rPr>
      </w:pPr>
      <w:r w:rsidRPr="00BC7A12">
        <w:rPr>
          <w:rFonts w:eastAsia="CG Times" w:cs="Calibri"/>
          <w:color w:val="000000"/>
        </w:rPr>
        <w:t>Vocabulary that can be used to search the dat</w:t>
      </w:r>
      <w:r w:rsidR="00CB6F07" w:rsidRPr="00BC7A12">
        <w:rPr>
          <w:rFonts w:eastAsia="CG Times" w:cs="Calibri"/>
          <w:color w:val="000000"/>
        </w:rPr>
        <w:t>a</w:t>
      </w:r>
      <w:r w:rsidR="000F5E84" w:rsidRPr="00BC7A12">
        <w:rPr>
          <w:rFonts w:eastAsia="CG Times" w:cs="Calibri"/>
          <w:noProof/>
          <w:color w:val="000000"/>
        </w:rPr>
        <w:t xml:space="preserve"> </w:t>
      </w:r>
    </w:p>
    <w:p w14:paraId="61A12C84" w14:textId="37EBDD18" w:rsidR="00C47C1B" w:rsidRPr="00BC7A12" w:rsidRDefault="00C47C1B" w:rsidP="00413DAD">
      <w:pPr>
        <w:numPr>
          <w:ilvl w:val="0"/>
          <w:numId w:val="12"/>
        </w:numPr>
        <w:pBdr>
          <w:top w:val="nil"/>
          <w:left w:val="nil"/>
          <w:bottom w:val="nil"/>
          <w:right w:val="nil"/>
          <w:between w:val="nil"/>
        </w:pBdr>
        <w:spacing w:after="0" w:line="240" w:lineRule="auto"/>
        <w:ind w:left="720"/>
        <w:jc w:val="left"/>
        <w:rPr>
          <w:rFonts w:eastAsia="Times New Roman" w:cs="Calibri"/>
          <w:color w:val="000000"/>
        </w:rPr>
      </w:pPr>
      <w:r w:rsidRPr="00BC7A12">
        <w:rPr>
          <w:rFonts w:eastAsia="CG Times" w:cs="Calibri"/>
          <w:color w:val="000000"/>
        </w:rPr>
        <w:t>Flexible structure that balances stability with the needs of novel research</w:t>
      </w:r>
      <w:r w:rsidR="00B66BB1" w:rsidRPr="00BC7A12">
        <w:rPr>
          <w:rFonts w:eastAsia="CG Times" w:cs="Calibri"/>
          <w:color w:val="000000"/>
        </w:rPr>
        <w:t xml:space="preserve"> </w:t>
      </w:r>
      <w:r w:rsidR="00E767AF" w:rsidRPr="00BC7A12">
        <w:rPr>
          <w:rFonts w:eastAsia="CG Times" w:cs="Calibri"/>
          <w:color w:val="000000"/>
        </w:rPr>
        <w:fldChar w:fldCharType="begin" w:fldLock="1"/>
      </w:r>
      <w:r w:rsidR="00EB311E">
        <w:rPr>
          <w:rFonts w:eastAsia="CG Times" w:cs="Calibri"/>
          <w:color w:val="000000"/>
        </w:rPr>
        <w:instrText>ADDIN CSL_CITATION {"citationItems":[{"id":"ITEM-1","itemData":{"author":[{"dropping-particle":"","family":"Hoffmann","given":"Eivind","non-dropping-particle":"","parse-names":false,"suffix":""},{"dropping-particle":"","family":"Chamie","given":"Mary","non-dropping-particle":"","parse-names":false,"suffix":""}],"container-title":"STATISTICAL COMMISSION 10 February 1999 Thirtieth session New York, 1-5 March 1999 Items 8 of the provisional agenda","id":"ITEM-1","issued":{"date-parts":[["1999"]]},"page":"35","title":"STANDARD STATISTICAL CLASSIFICATIONS: BASIC PRINCIPLES","type":"paper-conference"},"uris":["http://www.mendeley.com/documents/?uuid=4fe37978-29e0-4349-88f9-49c3b712c1cd"]},{"id":"ITEM-2","itemData":{"DOI":"10.7326/0003-4819-135-10-200111200-00030","ISSN":"0003-4819","abstract":"Acknowledgments -- Introduction: To Classify Is Human -- 1. Some Tricks of the Trade in Analyzing Classification -- I. Classification and Large-Scale Infrastructures -- 2. The Kindness of Strangers: Kinds and Politics in Classification Systems -- 3. The ICD as Information Infrastructure -- 4. Classification, Coding, and Coordination -- II. Classification and Biography, or System and Suffering -- 5. Of Tuberculosis and Trajectories -- 6. The Case of Race Classification and Reclassification under Apartheid -- III. Classification and Work Practice -- 7. What Difference a Name Makes -- the Classification of Nursing Work -- 8. Organizational Forgetting, Nursing Knowledge, and Classification -- IV. The Theory and Practice of Classifications -- 9. Categorical Work and Boundary Infrastructures: Enriching Theories of Classification -- 10. Why Classifications Matter -- Notes -- References -- Name Index -- Subject Index.","author":[{"dropping-particle":"","family":"Overhage","given":"J Marc","non-dropping-particle":"","parse-names":false,"suffix":""},{"dropping-particle":"","family":"Suico","given":"Jeffery G","non-dropping-particle":"","parse-names":false,"suffix":""}],"container-title":"Annals of Internal Medicine","id":"ITEM-2","issue":"10","issued":{"date-parts":[["2001"]]},"page":"934","title":"Sorting Things Out: Classification and Its Consequences","type":"article-journal","volume":"135"},"uris":["http://www.mendeley.com/documents/?uuid=7c2abaa0-00f1-4935-8f10-f71c11d4ab39"]}],"mendeley":{"formattedCitation":"(Hoffmann &amp; Chamie 1999, Overhage &amp; Suico 2001)","plainTextFormattedCitation":"(Hoffmann &amp; Chamie 1999, Overhage &amp; Suico 2001)","previouslyFormattedCitation":"(Hoffmann &amp; Chamie 1999, Overhage &amp; Suico 2001)"},"properties":{"noteIndex":0},"schema":"https://github.com/citation-style-language/schema/raw/master/csl-citation.json"}</w:instrText>
      </w:r>
      <w:r w:rsidR="00E767AF" w:rsidRPr="00BC7A12">
        <w:rPr>
          <w:rFonts w:eastAsia="CG Times" w:cs="Calibri"/>
          <w:color w:val="000000"/>
        </w:rPr>
        <w:fldChar w:fldCharType="separate"/>
      </w:r>
      <w:r w:rsidR="002E61E6" w:rsidRPr="002E61E6">
        <w:rPr>
          <w:rFonts w:eastAsia="CG Times" w:cs="Calibri"/>
          <w:noProof/>
          <w:color w:val="000000"/>
        </w:rPr>
        <w:t>(Hoffmann &amp; Chamie 1999, Overhage &amp; Suico 2001)</w:t>
      </w:r>
      <w:r w:rsidR="00E767AF" w:rsidRPr="00BC7A12">
        <w:rPr>
          <w:rFonts w:eastAsia="CG Times" w:cs="Calibri"/>
          <w:color w:val="000000"/>
        </w:rPr>
        <w:fldChar w:fldCharType="end"/>
      </w:r>
    </w:p>
    <w:p w14:paraId="639E6AEB" w14:textId="77777777" w:rsidR="00721AD4" w:rsidRPr="00BC7A12" w:rsidRDefault="00721AD4" w:rsidP="00C47C1B">
      <w:pPr>
        <w:rPr>
          <w:rFonts w:eastAsia="Times New Roman" w:cs="Calibri"/>
        </w:rPr>
      </w:pPr>
    </w:p>
    <w:p w14:paraId="47636160" w14:textId="5E2B4181" w:rsidR="00C47C1B" w:rsidRPr="00BC7A12" w:rsidRDefault="00C47C1B" w:rsidP="00C47C1B">
      <w:pPr>
        <w:rPr>
          <w:rFonts w:eastAsia="Times New Roman" w:cs="Calibri"/>
        </w:rPr>
      </w:pPr>
      <w:r w:rsidRPr="00BC7A12">
        <w:rPr>
          <w:rFonts w:eastAsia="Times New Roman" w:cs="Calibri"/>
        </w:rPr>
        <w:t>Common examples</w:t>
      </w:r>
      <w:r w:rsidRPr="00BC7A12">
        <w:rPr>
          <w:rStyle w:val="FootnoteReference"/>
          <w:rFonts w:eastAsia="Times New Roman" w:cs="Calibri"/>
        </w:rPr>
        <w:footnoteReference w:id="12"/>
      </w:r>
      <w:r w:rsidRPr="00BC7A12">
        <w:rPr>
          <w:rFonts w:eastAsia="Times New Roman" w:cs="Calibri"/>
        </w:rPr>
        <w:t xml:space="preserve"> of CS </w:t>
      </w:r>
      <w:r w:rsidR="00CB6F07" w:rsidRPr="00BC7A12">
        <w:rPr>
          <w:rFonts w:eastAsia="Times New Roman" w:cs="Calibri"/>
        </w:rPr>
        <w:t xml:space="preserve">include the Linnaean taxonomy </w:t>
      </w:r>
      <w:r w:rsidR="00CB6F07" w:rsidRPr="00BC7A12">
        <w:rPr>
          <w:rFonts w:eastAsia="Times New Roman" w:cs="Calibri"/>
        </w:rPr>
        <w:fldChar w:fldCharType="begin" w:fldLock="1"/>
      </w:r>
      <w:r w:rsidR="00CB6F07" w:rsidRPr="00BC7A12">
        <w:rPr>
          <w:rFonts w:eastAsia="Times New Roman" w:cs="Calibri"/>
        </w:rPr>
        <w:instrText>ADDIN CSL_CITATION {"citationItems":[{"id":"ITEM-1","itemData":{"abstract":"Argues that organizations that build business taxonomies for managing their documents can achieve more efficient and effective information retrieval. Definition of a taxonomy or classification scheme in an office situation; Classification theory; Development of a taxonomy. INSETS: Types of Taxonomies;Managing Taxonomies Strategically.","author":[{"dropping-particle":"","family":"Bruno","given":"D","non-dropping-particle":"","parse-names":false,"suffix":""},{"dropping-particle":"","family":"Richmond","given":"H","non-dropping-particle":"","parse-names":false,"suffix":""}],"container-title":"Information Management Journal","id":"ITEM-1","issued":{"date-parts":[["2003"]]},"title":"The truth about taxonomies","type":"article-journal"},"uris":["http://www.mendeley.com/documents/?uuid=4478ecde-ab14-4474-9cdc-e706b22f38d0"]}],"mendeley":{"formattedCitation":"(Bruno &amp; Richmond 2003)","plainTextFormattedCitation":"(Bruno &amp; Richmond 2003)","previouslyFormattedCitation":"(Bruno &amp; Richmond 2003)"},"properties":{"noteIndex":0},"schema":"https://github.com/citation-style-language/schema/raw/master/csl-citation.json"}</w:instrText>
      </w:r>
      <w:r w:rsidR="00CB6F07" w:rsidRPr="00BC7A12">
        <w:rPr>
          <w:rFonts w:eastAsia="Times New Roman" w:cs="Calibri"/>
        </w:rPr>
        <w:fldChar w:fldCharType="separate"/>
      </w:r>
      <w:r w:rsidR="00CB6F07" w:rsidRPr="00BC7A12">
        <w:rPr>
          <w:rFonts w:eastAsia="Times New Roman" w:cs="Calibri"/>
          <w:noProof/>
        </w:rPr>
        <w:t>(Bruno &amp; Richmond 2003)</w:t>
      </w:r>
      <w:r w:rsidR="00CB6F07" w:rsidRPr="00BC7A12">
        <w:rPr>
          <w:rFonts w:eastAsia="Times New Roman" w:cs="Calibri"/>
        </w:rPr>
        <w:fldChar w:fldCharType="end"/>
      </w:r>
      <w:r w:rsidR="00CB6F07" w:rsidRPr="00BC7A12">
        <w:rPr>
          <w:rFonts w:eastAsia="Times New Roman" w:cs="Calibri"/>
        </w:rPr>
        <w:t xml:space="preserve">, PhyloCode </w:t>
      </w:r>
      <w:r w:rsidR="00CB6F07" w:rsidRPr="00BC7A12">
        <w:rPr>
          <w:rFonts w:eastAsia="Times New Roman" w:cs="Calibri"/>
        </w:rPr>
        <w:fldChar w:fldCharType="begin" w:fldLock="1"/>
      </w:r>
      <w:r w:rsidR="00CB6F07" w:rsidRPr="00BC7A12">
        <w:rPr>
          <w:rFonts w:eastAsia="Times New Roman" w:cs="Calibri"/>
        </w:rPr>
        <w:instrText>ADDIN CSL_CITATION {"citationItems":[{"id":"ITEM-1","itemData":{"abstract":"Argues that organizations that build business taxonomies for managing their documents can achieve more efficient and effective information retrieval. Definition of a taxonomy or classification scheme in an office situation; Classification theory; Development of a taxonomy. INSETS: Types of Taxonomies;Managing Taxonomies Strategically.","author":[{"dropping-particle":"","family":"Bruno","given":"D","non-dropping-particle":"","parse-names":false,"suffix":""},{"dropping-particle":"","family":"Richmond","given":"H","non-dropping-particle":"","parse-names":false,"suffix":""}],"container-title":"Information Management Journal","id":"ITEM-1","issued":{"date-parts":[["2003"]]},"title":"The truth about taxonomies","type":"article-journal"},"uris":["http://www.mendeley.com/documents/?uuid=4478ecde-ab14-4474-9cdc-e706b22f38d0"]}],"mendeley":{"formattedCitation":"(Bruno &amp; Richmond 2003)","plainTextFormattedCitation":"(Bruno &amp; Richmond 2003)","previouslyFormattedCitation":"(Bruno &amp; Richmond 2003)"},"properties":{"noteIndex":0},"schema":"https://github.com/citation-style-language/schema/raw/master/csl-citation.json"}</w:instrText>
      </w:r>
      <w:r w:rsidR="00CB6F07" w:rsidRPr="00BC7A12">
        <w:rPr>
          <w:rFonts w:eastAsia="Times New Roman" w:cs="Calibri"/>
        </w:rPr>
        <w:fldChar w:fldCharType="separate"/>
      </w:r>
      <w:r w:rsidR="00CB6F07" w:rsidRPr="00BC7A12">
        <w:rPr>
          <w:rFonts w:eastAsia="Times New Roman" w:cs="Calibri"/>
          <w:noProof/>
        </w:rPr>
        <w:t>(Bruno &amp; Richmond 2003)</w:t>
      </w:r>
      <w:r w:rsidR="00CB6F07" w:rsidRPr="00BC7A12">
        <w:rPr>
          <w:rFonts w:eastAsia="Times New Roman" w:cs="Calibri"/>
        </w:rPr>
        <w:fldChar w:fldCharType="end"/>
      </w:r>
      <w:r w:rsidR="00CB6F07" w:rsidRPr="00BC7A12">
        <w:rPr>
          <w:rFonts w:eastAsia="Times New Roman" w:cs="Calibri"/>
        </w:rPr>
        <w:t xml:space="preserve">, and the UN Food and Agriculture Organization’s Land Cover Classification System </w:t>
      </w:r>
      <w:r w:rsidR="00CB6F07" w:rsidRPr="00BC7A12">
        <w:rPr>
          <w:rFonts w:eastAsia="Times New Roman" w:cs="Calibri"/>
        </w:rPr>
        <w:fldChar w:fldCharType="begin" w:fldLock="1"/>
      </w:r>
      <w:r w:rsidR="00CB6F07" w:rsidRPr="00BC7A12">
        <w:rPr>
          <w:rFonts w:eastAsia="Times New Roman" w:cs="Calibri"/>
        </w:rPr>
        <w:instrText>ADDIN CSL_CITATION {"citationItems":[{"id":"ITEM-1","itemData":{"DOI":"10.1017/CBO9781107415324.004","ISBN":"9788578110796","ISSN":"1098-6596","PMID":"25246403","abstract":"The Land Cover Classification System (LCCS) is a comprehensive, standardized a priori classification system, designed to meet specific user requirements, and created for mapping exercises, independent of the scale or means used to map. Any land cover identified anywhere in the world can be readily accommodated. The classification uses a set of independent diagnostic criteria that allow correlation with existing classifications and legends. Land cover classes are defined by a combination of a set of independent diagnostic criteria - the so-called classifiers - that are hierarchically arranged to assure a high degree of geographical accuracy. Because of the heterogeneity of land cover, the same set of classifiers cannot be used to define all land cover types. The hierarchical structure of the classifiers may differ from one land cover type to another. Therefore, the classification has two main phases: an initial Dichotomous Phase, where eight major land cover types are distinguished; and a subsequent Modular-Hierarchical Phase where the set of classifiers and their hierarchical arrangement are tailored to the major land cover type. This approach allows the use of the most appropriate classifiers and reduces the total number of impractical combinations of classifiers. Because of the complexity of the classification and the need for standardization, a software application has been developed to assist the interpretation process. This will reduce heterogeneity between interpreters and between interpretations over time. Because of the flexible manner in which the classification is set up, with creation of classes at different levels of the system and the optional use of modifiers, environmental attributes and specific technical attributes in combination, coupled with the tremendous number of classes possible, this innovative software application assists the user to select the appropriate class using a step-by-step process, i.e., classifier by classifier. The software application will be available both as a stand-alone product and integrated into a digital image interpretation software suite which will allow interpretation of imagery followed by labelling of the mapping units with the land cover classes, the Africover Interpretation and Mapping System (AIMS). The classification system leads to mutually exclusive land cover classes, which comprise: (1) a unique Boolean formula (a coded string of classifiers used); (2) a standard name; and (3) a unique numerical …","author":[{"dropping-particle":"","family":"Gregorio","given":"A.","non-dropping-particle":"Di","parse-names":false,"suffix":""},{"dropping-particle":"","family":"Jansen","given":"L.J.M.","non-dropping-particle":"","parse-names":false,"suffix":""}],"container-title":"Fao","id":"ITEM-1","issued":{"date-parts":[["2000"]]},"title":"Land Cover Classification System (LCCS): Classification Concepts and User Manual","type":"article-journal"},"uris":["http://www.mendeley.com/documents/?uuid=55b4855e-d632-4c1b-ba1b-02f118b36810","http://www.mendeley.com/documents/?uuid=88cc249f-6210-470a-9cb2-3543b5aa0196"]}],"mendeley":{"formattedCitation":"(Di Gregorio &amp; Jansen 2000)","plainTextFormattedCitation":"(Di Gregorio &amp; Jansen 2000)","previouslyFormattedCitation":"(Di Gregorio &amp; Jansen 2000)"},"properties":{"noteIndex":0},"schema":"https://github.com/citation-style-language/schema/raw/master/csl-citation.json"}</w:instrText>
      </w:r>
      <w:r w:rsidR="00CB6F07" w:rsidRPr="00BC7A12">
        <w:rPr>
          <w:rFonts w:eastAsia="Times New Roman" w:cs="Calibri"/>
        </w:rPr>
        <w:fldChar w:fldCharType="separate"/>
      </w:r>
      <w:r w:rsidR="00CB6F07" w:rsidRPr="00BC7A12">
        <w:rPr>
          <w:rFonts w:eastAsia="Times New Roman" w:cs="Calibri"/>
          <w:noProof/>
        </w:rPr>
        <w:t>(Di Gregorio &amp; Jansen 2000)</w:t>
      </w:r>
      <w:r w:rsidR="00CB6F07" w:rsidRPr="00BC7A12">
        <w:rPr>
          <w:rFonts w:eastAsia="Times New Roman" w:cs="Calibri"/>
        </w:rPr>
        <w:fldChar w:fldCharType="end"/>
      </w:r>
      <w:r w:rsidR="00CB6F07" w:rsidRPr="00BC7A12">
        <w:rPr>
          <w:rFonts w:eastAsia="Times New Roman" w:cs="Calibri"/>
        </w:rPr>
        <w:t xml:space="preserve">. </w:t>
      </w:r>
      <w:r w:rsidRPr="00BC7A12">
        <w:rPr>
          <w:rFonts w:eastAsia="Times New Roman" w:cs="Calibri"/>
        </w:rPr>
        <w:t>These were developed because each community needed a common language, an easy way to share data and research findings with heterogeneous metrics, and because there was no natural law or existing process addressing these needs</w:t>
      </w:r>
      <w:r w:rsidR="00CB6F07" w:rsidRPr="00BC7A12">
        <w:rPr>
          <w:rFonts w:eastAsia="Times New Roman" w:cs="Calibri"/>
        </w:rPr>
        <w:t xml:space="preserve"> </w:t>
      </w:r>
      <w:r w:rsidR="00CB6F07" w:rsidRPr="00BC7A12">
        <w:rPr>
          <w:rFonts w:eastAsia="Times New Roman" w:cs="Calibri"/>
        </w:rPr>
        <w:fldChar w:fldCharType="begin" w:fldLock="1"/>
      </w:r>
      <w:r w:rsidR="00EB311E">
        <w:rPr>
          <w:rFonts w:eastAsia="Times New Roman" w:cs="Calibri"/>
        </w:rPr>
        <w:instrText>ADDIN CSL_CITATION {"citationItems":[{"id":"ITEM-1","itemData":{"DOI":"10.7326/0003-4819-135-10-200111200-00030","ISSN":"0003-4819","abstract":"Acknowledgments -- Introduction: To Classify Is Human -- 1. Some Tricks of the Trade in Analyzing Classification -- I. Classification and Large-Scale Infrastructures -- 2. The Kindness of Strangers: Kinds and Politics in Classification Systems -- 3. The ICD as Information Infrastructure -- 4. Classification, Coding, and Coordination -- II. Classification and Biography, or System and Suffering -- 5. Of Tuberculosis and Trajectories -- 6. The Case of Race Classification and Reclassification under Apartheid -- III. Classification and Work Practice -- 7. What Difference a Name Makes -- the Classification of Nursing Work -- 8. Organizational Forgetting, Nursing Knowledge, and Classification -- IV. The Theory and Practice of Classifications -- 9. Categorical Work and Boundary Infrastructures: Enriching Theories of Classification -- 10. Why Classifications Matter -- Notes -- References -- Name Index -- Subject Index.","author":[{"dropping-particle":"","family":"Overhage","given":"J Marc","non-dropping-particle":"","parse-names":false,"suffix":""},{"dropping-particle":"","family":"Suico","given":"Jeffery G","non-dropping-particle":"","parse-names":false,"suffix":""}],"container-title":"Annals of Internal Medicine","id":"ITEM-1","issue":"10","issued":{"date-parts":[["2001"]]},"page":"934","title":"Sorting Things Out: Classification and Its Consequences","type":"article-journal","volume":"135"},"uris":["http://www.mendeley.com/documents/?uuid=7c2abaa0-00f1-4935-8f10-f71c11d4ab39"]}],"mendeley":{"formattedCitation":"(Overhage &amp; Suico 2001)","plainTextFormattedCitation":"(Overhage &amp; Suico 2001)","previouslyFormattedCitation":"(Overhage &amp; Suico 2001)"},"properties":{"noteIndex":0},"schema":"https://github.com/citation-style-language/schema/raw/master/csl-citation.json"}</w:instrText>
      </w:r>
      <w:r w:rsidR="00CB6F07" w:rsidRPr="00BC7A12">
        <w:rPr>
          <w:rFonts w:eastAsia="Times New Roman" w:cs="Calibri"/>
        </w:rPr>
        <w:fldChar w:fldCharType="separate"/>
      </w:r>
      <w:r w:rsidR="002E61E6" w:rsidRPr="002E61E6">
        <w:rPr>
          <w:rFonts w:eastAsia="Times New Roman" w:cs="Calibri"/>
          <w:noProof/>
        </w:rPr>
        <w:t>(Overhage &amp; Suico 2001)</w:t>
      </w:r>
      <w:r w:rsidR="00CB6F07" w:rsidRPr="00BC7A12">
        <w:rPr>
          <w:rFonts w:eastAsia="Times New Roman" w:cs="Calibri"/>
        </w:rPr>
        <w:fldChar w:fldCharType="end"/>
      </w:r>
      <w:r w:rsidR="00CB6F07" w:rsidRPr="00BC7A12">
        <w:rPr>
          <w:rFonts w:eastAsia="Times New Roman" w:cs="Calibri"/>
        </w:rPr>
        <w:t xml:space="preserve">. </w:t>
      </w:r>
    </w:p>
    <w:p w14:paraId="48740058" w14:textId="77777777" w:rsidR="00C47C1B" w:rsidRPr="00BC7A12" w:rsidRDefault="00C47C1B" w:rsidP="00C47C1B">
      <w:pPr>
        <w:rPr>
          <w:rFonts w:eastAsia="Times New Roman" w:cs="Calibri"/>
        </w:rPr>
      </w:pPr>
      <w:r w:rsidRPr="00BC7A12">
        <w:rPr>
          <w:rFonts w:eastAsia="Times New Roman" w:cs="Calibri"/>
        </w:rPr>
        <w:t xml:space="preserve">Recognizing the need for a common language, the Millennium Ecosystem Assessment (MA) proposed four types of ES: </w:t>
      </w:r>
    </w:p>
    <w:p w14:paraId="253E07B6" w14:textId="37C4B694" w:rsidR="00C47C1B" w:rsidRPr="00BC7A12" w:rsidRDefault="00C47C1B" w:rsidP="00413DAD">
      <w:pPr>
        <w:numPr>
          <w:ilvl w:val="0"/>
          <w:numId w:val="13"/>
        </w:numPr>
        <w:pBdr>
          <w:top w:val="nil"/>
          <w:left w:val="nil"/>
          <w:bottom w:val="nil"/>
          <w:right w:val="nil"/>
          <w:between w:val="nil"/>
        </w:pBdr>
        <w:spacing w:after="0" w:line="240" w:lineRule="auto"/>
        <w:jc w:val="left"/>
        <w:rPr>
          <w:rFonts w:cs="Calibri"/>
          <w:color w:val="000000"/>
        </w:rPr>
      </w:pPr>
      <w:r w:rsidRPr="00BC7A12">
        <w:rPr>
          <w:rFonts w:eastAsia="Times New Roman" w:cs="Calibri"/>
          <w:color w:val="000000"/>
        </w:rPr>
        <w:t>Supporting—natural processes that help maintain other</w:t>
      </w:r>
      <w:r w:rsidR="000100D8" w:rsidRPr="00BC7A12">
        <w:rPr>
          <w:rFonts w:eastAsia="Times New Roman" w:cs="Calibri"/>
          <w:color w:val="000000"/>
        </w:rPr>
        <w:t xml:space="preserve"> ecosystem services </w:t>
      </w:r>
      <w:r w:rsidRPr="00BC7A12">
        <w:rPr>
          <w:rFonts w:eastAsia="Times New Roman" w:cs="Calibri"/>
          <w:color w:val="000000"/>
        </w:rPr>
        <w:t xml:space="preserve">(e.g., nutrient cycling, primary production) </w:t>
      </w:r>
    </w:p>
    <w:p w14:paraId="57BA9F7E" w14:textId="77777777" w:rsidR="00C47C1B" w:rsidRPr="00BC7A12" w:rsidRDefault="00C47C1B" w:rsidP="00413DAD">
      <w:pPr>
        <w:numPr>
          <w:ilvl w:val="0"/>
          <w:numId w:val="13"/>
        </w:numPr>
        <w:pBdr>
          <w:top w:val="nil"/>
          <w:left w:val="nil"/>
          <w:bottom w:val="nil"/>
          <w:right w:val="nil"/>
          <w:between w:val="nil"/>
        </w:pBdr>
        <w:spacing w:after="0" w:line="240" w:lineRule="auto"/>
        <w:jc w:val="left"/>
        <w:rPr>
          <w:rFonts w:cs="Calibri"/>
          <w:color w:val="000000"/>
        </w:rPr>
      </w:pPr>
      <w:r w:rsidRPr="00BC7A12">
        <w:rPr>
          <w:rFonts w:eastAsia="Times New Roman" w:cs="Calibri"/>
          <w:color w:val="000000"/>
        </w:rPr>
        <w:lastRenderedPageBreak/>
        <w:t>Provisioning—the goods or products from ecosystems used by people (e.g., water, timber, food)</w:t>
      </w:r>
    </w:p>
    <w:p w14:paraId="2D857E77" w14:textId="77777777" w:rsidR="00C47C1B" w:rsidRPr="00BC7A12" w:rsidRDefault="00C47C1B" w:rsidP="00413DAD">
      <w:pPr>
        <w:numPr>
          <w:ilvl w:val="0"/>
          <w:numId w:val="13"/>
        </w:numPr>
        <w:pBdr>
          <w:top w:val="nil"/>
          <w:left w:val="nil"/>
          <w:bottom w:val="nil"/>
          <w:right w:val="nil"/>
          <w:between w:val="nil"/>
        </w:pBdr>
        <w:spacing w:after="0" w:line="240" w:lineRule="auto"/>
        <w:jc w:val="left"/>
        <w:rPr>
          <w:rFonts w:cs="Calibri"/>
          <w:color w:val="000000"/>
        </w:rPr>
      </w:pPr>
      <w:r w:rsidRPr="00BC7A12">
        <w:rPr>
          <w:rFonts w:eastAsia="Times New Roman" w:cs="Calibri"/>
          <w:color w:val="000000"/>
        </w:rPr>
        <w:t>Regulating—the benefits people receive from an ecosystem functioning to regulate natural processes (e.g., erosion control, temperance of flooding)</w:t>
      </w:r>
    </w:p>
    <w:p w14:paraId="75515EF6" w14:textId="2C5501D1" w:rsidR="00C47C1B" w:rsidRPr="00BC7A12" w:rsidRDefault="00C47C1B" w:rsidP="00413DAD">
      <w:pPr>
        <w:numPr>
          <w:ilvl w:val="0"/>
          <w:numId w:val="13"/>
        </w:numPr>
        <w:pBdr>
          <w:top w:val="nil"/>
          <w:left w:val="nil"/>
          <w:bottom w:val="nil"/>
          <w:right w:val="nil"/>
          <w:between w:val="nil"/>
        </w:pBdr>
        <w:spacing w:after="0" w:line="240" w:lineRule="auto"/>
        <w:jc w:val="left"/>
        <w:rPr>
          <w:rFonts w:cs="Calibri"/>
          <w:color w:val="000000"/>
        </w:rPr>
      </w:pPr>
      <w:r w:rsidRPr="00BC7A12">
        <w:rPr>
          <w:rFonts w:eastAsia="Times New Roman" w:cs="Calibri"/>
          <w:color w:val="000000"/>
        </w:rPr>
        <w:t>Cultural—the nonmaterial human benefits from ecosystems (e.g., recreation, inspiration)</w:t>
      </w:r>
      <w:r w:rsidR="00604532" w:rsidRPr="00BC7A12">
        <w:rPr>
          <w:rFonts w:eastAsia="Times New Roman" w:cs="Calibri"/>
          <w:color w:val="000000"/>
        </w:rPr>
        <w:t xml:space="preserve"> </w:t>
      </w:r>
      <w:r w:rsidR="00604532" w:rsidRPr="00BC7A12">
        <w:rPr>
          <w:rFonts w:eastAsia="Times New Roman" w:cs="Calibri"/>
          <w:color w:val="000000"/>
        </w:rPr>
        <w:fldChar w:fldCharType="begin" w:fldLock="1"/>
      </w:r>
      <w:r w:rsidR="00ED1FB8" w:rsidRPr="00BC7A12">
        <w:rPr>
          <w:rFonts w:eastAsia="Times New Roman" w:cs="Calibri"/>
          <w:color w:val="000000"/>
        </w:rPr>
        <w:instrText>ADDIN CSL_CITATION {"citationItems":[{"id":"ITEM-1","itemData":{"DOI":"10.5860/CHOICE.41-4645","ISSN":"0009-4978","abstract":"Ecosystems and Human Well-being is the first product of the Millennium Ecosystem Assessment (MA), a four-year international work program designed to meet the needs of decision-makers for scientific information on the links between ecosystem change and human well-being. The Millennium Ecosystem Assessment is modeled on the Intergovernmental Panel on Climate Change (IPCC) and will provide information requested by governments, through four international conventions, as well as meeting needs within the private sector and civil society. Ecosystems and Human Well-being offers an overview of the assessment, describing the conceptual framework that is being used, defining its scope and providing a baseline of understanding that all participants need to move forward. The Millennium Ecosystem Assessment focuses on how humans have altered ecosystems, and how changes in ecosystems have affected human well-being. The assessment also evaluates how ecosystem changes may affect people in future decades and what responses can be adopted at local, national, or global scales to improve ecosystem management and thereby contribute to human well-being and poverty alleviation. The assessment was launched by United Nations Secretary-General Kofi Annan in June 2001, and the primary assessment reports will be released by Island Press in 2005. The Millennium Ecosystem Assessment series is an invaluable new resource for professionals and policy-makers concerned with international development, environmental science, environmental policy, and related fields. It will help both in choosing among existing options and in identifying new approaches for achieving integrated management of land, water, and living resources while strengthening regional, national, and local capacities. The Millennium Ecosystem Assessment series will also improve policy and decision-making at all levels by increasing collaboration between natural and social scientists, and between scientists and policy-makers. Ecosystems and Human Well-being is an essential introduction to the program.","author":[{"dropping-particle":"","family":"Alcamo","given":"Joseph","non-dropping-particle":"","parse-names":false,"suffix":""},{"dropping-particle":"","family":"Bennett","given":"Elena M","non-dropping-particle":"","parse-names":false,"suffix":""},{"dropping-particle":"","family":"Reid","given":"V Walter","non-dropping-particle":"","parse-names":false,"suffix":""},{"dropping-particle":"","family":"Capistrano","given":"Doris","non-dropping-particle":"","parse-names":false,"suffix":""},{"dropping-particle":"","family":"Carpenter","given":"Sephen R","non-dropping-particle":"","parse-names":false,"suffix":""},{"dropping-particle":"","family":"Chopra","given":"Kanchan","non-dropping-particle":"","parse-names":false,"suffix":""},{"dropping-particle":"","family":"Cropper","given":"Angela","non-dropping-particle":"","parse-names":false,"suffix":""},{"dropping-particle":"","family":"Daily","given":"Gretchen C","non-dropping-particle":"","parse-names":false,"suffix":""},{"dropping-particle":"","family":"Dasgupta","given":"Partha","non-dropping-particle":"","parse-names":false,"suffix":""},{"dropping-particle":"","family":"Hassan","given":"Rashid","non-dropping-particle":"","parse-names":false,"suffix":""},{"dropping-particle":"","family":"Leemans","given":"Rik","non-dropping-particle":"","parse-names":false,"suffix":""},{"dropping-particle":"","family":"May","given":"Robert M","non-dropping-particle":"","parse-names":false,"suffix":""},{"dropping-particle":"","family":"Mooney","given":"Harold A","non-dropping-particle":"","parse-names":false,"suffix":""},{"dropping-particle":"","family":"Sampler","given":"Cristian","non-dropping-particle":"","parse-names":false,"suffix":""},{"dropping-particle":"","family":"Scholes","given":"Robert","non-dropping-particle":"","parse-names":false,"suffix":""},{"dropping-particle":"","family":"Watson","given":"Robert T","non-dropping-particle":"","parse-names":false,"suffix":""},{"dropping-particle":"","family":"Shidong","given":"Zhao","non-dropping-particle":"","parse-names":false,"suffix":""}],"id":"ITEM-1","issued":{"date-parts":[["2003","4"]]},"number-of-pages":"252","title":"Ecosystems and human well-being: a framework for assessment","type":"book"},"uris":["http://www.mendeley.com/documents/?uuid=29aba7f7-54f7-46a0-b682-30db8d1f56e7"]}],"mendeley":{"formattedCitation":"(Alcamo et al. 2003)","plainTextFormattedCitation":"(Alcamo et al. 2003)","previouslyFormattedCitation":"(Alcamo et al. 2003)"},"properties":{"noteIndex":0},"schema":"https://github.com/citation-style-language/schema/raw/master/csl-citation.json"}</w:instrText>
      </w:r>
      <w:r w:rsidR="00604532" w:rsidRPr="00BC7A12">
        <w:rPr>
          <w:rFonts w:eastAsia="Times New Roman" w:cs="Calibri"/>
          <w:color w:val="000000"/>
        </w:rPr>
        <w:fldChar w:fldCharType="separate"/>
      </w:r>
      <w:r w:rsidR="00604532" w:rsidRPr="00BC7A12">
        <w:rPr>
          <w:rFonts w:eastAsia="Times New Roman" w:cs="Calibri"/>
          <w:noProof/>
          <w:color w:val="000000"/>
        </w:rPr>
        <w:t>(Alcamo et al. 2003)</w:t>
      </w:r>
      <w:r w:rsidR="00604532" w:rsidRPr="00BC7A12">
        <w:rPr>
          <w:rFonts w:eastAsia="Times New Roman" w:cs="Calibri"/>
          <w:color w:val="000000"/>
        </w:rPr>
        <w:fldChar w:fldCharType="end"/>
      </w:r>
    </w:p>
    <w:p w14:paraId="59D4FCD4" w14:textId="77777777" w:rsidR="00721AD4" w:rsidRPr="00BC7A12" w:rsidRDefault="00721AD4" w:rsidP="00C47C1B">
      <w:pPr>
        <w:rPr>
          <w:rFonts w:eastAsia="Times New Roman" w:cs="Calibri"/>
        </w:rPr>
      </w:pPr>
    </w:p>
    <w:p w14:paraId="3581BC56" w14:textId="3C0C595F" w:rsidR="00C47C1B" w:rsidRPr="00BC7A12" w:rsidRDefault="00C47C1B" w:rsidP="00C47C1B">
      <w:pPr>
        <w:rPr>
          <w:rFonts w:eastAsia="Times New Roman" w:cs="Calibri"/>
        </w:rPr>
      </w:pPr>
      <w:r w:rsidRPr="00BC7A12">
        <w:rPr>
          <w:rFonts w:eastAsia="Times New Roman" w:cs="Calibri"/>
        </w:rPr>
        <w:t xml:space="preserve">The </w:t>
      </w:r>
      <w:r w:rsidR="008C76CC" w:rsidRPr="00BC7A12">
        <w:rPr>
          <w:rFonts w:eastAsia="Times New Roman" w:cs="Calibri"/>
        </w:rPr>
        <w:t xml:space="preserve">MA four </w:t>
      </w:r>
      <w:r w:rsidRPr="00BC7A12">
        <w:rPr>
          <w:rFonts w:eastAsia="Times New Roman" w:cs="Calibri"/>
        </w:rPr>
        <w:t>types improved over the simple lists of</w:t>
      </w:r>
      <w:r w:rsidR="000100D8" w:rsidRPr="00BC7A12">
        <w:rPr>
          <w:rFonts w:eastAsia="Times New Roman" w:cs="Calibri"/>
        </w:rPr>
        <w:t xml:space="preserve"> ecosystem services </w:t>
      </w:r>
      <w:r w:rsidRPr="00BC7A12">
        <w:rPr>
          <w:rFonts w:eastAsia="Times New Roman" w:cs="Calibri"/>
        </w:rPr>
        <w:t>offered in 1997, but the MA itself cautioned against considering it a classification</w:t>
      </w:r>
      <w:r w:rsidR="00CB6F07" w:rsidRPr="00BC7A12">
        <w:rPr>
          <w:rFonts w:eastAsia="Times New Roman" w:cs="Calibri"/>
        </w:rPr>
        <w:t xml:space="preserve"> </w:t>
      </w:r>
      <w:r w:rsidR="00CB6F07" w:rsidRPr="00BC7A12">
        <w:rPr>
          <w:rFonts w:eastAsia="Times New Roman" w:cs="Calibri"/>
        </w:rPr>
        <w:fldChar w:fldCharType="begin" w:fldLock="1"/>
      </w:r>
      <w:r w:rsidR="00CB6F07" w:rsidRPr="00BC7A12">
        <w:rPr>
          <w:rFonts w:eastAsia="Times New Roman" w:cs="Calibri"/>
        </w:rPr>
        <w:instrText>ADDIN CSL_CITATION {"citationItems":[{"id":"ITEM-1","itemData":{"DOI":"10.5860/CHOICE.41-4645","ISSN":"0009-4978","abstract":"Ecosystems and Human Well-being is the first product of the Millennium Ecosystem Assessment (MA), a four-year international work program designed to meet the needs of decision-makers for scientific information on the links between ecosystem change and human well-being. The Millennium Ecosystem Assessment is modeled on the Intergovernmental Panel on Climate Change (IPCC) and will provide information requested by governments, through four international conventions, as well as meeting needs within the private sector and civil society. Ecosystems and Human Well-being offers an overview of the assessment, describing the conceptual framework that is being used, defining its scope and providing a baseline of understanding that all participants need to move forward. The Millennium Ecosystem Assessment focuses on how humans have altered ecosystems, and how changes in ecosystems have affected human well-being. The assessment also evaluates how ecosystem changes may affect people in future decades and what responses can be adopted at local, national, or global scales to improve ecosystem management and thereby contribute to human well-being and poverty alleviation. The assessment was launched by United Nations Secretary-General Kofi Annan in June 2001, and the primary assessment reports will be released by Island Press in 2005. The Millennium Ecosystem Assessment series is an invaluable new resource for professionals and policy-makers concerned with international development, environmental science, environmental policy, and related fields. It will help both in choosing among existing options and in identifying new approaches for achieving integrated management of land, water, and living resources while strengthening regional, national, and local capacities. The Millennium Ecosystem Assessment series will also improve policy and decision-making at all levels by increasing collaboration between natural and social scientists, and between scientists and policy-makers. Ecosystems and Human Well-being is an essential introduction to the program.","author":[{"dropping-particle":"","family":"Alcamo","given":"Joseph","non-dropping-particle":"","parse-names":false,"suffix":""},{"dropping-particle":"","family":"Bennett","given":"Elena M","non-dropping-particle":"","parse-names":false,"suffix":""},{"dropping-particle":"","family":"Reid","given":"V Walter","non-dropping-particle":"","parse-names":false,"suffix":""},{"dropping-particle":"","family":"Capistrano","given":"Doris","non-dropping-particle":"","parse-names":false,"suffix":""},{"dropping-particle":"","family":"Carpenter","given":"Sephen R","non-dropping-particle":"","parse-names":false,"suffix":""},{"dropping-particle":"","family":"Chopra","given":"Kanchan","non-dropping-particle":"","parse-names":false,"suffix":""},{"dropping-particle":"","family":"Cropper","given":"Angela","non-dropping-particle":"","parse-names":false,"suffix":""},{"dropping-particle":"","family":"Daily","given":"Gretchen C","non-dropping-particle":"","parse-names":false,"suffix":""},{"dropping-particle":"","family":"Dasgupta","given":"Partha","non-dropping-particle":"","parse-names":false,"suffix":""},{"dropping-particle":"","family":"Hassan","given":"Rashid","non-dropping-particle":"","parse-names":false,"suffix":""},{"dropping-particle":"","family":"Leemans","given":"Rik","non-dropping-particle":"","parse-names":false,"suffix":""},{"dropping-particle":"","family":"May","given":"Robert M","non-dropping-particle":"","parse-names":false,"suffix":""},{"dropping-particle":"","family":"Mooney","given":"Harold A","non-dropping-particle":"","parse-names":false,"suffix":""},{"dropping-particle":"","family":"Sampler","given":"Cristian","non-dropping-particle":"","parse-names":false,"suffix":""},{"dropping-particle":"","family":"Scholes","given":"Robert","non-dropping-particle":"","parse-names":false,"suffix":""},{"dropping-particle":"","family":"Watson","given":"Robert T","non-dropping-particle":"","parse-names":false,"suffix":""},{"dropping-particle":"","family":"Shidong","given":"Zhao","non-dropping-particle":"","parse-names":false,"suffix":""}],"id":"ITEM-1","issued":{"date-parts":[["2003","4"]]},"number-of-pages":"252","title":"Ecosystems and human well-being: a framework for assessment","type":"book"},"uris":["http://www.mendeley.com/documents/?uuid=29aba7f7-54f7-46a0-b682-30db8d1f56e7"]}],"mendeley":{"formattedCitation":"(Alcamo et al. 2003)","plainTextFormattedCitation":"(Alcamo et al. 2003)","previouslyFormattedCitation":"(Alcamo et al. 2003)"},"properties":{"noteIndex":0},"schema":"https://github.com/citation-style-language/schema/raw/master/csl-citation.json"}</w:instrText>
      </w:r>
      <w:r w:rsidR="00CB6F07" w:rsidRPr="00BC7A12">
        <w:rPr>
          <w:rFonts w:eastAsia="Times New Roman" w:cs="Calibri"/>
        </w:rPr>
        <w:fldChar w:fldCharType="separate"/>
      </w:r>
      <w:r w:rsidR="00CB6F07" w:rsidRPr="00BC7A12">
        <w:rPr>
          <w:rFonts w:eastAsia="Times New Roman" w:cs="Calibri"/>
          <w:noProof/>
        </w:rPr>
        <w:t>(Alcamo et al. 2003)</w:t>
      </w:r>
      <w:r w:rsidR="00CB6F07" w:rsidRPr="00BC7A12">
        <w:rPr>
          <w:rFonts w:eastAsia="Times New Roman" w:cs="Calibri"/>
        </w:rPr>
        <w:fldChar w:fldCharType="end"/>
      </w:r>
      <w:r w:rsidR="005A6D1B" w:rsidRPr="00BC7A12">
        <w:rPr>
          <w:rFonts w:eastAsia="Times New Roman" w:cs="Calibri"/>
        </w:rPr>
        <w:t>.</w:t>
      </w:r>
      <w:r w:rsidRPr="00BC7A12">
        <w:rPr>
          <w:rFonts w:eastAsia="Times New Roman" w:cs="Calibri"/>
        </w:rPr>
        <w:t xml:space="preserve"> Regardless, the MA four types quickly gained wide use. They were even adapted for national ecosystem assessments.</w:t>
      </w:r>
      <w:r w:rsidR="002D767A" w:rsidRPr="00BC7A12">
        <w:rPr>
          <w:rFonts w:eastAsia="Times New Roman" w:cs="Calibri"/>
        </w:rPr>
        <w:t xml:space="preserve"> </w:t>
      </w:r>
      <w:r w:rsidR="00CB6F07" w:rsidRPr="00BC7A12">
        <w:rPr>
          <w:rFonts w:eastAsia="Times New Roman" w:cs="Calibri"/>
        </w:rPr>
        <w:fldChar w:fldCharType="begin" w:fldLock="1"/>
      </w:r>
      <w:r w:rsidR="00604532" w:rsidRPr="00BC7A12">
        <w:rPr>
          <w:rFonts w:eastAsia="Times New Roman" w:cs="Calibri"/>
        </w:rPr>
        <w:instrText>ADDIN CSL_CITATION {"citationItems":[{"id":"ITEM-1","itemData":{"DOI":"10.1177/004057368303900411","ISBN":"9789280731651","ISSN":"0040-5736","PMID":"2472066","abstract":"The benefits that we derive from the natural world and its constituent ecosystems are critically important to human well-being and economic prosperity, but are consistently undervalued in economic analyses and decision making. Ecosystem and ecosystem services are constantly changing, driven by societal changes – demographic, economic, socio-political, technological and behavioural – which influence demand for goods and services and the way we manage our natural resources.","author":[{"dropping-particle":"","family":"UK National Ecosystem Assessment","given":"","non-dropping-particle":"","parse-names":false,"suffix":""}],"container-title":"Unep-Wcmc","id":"ITEM-1","issued":{"date-parts":[["2011"]]},"title":"UK National Ecosystem Assessment: Understanding Nature's Value to Society. Synthesis of the Key Findings","type":"article-journal"},"uris":["http://www.mendeley.com/documents/?uuid=aaafc564-4b05-419c-845c-70f9a7d8973d"]},{"id":"ITEM-2","itemData":{"author":[{"dropping-particle":"","family":"HaMAARAG","given":"","non-dropping-particle":"","parse-names":false,"suffix":""}],"id":"ITEM-2","issued":{"date-parts":[["2018"]]},"title":"Israel - National Ecosystem Assessment Report","type":"article"},"uris":["http://www.mendeley.com/documents/?uuid=6882c05f-dde0-40c7-931b-e569f2512dbb"]}],"mendeley":{"formattedCitation":"(UK National Ecosystem Assessment 2011, HaMAARAG 2018)","plainTextFormattedCitation":"(UK National Ecosystem Assessment 2011, HaMAARAG 2018)","previouslyFormattedCitation":"(UK National Ecosystem Assessment 2011, HaMAARAG 2018)"},"properties":{"noteIndex":0},"schema":"https://github.com/citation-style-language/schema/raw/master/csl-citation.json"}</w:instrText>
      </w:r>
      <w:r w:rsidR="00CB6F07" w:rsidRPr="00BC7A12">
        <w:rPr>
          <w:rFonts w:eastAsia="Times New Roman" w:cs="Calibri"/>
        </w:rPr>
        <w:fldChar w:fldCharType="separate"/>
      </w:r>
      <w:r w:rsidR="00CB6F07" w:rsidRPr="00BC7A12">
        <w:rPr>
          <w:rFonts w:eastAsia="Times New Roman" w:cs="Calibri"/>
          <w:noProof/>
        </w:rPr>
        <w:t>(UK National Ecosystem Assessment 2011, HaMAARAG 2018)</w:t>
      </w:r>
      <w:r w:rsidR="00CB6F07" w:rsidRPr="00BC7A12">
        <w:rPr>
          <w:rFonts w:eastAsia="Times New Roman" w:cs="Calibri"/>
        </w:rPr>
        <w:fldChar w:fldCharType="end"/>
      </w:r>
      <w:r w:rsidRPr="00BC7A12">
        <w:rPr>
          <w:rFonts w:eastAsia="Times New Roman" w:cs="Calibri"/>
        </w:rPr>
        <w:t xml:space="preserve"> The Economics of Ecosystems and Biodiversity (TEEB) revised</w:t>
      </w:r>
      <w:r w:rsidRPr="00BC7A12">
        <w:rPr>
          <w:rStyle w:val="FootnoteReference"/>
          <w:rFonts w:eastAsia="Times New Roman" w:cs="Calibri"/>
        </w:rPr>
        <w:footnoteReference w:id="13"/>
      </w:r>
      <w:r w:rsidRPr="00BC7A12">
        <w:rPr>
          <w:rFonts w:eastAsia="Times New Roman" w:cs="Calibri"/>
        </w:rPr>
        <w:t xml:space="preserve"> the MA four types along with bifurcating</w:t>
      </w:r>
      <w:r w:rsidR="000100D8" w:rsidRPr="00BC7A12">
        <w:rPr>
          <w:rFonts w:eastAsia="Times New Roman" w:cs="Calibri"/>
        </w:rPr>
        <w:t xml:space="preserve"> ecosystem services </w:t>
      </w:r>
      <w:r w:rsidRPr="00BC7A12">
        <w:rPr>
          <w:rFonts w:eastAsia="Times New Roman" w:cs="Calibri"/>
        </w:rPr>
        <w:t>from “benefits,” because benefits to humans routinely involve combining</w:t>
      </w:r>
      <w:r w:rsidR="000100D8" w:rsidRPr="00BC7A12">
        <w:rPr>
          <w:rFonts w:eastAsia="Times New Roman" w:cs="Calibri"/>
        </w:rPr>
        <w:t xml:space="preserve"> ecosystem services </w:t>
      </w:r>
      <w:r w:rsidRPr="00BC7A12">
        <w:rPr>
          <w:rFonts w:eastAsia="Times New Roman" w:cs="Calibri"/>
        </w:rPr>
        <w:t>with economically produced inputs</w:t>
      </w:r>
      <w:r w:rsidR="00604532" w:rsidRPr="00BC7A12">
        <w:rPr>
          <w:rFonts w:eastAsia="Times New Roman" w:cs="Calibri"/>
        </w:rPr>
        <w:t xml:space="preserve"> </w:t>
      </w:r>
      <w:r w:rsidR="00604532" w:rsidRPr="00BC7A12">
        <w:rPr>
          <w:rFonts w:eastAsia="Times New Roman" w:cs="Calibri"/>
        </w:rPr>
        <w:fldChar w:fldCharType="begin" w:fldLock="1"/>
      </w:r>
      <w:r w:rsidR="00604532" w:rsidRPr="00BC7A12">
        <w:rPr>
          <w:rFonts w:eastAsia="Times New Roman" w:cs="Calibri"/>
        </w:rPr>
        <w:instrText>ADDIN CSL_CITATION {"citationItems":[{"id":"ITEM-1","itemData":{"DOI":"10.4324/9780203141700","ISBN":"9780203141700","abstract":"The Economics of Ecosystems and Biodiversity (TEEB) is a global study, initiated by the G8 and five major developing economies and focusing on the global eco- nomic benefit of biological diversity, the costs of the loss of biodiversity and the failure to take protective measures versus the costs of effective conservation1 . TEEB makes the case for integrating the economics of biodiversity and ecosystem services in decision-making.","author":[{"dropping-particle":"","family":"Bishop","given":"Joshua","non-dropping-particle":"","parse-names":false,"suffix":""}],"container-title":"The Economics of Ecosystems and Biodiversity in Business and Enterprise","id":"ITEM-1","issued":{"date-parts":[["2013"]]},"title":"The economics of ecosystems and biodiversity in business and enterprise","type":"book"},"uris":["http://www.mendeley.com/documents/?uuid=ad8edc1c-307c-44c8-9fa0-b5a851a8bb35"]}],"mendeley":{"formattedCitation":"(Bishop 2013)","plainTextFormattedCitation":"(Bishop 2013)","previouslyFormattedCitation":"(Bishop 2013)"},"properties":{"noteIndex":0},"schema":"https://github.com/citation-style-language/schema/raw/master/csl-citation.json"}</w:instrText>
      </w:r>
      <w:r w:rsidR="00604532" w:rsidRPr="00BC7A12">
        <w:rPr>
          <w:rFonts w:eastAsia="Times New Roman" w:cs="Calibri"/>
        </w:rPr>
        <w:fldChar w:fldCharType="separate"/>
      </w:r>
      <w:r w:rsidR="00604532" w:rsidRPr="00BC7A12">
        <w:rPr>
          <w:rFonts w:eastAsia="Times New Roman" w:cs="Calibri"/>
          <w:noProof/>
        </w:rPr>
        <w:t>(Bishop 2013)</w:t>
      </w:r>
      <w:r w:rsidR="00604532" w:rsidRPr="00BC7A12">
        <w:rPr>
          <w:rFonts w:eastAsia="Times New Roman" w:cs="Calibri"/>
        </w:rPr>
        <w:fldChar w:fldCharType="end"/>
      </w:r>
      <w:r w:rsidR="005A6D1B" w:rsidRPr="00BC7A12">
        <w:rPr>
          <w:rFonts w:eastAsia="Times New Roman" w:cs="Calibri"/>
        </w:rPr>
        <w:t>.</w:t>
      </w:r>
    </w:p>
    <w:p w14:paraId="541D5C6E" w14:textId="0D34B61B" w:rsidR="00C47C1B" w:rsidRPr="00BC7A12" w:rsidRDefault="002D767A" w:rsidP="00C47C1B">
      <w:pPr>
        <w:spacing w:after="60"/>
        <w:rPr>
          <w:rFonts w:eastAsia="Times New Roman" w:cs="Calibri"/>
        </w:rPr>
      </w:pPr>
      <w:r w:rsidRPr="00BC7A12">
        <w:rPr>
          <w:rFonts w:eastAsia="Times New Roman" w:cs="Calibri"/>
        </w:rPr>
        <w:t xml:space="preserve">A few years after TEEB </w:t>
      </w:r>
      <w:r w:rsidR="00C47C1B" w:rsidRPr="00BC7A12">
        <w:rPr>
          <w:rFonts w:eastAsia="Times New Roman" w:cs="Calibri"/>
        </w:rPr>
        <w:t>was published, and following on the exclusion of “benefits,” the European Environment Agency (EEA) printed a Common International Classification of Ecosystem Services (CICES)—that doubled the number of services in TEEB and offered a hierarchical structure for classifying</w:t>
      </w:r>
      <w:r w:rsidR="000100D8" w:rsidRPr="00BC7A12">
        <w:rPr>
          <w:rFonts w:eastAsia="Times New Roman" w:cs="Calibri"/>
        </w:rPr>
        <w:t xml:space="preserve"> ecosystem services </w:t>
      </w:r>
      <w:r w:rsidR="00C47C1B" w:rsidRPr="00BC7A12">
        <w:rPr>
          <w:rFonts w:eastAsia="Times New Roman" w:cs="Calibri"/>
        </w:rPr>
        <w:t xml:space="preserve">(Figure </w:t>
      </w:r>
      <w:r w:rsidR="00A11695">
        <w:rPr>
          <w:rFonts w:eastAsia="Times New Roman" w:cs="Calibri"/>
        </w:rPr>
        <w:t>A</w:t>
      </w:r>
      <w:r w:rsidR="00C47C1B" w:rsidRPr="00BC7A12">
        <w:rPr>
          <w:rFonts w:eastAsia="Times New Roman" w:cs="Calibri"/>
        </w:rPr>
        <w:t>1)</w:t>
      </w:r>
      <w:r w:rsidR="00ED1FB8" w:rsidRPr="00BC7A12">
        <w:rPr>
          <w:rFonts w:eastAsia="Times New Roman" w:cs="Calibri"/>
        </w:rPr>
        <w:t xml:space="preserve"> </w:t>
      </w:r>
      <w:r w:rsidR="00ED1FB8" w:rsidRPr="00BC7A12">
        <w:rPr>
          <w:rFonts w:eastAsia="Times New Roman" w:cs="Calibri"/>
        </w:rPr>
        <w:fldChar w:fldCharType="begin" w:fldLock="1"/>
      </w:r>
      <w:r w:rsidR="00ED1FB8" w:rsidRPr="00BC7A12">
        <w:rPr>
          <w:rFonts w:eastAsia="Times New Roman" w:cs="Calibri"/>
        </w:rPr>
        <w:instrText>ADDIN CSL_CITATION {"citationItems":[{"id":"ITEM-1","itemData":{"author":[{"dropping-particle":"","family":"Haines-Young","given":"Roy","non-dropping-particle":"","parse-names":false,"suffix":""},{"dropping-particle":"","family":"Potschin","given":"Marion","non-dropping-particle":"","parse-names":false,"suffix":""}],"id":"ITEM-1","issue":"January","issued":{"date-parts":[["2013"]]},"number-of-pages":"34","title":"Revised report prepared following consultation on CICES Version 4","type":"report"},"uris":["http://www.mendeley.com/documents/?uuid=1d3600bf-7fb3-4285-a190-259bab00b682"]}],"mendeley":{"formattedCitation":"(Haines-Young &amp; Potschin 2013)","plainTextFormattedCitation":"(Haines-Young &amp; Potschin 2013)","previouslyFormattedCitation":"(Haines-Young &amp; Potschin 2013)"},"properties":{"noteIndex":0},"schema":"https://github.com/citation-style-language/schema/raw/master/csl-citation.json"}</w:instrText>
      </w:r>
      <w:r w:rsidR="00ED1FB8" w:rsidRPr="00BC7A12">
        <w:rPr>
          <w:rFonts w:eastAsia="Times New Roman" w:cs="Calibri"/>
        </w:rPr>
        <w:fldChar w:fldCharType="separate"/>
      </w:r>
      <w:r w:rsidR="00ED1FB8" w:rsidRPr="00BC7A12">
        <w:rPr>
          <w:rFonts w:eastAsia="Times New Roman" w:cs="Calibri"/>
          <w:noProof/>
        </w:rPr>
        <w:t>(Haines-Young &amp; Potschin 2013)</w:t>
      </w:r>
      <w:r w:rsidR="00ED1FB8" w:rsidRPr="00BC7A12">
        <w:rPr>
          <w:rFonts w:eastAsia="Times New Roman" w:cs="Calibri"/>
        </w:rPr>
        <w:fldChar w:fldCharType="end"/>
      </w:r>
      <w:r w:rsidR="005A6D1B" w:rsidRPr="00BC7A12">
        <w:rPr>
          <w:rFonts w:eastAsia="Times New Roman" w:cs="Calibri"/>
        </w:rPr>
        <w:t>.</w:t>
      </w:r>
      <w:r w:rsidR="00C47C1B" w:rsidRPr="00BC7A12">
        <w:rPr>
          <w:rFonts w:eastAsia="Times New Roman" w:cs="Calibri"/>
        </w:rPr>
        <w:t xml:space="preserve"> It was the first ecosystem services classification system (ES-CS). CICES is currently in version 5.1.</w:t>
      </w:r>
    </w:p>
    <w:p w14:paraId="056FC57A" w14:textId="77777777" w:rsidR="00C47C1B" w:rsidRPr="00BC7A12" w:rsidRDefault="00C47C1B" w:rsidP="00C47C1B">
      <w:pPr>
        <w:keepNext/>
        <w:jc w:val="center"/>
        <w:rPr>
          <w:rFonts w:cs="Calibri"/>
        </w:rPr>
      </w:pPr>
      <w:r w:rsidRPr="00BC7A12">
        <w:rPr>
          <w:rFonts w:cs="Calibri"/>
          <w:noProof/>
          <w:lang w:eastAsia="en-AU"/>
        </w:rPr>
        <w:drawing>
          <wp:inline distT="0" distB="0" distL="0" distR="0" wp14:anchorId="4136EB10" wp14:editId="72E4A16C">
            <wp:extent cx="4150411" cy="1696278"/>
            <wp:effectExtent l="0" t="0" r="2540" b="0"/>
            <wp:docPr id="7" name="image15.png"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5.png" descr="A screenshot of a cell phone&#10;&#10;Description generated with very high confidence"/>
                    <pic:cNvPicPr preferRelativeResize="0"/>
                  </pic:nvPicPr>
                  <pic:blipFill>
                    <a:blip r:embed="rId32"/>
                    <a:srcRect/>
                    <a:stretch>
                      <a:fillRect/>
                    </a:stretch>
                  </pic:blipFill>
                  <pic:spPr>
                    <a:xfrm>
                      <a:off x="0" y="0"/>
                      <a:ext cx="4175209" cy="1706413"/>
                    </a:xfrm>
                    <a:prstGeom prst="rect">
                      <a:avLst/>
                    </a:prstGeom>
                    <a:ln/>
                  </pic:spPr>
                </pic:pic>
              </a:graphicData>
            </a:graphic>
          </wp:inline>
        </w:drawing>
      </w:r>
    </w:p>
    <w:p w14:paraId="2BF780CF" w14:textId="3A3AED3F" w:rsidR="00C47C1B" w:rsidRPr="00BC7A12" w:rsidRDefault="00C47C1B" w:rsidP="00C47C1B">
      <w:pPr>
        <w:pBdr>
          <w:top w:val="nil"/>
          <w:left w:val="nil"/>
          <w:bottom w:val="nil"/>
          <w:right w:val="nil"/>
          <w:between w:val="nil"/>
        </w:pBdr>
        <w:spacing w:after="200"/>
        <w:rPr>
          <w:rFonts w:eastAsia="Times New Roman" w:cs="Calibri"/>
          <w:color w:val="44546A"/>
        </w:rPr>
      </w:pPr>
      <w:r w:rsidRPr="00BC7A12">
        <w:rPr>
          <w:rFonts w:cs="Calibri"/>
          <w:color w:val="44546A"/>
          <w:sz w:val="18"/>
          <w:szCs w:val="18"/>
        </w:rPr>
        <w:t xml:space="preserve">Figure </w:t>
      </w:r>
      <w:r w:rsidR="00A11695">
        <w:rPr>
          <w:rFonts w:cs="Calibri"/>
          <w:color w:val="44546A"/>
          <w:sz w:val="18"/>
          <w:szCs w:val="18"/>
        </w:rPr>
        <w:t>A</w:t>
      </w:r>
      <w:r w:rsidRPr="00BC7A12">
        <w:rPr>
          <w:rFonts w:cs="Calibri"/>
          <w:color w:val="44546A"/>
          <w:sz w:val="18"/>
          <w:szCs w:val="18"/>
        </w:rPr>
        <w:t>1 CICES V5.1 hierarchical levels</w:t>
      </w:r>
      <w:r w:rsidR="00ED1FB8" w:rsidRPr="00BC7A12">
        <w:rPr>
          <w:rFonts w:cs="Calibri"/>
          <w:color w:val="44546A"/>
          <w:sz w:val="18"/>
          <w:szCs w:val="18"/>
        </w:rPr>
        <w:t xml:space="preserve"> </w:t>
      </w:r>
      <w:r w:rsidR="00ED1FB8" w:rsidRPr="00BC7A12">
        <w:rPr>
          <w:rFonts w:cs="Calibri"/>
          <w:color w:val="44546A"/>
          <w:sz w:val="18"/>
          <w:szCs w:val="18"/>
        </w:rPr>
        <w:fldChar w:fldCharType="begin" w:fldLock="1"/>
      </w:r>
      <w:r w:rsidR="00E767AF" w:rsidRPr="00BC7A12">
        <w:rPr>
          <w:rFonts w:cs="Calibri"/>
          <w:color w:val="44546A"/>
          <w:sz w:val="18"/>
          <w:szCs w:val="18"/>
        </w:rPr>
        <w:instrText>ADDIN CSL_CITATION {"citationItems":[{"id":"ITEM-1","itemData":{"ISSN":"00359351","abstract":"The Common International Classification of Ecosystem Services (CICES) has been designed to help measure, account for, and assess ecosystem services. Although it was developed in the context of work on the System of Environmental and Economic Accounting (SEEA) that is being led by the United Nations Statistical Division (UNSD), it has been used widely in ecosystem services research for designing indicators, mapping and for valuation.","author":[{"dropping-particle":"","family":"Haines-Young","given":"Roy","non-dropping-particle":"","parse-names":false,"suffix":""},{"dropping-particle":"","family":"Potschin","given":"Marion B","non-dropping-particle":"","parse-names":false,"suffix":""}],"container-title":"European Environment Agency","id":"ITEM-1","issued":{"date-parts":[["2018"]]},"title":"Common International Classification of Ecosystem Services (CICES) V5.1 and Guidance on the Application of the Revised Structure","type":"article-journal"},"uris":["http://www.mendeley.com/documents/?uuid=d463681d-5b91-474e-bfe4-7b1051eefb90"]}],"mendeley":{"formattedCitation":"(Haines-Young &amp; Potschin 2018)","plainTextFormattedCitation":"(Haines-Young &amp; Potschin 2018)","previouslyFormattedCitation":"(Haines-Young &amp; Potschin 2018)"},"properties":{"noteIndex":0},"schema":"https://github.com/citation-style-language/schema/raw/master/csl-citation.json"}</w:instrText>
      </w:r>
      <w:r w:rsidR="00ED1FB8" w:rsidRPr="00BC7A12">
        <w:rPr>
          <w:rFonts w:cs="Calibri"/>
          <w:color w:val="44546A"/>
          <w:sz w:val="18"/>
          <w:szCs w:val="18"/>
        </w:rPr>
        <w:fldChar w:fldCharType="separate"/>
      </w:r>
      <w:r w:rsidR="00ED1FB8" w:rsidRPr="00BC7A12">
        <w:rPr>
          <w:rFonts w:cs="Calibri"/>
          <w:noProof/>
          <w:color w:val="44546A"/>
          <w:sz w:val="18"/>
          <w:szCs w:val="18"/>
        </w:rPr>
        <w:t>(Haines-Young &amp; Potschin 2018)</w:t>
      </w:r>
      <w:r w:rsidR="00ED1FB8" w:rsidRPr="00BC7A12">
        <w:rPr>
          <w:rFonts w:cs="Calibri"/>
          <w:color w:val="44546A"/>
          <w:sz w:val="18"/>
          <w:szCs w:val="18"/>
        </w:rPr>
        <w:fldChar w:fldCharType="end"/>
      </w:r>
      <w:r w:rsidRPr="00BC7A12">
        <w:rPr>
          <w:rFonts w:cs="Calibri"/>
          <w:color w:val="44546A"/>
          <w:sz w:val="18"/>
          <w:szCs w:val="18"/>
        </w:rPr>
        <w:t xml:space="preserve"> </w:t>
      </w:r>
    </w:p>
    <w:p w14:paraId="51155479" w14:textId="77049A57" w:rsidR="00C47C1B" w:rsidRPr="00BC7A12" w:rsidRDefault="00C47C1B" w:rsidP="00C47C1B">
      <w:pPr>
        <w:spacing w:after="60"/>
        <w:rPr>
          <w:rFonts w:cs="Calibri"/>
        </w:rPr>
      </w:pPr>
      <w:bookmarkStart w:id="105" w:name="_Hlk522878691"/>
      <w:r w:rsidRPr="00BC7A12">
        <w:rPr>
          <w:rFonts w:eastAsia="Times New Roman" w:cs="Calibri"/>
        </w:rPr>
        <w:t>The US EPA then released the Final Ecosystem Services Classification System (FEGS-CS),</w:t>
      </w:r>
      <w:r w:rsidR="002D767A" w:rsidRPr="00BC7A12">
        <w:rPr>
          <w:rFonts w:eastAsia="Times New Roman" w:cs="Calibri"/>
        </w:rPr>
        <w:t xml:space="preserve"> </w:t>
      </w:r>
      <w:r w:rsidR="00ED1FB8" w:rsidRPr="00BC7A12">
        <w:rPr>
          <w:rFonts w:eastAsia="Times New Roman" w:cs="Calibri"/>
        </w:rPr>
        <w:fldChar w:fldCharType="begin" w:fldLock="1"/>
      </w:r>
      <w:r w:rsidR="00ED1FB8" w:rsidRPr="00BC7A12">
        <w:rPr>
          <w:rFonts w:eastAsia="Times New Roman" w:cs="Calibri"/>
        </w:rPr>
        <w:instrText>ADDIN CSL_CITATION {"citationItems":[{"id":"ITEM-1","itemData":{"abstract":"DH Landers and Nahlik AM. 2013. Final Ecosystem Goods and Services Classification System (FEGS-CS). EPA/600/R-13/ORD-004914. U.S. Environmental Protection Agency, Office of Research and Development, Washington, D.C.","author":[{"dropping-particle":"","family":"Landers","given":"Dixon H","non-dropping-particle":"","parse-names":false,"suffix":""},{"dropping-particle":"","family":"Nahlik","given":"Amanda M","non-dropping-particle":"","parse-names":false,"suffix":""}],"id":"ITEM-1","issued":{"date-parts":[["2013"]]},"publisher":"U.S. Environmental Protection Agency, Office of Research and Development, Washington, D.C. EPA/600/R-13/ORD-004914","title":"Final Ecosystem Goods and Services Classification System (FEGS-CS)","type":"report"},"uris":["http://www.mendeley.com/documents/?uuid=77e61c7f-6fdc-408e-bc68-cb995f2bb28f"]}],"mendeley":{"formattedCitation":"(Landers &amp; Nahlik 2013)","plainTextFormattedCitation":"(Landers &amp; Nahlik 2013)","previouslyFormattedCitation":"(Landers &amp; Nahlik 2013)"},"properties":{"noteIndex":0},"schema":"https://github.com/citation-style-language/schema/raw/master/csl-citation.json"}</w:instrText>
      </w:r>
      <w:r w:rsidR="00ED1FB8" w:rsidRPr="00BC7A12">
        <w:rPr>
          <w:rFonts w:eastAsia="Times New Roman" w:cs="Calibri"/>
        </w:rPr>
        <w:fldChar w:fldCharType="separate"/>
      </w:r>
      <w:r w:rsidR="00ED1FB8" w:rsidRPr="00BC7A12">
        <w:rPr>
          <w:rFonts w:eastAsia="Times New Roman" w:cs="Calibri"/>
          <w:noProof/>
        </w:rPr>
        <w:t>(Landers &amp; Nahlik 2013)</w:t>
      </w:r>
      <w:r w:rsidR="00ED1FB8" w:rsidRPr="00BC7A12">
        <w:rPr>
          <w:rFonts w:eastAsia="Times New Roman" w:cs="Calibri"/>
        </w:rPr>
        <w:fldChar w:fldCharType="end"/>
      </w:r>
      <w:r w:rsidRPr="00BC7A12">
        <w:rPr>
          <w:rFonts w:eastAsia="Times New Roman" w:cs="Calibri"/>
        </w:rPr>
        <w:t xml:space="preserve"> and soon after the National Ecosystem Services Classification System (NESCS).</w:t>
      </w:r>
      <w:r w:rsidR="00ED1FB8" w:rsidRPr="00BC7A12">
        <w:rPr>
          <w:rFonts w:eastAsia="Times New Roman" w:cs="Calibri"/>
        </w:rPr>
        <w:t xml:space="preserve"> </w:t>
      </w:r>
      <w:r w:rsidR="00ED1FB8" w:rsidRPr="00BC7A12">
        <w:rPr>
          <w:rFonts w:eastAsia="Times New Roman" w:cs="Calibri"/>
        </w:rPr>
        <w:fldChar w:fldCharType="begin" w:fldLock="1"/>
      </w:r>
      <w:r w:rsidR="00ED1FB8" w:rsidRPr="00BC7A12">
        <w:rPr>
          <w:rFonts w:eastAsia="Times New Roman" w:cs="Calibri"/>
        </w:rPr>
        <w:instrText>ADDIN CSL_CITATION {"citationItems":[{"id":"ITEM-1","itemData":{"author":[{"dropping-particle":"","family":"United States Environmental Protection Agency (US EPA)","given":"","non-dropping-particle":"","parse-names":false,"suffix":""}],"id":"ITEM-1","issued":{"date-parts":[["2015"]]},"publisher-place":"Washington DC","title":"National Ecosystem Services Classification System (NESCS): Framework design and policy application","type":"report"},"uris":["http://www.mendeley.com/documents/?uuid=90d7f3e2-4e18-3dec-a057-f416836d739e"]}],"mendeley":{"formattedCitation":"(United States Environmental Protection Agency (US EPA) 2015)","plainTextFormattedCitation":"(United States Environmental Protection Agency (US EPA) 2015)","previouslyFormattedCitation":"(United States Environmental Protection Agency (US EPA) 2015)"},"properties":{"noteIndex":0},"schema":"https://github.com/citation-style-language/schema/raw/master/csl-citation.json"}</w:instrText>
      </w:r>
      <w:r w:rsidR="00ED1FB8" w:rsidRPr="00BC7A12">
        <w:rPr>
          <w:rFonts w:eastAsia="Times New Roman" w:cs="Calibri"/>
        </w:rPr>
        <w:fldChar w:fldCharType="separate"/>
      </w:r>
      <w:r w:rsidR="00ED1FB8" w:rsidRPr="00BC7A12">
        <w:rPr>
          <w:rFonts w:eastAsia="Times New Roman" w:cs="Calibri"/>
          <w:noProof/>
        </w:rPr>
        <w:t>(United States Environmental Protection Agency (US EPA) 2015)</w:t>
      </w:r>
      <w:r w:rsidR="00ED1FB8" w:rsidRPr="00BC7A12">
        <w:rPr>
          <w:rFonts w:eastAsia="Times New Roman" w:cs="Calibri"/>
        </w:rPr>
        <w:fldChar w:fldCharType="end"/>
      </w:r>
      <w:r w:rsidRPr="00BC7A12">
        <w:rPr>
          <w:rFonts w:eastAsia="Times New Roman" w:cs="Calibri"/>
        </w:rPr>
        <w:t xml:space="preserve"> Both the FEGS-CS and NESCS include beneficiaries (Figures 2 and 3) in their hierarchies. The primary NESCS structure has been adopted for research exploring what natural capital accounts—a measure of the stocks and flows of natural resources—might look like for the US. FEGS-CS is being used to upgrade NESCS into NESCS Plus.</w:t>
      </w:r>
    </w:p>
    <w:p w14:paraId="24743B25" w14:textId="5E128072" w:rsidR="00C47C1B" w:rsidRPr="00BC7A12" w:rsidRDefault="00C47C1B" w:rsidP="00C47C1B">
      <w:pPr>
        <w:rPr>
          <w:rFonts w:eastAsia="Times New Roman" w:cs="Calibri"/>
        </w:rPr>
      </w:pPr>
      <w:r w:rsidRPr="00BC7A12">
        <w:rPr>
          <w:rFonts w:eastAsia="Times New Roman" w:cs="Calibri"/>
        </w:rPr>
        <w:t xml:space="preserve">Similar to the MA, the Intergovernmental Science-Policy Platform on Biodiversity and Ecosystem Services (IPBES) explicitly acknowledged the multiple contributions that nature makes to people, but argued that some valuation approaches (e.g., single currency, single indicator, single benefit) often </w:t>
      </w:r>
      <w:r w:rsidRPr="00BC7A12">
        <w:rPr>
          <w:rFonts w:eastAsia="Times New Roman" w:cs="Calibri"/>
        </w:rPr>
        <w:lastRenderedPageBreak/>
        <w:t>fail to capture this diversity. While the IPBES scientific community acknowledges that decision making relies to a great extent on these “instrumental values,”</w:t>
      </w:r>
      <w:r w:rsidR="00E767AF" w:rsidRPr="00BC7A12">
        <w:rPr>
          <w:rFonts w:eastAsia="Times New Roman" w:cs="Calibri"/>
        </w:rPr>
        <w:t xml:space="preserve"> </w:t>
      </w:r>
      <w:r w:rsidR="00E767AF" w:rsidRPr="00BC7A12">
        <w:rPr>
          <w:rFonts w:eastAsia="Times New Roman" w:cs="Calibri"/>
        </w:rPr>
        <w:fldChar w:fldCharType="begin" w:fldLock="1"/>
      </w:r>
      <w:r w:rsidR="00EA1607" w:rsidRPr="00BC7A12">
        <w:rPr>
          <w:rFonts w:eastAsia="Times New Roman" w:cs="Calibri"/>
        </w:rPr>
        <w:instrText>ADDIN CSL_CITATION {"citationItems":[{"id":"ITEM-1","itemData":{"DOI":"10.1016/J.COSUST.2016.12.006","ISSN":"1877-3435","abstract":"Nature is perceived and valued in starkly different and often conflicting ways. This paper presents the rationale for the inclusive valuation of nature’s contributions to people (NCP) in decision making, as well as broad methodological steps for doing so. While developed within the context of the Intergovernmental Platform on Biodiversity and Ecosystem Services (IPBES), this approach is more widely applicable to initiatives at the knowledge–policy interface, which require a pluralistic approach to recognizing the diversity of values. We argue that transformative practices aiming at sustainable futures would benefit from embracing such diversity, which require recognizing and addressing power relationships across stakeholder groups that hold different values on human nature-relations and NCP.","author":[{"dropping-particle":"","family":"Pascual","given":"Unai","non-dropping-particle":"","parse-names":false,"suffix":""},{"dropping-particle":"","family":"Balvanera","given":"Patricia","non-dropping-particle":"","parse-names":false,"suffix":""},{"dropping-particle":"","family":"Díaz","given":"Sandra","non-dropping-particle":"","parse-names":false,"suffix":""},{"dropping-particle":"","family":"Pataki","given":"György","non-dropping-particle":"","parse-names":false,"suffix":""},{"dropping-particle":"","family":"Roth","given":"Eva","non-dropping-particle":"","parse-names":false,"suffix":""},{"dropping-particle":"","family":"Stenseke","given":"Marie","non-dropping-particle":"","parse-names":false,"suffix":""},{"dropping-particle":"","family":"Watson","given":"Robert T","non-dropping-particle":"","parse-names":false,"suffix":""},{"dropping-particle":"","family":"Başak Dessane","given":"Esra","non-dropping-particle":"","parse-names":false,"suffix":""},{"dropping-particle":"","family":"Islar","given":"Mine","non-dropping-particle":"","parse-names":false,"suffix":""},{"dropping-particle":"","family":"Kelemen","given":"Eszter","non-dropping-particle":"","parse-names":false,"suffix":""},{"dropping-particle":"","family":"Maris","given":"Virginie","non-dropping-particle":"","parse-names":false,"suffix":""},{"dropping-particle":"","family":"Quaas","given":"Martin","non-dropping-particle":"","parse-names":false,"suffix":""},{"dropping-particle":"","family":"Subramanian","given":"Suneetha M","non-dropping-particle":"","parse-names":false,"suffix":""},{"dropping-particle":"","family":"Wittmer","given":"Heidi","non-dropping-particle":"","parse-names":false,"suffix":""},{"dropping-particle":"","family":"Adlan","given":"Asia","non-dropping-particle":"","parse-names":false,"suffix":""},{"dropping-particle":"","family":"Ahn","given":"SoEun","non-dropping-particle":"","parse-names":false,"suffix":""},{"dropping-particle":"","family":"Al-Hafedh","given":"Yousef S","non-dropping-particle":"","parse-names":false,"suffix":""},{"dropping-particle":"","family":"Amankwah","given":"Edward","non-dropping-particle":"","parse-names":false,"suffix":""},{"dropping-particle":"","family":"Asah","given":"Stanley T","non-dropping-particle":"","parse-names":false,"suffix":""},{"dropping-particle":"","family":"Berry","given":"Pam","non-dropping-particle":"","parse-names":false,"suffix":""},{"dropping-particle":"","family":"Bilgin","given":"Adem","non-dropping-particle":"","parse-names":false,"suffix":""},{"dropping-particle":"","family":"Breslow","given":"Sara J","non-dropping-particle":"","parse-names":false,"suffix":""},{"dropping-particle":"","family":"Bullock","given":"Craig","non-dropping-particle":"","parse-names":false,"suffix":""},{"dropping-particle":"","family":"Cáceres","given":"Daniel","non-dropping-particle":"","parse-names":false,"suffix":""},{"dropping-particle":"","family":"Daly-Hassen","given":"Hamed","non-dropping-particle":"","parse-names":false,"suffix":""},{"dropping-particle":"","family":"Figueroa","given":"Eugenio","non-dropping-particle":"","parse-names":false,"suffix":""},{"dropping-particle":"","family":"Golden","given":"Christopher D","non-dropping-particle":"","parse-names":false,"suffix":""},{"dropping-particle":"","family":"Gómez-Baggethun","given":"Erik","non-dropping-particle":"","parse-names":false,"suffix":""},{"dropping-particle":"","family":"González-Jiménez","given":"David","non-dropping-particle":"","parse-names":false,"suffix":""},{"dropping-particle":"","family":"Houdet","given":"Joël","non-dropping-particle":"","parse-names":false,"suffix":""},{"dropping-particle":"","family":"Keune","given":"Hans","non-dropping-particle":"","parse-names":false,"suffix":""},{"dropping-particle":"","family":"Kumar","given":"Ritesh","non-dropping-particle":"","parse-names":false,"suffix":""},{"dropping-particle":"","family":"Ma","given":"Keping","non-dropping-particle":"","parse-names":false,"suffix":""},{"dropping-particle":"","family":"May","given":"Peter H","non-dropping-particle":"","parse-names":false,"suffix":""},{"dropping-particle":"","family":"Mead","given":"Aroha","non-dropping-particle":"","parse-names":false,"suffix":""},{"dropping-particle":"","family":"O’Farrell","given":"Patrick","non-dropping-particle":"","parse-names":false,"suffix":""},{"dropping-particle":"","family":"Pandit","given":"Ram","non-dropping-particle":"","parse-names":false,"suffix":""},{"dropping-particle":"","family":"Pengue","given":"Walter","non-dropping-particle":"","parse-names":false,"suffix":""},{"dropping-particle":"","family":"Pichis-Madruga","given":"Ramón","non-dropping-particle":"","parse-names":false,"suffix":""},{"dropping-particle":"","family":"Popa","given":"Florin","non-dropping-particle":"","parse-names":false,"suffix":""},{"dropping-particle":"","family":"Preston","given":"Susan","non-dropping-particle":"","parse-names":false,"suffix":""},{"dropping-particle":"","family":"Pacheco-Balanza","given":"Diego","non-dropping-particle":"","parse-names":false,"suffix":""},{"dropping-particle":"","family":"Saarikoski","given":"Heli","non-dropping-particle":"","parse-names":false,"suffix":""},{"dropping-particle":"","family":"Strassburg","given":"Bernardo B","non-dropping-particle":"","parse-names":false,"suffix":""},{"dropping-particle":"","family":"Belt","given":"Marjan","non-dropping-particle":"van den","parse-names":false,"suffix":""},{"dropping-particle":"","family":"Verma","given":"Madhu","non-dropping-particle":"","parse-names":false,"suffix":""},{"dropping-particle":"","family":"Wickson","given":"Fern","non-dropping-particle":"","parse-names":false,"suffix":""},{"dropping-particle":"","family":"Yagi","given":"Noboyuki","non-dropping-particle":"","parse-names":false,"suffix":""}],"container-title":"Current Opinion in Environmental Sustainability","id":"ITEM-1","issued":{"date-parts":[["2017"]]},"page":"7-16","title":"Valuing nature’s contributions to people: the IPBES approach","type":"article-journal","volume":"26-27"},"uris":["http://www.mendeley.com/documents/?uuid=fdc544d7-989d-46a3-97dc-9e8d4bd95da7"]}],"mendeley":{"formattedCitation":"(Pascual et al. 2017)","plainTextFormattedCitation":"(Pascual et al. 2017)","previouslyFormattedCitation":"(Pascual et al. 2017)"},"properties":{"noteIndex":0},"schema":"https://github.com/citation-style-language/schema/raw/master/csl-citation.json"}</w:instrText>
      </w:r>
      <w:r w:rsidR="00E767AF" w:rsidRPr="00BC7A12">
        <w:rPr>
          <w:rFonts w:eastAsia="Times New Roman" w:cs="Calibri"/>
        </w:rPr>
        <w:fldChar w:fldCharType="separate"/>
      </w:r>
      <w:r w:rsidR="00E767AF" w:rsidRPr="00BC7A12">
        <w:rPr>
          <w:rFonts w:eastAsia="Times New Roman" w:cs="Calibri"/>
          <w:noProof/>
        </w:rPr>
        <w:t>(Pascual et al. 2017)</w:t>
      </w:r>
      <w:r w:rsidR="00E767AF" w:rsidRPr="00BC7A12">
        <w:rPr>
          <w:rFonts w:eastAsia="Times New Roman" w:cs="Calibri"/>
        </w:rPr>
        <w:fldChar w:fldCharType="end"/>
      </w:r>
      <w:r w:rsidRPr="00BC7A12">
        <w:rPr>
          <w:rFonts w:eastAsia="Times New Roman" w:cs="Calibri"/>
        </w:rPr>
        <w:t xml:space="preserve"> it supports the integration of multiple assessments of the value of nature to people in decision making.</w:t>
      </w:r>
      <w:r w:rsidR="00ED1FB8" w:rsidRPr="00BC7A12">
        <w:rPr>
          <w:rFonts w:eastAsia="Times New Roman" w:cs="Calibri"/>
        </w:rPr>
        <w:t xml:space="preserve"> </w:t>
      </w:r>
      <w:r w:rsidR="00EA1607" w:rsidRPr="00BC7A12">
        <w:rPr>
          <w:rFonts w:eastAsia="Times New Roman" w:cs="Calibri"/>
        </w:rPr>
        <w:fldChar w:fldCharType="begin" w:fldLock="1"/>
      </w:r>
      <w:r w:rsidR="00EA1607" w:rsidRPr="00BC7A12">
        <w:rPr>
          <w:rFonts w:eastAsia="Times New Roman" w:cs="Calibri"/>
        </w:rPr>
        <w:instrText>ADDIN CSL_CITATION {"citationItems":[{"id":"ITEM-1","itemData":{"abstract":"The care processes of healthcare providers are typically considered as human-centric, flexible, evolving, complex and multi-disciplinary. Consequently, acquiring an insight in the dynamics of these care processes can be an arduous task. A novel event log based approach for extracting valuable medical and organizational information on past executions of the care processes is presented in this study. Care processes are analyzed with the help of a preferential set of process mining techniques in order to discover recurring patterns, analyze and characterize process variants and identify adverse medical events.","author":[{"dropping-particle":"","family":"Gómez-Baggethun","given":"E.","non-dropping-particle":"","parse-names":false,"suffix":""},{"dropping-particle":"","family":"Martín-López","given":"B","non-dropping-particle":"","parse-names":false,"suffix":""},{"dropping-particle":"","family":"Barton","given":"David","non-dropping-particle":"","parse-names":false,"suffix":""},{"dropping-particle":"","family":"Braat","given":"Leon","non-dropping-particle":"","parse-names":false,"suffix":""},{"dropping-particle":"","family":"Saarikoski","given":"Heli","non-dropping-particle":"","parse-names":false,"suffix":""},{"dropping-particle":"","family":"Kelemen","given":"Eszter","non-dropping-particle":"","parse-names":false,"suffix":""},{"dropping-particle":"","family":"García-Llorente","given":"M","non-dropping-particle":"","parse-names":false,"suffix":""},{"dropping-particle":"","family":"Bergh","given":"Jaren","non-dropping-particle":"van den","parse-names":false,"suffix":""},{"dropping-particle":"","family":"Arias","given":"Paola","non-dropping-particle":"","parse-names":false,"suffix":""},{"dropping-particle":"","family":"Berry","given":"Pam","non-dropping-particle":"","parse-names":false,"suffix":""},{"dropping-particle":"","family":"Potschin","given":"Marion","non-dropping-particle":"","parse-names":false,"suffix":""},{"dropping-particle":"","family":"Keene","given":"Hans","non-dropping-particle":"","parse-names":false,"suffix":""},{"dropping-particle":"","family":"Dunford","given":"Robert","non-dropping-particle":"","parse-names":false,"suffix":""},{"dropping-particle":"","family":"Schröter-Schlaack","given":"Christophe","non-dropping-particle":"","parse-names":false,"suffix":""},{"dropping-particle":"","family":"Harrison","given":"P","non-dropping-particle":"","parse-names":false,"suffix":""}],"container-title":"European Commission FP7","id":"ITEM-1","issue":"July","issued":{"date-parts":[["2014"]]},"page":"33","title":"State-of-the-art report on integrated valuation of ecosystem services","type":"article-journal"},"uris":["http://www.mendeley.com/documents/?uuid=c21ea0b0-d8d4-4476-9c35-5bf0ce996103"]}],"mendeley":{"formattedCitation":"(Gómez-Baggethun et al. 2014)","plainTextFormattedCitation":"(Gómez-Baggethun et al. 2014)","previouslyFormattedCitation":"(Gómez-Baggethun et al. 2014)"},"properties":{"noteIndex":0},"schema":"https://github.com/citation-style-language/schema/raw/master/csl-citation.json"}</w:instrText>
      </w:r>
      <w:r w:rsidR="00EA1607" w:rsidRPr="00BC7A12">
        <w:rPr>
          <w:rFonts w:eastAsia="Times New Roman" w:cs="Calibri"/>
        </w:rPr>
        <w:fldChar w:fldCharType="separate"/>
      </w:r>
      <w:r w:rsidR="00EA1607" w:rsidRPr="00BC7A12">
        <w:rPr>
          <w:rFonts w:eastAsia="Times New Roman" w:cs="Calibri"/>
          <w:noProof/>
        </w:rPr>
        <w:t>(Gómez-Baggethun et al. 2014)</w:t>
      </w:r>
      <w:r w:rsidR="00EA1607" w:rsidRPr="00BC7A12">
        <w:rPr>
          <w:rFonts w:eastAsia="Times New Roman" w:cs="Calibri"/>
        </w:rPr>
        <w:fldChar w:fldCharType="end"/>
      </w:r>
      <w:r w:rsidR="00C56BE4" w:rsidRPr="00BC7A12">
        <w:rPr>
          <w:rFonts w:eastAsia="Times New Roman" w:cs="Calibri"/>
        </w:rPr>
        <w:t>.</w:t>
      </w:r>
      <w:r w:rsidRPr="00BC7A12">
        <w:rPr>
          <w:rFonts w:eastAsia="Times New Roman" w:cs="Calibri"/>
        </w:rPr>
        <w:t xml:space="preserve"> In response, IPBES both defined eighteen categories of Nature’s Contributions to People (NCP) and called for them to be understood through the local, cultural-context as bundles tat “follow distinct lived experiences such as fishing, farming or hunting or from places, organisms, or entities of key spiritual experience such as sacred trees, animals or landscapes.” NCP cannot be placed in a hierarchy, but seeks to consider knowledge from western science, indigenous peoples, and the local context equally in decision making</w:t>
      </w:r>
      <w:r w:rsidR="00EA1607" w:rsidRPr="00BC7A12">
        <w:rPr>
          <w:rFonts w:eastAsia="Times New Roman" w:cs="Calibri"/>
        </w:rPr>
        <w:t xml:space="preserve"> </w:t>
      </w:r>
      <w:r w:rsidR="00EA1607" w:rsidRPr="00BC7A12">
        <w:rPr>
          <w:rFonts w:eastAsia="Times New Roman" w:cs="Calibri"/>
        </w:rPr>
        <w:fldChar w:fldCharType="begin" w:fldLock="1"/>
      </w:r>
      <w:r w:rsidR="00EA1607" w:rsidRPr="00BC7A12">
        <w:rPr>
          <w:rFonts w:eastAsia="Times New Roman" w:cs="Calibri"/>
        </w:rPr>
        <w:instrText>ADDIN CSL_CITATION {"citationItems":[{"id":"ITEM-1","itemData":{"DOI":"10.1126/science.aap8826","ISSN":"0036-8075","abstract":"A major challenge today and into the future is to maintain or enhance beneficial contributions of nature to a good quality of life for all people. This is among the key motivations of the Intergovernmental Science-Policy Platform on Biodiversity and Ecosystem Services (IPBES), a joint global effort by governments, academia, and civil society to assess and promote knowledge of Earth's biodiversity and ecosystems and their contribution to human societies in order to inform policy formulation. One of the more recent key elements of the IPBES conceptual framework ( 1 ) is the notion of nature's contributions to people (NCP), which builds on the ecosystem service concept popularized by the Millennium Ecosystem Assessment (MA) ( 2 ). But as we detail below, NCP as defined and put into practice in IPBES differs from earlier work in several important ways. First, the NCP approach recognizes the central and pervasive role that culture plays in defining all links between people and nature. Second, use of NCP elevates, emphasizes, and operationalizes the role of indigenous and local knowledge in understanding nature's contribution to people.","author":[{"dropping-particle":"","family":"Díaz","given":"Sandra","non-dropping-particle":"","parse-names":false,"suffix":""},{"dropping-particle":"","family":"Pascual","given":"Unai","non-dropping-particle":"","parse-names":false,"suffix":""},{"dropping-particle":"","family":"Stenseke","given":"Marie","non-dropping-particle":"","parse-names":false,"suffix":""},{"dropping-particle":"","family":"Martín-López","given":"Berta","non-dropping-particle":"","parse-names":false,"suffix":""},{"dropping-particle":"","family":"Watson","given":"Robert T","non-dropping-particle":"","parse-names":false,"suffix":""},{"dropping-particle":"","family":"Molnár","given":"Zsolt","non-dropping-particle":"","parse-names":false,"suffix":""},{"dropping-particle":"","family":"Hill","given":"Rosemary","non-dropping-particle":"","parse-names":false,"suffix":""},{"dropping-particle":"","family":"Chan","given":"Kai M A","non-dropping-particle":"","parse-names":false,"suffix":""},{"dropping-particle":"","family":"Baste","given":"Ivar A","non-dropping-particle":"","parse-names":false,"suffix":""},{"dropping-particle":"","family":"Brauman","given":"Kate A","non-dropping-particle":"","parse-names":false,"suffix":""},{"dropping-particle":"","family":"Polasky","given":"Stephen","non-dropping-particle":"","parse-names":false,"suffix":""},{"dropping-particle":"","family":"Church","given":"Andrew","non-dropping-particle":"","parse-names":false,"suffix":""},{"dropping-particle":"","family":"Lonsdale","given":"Mark","non-dropping-particle":"","parse-names":false,"suffix":""},{"dropping-particle":"","family":"Larigauderie","given":"Anne","non-dropping-particle":"","parse-names":false,"suffix":""},{"dropping-particle":"","family":"Leadley","given":"Paul W","non-dropping-particle":"","parse-names":false,"suffix":""},{"dropping-particle":"","family":"Oudenhoven","given":"Alexander P E","non-dropping-particle":"van","parse-names":false,"suffix":""},{"dropping-particle":"","family":"Plaat","given":"Felice","non-dropping-particle":"van der","parse-names":false,"suffix":""},{"dropping-particle":"","family":"Schröter","given":"Matthias","non-dropping-particle":"","parse-names":false,"suffix":""},{"dropping-particle":"","family":"Lavorel","given":"Sandra","non-dropping-particle":"","parse-names":false,"suffix":""},{"dropping-particle":"","family":"Aumeeruddy-Thomas","given":"Yildiz","non-dropping-particle":"","parse-names":false,"suffix":""},{"dropping-particle":"","family":"Bukvareva","given":"Elena","non-dropping-particle":"","parse-names":false,"suffix":""},{"dropping-particle":"","family":"Davies","given":"Kirsten","non-dropping-particle":"","parse-names":false,"suffix":""},{"dropping-particle":"","family":"Demissew","given":"Sebsebe","non-dropping-particle":"","parse-names":false,"suffix":""},{"dropping-particle":"","family":"Erpul","given":"Gunay","non-dropping-particle":"","parse-names":false,"suffix":""},{"dropping-particle":"","family":"Failler","given":"Pierre","non-dropping-particle":"","parse-names":false,"suffix":""},{"dropping-particle":"","family":"Guerra","given":"Carlos A","non-dropping-particle":"","parse-names":false,"suffix":""},{"dropping-particle":"","family":"Hewitt","given":"Chad L","non-dropping-particle":"","parse-names":false,"suffix":""},{"dropping-particle":"","family":"Keune","given":"Hans","non-dropping-particle":"","parse-names":false,"suffix":""},{"dropping-particle":"","family":"Lindley","given":"Sarah","non-dropping-particle":"","parse-names":false,"suffix":""},{"dropping-particle":"","family":"Shirayama","given":"Yoshihisa","non-dropping-particle":"","parse-names":false,"suffix":""}],"container-title":"Science","id":"ITEM-1","issue":"6373","issued":{"date-parts":[["2018"]]},"page":"270-272","title":"Assessing nature's contributions to people","type":"article-journal","volume":"359"},"uris":["http://www.mendeley.com/documents/?uuid=495a5ce2-7cd8-4027-9b06-8c86e9cea0a9"]}],"mendeley":{"formattedCitation":"(Díaz et al. 2018)","plainTextFormattedCitation":"(Díaz et al. 2018)","previouslyFormattedCitation":"(Díaz et al. 2018)"},"properties":{"noteIndex":0},"schema":"https://github.com/citation-style-language/schema/raw/master/csl-citation.json"}</w:instrText>
      </w:r>
      <w:r w:rsidR="00EA1607" w:rsidRPr="00BC7A12">
        <w:rPr>
          <w:rFonts w:eastAsia="Times New Roman" w:cs="Calibri"/>
        </w:rPr>
        <w:fldChar w:fldCharType="separate"/>
      </w:r>
      <w:r w:rsidR="00EA1607" w:rsidRPr="00BC7A12">
        <w:rPr>
          <w:rFonts w:eastAsia="Times New Roman" w:cs="Calibri"/>
          <w:noProof/>
        </w:rPr>
        <w:t>(Díaz et al. 2018)</w:t>
      </w:r>
      <w:r w:rsidR="00EA1607" w:rsidRPr="00BC7A12">
        <w:rPr>
          <w:rFonts w:eastAsia="Times New Roman" w:cs="Calibri"/>
        </w:rPr>
        <w:fldChar w:fldCharType="end"/>
      </w:r>
      <w:r w:rsidR="00C56BE4" w:rsidRPr="00BC7A12">
        <w:rPr>
          <w:rFonts w:eastAsia="Times New Roman" w:cs="Calibri"/>
        </w:rPr>
        <w:t>.</w:t>
      </w:r>
      <w:r w:rsidRPr="00BC7A12">
        <w:rPr>
          <w:rFonts w:eastAsia="Times New Roman" w:cs="Calibri"/>
        </w:rPr>
        <w:t xml:space="preserve"> </w:t>
      </w:r>
    </w:p>
    <w:p w14:paraId="1BAD4CD6" w14:textId="14247174" w:rsidR="00C47C1B" w:rsidRPr="00BC7A12" w:rsidRDefault="00C47C1B" w:rsidP="00C47C1B">
      <w:pPr>
        <w:rPr>
          <w:rFonts w:eastAsia="Times New Roman" w:cs="Calibri"/>
        </w:rPr>
      </w:pPr>
      <w:r w:rsidRPr="00BC7A12">
        <w:rPr>
          <w:rFonts w:eastAsia="Times New Roman" w:cs="Calibri"/>
        </w:rPr>
        <w:t>As FEGS-CS, NESCS, CICES, and NCP were advancing, the UK National Ecosystem Assessment produced “the first analysis of the UK’s natural environment in terms of the benefits it provides to society and continuing economic prosperity.”</w:t>
      </w:r>
      <w:r w:rsidR="00EA1607" w:rsidRPr="00BC7A12">
        <w:rPr>
          <w:rFonts w:eastAsia="Times New Roman" w:cs="Calibri"/>
        </w:rPr>
        <w:t xml:space="preserve"> </w:t>
      </w:r>
      <w:r w:rsidR="00EA1607" w:rsidRPr="00BC7A12">
        <w:rPr>
          <w:rFonts w:eastAsia="Times New Roman" w:cs="Calibri"/>
        </w:rPr>
        <w:fldChar w:fldCharType="begin" w:fldLock="1"/>
      </w:r>
      <w:r w:rsidR="00EA1607" w:rsidRPr="00BC7A12">
        <w:rPr>
          <w:rFonts w:eastAsia="Times New Roman" w:cs="Calibri"/>
        </w:rPr>
        <w:instrText>ADDIN CSL_CITATION {"citationItems":[{"id":"ITEM-1","itemData":{"DOI":"10.1177/004057368303900411","ISBN":"9789280731651","ISSN":"0040-5736","PMID":"2472066","abstract":"The benefits that we derive from the natural world and its constituent ecosystems are critically important to human well-being and economic prosperity, but are consistently undervalued in economic analyses and decision making. Ecosystem and ecosystem services are constantly changing, driven by societal changes – demographic, economic, socio-political, technological and behavioural – which influence demand for goods and services and the way we manage our natural resources.","author":[{"dropping-particle":"","family":"UK National Ecosystem Assessment","given":"","non-dropping-particle":"","parse-names":false,"suffix":""}],"container-title":"Unep-Wcmc","id":"ITEM-1","issued":{"date-parts":[["2011"]]},"title":"UK National Ecosystem Assessment: Understanding Nature's Value to Society. Synthesis of the Key Findings","type":"article-journal"},"uris":["http://www.mendeley.com/documents/?uuid=aaafc564-4b05-419c-845c-70f9a7d8973d"]}],"mendeley":{"formattedCitation":"(UK National Ecosystem Assessment 2011)","plainTextFormattedCitation":"(UK National Ecosystem Assessment 2011)","previouslyFormattedCitation":"(UK National Ecosystem Assessment 2011)"},"properties":{"noteIndex":0},"schema":"https://github.com/citation-style-language/schema/raw/master/csl-citation.json"}</w:instrText>
      </w:r>
      <w:r w:rsidR="00EA1607" w:rsidRPr="00BC7A12">
        <w:rPr>
          <w:rFonts w:eastAsia="Times New Roman" w:cs="Calibri"/>
        </w:rPr>
        <w:fldChar w:fldCharType="separate"/>
      </w:r>
      <w:r w:rsidR="00EA1607" w:rsidRPr="00BC7A12">
        <w:rPr>
          <w:rFonts w:eastAsia="Times New Roman" w:cs="Calibri"/>
          <w:noProof/>
        </w:rPr>
        <w:t>(UK National Ecosystem Assessment 2011)</w:t>
      </w:r>
      <w:r w:rsidR="00EA1607" w:rsidRPr="00BC7A12">
        <w:rPr>
          <w:rFonts w:eastAsia="Times New Roman" w:cs="Calibri"/>
        </w:rPr>
        <w:fldChar w:fldCharType="end"/>
      </w:r>
      <w:r w:rsidRPr="00BC7A12">
        <w:rPr>
          <w:rFonts w:eastAsia="Times New Roman" w:cs="Calibri"/>
        </w:rPr>
        <w:t xml:space="preserve"> It not only advanced accounting practices but influenced thinking around the globe</w:t>
      </w:r>
      <w:r w:rsidR="003C701E" w:rsidRPr="00BC7A12">
        <w:rPr>
          <w:rFonts w:eastAsia="Times New Roman" w:cs="Calibri"/>
        </w:rPr>
        <w:t xml:space="preserve">. </w:t>
      </w:r>
      <w:r w:rsidR="003C701E" w:rsidRPr="00BC7A12">
        <w:rPr>
          <w:rFonts w:eastAsia="Times New Roman" w:cs="Calibri"/>
        </w:rPr>
        <w:fldChar w:fldCharType="begin" w:fldLock="1"/>
      </w:r>
      <w:r w:rsidR="009A01EE" w:rsidRPr="00BC7A12">
        <w:rPr>
          <w:rFonts w:eastAsia="Times New Roman" w:cs="Calibri"/>
        </w:rPr>
        <w:instrText>ADDIN CSL_CITATION {"citationItems":[{"id":"ITEM-1","itemData":{"URL":"https://web.archive.org/web/20120912174333/http://www.lwec.org.uk/stories/national-ecosystem-assessment-achieves-international-impact","accessed":{"date-parts":[["2018","9","18"]]},"author":[{"dropping-particle":"","family":"Change","given":"Living With Environmental","non-dropping-particle":"","parse-names":false,"suffix":""}],"id":"ITEM-1","issued":{"date-parts":[["2012"]]},"page":"1","title":"National Ecosystem Assessment achieves international impact","type":"webpage"},"uris":["http://www.mendeley.com/documents/?uuid=98e5a9e3-b38c-4f71-8594-3feead574db2"]}],"mendeley":{"formattedCitation":"(Change 2012)","plainTextFormattedCitation":"(Change 2012)","previouslyFormattedCitation":"(Change 2012)"},"properties":{"noteIndex":0},"schema":"https://github.com/citation-style-language/schema/raw/master/csl-citation.json"}</w:instrText>
      </w:r>
      <w:r w:rsidR="003C701E" w:rsidRPr="00BC7A12">
        <w:rPr>
          <w:rFonts w:eastAsia="Times New Roman" w:cs="Calibri"/>
        </w:rPr>
        <w:fldChar w:fldCharType="separate"/>
      </w:r>
      <w:r w:rsidR="003C701E" w:rsidRPr="00BC7A12">
        <w:rPr>
          <w:rFonts w:eastAsia="Times New Roman" w:cs="Calibri"/>
          <w:noProof/>
        </w:rPr>
        <w:t>(Change 2012)</w:t>
      </w:r>
      <w:r w:rsidR="003C701E" w:rsidRPr="00BC7A12">
        <w:rPr>
          <w:rFonts w:eastAsia="Times New Roman" w:cs="Calibri"/>
        </w:rPr>
        <w:fldChar w:fldCharType="end"/>
      </w:r>
      <w:r w:rsidR="003C701E" w:rsidRPr="00BC7A12">
        <w:rPr>
          <w:rFonts w:eastAsia="Times New Roman" w:cs="Calibri"/>
        </w:rPr>
        <w:t xml:space="preserve">. It </w:t>
      </w:r>
      <w:r w:rsidRPr="00BC7A12">
        <w:rPr>
          <w:rFonts w:eastAsia="Times New Roman" w:cs="Calibri"/>
        </w:rPr>
        <w:t>explicitly included final ecosystem services in its framework</w:t>
      </w:r>
      <w:r w:rsidRPr="00BC7A12">
        <w:rPr>
          <w:rStyle w:val="EndnoteReference"/>
          <w:rFonts w:eastAsia="Times New Roman" w:cs="Calibri"/>
        </w:rPr>
        <w:t xml:space="preserve"> </w:t>
      </w:r>
      <w:r w:rsidR="00EA1607" w:rsidRPr="00BC7A12">
        <w:rPr>
          <w:rFonts w:eastAsia="Times New Roman" w:cs="Calibri"/>
        </w:rPr>
        <w:fldChar w:fldCharType="begin" w:fldLock="1"/>
      </w:r>
      <w:r w:rsidR="00EA1607" w:rsidRPr="00BC7A12">
        <w:rPr>
          <w:rFonts w:eastAsia="Times New Roman" w:cs="Calibri"/>
        </w:rPr>
        <w:instrText>ADDIN CSL_CITATION {"citationItems":[{"id":"ITEM-1","itemData":{"DOI":"10.1177/004057368303900411","ISBN":"9789280731651","ISSN":"0040-5736","PMID":"2472066","abstract":"The benefits that we derive from the natural world and its constituent ecosystems are critically important to human well-being and economic prosperity, but are consistently undervalued in economic analyses and decision making. Ecosystem and ecosystem services are constantly changing, driven by societal changes – demographic, economic, socio-political, technological and behavioural – which influence demand for goods and services and the way we manage our natural resources.","author":[{"dropping-particle":"","family":"UK National Ecosystem Assessment","given":"","non-dropping-particle":"","parse-names":false,"suffix":""}],"container-title":"Unep-Wcmc","id":"ITEM-1","issued":{"date-parts":[["2011"]]},"title":"UK National Ecosystem Assessment: Understanding Nature's Value to Society. Synthesis of the Key Findings","type":"article-journal"},"uris":["http://www.mendeley.com/documents/?uuid=aaafc564-4b05-419c-845c-70f9a7d8973d"]}],"mendeley":{"formattedCitation":"(UK National Ecosystem Assessment 2011)","plainTextFormattedCitation":"(UK National Ecosystem Assessment 2011)","previouslyFormattedCitation":"(UK National Ecosystem Assessment 2011)"},"properties":{"noteIndex":0},"schema":"https://github.com/citation-style-language/schema/raw/master/csl-citation.json"}</w:instrText>
      </w:r>
      <w:r w:rsidR="00EA1607" w:rsidRPr="00BC7A12">
        <w:rPr>
          <w:rFonts w:eastAsia="Times New Roman" w:cs="Calibri"/>
        </w:rPr>
        <w:fldChar w:fldCharType="separate"/>
      </w:r>
      <w:r w:rsidR="00EA1607" w:rsidRPr="00BC7A12">
        <w:rPr>
          <w:rFonts w:eastAsia="Times New Roman" w:cs="Calibri"/>
          <w:noProof/>
        </w:rPr>
        <w:t>(UK National Ecosystem Assessment 2011)</w:t>
      </w:r>
      <w:r w:rsidR="00EA1607" w:rsidRPr="00BC7A12">
        <w:rPr>
          <w:rFonts w:eastAsia="Times New Roman" w:cs="Calibri"/>
        </w:rPr>
        <w:fldChar w:fldCharType="end"/>
      </w:r>
      <w:r w:rsidR="00C56BE4" w:rsidRPr="00BC7A12">
        <w:rPr>
          <w:rFonts w:eastAsia="Times New Roman" w:cs="Calibri"/>
        </w:rPr>
        <w:t>.</w:t>
      </w:r>
      <w:r w:rsidRPr="00BC7A12">
        <w:rPr>
          <w:rFonts w:eastAsia="Times New Roman" w:cs="Calibri"/>
        </w:rPr>
        <w:t xml:space="preserve"> </w:t>
      </w:r>
    </w:p>
    <w:p w14:paraId="01E59A73" w14:textId="3A324F9D" w:rsidR="00C47C1B" w:rsidRPr="00BC7A12" w:rsidRDefault="00C47C1B" w:rsidP="00C47C1B">
      <w:pPr>
        <w:rPr>
          <w:rFonts w:eastAsia="Times New Roman" w:cs="Calibri"/>
        </w:rPr>
      </w:pPr>
      <w:r w:rsidRPr="00BC7A12">
        <w:rPr>
          <w:rFonts w:cs="Calibri"/>
        </w:rPr>
        <w:t>In part to better support ecosystem accounting methodologies aligned with the principles of national accounts by recommending a single</w:t>
      </w:r>
      <w:r w:rsidR="000100D8" w:rsidRPr="00BC7A12">
        <w:rPr>
          <w:rFonts w:cs="Calibri"/>
        </w:rPr>
        <w:t xml:space="preserve"> ecosystem services </w:t>
      </w:r>
      <w:r w:rsidRPr="00BC7A12">
        <w:rPr>
          <w:rFonts w:cs="Calibri"/>
        </w:rPr>
        <w:t>classification system, the United Nations Statistical Division group working on the System of Environmental-Economic Accounting (SEEA) facilitated workshops among experts representing the CICES, FEGS-CS, and NESCS and natural capital accounting communities. </w:t>
      </w:r>
      <w:r w:rsidRPr="00BC7A12">
        <w:rPr>
          <w:rFonts w:eastAsia="Times New Roman" w:cs="Calibri"/>
        </w:rPr>
        <w:t xml:space="preserve">These workshops include discussions on how components of each ES-CS offer advantages to natural capital accounting. Details on these advantages can be found elsewhere (e.g. UNSD Meeting and Workshops </w:t>
      </w:r>
      <w:hyperlink r:id="rId33" w:history="1">
        <w:r w:rsidRPr="00BC7A12">
          <w:rPr>
            <w:rStyle w:val="Hyperlink"/>
            <w:rFonts w:eastAsia="Times New Roman" w:cs="Calibri"/>
          </w:rPr>
          <w:t>webpage</w:t>
        </w:r>
      </w:hyperlink>
      <w:r w:rsidRPr="00BC7A12">
        <w:rPr>
          <w:rFonts w:eastAsia="Times New Roman" w:cs="Calibri"/>
        </w:rPr>
        <w:t>).</w:t>
      </w:r>
      <w:r w:rsidRPr="00BC7A12">
        <w:rPr>
          <w:rStyle w:val="FootnoteReference"/>
          <w:rFonts w:eastAsia="Times New Roman" w:cs="Calibri"/>
        </w:rPr>
        <w:footnoteReference w:id="14"/>
      </w:r>
      <w:r w:rsidRPr="00BC7A12">
        <w:rPr>
          <w:rFonts w:eastAsia="Times New Roman" w:cs="Calibri"/>
        </w:rPr>
        <w:t xml:space="preserve"> SEEA chose these</w:t>
      </w:r>
      <w:r w:rsidRPr="00BC7A12">
        <w:rPr>
          <w:rFonts w:cs="Calibri"/>
        </w:rPr>
        <w:t> three because they were the only ones with hierarchical structures and that embodied final ecosystem services (FES) thinking</w:t>
      </w:r>
      <w:r w:rsidRPr="00BC7A12">
        <w:rPr>
          <w:rFonts w:eastAsia="Times New Roman" w:cs="Calibri"/>
        </w:rPr>
        <w:t>.</w:t>
      </w:r>
      <w:r w:rsidRPr="00BC7A12">
        <w:rPr>
          <w:rStyle w:val="FootnoteReference"/>
          <w:rFonts w:eastAsia="Times New Roman" w:cs="Calibri"/>
        </w:rPr>
        <w:footnoteReference w:id="15"/>
      </w:r>
      <w:bookmarkEnd w:id="105"/>
    </w:p>
    <w:p w14:paraId="6062D111" w14:textId="54834536" w:rsidR="00C47C1B" w:rsidRPr="00BC7A12" w:rsidRDefault="00C47C1B" w:rsidP="00C47C1B">
      <w:pPr>
        <w:spacing w:after="60"/>
        <w:rPr>
          <w:rFonts w:eastAsia="Times New Roman" w:cs="Calibri"/>
        </w:rPr>
      </w:pPr>
      <w:r w:rsidRPr="00BC7A12">
        <w:rPr>
          <w:rFonts w:cs="Calibri"/>
          <w:noProof/>
          <w:lang w:eastAsia="en-AU"/>
        </w:rPr>
        <w:lastRenderedPageBreak/>
        <mc:AlternateContent>
          <mc:Choice Requires="wps">
            <w:drawing>
              <wp:anchor distT="0" distB="0" distL="114300" distR="114300" simplePos="0" relativeHeight="251664384" behindDoc="1" locked="0" layoutInCell="1" allowOverlap="1" wp14:anchorId="4811B08F" wp14:editId="02C559C3">
                <wp:simplePos x="0" y="0"/>
                <wp:positionH relativeFrom="column">
                  <wp:posOffset>142240</wp:posOffset>
                </wp:positionH>
                <wp:positionV relativeFrom="paragraph">
                  <wp:posOffset>4103370</wp:posOffset>
                </wp:positionV>
                <wp:extent cx="2129790" cy="242570"/>
                <wp:effectExtent l="0" t="0" r="3810" b="5080"/>
                <wp:wrapSquare wrapText="bothSides"/>
                <wp:docPr id="4" name="Text Box 4"/>
                <wp:cNvGraphicFramePr/>
                <a:graphic xmlns:a="http://schemas.openxmlformats.org/drawingml/2006/main">
                  <a:graphicData uri="http://schemas.microsoft.com/office/word/2010/wordprocessingShape">
                    <wps:wsp>
                      <wps:cNvSpPr txBox="1"/>
                      <wps:spPr>
                        <a:xfrm>
                          <a:off x="0" y="0"/>
                          <a:ext cx="2129790" cy="242570"/>
                        </a:xfrm>
                        <a:prstGeom prst="rect">
                          <a:avLst/>
                        </a:prstGeom>
                        <a:solidFill>
                          <a:prstClr val="white"/>
                        </a:solidFill>
                        <a:ln>
                          <a:noFill/>
                        </a:ln>
                      </wps:spPr>
                      <wps:txbx>
                        <w:txbxContent>
                          <w:p w14:paraId="4CB676F5" w14:textId="091D0145" w:rsidR="00B9526D" w:rsidRPr="005D3094" w:rsidRDefault="00B9526D" w:rsidP="00C47C1B">
                            <w:pPr>
                              <w:pStyle w:val="Caption"/>
                              <w:rPr>
                                <w:rFonts w:ascii="Times New Roman" w:eastAsia="Times New Roman" w:hAnsi="Times New Roman" w:cs="Times New Roman"/>
                                <w:vertAlign w:val="superscript"/>
                              </w:rPr>
                            </w:pPr>
                            <w:r>
                              <w:t>Figure A</w:t>
                            </w:r>
                            <w:r>
                              <w:rPr>
                                <w:noProof/>
                              </w:rPr>
                              <w:t>2</w:t>
                            </w:r>
                            <w:r>
                              <w:t xml:space="preserve"> FEGS-CS hierarchal levels and coding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B08F" id="Text Box 4" o:spid="_x0000_s1028" type="#_x0000_t202" style="position:absolute;left:0;text-align:left;margin-left:11.2pt;margin-top:323.1pt;width:167.7pt;height:1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" stroked="f">
                <v:textbox inset="0,0,0,0">
                  <w:txbxContent>
                    <w:p w14:paraId="4CB676F5" w14:textId="091D0145" w:rsidR="00B9526D" w:rsidRPr="005D3094" w:rsidRDefault="00B9526D" w:rsidP="00C47C1B">
                      <w:pPr>
                        <w:pStyle w:val="Caption"/>
                        <w:rPr>
                          <w:rFonts w:ascii="Times New Roman" w:eastAsia="Times New Roman" w:hAnsi="Times New Roman" w:cs="Times New Roman"/>
                          <w:vertAlign w:val="superscript"/>
                        </w:rPr>
                      </w:pPr>
                      <w:r>
                        <w:t>Figure A</w:t>
                      </w:r>
                      <w:r>
                        <w:rPr>
                          <w:noProof/>
                        </w:rPr>
                        <w:t>2</w:t>
                      </w:r>
                      <w:r>
                        <w:t xml:space="preserve"> FEGS-CS hierarchal levels and coding </w:t>
                      </w:r>
                    </w:p>
                  </w:txbxContent>
                </v:textbox>
                <w10:wrap type="square"/>
              </v:shape>
            </w:pict>
          </mc:Fallback>
        </mc:AlternateContent>
      </w:r>
      <w:r w:rsidRPr="00BC7A12">
        <w:rPr>
          <w:rFonts w:eastAsia="Times New Roman" w:cs="Calibri"/>
          <w:noProof/>
          <w:lang w:eastAsia="en-AU"/>
        </w:rPr>
        <w:drawing>
          <wp:anchor distT="0" distB="0" distL="114300" distR="114300" simplePos="0" relativeHeight="251663360" behindDoc="0" locked="0" layoutInCell="1" allowOverlap="1" wp14:anchorId="00BA208B" wp14:editId="66A9C298">
            <wp:simplePos x="0" y="0"/>
            <wp:positionH relativeFrom="column">
              <wp:posOffset>251460</wp:posOffset>
            </wp:positionH>
            <wp:positionV relativeFrom="paragraph">
              <wp:posOffset>79375</wp:posOffset>
            </wp:positionV>
            <wp:extent cx="5654675" cy="3829685"/>
            <wp:effectExtent l="0" t="0" r="3175" b="0"/>
            <wp:wrapTopAndBottom/>
            <wp:docPr id="5" name="Picture 3">
              <a:extLst xmlns:a="http://schemas.openxmlformats.org/drawingml/2006/main">
                <a:ext uri="{FF2B5EF4-FFF2-40B4-BE49-F238E27FC236}">
                  <a16:creationId xmlns:a16="http://schemas.microsoft.com/office/drawing/2014/main" id="{B4B7FCDC-AC93-4848-B37E-F45C33D20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B7FCDC-AC93-4848-B37E-F45C33D20782}"/>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54675" cy="3829685"/>
                    </a:xfrm>
                    <a:prstGeom prst="rect">
                      <a:avLst/>
                    </a:prstGeom>
                  </pic:spPr>
                </pic:pic>
              </a:graphicData>
            </a:graphic>
            <wp14:sizeRelH relativeFrom="margin">
              <wp14:pctWidth>0</wp14:pctWidth>
            </wp14:sizeRelH>
            <wp14:sizeRelV relativeFrom="margin">
              <wp14:pctHeight>0</wp14:pctHeight>
            </wp14:sizeRelV>
          </wp:anchor>
        </w:drawing>
      </w:r>
      <w:r w:rsidRPr="00BC7A12">
        <w:rPr>
          <w:rFonts w:eastAsia="Times New Roman" w:cs="Calibri"/>
        </w:rPr>
        <w:t xml:space="preserve">                                                                   </w:t>
      </w:r>
    </w:p>
    <w:p w14:paraId="49FB6839" w14:textId="56E00DD0" w:rsidR="00C47C1B" w:rsidRPr="00BC7A12" w:rsidRDefault="00EA1607" w:rsidP="00C47C1B">
      <w:pPr>
        <w:spacing w:after="60"/>
        <w:rPr>
          <w:rFonts w:eastAsia="Times New Roman" w:cs="Calibri"/>
        </w:rPr>
      </w:pPr>
      <w:r w:rsidRPr="00BC7A12">
        <w:rPr>
          <w:rFonts w:eastAsia="Times New Roman" w:cs="Calibri"/>
        </w:rPr>
        <w:fldChar w:fldCharType="begin" w:fldLock="1"/>
      </w:r>
      <w:r w:rsidRPr="00BC7A12">
        <w:rPr>
          <w:rFonts w:eastAsia="Times New Roman" w:cs="Calibri"/>
        </w:rPr>
        <w:instrText>ADDIN CSL_CITATION {"citationItems":[{"id":"ITEM-1","itemData":{"abstract":"DH Landers and Nahlik AM. 2013. Final Ecosystem Goods and Services Classification System (FEGS-CS). EPA/600/R-13/ORD-004914. U.S. Environmental Protection Agency, Office of Research and Development, Washington, D.C.","author":[{"dropping-particle":"","family":"Landers","given":"Dixon H","non-dropping-particle":"","parse-names":false,"suffix":""},{"dropping-particle":"","family":"Nahlik","given":"Amanda M","non-dropping-particle":"","parse-names":false,"suffix":""}],"id":"ITEM-1","issued":{"date-parts":[["2013"]]},"publisher":"U.S. Environmental Protection Agency, Office of Research and Development, Washington, D.C. EPA/600/R-13/ORD-004914","title":"Final Ecosystem Goods and Services Classification System (FEGS-CS)","type":"report"},"uris":["http://www.mendeley.com/documents/?uuid=77e61c7f-6fdc-408e-bc68-cb995f2bb28f"]}],"mendeley":{"formattedCitation":"(Landers &amp; Nahlik 2013)","plainTextFormattedCitation":"(Landers &amp; Nahlik 2013)","previouslyFormattedCitation":"(Landers &amp; Nahlik 2013)"},"properties":{"noteIndex":0},"schema":"https://github.com/citation-style-language/schema/raw/master/csl-citation.json"}</w:instrText>
      </w:r>
      <w:r w:rsidRPr="00BC7A12">
        <w:rPr>
          <w:rFonts w:eastAsia="Times New Roman" w:cs="Calibri"/>
        </w:rPr>
        <w:fldChar w:fldCharType="separate"/>
      </w:r>
      <w:r w:rsidRPr="00BC7A12">
        <w:rPr>
          <w:rFonts w:eastAsia="Times New Roman" w:cs="Calibri"/>
          <w:noProof/>
        </w:rPr>
        <w:t>(Landers &amp; Nahlik 2013)</w:t>
      </w:r>
      <w:r w:rsidRPr="00BC7A12">
        <w:rPr>
          <w:rFonts w:eastAsia="Times New Roman" w:cs="Calibri"/>
        </w:rPr>
        <w:fldChar w:fldCharType="end"/>
      </w:r>
    </w:p>
    <w:p w14:paraId="4CDA2487" w14:textId="77777777" w:rsidR="00C47C1B" w:rsidRPr="00BC7A12" w:rsidRDefault="00C47C1B" w:rsidP="00C47C1B">
      <w:pPr>
        <w:spacing w:after="60"/>
        <w:rPr>
          <w:rFonts w:eastAsia="Times New Roman" w:cs="Calibri"/>
        </w:rPr>
      </w:pPr>
    </w:p>
    <w:p w14:paraId="67B8365E" w14:textId="01AC4FA6" w:rsidR="00C47C1B" w:rsidRPr="00BC7A12" w:rsidRDefault="00C47C1B" w:rsidP="00C47C1B">
      <w:pPr>
        <w:spacing w:after="60"/>
        <w:rPr>
          <w:rFonts w:eastAsia="Times New Roman" w:cs="Calibri"/>
        </w:rPr>
      </w:pPr>
      <w:r w:rsidRPr="00BC7A12">
        <w:rPr>
          <w:rFonts w:eastAsia="Times New Roman" w:cs="Calibri"/>
        </w:rPr>
        <w:t xml:space="preserve">“Final” in FES in the four ES-CS described above (i.e., CICES, FEGS-CS, NESCS, and NESCS Plus), refers to the point where an ecological product transitions from being predominantly ecological to being a </w:t>
      </w:r>
      <w:r w:rsidRPr="00BC7A12">
        <w:rPr>
          <w:rFonts w:cs="Calibri"/>
        </w:rPr>
        <w:t>predominantly</w:t>
      </w:r>
      <w:r w:rsidRPr="00BC7A12">
        <w:rPr>
          <w:rFonts w:eastAsia="Times New Roman" w:cs="Calibri"/>
        </w:rPr>
        <w:t xml:space="preserve"> economic input that will often be a) mixed with man-made capital to produce an economic benefit, or b) directly used or appreciated. FES are flows to economic units (e.g., private companies &amp; businesses, households, public agencies &amp; bureaus)</w:t>
      </w:r>
      <w:r w:rsidR="00EA1607" w:rsidRPr="00BC7A12">
        <w:rPr>
          <w:rFonts w:eastAsia="Times New Roman" w:cs="Calibri"/>
        </w:rPr>
        <w:t xml:space="preserve"> </w:t>
      </w:r>
      <w:r w:rsidR="00EA1607" w:rsidRPr="00BC7A12">
        <w:rPr>
          <w:rFonts w:eastAsia="Times New Roman" w:cs="Calibri"/>
        </w:rPr>
        <w:fldChar w:fldCharType="begin" w:fldLock="1"/>
      </w:r>
      <w:r w:rsidR="00C6148F" w:rsidRPr="00BC7A12">
        <w:rPr>
          <w:rFonts w:eastAsia="Times New Roman" w:cs="Calibri"/>
        </w:rPr>
        <w:instrText>ADDIN CSL_CITATION {"citationItems":[{"id":"ITEM-1","itemData":{"DOI":"10.1016/j.ecolecon.2007.01.002","ISBN":"0921-8009","ISSN":"09218009","PMID":"20430971","author":[{"dropping-particle":"","family":"Boyd","given":"James","non-dropping-particle":"","parse-names":false,"suffix":""},{"dropping-particle":"","family":"Banzhaf","given":"Spencer","non-dropping-particle":"","parse-names":false,"suffix":""}],"container-title":"Ecological Economics","id":"ITEM-1","issue":"2-3","issued":{"date-parts":[["2007"]]},"page":"616-626","title":"What are ecosystem services? The need for standardized environmental accounting units","type":"article-journal","volume":"63"},"uris":["http://www.mendeley.com/documents/?uuid=a9dcb862-be3c-4cf0-a400-ebbf5ddec547"]},{"id":"ITEM-2","itemData":{"author":[{"dropping-particle":"","family":"United Nations","given":"","non-dropping-particle":"","parse-names":false,"suffix":""}],"id":"ITEM-2","issue":"December","issued":{"date-parts":[["2017"]]},"page":"145","title":"SEEA Experimental Ecosystem Accounting : Technical Recommendations","type":"article-journal"},"uris":["http://www.mendeley.com/documents/?uuid=d14b375f-01b9-4bb2-987a-b8fcf4a37221"]}],"mendeley":{"formattedCitation":"(Boyd &amp; Banzhaf 2007b, United Nations 2017)","plainTextFormattedCitation":"(Boyd &amp; Banzhaf 2007b, United Nations 2017)","previouslyFormattedCitation":"(Boyd &amp; Banzhaf 2007b, United Nations 2017)"},"properties":{"noteIndex":0},"schema":"https://github.com/citation-style-language/schema/raw/master/csl-citation.json"}</w:instrText>
      </w:r>
      <w:r w:rsidR="00EA1607" w:rsidRPr="00BC7A12">
        <w:rPr>
          <w:rFonts w:eastAsia="Times New Roman" w:cs="Calibri"/>
        </w:rPr>
        <w:fldChar w:fldCharType="separate"/>
      </w:r>
      <w:r w:rsidR="00A54CA0" w:rsidRPr="00BC7A12">
        <w:rPr>
          <w:rFonts w:eastAsia="Times New Roman" w:cs="Calibri"/>
          <w:noProof/>
        </w:rPr>
        <w:t>(Boyd &amp; Banzhaf 2007b, United Nations 2017)</w:t>
      </w:r>
      <w:r w:rsidR="00EA1607" w:rsidRPr="00BC7A12">
        <w:rPr>
          <w:rFonts w:eastAsia="Times New Roman" w:cs="Calibri"/>
        </w:rPr>
        <w:fldChar w:fldCharType="end"/>
      </w:r>
      <w:r w:rsidR="00C56BE4" w:rsidRPr="00BC7A12">
        <w:rPr>
          <w:rFonts w:eastAsia="Times New Roman" w:cs="Calibri"/>
        </w:rPr>
        <w:t>.</w:t>
      </w:r>
      <w:r w:rsidRPr="00BC7A12">
        <w:rPr>
          <w:rFonts w:eastAsia="Times New Roman" w:cs="Calibri"/>
          <w:vertAlign w:val="superscript"/>
        </w:rPr>
        <w:t xml:space="preserve"> </w:t>
      </w:r>
      <w:r w:rsidRPr="00BC7A12">
        <w:rPr>
          <w:rFonts w:eastAsia="Times New Roman" w:cs="Calibri"/>
        </w:rPr>
        <w:t xml:space="preserve">Figure </w:t>
      </w:r>
      <w:r w:rsidR="00A11695">
        <w:rPr>
          <w:rFonts w:eastAsia="Times New Roman" w:cs="Calibri"/>
        </w:rPr>
        <w:t>A</w:t>
      </w:r>
      <w:r w:rsidRPr="00BC7A12">
        <w:rPr>
          <w:rFonts w:eastAsia="Times New Roman" w:cs="Calibri"/>
        </w:rPr>
        <w:t xml:space="preserve">3 shows how one ES-CS defines this flow of FES. </w:t>
      </w:r>
    </w:p>
    <w:p w14:paraId="2FBBF4A4" w14:textId="69570F64" w:rsidR="00C47C1B" w:rsidRPr="00BC7A12" w:rsidRDefault="00C47C1B" w:rsidP="00C47C1B">
      <w:pPr>
        <w:spacing w:after="60"/>
        <w:rPr>
          <w:rFonts w:eastAsia="Times New Roman" w:cs="Calibri"/>
        </w:rPr>
      </w:pPr>
      <w:r w:rsidRPr="00BC7A12">
        <w:rPr>
          <w:rFonts w:eastAsia="Times New Roman" w:cs="Calibri"/>
        </w:rPr>
        <w:t xml:space="preserve">Consider that for ocean fish to make it to market, a boat, fishing supplies, fuel, and </w:t>
      </w:r>
      <w:proofErr w:type="spellStart"/>
      <w:r w:rsidRPr="00BC7A12">
        <w:rPr>
          <w:rFonts w:eastAsia="Times New Roman" w:cs="Calibri"/>
        </w:rPr>
        <w:t>labor</w:t>
      </w:r>
      <w:proofErr w:type="spellEnd"/>
      <w:r w:rsidRPr="00BC7A12">
        <w:rPr>
          <w:rFonts w:eastAsia="Times New Roman" w:cs="Calibri"/>
        </w:rPr>
        <w:t xml:space="preserve"> are needed. The transition point, or ecological </w:t>
      </w:r>
      <w:proofErr w:type="gramStart"/>
      <w:r w:rsidRPr="00BC7A12">
        <w:rPr>
          <w:rFonts w:eastAsia="Times New Roman" w:cs="Calibri"/>
        </w:rPr>
        <w:t>end product</w:t>
      </w:r>
      <w:proofErr w:type="gramEnd"/>
      <w:r w:rsidRPr="00BC7A12">
        <w:rPr>
          <w:rFonts w:eastAsia="Times New Roman" w:cs="Calibri"/>
        </w:rPr>
        <w:t>—fish in ocean for harvest—occurs when the application of manmade capital makes the fish catchable by the fisher. The transition point is also determined by who is using the ecological end-product.</w:t>
      </w:r>
      <w:r w:rsidRPr="00BC7A12">
        <w:rPr>
          <w:rStyle w:val="FootnoteReference"/>
          <w:rFonts w:eastAsia="Times New Roman" w:cs="Calibri"/>
        </w:rPr>
        <w:footnoteReference w:id="16"/>
      </w:r>
      <w:r w:rsidRPr="00BC7A12">
        <w:rPr>
          <w:rFonts w:eastAsia="Times New Roman" w:cs="Calibri"/>
        </w:rPr>
        <w:t xml:space="preserve"> To the fisher, fish directly available for harvest is the FES, whereas to a tourist, fish for recreational viewing is the FES. Turning to agriculture, to a farmer, water up-take by crops from </w:t>
      </w:r>
      <w:r w:rsidR="003F30F8" w:rsidRPr="00BC7A12">
        <w:rPr>
          <w:rFonts w:eastAsia="Times New Roman" w:cs="Calibri"/>
        </w:rPr>
        <w:t>favourable</w:t>
      </w:r>
      <w:r w:rsidRPr="00BC7A12">
        <w:rPr>
          <w:rFonts w:eastAsia="Times New Roman" w:cs="Calibri"/>
        </w:rPr>
        <w:t xml:space="preserve"> rains is the ecological end-product that enters the agricultural economy. To a tourist, it is the view of the landscape the farm sits in that enters the tourism sector of the economy. </w:t>
      </w:r>
    </w:p>
    <w:p w14:paraId="58A4FC83" w14:textId="77777777" w:rsidR="00C47C1B" w:rsidRPr="00BC7A12" w:rsidRDefault="00C47C1B" w:rsidP="00C47C1B">
      <w:pPr>
        <w:spacing w:after="60"/>
        <w:rPr>
          <w:rFonts w:cs="Calibri"/>
          <w:color w:val="44546A"/>
          <w:sz w:val="18"/>
          <w:szCs w:val="18"/>
        </w:rPr>
      </w:pPr>
    </w:p>
    <w:p w14:paraId="4C780BA0" w14:textId="4A784AE7" w:rsidR="00C47C1B" w:rsidRPr="00BC7A12" w:rsidRDefault="00C47C1B" w:rsidP="00C47C1B">
      <w:pPr>
        <w:spacing w:after="60"/>
        <w:rPr>
          <w:rFonts w:cs="Calibri"/>
          <w:color w:val="44546A"/>
          <w:sz w:val="18"/>
          <w:szCs w:val="18"/>
        </w:rPr>
      </w:pPr>
      <w:r w:rsidRPr="00BC7A12">
        <w:rPr>
          <w:rFonts w:cs="Calibri"/>
          <w:noProof/>
          <w:color w:val="44546A"/>
          <w:sz w:val="18"/>
          <w:szCs w:val="18"/>
          <w:lang w:eastAsia="en-AU"/>
        </w:rPr>
        <w:lastRenderedPageBreak/>
        <w:drawing>
          <wp:anchor distT="0" distB="0" distL="114300" distR="114300" simplePos="0" relativeHeight="251665408" behindDoc="0" locked="0" layoutInCell="1" allowOverlap="1" wp14:anchorId="4C4A0BD6" wp14:editId="7804547D">
            <wp:simplePos x="0" y="0"/>
            <wp:positionH relativeFrom="column">
              <wp:posOffset>0</wp:posOffset>
            </wp:positionH>
            <wp:positionV relativeFrom="paragraph">
              <wp:posOffset>322151</wp:posOffset>
            </wp:positionV>
            <wp:extent cx="5943600" cy="3022600"/>
            <wp:effectExtent l="0" t="0" r="0" b="6350"/>
            <wp:wrapTopAndBottom/>
            <wp:docPr id="6" name="image14.jpg"/>
            <wp:cNvGraphicFramePr/>
            <a:graphic xmlns:a="http://schemas.openxmlformats.org/drawingml/2006/main">
              <a:graphicData uri="http://schemas.openxmlformats.org/drawingml/2006/picture">
                <pic:pic xmlns:pic="http://schemas.openxmlformats.org/drawingml/2006/picture">
                  <pic:nvPicPr>
                    <pic:cNvPr id="6" name="image14.jpg"/>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43600" cy="3022600"/>
                    </a:xfrm>
                    <a:prstGeom prst="rect">
                      <a:avLst/>
                    </a:prstGeom>
                    <a:ln/>
                  </pic:spPr>
                </pic:pic>
              </a:graphicData>
            </a:graphic>
          </wp:anchor>
        </w:drawing>
      </w:r>
      <w:r w:rsidRPr="00BC7A12">
        <w:rPr>
          <w:rFonts w:cs="Calibri"/>
          <w:color w:val="44546A"/>
          <w:sz w:val="18"/>
          <w:szCs w:val="18"/>
        </w:rPr>
        <w:t xml:space="preserve">Figure </w:t>
      </w:r>
      <w:r w:rsidR="00A11695">
        <w:rPr>
          <w:rFonts w:cs="Calibri"/>
          <w:color w:val="44546A"/>
          <w:sz w:val="18"/>
          <w:szCs w:val="18"/>
        </w:rPr>
        <w:t>A</w:t>
      </w:r>
      <w:r w:rsidRPr="00BC7A12">
        <w:rPr>
          <w:rFonts w:cs="Calibri"/>
          <w:color w:val="44546A"/>
          <w:sz w:val="18"/>
          <w:szCs w:val="18"/>
        </w:rPr>
        <w:t>3 National Ecosystem Services Classification System hierarchical levels and elements</w:t>
      </w:r>
      <w:r w:rsidR="00533B9A" w:rsidRPr="00BC7A12">
        <w:rPr>
          <w:rFonts w:cs="Calibri"/>
          <w:color w:val="44546A"/>
          <w:sz w:val="18"/>
          <w:szCs w:val="18"/>
        </w:rPr>
        <w:t xml:space="preserve"> </w:t>
      </w:r>
      <w:r w:rsidR="00533B9A" w:rsidRPr="00BC7A12">
        <w:rPr>
          <w:rFonts w:cs="Calibri"/>
          <w:color w:val="44546A"/>
          <w:sz w:val="18"/>
          <w:szCs w:val="18"/>
        </w:rPr>
        <w:fldChar w:fldCharType="begin" w:fldLock="1"/>
      </w:r>
      <w:r w:rsidR="00533B9A" w:rsidRPr="00BC7A12">
        <w:rPr>
          <w:rFonts w:cs="Calibri"/>
          <w:color w:val="44546A"/>
          <w:sz w:val="18"/>
          <w:szCs w:val="18"/>
        </w:rPr>
        <w:instrText>ADDIN CSL_CITATION {"citationItems":[{"id":"ITEM-1","itemData":{"abstract":"Understanding the ways in which ecosystems provide flows of “services” to humans is critical for decision making in many contexts; however, the linkages between natural and human systems are complex and multifaceted. A well-defined framework for classifying ecosystem services is essential for systematically identifying and tracing these linkages. The purpose of this report is to describe the National Ecosystem Services Classification System (NESCS), which is designed to address these needs. The main objective of NESCS is to provide a framework that will aid in analyzing the human welfare impacts of policy-induced changes to ecosystems. In particular, it is intended to support different types of policy impact analyses, such as cost-benefit analysis of environmental regulations. Measuring the welfare impacts of alternative environmental policy or natural resource management scenarios typically entails three main steps: identifying, quantifying, and (as feasible) valuing changes in ecosystems and their contributions to human well-being. NESCS is primarily designed to support the first step—identifying ecosystem service changes—and thus provides a foundation for the subsequent steps of quantification and valuation. It is not an accounting system, but it is designed to support comprehensive and systematic accounting of changes in ecosystem services. NESCS could also potentially be used to support analysis of other policies that could result in changes to ecosystems such as housing, transportation, and tax policies. The conceptual framework for NESCS was developed by applying the principles underlying existing classification and accounting systems for economic goods and services, such as the North American Industry Classification System (NAICS), the North American Product Classification System (NAPCS), and the National Income and Product Accounts (NIPA). As others have done using these economic principles (e.g., Boyd and Banzhaf, 2007), NESCS draws a key distinction between intermediate and final services. For both economic and environmental accounting, this distinction is essential to avoid double counting services. Consequently, the NESCS focuses on flows of final ecosystem services (FFES), which it defines as the direct contributions made by nature to human production processes or to human well-being. In NESCS, FFES are identified by linking the ecological systems that supply final ecosystem services with the human systems that demand them. Human systems i…","author":[{"dropping-particle":"","family":"United States Environmental Protection Agency","given":"","non-dropping-particle":"","parse-names":false,"suffix":""}],"id":"ITEM-1","issued":{"date-parts":[["2015"]]},"number-of-pages":"188","title":"National Ecosystem Services Classification System (NESCS): Framework Design and Policy Application","type":"report"},"uris":["http://www.mendeley.com/documents/?uuid=cb7d8aef-1421-478c-9303-ecae7bc69646"]}],"mendeley":{"formattedCitation":"(United States Environmental Protection Agency 2015)","manualFormatting":"(Adapted from United States Environmental Protection Agency 2015)","plainTextFormattedCitation":"(United States Environmental Protection Agency 2015)","previouslyFormattedCitation":"(United States Environmental Protection Agency 2015)"},"properties":{"noteIndex":0},"schema":"https://github.com/citation-style-language/schema/raw/master/csl-citation.json"}</w:instrText>
      </w:r>
      <w:r w:rsidR="00533B9A" w:rsidRPr="00BC7A12">
        <w:rPr>
          <w:rFonts w:cs="Calibri"/>
          <w:color w:val="44546A"/>
          <w:sz w:val="18"/>
          <w:szCs w:val="18"/>
        </w:rPr>
        <w:fldChar w:fldCharType="separate"/>
      </w:r>
      <w:r w:rsidR="00533B9A" w:rsidRPr="00BC7A12">
        <w:rPr>
          <w:rFonts w:cs="Calibri"/>
          <w:noProof/>
          <w:color w:val="44546A"/>
          <w:sz w:val="18"/>
          <w:szCs w:val="18"/>
        </w:rPr>
        <w:t>(Adapted from United States Environmental Protection Agency 2015)</w:t>
      </w:r>
      <w:r w:rsidR="00533B9A" w:rsidRPr="00BC7A12">
        <w:rPr>
          <w:rFonts w:cs="Calibri"/>
          <w:color w:val="44546A"/>
          <w:sz w:val="18"/>
          <w:szCs w:val="18"/>
        </w:rPr>
        <w:fldChar w:fldCharType="end"/>
      </w:r>
    </w:p>
    <w:p w14:paraId="3462D164" w14:textId="4054EF9E" w:rsidR="00C47C1B" w:rsidRPr="00BC7A12" w:rsidRDefault="00C47C1B" w:rsidP="00C47C1B">
      <w:pPr>
        <w:spacing w:after="60"/>
        <w:rPr>
          <w:rFonts w:eastAsia="Times New Roman" w:cs="Calibri"/>
          <w:color w:val="000000"/>
        </w:rPr>
      </w:pPr>
      <w:r w:rsidRPr="00BC7A12">
        <w:rPr>
          <w:rFonts w:eastAsia="Times New Roman" w:cs="Calibri"/>
          <w:color w:val="000000"/>
        </w:rPr>
        <w:t>There is an active debate on the relative merits of FES over</w:t>
      </w:r>
      <w:r w:rsidR="000100D8" w:rsidRPr="00BC7A12">
        <w:rPr>
          <w:rFonts w:eastAsia="Times New Roman" w:cs="Calibri"/>
          <w:color w:val="000000"/>
        </w:rPr>
        <w:t xml:space="preserve"> ecosystem services </w:t>
      </w:r>
      <w:r w:rsidRPr="00BC7A12">
        <w:rPr>
          <w:rFonts w:eastAsia="Times New Roman" w:cs="Calibri"/>
          <w:color w:val="000000"/>
        </w:rPr>
        <w:t>(</w:t>
      </w:r>
      <w:r w:rsidR="00A11695">
        <w:rPr>
          <w:rFonts w:eastAsia="Times New Roman" w:cs="Calibri"/>
          <w:color w:val="000000"/>
        </w:rPr>
        <w:t>see</w:t>
      </w:r>
      <w:r w:rsidRPr="00BC7A12">
        <w:rPr>
          <w:rFonts w:eastAsia="Times New Roman" w:cs="Calibri"/>
          <w:color w:val="000000"/>
        </w:rPr>
        <w:t xml:space="preserve"> Box</w:t>
      </w:r>
      <w:r w:rsidR="00716E2B">
        <w:rPr>
          <w:rFonts w:eastAsia="Times New Roman" w:cs="Calibri"/>
          <w:color w:val="000000"/>
        </w:rPr>
        <w:t>A1</w:t>
      </w:r>
      <w:r w:rsidRPr="00BC7A12">
        <w:rPr>
          <w:rFonts w:eastAsia="Times New Roman" w:cs="Calibri"/>
          <w:color w:val="000000"/>
        </w:rPr>
        <w:t>)</w:t>
      </w:r>
      <w:r w:rsidR="00533B9A" w:rsidRPr="00BC7A12">
        <w:rPr>
          <w:rFonts w:eastAsia="Times New Roman" w:cs="Calibri"/>
          <w:color w:val="000000"/>
        </w:rPr>
        <w:t xml:space="preserve"> </w:t>
      </w:r>
      <w:r w:rsidR="00533B9A" w:rsidRPr="00BC7A12">
        <w:rPr>
          <w:rFonts w:eastAsia="Times New Roman" w:cs="Calibri"/>
          <w:color w:val="000000"/>
        </w:rPr>
        <w:fldChar w:fldCharType="begin" w:fldLock="1"/>
      </w:r>
      <w:r w:rsidR="00533B9A" w:rsidRPr="00BC7A12">
        <w:rPr>
          <w:rFonts w:eastAsia="Times New Roman" w:cs="Calibri"/>
          <w:color w:val="000000"/>
        </w:rPr>
        <w:instrText>ADDIN CSL_CITATION {"citationItems":[{"id":"ITEM-1","itemData":{"author":[{"dropping-particle":"","family":"Finisdore","given":"John","non-dropping-particle":"","parse-names":false,"suffix":""},{"dropping-particle":"","family":"Rhodes","given":"Charles R","non-dropping-particle":"","parse-names":false,"suffix":""},{"dropping-particle":"","family":"Dvarskas","given":"Anthony","non-dropping-particle":"","parse-names":false,"suffix":""},{"dropping-particle":"","family":"Houdet","given":"Joël","non-dropping-particle":"","parse-names":false,"suffix":""},{"dropping-particle":"","family":"Maynard","given":"Simone","non-dropping-particle":"","parse-names":false,"suffix":""}],"container-title":"A Community on Ecosystem Services. Conference poster","id":"ITEM-1","issued":{"date-parts":[["2016"]]},"title":"Improving corporate performance with final ecosystem services","type":"paper-conference"},"uris":["http://www.mendeley.com/documents/?uuid=f7e3a493-9f44-41bb-bc14-5ffc1a0fcdf0"]},{"id":"ITEM-2","itemData":{"DOI":"10.1016/j.ecolecon.2008.09.014","ISBN":"0921-8009","ISSN":"09218009","PMID":"9623998","abstract":"The concept of ecosystems services has become an important model for linking the functioning of ecosystems to human welfare. Understanding this link is critical for a wide-range of decision-making contexts. While there have been several attempts to come up with a classification scheme for ecosystem services, there has not been an agreed upon, meaningful and consistent definition for ecosystem services. In this paper we offer a definition of ecosystem services that is likely to be operational for ecosystem service research and several classification schemes. We argue that any attempt at classifying ecosystem services should be based on both the characteristics of the ecosystems of interest and a decision context for which the concept of ecosystem services is being mobilized. Because of this there is not one classification scheme that will be adequate for the many contexts in which ecosystem service research may be utilized. We discuss several examples of how classification schemes will be a function of both ecosystem and ecosystem service characteristics and the decision-making context. © 2008 Elsevier B.V. All rights reserved.","author":[{"dropping-particle":"","family":"Fisher","given":"Brendan","non-dropping-particle":"","parse-names":false,"suffix":""},{"dropping-particle":"","family":"Turner","given":"R. Kerry","non-dropping-particle":"","parse-names":false,"suffix":""},{"dropping-particle":"","family":"Morling","given":"Paul","non-dropping-particle":"","parse-names":false,"suffix":""}],"container-title":"Ecological Economics","id":"ITEM-2","issue":"3","issued":{"date-parts":[["2009"]]},"page":"643-653","title":"Defining and classifying ecosystem services for decision making","type":"article-journal","volume":"68"},"uris":["http://www.mendeley.com/documents/?uuid=facabc2f-7d26-3fb8-9b09-3d6757f7a642"]},{"id":"ITEM-3","itemData":{"DOI":"10.1111/ele.12389","ISSN":"14610248","abstract":"Governments worldwide are recognising ecosystem services as an approach to address sustainability challenges. Decision-makers need credible and legitimate measurements of ecosystem services to evaluate decisions for trade-offs to make wise choices. Managers lack these measurements because of a data gap linking ecosystem characteristics to final ecosystem services. The dominant method to address the data gap is benefit transfer using ecological data from one location to estimate ecosystem services at other locations with similar land cover. However, benefit transfer is only valid once the data gap is adequately resolved. Disciplinary frames separating ecology from economics and policy have resulted in confusion on concepts and methods preventing progress on the data gap. In this study, we present a 10-step approach to unify concepts, methods and data from the disparate disciplines to offer guidance on overcoming the data gap. We suggest: (1) estimate ecosystem characteristics using biophysical models, (2) identify final ecosystem services using endpoints and (3) connect them using ecological production functions to quantify biophysical trade-offs. The guidance is strategic for public policy because analysts need to be: (1) realistic when setting priorities, (2) attentive to timelines to acquire relevant data, given resources and (3) responsive to the needs of decision-makers.","author":[{"dropping-particle":"","family":"Wong","given":"Christina P","non-dropping-particle":"","parse-names":false,"suffix":""},{"dropping-particle":"","family":"Jiang","given":"Bo","non-dropping-particle":"","parse-names":false,"suffix":""},{"dropping-particle":"","family":"Kinzig","given":"Ann P","non-dropping-particle":"","parse-names":false,"suffix":""},{"dropping-particle":"","family":"Lee","given":"Kai N","non-dropping-particle":"","parse-names":false,"suffix":""},{"dropping-particle":"","family":"Ouyang","given":"Zhi Yun","non-dropping-particle":"","parse-names":false,"suffix":""}],"container-title":"Ecology Letters","id":"ITEM-3","issue":"1","issued":{"date-parts":[["2015"]]},"page":"108-118","title":"Linking ecosystem characteristics to final ecosystem services for public policy","type":"article-journal","volume":"18"},"uris":["http://www.mendeley.com/documents/?uuid=eeda0d15-d9a3-4f55-b99f-b1f2c5bbc264"]}],"mendeley":{"formattedCitation":"(Finisdore et al. 2016, Fisher et al. 2009, Wong et al. 2015)","plainTextFormattedCitation":"(Finisdore et al. 2016, Fisher et al. 2009, Wong et al. 2015)","previouslyFormattedCitation":"(Finisdore et al. 2016, Fisher et al. 2009, Wong et al. 2015)"},"properties":{"noteIndex":0},"schema":"https://github.com/citation-style-language/schema/raw/master/csl-citation.json"}</w:instrText>
      </w:r>
      <w:r w:rsidR="00533B9A" w:rsidRPr="00BC7A12">
        <w:rPr>
          <w:rFonts w:eastAsia="Times New Roman" w:cs="Calibri"/>
          <w:color w:val="000000"/>
        </w:rPr>
        <w:fldChar w:fldCharType="separate"/>
      </w:r>
      <w:r w:rsidR="00533B9A" w:rsidRPr="00BC7A12">
        <w:rPr>
          <w:rFonts w:eastAsia="Times New Roman" w:cs="Calibri"/>
          <w:noProof/>
          <w:color w:val="000000"/>
        </w:rPr>
        <w:t>(Finisdore et al. 2016, Fisher et al. 2009, Wong et al. 2015)</w:t>
      </w:r>
      <w:r w:rsidR="00533B9A" w:rsidRPr="00BC7A12">
        <w:rPr>
          <w:rFonts w:eastAsia="Times New Roman" w:cs="Calibri"/>
          <w:color w:val="000000"/>
        </w:rPr>
        <w:fldChar w:fldCharType="end"/>
      </w:r>
      <w:r w:rsidR="00C56BE4" w:rsidRPr="00BC7A12">
        <w:rPr>
          <w:rFonts w:eastAsia="Times New Roman" w:cs="Calibri"/>
          <w:color w:val="000000"/>
        </w:rPr>
        <w:t>.</w:t>
      </w:r>
      <w:r w:rsidRPr="00BC7A12">
        <w:rPr>
          <w:rFonts w:eastAsia="Times New Roman" w:cs="Calibri"/>
          <w:color w:val="000000"/>
        </w:rPr>
        <w:t xml:space="preserve"> In addition, there are different interpretations of the boundaries of an FES and how they may be applied in different techniques (e.g., assessments, accounting, stakeholder engagement).</w:t>
      </w:r>
      <w:r w:rsidR="00533B9A" w:rsidRPr="00BC7A12">
        <w:rPr>
          <w:rFonts w:eastAsia="Times New Roman" w:cs="Calibri"/>
          <w:color w:val="000000"/>
        </w:rPr>
        <w:t xml:space="preserve"> </w:t>
      </w:r>
      <w:r w:rsidR="00533B9A" w:rsidRPr="00BC7A12">
        <w:rPr>
          <w:rFonts w:eastAsia="Times New Roman" w:cs="Calibri"/>
          <w:color w:val="000000"/>
        </w:rPr>
        <w:fldChar w:fldCharType="begin" w:fldLock="1"/>
      </w:r>
      <w:r w:rsidR="008468C5" w:rsidRPr="00BC7A12">
        <w:rPr>
          <w:rFonts w:eastAsia="Times New Roman" w:cs="Calibri"/>
          <w:color w:val="000000"/>
        </w:rPr>
        <w:instrText>ADDIN CSL_CITATION {"citationItems":[{"id":"ITEM-1","itemData":{"author":[{"dropping-particle":"","family":"Rhodes","given":"Charles R","non-dropping-particle":"","parse-names":false,"suffix":""},{"dropping-particle":"","family":"Landers","given":"Dixon","non-dropping-particle":"","parse-names":false,"suffix":""},{"dropping-particle":"","family":"Petersen","given":"Jan-Erik","non-dropping-particle":"","parse-names":false,"suffix":""},{"dropping-particle":"","family":"Haines-Young","given":"Roy","non-dropping-particle":"","parse-names":false,"suffix":""}],"container-title":"Expert Workshop organised by EEA and US-EPA, with support from UNSD, University of Wageningen and Nottingham University; Wageningen University, Netherlands, 17-18 November 2016; Summary paper on discussions as input to SEEA EEA expert forum, Glen Cove, NY","id":"ITEM-1","issue":"June 2018","issued":{"date-parts":[["2016"]]},"title":"Developing ecosystem service classification (s) for ecosystem accounting–taking stock &amp; moving forward","type":"paper-conference"},"uris":["http://www.mendeley.com/documents/?uuid=5a00bac8-dc26-4cec-a2d3-b94d0ae97e00"]},{"id":"ITEM-2","itemData":{"abstract":"1 Abstract The recent mainstreaming of ecosystem services into international and national decision making has elevated the importance of developing an internationally-agreed statistical classification system. The Final Ecosystem Goods and Services Classification System (FEGS-CS) and the Common International Classification of Ecosystem Services (CICES V4.3) represent different approaches to classifying ecosystem services. This paper compares and contrasts them by comparing (a) scope and fundamental principles and (b) what is included and excluded in each. The analysis finds substantial differences and similarities, which could be leveraged to serve as the basis for a rigorous internationally-accepted statistical classification. This paper is accompanied by an MS Excel workbook containing the detailed concordance and several summary tables.","author":[{"dropping-particle":"","family":"Bordt","given":"Michael","non-dropping-particle":"","parse-names":false,"suffix":""},{"dropping-particle":"","family":"Ave","given":"Laurier","non-dropping-particle":"","parse-names":false,"suffix":""},{"dropping-particle":"","family":"E-mail","given":"Canada","non-dropping-particle":"","parse-names":false,"suffix":""}],"id":"ITEM-2","issued":{"date-parts":[["0"]]},"page":"1-70","title":"Concordance between FEGS-CS and CICES V4.3","type":"article-journal"},"uris":["http://www.mendeley.com/documents/?uuid=7ef60026-b864-44e3-9fe2-dac2d6898b0a"]}],"mendeley":{"formattedCitation":"(Rhodes, Landers, Petersen, et al. 2016, Bordt et al. n.d.)","plainTextFormattedCitation":"(Rhodes, Landers, Petersen, et al. 2016, Bordt et al. n.d.)","previouslyFormattedCitation":"(Rhodes, Landers, Petersen, et al. 2016, Bordt et al. n.d.)"},"properties":{"noteIndex":0},"schema":"https://github.com/citation-style-language/schema/raw/master/csl-citation.json"}</w:instrText>
      </w:r>
      <w:r w:rsidR="00533B9A" w:rsidRPr="00BC7A12">
        <w:rPr>
          <w:rFonts w:eastAsia="Times New Roman" w:cs="Calibri"/>
          <w:color w:val="000000"/>
        </w:rPr>
        <w:fldChar w:fldCharType="separate"/>
      </w:r>
      <w:r w:rsidR="00275550" w:rsidRPr="00BC7A12">
        <w:rPr>
          <w:rFonts w:eastAsia="Times New Roman" w:cs="Calibri"/>
          <w:noProof/>
          <w:color w:val="000000"/>
        </w:rPr>
        <w:t>(Rhodes, Landers, Petersen, et al. 2016, Bordt et al. n.d.)</w:t>
      </w:r>
      <w:r w:rsidR="00533B9A" w:rsidRPr="00BC7A12">
        <w:rPr>
          <w:rFonts w:eastAsia="Times New Roman" w:cs="Calibri"/>
          <w:color w:val="000000"/>
        </w:rPr>
        <w:fldChar w:fldCharType="end"/>
      </w:r>
      <w:r w:rsidRPr="00BC7A12">
        <w:rPr>
          <w:rFonts w:eastAsia="Times New Roman" w:cs="Calibri"/>
          <w:color w:val="000000"/>
        </w:rPr>
        <w:t xml:space="preserve"> Regardless, the only known way to construct a hierarchy that follows the formal rules outlined above (e.g., complete, mutually exclusive, exhaustive, consistent) is by using the FES concept. Unless an alternative is developed, FES based hierarchies stand alone. </w:t>
      </w:r>
    </w:p>
    <w:p w14:paraId="4E07C21E" w14:textId="77777777" w:rsidR="00C47C1B" w:rsidRPr="00BC7A12" w:rsidRDefault="00C47C1B" w:rsidP="00C47C1B">
      <w:pPr>
        <w:rPr>
          <w:rFonts w:eastAsia="Times New Roman" w:cs="Calibri"/>
          <w:color w:val="000000"/>
        </w:rPr>
      </w:pPr>
      <w:r w:rsidRPr="00BC7A12">
        <w:rPr>
          <w:rFonts w:eastAsia="Times New Roman" w:cs="Calibri"/>
          <w:color w:val="000000"/>
        </w:rPr>
        <w:br w:type="page"/>
      </w:r>
    </w:p>
    <w:p w14:paraId="1FAB9720" w14:textId="473B3FD8" w:rsidR="00C47C1B" w:rsidRPr="00BC7A12" w:rsidRDefault="00C47C1B" w:rsidP="00533B9A">
      <w:pPr>
        <w:tabs>
          <w:tab w:val="right" w:pos="9026"/>
        </w:tabs>
        <w:spacing w:after="60"/>
        <w:rPr>
          <w:rFonts w:eastAsia="Times New Roman" w:cs="Calibri"/>
        </w:rPr>
      </w:pPr>
      <w:r w:rsidRPr="00BC7A12">
        <w:rPr>
          <w:rFonts w:cs="Calibri"/>
          <w:b/>
          <w:noProof/>
          <w:lang w:eastAsia="en-AU"/>
        </w:rPr>
        <w:lastRenderedPageBreak/>
        <mc:AlternateContent>
          <mc:Choice Requires="wps">
            <w:drawing>
              <wp:anchor distT="0" distB="0" distL="114300" distR="114300" simplePos="0" relativeHeight="251662336" behindDoc="1" locked="0" layoutInCell="1" allowOverlap="1" wp14:anchorId="7B93AEE3" wp14:editId="75D8D477">
                <wp:simplePos x="0" y="0"/>
                <wp:positionH relativeFrom="column">
                  <wp:posOffset>-52086</wp:posOffset>
                </wp:positionH>
                <wp:positionV relativeFrom="paragraph">
                  <wp:posOffset>169368</wp:posOffset>
                </wp:positionV>
                <wp:extent cx="5993704" cy="3009418"/>
                <wp:effectExtent l="0" t="0" r="26670" b="19685"/>
                <wp:wrapNone/>
                <wp:docPr id="18" name="Rectangle 18"/>
                <wp:cNvGraphicFramePr/>
                <a:graphic xmlns:a="http://schemas.openxmlformats.org/drawingml/2006/main">
                  <a:graphicData uri="http://schemas.microsoft.com/office/word/2010/wordprocessingShape">
                    <wps:wsp>
                      <wps:cNvSpPr/>
                      <wps:spPr>
                        <a:xfrm>
                          <a:off x="0" y="0"/>
                          <a:ext cx="5993704" cy="3009418"/>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16E7D" id="Rectangle 18" o:spid="_x0000_s1026" style="position:absolute;margin-left:-4.1pt;margin-top:13.35pt;width:471.95pt;height:23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" fillcolor="#d8d8d8 [2732]" strokecolor="#333 [3213]"/>
            </w:pict>
          </mc:Fallback>
        </mc:AlternateContent>
      </w:r>
      <w:r w:rsidR="00533B9A" w:rsidRPr="00BC7A12">
        <w:rPr>
          <w:rFonts w:eastAsia="Times New Roman" w:cs="Calibri"/>
        </w:rPr>
        <w:tab/>
      </w:r>
    </w:p>
    <w:p w14:paraId="14D17454" w14:textId="160177EC" w:rsidR="00C47C1B" w:rsidRPr="00BC7A12" w:rsidRDefault="00C47C1B" w:rsidP="00C47C1B">
      <w:pPr>
        <w:rPr>
          <w:rFonts w:eastAsia="Times New Roman" w:cs="Calibri"/>
          <w:color w:val="44546A"/>
        </w:rPr>
      </w:pPr>
      <w:bookmarkStart w:id="107" w:name="_Hlk522798562"/>
      <w:bookmarkStart w:id="108" w:name="_Hlk522798563"/>
      <w:bookmarkStart w:id="109" w:name="_Hlk523824088"/>
      <w:r w:rsidRPr="00BC7A12">
        <w:rPr>
          <w:rFonts w:cs="Calibri"/>
          <w:b/>
        </w:rPr>
        <w:t xml:space="preserve">Box </w:t>
      </w:r>
      <w:r w:rsidR="00716E2B">
        <w:rPr>
          <w:rFonts w:cs="Calibri"/>
          <w:b/>
        </w:rPr>
        <w:t>A1</w:t>
      </w:r>
      <w:r w:rsidRPr="00BC7A12">
        <w:rPr>
          <w:rFonts w:cs="Calibri"/>
          <w:b/>
        </w:rPr>
        <w:t>: Benefit relevant indicators versus ES-CS</w:t>
      </w:r>
    </w:p>
    <w:p w14:paraId="42687BDA" w14:textId="5910EAEA" w:rsidR="00C47C1B" w:rsidRPr="00BC7A12" w:rsidRDefault="00C47C1B" w:rsidP="00721AD4">
      <w:pPr>
        <w:spacing w:after="0" w:line="240" w:lineRule="auto"/>
        <w:rPr>
          <w:rFonts w:cs="Calibri"/>
        </w:rPr>
      </w:pPr>
      <w:r w:rsidRPr="00BC7A12">
        <w:rPr>
          <w:rFonts w:cs="Calibri"/>
        </w:rPr>
        <w:t>“BRIs are measures that capture the connection between ecological change and social outcome by considering what is valued by people, whether there is a demand for the service, [and] how much is used…”</w:t>
      </w:r>
      <w:r w:rsidR="00533B9A" w:rsidRPr="00BC7A12">
        <w:rPr>
          <w:rFonts w:cs="Calibri"/>
        </w:rPr>
        <w:t xml:space="preserve"> </w:t>
      </w:r>
      <w:r w:rsidR="00533B9A" w:rsidRPr="00BC7A12">
        <w:rPr>
          <w:rFonts w:cs="Calibri"/>
        </w:rPr>
        <w:fldChar w:fldCharType="begin" w:fldLock="1"/>
      </w:r>
      <w:r w:rsidR="00533B9A" w:rsidRPr="00BC7A12">
        <w:rPr>
          <w:rFonts w:cs="Calibri"/>
        </w:rPr>
        <w:instrText>ADDIN CSL_CITATION {"citationItems":[{"id":"ITEM-1","itemData":{"DOI":"10.1016/j.ecoser.2017.06.003","ISSN":"22120416","abstract":"There is growing demand for information regarding the impacts of decisions on ecosystem services and human benefits. Despite the large and growing quantity of published ecosystem services research, there remains a substantial gap between this research and the information required to support decisions. Research often provides models and tools that do not fully link social and ecological systems; are too complex, specialized, and costly to use; and are targeted to outcomes that differ from those needed by decision makers. Decision makers require cost-effective, straightforward, transferable, scalable, meaningful, and defensible methods that can be readily understood. We provide illustrative examples of these gaps between research and practice and describe how researchers can make their work relevant to decision makers by using Benefit Relevant Indicators (BRIs) and choosing models appropriate for particular decision contexts. We use examples primarily from the United States, including cases that illustrate varying degrees of success in closing these gaps. We include a discussion of the challenges and opportunities researchers face in adapting their work to meet the needs of practitioners.","author":[{"dropping-particle":"","family":"Olander","given":"Lydia","non-dropping-particle":"","parse-names":false,"suffix":""},{"dropping-particle":"","family":"Polasky","given":"Stephen","non-dropping-particle":"","parse-names":false,"suffix":""},{"dropping-particle":"","family":"Kagan","given":"James S","non-dropping-particle":"","parse-names":false,"suffix":""},{"dropping-particle":"","family":"Johnston","given":"Robert J","non-dropping-particle":"","parse-names":false,"suffix":""},{"dropping-particle":"","family":"Wainger","given":"Lisa","non-dropping-particle":"","parse-names":false,"suffix":""},{"dropping-particle":"","family":"Saah","given":"David","non-dropping-particle":"","parse-names":false,"suffix":""},{"dropping-particle":"","family":"Maguire","given":"Lynn","non-dropping-particle":"","parse-names":false,"suffix":""},{"dropping-particle":"","family":"Boyd","given":"James","non-dropping-particle":"","parse-names":false,"suffix":""},{"dropping-particle":"","family":"Yoskowitz","given":"David","non-dropping-particle":"","parse-names":false,"suffix":""}],"container-title":"Ecosystem Services","id":"ITEM-1","issued":{"date-parts":[["2017"]]},"page":"170-182","publisher":"Elsevier B.V.","title":"So you want your research to be relevant? Building the bridge between ecosystem services research and practice","type":"article-journal","volume":"26"},"uris":["http://www.mendeley.com/documents/?uuid=874b392d-c197-40b3-8470-d217d759295a"]}],"mendeley":{"formattedCitation":"(Olander et al. 2017)","plainTextFormattedCitation":"(Olander et al. 2017)","previouslyFormattedCitation":"(Olander et al. 2017)"},"properties":{"noteIndex":0},"schema":"https://github.com/citation-style-language/schema/raw/master/csl-citation.json"}</w:instrText>
      </w:r>
      <w:r w:rsidR="00533B9A" w:rsidRPr="00BC7A12">
        <w:rPr>
          <w:rFonts w:cs="Calibri"/>
        </w:rPr>
        <w:fldChar w:fldCharType="separate"/>
      </w:r>
      <w:r w:rsidR="00533B9A" w:rsidRPr="00BC7A12">
        <w:rPr>
          <w:rFonts w:cs="Calibri"/>
          <w:noProof/>
        </w:rPr>
        <w:t>(Olander et al. 2017)</w:t>
      </w:r>
      <w:r w:rsidR="00533B9A" w:rsidRPr="00BC7A12">
        <w:rPr>
          <w:rFonts w:cs="Calibri"/>
        </w:rPr>
        <w:fldChar w:fldCharType="end"/>
      </w:r>
      <w:r w:rsidRPr="00BC7A12">
        <w:rPr>
          <w:rFonts w:cs="Calibri"/>
        </w:rPr>
        <w:t xml:space="preserve"> BRIs have a structure similar to FES, requiring both ecological [production] and economic [demand] measures based on the causal chains from ecological functions to human use of end-products</w:t>
      </w:r>
      <w:r w:rsidR="00533B9A" w:rsidRPr="00BC7A12">
        <w:rPr>
          <w:rFonts w:cs="Calibri"/>
        </w:rPr>
        <w:t xml:space="preserve"> </w:t>
      </w:r>
      <w:r w:rsidR="00533B9A" w:rsidRPr="00BC7A12">
        <w:rPr>
          <w:rFonts w:cs="Calibri"/>
        </w:rPr>
        <w:fldChar w:fldCharType="begin" w:fldLock="1"/>
      </w:r>
      <w:r w:rsidR="00151866" w:rsidRPr="00BC7A12">
        <w:rPr>
          <w:rFonts w:cs="Calibri"/>
        </w:rPr>
        <w:instrText>ADDIN CSL_CITATION {"citationItems":[{"id":"ITEM-1","itemData":{"DOI":"10.1016/j.ecoser.2017.06.003","ISSN":"22120416","abstract":"There is growing demand for information regarding the impacts of decisions on ecosystem services and human benefits. Despite the large and growing quantity of published ecosystem services research, there remains a substantial gap between this research and the information required to support decisions. Research often provides models and tools that do not fully link social and ecological systems; are too complex, specialized, and costly to use; and are targeted to outcomes that differ from those needed by decision makers. Decision makers require cost-effective, straightforward, transferable, scalable, meaningful, and defensible methods that can be readily understood. We provide illustrative examples of these gaps between research and practice and describe how researchers can make their work relevant to decision makers by using Benefit Relevant Indicators (BRIs) and choosing models appropriate for particular decision contexts. We use examples primarily from the United States, including cases that illustrate varying degrees of success in closing these gaps. We include a discussion of the challenges and opportunities researchers face in adapting their work to meet the needs of practitioners.","author":[{"dropping-particle":"","family":"Olander","given":"Lydia","non-dropping-particle":"","parse-names":false,"suffix":""},{"dropping-particle":"","family":"Polasky","given":"Stephen","non-dropping-particle":"","parse-names":false,"suffix":""},{"dropping-particle":"","family":"Kagan","given":"James S","non-dropping-particle":"","parse-names":false,"suffix":""},{"dropping-particle":"","family":"Johnston","given":"Robert J","non-dropping-particle":"","parse-names":false,"suffix":""},{"dropping-particle":"","family":"Wainger","given":"Lisa","non-dropping-particle":"","parse-names":false,"suffix":""},{"dropping-particle":"","family":"Saah","given":"David","non-dropping-particle":"","parse-names":false,"suffix":""},{"dropping-particle":"","family":"Maguire","given":"Lynn","non-dropping-particle":"","parse-names":false,"suffix":""},{"dropping-particle":"","family":"Boyd","given":"James","non-dropping-particle":"","parse-names":false,"suffix":""},{"dropping-particle":"","family":"Yoskowitz","given":"David","non-dropping-particle":"","parse-names":false,"suffix":""}],"container-title":"Ecosystem Services","id":"ITEM-1","issued":{"date-parts":[["2017"]]},"page":"170-182","publisher":"Elsevier B.V.","title":"So you want your research to be relevant? Building the bridge between ecosystem services research and practice","type":"article-journal","volume":"26"},"uris":["http://www.mendeley.com/documents/?uuid=874b392d-c197-40b3-8470-d217d759295a"]}],"mendeley":{"formattedCitation":"(Olander et al. 2017)","plainTextFormattedCitation":"(Olander et al. 2017)","previouslyFormattedCitation":"(Olander et al. 2017)"},"properties":{"noteIndex":0},"schema":"https://github.com/citation-style-language/schema/raw/master/csl-citation.json"}</w:instrText>
      </w:r>
      <w:r w:rsidR="00533B9A" w:rsidRPr="00BC7A12">
        <w:rPr>
          <w:rFonts w:cs="Calibri"/>
        </w:rPr>
        <w:fldChar w:fldCharType="separate"/>
      </w:r>
      <w:r w:rsidR="00533B9A" w:rsidRPr="00BC7A12">
        <w:rPr>
          <w:rFonts w:cs="Calibri"/>
          <w:noProof/>
        </w:rPr>
        <w:t>(Olander et al. 2017)</w:t>
      </w:r>
      <w:r w:rsidR="00533B9A" w:rsidRPr="00BC7A12">
        <w:rPr>
          <w:rFonts w:cs="Calibri"/>
        </w:rPr>
        <w:fldChar w:fldCharType="end"/>
      </w:r>
      <w:r w:rsidR="00475F65" w:rsidRPr="00BC7A12">
        <w:rPr>
          <w:rFonts w:cs="Calibri"/>
        </w:rPr>
        <w:t>.</w:t>
      </w:r>
      <w:r w:rsidRPr="00BC7A12">
        <w:rPr>
          <w:rFonts w:cs="Calibri"/>
        </w:rPr>
        <w:t xml:space="preserve"> </w:t>
      </w:r>
    </w:p>
    <w:p w14:paraId="219F180F" w14:textId="77777777" w:rsidR="00721AD4" w:rsidRPr="00BC7A12" w:rsidRDefault="00721AD4" w:rsidP="00721AD4">
      <w:pPr>
        <w:spacing w:after="0" w:line="240" w:lineRule="auto"/>
        <w:rPr>
          <w:rFonts w:cs="Calibri"/>
        </w:rPr>
      </w:pPr>
    </w:p>
    <w:p w14:paraId="2AA5C713" w14:textId="391675A8" w:rsidR="00C47C1B" w:rsidRPr="00BC7A12" w:rsidRDefault="00C47C1B" w:rsidP="00721AD4">
      <w:pPr>
        <w:spacing w:after="0" w:line="240" w:lineRule="auto"/>
        <w:rPr>
          <w:rFonts w:cs="Calibri"/>
        </w:rPr>
      </w:pPr>
      <w:r w:rsidRPr="00BC7A12">
        <w:rPr>
          <w:rFonts w:cs="Calibri"/>
        </w:rPr>
        <w:t>While comparisons between benefit relevant indicators (BRIs) and FES have been made,</w:t>
      </w:r>
      <w:r w:rsidR="00533B9A" w:rsidRPr="00BC7A12">
        <w:rPr>
          <w:rFonts w:cs="Calibri"/>
        </w:rPr>
        <w:t xml:space="preserve"> </w:t>
      </w:r>
      <w:r w:rsidR="00151866" w:rsidRPr="00BC7A12">
        <w:rPr>
          <w:rFonts w:cs="Calibri"/>
        </w:rPr>
        <w:fldChar w:fldCharType="begin" w:fldLock="1"/>
      </w:r>
      <w:r w:rsidR="006C6EC0" w:rsidRPr="00BC7A12">
        <w:rPr>
          <w:rFonts w:cs="Calibri"/>
        </w:rPr>
        <w:instrText>ADDIN CSL_CITATION {"citationItems":[{"id":"ITEM-1","itemData":{"DOI":"10.1016/j.ecoser.2017.06.003","ISSN":"22120416","abstract":"There is growing demand for information regarding the impacts of decisions on ecosystem services and human benefits. Despite the large and growing quantity of published ecosystem services research, there remains a substantial gap between this research and the information required to support decisions. Research often provides models and tools that do not fully link social and ecological systems; are too complex, specialized, and costly to use; and are targeted to outcomes that differ from those needed by decision makers. Decision makers require cost-effective, straightforward, transferable, scalable, meaningful, and defensible methods that can be readily understood. We provide illustrative examples of these gaps between research and practice and describe how researchers can make their work relevant to decision makers by using Benefit Relevant Indicators (BRIs) and choosing models appropriate for particular decision contexts. We use examples primarily from the United States, including cases that illustrate varying degrees of success in closing these gaps. We include a discussion of the challenges and opportunities researchers face in adapting their work to meet the needs of practitioners.","author":[{"dropping-particle":"","family":"Olander","given":"Lydia","non-dropping-particle":"","parse-names":false,"suffix":""},{"dropping-particle":"","family":"Polasky","given":"Stephen","non-dropping-particle":"","parse-names":false,"suffix":""},{"dropping-particle":"","family":"Kagan","given":"James S","non-dropping-particle":"","parse-names":false,"suffix":""},{"dropping-particle":"","family":"Johnston","given":"Robert J","non-dropping-particle":"","parse-names":false,"suffix":""},{"dropping-particle":"","family":"Wainger","given":"Lisa","non-dropping-particle":"","parse-names":false,"suffix":""},{"dropping-particle":"","family":"Saah","given":"David","non-dropping-particle":"","parse-names":false,"suffix":""},{"dropping-particle":"","family":"Maguire","given":"Lynn","non-dropping-particle":"","parse-names":false,"suffix":""},{"dropping-particle":"","family":"Boyd","given":"James","non-dropping-particle":"","parse-names":false,"suffix":""},{"dropping-particle":"","family":"Yoskowitz","given":"David","non-dropping-particle":"","parse-names":false,"suffix":""}],"container-title":"Ecosystem Services","id":"ITEM-1","issued":{"date-parts":[["2017"]]},"page":"170-182","publisher":"Elsevier B.V.","title":"So you want your research to be relevant? Building the bridge between ecosystem services research and practice","type":"article-journal","volume":"26"},"uris":["http://www.mendeley.com/documents/?uuid=874b392d-c197-40b3-8470-d217d759295a"]},{"id":"ITEM-2","itemData":{"DOI":"10.1016/j.ecolind.2017.12.001","ISSN":"1470160X","abstract":"There is a growing movement in government, environmental non-governmental organizations and the private sector to include ecosystem services in decision making. Adding ecosystem services into assessments implies measuring how much a change in ecological conditions affects people, social benefit, or value to society. Despite consensus around the general merit of accounting for ecosystem services, systematic guidance on what to measure and how is lacking. Current ecosystem services assessments often resort to biophysical proxies (e.g., area of wetland in a floodplain) or even disregard services that seem difficult to measure. Valuation, an important tool for assessing trade-offs and comparing outcomes, is also frequently omitted due to lack of data on social preferences, lack of expertise with valuation methods, or mistrust of valuation methods for non-market services. To address these shortcomings, we propose the use of a new type of indicator that explicitly reflects an ecosystem's capacity to provide benefits to society, ensuring that ecosystem services assessments measure outcomes that are demonstrably and directly relevant to human welfare. We call these Benefit-relevant indicators (BRIs) and describe a process for developing them using causal chains that link management decisions through ecological responses to effects on human well-being. BRIs identify what is valued and by whom, but stop short of valuation. A BRI for the ability of wetlands to ameliorate flooding would connect measures of the quantity and quality of wetland in a floodplain, as affected by wetlands management decisions, to the number of people or properties downstream that are vulnerable to flooding. BRIs can support monetary or non-monetary valuation, but are particularly useful when valuation will not be conducted; in such cases they serve as stand-alone measures of “what is valued” by particular beneficiaries. BRIs are valid measures of ecosystem services in that they are directly linked to human well-being. Flexibility in the development of BRIs helps to ensure that they are broadly applicable across practitioner and stakeholder communities and decision contexts.","author":[{"dropping-particle":"","family":"Olander","given":"Lydia P","non-dropping-particle":"","parse-names":false,"suffix":""},{"dropping-particle":"","family":"Johnston","given":"Robert J","non-dropping-particle":"","parse-names":false,"suffix":""},{"dropping-particle":"","family":"Tallis","given":"Heather","non-dropping-particle":"","parse-names":false,"suffix":""},{"dropping-particle":"","family":"Kagan","given":"James","non-dropping-particle":"","parse-names":false,"suffix":""},{"dropping-particle":"","family":"Maguire","given":"Lynn A","non-dropping-particle":"","parse-names":false,"suffix":""},{"dropping-particle":"","family":"Polasky","given":"Stephen","non-dropping-particle":"","parse-names":false,"suffix":""},{"dropping-particle":"","family":"Urban","given":"Dean","non-dropping-particle":"","parse-names":false,"suffix":""},{"dropping-particle":"","family":"Boyd","given":"James","non-dropping-particle":"","parse-names":false,"suffix":""},{"dropping-particle":"","family":"Wainger","given":"Lisa","non-dropping-particle":"","parse-names":false,"suffix":""},{"dropping-particle":"","family":"Palmer","given":"Margaret","non-dropping-particle":"","parse-names":false,"suffix":""}],"container-title":"Ecological Indicators","id":"ITEM-2","issue":"June 2017","issued":{"date-parts":[["2018"]]},"page":"1262-1272","publisher":"Elsevier","title":"Benefit relevant indicators: Ecosystem services measures that link ecological and social outcomes","type":"article-journal","volume":"85"},"uris":["http://www.mendeley.com/documents/?uuid=53554139-a40a-4a41-bd96-7cdde107f8e0"]}],"mendeley":{"formattedCitation":"(Olander et al. 2017, Olander et al. 2018)","plainTextFormattedCitation":"(Olander et al. 2017, Olander et al. 2018)","previouslyFormattedCitation":"(Olander et al. 2017, Olander et al. 2018)"},"properties":{"noteIndex":0},"schema":"https://github.com/citation-style-language/schema/raw/master/csl-citation.json"}</w:instrText>
      </w:r>
      <w:r w:rsidR="00151866" w:rsidRPr="00BC7A12">
        <w:rPr>
          <w:rFonts w:cs="Calibri"/>
        </w:rPr>
        <w:fldChar w:fldCharType="separate"/>
      </w:r>
      <w:r w:rsidR="00151866" w:rsidRPr="00BC7A12">
        <w:rPr>
          <w:rFonts w:cs="Calibri"/>
          <w:noProof/>
        </w:rPr>
        <w:t>(Olander et al. 2017, Olander et al. 2018)</w:t>
      </w:r>
      <w:r w:rsidR="00151866" w:rsidRPr="00BC7A12">
        <w:rPr>
          <w:rFonts w:cs="Calibri"/>
        </w:rPr>
        <w:fldChar w:fldCharType="end"/>
      </w:r>
      <w:r w:rsidRPr="00BC7A12">
        <w:rPr>
          <w:rFonts w:cs="Calibri"/>
        </w:rPr>
        <w:t xml:space="preserve"> no formal, nor extensive comparison has been made between BRIs and ES-CS.</w:t>
      </w:r>
      <w:r w:rsidR="0084264C" w:rsidRPr="00BC7A12">
        <w:rPr>
          <w:rFonts w:cs="Calibri"/>
        </w:rPr>
        <w:t xml:space="preserve"> A few are offered here.</w:t>
      </w:r>
    </w:p>
    <w:p w14:paraId="7E599470" w14:textId="77777777" w:rsidR="00721AD4" w:rsidRPr="00BC7A12" w:rsidRDefault="00721AD4" w:rsidP="00721AD4">
      <w:pPr>
        <w:spacing w:after="0" w:line="240" w:lineRule="auto"/>
        <w:rPr>
          <w:rFonts w:cs="Calibri"/>
        </w:rPr>
      </w:pPr>
    </w:p>
    <w:p w14:paraId="34D2F055" w14:textId="3F22C3FD" w:rsidR="00C47C1B" w:rsidRPr="00BC7A12" w:rsidRDefault="00C47C1B" w:rsidP="00721AD4">
      <w:pPr>
        <w:spacing w:after="0" w:line="240" w:lineRule="auto"/>
        <w:rPr>
          <w:rFonts w:cs="Calibri"/>
        </w:rPr>
      </w:pPr>
      <w:r w:rsidRPr="00BC7A12">
        <w:rPr>
          <w:rFonts w:cs="Calibri"/>
        </w:rPr>
        <w:t>Principally, the BRIs structure does not provide a hierarchy. As a result, BRIs do not provide the benefits—described below—that ES-CS do. In particular, the ability to help unify the identification and measurement of</w:t>
      </w:r>
      <w:r w:rsidR="000100D8" w:rsidRPr="00BC7A12">
        <w:rPr>
          <w:rFonts w:cs="Calibri"/>
        </w:rPr>
        <w:t xml:space="preserve"> ecosystem services </w:t>
      </w:r>
      <w:r w:rsidRPr="00BC7A12">
        <w:rPr>
          <w:rFonts w:cs="Calibri"/>
        </w:rPr>
        <w:t>and improve transfer of</w:t>
      </w:r>
      <w:r w:rsidR="000100D8" w:rsidRPr="00BC7A12">
        <w:rPr>
          <w:rFonts w:cs="Calibri"/>
        </w:rPr>
        <w:t xml:space="preserve"> ecosystem services </w:t>
      </w:r>
      <w:r w:rsidRPr="00BC7A12">
        <w:rPr>
          <w:rFonts w:cs="Calibri"/>
        </w:rPr>
        <w:t>knowledge, is largely absent. Because of the similarities between BRIs and FES, practitioners familiar with BRIs should find the use of ES-CS relatively easy</w:t>
      </w:r>
      <w:bookmarkEnd w:id="107"/>
      <w:bookmarkEnd w:id="108"/>
      <w:r w:rsidRPr="00BC7A12">
        <w:rPr>
          <w:rFonts w:cs="Calibri"/>
        </w:rPr>
        <w:t xml:space="preserve">. </w:t>
      </w:r>
    </w:p>
    <w:bookmarkEnd w:id="109"/>
    <w:p w14:paraId="1B5AAAD9" w14:textId="77777777" w:rsidR="00C47C1B" w:rsidRPr="00BC7A12" w:rsidRDefault="00C47C1B" w:rsidP="00C47C1B">
      <w:pPr>
        <w:spacing w:after="60"/>
        <w:rPr>
          <w:rFonts w:eastAsia="Times New Roman" w:cs="Calibri"/>
        </w:rPr>
      </w:pPr>
    </w:p>
    <w:p w14:paraId="71C68C03" w14:textId="2548E440" w:rsidR="00C47C1B" w:rsidRPr="00BC7A12" w:rsidRDefault="00C47C1B" w:rsidP="00C47C1B">
      <w:pPr>
        <w:spacing w:after="60"/>
        <w:rPr>
          <w:rFonts w:eastAsia="Times New Roman" w:cs="Calibri"/>
        </w:rPr>
      </w:pPr>
      <w:r w:rsidRPr="00BC7A12">
        <w:rPr>
          <w:rFonts w:eastAsia="Times New Roman" w:cs="Calibri"/>
        </w:rPr>
        <w:t xml:space="preserve">These four ES-CS also have nested hierarchical levels, elements, </w:t>
      </w:r>
      <w:proofErr w:type="gramStart"/>
      <w:r w:rsidRPr="00BC7A12">
        <w:rPr>
          <w:rFonts w:eastAsia="Times New Roman" w:cs="Calibri"/>
        </w:rPr>
        <w:t>codes</w:t>
      </w:r>
      <w:proofErr w:type="gramEnd"/>
      <w:r w:rsidRPr="00BC7A12">
        <w:rPr>
          <w:rFonts w:eastAsia="Times New Roman" w:cs="Calibri"/>
        </w:rPr>
        <w:t xml:space="preserve"> and name</w:t>
      </w:r>
      <w:r w:rsidR="00A11695">
        <w:rPr>
          <w:rFonts w:eastAsia="Times New Roman" w:cs="Calibri"/>
        </w:rPr>
        <w:t xml:space="preserve"> (Table A1)</w:t>
      </w:r>
      <w:r w:rsidRPr="00BC7A12">
        <w:rPr>
          <w:rFonts w:eastAsia="Times New Roman" w:cs="Calibri"/>
        </w:rPr>
        <w:t>. Differences among the ES-CS reflect design choices or biases</w:t>
      </w:r>
      <w:r w:rsidR="008468C5" w:rsidRPr="00BC7A12">
        <w:rPr>
          <w:rFonts w:eastAsia="Times New Roman" w:cs="Calibri"/>
        </w:rPr>
        <w:t xml:space="preserve"> </w:t>
      </w:r>
      <w:r w:rsidR="008468C5" w:rsidRPr="00BC7A12">
        <w:rPr>
          <w:rFonts w:eastAsia="Times New Roman" w:cs="Calibri"/>
        </w:rPr>
        <w:fldChar w:fldCharType="begin" w:fldLock="1"/>
      </w:r>
      <w:r w:rsidR="0047161F" w:rsidRPr="00BC7A12">
        <w:rPr>
          <w:rFonts w:eastAsia="Times New Roman" w:cs="Calibri"/>
        </w:rPr>
        <w:instrText>ADDIN CSL_CITATION {"citationItems":[{"id":"ITEM-1","itemData":{"abstract":"Expert Group Meeting on International Statistical Classifications New York, 13-15 May 2013","author":[{"dropping-particle":"","family":"Hancock","given":"Andrew","non-dropping-particle":"","parse-names":false,"suffix":""}],"container-title":"Expert Group Meeting on International Statistical Classifications. New York, 13-15 May 2013","id":"ITEM-1","issue":"June","issued":{"date-parts":[["2013"]]},"page":"16","title":"Best practice guidelines for Developing International Statistical Classifications","type":"article-journal"},"uris":["http://www.mendeley.com/documents/?uuid=c8b7865d-31e1-4c24-8b28-42be241596cc"]}],"mendeley":{"formattedCitation":"(Hancock 2013)","plainTextFormattedCitation":"(Hancock 2013)","previouslyFormattedCitation":"(Hancock 2013)"},"properties":{"noteIndex":0},"schema":"https://github.com/citation-style-language/schema/raw/master/csl-citation.json"}</w:instrText>
      </w:r>
      <w:r w:rsidR="008468C5" w:rsidRPr="00BC7A12">
        <w:rPr>
          <w:rFonts w:eastAsia="Times New Roman" w:cs="Calibri"/>
        </w:rPr>
        <w:fldChar w:fldCharType="separate"/>
      </w:r>
      <w:r w:rsidR="008468C5" w:rsidRPr="00BC7A12">
        <w:rPr>
          <w:rFonts w:eastAsia="Times New Roman" w:cs="Calibri"/>
          <w:noProof/>
        </w:rPr>
        <w:t>(Hancock 2013)</w:t>
      </w:r>
      <w:r w:rsidR="008468C5" w:rsidRPr="00BC7A12">
        <w:rPr>
          <w:rFonts w:eastAsia="Times New Roman" w:cs="Calibri"/>
        </w:rPr>
        <w:fldChar w:fldCharType="end"/>
      </w:r>
      <w:r w:rsidR="00475F65" w:rsidRPr="00BC7A12">
        <w:rPr>
          <w:rFonts w:eastAsia="Times New Roman" w:cs="Calibri"/>
        </w:rPr>
        <w:t>.</w:t>
      </w:r>
      <w:r w:rsidRPr="00BC7A12">
        <w:rPr>
          <w:rFonts w:eastAsia="Times New Roman" w:cs="Calibri"/>
        </w:rPr>
        <w:t xml:space="preserve"> Regardless of these differences, these ES-CS organize a great deal of information, allow practitioners to traverse the hierarchy, and define an FES by (a) the context in which the ecological end-product is being used— and (b) by identifying elements of the FES within the ES-CS. Each of the elements, in turn, are associated with common names and numeric codes. </w:t>
      </w:r>
    </w:p>
    <w:p w14:paraId="4CABAC09" w14:textId="693A86FB" w:rsidR="00C47C1B" w:rsidRPr="00BC7A12" w:rsidRDefault="00C47C1B" w:rsidP="00C47C1B">
      <w:pPr>
        <w:pStyle w:val="Caption"/>
        <w:keepNext/>
        <w:ind w:firstLine="720"/>
        <w:rPr>
          <w:rFonts w:cs="Calibri"/>
          <w:i w:val="0"/>
          <w:iCs w:val="0"/>
        </w:rPr>
      </w:pPr>
      <w:bookmarkStart w:id="110" w:name="table1"/>
      <w:bookmarkStart w:id="111" w:name="_Hlk516978699"/>
      <w:r w:rsidRPr="00BC7A12">
        <w:rPr>
          <w:rFonts w:cs="Calibri"/>
          <w:i w:val="0"/>
          <w:iCs w:val="0"/>
        </w:rPr>
        <w:t xml:space="preserve">Table </w:t>
      </w:r>
      <w:r w:rsidR="00A11695">
        <w:rPr>
          <w:rFonts w:cs="Calibri"/>
          <w:i w:val="0"/>
          <w:iCs w:val="0"/>
        </w:rPr>
        <w:t>A</w:t>
      </w:r>
      <w:r w:rsidRPr="00BC7A12">
        <w:rPr>
          <w:rFonts w:cs="Calibri"/>
          <w:i w:val="0"/>
          <w:iCs w:val="0"/>
        </w:rPr>
        <w:t>1 Generic ES-CS terms used in this paper</w:t>
      </w:r>
    </w:p>
    <w:bookmarkEnd w:id="110"/>
    <w:bookmarkEnd w:id="111"/>
    <w:tbl>
      <w:tblPr>
        <w:tblStyle w:val="3"/>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1995"/>
        <w:gridCol w:w="2340"/>
        <w:gridCol w:w="3055"/>
      </w:tblGrid>
      <w:tr w:rsidR="00C47C1B" w:rsidRPr="00BC7A12" w14:paraId="562A221C" w14:textId="77777777" w:rsidTr="00721AD4">
        <w:trPr>
          <w:jc w:val="center"/>
        </w:trPr>
        <w:tc>
          <w:tcPr>
            <w:tcW w:w="1695" w:type="dxa"/>
          </w:tcPr>
          <w:p w14:paraId="70F3BB52" w14:textId="77777777" w:rsidR="00C47C1B" w:rsidRPr="00BC7A12" w:rsidRDefault="00C47C1B" w:rsidP="00BE5D0E">
            <w:pPr>
              <w:spacing w:after="60"/>
              <w:rPr>
                <w:rFonts w:eastAsia="Times New Roman" w:cs="Calibri"/>
                <w:sz w:val="22"/>
                <w:szCs w:val="22"/>
              </w:rPr>
            </w:pPr>
          </w:p>
        </w:tc>
        <w:tc>
          <w:tcPr>
            <w:tcW w:w="7390" w:type="dxa"/>
            <w:gridSpan w:val="3"/>
          </w:tcPr>
          <w:p w14:paraId="516621C3" w14:textId="77777777" w:rsidR="00C47C1B" w:rsidRPr="00BC7A12" w:rsidRDefault="00C47C1B" w:rsidP="00BE5D0E">
            <w:pPr>
              <w:spacing w:after="60"/>
              <w:jc w:val="center"/>
              <w:rPr>
                <w:rFonts w:eastAsia="Times New Roman" w:cs="Calibri"/>
                <w:sz w:val="26"/>
                <w:szCs w:val="26"/>
              </w:rPr>
            </w:pPr>
            <w:r w:rsidRPr="00BC7A12">
              <w:rPr>
                <w:rFonts w:eastAsia="Times New Roman" w:cs="Calibri"/>
                <w:b/>
                <w:sz w:val="26"/>
                <w:szCs w:val="26"/>
              </w:rPr>
              <w:t>Specific ES-CS terms and examples</w:t>
            </w:r>
          </w:p>
        </w:tc>
      </w:tr>
      <w:tr w:rsidR="00C47C1B" w:rsidRPr="00BC7A12" w14:paraId="3C4A53D7" w14:textId="77777777" w:rsidTr="00721AD4">
        <w:trPr>
          <w:jc w:val="center"/>
        </w:trPr>
        <w:tc>
          <w:tcPr>
            <w:tcW w:w="1695" w:type="dxa"/>
            <w:shd w:val="clear" w:color="auto" w:fill="auto"/>
          </w:tcPr>
          <w:p w14:paraId="296B7812" w14:textId="1112DC04" w:rsidR="00C47C1B" w:rsidRPr="00BC7A12" w:rsidRDefault="00C47C1B" w:rsidP="00BE5D0E">
            <w:pPr>
              <w:spacing w:after="60"/>
              <w:rPr>
                <w:rFonts w:eastAsia="Times New Roman" w:cs="Calibri"/>
                <w:sz w:val="22"/>
                <w:szCs w:val="22"/>
              </w:rPr>
            </w:pPr>
            <w:r w:rsidRPr="00BC7A12">
              <w:rPr>
                <w:rFonts w:eastAsia="Times New Roman" w:cs="Calibri"/>
                <w:b/>
                <w:sz w:val="22"/>
                <w:szCs w:val="22"/>
              </w:rPr>
              <w:t xml:space="preserve">Term used in this </w:t>
            </w:r>
            <w:r w:rsidR="00721AD4" w:rsidRPr="00BC7A12">
              <w:rPr>
                <w:rFonts w:eastAsia="Times New Roman" w:cs="Calibri"/>
                <w:b/>
                <w:sz w:val="22"/>
                <w:szCs w:val="22"/>
              </w:rPr>
              <w:t>appendix</w:t>
            </w:r>
            <w:r w:rsidRPr="00BC7A12">
              <w:rPr>
                <w:rFonts w:eastAsia="Times New Roman" w:cs="Calibri"/>
                <w:b/>
                <w:sz w:val="22"/>
                <w:szCs w:val="22"/>
              </w:rPr>
              <w:t xml:space="preserve"> </w:t>
            </w:r>
          </w:p>
        </w:tc>
        <w:tc>
          <w:tcPr>
            <w:tcW w:w="1995" w:type="dxa"/>
            <w:shd w:val="clear" w:color="auto" w:fill="auto"/>
          </w:tcPr>
          <w:p w14:paraId="1AEA1399" w14:textId="77777777" w:rsidR="00C47C1B" w:rsidRPr="00BC7A12" w:rsidRDefault="00C47C1B" w:rsidP="00BE5D0E">
            <w:pPr>
              <w:jc w:val="center"/>
              <w:rPr>
                <w:rFonts w:eastAsia="Times New Roman" w:cs="Calibri"/>
                <w:sz w:val="22"/>
                <w:szCs w:val="22"/>
              </w:rPr>
            </w:pPr>
            <w:r w:rsidRPr="00BC7A12">
              <w:rPr>
                <w:rFonts w:eastAsia="Times New Roman" w:cs="Calibri"/>
                <w:b/>
                <w:sz w:val="22"/>
                <w:szCs w:val="22"/>
              </w:rPr>
              <w:t>CICES</w:t>
            </w:r>
          </w:p>
        </w:tc>
        <w:tc>
          <w:tcPr>
            <w:tcW w:w="2340" w:type="dxa"/>
            <w:shd w:val="clear" w:color="auto" w:fill="F2F2F2"/>
          </w:tcPr>
          <w:p w14:paraId="20FE8BE2" w14:textId="77777777" w:rsidR="00C47C1B" w:rsidRPr="00BC7A12" w:rsidRDefault="00C47C1B" w:rsidP="00BE5D0E">
            <w:pPr>
              <w:jc w:val="center"/>
              <w:rPr>
                <w:rFonts w:eastAsia="Times New Roman" w:cs="Calibri"/>
                <w:sz w:val="22"/>
                <w:szCs w:val="22"/>
              </w:rPr>
            </w:pPr>
            <w:r w:rsidRPr="00BC7A12">
              <w:rPr>
                <w:rFonts w:eastAsia="Times New Roman" w:cs="Calibri"/>
                <w:b/>
                <w:sz w:val="22"/>
                <w:szCs w:val="22"/>
              </w:rPr>
              <w:t>FEGS-CS</w:t>
            </w:r>
          </w:p>
          <w:p w14:paraId="60491286" w14:textId="77777777" w:rsidR="00C47C1B" w:rsidRPr="00BC7A12" w:rsidRDefault="00C47C1B" w:rsidP="00BE5D0E">
            <w:pPr>
              <w:jc w:val="center"/>
              <w:rPr>
                <w:rFonts w:eastAsia="Times New Roman" w:cs="Calibri"/>
                <w:sz w:val="12"/>
                <w:szCs w:val="12"/>
              </w:rPr>
            </w:pPr>
            <w:r w:rsidRPr="00BC7A12">
              <w:rPr>
                <w:rFonts w:eastAsia="Times New Roman" w:cs="Calibri"/>
                <w:sz w:val="12"/>
                <w:szCs w:val="12"/>
              </w:rPr>
              <w:t>(to be retired)</w:t>
            </w:r>
          </w:p>
        </w:tc>
        <w:tc>
          <w:tcPr>
            <w:tcW w:w="3055" w:type="dxa"/>
            <w:shd w:val="clear" w:color="auto" w:fill="FFFFFF" w:themeFill="background1"/>
          </w:tcPr>
          <w:p w14:paraId="6E588C13" w14:textId="77777777" w:rsidR="00C47C1B" w:rsidRPr="00BC7A12" w:rsidRDefault="00C47C1B" w:rsidP="00BE5D0E">
            <w:pPr>
              <w:jc w:val="center"/>
              <w:rPr>
                <w:rFonts w:eastAsia="Times New Roman" w:cs="Calibri"/>
                <w:b/>
                <w:sz w:val="22"/>
                <w:szCs w:val="22"/>
              </w:rPr>
            </w:pPr>
            <w:r w:rsidRPr="00BC7A12">
              <w:rPr>
                <w:rFonts w:eastAsia="Times New Roman" w:cs="Calibri"/>
                <w:b/>
                <w:sz w:val="22"/>
                <w:szCs w:val="22"/>
              </w:rPr>
              <w:t>NESCS   and   NESCS Plus</w:t>
            </w:r>
          </w:p>
          <w:p w14:paraId="5602963C" w14:textId="77777777" w:rsidR="00C47C1B" w:rsidRPr="00BC7A12" w:rsidRDefault="00C47C1B" w:rsidP="00BE5D0E">
            <w:pPr>
              <w:jc w:val="center"/>
              <w:rPr>
                <w:rFonts w:eastAsia="Times New Roman" w:cs="Calibri"/>
                <w:sz w:val="22"/>
                <w:szCs w:val="22"/>
              </w:rPr>
            </w:pPr>
            <w:r w:rsidRPr="00BC7A12">
              <w:rPr>
                <w:rFonts w:eastAsia="Times New Roman" w:cs="Calibri"/>
                <w:sz w:val="12"/>
                <w:szCs w:val="12"/>
              </w:rPr>
              <w:t xml:space="preserve">       (to be </w:t>
            </w:r>
            <w:proofErr w:type="gramStart"/>
            <w:r w:rsidRPr="00BC7A12">
              <w:rPr>
                <w:rFonts w:eastAsia="Times New Roman" w:cs="Calibri"/>
                <w:sz w:val="12"/>
                <w:szCs w:val="12"/>
              </w:rPr>
              <w:t xml:space="preserve">retired)   </w:t>
            </w:r>
            <w:proofErr w:type="gramEnd"/>
            <w:r w:rsidRPr="00BC7A12">
              <w:rPr>
                <w:rFonts w:eastAsia="Times New Roman" w:cs="Calibri"/>
                <w:sz w:val="12"/>
                <w:szCs w:val="12"/>
              </w:rPr>
              <w:t xml:space="preserve">               (from FEGS-CS and NESCS)</w:t>
            </w:r>
          </w:p>
        </w:tc>
      </w:tr>
      <w:tr w:rsidR="00C47C1B" w:rsidRPr="00BC7A12" w14:paraId="4C66DCFF" w14:textId="77777777" w:rsidTr="00721AD4">
        <w:trPr>
          <w:jc w:val="center"/>
        </w:trPr>
        <w:tc>
          <w:tcPr>
            <w:tcW w:w="1695" w:type="dxa"/>
            <w:shd w:val="clear" w:color="auto" w:fill="auto"/>
          </w:tcPr>
          <w:p w14:paraId="0A7F22FE" w14:textId="77777777" w:rsidR="00C47C1B" w:rsidRPr="00BC7A12" w:rsidRDefault="00C47C1B" w:rsidP="00BE5D0E">
            <w:pPr>
              <w:spacing w:after="60"/>
              <w:rPr>
                <w:rFonts w:eastAsia="Times New Roman" w:cs="Calibri"/>
                <w:b/>
                <w:sz w:val="22"/>
                <w:szCs w:val="22"/>
              </w:rPr>
            </w:pPr>
            <w:r w:rsidRPr="00BC7A12">
              <w:rPr>
                <w:rFonts w:eastAsia="Times New Roman" w:cs="Calibri"/>
                <w:b/>
                <w:sz w:val="22"/>
                <w:szCs w:val="22"/>
              </w:rPr>
              <w:t>Hierarchical level</w:t>
            </w:r>
            <w:r w:rsidRPr="00BC7A12">
              <w:rPr>
                <w:rFonts w:eastAsia="Times New Roman" w:cs="Calibri"/>
                <w:b/>
                <w:sz w:val="22"/>
                <w:szCs w:val="22"/>
                <w:vertAlign w:val="superscript"/>
              </w:rPr>
              <w:t>*</w:t>
            </w:r>
            <w:r w:rsidRPr="00BC7A12">
              <w:rPr>
                <w:rFonts w:eastAsia="Times New Roman" w:cs="Calibri"/>
                <w:b/>
                <w:sz w:val="22"/>
                <w:szCs w:val="22"/>
              </w:rPr>
              <w:t xml:space="preserve"> </w:t>
            </w:r>
          </w:p>
          <w:p w14:paraId="4A6E337A" w14:textId="77777777" w:rsidR="00C47C1B" w:rsidRPr="00BC7A12" w:rsidRDefault="00C47C1B" w:rsidP="00BE5D0E">
            <w:pPr>
              <w:spacing w:after="60"/>
              <w:rPr>
                <w:rFonts w:eastAsia="Times New Roman" w:cs="Calibri"/>
                <w:sz w:val="16"/>
                <w:szCs w:val="16"/>
              </w:rPr>
            </w:pPr>
            <w:r w:rsidRPr="00BC7A12">
              <w:rPr>
                <w:rFonts w:eastAsia="Times New Roman" w:cs="Calibri"/>
                <w:sz w:val="16"/>
                <w:szCs w:val="16"/>
              </w:rPr>
              <w:t xml:space="preserve">(each has nested sublevels) </w:t>
            </w:r>
          </w:p>
        </w:tc>
        <w:tc>
          <w:tcPr>
            <w:tcW w:w="1995" w:type="dxa"/>
            <w:shd w:val="clear" w:color="auto" w:fill="auto"/>
          </w:tcPr>
          <w:p w14:paraId="00B9BAEC"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Section, Division, Group, Class, Class Type</w:t>
            </w:r>
          </w:p>
        </w:tc>
        <w:tc>
          <w:tcPr>
            <w:tcW w:w="2340" w:type="dxa"/>
            <w:shd w:val="clear" w:color="auto" w:fill="F2F2F2"/>
          </w:tcPr>
          <w:p w14:paraId="70449CEA"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Environmental Class, Environmental Sub-Class, Beneficiary Class, Beneficiary Sub-Class</w:t>
            </w:r>
          </w:p>
        </w:tc>
        <w:tc>
          <w:tcPr>
            <w:tcW w:w="3055" w:type="dxa"/>
            <w:shd w:val="clear" w:color="auto" w:fill="FFFFFF" w:themeFill="background1"/>
          </w:tcPr>
          <w:p w14:paraId="1344AB28"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Environment, Ecological End-Products, Direct Use/Non-Use, Direct User</w:t>
            </w:r>
          </w:p>
        </w:tc>
      </w:tr>
      <w:tr w:rsidR="00C47C1B" w:rsidRPr="00BC7A12" w14:paraId="6B4EBCE2" w14:textId="77777777" w:rsidTr="00721AD4">
        <w:trPr>
          <w:jc w:val="center"/>
        </w:trPr>
        <w:tc>
          <w:tcPr>
            <w:tcW w:w="1695" w:type="dxa"/>
            <w:shd w:val="clear" w:color="auto" w:fill="auto"/>
          </w:tcPr>
          <w:p w14:paraId="2138F6B5" w14:textId="77777777" w:rsidR="00C47C1B" w:rsidRPr="00BC7A12" w:rsidRDefault="00C47C1B" w:rsidP="00BE5D0E">
            <w:pPr>
              <w:spacing w:after="60"/>
              <w:rPr>
                <w:rFonts w:eastAsia="Times New Roman" w:cs="Calibri"/>
                <w:sz w:val="22"/>
                <w:szCs w:val="22"/>
              </w:rPr>
            </w:pPr>
            <w:r w:rsidRPr="00BC7A12">
              <w:rPr>
                <w:rFonts w:eastAsia="Times New Roman" w:cs="Calibri"/>
                <w:b/>
                <w:sz w:val="22"/>
                <w:szCs w:val="22"/>
              </w:rPr>
              <w:t>Example elements of the FES (element)</w:t>
            </w:r>
            <w:r w:rsidRPr="00BC7A12">
              <w:rPr>
                <w:rFonts w:eastAsia="Times New Roman" w:cs="Calibri"/>
                <w:b/>
                <w:sz w:val="22"/>
                <w:szCs w:val="22"/>
                <w:vertAlign w:val="superscript"/>
              </w:rPr>
              <w:t>**</w:t>
            </w:r>
          </w:p>
        </w:tc>
        <w:tc>
          <w:tcPr>
            <w:tcW w:w="1995" w:type="dxa"/>
            <w:shd w:val="clear" w:color="auto" w:fill="auto"/>
          </w:tcPr>
          <w:p w14:paraId="215D4FF4"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Provisioning, Biomass, Wild Animals, Terrestrial, Nutrition</w:t>
            </w:r>
          </w:p>
        </w:tc>
        <w:tc>
          <w:tcPr>
            <w:tcW w:w="2340" w:type="dxa"/>
            <w:shd w:val="clear" w:color="auto" w:fill="F2F2F2"/>
          </w:tcPr>
          <w:p w14:paraId="13D10116"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 xml:space="preserve">Terrestrial, Forest, Recreational, Hunting </w:t>
            </w:r>
          </w:p>
        </w:tc>
        <w:tc>
          <w:tcPr>
            <w:tcW w:w="3055" w:type="dxa"/>
            <w:shd w:val="clear" w:color="auto" w:fill="FFFFFF" w:themeFill="background1"/>
          </w:tcPr>
          <w:p w14:paraId="54235A5E"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Forest, Fauna, Hunting for Consumption, Households</w:t>
            </w:r>
          </w:p>
        </w:tc>
      </w:tr>
      <w:tr w:rsidR="00C47C1B" w:rsidRPr="00BC7A12" w14:paraId="55C7DBD7" w14:textId="77777777" w:rsidTr="00721AD4">
        <w:trPr>
          <w:jc w:val="center"/>
        </w:trPr>
        <w:tc>
          <w:tcPr>
            <w:tcW w:w="1695" w:type="dxa"/>
            <w:shd w:val="clear" w:color="auto" w:fill="auto"/>
          </w:tcPr>
          <w:p w14:paraId="46B12A27" w14:textId="77777777" w:rsidR="00C47C1B" w:rsidRPr="00BC7A12" w:rsidRDefault="00C47C1B" w:rsidP="00BE5D0E">
            <w:pPr>
              <w:spacing w:after="60"/>
              <w:rPr>
                <w:rFonts w:eastAsia="Times New Roman" w:cs="Calibri"/>
                <w:sz w:val="22"/>
                <w:szCs w:val="22"/>
              </w:rPr>
            </w:pPr>
            <w:r w:rsidRPr="00BC7A12">
              <w:rPr>
                <w:rFonts w:eastAsia="Times New Roman" w:cs="Calibri"/>
                <w:b/>
                <w:sz w:val="22"/>
                <w:szCs w:val="22"/>
              </w:rPr>
              <w:t>Code</w:t>
            </w:r>
          </w:p>
        </w:tc>
        <w:tc>
          <w:tcPr>
            <w:tcW w:w="1995" w:type="dxa"/>
            <w:shd w:val="clear" w:color="auto" w:fill="auto"/>
          </w:tcPr>
          <w:p w14:paraId="15AB0458"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1.1.6.2</w:t>
            </w:r>
          </w:p>
        </w:tc>
        <w:tc>
          <w:tcPr>
            <w:tcW w:w="2340" w:type="dxa"/>
            <w:shd w:val="clear" w:color="auto" w:fill="F2F2F2"/>
          </w:tcPr>
          <w:p w14:paraId="5CD26634"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21.0604</w:t>
            </w:r>
          </w:p>
        </w:tc>
        <w:tc>
          <w:tcPr>
            <w:tcW w:w="3055" w:type="dxa"/>
            <w:shd w:val="clear" w:color="auto" w:fill="FFFFFF" w:themeFill="background1"/>
          </w:tcPr>
          <w:p w14:paraId="0EA7C89D"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21.3.1106.2</w:t>
            </w:r>
          </w:p>
        </w:tc>
      </w:tr>
      <w:tr w:rsidR="00C47C1B" w:rsidRPr="00BC7A12" w14:paraId="1E40797B" w14:textId="77777777" w:rsidTr="00721AD4">
        <w:trPr>
          <w:jc w:val="center"/>
        </w:trPr>
        <w:tc>
          <w:tcPr>
            <w:tcW w:w="1695" w:type="dxa"/>
            <w:shd w:val="clear" w:color="auto" w:fill="auto"/>
          </w:tcPr>
          <w:p w14:paraId="6F49B8C5" w14:textId="77777777" w:rsidR="00C47C1B" w:rsidRPr="00BC7A12" w:rsidRDefault="00C47C1B" w:rsidP="00BE5D0E">
            <w:pPr>
              <w:spacing w:after="60"/>
              <w:rPr>
                <w:rFonts w:eastAsia="Times New Roman" w:cs="Calibri"/>
                <w:sz w:val="22"/>
                <w:szCs w:val="22"/>
              </w:rPr>
            </w:pPr>
            <w:r w:rsidRPr="00BC7A12">
              <w:rPr>
                <w:rFonts w:eastAsia="Times New Roman" w:cs="Calibri"/>
                <w:b/>
                <w:sz w:val="22"/>
                <w:szCs w:val="22"/>
              </w:rPr>
              <w:t>Example of the FES the system names</w:t>
            </w:r>
          </w:p>
        </w:tc>
        <w:tc>
          <w:tcPr>
            <w:tcW w:w="1995" w:type="dxa"/>
            <w:shd w:val="clear" w:color="auto" w:fill="auto"/>
          </w:tcPr>
          <w:p w14:paraId="7A424C75"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 xml:space="preserve">Food from wild animals </w:t>
            </w:r>
          </w:p>
        </w:tc>
        <w:tc>
          <w:tcPr>
            <w:tcW w:w="2340" w:type="dxa"/>
            <w:shd w:val="clear" w:color="auto" w:fill="F2F2F2"/>
          </w:tcPr>
          <w:p w14:paraId="5C7C1E1C"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 xml:space="preserve">Recreational forest hunting </w:t>
            </w:r>
          </w:p>
        </w:tc>
        <w:tc>
          <w:tcPr>
            <w:tcW w:w="3055" w:type="dxa"/>
            <w:shd w:val="clear" w:color="auto" w:fill="FFFFFF" w:themeFill="background1"/>
          </w:tcPr>
          <w:p w14:paraId="209C10E2" w14:textId="77777777" w:rsidR="00C47C1B" w:rsidRPr="00BC7A12" w:rsidRDefault="00C47C1B" w:rsidP="00BE5D0E">
            <w:pPr>
              <w:spacing w:after="60"/>
              <w:rPr>
                <w:rFonts w:eastAsia="Times New Roman" w:cs="Calibri"/>
                <w:sz w:val="20"/>
                <w:szCs w:val="20"/>
              </w:rPr>
            </w:pPr>
            <w:r w:rsidRPr="00BC7A12">
              <w:rPr>
                <w:rFonts w:eastAsia="Times New Roman" w:cs="Calibri"/>
                <w:sz w:val="20"/>
                <w:szCs w:val="20"/>
              </w:rPr>
              <w:t>Animals in forests, hunting for household consumption</w:t>
            </w:r>
          </w:p>
        </w:tc>
      </w:tr>
      <w:tr w:rsidR="00C47C1B" w:rsidRPr="00BC7A12" w14:paraId="32BEB42D" w14:textId="77777777" w:rsidTr="00721AD4">
        <w:trPr>
          <w:jc w:val="center"/>
        </w:trPr>
        <w:tc>
          <w:tcPr>
            <w:tcW w:w="9085" w:type="dxa"/>
            <w:gridSpan w:val="4"/>
          </w:tcPr>
          <w:p w14:paraId="2A81332F" w14:textId="0781694A" w:rsidR="00C47C1B" w:rsidRPr="00BC7A12" w:rsidRDefault="00C47C1B" w:rsidP="00BE5D0E">
            <w:pPr>
              <w:pStyle w:val="NormalWeb"/>
              <w:spacing w:after="45" w:afterAutospacing="0"/>
              <w:rPr>
                <w:rFonts w:ascii="Calibri" w:hAnsi="Calibri" w:cs="Calibri"/>
                <w:sz w:val="16"/>
                <w:szCs w:val="16"/>
              </w:rPr>
            </w:pPr>
            <w:bookmarkStart w:id="112" w:name="_Hlk523832917"/>
            <w:r w:rsidRPr="00BC7A12">
              <w:rPr>
                <w:rFonts w:ascii="Calibri" w:hAnsi="Calibri" w:cs="Calibri"/>
                <w:sz w:val="16"/>
                <w:szCs w:val="16"/>
                <w:vertAlign w:val="superscript"/>
              </w:rPr>
              <w:t>*</w:t>
            </w:r>
            <w:r w:rsidRPr="00BC7A12">
              <w:rPr>
                <w:rFonts w:ascii="Calibri" w:hAnsi="Calibri" w:cs="Calibri"/>
                <w:sz w:val="16"/>
                <w:szCs w:val="16"/>
              </w:rPr>
              <w:t xml:space="preserve">A hierarchical level is a “holon”—each level is a whole for the level below and a part for the level above. This means that each holon level defines the boundaries of the level below. Users of ES-CS can move among higher and lower hierarchical levels confident that each </w:t>
            </w:r>
            <w:r w:rsidRPr="00BC7A12">
              <w:rPr>
                <w:rFonts w:ascii="Calibri" w:hAnsi="Calibri" w:cs="Calibri"/>
                <w:sz w:val="16"/>
                <w:szCs w:val="16"/>
              </w:rPr>
              <w:lastRenderedPageBreak/>
              <w:t>level is properly nested and therefore (1) mutually exclusive from the other hierarchical levels and (2) consistent within that level. For example, the CICES’s Division “Biomass” will only contain plants and animals, and not soils or habitats.</w:t>
            </w:r>
            <w:r w:rsidRPr="00BC7A12">
              <w:rPr>
                <w:rStyle w:val="FootnoteReference"/>
                <w:rFonts w:ascii="Calibri" w:hAnsi="Calibri" w:cs="Calibri"/>
                <w:sz w:val="16"/>
                <w:szCs w:val="16"/>
              </w:rPr>
              <w:footnoteReference w:id="17"/>
            </w:r>
            <w:r w:rsidRPr="00BC7A12">
              <w:rPr>
                <w:rFonts w:ascii="Calibri" w:hAnsi="Calibri" w:cs="Calibri"/>
                <w:sz w:val="16"/>
                <w:szCs w:val="16"/>
              </w:rPr>
              <w:t> </w:t>
            </w:r>
            <w:bookmarkEnd w:id="112"/>
          </w:p>
          <w:p w14:paraId="39956133" w14:textId="77777777" w:rsidR="00C47C1B" w:rsidRPr="00BC7A12" w:rsidRDefault="00C47C1B" w:rsidP="00BE5D0E">
            <w:pPr>
              <w:spacing w:after="60"/>
              <w:rPr>
                <w:rFonts w:eastAsia="Times New Roman" w:cs="Calibri"/>
                <w:sz w:val="18"/>
                <w:szCs w:val="18"/>
              </w:rPr>
            </w:pPr>
            <w:r w:rsidRPr="00BC7A12">
              <w:rPr>
                <w:rFonts w:eastAsia="Times New Roman" w:cs="Calibri"/>
                <w:sz w:val="16"/>
                <w:szCs w:val="16"/>
                <w:vertAlign w:val="superscript"/>
              </w:rPr>
              <w:t>**</w:t>
            </w:r>
            <w:r w:rsidRPr="00BC7A12">
              <w:rPr>
                <w:rFonts w:eastAsia="Times New Roman" w:cs="Calibri"/>
                <w:sz w:val="16"/>
                <w:szCs w:val="16"/>
              </w:rPr>
              <w:t>Practitioners employ the hierarchy of an ES-CS to identify the FES of interest. Traversing the span of the hierarchy as one would go through a checklist helps prompt the practitioner not to overlook potential FES of interest. CICES intends a narrowing from the general to the specific (within Provisioning, Regulating and Maintenance, and Cultural), whereas the FEGS-CS, NESCS and NESCS Plus require the selection of elements that must be matched together to meet their identification criteria for an FES.</w:t>
            </w:r>
            <w:r w:rsidRPr="00BC7A12">
              <w:rPr>
                <w:rFonts w:eastAsia="Times New Roman" w:cs="Calibri"/>
                <w:sz w:val="18"/>
                <w:szCs w:val="18"/>
              </w:rPr>
              <w:t xml:space="preserve"> </w:t>
            </w:r>
          </w:p>
        </w:tc>
      </w:tr>
    </w:tbl>
    <w:p w14:paraId="412CAB91" w14:textId="77777777" w:rsidR="002B34A3" w:rsidRPr="00BC7A12" w:rsidRDefault="002B34A3" w:rsidP="00C47C1B">
      <w:pPr>
        <w:spacing w:after="60"/>
        <w:rPr>
          <w:rFonts w:eastAsia="Times New Roman" w:cs="Calibri"/>
        </w:rPr>
      </w:pPr>
    </w:p>
    <w:p w14:paraId="44A45A2D" w14:textId="1F6357D1" w:rsidR="00C47C1B" w:rsidRPr="00BC7A12" w:rsidRDefault="00C47C1B" w:rsidP="00C47C1B">
      <w:pPr>
        <w:spacing w:after="60"/>
        <w:rPr>
          <w:rFonts w:eastAsia="Times New Roman" w:cs="Calibri"/>
        </w:rPr>
      </w:pPr>
      <w:r w:rsidRPr="00BC7A12">
        <w:rPr>
          <w:rFonts w:eastAsia="Times New Roman" w:cs="Calibri"/>
        </w:rPr>
        <w:t xml:space="preserve">UNSD SEEA workshops are ongoing </w:t>
      </w:r>
      <w:r w:rsidRPr="00BC7A12">
        <w:rPr>
          <w:rFonts w:eastAsia="ヒラギノ角ゴ Pro W3" w:cs="Calibri"/>
        </w:rPr>
        <w:t>to select or develop an ES-CS useful over the long term for ecosystem accounting purposes</w:t>
      </w:r>
      <w:r w:rsidRPr="00BC7A12">
        <w:rPr>
          <w:rFonts w:eastAsia="Times New Roman" w:cs="Calibri"/>
        </w:rPr>
        <w:t>. Parallel discussions on the relative merits among ES-CS have been taking place in the literature and at A Community on Ecosystem Services (ACES),</w:t>
      </w:r>
      <w:r w:rsidR="00275550" w:rsidRPr="00BC7A12">
        <w:rPr>
          <w:rFonts w:eastAsia="Times New Roman" w:cs="Calibri"/>
        </w:rPr>
        <w:t xml:space="preserve"> </w:t>
      </w:r>
      <w:r w:rsidR="00275550" w:rsidRPr="00BC7A12">
        <w:rPr>
          <w:rFonts w:eastAsia="Times New Roman" w:cs="Calibri"/>
        </w:rPr>
        <w:fldChar w:fldCharType="begin" w:fldLock="1"/>
      </w:r>
      <w:r w:rsidR="008468C5" w:rsidRPr="00BC7A12">
        <w:rPr>
          <w:rFonts w:eastAsia="Times New Roman" w:cs="Calibri"/>
        </w:rPr>
        <w:instrText>ADDIN CSL_CITATION {"citationItems":[{"id":"ITEM-1","itemData":{"author":[{"dropping-particle":"","family":"Finisdore","given":"John","non-dropping-particle":"","parse-names":false,"suffix":""},{"dropping-particle":"","family":"Rhodes","given":"Charles R","non-dropping-particle":"","parse-names":false,"suffix":""},{"dropping-particle":"","family":"Dvarskas","given":"Anthony","non-dropping-particle":"","parse-names":false,"suffix":""},{"dropping-particle":"","family":"Houdet","given":"Joël","non-dropping-particle":"","parse-names":false,"suffix":""},{"dropping-particle":"","family":"Maynard","given":"Simone","non-dropping-particle":"","parse-names":false,"suffix":""}],"container-title":"A Community on Ecosystem Services. Conference poster","id":"ITEM-1","issued":{"date-parts":[["2016"]]},"title":"Improving corporate performance with final ecosystem services","type":"paper-conference"},"uris":["http://www.mendeley.com/documents/?uuid=f7e3a493-9f44-41bb-bc14-5ffc1a0fcdf0"]},{"id":"ITEM-2","itemData":{"author":[{"dropping-particle":"","family":"Rhodes","given":"Charles R","non-dropping-particle":"","parse-names":false,"suffix":""},{"dropping-particle":"","family":"Landers","given":"Dixon","non-dropping-particle":"","parse-names":false,"suffix":""},{"dropping-particle":"","family":"Haines-Young","given":"Roy","non-dropping-particle":"","parse-names":false,"suffix":""},{"dropping-particle":"","family":"Petersen","given":"Jan-Erik","non-dropping-particle":"","parse-names":false,"suffix":""},{"dropping-particle":"","family":"Nahlik","given":"Amanda","non-dropping-particle":"","parse-names":false,"suffix":""},{"dropping-particle":"","family":"Notte","given":"Alessandra","non-dropping-particle":"La","parse-names":false,"suffix":""}],"id":"ITEM-2","issued":{"date-parts":[["2016"]]},"note":"Conference Presentation","page":"25","publisher":"A Community on Ecosystem Services","publisher-place":"Jacksonville,FL","title":"CLASSIFYING ECOSYSTEM SERVICES FOR ECOSYSTEM ACCOUNTING AND RESEARCH PURPOSES – STATE OF THE ART AND KEY CHALLENGES","type":"paper-conference"},"uris":["http://www.mendeley.com/documents/?uuid=2e6e4887-c0b3-4cfe-8e2c-843a3867fa2c"]}],"mendeley":{"formattedCitation":"(Finisdore et al. 2016, Rhodes, Landers, Haines-Young, et al. 2016)","plainTextFormattedCitation":"(Finisdore et al. 2016, Rhodes, Landers, Haines-Young, et al. 2016)","previouslyFormattedCitation":"(Finisdore et al. 2016, Rhodes, Landers, Haines-Young, et al. 2016)"},"properties":{"noteIndex":0},"schema":"https://github.com/citation-style-language/schema/raw/master/csl-citation.json"}</w:instrText>
      </w:r>
      <w:r w:rsidR="00275550" w:rsidRPr="00BC7A12">
        <w:rPr>
          <w:rFonts w:eastAsia="Times New Roman" w:cs="Calibri"/>
        </w:rPr>
        <w:fldChar w:fldCharType="separate"/>
      </w:r>
      <w:r w:rsidR="00275550" w:rsidRPr="00BC7A12">
        <w:rPr>
          <w:rFonts w:eastAsia="Times New Roman" w:cs="Calibri"/>
          <w:noProof/>
        </w:rPr>
        <w:t>(Finisdore et al. 2016, Rhodes, Landers, Haines-Young, et al. 2016)</w:t>
      </w:r>
      <w:r w:rsidR="00275550" w:rsidRPr="00BC7A12">
        <w:rPr>
          <w:rFonts w:eastAsia="Times New Roman" w:cs="Calibri"/>
        </w:rPr>
        <w:fldChar w:fldCharType="end"/>
      </w:r>
      <w:r w:rsidRPr="00BC7A12">
        <w:rPr>
          <w:rFonts w:eastAsia="Times New Roman" w:cs="Calibri"/>
        </w:rPr>
        <w:t xml:space="preserve"> at a High Level Discussion on Ecosystem Accounting,</w:t>
      </w:r>
      <w:r w:rsidR="00275550" w:rsidRPr="00BC7A12">
        <w:rPr>
          <w:rFonts w:eastAsia="Times New Roman" w:cs="Calibri"/>
        </w:rPr>
        <w:t xml:space="preserve"> </w:t>
      </w:r>
      <w:r w:rsidR="00275550" w:rsidRPr="00BC7A12">
        <w:rPr>
          <w:rFonts w:eastAsia="Times New Roman" w:cs="Calibri"/>
        </w:rPr>
        <w:fldChar w:fldCharType="begin" w:fldLock="1"/>
      </w:r>
      <w:r w:rsidR="00275550" w:rsidRPr="00BC7A12">
        <w:rPr>
          <w:rFonts w:eastAsia="Times New Roman" w:cs="Calibri"/>
        </w:rPr>
        <w:instrText>ADDIN CSL_CITATION {"citationItems":[{"id":"ITEM-1","itemData":{"author":[{"dropping-particle":"","family":"Partnership Ecosystem Services","given":"","non-dropping-particle":"","parse-names":false,"suffix":""}],"id":"ITEM-1","issued":{"date-parts":[["2018"]]},"title":"Results of Google search for \"classification\" on ESP website highlighting ESP's work in the area","type":"article"},"uris":["http://www.mendeley.com/documents/?uuid=1ecfc9c6-d41b-46e0-83df-fcda58f265dc"]}],"mendeley":{"formattedCitation":"(Partnership Ecosystem Services 2018)","plainTextFormattedCitation":"(Partnership Ecosystem Services 2018)","previouslyFormattedCitation":"(Partnership Ecosystem Services 2018)"},"properties":{"noteIndex":0},"schema":"https://github.com/citation-style-language/schema/raw/master/csl-citation.json"}</w:instrText>
      </w:r>
      <w:r w:rsidR="00275550" w:rsidRPr="00BC7A12">
        <w:rPr>
          <w:rFonts w:eastAsia="Times New Roman" w:cs="Calibri"/>
        </w:rPr>
        <w:fldChar w:fldCharType="separate"/>
      </w:r>
      <w:r w:rsidR="00275550" w:rsidRPr="00BC7A12">
        <w:rPr>
          <w:rFonts w:eastAsia="Times New Roman" w:cs="Calibri"/>
          <w:noProof/>
        </w:rPr>
        <w:t>(Partnership Ecosystem Services 2018)</w:t>
      </w:r>
      <w:r w:rsidR="00275550" w:rsidRPr="00BC7A12">
        <w:rPr>
          <w:rFonts w:eastAsia="Times New Roman" w:cs="Calibri"/>
        </w:rPr>
        <w:fldChar w:fldCharType="end"/>
      </w:r>
      <w:r w:rsidRPr="00BC7A12">
        <w:rPr>
          <w:rFonts w:eastAsia="Times New Roman" w:cs="Calibri"/>
        </w:rPr>
        <w:t xml:space="preserve"> at a workshop on natural capital accounting,</w:t>
      </w:r>
      <w:r w:rsidR="00275550" w:rsidRPr="00BC7A12">
        <w:rPr>
          <w:rFonts w:eastAsia="Times New Roman" w:cs="Calibri"/>
        </w:rPr>
        <w:t xml:space="preserve"> </w:t>
      </w:r>
      <w:r w:rsidR="00275550" w:rsidRPr="00BC7A12">
        <w:rPr>
          <w:rFonts w:eastAsia="Times New Roman" w:cs="Calibri"/>
        </w:rPr>
        <w:fldChar w:fldCharType="begin" w:fldLock="1"/>
      </w:r>
      <w:r w:rsidR="00275550" w:rsidRPr="00BC7A12">
        <w:rPr>
          <w:rFonts w:eastAsia="Times New Roman" w:cs="Calibri"/>
        </w:rPr>
        <w:instrText>ADDIN CSL_CITATION {"citationItems":[{"id":"ITEM-1","itemData":{"author":[{"dropping-particle":"","family":"Irwin","given":"Rodney","non-dropping-particle":"","parse-names":false,"suffix":""},{"dropping-particle":"","family":"Schaltegger","given":"Stefan","non-dropping-particle":"","parse-names":false,"suffix":""}],"container-title":"International Sustainability Accounting Symposium 2015 Measuring sustainability performance : Bridging corporate and academic contributions content and scope of sustainability accounting","id":"ITEM-1","issued":{"date-parts":[["2015"]]},"page":"1-124","publisher":"the World Business Council for Sustainable Development (WBCSD), the Environmental and Sustainability Management Accounting Network (EMAN) and the Centre for Sustainability Management (CSM)","title":"Environmental and Sustainability Management Accounting Network","type":"paper-conference"},"uris":["http://www.mendeley.com/documents/?uuid=4dc68d9a-0dee-4098-ad35-67f9cf3082ae"]}],"mendeley":{"formattedCitation":"(Irwin &amp; Schaltegger 2015)","plainTextFormattedCitation":"(Irwin &amp; Schaltegger 2015)","previouslyFormattedCitation":"(Irwin &amp; Schaltegger 2015)"},"properties":{"noteIndex":0},"schema":"https://github.com/citation-style-language/schema/raw/master/csl-citation.json"}</w:instrText>
      </w:r>
      <w:r w:rsidR="00275550" w:rsidRPr="00BC7A12">
        <w:rPr>
          <w:rFonts w:eastAsia="Times New Roman" w:cs="Calibri"/>
        </w:rPr>
        <w:fldChar w:fldCharType="separate"/>
      </w:r>
      <w:r w:rsidR="00275550" w:rsidRPr="00BC7A12">
        <w:rPr>
          <w:rFonts w:eastAsia="Times New Roman" w:cs="Calibri"/>
          <w:noProof/>
        </w:rPr>
        <w:t>(Irwin &amp; Schaltegger 2015)</w:t>
      </w:r>
      <w:r w:rsidR="00275550" w:rsidRPr="00BC7A12">
        <w:rPr>
          <w:rFonts w:eastAsia="Times New Roman" w:cs="Calibri"/>
        </w:rPr>
        <w:fldChar w:fldCharType="end"/>
      </w:r>
      <w:r w:rsidRPr="00BC7A12">
        <w:rPr>
          <w:rFonts w:eastAsia="Times New Roman" w:cs="Calibri"/>
        </w:rPr>
        <w:t xml:space="preserve"> the Natural Capital Coalition,</w:t>
      </w:r>
      <w:r w:rsidR="00275550" w:rsidRPr="00BC7A12">
        <w:rPr>
          <w:rFonts w:eastAsia="Times New Roman" w:cs="Calibri"/>
        </w:rPr>
        <w:t xml:space="preserve"> </w:t>
      </w:r>
      <w:r w:rsidR="00275550" w:rsidRPr="00BC7A12">
        <w:rPr>
          <w:rFonts w:eastAsia="Times New Roman" w:cs="Calibri"/>
        </w:rPr>
        <w:fldChar w:fldCharType="begin" w:fldLock="1"/>
      </w:r>
      <w:r w:rsidR="00275550" w:rsidRPr="00BC7A12">
        <w:rPr>
          <w:rFonts w:eastAsia="Times New Roman" w:cs="Calibri"/>
        </w:rPr>
        <w:instrText>ADDIN CSL_CITATION {"citationItems":[{"id":"ITEM-1","itemData":{"DOI":"www.naturalcapitalcoalition.org","ISBN":"9783944280110","ISSN":"0167-6369","PMID":"12858995","abstract":"Natural capital is the extension of the economic notion of capital (manufactured means of production) to environmental goods and services. A functional definition of capital in general is: \"a stock that yields a flow of valuable goods or services into the future\". Natural capital is thus the stock of natural ecosystems that yields a flow of valuable ecosystem goods or services into the future. For example, a stock of trees or fish provides a flow of new trees or fish, a flow which can be sustainable indefinetely. Natural capital may also provide services like recycling wastes or water catchment and erosion control. Since the flow of services from ecosystems requires that they function as whole systems, the structure and diversity of the system are important components of natural capital.","author":[{"dropping-particle":"","family":"NCC","given":"","non-dropping-particle":"","parse-names":false,"suffix":""}],"container-title":"Natural Capital Coalition Report","id":"ITEM-1","issued":{"date-parts":[["2016"]]},"title":"Natural Capital Protocol","type":"article-journal"},"uris":["http://www.mendeley.com/documents/?uuid=f472b9ba-ee61-46ba-8d2c-e4e55092fa7b"]}],"mendeley":{"formattedCitation":"(NCC 2016)","plainTextFormattedCitation":"(NCC 2016)","previouslyFormattedCitation":"(NCC 2016)"},"properties":{"noteIndex":0},"schema":"https://github.com/citation-style-language/schema/raw/master/csl-citation.json"}</w:instrText>
      </w:r>
      <w:r w:rsidR="00275550" w:rsidRPr="00BC7A12">
        <w:rPr>
          <w:rFonts w:eastAsia="Times New Roman" w:cs="Calibri"/>
        </w:rPr>
        <w:fldChar w:fldCharType="separate"/>
      </w:r>
      <w:r w:rsidR="00275550" w:rsidRPr="00BC7A12">
        <w:rPr>
          <w:rFonts w:eastAsia="Times New Roman" w:cs="Calibri"/>
          <w:noProof/>
        </w:rPr>
        <w:t>(NCC 2016)</w:t>
      </w:r>
      <w:r w:rsidR="00275550" w:rsidRPr="00BC7A12">
        <w:rPr>
          <w:rFonts w:eastAsia="Times New Roman" w:cs="Calibri"/>
        </w:rPr>
        <w:fldChar w:fldCharType="end"/>
      </w:r>
      <w:r w:rsidRPr="00BC7A12">
        <w:rPr>
          <w:rFonts w:eastAsia="Times New Roman" w:cs="Calibri"/>
        </w:rPr>
        <w:t xml:space="preserve"> and at other forums. Finally, as is described in detail later in this paper, practitioners have started drawing from ES-CS principles, specifically using the:</w:t>
      </w:r>
    </w:p>
    <w:p w14:paraId="702440F8" w14:textId="5F31D7AF" w:rsidR="00C47C1B" w:rsidRPr="00BC7A12" w:rsidRDefault="00C47C1B" w:rsidP="00413DAD">
      <w:pPr>
        <w:pStyle w:val="ListParagraph"/>
        <w:numPr>
          <w:ilvl w:val="0"/>
          <w:numId w:val="14"/>
        </w:numPr>
        <w:spacing w:after="60" w:line="240" w:lineRule="auto"/>
        <w:jc w:val="left"/>
        <w:rPr>
          <w:rFonts w:eastAsia="Times New Roman" w:cs="Calibri"/>
        </w:rPr>
      </w:pPr>
      <w:r w:rsidRPr="00BC7A12">
        <w:rPr>
          <w:rFonts w:eastAsia="Times New Roman" w:cs="Calibri"/>
        </w:rPr>
        <w:t>Structure of ES-CS to label</w:t>
      </w:r>
      <w:r w:rsidR="000100D8" w:rsidRPr="00BC7A12">
        <w:rPr>
          <w:rFonts w:eastAsia="Times New Roman" w:cs="Calibri"/>
        </w:rPr>
        <w:t xml:space="preserve"> ecosystem services </w:t>
      </w:r>
    </w:p>
    <w:p w14:paraId="39DD5504" w14:textId="77777777" w:rsidR="00C47C1B" w:rsidRPr="00BC7A12" w:rsidRDefault="00C47C1B" w:rsidP="00413DAD">
      <w:pPr>
        <w:pStyle w:val="ListParagraph"/>
        <w:numPr>
          <w:ilvl w:val="0"/>
          <w:numId w:val="14"/>
        </w:numPr>
        <w:spacing w:after="60" w:line="240" w:lineRule="auto"/>
        <w:jc w:val="left"/>
        <w:rPr>
          <w:rFonts w:eastAsia="Times New Roman" w:cs="Calibri"/>
        </w:rPr>
      </w:pPr>
      <w:r w:rsidRPr="00BC7A12">
        <w:rPr>
          <w:rFonts w:eastAsia="Times New Roman" w:cs="Calibri"/>
        </w:rPr>
        <w:t xml:space="preserve">Metrics associated with elements in an ES-CS </w:t>
      </w:r>
    </w:p>
    <w:p w14:paraId="7B135C15" w14:textId="5ABAC4A7" w:rsidR="00C47C1B" w:rsidRPr="00BC7A12" w:rsidRDefault="00C47C1B" w:rsidP="00C47C1B">
      <w:pPr>
        <w:spacing w:after="60"/>
        <w:rPr>
          <w:rFonts w:eastAsia="Times New Roman" w:cs="Calibri"/>
        </w:rPr>
      </w:pPr>
      <w:r w:rsidRPr="00BC7A12">
        <w:rPr>
          <w:rFonts w:eastAsia="Times New Roman" w:cs="Calibri"/>
        </w:rPr>
        <w:t>Applying these principles effectively turns</w:t>
      </w:r>
      <w:r w:rsidR="000100D8" w:rsidRPr="00BC7A12">
        <w:rPr>
          <w:rFonts w:eastAsia="Times New Roman" w:cs="Calibri"/>
        </w:rPr>
        <w:t xml:space="preserve"> ecosystem services </w:t>
      </w:r>
      <w:r w:rsidRPr="00BC7A12">
        <w:rPr>
          <w:rFonts w:eastAsia="Times New Roman" w:cs="Calibri"/>
        </w:rPr>
        <w:t>into FES and aligns and creates more explicit and appropriate choice of metrics. These principles are already being used to derive or identify FES and their elements without explicitly using ES-CS</w:t>
      </w:r>
      <w:r w:rsidR="00275550" w:rsidRPr="00BC7A12">
        <w:rPr>
          <w:rFonts w:eastAsia="Times New Roman" w:cs="Calibri"/>
        </w:rPr>
        <w:t xml:space="preserve"> </w:t>
      </w:r>
      <w:r w:rsidR="00275550" w:rsidRPr="00BC7A12">
        <w:rPr>
          <w:rFonts w:eastAsia="Times New Roman" w:cs="Calibri"/>
        </w:rPr>
        <w:fldChar w:fldCharType="begin" w:fldLock="1"/>
      </w:r>
      <w:r w:rsidR="00275550" w:rsidRPr="00BC7A12">
        <w:rPr>
          <w:rFonts w:eastAsia="Times New Roman" w:cs="Calibri"/>
        </w:rPr>
        <w:instrText>ADDIN CSL_CITATION {"citationItems":[{"id":"ITEM-1","itemData":{"author":[{"dropping-particle":"","family":"Jiang","given":"Wong","non-dropping-particle":"","parse-names":false,"suffix":""},{"dropping-particle":"","family":"Ouyang","given":"Lee","non-dropping-particle":"","parse-names":false,"suffix":""}],"id":"ITEM-1","issue":"September","issued":{"date-parts":[["2016"]]},"page":"6-7","title":"Implementing Ecosystem Services for Inclusive Green Growth","type":"article-journal"},"uris":["http://www.mendeley.com/documents/?uuid=db74f902-dff3-4124-a28a-e3607162fc2a"]},{"id":"ITEM-2","itemData":{"DOI":"10.1002/ecs2.1806","ISSN":"21508925","abstract":"©2017 Bell et al. Anthropogenic stressors such as climate change, increased fire frequency, and pollution drive shifts in ecosystem function and resilience. Scientists generally rely on biological indicators of these stressors to signal that ecosystem conditions have been altered. However, these biological indicators are not always capable of being directly related to ecosystem components that provide benefits to humans and/or can be used to evaluate the cost-benefit of a change in health of the component (ecosystem services). Therefore, we developed the STEPS (Stressor-Ecological Production function-final ecosystem Services) Framework to link changes in a biological indicator of a stressor to final ecosystem services. The STEPS Framework produces \"chains\" of ecological components that explore the breadth of impacts resulting from the change in a stressor. Chains are comprised of the biological indicator, the ecological production function (EPF, which uses ecological components to link the biological indicator to a final ecosystem service), and the user group who directly uses, appreciates, or values the component. The framework uses a qualitative score (high, medium, low) to describe the strength of science (SOS) for the relationship between each component in the EPF. We tested the STEPS Framework within a workshop setting using the exceedance of critical loads of air pollution as a model stressor and the Final Ecosystem Goods and Services Classification System (FEGS-CS) to describe final ecosystem services. We identified chains for four modes of ecological response to deposition: aquatic acidification, aquatic eutrophication, terrestrial acidification, and terrestrial eutrophication. The workshop participants identified 183 unique EPFs linking a change in a biological indicator to a FEGS; when accounting for the multiple beneficiaries, we ended with 1104 chains. The SOS scores were effective in identifying chains with the highest confidence ranking as well as those where more research is needed. The STEPS Framework could be adapted to any system in which a stressor is modifying a biological component. The results of the analysis can be used by the social science community to apply valuation measures to multiple or selected chains, providing a comprehensive analysis of the effects of anthropogenic stressors on measures of human well-being.","author":[{"dropping-particle":"","family":"Bell","given":"Michael D","non-dropping-particle":"","parse-names":false,"suffix":""},{"dropping-particle":"","family":"Phelan","given":"Jennifer","non-dropping-particle":"","parse-names":false,"suffix":""},{"dropping-particle":"","family":"Blett","given":"Tamara F","non-dropping-particle":"","parse-names":false,"suffix":""},{"dropping-particle":"","family":"Landers","given":"Dixon","non-dropping-particle":"","parse-names":false,"suffix":""},{"dropping-particle":"","family":"Nahlik","given":"Amanda M","non-dropping-particle":"","parse-names":false,"suffix":""},{"dropping-particle":"","family":"Houtven","given":"George","non-dropping-particle":"Van","parse-names":false,"suffix":""},{"dropping-particle":"","family":"Davis","given":"Christine","non-dropping-particle":"","parse-names":false,"suffix":""},{"dropping-particle":"","family":"Clark","given":"Christopher M","non-dropping-particle":"","parse-names":false,"suffix":""},{"dropping-particle":"","family":"Hewitt","given":"Julie","non-dropping-particle":"","parse-names":false,"suffix":""}],"container-title":"Ecosphere","id":"ITEM-2","issued":{"date-parts":[["2017"]]},"title":"A framework to quantify the strength of ecological links between an environmental stressor and final ecosystem services","type":"article-journal"},"uris":["http://www.mendeley.com/documents/?uuid=7d89e065-bd63-4ae9-acc0-10ea722302ce"]},{"id":"ITEM-3","itemData":{"ISSN":"10004890","abstract":"As the biggest inland freshwater lake in China, Bosten Lake provides important ecosystem services to the arid area that is poor in water resources. Ecosystem services valuation of Bosten Lake can reveal the direct contribution of Bosten Lake to human welfare using visible economic data, thus creating economic incentives (e.g. ecological compensation) to protect Bosten Lake. In this paper, we established the final ecosystem services valuation system based on the interactions between regional water resources and socio-economic conditions. We then evaluated the ecological economic value from nine final ecosystem services provided by Bosten Lake in 2012 using market price method, replacement cost method, individual travel cost method, and contingent valuation method. The total estimated value of the ecosystem services from Bosten Lake was 91.89×10&lt;sup&gt;8&lt;/sup&gt; Yuan RMB in 2012, among which the values of runoff regulation, and recreation and tourism were 77.60×10&lt;sup&gt;8&lt;/sup&gt; and 8.44×10&lt;sup&gt;8&lt;/sup&gt; Yuan, respectively, accounting for 93.63% of the total value evaluated. According to the valuation, the nine final ecosystem services were ranked in a descending order as: runoff regulation, recreation and tourism, oxygen release, raw material products, carbon sequestration, aquatic products, non-use value, water resources provision, and water purification. The evaluation results reflect the multiple contributions of Bosten Lake to the sustainability of regional socio-economic development, which will help increase awareness on the multiple ecosystem services from Bosten Lake, and inform managers on creating ecological compensation mechanisms. The evaluation methods and evaluation parameters in this study will also provide guidance to establish monitoring programs to study the influence of alternative ways of water resources allocation on human well-being, and provide important directions on coordinating multiple contradictories among ecology, economy, and society in the processes of water resources development.","author":[{"dropping-particle":"","family":"Jiang","given":"Bo","non-dropping-particle":"","parse-names":false,"suffix":""},{"dropping-particle":"","family":"Chen","given":"Yuan Yuan","non-dropping-particle":"","parse-names":false,"suffix":""},{"dropping-particle":"","family":"Rao","given":"En Ming","non-dropping-particle":"","parse-names":false,"suffix":""},{"dropping-particle":"","family":"Zhang","given":"Lu","non-dropping-particle":"","parse-names":false,"suffix":""},{"dropping-particle":"","family":"Ouyang","given":"Zhi Yun","non-dropping-particle":"","parse-names":false,"suffix":""}],"container-title":"Chinese Journal of Ecology","id":"ITEM-3","issued":{"date-parts":[["2015"]]},"title":"Final ecosystem services valuation of Bosten Lake","type":"article-journal"},"uris":["http://www.mendeley.com/documents/?uuid=7599a634-99c2-4e28-9763-c3cf981906d6"]}],"mendeley":{"formattedCitation":"(Jiang &amp; Ouyang 2016, Bell et al. 2017, Jiang et al. 2015)","plainTextFormattedCitation":"(Jiang &amp; Ouyang 2016, Bell et al. 2017, Jiang et al. 2015)","previouslyFormattedCitation":"(Jiang &amp; Ouyang 2016, Bell et al. 2017, Jiang et al. 2015)"},"properties":{"noteIndex":0},"schema":"https://github.com/citation-style-language/schema/raw/master/csl-citation.json"}</w:instrText>
      </w:r>
      <w:r w:rsidR="00275550" w:rsidRPr="00BC7A12">
        <w:rPr>
          <w:rFonts w:eastAsia="Times New Roman" w:cs="Calibri"/>
        </w:rPr>
        <w:fldChar w:fldCharType="separate"/>
      </w:r>
      <w:r w:rsidR="00275550" w:rsidRPr="00BC7A12">
        <w:rPr>
          <w:rFonts w:eastAsia="Times New Roman" w:cs="Calibri"/>
          <w:noProof/>
        </w:rPr>
        <w:t>(Jiang &amp; Ouyang 2016, Bell et al. 2017, Jiang et al. 2015)</w:t>
      </w:r>
      <w:r w:rsidR="00275550" w:rsidRPr="00BC7A12">
        <w:rPr>
          <w:rFonts w:eastAsia="Times New Roman" w:cs="Calibri"/>
        </w:rPr>
        <w:fldChar w:fldCharType="end"/>
      </w:r>
      <w:r w:rsidR="00475F65" w:rsidRPr="00BC7A12">
        <w:rPr>
          <w:rFonts w:eastAsia="Times New Roman" w:cs="Calibri"/>
        </w:rPr>
        <w:t>.</w:t>
      </w:r>
    </w:p>
    <w:p w14:paraId="4A6F7714" w14:textId="77777777" w:rsidR="002B34A3" w:rsidRPr="00BC7A12" w:rsidRDefault="002B34A3" w:rsidP="00C47C1B">
      <w:pPr>
        <w:rPr>
          <w:rFonts w:eastAsia="Times New Roman" w:cs="Calibri"/>
          <w:b/>
        </w:rPr>
      </w:pPr>
    </w:p>
    <w:p w14:paraId="2C3FCDE5" w14:textId="0F65AB76" w:rsidR="00C47C1B" w:rsidRPr="00BC7A12" w:rsidRDefault="00C47C1B" w:rsidP="00C47C1B">
      <w:pPr>
        <w:rPr>
          <w:rFonts w:cs="Calibri"/>
          <w:b/>
        </w:rPr>
      </w:pPr>
      <w:r w:rsidRPr="00BC7A12">
        <w:rPr>
          <w:rFonts w:eastAsia="Times New Roman" w:cs="Calibri"/>
          <w:b/>
        </w:rPr>
        <w:t>The ad-hoc approach to defining and grouping ES</w:t>
      </w:r>
    </w:p>
    <w:p w14:paraId="26CA9F16" w14:textId="3FF539D6" w:rsidR="00C47C1B" w:rsidRPr="00BC7A12" w:rsidRDefault="00C47C1B" w:rsidP="00C47C1B">
      <w:pPr>
        <w:pBdr>
          <w:top w:val="nil"/>
          <w:left w:val="nil"/>
          <w:bottom w:val="nil"/>
          <w:right w:val="nil"/>
          <w:between w:val="nil"/>
        </w:pBdr>
        <w:rPr>
          <w:rFonts w:eastAsia="Times New Roman" w:cs="Calibri"/>
          <w:color w:val="000000"/>
        </w:rPr>
      </w:pPr>
      <w:r w:rsidRPr="00BC7A12">
        <w:rPr>
          <w:rFonts w:eastAsia="Times New Roman" w:cs="Calibri"/>
          <w:color w:val="000000"/>
        </w:rPr>
        <w:t>Despite these efforts to advance the use of ES-CS, many practitioners continue to define</w:t>
      </w:r>
      <w:r w:rsidR="000100D8" w:rsidRPr="00BC7A12">
        <w:rPr>
          <w:rFonts w:eastAsia="Times New Roman" w:cs="Calibri"/>
          <w:color w:val="000000"/>
        </w:rPr>
        <w:t xml:space="preserve"> ecosystem services </w:t>
      </w:r>
      <w:r w:rsidRPr="00BC7A12">
        <w:rPr>
          <w:rFonts w:eastAsia="Times New Roman" w:cs="Calibri"/>
          <w:color w:val="000000"/>
        </w:rPr>
        <w:t>differently from study to study. There are examples of practitioners selecting definitions from among groupings and classification systems and even customizing the definitions for individual studies</w:t>
      </w:r>
      <w:r w:rsidR="00275550" w:rsidRPr="00BC7A12">
        <w:rPr>
          <w:rFonts w:eastAsia="Times New Roman" w:cs="Calibri"/>
          <w:color w:val="000000"/>
        </w:rPr>
        <w:t xml:space="preserve"> </w:t>
      </w:r>
      <w:r w:rsidR="00275550" w:rsidRPr="00BC7A12">
        <w:rPr>
          <w:rFonts w:eastAsia="Times New Roman" w:cs="Calibri"/>
          <w:color w:val="000000"/>
        </w:rPr>
        <w:fldChar w:fldCharType="begin" w:fldLock="1"/>
      </w:r>
      <w:r w:rsidR="00275550" w:rsidRPr="00BC7A12">
        <w:rPr>
          <w:rFonts w:eastAsia="Times New Roman" w:cs="Calibri"/>
          <w:color w:val="000000"/>
        </w:rPr>
        <w:instrText>ADDIN CSL_CITATION {"citationItems":[{"id":"ITEM-1","itemData":{"DOI":"10.1016/j.ecoser.2017.03.022","ISSN":"22120416","abstract":"Scholarly journal publications on the topic of ecosystem services have substantially grown throughout the past decade, which is evidenced by an expanding world-wide research base. However, several challenges in the field of ecosystem services still remain, including conflicting approaches to ecosystem services terminology, classification schemes, research methods, and reporting requirements. We assess the development and disciplinary focus of ecosystem service research over the last decade using a meta-analysis of peer-reviewed journal publications. The journals of Shengtai Xuebao Acta Ecologica Sinica, Ecosystem Services, PLoS One, and Ecological Economics lead scholarly journals publishing ecosystem services-focused articles. The European Union leads ecosystem services publications (42%), while the United States is responsible for 30% of ecosystem services publications. This analysis is supplemented by a discussion on ecosystem services-focused research and policy to identify trends that encourage future study to resolve some of the current issues faced by the research community.","author":[{"dropping-particle":"","family":"McDonough","given":"Kelsey","non-dropping-particle":"","parse-names":false,"suffix":""},{"dropping-particle":"","family":"Hutchinson","given":"Stacy","non-dropping-particle":"","parse-names":false,"suffix":""},{"dropping-particle":"","family":"Moore","given":"Trisha","non-dropping-particle":"","parse-names":false,"suffix":""},{"dropping-particle":"","family":"Hutchinson","given":"J M.Shawn","non-dropping-particle":"","parse-names":false,"suffix":""}],"container-title":"Ecosystem Services","id":"ITEM-1","issued":{"date-parts":[["2017"]]},"title":"Analysis of publication trends in ecosystem services research","type":"article-journal"},"uris":["http://www.mendeley.com/documents/?uuid=97254653-238a-4f73-9d84-2b16916e355b"]}],"mendeley":{"formattedCitation":"(McDonough et al. 2017)","plainTextFormattedCitation":"(McDonough et al. 2017)","previouslyFormattedCitation":"(McDonough et al. 2017)"},"properties":{"noteIndex":0},"schema":"https://github.com/citation-style-language/schema/raw/master/csl-citation.json"}</w:instrText>
      </w:r>
      <w:r w:rsidR="00275550" w:rsidRPr="00BC7A12">
        <w:rPr>
          <w:rFonts w:eastAsia="Times New Roman" w:cs="Calibri"/>
          <w:color w:val="000000"/>
        </w:rPr>
        <w:fldChar w:fldCharType="separate"/>
      </w:r>
      <w:r w:rsidR="00275550" w:rsidRPr="00BC7A12">
        <w:rPr>
          <w:rFonts w:eastAsia="Times New Roman" w:cs="Calibri"/>
          <w:noProof/>
          <w:color w:val="000000"/>
        </w:rPr>
        <w:t>(McDonough et al. 2017)</w:t>
      </w:r>
      <w:r w:rsidR="00275550" w:rsidRPr="00BC7A12">
        <w:rPr>
          <w:rFonts w:eastAsia="Times New Roman" w:cs="Calibri"/>
          <w:color w:val="000000"/>
        </w:rPr>
        <w:fldChar w:fldCharType="end"/>
      </w:r>
      <w:r w:rsidR="00475F65" w:rsidRPr="00BC7A12">
        <w:rPr>
          <w:rFonts w:eastAsia="Times New Roman" w:cs="Calibri"/>
          <w:color w:val="000000"/>
        </w:rPr>
        <w:t>.</w:t>
      </w:r>
      <w:r w:rsidRPr="00BC7A12">
        <w:rPr>
          <w:rFonts w:eastAsia="Times New Roman" w:cs="Calibri"/>
          <w:color w:val="000000"/>
        </w:rPr>
        <w:t xml:space="preserve"> Within this disorder, the MA four types appears to be the most frequently used definition, grouping, or classification of </w:t>
      </w:r>
      <w:r w:rsidRPr="00BC7A12">
        <w:rPr>
          <w:rFonts w:cs="Calibri"/>
          <w:color w:val="000000"/>
        </w:rPr>
        <w:t>ES</w:t>
      </w:r>
      <w:r w:rsidR="00275550" w:rsidRPr="00BC7A12">
        <w:rPr>
          <w:rFonts w:eastAsia="Times New Roman" w:cs="Calibri"/>
          <w:color w:val="000000"/>
        </w:rPr>
        <w:t xml:space="preserve"> </w:t>
      </w:r>
      <w:r w:rsidR="00275550" w:rsidRPr="00BC7A12">
        <w:rPr>
          <w:rFonts w:eastAsia="Times New Roman" w:cs="Calibri"/>
          <w:color w:val="000000"/>
        </w:rPr>
        <w:fldChar w:fldCharType="begin" w:fldLock="1"/>
      </w:r>
      <w:r w:rsidR="00275550" w:rsidRPr="00BC7A12">
        <w:rPr>
          <w:rFonts w:eastAsia="Times New Roman" w:cs="Calibri"/>
          <w:color w:val="000000"/>
        </w:rPr>
        <w:instrText>ADDIN CSL_CITATION {"citationItems":[{"id":"ITEM-1","itemData":{"ISSN":"00359351","abstract":"The Common International Classification of Ecosystem Services (CICES) has been designed to help measure, account for, and assess ecosystem services. Although it was developed in the context of work on the System of Environmental and Economic Accounting (SEEA) that is being led by the United Nations Statistical Division (UNSD), it has been used widely in ecosystem services research for designing indicators, mapping and for valuation.","author":[{"dropping-particle":"","family":"Haines-Young","given":"Roy","non-dropping-particle":"","parse-names":false,"suffix":""},{"dropping-particle":"","family":"Potschin","given":"Marion B","non-dropping-particle":"","parse-names":false,"suffix":""}],"container-title":"European Environment Agency","id":"ITEM-1","issued":{"date-parts":[["2018"]]},"title":"Common International Classification of Ecosystem Services (CICES) V5.1 and Guidance on the Application of the Revised Structure","type":"article-journal"},"uris":["http://www.mendeley.com/documents/?uuid=d463681d-5b91-474e-bfe4-7b1051eefb90"]}],"mendeley":{"formattedCitation":"(Haines-Young &amp; Potschin 2018)","plainTextFormattedCitation":"(Haines-Young &amp; Potschin 2018)","previouslyFormattedCitation":"(Haines-Young &amp; Potschin 2018)"},"properties":{"noteIndex":0},"schema":"https://github.com/citation-style-language/schema/raw/master/csl-citation.json"}</w:instrText>
      </w:r>
      <w:r w:rsidR="00275550" w:rsidRPr="00BC7A12">
        <w:rPr>
          <w:rFonts w:eastAsia="Times New Roman" w:cs="Calibri"/>
          <w:color w:val="000000"/>
        </w:rPr>
        <w:fldChar w:fldCharType="separate"/>
      </w:r>
      <w:r w:rsidR="00275550" w:rsidRPr="00BC7A12">
        <w:rPr>
          <w:rFonts w:eastAsia="Times New Roman" w:cs="Calibri"/>
          <w:noProof/>
          <w:color w:val="000000"/>
        </w:rPr>
        <w:t>(Haines-Young &amp; Potschin 2018)</w:t>
      </w:r>
      <w:r w:rsidR="00275550" w:rsidRPr="00BC7A12">
        <w:rPr>
          <w:rFonts w:eastAsia="Times New Roman" w:cs="Calibri"/>
          <w:color w:val="000000"/>
        </w:rPr>
        <w:fldChar w:fldCharType="end"/>
      </w:r>
      <w:r w:rsidR="00475F65" w:rsidRPr="00BC7A12">
        <w:rPr>
          <w:rFonts w:eastAsia="Times New Roman" w:cs="Calibri"/>
          <w:color w:val="000000"/>
        </w:rPr>
        <w:t>.</w:t>
      </w:r>
    </w:p>
    <w:p w14:paraId="01D9F260" w14:textId="230B2A39" w:rsidR="00C47C1B" w:rsidRPr="00BC7A12" w:rsidRDefault="00C47C1B" w:rsidP="00C47C1B">
      <w:pPr>
        <w:pBdr>
          <w:top w:val="nil"/>
          <w:left w:val="nil"/>
          <w:bottom w:val="nil"/>
          <w:right w:val="nil"/>
          <w:between w:val="nil"/>
        </w:pBdr>
        <w:rPr>
          <w:rFonts w:eastAsia="Times New Roman" w:cs="Calibri"/>
          <w:color w:val="000000"/>
        </w:rPr>
      </w:pPr>
      <w:r w:rsidRPr="00BC7A12">
        <w:rPr>
          <w:rFonts w:eastAsia="Times New Roman" w:cs="Calibri"/>
          <w:color w:val="000000"/>
        </w:rPr>
        <w:t xml:space="preserve">Hesitance within the field to adopt ES-CS (i.e., CICES, FEGS-CS, NESCS, NESCS Plus) </w:t>
      </w:r>
      <w:r w:rsidRPr="00BC7A12">
        <w:rPr>
          <w:rFonts w:eastAsia="Times New Roman" w:cs="Calibri"/>
        </w:rPr>
        <w:t>may have a few causes.</w:t>
      </w:r>
      <w:r w:rsidR="000100D8" w:rsidRPr="00BC7A12">
        <w:rPr>
          <w:rFonts w:eastAsia="Times New Roman" w:cs="Calibri"/>
        </w:rPr>
        <w:t xml:space="preserve"> ecosystem services </w:t>
      </w:r>
      <w:r w:rsidRPr="00BC7A12">
        <w:rPr>
          <w:rFonts w:eastAsia="Times New Roman" w:cs="Calibri"/>
        </w:rPr>
        <w:t>practitioners may</w:t>
      </w:r>
      <w:r w:rsidRPr="00BC7A12">
        <w:rPr>
          <w:rFonts w:eastAsia="Times New Roman" w:cs="Calibri"/>
          <w:color w:val="000000"/>
        </w:rPr>
        <w:t>:</w:t>
      </w:r>
    </w:p>
    <w:p w14:paraId="21340260" w14:textId="77777777"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rPr>
        <w:t>Anticipate l</w:t>
      </w:r>
      <w:r w:rsidRPr="00BC7A12">
        <w:rPr>
          <w:rFonts w:eastAsia="Times New Roman" w:cs="Calibri"/>
          <w:color w:val="000000"/>
        </w:rPr>
        <w:t>ittle impact from not adopting an ES-C</w:t>
      </w:r>
      <w:r w:rsidRPr="00BC7A12">
        <w:rPr>
          <w:rFonts w:eastAsia="Times New Roman" w:cs="Calibri"/>
        </w:rPr>
        <w:t xml:space="preserve">S </w:t>
      </w:r>
      <w:r w:rsidRPr="00BC7A12">
        <w:rPr>
          <w:rFonts w:eastAsia="Times New Roman" w:cs="Calibri"/>
          <w:color w:val="000000"/>
        </w:rPr>
        <w:t>on the ability to receive funding, publish research, or engage in policy discussions due to low demand for ES-CS based research.</w:t>
      </w:r>
    </w:p>
    <w:p w14:paraId="68333080" w14:textId="03CCDDFD" w:rsidR="00275550"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rPr>
        <w:t>Perceive f</w:t>
      </w:r>
      <w:r w:rsidRPr="00BC7A12">
        <w:rPr>
          <w:rFonts w:eastAsia="Times New Roman" w:cs="Calibri"/>
          <w:color w:val="000000"/>
        </w:rPr>
        <w:t>ew benefits to any specific project, as practitioners appear to believe they fully understand FES or have grown accustomed to ambiguous definitions of</w:t>
      </w:r>
      <w:r w:rsidR="000100D8" w:rsidRPr="00BC7A12">
        <w:rPr>
          <w:rFonts w:eastAsia="Times New Roman" w:cs="Calibri"/>
          <w:color w:val="000000"/>
        </w:rPr>
        <w:t xml:space="preserve"> ecosystem services </w:t>
      </w:r>
      <w:r w:rsidRPr="00BC7A12">
        <w:rPr>
          <w:rFonts w:eastAsia="Times New Roman" w:cs="Calibri"/>
          <w:color w:val="000000"/>
        </w:rPr>
        <w:t>and their measures (e.g., indicators, indices). As a result, a study’s scope can influence the measures selected.</w:t>
      </w:r>
      <w:r w:rsidR="00275550" w:rsidRPr="00BC7A12">
        <w:rPr>
          <w:rFonts w:eastAsia="Times New Roman" w:cs="Calibri"/>
          <w:color w:val="000000"/>
        </w:rPr>
        <w:t xml:space="preserve"> </w:t>
      </w:r>
      <w:r w:rsidR="00275550" w:rsidRPr="00BC7A12">
        <w:rPr>
          <w:rFonts w:eastAsia="Times New Roman" w:cs="Calibri"/>
          <w:color w:val="000000"/>
        </w:rPr>
        <w:fldChar w:fldCharType="begin" w:fldLock="1"/>
      </w:r>
      <w:r w:rsidR="00275550" w:rsidRPr="00BC7A12">
        <w:rPr>
          <w:rFonts w:eastAsia="Times New Roman" w:cs="Calibri"/>
          <w:color w:val="000000"/>
        </w:rPr>
        <w:instrText>ADDIN CSL_CITATION {"citationItems":[{"id":"ITEM-1","itemData":{"DOI":"10.1016/j.ecoser.2017.11.018","ISSN":"22120416","abstract":"We present a ‘concept matching' systematic review linking the classes of the Common International Classification for Ecosystem Services (CICES, v4.3) to the ways scientists define and apply ES indicators in published studies. With the dual aim of creating an overview how the different services are measured in the studies, and determining if CICES provides an appropriate structure to accommodate the ES assessed in the practical literature, we reviewed 85 scientific papers from which 440 indicators were identified. Almost all CICES classes were represented, with cultural and some regulating (e.g. global climate regulation, pollination) ES being the most frequently considered. The four most frequently studied CICES classes (or class clusters) were global climate regulation, aesthetic beauty, recreation, and bio-remediation. Regulating and cultural services were more often assessed than provisioning services. Normalisation to unit area and time was common for indicators of several regulating and provisioning ES. Scores were most frequently used for cultural ES (except recreation) and some regulating services (e.g. flood protection). Altogether 20% of the ES indicators were quantified as an economic value, and monetisation is most frequently done for cultural and provisioning ES. Few regulating services, on the other hand, were monetised (including ones, like global climate regulation, for which appropriate techniques are relatively easily available). The work enabled a library of indicators to be compiled and made available. The findings can be used to help improve CICES so that it can provide a more robust and comprehensive framework for ecosystem assessments.","author":[{"dropping-particle":"","family":"Czúcz","given":"Bálint","non-dropping-particle":"","parse-names":false,"suffix":""},{"dropping-particle":"","family":"Arany","given":"Ildikó","non-dropping-particle":"","parse-names":false,"suffix":""},{"dropping-particle":"","family":"Potschin-Young","given":"Marion","non-dropping-particle":"","parse-names":false,"suffix":""},{"dropping-particle":"","family":"Bereczki","given":"Krisztina","non-dropping-particle":"","parse-names":false,"suffix":""},{"dropping-particle":"","family":"Kertész","given":"Miklós","non-dropping-particle":"","parse-names":false,"suffix":""},{"dropping-particle":"","family":"Kiss","given":"Márton","non-dropping-particle":"","parse-names":false,"suffix":""},{"dropping-particle":"","family":"Aszalós","given":"Réka","non-dropping-particle":"","parse-names":false,"suffix":""},{"dropping-particle":"","family":"Haines-Young","given":"Roy","non-dropping-particle":"","parse-names":false,"suffix":""}],"container-title":"Ecosystem Services","id":"ITEM-1","issued":{"date-parts":[["2018"]]},"page":"145-157","title":"Where concepts meet the real world: A systematic review of ecosystem service indicators and their classification using CICES","type":"article-journal","volume":"29"},"uris":["http://www.mendeley.com/documents/?uuid=12216f30-555d-4c59-8e2a-71b3351aa635"]}],"mendeley":{"formattedCitation":"(Czúcz et al. 2018)","plainTextFormattedCitation":"(Czúcz et al. 2018)","previouslyFormattedCitation":"(Czúcz et al. 2018)"},"properties":{"noteIndex":0},"schema":"https://github.com/citation-style-language/schema/raw/master/csl-citation.json"}</w:instrText>
      </w:r>
      <w:r w:rsidR="00275550" w:rsidRPr="00BC7A12">
        <w:rPr>
          <w:rFonts w:eastAsia="Times New Roman" w:cs="Calibri"/>
          <w:color w:val="000000"/>
        </w:rPr>
        <w:fldChar w:fldCharType="separate"/>
      </w:r>
      <w:r w:rsidR="00275550" w:rsidRPr="00BC7A12">
        <w:rPr>
          <w:rFonts w:eastAsia="Times New Roman" w:cs="Calibri"/>
          <w:noProof/>
          <w:color w:val="000000"/>
        </w:rPr>
        <w:t>(Czúcz et al. 2018)</w:t>
      </w:r>
      <w:r w:rsidR="00275550" w:rsidRPr="00BC7A12">
        <w:rPr>
          <w:rFonts w:eastAsia="Times New Roman" w:cs="Calibri"/>
          <w:color w:val="000000"/>
        </w:rPr>
        <w:fldChar w:fldCharType="end"/>
      </w:r>
      <w:r w:rsidRPr="00BC7A12">
        <w:rPr>
          <w:rFonts w:eastAsia="Times New Roman" w:cs="Calibri"/>
          <w:color w:val="000000"/>
        </w:rPr>
        <w:t xml:space="preserve"> While there is an argument—mirrored in other </w:t>
      </w:r>
      <w:r w:rsidRPr="00BC7A12">
        <w:rPr>
          <w:rFonts w:eastAsia="Times New Roman" w:cs="Calibri"/>
          <w:color w:val="000000"/>
        </w:rPr>
        <w:lastRenderedPageBreak/>
        <w:t>fields—that with enough data and computing power, inferences can be made about the data,</w:t>
      </w:r>
      <w:r w:rsidR="00275550" w:rsidRPr="00BC7A12">
        <w:rPr>
          <w:rFonts w:eastAsia="Times New Roman" w:cs="Calibri"/>
          <w:color w:val="000000"/>
        </w:rPr>
        <w:t xml:space="preserve"> </w:t>
      </w:r>
      <w:r w:rsidRPr="00BC7A12">
        <w:rPr>
          <w:rFonts w:eastAsia="Times New Roman" w:cs="Calibri"/>
          <w:color w:val="000000"/>
        </w:rPr>
        <w:t>many view</w:t>
      </w:r>
      <w:r w:rsidR="000100D8" w:rsidRPr="00BC7A12">
        <w:rPr>
          <w:rFonts w:eastAsia="Times New Roman" w:cs="Calibri"/>
          <w:color w:val="000000"/>
        </w:rPr>
        <w:t xml:space="preserve"> ecosystem services </w:t>
      </w:r>
      <w:r w:rsidRPr="00BC7A12">
        <w:rPr>
          <w:rFonts w:eastAsia="Times New Roman" w:cs="Calibri"/>
          <w:color w:val="000000"/>
        </w:rPr>
        <w:t>as being more illustrative than empirical. This is especially true with</w:t>
      </w:r>
      <w:r w:rsidR="000100D8" w:rsidRPr="00BC7A12">
        <w:rPr>
          <w:rFonts w:eastAsia="Times New Roman" w:cs="Calibri"/>
          <w:color w:val="000000"/>
        </w:rPr>
        <w:t xml:space="preserve"> ecosystem services </w:t>
      </w:r>
      <w:r w:rsidRPr="00BC7A12">
        <w:rPr>
          <w:rFonts w:eastAsia="Times New Roman" w:cs="Calibri"/>
          <w:color w:val="000000"/>
        </w:rPr>
        <w:t>research focused on ecosystem functions.</w:t>
      </w:r>
      <w:r w:rsidR="00275550" w:rsidRPr="00BC7A12">
        <w:rPr>
          <w:rFonts w:eastAsia="Times New Roman" w:cs="Calibri"/>
          <w:color w:val="000000"/>
        </w:rPr>
        <w:t xml:space="preserve"> </w:t>
      </w:r>
      <w:r w:rsidR="00275550" w:rsidRPr="00BC7A12">
        <w:rPr>
          <w:rFonts w:eastAsia="Times New Roman" w:cs="Calibri"/>
          <w:color w:val="000000"/>
        </w:rPr>
        <w:fldChar w:fldCharType="begin" w:fldLock="1"/>
      </w:r>
      <w:r w:rsidR="00275550" w:rsidRPr="00BC7A12">
        <w:rPr>
          <w:rFonts w:eastAsia="Times New Roman" w:cs="Calibri"/>
          <w:color w:val="000000"/>
        </w:rPr>
        <w:instrText>ADDIN CSL_CITATION {"citationItems":[{"id":"ITEM-1","itemData":{"DOI":"10.1016/j.ecoser.2017.11.018","ISSN":"22120416","abstract":"We present a ‘concept matching' systematic review linking the classes of the Common International Classification for Ecosystem Services (CICES, v4.3) to the ways scientists define and apply ES indicators in published studies. With the dual aim of creating an overview how the different services are measured in the studies, and determining if CICES provides an appropriate structure to accommodate the ES assessed in the practical literature, we reviewed 85 scientific papers from which 440 indicators were identified. Almost all CICES classes were represented, with cultural and some regulating (e.g. global climate regulation, pollination) ES being the most frequently considered. The four most frequently studied CICES classes (or class clusters) were global climate regulation, aesthetic beauty, recreation, and bio-remediation. Regulating and cultural services were more often assessed than provisioning services. Normalisation to unit area and time was common for indicators of several regulating and provisioning ES. Scores were most frequently used for cultural ES (except recreation) and some regulating services (e.g. flood protection). Altogether 20% of the ES indicators were quantified as an economic value, and monetisation is most frequently done for cultural and provisioning ES. Few regulating services, on the other hand, were monetised (including ones, like global climate regulation, for which appropriate techniques are relatively easily available). The work enabled a library of indicators to be compiled and made available. The findings can be used to help improve CICES so that it can provide a more robust and comprehensive framework for ecosystem assessments.","author":[{"dropping-particle":"","family":"Czúcz","given":"Bálint","non-dropping-particle":"","parse-names":false,"suffix":""},{"dropping-particle":"","family":"Arany","given":"Ildikó","non-dropping-particle":"","parse-names":false,"suffix":""},{"dropping-particle":"","family":"Potschin-Young","given":"Marion","non-dropping-particle":"","parse-names":false,"suffix":""},{"dropping-particle":"","family":"Bereczki","given":"Krisztina","non-dropping-particle":"","parse-names":false,"suffix":""},{"dropping-particle":"","family":"Kertész","given":"Miklós","non-dropping-particle":"","parse-names":false,"suffix":""},{"dropping-particle":"","family":"Kiss","given":"Márton","non-dropping-particle":"","parse-names":false,"suffix":""},{"dropping-particle":"","family":"Aszalós","given":"Réka","non-dropping-particle":"","parse-names":false,"suffix":""},{"dropping-particle":"","family":"Haines-Young","given":"Roy","non-dropping-particle":"","parse-names":false,"suffix":""}],"container-title":"Ecosystem Services","id":"ITEM-1","issued":{"date-parts":[["2018"]]},"page":"145-157","title":"Where concepts meet the real world: A systematic review of ecosystem service indicators and their classification using CICES","type":"article-journal","volume":"29"},"uris":["http://www.mendeley.com/documents/?uuid=12216f30-555d-4c59-8e2a-71b3351aa635"]}],"mendeley":{"formattedCitation":"(Czúcz et al. 2018)","plainTextFormattedCitation":"(Czúcz et al. 2018)","previouslyFormattedCitation":"(Czúcz et al. 2018)"},"properties":{"noteIndex":0},"schema":"https://github.com/citation-style-language/schema/raw/master/csl-citation.json"}</w:instrText>
      </w:r>
      <w:r w:rsidR="00275550" w:rsidRPr="00BC7A12">
        <w:rPr>
          <w:rFonts w:eastAsia="Times New Roman" w:cs="Calibri"/>
          <w:color w:val="000000"/>
        </w:rPr>
        <w:fldChar w:fldCharType="separate"/>
      </w:r>
      <w:r w:rsidR="00275550" w:rsidRPr="00BC7A12">
        <w:rPr>
          <w:rFonts w:eastAsia="Times New Roman" w:cs="Calibri"/>
          <w:noProof/>
          <w:color w:val="000000"/>
        </w:rPr>
        <w:t>(Czúcz et al. 2018)</w:t>
      </w:r>
      <w:r w:rsidR="00275550" w:rsidRPr="00BC7A12">
        <w:rPr>
          <w:rFonts w:eastAsia="Times New Roman" w:cs="Calibri"/>
          <w:color w:val="000000"/>
        </w:rPr>
        <w:fldChar w:fldCharType="end"/>
      </w:r>
    </w:p>
    <w:p w14:paraId="727E8796" w14:textId="74BB1224"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rPr>
        <w:t>Read standards and guidance documents (e.g., IFC Performance Standard, Natural Capital Protocol) as not endorsing ES-CS and providing little guidance on the level or rigor, leaving practitioners to use the MA four types and treating an</w:t>
      </w:r>
      <w:r w:rsidR="000100D8" w:rsidRPr="00BC7A12">
        <w:rPr>
          <w:rFonts w:eastAsia="Times New Roman" w:cs="Calibri"/>
        </w:rPr>
        <w:t xml:space="preserve"> ecosystem services </w:t>
      </w:r>
      <w:r w:rsidRPr="00BC7A12">
        <w:rPr>
          <w:rFonts w:eastAsia="Times New Roman" w:cs="Calibri"/>
        </w:rPr>
        <w:t>assessment as an insignificant requirement</w:t>
      </w:r>
    </w:p>
    <w:p w14:paraId="7B247B20" w14:textId="1BDF0B3B"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color w:val="000000"/>
        </w:rPr>
        <w:t>Be unaware how best to integrate and scale ecological, social, and economic data and measure ES,</w:t>
      </w:r>
      <w:r w:rsidR="00275550" w:rsidRPr="00BC7A12">
        <w:rPr>
          <w:rFonts w:eastAsia="Times New Roman" w:cs="Calibri"/>
          <w:color w:val="000000"/>
        </w:rPr>
        <w:fldChar w:fldCharType="begin" w:fldLock="1"/>
      </w:r>
      <w:r w:rsidR="00275550" w:rsidRPr="00BC7A12">
        <w:rPr>
          <w:rFonts w:eastAsia="Times New Roman" w:cs="Calibri"/>
          <w:color w:val="000000"/>
        </w:rPr>
        <w:instrText>ADDIN CSL_CITATION {"citationItems":[{"id":"ITEM-1","itemData":{"DOI":"10.1007/978-981-10-1884-8_19","ISBN":"9780660070742","ISSN":"21943168","abstract":"The concept of ecosystem services has a long history, dating to at least the time of Plato. It has since gained attention in economics and ecology research and conservation applications. We review this history, including a focus on recent advances such as the Millennium Ecosystem Assessment, and advances in spatial modeling, economic valuation, and implementation. We provide examples of implementation including water funds, marine spatial planning, land-use planning and human development, and global policy efforts. We conclude with a discussion of the largest research and implementation challenges in this field, identifying the issues that will frame the future growth of the concept of ecosystem services.","author":[{"dropping-particle":"","family":"Preston","given":"Susan M","non-dropping-particle":"","parse-names":false,"suffix":""},{"dropping-particle":"","family":"Raudsepp-Hearne","given":"Ciara","non-dropping-particle":"","parse-names":false,"suffix":""}],"container-title":"Springer Geography","id":"ITEM-1","issued":{"date-parts":[["2017"]]},"number-of-pages":"419-433","publisher":"Value of Nature to Canadians Study Taskforce Federal,","title":"Completing and Using Ecosystem Service Assessment for Decision-Making: An Interdisciplinary Toolkit for Managers and Analysts. Issued","type":"book"},"uris":["http://www.mendeley.com/documents/?uuid=efac3486-f371-4cd3-a3e4-ea6f277af405"]}],"mendeley":{"formattedCitation":"(Preston &amp; Raudsepp-Hearne 2017)","plainTextFormattedCitation":"(Preston &amp; Raudsepp-Hearne 2017)","previouslyFormattedCitation":"(Preston &amp; Raudsepp-Hearne 2017)"},"properties":{"noteIndex":0},"schema":"https://github.com/citation-style-language/schema/raw/master/csl-citation.json"}</w:instrText>
      </w:r>
      <w:r w:rsidR="00275550" w:rsidRPr="00BC7A12">
        <w:rPr>
          <w:rFonts w:eastAsia="Times New Roman" w:cs="Calibri"/>
          <w:color w:val="000000"/>
        </w:rPr>
        <w:fldChar w:fldCharType="separate"/>
      </w:r>
      <w:r w:rsidR="00275550" w:rsidRPr="00BC7A12">
        <w:rPr>
          <w:rFonts w:eastAsia="Times New Roman" w:cs="Calibri"/>
          <w:noProof/>
          <w:color w:val="000000"/>
        </w:rPr>
        <w:t>(Preston &amp; Raudsepp-Hearne 2017)</w:t>
      </w:r>
      <w:r w:rsidR="00275550" w:rsidRPr="00BC7A12">
        <w:rPr>
          <w:rFonts w:eastAsia="Times New Roman" w:cs="Calibri"/>
          <w:color w:val="000000"/>
        </w:rPr>
        <w:fldChar w:fldCharType="end"/>
      </w:r>
      <w:r w:rsidRPr="00BC7A12">
        <w:rPr>
          <w:rFonts w:eastAsia="Times New Roman" w:cs="Calibri"/>
          <w:color w:val="000000"/>
        </w:rPr>
        <w:t xml:space="preserve"> both of which are enabled by ES-CS as is described below </w:t>
      </w:r>
    </w:p>
    <w:p w14:paraId="419481B9" w14:textId="77777777"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rPr>
        <w:t xml:space="preserve">Have, through </w:t>
      </w:r>
      <w:r w:rsidRPr="00BC7A12">
        <w:rPr>
          <w:rFonts w:eastAsia="Times New Roman" w:cs="Calibri"/>
          <w:color w:val="000000"/>
        </w:rPr>
        <w:t xml:space="preserve">staff training, tools and systems development, case studies, and marketing materials </w:t>
      </w:r>
      <w:r w:rsidRPr="00BC7A12">
        <w:rPr>
          <w:rFonts w:eastAsia="Times New Roman" w:cs="Calibri"/>
        </w:rPr>
        <w:t>passively adopted MA or TEEB groupings</w:t>
      </w:r>
      <w:r w:rsidRPr="00BC7A12">
        <w:rPr>
          <w:rFonts w:eastAsia="Times New Roman" w:cs="Calibri"/>
          <w:color w:val="000000"/>
        </w:rPr>
        <w:t xml:space="preserve">  </w:t>
      </w:r>
    </w:p>
    <w:p w14:paraId="79415CDC" w14:textId="77777777"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rPr>
        <w:t xml:space="preserve">Seek to deliver data and analysis that is readily recognized by local stakeholders alone, rather than also aligning these with an ES-CS </w:t>
      </w:r>
    </w:p>
    <w:p w14:paraId="5B946F23" w14:textId="099481F2"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color w:val="000000"/>
        </w:rPr>
        <w:t>Find value in understanding</w:t>
      </w:r>
      <w:r w:rsidR="000100D8" w:rsidRPr="00BC7A12">
        <w:rPr>
          <w:rFonts w:eastAsia="Times New Roman" w:cs="Calibri"/>
          <w:color w:val="000000"/>
        </w:rPr>
        <w:t xml:space="preserve"> ecosystem services </w:t>
      </w:r>
      <w:r w:rsidRPr="00BC7A12">
        <w:rPr>
          <w:rFonts w:eastAsia="Times New Roman" w:cs="Calibri"/>
          <w:color w:val="000000"/>
        </w:rPr>
        <w:t>as “boundary objects” where flexible definitions of</w:t>
      </w:r>
      <w:r w:rsidR="000100D8" w:rsidRPr="00BC7A12">
        <w:rPr>
          <w:rFonts w:eastAsia="Times New Roman" w:cs="Calibri"/>
          <w:color w:val="000000"/>
        </w:rPr>
        <w:t xml:space="preserve"> ecosystem services </w:t>
      </w:r>
      <w:r w:rsidRPr="00BC7A12">
        <w:rPr>
          <w:rFonts w:eastAsia="Times New Roman" w:cs="Calibri"/>
          <w:color w:val="000000"/>
        </w:rPr>
        <w:t>are valuable</w:t>
      </w:r>
      <w:r w:rsidR="00275550" w:rsidRPr="00BC7A12">
        <w:rPr>
          <w:rFonts w:eastAsia="Times New Roman" w:cs="Calibri"/>
          <w:color w:val="000000"/>
        </w:rPr>
        <w:t xml:space="preserve"> </w:t>
      </w:r>
      <w:r w:rsidR="00275550" w:rsidRPr="00BC7A12">
        <w:rPr>
          <w:rFonts w:eastAsia="Times New Roman" w:cs="Calibri"/>
          <w:color w:val="000000"/>
        </w:rPr>
        <w:fldChar w:fldCharType="begin" w:fldLock="1"/>
      </w:r>
      <w:r w:rsidR="00275550" w:rsidRPr="00BC7A12">
        <w:rPr>
          <w:rFonts w:eastAsia="Times New Roman" w:cs="Calibri"/>
          <w:color w:val="000000"/>
        </w:rPr>
        <w:instrText>ADDIN CSL_CITATION {"citationItems":[{"id":"ITEM-1","itemData":{"DOI":"10.1016/j.ecolecon.2017.07.016","ISSN":"09218009","abstract":"The ecosystem services (ES) framework has potential to bring transdisciplinary teams together to achieve societal goals. Some label ES as “boundary objects” that help integrate diverse forms of knowledge across social groups and organizational scales. However, this classification masks complexities that arise from unique characteristics of ES types (i.e., provisioning, regulating, and cultural), which influence their ability to function as boundary objects. We argue that interpretive flexibility and material structures interact in distinct ways across ES types throughout a boundary object “life cycle.” Viewing a 2015 U.S. federal memorandum as a catalyst, we critically evaluate the evolution of ES and its role as a boundary object. We propose that provisioning and regulating services are transitioning out of boundary object status, moving into a more standardized state. However, we anticipate that cultural services may continue to behave as boundary objects if collaborators maintain them as such. This shift in the functionality of ES as boundary objects is an important consideration for future research that attempts to reach across social worlds and disciplinary perspectives. We urge collaborations to rely on the most relevant disciplinary knowledge, rather than allowing the ease of standardized solutions to dictate the boundary of a given problem.","author":[{"dropping-particle":"","family":"Steger","given":"Cara","non-dropping-particle":"","parse-names":false,"suffix":""},{"dropping-particle":"","family":"Hirsch","given":"Shana","non-dropping-particle":"","parse-names":false,"suffix":""},{"dropping-particle":"","family":"Evers","given":"Cody","non-dropping-particle":"","parse-names":false,"suffix":""},{"dropping-particle":"","family":"Branoff","given":"Benjamin","non-dropping-particle":"","parse-names":false,"suffix":""},{"dropping-particle":"","family":"Petrova","given":"Maria","non-dropping-particle":"","parse-names":false,"suffix":""},{"dropping-particle":"","family":"Nielsen-Pincus","given":"Max","non-dropping-particle":"","parse-names":false,"suffix":""},{"dropping-particle":"","family":"Wardropper","given":"Chloe","non-dropping-particle":"","parse-names":false,"suffix":""},{"dropping-particle":"","family":"Riper","given":"Carena J","non-dropping-particle":"van","parse-names":false,"suffix":""}],"container-title":"Ecological Economics","id":"ITEM-1","issued":{"date-parts":[["2018"]]},"title":"Ecosystem Services as Boundary Objects for Transdisciplinary Collaboration","type":"article-journal"},"uris":["http://www.mendeley.com/documents/?uuid=e8bd07f5-e684-4ffd-b145-e39d28c74c2d"]}],"mendeley":{"formattedCitation":"(Steger et al. 2018)","plainTextFormattedCitation":"(Steger et al. 2018)","previouslyFormattedCitation":"(Steger et al. 2018)"},"properties":{"noteIndex":0},"schema":"https://github.com/citation-style-language/schema/raw/master/csl-citation.json"}</w:instrText>
      </w:r>
      <w:r w:rsidR="00275550" w:rsidRPr="00BC7A12">
        <w:rPr>
          <w:rFonts w:eastAsia="Times New Roman" w:cs="Calibri"/>
          <w:color w:val="000000"/>
        </w:rPr>
        <w:fldChar w:fldCharType="separate"/>
      </w:r>
      <w:r w:rsidR="00275550" w:rsidRPr="00BC7A12">
        <w:rPr>
          <w:rFonts w:eastAsia="Times New Roman" w:cs="Calibri"/>
          <w:noProof/>
          <w:color w:val="000000"/>
        </w:rPr>
        <w:t>(Steger et al. 2018)</w:t>
      </w:r>
      <w:r w:rsidR="00275550" w:rsidRPr="00BC7A12">
        <w:rPr>
          <w:rFonts w:eastAsia="Times New Roman" w:cs="Calibri"/>
          <w:color w:val="000000"/>
        </w:rPr>
        <w:fldChar w:fldCharType="end"/>
      </w:r>
    </w:p>
    <w:p w14:paraId="68787E6F" w14:textId="292C2914"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color w:val="000000"/>
        </w:rPr>
        <w:t>Not understand the advantages of “full spectrum”</w:t>
      </w:r>
      <w:r w:rsidR="000100D8" w:rsidRPr="00BC7A12">
        <w:rPr>
          <w:rFonts w:eastAsia="Times New Roman" w:cs="Calibri"/>
          <w:color w:val="000000"/>
        </w:rPr>
        <w:t xml:space="preserve"> ecosystem services </w:t>
      </w:r>
      <w:r w:rsidRPr="00BC7A12">
        <w:rPr>
          <w:rFonts w:eastAsia="Times New Roman" w:cs="Calibri"/>
        </w:rPr>
        <w:t>classification</w:t>
      </w:r>
      <w:r w:rsidRPr="00BC7A12">
        <w:rPr>
          <w:rFonts w:eastAsia="Times New Roman" w:cs="Calibri"/>
          <w:color w:val="000000"/>
        </w:rPr>
        <w:t xml:space="preserve"> that accommodates all FES </w:t>
      </w:r>
    </w:p>
    <w:p w14:paraId="719757AA" w14:textId="38FFA47D"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rPr>
        <w:t>Experience f</w:t>
      </w:r>
      <w:r w:rsidRPr="00BC7A12">
        <w:rPr>
          <w:rFonts w:eastAsia="Times New Roman" w:cs="Calibri"/>
          <w:color w:val="000000"/>
        </w:rPr>
        <w:t>atigue from engaging in similar efforts to standardize terms, systems, and procedures such as satellite data, metrics, and monitoring and evaluation procedures; for which funding is often limited and which are generally more successful in smaller fields with less diversity of disciplines</w:t>
      </w:r>
      <w:r w:rsidR="00275550" w:rsidRPr="00BC7A12">
        <w:rPr>
          <w:rFonts w:eastAsia="Times New Roman" w:cs="Calibri"/>
          <w:color w:val="000000"/>
        </w:rPr>
        <w:t xml:space="preserve"> </w:t>
      </w:r>
      <w:r w:rsidR="00275550" w:rsidRPr="00BC7A12">
        <w:rPr>
          <w:rFonts w:eastAsia="Times New Roman" w:cs="Calibri"/>
          <w:color w:val="000000"/>
        </w:rPr>
        <w:fldChar w:fldCharType="begin" w:fldLock="1"/>
      </w:r>
      <w:r w:rsidR="00275550" w:rsidRPr="00BC7A12">
        <w:rPr>
          <w:rFonts w:eastAsia="Times New Roman" w:cs="Calibri"/>
          <w:color w:val="000000"/>
        </w:rPr>
        <w:instrText>ADDIN CSL_CITATION {"citationItems":[{"id":"ITEM-1","itemData":{"DOI":"10.12688/f1000research.11638.1","abstract":" Correct and reliable linkage of independently produced information is a requirement to enable sophisticated applications and processing workflows. These can ultimately help address the challenges posed by complex systems (such as socio-ecological systems), whose many components can only be described through independently developed data and model products. We discuss the first outcomes of an investigation in the conceptual and methodological aspects of semantic annotation of data and models, aimed to enable a high standard of interoperability of information. The results, operationalized in the context of a long-term, active, large-scale project on ecosystem services assessment, include: A definition of interoperability based on semantics and scale; A conceptual foundation for the phenomenology underlying scientific observations, aimed to guide the practice of semantic annotation in domain communities; A dedicated language and software infrastructure that operationalizes the findings and allows practitioners to reap the benefits of data and model interoperability. The work presented is the first detailed description of almost a decade of work with communities active in socio-ecological system modeling. After defining the boundaries of possible interoperability based on the understanding of scale, we discuss examples of the practical use of the findings to obtain consistent, interoperable and machine-ready semantic specifications that can integrate semantics across diverse domains and disciplines. ","author":[{"dropping-particle":"","family":"Villa","given":"Ferdinando","non-dropping-particle":"","parse-names":false,"suffix":""},{"dropping-particle":"","family":"Balbi","given":"Stefano","non-dropping-particle":"","parse-names":false,"suffix":""},{"dropping-particle":"","family":"Athanasiadis","given":"Ioannis N","non-dropping-particle":"","parse-names":false,"suffix":""},{"dropping-particle":"","family":"Caracciolo","given":"Caterina","non-dropping-particle":"","parse-names":false,"suffix":""}],"container-title":"F1000Research","id":"ITEM-1","issue":"2","issued":{"date-parts":[["2017"]]},"page":"686","title":"Semantics for interoperability of distributed data and models: Foundations for better-connected information","type":"article-journal","volume":"6"},"uris":["http://www.mendeley.com/documents/?uuid=cddd9f7b-9be5-46df-b774-dec5231081b1"]}],"mendeley":{"formattedCitation":"(Villa et al. 2017)","plainTextFormattedCitation":"(Villa et al. 2017)","previouslyFormattedCitation":"(Villa et al. 2017)"},"properties":{"noteIndex":0},"schema":"https://github.com/citation-style-language/schema/raw/master/csl-citation.json"}</w:instrText>
      </w:r>
      <w:r w:rsidR="00275550" w:rsidRPr="00BC7A12">
        <w:rPr>
          <w:rFonts w:eastAsia="Times New Roman" w:cs="Calibri"/>
          <w:color w:val="000000"/>
        </w:rPr>
        <w:fldChar w:fldCharType="separate"/>
      </w:r>
      <w:r w:rsidR="00275550" w:rsidRPr="00BC7A12">
        <w:rPr>
          <w:rFonts w:eastAsia="Times New Roman" w:cs="Calibri"/>
          <w:noProof/>
          <w:color w:val="000000"/>
        </w:rPr>
        <w:t>(Villa et al. 2017)</w:t>
      </w:r>
      <w:r w:rsidR="00275550" w:rsidRPr="00BC7A12">
        <w:rPr>
          <w:rFonts w:eastAsia="Times New Roman" w:cs="Calibri"/>
          <w:color w:val="000000"/>
        </w:rPr>
        <w:fldChar w:fldCharType="end"/>
      </w:r>
      <w:r w:rsidRPr="00BC7A12">
        <w:rPr>
          <w:rFonts w:eastAsia="Times New Roman" w:cs="Calibri"/>
          <w:color w:val="000000"/>
        </w:rPr>
        <w:t xml:space="preserve">  </w:t>
      </w:r>
    </w:p>
    <w:p w14:paraId="560B11D0" w14:textId="77777777"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rPr>
        <w:t>Perceive the c</w:t>
      </w:r>
      <w:r w:rsidRPr="00BC7A12">
        <w:rPr>
          <w:rFonts w:eastAsia="Times New Roman" w:cs="Calibri"/>
          <w:color w:val="000000"/>
        </w:rPr>
        <w:t>osts of implementation to b</w:t>
      </w:r>
      <w:r w:rsidRPr="00BC7A12">
        <w:rPr>
          <w:rFonts w:eastAsia="Times New Roman" w:cs="Calibri"/>
        </w:rPr>
        <w:t xml:space="preserve">e high, </w:t>
      </w:r>
      <w:r w:rsidRPr="00BC7A12">
        <w:rPr>
          <w:rFonts w:eastAsia="Times New Roman" w:cs="Calibri"/>
          <w:color w:val="000000"/>
        </w:rPr>
        <w:t>including:</w:t>
      </w:r>
    </w:p>
    <w:p w14:paraId="01B7388D" w14:textId="32AAFAE6" w:rsidR="00C47C1B" w:rsidRPr="00BC7A12" w:rsidRDefault="00C47C1B" w:rsidP="00413DAD">
      <w:pPr>
        <w:numPr>
          <w:ilvl w:val="1"/>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color w:val="000000"/>
        </w:rPr>
        <w:t xml:space="preserve">Updating research, tools, and techniques to be consistent with </w:t>
      </w:r>
      <w:proofErr w:type="gramStart"/>
      <w:r w:rsidRPr="00BC7A12">
        <w:rPr>
          <w:rFonts w:eastAsia="Times New Roman" w:cs="Calibri"/>
          <w:color w:val="000000"/>
        </w:rPr>
        <w:t>a</w:t>
      </w:r>
      <w:proofErr w:type="gramEnd"/>
      <w:r w:rsidRPr="00BC7A12">
        <w:rPr>
          <w:rFonts w:eastAsia="Times New Roman" w:cs="Calibri"/>
          <w:color w:val="000000"/>
        </w:rPr>
        <w:t xml:space="preserve"> ES-CS</w:t>
      </w:r>
    </w:p>
    <w:p w14:paraId="6D01207C" w14:textId="77777777" w:rsidR="00C47C1B" w:rsidRPr="00BC7A12" w:rsidRDefault="00C47C1B" w:rsidP="00413DAD">
      <w:pPr>
        <w:numPr>
          <w:ilvl w:val="1"/>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color w:val="000000"/>
        </w:rPr>
        <w:t xml:space="preserve">Traversing the learning curve, especially if there is no assisted or automated means for application such as an online ES-CS selection tool or pre-tagged data sets  </w:t>
      </w:r>
    </w:p>
    <w:p w14:paraId="5F4815C8" w14:textId="4C8A1F8B" w:rsidR="00C47C1B" w:rsidRPr="00BC7A12" w:rsidRDefault="00C47C1B" w:rsidP="00413DAD">
      <w:pPr>
        <w:numPr>
          <w:ilvl w:val="1"/>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color w:val="000000"/>
        </w:rPr>
        <w:t>Learning how to numerically code or tag</w:t>
      </w:r>
      <w:r w:rsidR="000100D8" w:rsidRPr="00BC7A12">
        <w:rPr>
          <w:rFonts w:eastAsia="Times New Roman" w:cs="Calibri"/>
          <w:color w:val="000000"/>
        </w:rPr>
        <w:t xml:space="preserve"> ecosystem services </w:t>
      </w:r>
      <w:r w:rsidRPr="00BC7A12">
        <w:rPr>
          <w:rFonts w:eastAsia="Times New Roman" w:cs="Calibri"/>
          <w:color w:val="000000"/>
        </w:rPr>
        <w:t>with the ES-CS and principles</w:t>
      </w:r>
      <w:r w:rsidR="00275550" w:rsidRPr="00BC7A12">
        <w:rPr>
          <w:rFonts w:eastAsia="Times New Roman" w:cs="Calibri"/>
          <w:color w:val="000000"/>
        </w:rPr>
        <w:t xml:space="preserve"> </w:t>
      </w:r>
      <w:r w:rsidR="00275550" w:rsidRPr="00BC7A12">
        <w:rPr>
          <w:rFonts w:eastAsia="Times New Roman" w:cs="Calibri"/>
          <w:color w:val="000000"/>
        </w:rPr>
        <w:fldChar w:fldCharType="begin" w:fldLock="1"/>
      </w:r>
      <w:r w:rsidR="00275550" w:rsidRPr="00BC7A12">
        <w:rPr>
          <w:rFonts w:eastAsia="Times New Roman" w:cs="Calibri"/>
          <w:color w:val="000000"/>
        </w:rPr>
        <w:instrText>ADDIN CSL_CITATION {"citationItems":[{"id":"ITEM-1","itemData":{"DOI":"10.1038/sdata.2016.18","ISSN":"20524463","abstract":"There is an urgent need to improve the infrastructure supporting the reuse of scholarly data. A diverse set of stakeholders-representing academia, industry, funding agencies, and scholarly publishers-have come together to design and jointly endorse a concise and measureable set of principles that we refer to as the FAIR Data Principles. The intent is that these may act as a guideline for those wishing to enhance the reusability of their data holdings. Distinct from peer initiatives that focus on the human scholar, the FAIR Principles put specific emphasis on enhancing the ability of machines to automatically find and use the data, in addition to supporting its reuse by individuals. This Comment is the first formal publication of the FAIR Principles, and includes the rationale behind them, and some exemplar implementations in the community.","author":[{"dropping-particle":"","family":"Wilkinson","given":"Mark D","non-dropping-particle":"","parse-names":false,"suffix":""},{"dropping-particle":"","family":"Dumontier","given":"Michel","non-dropping-particle":"","parse-names":false,"suffix":""},{"dropping-particle":"","family":"Aalbersberg","given":"IJsbrand Jan","non-dropping-particle":"","parse-names":false,"suffix":""},{"dropping-particle":"","family":"Appleton","given":"Gabrielle","non-dropping-particle":"","parse-names":false,"suffix":""},{"dropping-particle":"","family":"Axton","given":"Myles","non-dropping-particle":"","parse-names":false,"suffix":""},{"dropping-particle":"","family":"Baak","given":"Arie","non-dropping-particle":"","parse-names":false,"suffix":""},{"dropping-particle":"","family":"Blomberg","given":"Niklas","non-dropping-particle":"","parse-names":false,"suffix":""},{"dropping-particle":"","family":"Boiten","given":"Jan Willem","non-dropping-particle":"","parse-names":false,"suffix":""},{"dropping-particle":"","family":"Silva Santos","given":"Luiz Bonino","non-dropping-particle":"da","parse-names":false,"suffix":""},{"dropping-particle":"","family":"Bourne","given":"Philip E","non-dropping-particle":"","parse-names":false,"suffix":""},{"dropping-particle":"","family":"Bouwman","given":"Jildau","non-dropping-particle":"","parse-names":false,"suffix":""},{"dropping-particle":"","family":"Brookes","given":"Anthony J","non-dropping-particle":"","parse-names":false,"suffix":""},{"dropping-particle":"","family":"Clark","given":"Tim","non-dropping-particle":"","parse-names":false,"suffix":""},{"dropping-particle":"","family":"Crosas","given":"Mercè","non-dropping-particle":"","parse-names":false,"suffix":""},{"dropping-particle":"","family":"Dillo","given":"Ingrid","non-dropping-particle":"","parse-names":false,"suffix":""},{"dropping-particle":"","family":"Dumon","given":"Olivier","non-dropping-particle":"","parse-names":false,"suffix":""},{"dropping-particle":"","family":"Edmunds","given":"Scott","non-dropping-particle":"","parse-names":false,"suffix":""},{"dropping-particle":"","family":"Evelo","given":"Chris T","non-dropping-particle":"","parse-names":false,"suffix":""},{"dropping-particle":"","family":"Finkers","given":"Richard","non-dropping-particle":"","parse-names":false,"suffix":""},{"dropping-particle":"","family":"Gonzalez-Beltran","given":"Alejandra","non-dropping-particle":"","parse-names":false,"suffix":""},{"dropping-particle":"","family":"Gray","given":"Alasdair J G","non-dropping-particle":"","parse-names":false,"suffix":""},{"dropping-particle":"","family":"Groth","given":"Paul","non-dropping-particle":"","parse-names":false,"suffix":""},{"dropping-particle":"","family":"Goble","given":"Carole","non-dropping-particle":"","parse-names":false,"suffix":""},{"dropping-particle":"","family":"Grethe","given":"Jeffrey S","non-dropping-particle":"","parse-names":false,"suffix":""},{"dropping-particle":"","family":"Heringa","given":"Jaap","non-dropping-particle":"","parse-names":false,"suffix":""},{"dropping-particle":"","family":"t Hoen","given":"Peter A C","non-dropping-particle":"","parse-names":false,"suffix":""},{"dropping-particle":"","family":"Hooft","given":"Rob","non-dropping-particle":"","parse-names":false,"suffix":""},{"dropping-particle":"","family":"Kuhn","given":"Tobias","non-dropping-particle":"","parse-names":false,"suffix":""},{"dropping-particle":"","family":"Kok","given":"Ruben","non-dropping-particle":"","parse-names":false,"suffix":""},{"dropping-particle":"","family":"Kok","given":"Joost","non-dropping-particle":"","parse-names":false,"suffix":""},{"dropping-particle":"","family":"Lusher","given":"Scott J","non-dropping-particle":"","parse-names":false,"suffix":""},{"dropping-particle":"","family":"Martone","given":"Maryann E","non-dropping-particle":"","parse-names":false,"suffix":""},{"dropping-particle":"","family":"Mons","given":"Albert","non-dropping-particle":"","parse-names":false,"suffix":""},{"dropping-particle":"","family":"Packer","given":"Abel L","non-dropping-particle":"","parse-names":false,"suffix":""},{"dropping-particle":"","family":"Persson","given":"Bengt","non-dropping-particle":"","parse-names":false,"suffix":""},{"dropping-particle":"","family":"Rocca-Serra","given":"Philippe","non-dropping-particle":"","parse-names":false,"suffix":""},{"dropping-particle":"","family":"Roos","given":"Marco","non-dropping-particle":"","parse-names":false,"suffix":""},{"dropping-particle":"","family":"Schaik","given":"Rene","non-dropping-particle":"van","parse-names":false,"suffix":""},{"dropping-particle":"","family":"Sansone","given":"Susanna Assunta","non-dropping-particle":"","parse-names":false,"suffix":""},{"dropping-particle":"","family":"Schultes","given":"Erik","non-dropping-particle":"","parse-names":false,"suffix":""},{"dropping-particle":"","family":"Sengstag","given":"Thierry","non-dropping-particle":"","parse-names":false,"suffix":""},{"dropping-particle":"","family":"Slater","given":"Ted","non-dropping-particle":"","parse-names":false,"suffix":""},{"dropping-particle":"","family":"Strawn","given":"George","non-dropping-particle":"","parse-names":false,"suffix":""},{"dropping-particle":"","family":"Swertz","given":"Morris A","non-dropping-particle":"","parse-names":false,"suffix":""},{"dropping-particle":"","family":"Thompson","given":"Mark","non-dropping-particle":"","parse-names":false,"suffix":""},{"dropping-particle":"","family":"Lei","given":"Johan","non-dropping-particle":"Van Der","parse-names":false,"suffix":""},{"dropping-particle":"","family":"Mulligen","given":"Erik","non-dropping-particle":"Van","parse-names":false,"suffix":""},{"dropping-particle":"","family":"Velterop","given":"Jan","non-dropping-particle":"","parse-names":false,"suffix":""},{"dropping-particle":"","family":"Waagmeester","given":"Andra","non-dropping-particle":"","parse-names":false,"suffix":""},{"dropping-particle":"","family":"Wittenburg","given":"Peter","non-dropping-particle":"","parse-names":false,"suffix":""},{"dropping-particle":"","family":"Wolstencroft","given":"Katherine","non-dropping-particle":"","parse-names":false,"suffix":""},{"dropping-particle":"","family":"Zhao","given":"Jun","non-dropping-particle":"","parse-names":false,"suffix":""},{"dropping-particle":"","family":"Mons","given":"Barend","non-dropping-particle":"","parse-names":false,"suffix":""}],"container-title":"Scientific Data","id":"ITEM-1","issued":{"date-parts":[["2016"]]},"title":"Comment: The FAIR Guiding Principles for scientific data management and stewardship","type":"article-journal"},"uris":["http://www.mendeley.com/documents/?uuid=ab984c04-1824-4f1a-b155-31972de3cc56"]}],"mendeley":{"formattedCitation":"(Wilkinson et al. 2016)","plainTextFormattedCitation":"(Wilkinson et al. 2016)","previouslyFormattedCitation":"(Wilkinson et al. 2016)"},"properties":{"noteIndex":0},"schema":"https://github.com/citation-style-language/schema/raw/master/csl-citation.json"}</w:instrText>
      </w:r>
      <w:r w:rsidR="00275550" w:rsidRPr="00BC7A12">
        <w:rPr>
          <w:rFonts w:eastAsia="Times New Roman" w:cs="Calibri"/>
          <w:color w:val="000000"/>
        </w:rPr>
        <w:fldChar w:fldCharType="separate"/>
      </w:r>
      <w:r w:rsidR="00275550" w:rsidRPr="00BC7A12">
        <w:rPr>
          <w:rFonts w:eastAsia="Times New Roman" w:cs="Calibri"/>
          <w:noProof/>
          <w:color w:val="000000"/>
        </w:rPr>
        <w:t>(Wilkinson et al. 2016)</w:t>
      </w:r>
      <w:r w:rsidR="00275550" w:rsidRPr="00BC7A12">
        <w:rPr>
          <w:rFonts w:eastAsia="Times New Roman" w:cs="Calibri"/>
          <w:color w:val="000000"/>
        </w:rPr>
        <w:fldChar w:fldCharType="end"/>
      </w:r>
      <w:r w:rsidRPr="00BC7A12">
        <w:rPr>
          <w:rFonts w:eastAsia="Times New Roman" w:cs="Calibri"/>
          <w:color w:val="000000"/>
        </w:rPr>
        <w:t xml:space="preserve"> of data stewardship</w:t>
      </w:r>
    </w:p>
    <w:p w14:paraId="6B78773D" w14:textId="6A411F69" w:rsidR="00C47C1B" w:rsidRPr="00BC7A12" w:rsidRDefault="00C47C1B" w:rsidP="00413DAD">
      <w:pPr>
        <w:numPr>
          <w:ilvl w:val="1"/>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color w:val="000000"/>
        </w:rPr>
        <w:t>Sorting through any inconsistent application of ES-CS to date by other practitioners and possibly absorbing the costs of transition without clarity on the field’s direction</w:t>
      </w:r>
      <w:r w:rsidR="00275550" w:rsidRPr="00BC7A12">
        <w:rPr>
          <w:rFonts w:eastAsia="Times New Roman" w:cs="Calibri"/>
          <w:color w:val="000000"/>
        </w:rPr>
        <w:t xml:space="preserve"> </w:t>
      </w:r>
      <w:r w:rsidR="00275550" w:rsidRPr="00BC7A12">
        <w:rPr>
          <w:rFonts w:eastAsia="Times New Roman" w:cs="Calibri"/>
          <w:color w:val="000000"/>
        </w:rPr>
        <w:fldChar w:fldCharType="begin" w:fldLock="1"/>
      </w:r>
      <w:r w:rsidR="00275550" w:rsidRPr="00BC7A12">
        <w:rPr>
          <w:rFonts w:eastAsia="Times New Roman" w:cs="Calibri"/>
          <w:color w:val="000000"/>
        </w:rPr>
        <w:instrText>ADDIN CSL_CITATION {"citationItems":[{"id":"ITEM-1","itemData":{"author":[{"dropping-particle":"","family":"Hlava","given":"Marjorie M K","non-dropping-particle":"","parse-names":false,"suffix":""}],"id":"ITEM-1","issued":{"date-parts":[["2018"]]},"publisher":"May 8 2018","title":"Personal conversation","type":"article"},"uris":["http://www.mendeley.com/documents/?uuid=db9f6351-0884-432f-a503-452b26543738"]}],"mendeley":{"formattedCitation":"(Hlava 2018)","plainTextFormattedCitation":"(Hlava 2018)","previouslyFormattedCitation":"(Hlava 2018)"},"properties":{"noteIndex":0},"schema":"https://github.com/citation-style-language/schema/raw/master/csl-citation.json"}</w:instrText>
      </w:r>
      <w:r w:rsidR="00275550" w:rsidRPr="00BC7A12">
        <w:rPr>
          <w:rFonts w:eastAsia="Times New Roman" w:cs="Calibri"/>
          <w:color w:val="000000"/>
        </w:rPr>
        <w:fldChar w:fldCharType="separate"/>
      </w:r>
      <w:r w:rsidR="00275550" w:rsidRPr="00BC7A12">
        <w:rPr>
          <w:rFonts w:eastAsia="Times New Roman" w:cs="Calibri"/>
          <w:noProof/>
          <w:color w:val="000000"/>
        </w:rPr>
        <w:t>(Hlava 2018)</w:t>
      </w:r>
      <w:r w:rsidR="00275550" w:rsidRPr="00BC7A12">
        <w:rPr>
          <w:rFonts w:eastAsia="Times New Roman" w:cs="Calibri"/>
          <w:color w:val="000000"/>
        </w:rPr>
        <w:fldChar w:fldCharType="end"/>
      </w:r>
      <w:r w:rsidRPr="00BC7A12">
        <w:rPr>
          <w:rFonts w:eastAsia="Times New Roman" w:cs="Calibri"/>
          <w:color w:val="000000"/>
        </w:rPr>
        <w:t xml:space="preserve">  </w:t>
      </w:r>
    </w:p>
    <w:p w14:paraId="07835A59" w14:textId="77777777" w:rsidR="00C47C1B" w:rsidRPr="00BC7A12" w:rsidRDefault="00C47C1B" w:rsidP="00413DAD">
      <w:pPr>
        <w:numPr>
          <w:ilvl w:val="0"/>
          <w:numId w:val="11"/>
        </w:numPr>
        <w:pBdr>
          <w:top w:val="nil"/>
          <w:left w:val="nil"/>
          <w:bottom w:val="nil"/>
          <w:right w:val="nil"/>
          <w:between w:val="nil"/>
        </w:pBdr>
        <w:spacing w:after="0" w:line="240" w:lineRule="auto"/>
        <w:jc w:val="left"/>
        <w:rPr>
          <w:rFonts w:eastAsia="Times New Roman" w:cs="Calibri"/>
          <w:color w:val="000000"/>
        </w:rPr>
      </w:pPr>
      <w:r w:rsidRPr="00BC7A12">
        <w:rPr>
          <w:rFonts w:eastAsia="Times New Roman" w:cs="Calibri"/>
          <w:color w:val="000000"/>
        </w:rPr>
        <w:t xml:space="preserve">Have concerns—however valid—about ES-CS and how they function in practice </w:t>
      </w:r>
    </w:p>
    <w:p w14:paraId="552DAD1F" w14:textId="77777777" w:rsidR="00C47C1B" w:rsidRPr="00BC7A12" w:rsidRDefault="00C47C1B" w:rsidP="00C47C1B">
      <w:pPr>
        <w:pBdr>
          <w:top w:val="nil"/>
          <w:left w:val="nil"/>
          <w:bottom w:val="nil"/>
          <w:right w:val="nil"/>
          <w:between w:val="nil"/>
        </w:pBdr>
        <w:rPr>
          <w:rFonts w:eastAsia="Times New Roman" w:cs="Calibri"/>
          <w:color w:val="000000"/>
        </w:rPr>
      </w:pPr>
    </w:p>
    <w:p w14:paraId="36ECC2D5" w14:textId="5567EA8E" w:rsidR="00C47C1B" w:rsidRPr="00BC7A12" w:rsidRDefault="00C47C1B" w:rsidP="00C47C1B">
      <w:pPr>
        <w:rPr>
          <w:rFonts w:eastAsia="Times New Roman" w:cs="Calibri"/>
        </w:rPr>
      </w:pPr>
      <w:r w:rsidRPr="00BC7A12">
        <w:rPr>
          <w:rFonts w:eastAsia="Times New Roman" w:cs="Calibri"/>
        </w:rPr>
        <w:t>As a result, few are using ES-CS, leaving the field to an “ad-hoc approach” to defining, grouping, or classifying ES. This includes new research, but also meta-analyses and interregional assessments that often seek to unify knowledge among studies. Many tools, databases, publications, and guidance documents mention ES-CS, but have been reticent to endorse them</w:t>
      </w:r>
      <w:r w:rsidR="00275550" w:rsidRPr="00BC7A12">
        <w:rPr>
          <w:rFonts w:eastAsia="Times New Roman" w:cs="Calibri"/>
        </w:rPr>
        <w:t xml:space="preserve"> </w:t>
      </w:r>
      <w:r w:rsidR="00275550" w:rsidRPr="00BC7A12">
        <w:rPr>
          <w:rFonts w:eastAsia="Times New Roman" w:cs="Calibri"/>
        </w:rPr>
        <w:fldChar w:fldCharType="begin" w:fldLock="1"/>
      </w:r>
      <w:r w:rsidR="00275550" w:rsidRPr="00BC7A12">
        <w:rPr>
          <w:rFonts w:eastAsia="Times New Roman" w:cs="Calibri"/>
        </w:rPr>
        <w:instrText>ADDIN CSL_CITATION {"citationItems":[{"id":"ITEM-1","itemData":{"DOI":"www.naturalcapitalcoalition.org","ISBN":"9783944280110","ISSN":"0167-6369","PMID":"12858995","abstract":"Natural capital is the extension of the economic notion of capital (manufactured means of production) to environmental goods and services. A functional definition of capital in general is: \"a stock that yields a flow of valuable goods or services into the future\". Natural capital is thus the stock of natural ecosystems that yields a flow of valuable ecosystem goods or services into the future. For example, a stock of trees or fish provides a flow of new trees or fish, a flow which can be sustainable indefinetely. Natural capital may also provide services like recycling wastes or water catchment and erosion control. Since the flow of services from ecosystems requires that they function as whole systems, the structure and diversity of the system are important components of natural capital.","author":[{"dropping-particle":"","family":"NCC","given":"","non-dropping-particle":"","parse-names":false,"suffix":""}],"container-title":"Natural Capital Coalition Report","id":"ITEM-1","issued":{"date-parts":[["2016"]]},"title":"Natural Capital Protocol","type":"article-journal"},"uris":["http://www.mendeley.com/documents/?uuid=f472b9ba-ee61-46ba-8d2c-e4e55092fa7b"]},{"id":"ITEM-2","itemData":{"author":[{"dropping-particle":"","family":"United States Environmental Protection Agency","given":"","non-dropping-particle":"","parse-names":false,"suffix":""}],"id":"ITEM-2","issued":{"date-parts":[["0"]]},"title":"EcoService Models Library","type":"article"},"uris":["http://www.mendeley.com/documents/?uuid=ba826786-9c6e-4b40-b4b0-6832c4107d64"]}],"mendeley":{"formattedCitation":"(NCC 2016, United States Environmental Protection Agency n.d.)","manualFormatting":"(see the NCC 2016, United States Environmental Protection Agency n.d.)","plainTextFormattedCitation":"(NCC 2016, United States Environmental Protection Agency n.d.)","previouslyFormattedCitation":"(NCC 2016, United States Environmental Protection Agency n.d.)"},"properties":{"noteIndex":0},"schema":"https://github.com/citation-style-language/schema/raw/master/csl-citation.json"}</w:instrText>
      </w:r>
      <w:r w:rsidR="00275550" w:rsidRPr="00BC7A12">
        <w:rPr>
          <w:rFonts w:eastAsia="Times New Roman" w:cs="Calibri"/>
        </w:rPr>
        <w:fldChar w:fldCharType="separate"/>
      </w:r>
      <w:r w:rsidR="00275550" w:rsidRPr="00BC7A12">
        <w:rPr>
          <w:rFonts w:eastAsia="Times New Roman" w:cs="Calibri"/>
          <w:noProof/>
        </w:rPr>
        <w:t>(see the NCC 2016, United States Environmental Protection Agency n.d.)</w:t>
      </w:r>
      <w:r w:rsidR="00275550" w:rsidRPr="00BC7A12">
        <w:rPr>
          <w:rFonts w:eastAsia="Times New Roman" w:cs="Calibri"/>
        </w:rPr>
        <w:fldChar w:fldCharType="end"/>
      </w:r>
      <w:r w:rsidR="00475F65" w:rsidRPr="00BC7A12">
        <w:rPr>
          <w:rFonts w:eastAsia="Times New Roman" w:cs="Calibri"/>
        </w:rPr>
        <w:t>.</w:t>
      </w:r>
      <w:r w:rsidRPr="00BC7A12">
        <w:rPr>
          <w:rFonts w:eastAsia="Times New Roman" w:cs="Calibri"/>
        </w:rPr>
        <w:t xml:space="preserve"> Practitioners define and group</w:t>
      </w:r>
      <w:r w:rsidR="000100D8" w:rsidRPr="00BC7A12">
        <w:rPr>
          <w:rFonts w:eastAsia="Times New Roman" w:cs="Calibri"/>
        </w:rPr>
        <w:t xml:space="preserve"> ecosystem services </w:t>
      </w:r>
      <w:r w:rsidRPr="00BC7A12">
        <w:rPr>
          <w:rFonts w:eastAsia="Times New Roman" w:cs="Calibri"/>
        </w:rPr>
        <w:t>differently, sometimes even if they are working for the same institution</w:t>
      </w:r>
      <w:r w:rsidR="00667EB7" w:rsidRPr="00BC7A12">
        <w:rPr>
          <w:rFonts w:eastAsia="Times New Roman" w:cs="Calibri"/>
        </w:rPr>
        <w:t xml:space="preserve"> </w:t>
      </w:r>
      <w:r w:rsidR="00667EB7" w:rsidRPr="00BC7A12">
        <w:rPr>
          <w:rFonts w:eastAsia="Times New Roman" w:cs="Calibri"/>
        </w:rPr>
        <w:fldChar w:fldCharType="begin" w:fldLock="1"/>
      </w:r>
      <w:r w:rsidR="00C2201B" w:rsidRPr="00BC7A12">
        <w:rPr>
          <w:rFonts w:eastAsia="Times New Roman" w:cs="Calibri"/>
        </w:rPr>
        <w:instrText>ADDIN CSL_CITATION {"citationItems":[{"id":"ITEM-1","itemData":{"abstract":"Summary Human society across the globe ultimately depends on goods and services provided and replenished by the natural environment. Today it is widely recognised that average global consumption of this ‘natural capital' far outstrips its natural ability to regenerate. The Natural Capital Protocol sets out guidelines for businesses to help better understand, measure, and value their inter-dependencies with natural capital and use the results for better management. However, one of the key challenges the Protocol highlights is how to incorporate ‘biodiversity'. Biodiversity, the diversity of all living things, is a fundamental component of natural capital that underpins or influences almost every product or service we value, as well as having value in and of itself. Its importance is often missed by organisations looking to understand and mitigate their impacts on the natural environment. Instead, biodiversity is frequently listed as just one of many concerns, alongside (and increasingly behind) greenhouse gas emissions or water consumption and other benefits that flow from natural capital. Biodiversity values tend to be missed or hidden in natural capital assessments, particularly when the focus is on current flows of benefits for the following reasons: - While the values we attribute to our appreciation of nature are of fundamental importance to many, the economic techniques to quantify and monetise these values are inadequate to develop robust estimates. As a result these values tend to be missing. - Biodiversity plays a fundamental role in ecosystem functioning and therefore underpins the delivery of all ecosystem benefits. Its role is hidden within a natural capital account, but not explicit, and therefore these values of biodiversity are not adequately visible. - Biodiversity provides nature's insurance, helping adapt to shocks and stresses, such as climatic change and disease. An assessment that only considers the flow of benefits provided today will overlook the likelihood of benefits being supported into the future, and therefore these values are also missing. - Information and data on biodiversity and its interdependencies with business also needs further investment and is often not easily available, which can also lead to values being missed. Many of the problems of these hidden and missing values of biodiversity can be avoided by focussing on the stock of biodiversity as the asset which generates the benefits, rather than the flow of benefits …","author":[{"dropping-particle":"","family":"Bolt","given":"Katharine","non-dropping-particle":"","parse-names":false,"suffix":""},{"dropping-particle":"","family":"Cranston","given":"Gemma","non-dropping-particle":"","parse-names":false,"suffix":""},{"dropping-particle":"","family":"Maddox","given":"Thomas","non-dropping-particle":"","parse-names":false,"suffix":""},{"dropping-particle":"","family":"McCarthy","given":"Donal","non-dropping-particle":"","parse-names":false,"suffix":""},{"dropping-particle":"","family":"Vause","given":"James","non-dropping-particle":"","parse-names":false,"suffix":""},{"dropping-particle":"","family":"Vira","given":"Bhaskar","non-dropping-particle":"","parse-names":false,"suffix":""},{"dropping-particle":"","family":"Balmford","given":"Andrew","non-dropping-particle":"","parse-names":false,"suffix":""},{"dropping-particle":"","family":"Grigg","given":"Annelisa","non-dropping-particle":"","parse-names":false,"suffix":""},{"dropping-particle":"","family":"Hawkins","given":"Frank","non-dropping-particle":"","parse-names":false,"suffix":""},{"dropping-particle":"","family":"Merriman","given":"Jennifer C","non-dropping-particle":"","parse-names":false,"suffix":""},{"dropping-particle":"","family":"Olsen","given":"Nathalie","non-dropping-particle":"","parse-names":false,"suffix":""},{"dropping-particle":"","family":"Pearce-Higgins","given":"James","non-dropping-particle":"","parse-names":false,"suffix":""}],"id":"ITEM-1","issued":{"date-parts":[["2016"]]},"number-of-pages":"1-13","title":"Biodiversity at the heart of accounting for natural capital: the key to credibility","type":"report"},"uris":["http://www.mendeley.com/documents/?uuid=f419c82a-f786-4d25-a3c0-dd89491b2497"]}],"mendeley":{"formattedCitation":"(Bolt et al. 2016)","plainTextFormattedCitation":"(Bolt et al. 2016)","previouslyFormattedCitation":"(Bolt et al. 2016)"},"properties":{"noteIndex":0},"schema":"https://github.com/citation-style-language/schema/raw/master/csl-citation.json"}</w:instrText>
      </w:r>
      <w:r w:rsidR="00667EB7" w:rsidRPr="00BC7A12">
        <w:rPr>
          <w:rFonts w:eastAsia="Times New Roman" w:cs="Calibri"/>
        </w:rPr>
        <w:fldChar w:fldCharType="separate"/>
      </w:r>
      <w:r w:rsidR="00667EB7" w:rsidRPr="00BC7A12">
        <w:rPr>
          <w:rFonts w:eastAsia="Times New Roman" w:cs="Calibri"/>
          <w:noProof/>
        </w:rPr>
        <w:t>(Bolt et al. 2016)</w:t>
      </w:r>
      <w:r w:rsidR="00667EB7" w:rsidRPr="00BC7A12">
        <w:rPr>
          <w:rFonts w:eastAsia="Times New Roman" w:cs="Calibri"/>
        </w:rPr>
        <w:fldChar w:fldCharType="end"/>
      </w:r>
      <w:r w:rsidR="00475F65" w:rsidRPr="00BC7A12">
        <w:rPr>
          <w:rFonts w:eastAsia="Times New Roman" w:cs="Calibri"/>
        </w:rPr>
        <w:t>.</w:t>
      </w:r>
      <w:r w:rsidRPr="00BC7A12">
        <w:rPr>
          <w:rFonts w:eastAsia="Times New Roman" w:cs="Calibri"/>
        </w:rPr>
        <w:t xml:space="preserve"> Other practitioners choose definitions of</w:t>
      </w:r>
      <w:r w:rsidR="000100D8" w:rsidRPr="00BC7A12">
        <w:rPr>
          <w:rFonts w:eastAsia="Times New Roman" w:cs="Calibri"/>
        </w:rPr>
        <w:t xml:space="preserve"> ecosystem services </w:t>
      </w:r>
      <w:r w:rsidRPr="00BC7A12">
        <w:rPr>
          <w:rFonts w:eastAsia="Times New Roman" w:cs="Calibri"/>
        </w:rPr>
        <w:t>from different groupings or classifications systems and even change their definitions.</w:t>
      </w:r>
      <w:r w:rsidR="0052104A" w:rsidRPr="00BC7A12">
        <w:rPr>
          <w:rFonts w:eastAsia="Times New Roman" w:cs="Calibri"/>
        </w:rPr>
        <w:t xml:space="preserve"> </w:t>
      </w:r>
      <w:r w:rsidR="0052104A" w:rsidRPr="00BC7A12">
        <w:rPr>
          <w:rFonts w:eastAsia="Times New Roman" w:cs="Calibri"/>
        </w:rPr>
        <w:fldChar w:fldCharType="begin" w:fldLock="1"/>
      </w:r>
      <w:r w:rsidR="00275550" w:rsidRPr="00BC7A12">
        <w:rPr>
          <w:rFonts w:eastAsia="Times New Roman" w:cs="Calibri"/>
        </w:rPr>
        <w:instrText>ADDIN CSL_CITATION {"citationItems":[{"id":"ITEM-1","itemData":{"DOI":"10.1016/j.ecoser.2017.03.022","ISSN":"22120416","abstract":"Scholarly journal publications on the topic of ecosystem services have substantially grown throughout the past decade, which is evidenced by an expanding world-wide research base. However, several challenges in the field of ecosystem services still remain, including conflicting approaches to ecosystem services terminology, classification schemes, research methods, and reporting requirements. We assess the development and disciplinary focus of ecosystem service research over the last decade using a meta-analysis of peer-reviewed journal publications. The journals of Shengtai Xuebao Acta Ecologica Sinica, Ecosystem Services, PLoS One, and Ecological Economics lead scholarly journals publishing ecosystem services-focused articles. The European Union leads ecosystem services publications (42%), while the United States is responsible for 30% of ecosystem services publications. This analysis is supplemented by a discussion on ecosystem services-focused research and policy to identify trends that encourage future study to resolve some of the current issues faced by the research community.","author":[{"dropping-particle":"","family":"McDonough","given":"Kelsey","non-dropping-particle":"","parse-names":false,"suffix":""},{"dropping-particle":"","family":"Hutchinson","given":"Stacy","non-dropping-particle":"","parse-names":false,"suffix":""},{"dropping-particle":"","family":"Moore","given":"Trisha","non-dropping-particle":"","parse-names":false,"suffix":""},{"dropping-particle":"","family":"Hutchinson","given":"J M.Shawn","non-dropping-particle":"","parse-names":false,"suffix":""}],"container-title":"Ecosystem Services","id":"ITEM-1","issued":{"date-parts":[["2017"]]},"title":"Analysis of publication trends in ecosystem services research","type":"article-journal"},"uris":["http://www.mendeley.com/documents/?uuid=97254653-238a-4f73-9d84-2b16916e355b"]}],"mendeley":{"formattedCitation":"(McDonough et al. 2017)","plainTextFormattedCitation":"(McDonough et al. 2017)","previouslyFormattedCitation":"(McDonough et al. 2017)"},"properties":{"noteIndex":0},"schema":"https://github.com/citation-style-language/schema/raw/master/csl-citation.json"}</w:instrText>
      </w:r>
      <w:r w:rsidR="0052104A" w:rsidRPr="00BC7A12">
        <w:rPr>
          <w:rFonts w:eastAsia="Times New Roman" w:cs="Calibri"/>
        </w:rPr>
        <w:fldChar w:fldCharType="separate"/>
      </w:r>
      <w:r w:rsidR="0052104A" w:rsidRPr="00BC7A12">
        <w:rPr>
          <w:rFonts w:eastAsia="Times New Roman" w:cs="Calibri"/>
          <w:noProof/>
        </w:rPr>
        <w:t>(McDonough et al. 2017)</w:t>
      </w:r>
      <w:r w:rsidR="0052104A" w:rsidRPr="00BC7A12">
        <w:rPr>
          <w:rFonts w:eastAsia="Times New Roman" w:cs="Calibri"/>
        </w:rPr>
        <w:fldChar w:fldCharType="end"/>
      </w:r>
      <w:r w:rsidRPr="00BC7A12">
        <w:rPr>
          <w:rFonts w:eastAsia="Times New Roman" w:cs="Calibri"/>
        </w:rPr>
        <w:t xml:space="preserve"> Moreover, some research actually measures things other than what the authors purport to study</w:t>
      </w:r>
      <w:r w:rsidR="0052104A" w:rsidRPr="00BC7A12">
        <w:rPr>
          <w:rFonts w:eastAsia="Times New Roman" w:cs="Calibri"/>
        </w:rPr>
        <w:t xml:space="preserve"> </w:t>
      </w:r>
      <w:r w:rsidR="0052104A" w:rsidRPr="00BC7A12">
        <w:rPr>
          <w:rFonts w:eastAsia="Times New Roman" w:cs="Calibri"/>
        </w:rPr>
        <w:fldChar w:fldCharType="begin" w:fldLock="1"/>
      </w:r>
      <w:r w:rsidR="0052104A" w:rsidRPr="00BC7A12">
        <w:rPr>
          <w:rFonts w:eastAsia="Times New Roman" w:cs="Calibri"/>
        </w:rPr>
        <w:instrText>ADDIN CSL_CITATION {"citationItems":[{"id":"ITEM-1","itemData":{"DOI":"10.1016/j.ecoser.2017.11.018","ISSN":"22120416","abstract":"We present a ‘concept matching' systematic review linking the classes of the Common International Classification for Ecosystem Services (CICES, v4.3) to the ways scientists define and apply ES indicators in published studies. With the dual aim of creating an overview how the different services are measured in the studies, and determining if CICES provides an appropriate structure to accommodate the ES assessed in the practical literature, we reviewed 85 scientific papers from which 440 indicators were identified. Almost all CICES classes were represented, with cultural and some regulating (e.g. global climate regulation, pollination) ES being the most frequently considered. The four most frequently studied CICES classes (or class clusters) were global climate regulation, aesthetic beauty, recreation, and bio-remediation. Regulating and cultural services were more often assessed than provisioning services. Normalisation to unit area and time was common for indicators of several regulating and provisioning ES. Scores were most frequently used for cultural ES (except recreation) and some regulating services (e.g. flood protection). Altogether 20% of the ES indicators were quantified as an economic value, and monetisation is most frequently done for cultural and provisioning ES. Few regulating services, on the other hand, were monetised (including ones, like global climate regulation, for which appropriate techniques are relatively easily available). The work enabled a library of indicators to be compiled and made available. The findings can be used to help improve CICES so that it can provide a more robust and comprehensive framework for ecosystem assessments.","author":[{"dropping-particle":"","family":"Czúcz","given":"Bálint","non-dropping-particle":"","parse-names":false,"suffix":""},{"dropping-particle":"","family":"Arany","given":"Ildikó","non-dropping-particle":"","parse-names":false,"suffix":""},{"dropping-particle":"","family":"Potschin-Young","given":"Marion","non-dropping-particle":"","parse-names":false,"suffix":""},{"dropping-particle":"","family":"Bereczki","given":"Krisztina","non-dropping-particle":"","parse-names":false,"suffix":""},{"dropping-particle":"","family":"Kertész","given":"Miklós","non-dropping-particle":"","parse-names":false,"suffix":""},{"dropping-particle":"","family":"Kiss","given":"Márton","non-dropping-particle":"","parse-names":false,"suffix":""},{"dropping-particle":"","family":"Aszalós","given":"Réka","non-dropping-particle":"","parse-names":false,"suffix":""},{"dropping-particle":"","family":"Haines-Young","given":"Roy","non-dropping-particle":"","parse-names":false,"suffix":""}],"container-title":"Ecosystem Services","id":"ITEM-1","issued":{"date-parts":[["2018"]]},"page":"145-157","title":"Where concepts meet the real world: A systematic review of ecosystem service indicators and their classification using CICES","type":"article-journal","volume":"29"},"uris":["http://www.mendeley.com/documents/?uuid=12216f30-555d-4c59-8e2a-71b3351aa635"]}],"mendeley":{"formattedCitation":"(Czúcz et al. 2018)","plainTextFormattedCitation":"(Czúcz et al. 2018)","previouslyFormattedCitation":"(Czúcz et al. 2018)"},"properties":{"noteIndex":0},"schema":"https://github.com/citation-style-language/schema/raw/master/csl-citation.json"}</w:instrText>
      </w:r>
      <w:r w:rsidR="0052104A" w:rsidRPr="00BC7A12">
        <w:rPr>
          <w:rFonts w:eastAsia="Times New Roman" w:cs="Calibri"/>
        </w:rPr>
        <w:fldChar w:fldCharType="separate"/>
      </w:r>
      <w:r w:rsidR="0052104A" w:rsidRPr="00BC7A12">
        <w:rPr>
          <w:rFonts w:eastAsia="Times New Roman" w:cs="Calibri"/>
          <w:noProof/>
        </w:rPr>
        <w:t>(Czúcz et al. 2018)</w:t>
      </w:r>
      <w:r w:rsidR="0052104A" w:rsidRPr="00BC7A12">
        <w:rPr>
          <w:rFonts w:eastAsia="Times New Roman" w:cs="Calibri"/>
        </w:rPr>
        <w:fldChar w:fldCharType="end"/>
      </w:r>
      <w:r w:rsidR="00475F65" w:rsidRPr="00BC7A12">
        <w:rPr>
          <w:rFonts w:eastAsia="Times New Roman" w:cs="Calibri"/>
        </w:rPr>
        <w:t>.</w:t>
      </w:r>
    </w:p>
    <w:p w14:paraId="33FB36E7" w14:textId="34D2AE86" w:rsidR="00C47C1B" w:rsidRPr="00BC7A12" w:rsidRDefault="00C47C1B" w:rsidP="00C47C1B">
      <w:pPr>
        <w:rPr>
          <w:rFonts w:eastAsia="Times New Roman" w:cs="Calibri"/>
        </w:rPr>
      </w:pPr>
      <w:r w:rsidRPr="00BC7A12">
        <w:rPr>
          <w:rFonts w:eastAsia="Times New Roman" w:cs="Calibri"/>
        </w:rPr>
        <w:t>This ad-hoc approach has merit.</w:t>
      </w:r>
      <w:r w:rsidR="000100D8" w:rsidRPr="00BC7A12">
        <w:rPr>
          <w:rFonts w:eastAsia="Times New Roman" w:cs="Calibri"/>
        </w:rPr>
        <w:t xml:space="preserve"> ecosystem services </w:t>
      </w:r>
      <w:r w:rsidRPr="00BC7A12">
        <w:rPr>
          <w:rFonts w:eastAsia="Times New Roman" w:cs="Calibri"/>
        </w:rPr>
        <w:t>provide multiple values to multiple beneficiaries</w:t>
      </w:r>
      <w:r w:rsidR="00527379" w:rsidRPr="00BC7A12">
        <w:rPr>
          <w:rFonts w:eastAsia="Times New Roman" w:cs="Calibri"/>
        </w:rPr>
        <w:t xml:space="preserve"> </w:t>
      </w:r>
      <w:r w:rsidR="00527379" w:rsidRPr="00BC7A12">
        <w:rPr>
          <w:rFonts w:eastAsia="Times New Roman" w:cs="Calibri"/>
        </w:rPr>
        <w:fldChar w:fldCharType="begin" w:fldLock="1"/>
      </w:r>
      <w:r w:rsidR="0052104A" w:rsidRPr="00BC7A12">
        <w:rPr>
          <w:rFonts w:eastAsia="Times New Roman" w:cs="Calibri"/>
        </w:rPr>
        <w:instrText>ADDIN CSL_CITATION {"citationItems":[{"id":"ITEM-1","itemData":{"DOI":"10.4102/abc.v46i1.2039","ISSN":"23119284","abstract":"Background: Biodiversity education and public awareness do not always contain the motivational messages that inspire action amongst decision-makers. Traditional messages from the biodiversity sector are often framed around threat, with a generally pessimistic tone. Aspects of social marketing can be used to support positive messaging that is more likely to inspire action amongst the target audience.Objectives: The South African biodiversity sector embarked on a market research process to better understand the target audiences for its messages and develop a communications strategy that would reposition biodiversity as integral to the development trajectory of South Africa.Method: The market research process combined stakeholder analysis, market research, engagement and facilitated dialogue. Eight concept messages were developed that framed biodiversity communications in different ways. These messages were tested with the target audience to assess which were most relevant in a developing-world context.Results: The communications message that received the highest ranking in the market research process was the concept of biodiversity as a ‘national asset'. This frame places biodiversity as an equivalent national priority to other economic and social imperatives. Other messages that ranked highly were the emotional message of biodiversity as ‘our children's legacy' and the action-based ‘practical solutions'.Conclusion: Based on the findings, a communications strategy known as ‘Making the case for biodiversity' was developed that re-framed the economic, emotional and practical value propositions for biodiversity. The communications strategy has already resulted in greater political and economic attention towards biodiversity in South Africa.","author":[{"dropping-particle":"","family":"Maze","given":"Kristal","non-dropping-particle":"","parse-names":false,"suffix":""},{"dropping-particle":"","family":"Barnet","given":"Mandy","non-dropping-particle":"","parse-names":false,"suffix":""},{"dropping-particle":"","family":"Bots","given":"Emily A","non-dropping-particle":"","parse-names":false,"suffix":""},{"dropping-particle":"","family":"Stephens","given":"Anthea","non-dropping-particle":"","parse-names":false,"suffix":""},{"dropping-particle":"","family":"Freedman","given":"Mike","non-dropping-particle":"","parse-names":false,"suffix":""},{"dropping-particle":"","family":"Guenther","given":"Lars","non-dropping-particle":"","parse-names":false,"suffix":""}],"container-title":"Bothalia","id":"ITEM-1","issue":"1","issued":{"date-parts":[["2016"]]},"page":"1-8","title":"Making the case for Biodiversity in South Africa: Re-framing Biodiversity communicatons","type":"article-journal","volume":"46"},"uris":["http://www.mendeley.com/documents/?uuid=5e1ba114-722f-435e-8d74-ef5af00a7c6c"]}],"mendeley":{"formattedCitation":"(Maze et al. 2016)","plainTextFormattedCitation":"(Maze et al. 2016)","previouslyFormattedCitation":"(Maze et al. 2016)"},"properties":{"noteIndex":0},"schema":"https://github.com/citation-style-language/schema/raw/master/csl-citation.json"}</w:instrText>
      </w:r>
      <w:r w:rsidR="00527379" w:rsidRPr="00BC7A12">
        <w:rPr>
          <w:rFonts w:eastAsia="Times New Roman" w:cs="Calibri"/>
        </w:rPr>
        <w:fldChar w:fldCharType="separate"/>
      </w:r>
      <w:r w:rsidR="00527379" w:rsidRPr="00BC7A12">
        <w:rPr>
          <w:rFonts w:eastAsia="Times New Roman" w:cs="Calibri"/>
          <w:noProof/>
        </w:rPr>
        <w:t>(Maze et al. 2016)</w:t>
      </w:r>
      <w:r w:rsidR="00527379" w:rsidRPr="00BC7A12">
        <w:rPr>
          <w:rFonts w:eastAsia="Times New Roman" w:cs="Calibri"/>
        </w:rPr>
        <w:fldChar w:fldCharType="end"/>
      </w:r>
      <w:r w:rsidRPr="00BC7A12">
        <w:rPr>
          <w:rFonts w:eastAsia="Times New Roman" w:cs="Calibri"/>
        </w:rPr>
        <w:t xml:space="preserve"> that are integrated into decision making in different ways</w:t>
      </w:r>
      <w:r w:rsidR="00527379" w:rsidRPr="00BC7A12">
        <w:rPr>
          <w:rFonts w:eastAsia="Times New Roman" w:cs="Calibri"/>
        </w:rPr>
        <w:t xml:space="preserve"> </w:t>
      </w:r>
      <w:r w:rsidR="00527379" w:rsidRPr="00BC7A12">
        <w:rPr>
          <w:rFonts w:eastAsia="Times New Roman" w:cs="Calibri"/>
        </w:rPr>
        <w:fldChar w:fldCharType="begin" w:fldLock="1"/>
      </w:r>
      <w:r w:rsidR="00527379" w:rsidRPr="00BC7A12">
        <w:rPr>
          <w:rFonts w:eastAsia="Times New Roman" w:cs="Calibri"/>
        </w:rPr>
        <w:instrText>ADDIN CSL_CITATION {"citationItems":[{"id":"ITEM-1","itemData":{"DOI":"10.1016/j.ecoser.2017.09.008","ISSN":"22120416","abstract":"It has been 20 years since two seminal publications about ecosystem services came out: an edited book by Gretchen Daily and an article in Nature by a group of ecologists and economists on the value of the world's ecosystem services. Both of these have been very highly cited and kicked off an explosion of research, policy, and applications of the idea, including the establishment of this journal. This article traces the history leading up to these publications and the subsequent debates, research, institutions, policies, on-the-ground actions, and controversies they triggered. It also explores what we have learned during this period about the key issues: from definitions to classification to valuation, from integrated modelling to public participation and communication, and the evolution of institutions and governance innovation. Finally, it provides recommendations for the future. In particular, it points to the weakness of the mainstream economic approaches to valuation, growth, and development. It concludes that the substantial contributions of ecosystem services to the sustainable wellbeing of humans and the rest of nature should be at the core of the fundamental change needed in economic theory and practice if we are to achieve a societal transformation to a sustainable and desirable future.","author":[{"dropping-particle":"","family":"Costanza","given":"Robert","non-dropping-particle":"","parse-names":false,"suffix":""},{"dropping-particle":"","family":"Groot","given":"Rudolf","non-dropping-particle":"de","parse-names":false,"suffix":""},{"dropping-particle":"","family":"Braat","given":"Leon","non-dropping-particle":"","parse-names":false,"suffix":""},{"dropping-particle":"","family":"Kubiszewski","given":"Ida","non-dropping-particle":"","parse-names":false,"suffix":""},{"dropping-particle":"","family":"Fioramonti","given":"Lorenzo","non-dropping-particle":"","parse-names":false,"suffix":""},{"dropping-particle":"","family":"Sutton","given":"Paul","non-dropping-particle":"","parse-names":false,"suffix":""},{"dropping-particle":"","family":"Farber","given":"Steve","non-dropping-particle":"","parse-names":false,"suffix":""},{"dropping-particle":"","family":"Grasso","given":"Monica","non-dropping-particle":"","parse-names":false,"suffix":""}],"container-title":"Ecosystem Services","id":"ITEM-1","issued":{"date-parts":[["2017"]]},"title":"Twenty years of ecosystem services: How far have we come and how far do we still need to go?","type":"article"},"uris":["http://www.mendeley.com/documents/?uuid=936229da-f09a-43a2-b747-d9e49413e2f0"]}],"mendeley":{"formattedCitation":"(Costanza et al. 2017)","plainTextFormattedCitation":"(Costanza et al. 2017)","previouslyFormattedCitation":"(Costanza et al. 2017)"},"properties":{"noteIndex":0},"schema":"https://github.com/citation-style-language/schema/raw/master/csl-citation.json"}</w:instrText>
      </w:r>
      <w:r w:rsidR="00527379" w:rsidRPr="00BC7A12">
        <w:rPr>
          <w:rFonts w:eastAsia="Times New Roman" w:cs="Calibri"/>
        </w:rPr>
        <w:fldChar w:fldCharType="separate"/>
      </w:r>
      <w:r w:rsidR="00527379" w:rsidRPr="00BC7A12">
        <w:rPr>
          <w:rFonts w:eastAsia="Times New Roman" w:cs="Calibri"/>
          <w:noProof/>
        </w:rPr>
        <w:t>(Costanza et al. 2017)</w:t>
      </w:r>
      <w:r w:rsidR="00527379" w:rsidRPr="00BC7A12">
        <w:rPr>
          <w:rFonts w:eastAsia="Times New Roman" w:cs="Calibri"/>
        </w:rPr>
        <w:fldChar w:fldCharType="end"/>
      </w:r>
      <w:r w:rsidR="00475F65" w:rsidRPr="00BC7A12">
        <w:rPr>
          <w:rFonts w:eastAsia="Times New Roman" w:cs="Calibri"/>
        </w:rPr>
        <w:t>.</w:t>
      </w:r>
      <w:r w:rsidRPr="00BC7A12">
        <w:rPr>
          <w:rFonts w:eastAsia="Times New Roman" w:cs="Calibri"/>
        </w:rPr>
        <w:t xml:space="preserve"> Depending on the decision making context, consideration of either the qualitative or quantitative</w:t>
      </w:r>
      <w:r w:rsidR="000100D8" w:rsidRPr="00BC7A12">
        <w:rPr>
          <w:rFonts w:eastAsia="Times New Roman" w:cs="Calibri"/>
        </w:rPr>
        <w:t xml:space="preserve"> </w:t>
      </w:r>
      <w:r w:rsidR="000100D8" w:rsidRPr="00BC7A12">
        <w:rPr>
          <w:rFonts w:eastAsia="Times New Roman" w:cs="Calibri"/>
        </w:rPr>
        <w:lastRenderedPageBreak/>
        <w:t xml:space="preserve">ecosystem services </w:t>
      </w:r>
      <w:r w:rsidRPr="00BC7A12">
        <w:rPr>
          <w:rFonts w:eastAsia="Times New Roman" w:cs="Calibri"/>
        </w:rPr>
        <w:t>values may be appropriate</w:t>
      </w:r>
      <w:r w:rsidR="00527379" w:rsidRPr="00BC7A12">
        <w:rPr>
          <w:rFonts w:eastAsia="Times New Roman" w:cs="Calibri"/>
        </w:rPr>
        <w:t xml:space="preserve"> </w:t>
      </w:r>
      <w:r w:rsidR="00527379" w:rsidRPr="00BC7A12">
        <w:rPr>
          <w:rFonts w:eastAsia="Times New Roman" w:cs="Calibri"/>
        </w:rPr>
        <w:fldChar w:fldCharType="begin" w:fldLock="1"/>
      </w:r>
      <w:r w:rsidR="00527379" w:rsidRPr="00BC7A12">
        <w:rPr>
          <w:rFonts w:eastAsia="Times New Roman" w:cs="Calibri"/>
        </w:rPr>
        <w:instrText>ADDIN CSL_CITATION {"citationItems":[{"id":"ITEM-1","itemData":{"DOI":"10.1016/J.COSUST.2016.12.006","ISSN":"1877-3435","abstract":"Nature is perceived and valued in starkly different and often conflicting ways. This paper presents the rationale for the inclusive valuation of nature’s contributions to people (NCP) in decision making, as well as broad methodological steps for doing so. While developed within the context of the Intergovernmental Platform on Biodiversity and Ecosystem Services (IPBES), this approach is more widely applicable to initiatives at the knowledge–policy interface, which require a pluralistic approach to recognizing the diversity of values. We argue that transformative practices aiming at sustainable futures would benefit from embracing such diversity, which require recognizing and addressing power relationships across stakeholder groups that hold different values on human nature-relations and NCP.","author":[{"dropping-particle":"","family":"Pascual","given":"Unai","non-dropping-particle":"","parse-names":false,"suffix":""},{"dropping-particle":"","family":"Balvanera","given":"Patricia","non-dropping-particle":"","parse-names":false,"suffix":""},{"dropping-particle":"","family":"Díaz","given":"Sandra","non-dropping-particle":"","parse-names":false,"suffix":""},{"dropping-particle":"","family":"Pataki","given":"György","non-dropping-particle":"","parse-names":false,"suffix":""},{"dropping-particle":"","family":"Roth","given":"Eva","non-dropping-particle":"","parse-names":false,"suffix":""},{"dropping-particle":"","family":"Stenseke","given":"Marie","non-dropping-particle":"","parse-names":false,"suffix":""},{"dropping-particle":"","family":"Watson","given":"Robert T","non-dropping-particle":"","parse-names":false,"suffix":""},{"dropping-particle":"","family":"Başak Dessane","given":"Esra","non-dropping-particle":"","parse-names":false,"suffix":""},{"dropping-particle":"","family":"Islar","given":"Mine","non-dropping-particle":"","parse-names":false,"suffix":""},{"dropping-particle":"","family":"Kelemen","given":"Eszter","non-dropping-particle":"","parse-names":false,"suffix":""},{"dropping-particle":"","family":"Maris","given":"Virginie","non-dropping-particle":"","parse-names":false,"suffix":""},{"dropping-particle":"","family":"Quaas","given":"Martin","non-dropping-particle":"","parse-names":false,"suffix":""},{"dropping-particle":"","family":"Subramanian","given":"Suneetha M","non-dropping-particle":"","parse-names":false,"suffix":""},{"dropping-particle":"","family":"Wittmer","given":"Heidi","non-dropping-particle":"","parse-names":false,"suffix":""},{"dropping-particle":"","family":"Adlan","given":"Asia","non-dropping-particle":"","parse-names":false,"suffix":""},{"dropping-particle":"","family":"Ahn","given":"SoEun","non-dropping-particle":"","parse-names":false,"suffix":""},{"dropping-particle":"","family":"Al-Hafedh","given":"Yousef S","non-dropping-particle":"","parse-names":false,"suffix":""},{"dropping-particle":"","family":"Amankwah","given":"Edward","non-dropping-particle":"","parse-names":false,"suffix":""},{"dropping-particle":"","family":"Asah","given":"Stanley T","non-dropping-particle":"","parse-names":false,"suffix":""},{"dropping-particle":"","family":"Berry","given":"Pam","non-dropping-particle":"","parse-names":false,"suffix":""},{"dropping-particle":"","family":"Bilgin","given":"Adem","non-dropping-particle":"","parse-names":false,"suffix":""},{"dropping-particle":"","family":"Breslow","given":"Sara J","non-dropping-particle":"","parse-names":false,"suffix":""},{"dropping-particle":"","family":"Bullock","given":"Craig","non-dropping-particle":"","parse-names":false,"suffix":""},{"dropping-particle":"","family":"Cáceres","given":"Daniel","non-dropping-particle":"","parse-names":false,"suffix":""},{"dropping-particle":"","family":"Daly-Hassen","given":"Hamed","non-dropping-particle":"","parse-names":false,"suffix":""},{"dropping-particle":"","family":"Figueroa","given":"Eugenio","non-dropping-particle":"","parse-names":false,"suffix":""},{"dropping-particle":"","family":"Golden","given":"Christopher D","non-dropping-particle":"","parse-names":false,"suffix":""},{"dropping-particle":"","family":"Gómez-Baggethun","given":"Erik","non-dropping-particle":"","parse-names":false,"suffix":""},{"dropping-particle":"","family":"González-Jiménez","given":"David","non-dropping-particle":"","parse-names":false,"suffix":""},{"dropping-particle":"","family":"Houdet","given":"Joël","non-dropping-particle":"","parse-names":false,"suffix":""},{"dropping-particle":"","family":"Keune","given":"Hans","non-dropping-particle":"","parse-names":false,"suffix":""},{"dropping-particle":"","family":"Kumar","given":"Ritesh","non-dropping-particle":"","parse-names":false,"suffix":""},{"dropping-particle":"","family":"Ma","given":"Keping","non-dropping-particle":"","parse-names":false,"suffix":""},{"dropping-particle":"","family":"May","given":"Peter H","non-dropping-particle":"","parse-names":false,"suffix":""},{"dropping-particle":"","family":"Mead","given":"Aroha","non-dropping-particle":"","parse-names":false,"suffix":""},{"dropping-particle":"","family":"O’Farrell","given":"Patrick","non-dropping-particle":"","parse-names":false,"suffix":""},{"dropping-particle":"","family":"Pandit","given":"Ram","non-dropping-particle":"","parse-names":false,"suffix":""},{"dropping-particle":"","family":"Pengue","given":"Walter","non-dropping-particle":"","parse-names":false,"suffix":""},{"dropping-particle":"","family":"Pichis-Madruga","given":"Ramón","non-dropping-particle":"","parse-names":false,"suffix":""},{"dropping-particle":"","family":"Popa","given":"Florin","non-dropping-particle":"","parse-names":false,"suffix":""},{"dropping-particle":"","family":"Preston","given":"Susan","non-dropping-particle":"","parse-names":false,"suffix":""},{"dropping-particle":"","family":"Pacheco-Balanza","given":"Diego","non-dropping-particle":"","parse-names":false,"suffix":""},{"dropping-particle":"","family":"Saarikoski","given":"Heli","non-dropping-particle":"","parse-names":false,"suffix":""},{"dropping-particle":"","family":"Strassburg","given":"Bernardo B","non-dropping-particle":"","parse-names":false,"suffix":""},{"dropping-particle":"","family":"Belt","given":"Marjan","non-dropping-particle":"van den","parse-names":false,"suffix":""},{"dropping-particle":"","family":"Verma","given":"Madhu","non-dropping-particle":"","parse-names":false,"suffix":""},{"dropping-particle":"","family":"Wickson","given":"Fern","non-dropping-particle":"","parse-names":false,"suffix":""},{"dropping-particle":"","family":"Yagi","given":"Noboyuki","non-dropping-particle":"","parse-names":false,"suffix":""}],"container-title":"Current Opinion in Environmental Sustainability","id":"ITEM-1","issued":{"date-parts":[["2017"]]},"page":"7-16","title":"Valuing nature’s contributions to people: the IPBES approach","type":"article-journal","volume":"26-27"},"uris":["http://www.mendeley.com/documents/?uuid=fdc544d7-989d-46a3-97dc-9e8d4bd95da7"]}],"mendeley":{"formattedCitation":"(Pascual et al. 2017)","plainTextFormattedCitation":"(Pascual et al. 2017)","previouslyFormattedCitation":"(Pascual et al. 2017)"},"properties":{"noteIndex":0},"schema":"https://github.com/citation-style-language/schema/raw/master/csl-citation.json"}</w:instrText>
      </w:r>
      <w:r w:rsidR="00527379" w:rsidRPr="00BC7A12">
        <w:rPr>
          <w:rFonts w:eastAsia="Times New Roman" w:cs="Calibri"/>
        </w:rPr>
        <w:fldChar w:fldCharType="separate"/>
      </w:r>
      <w:r w:rsidR="00527379" w:rsidRPr="00BC7A12">
        <w:rPr>
          <w:rFonts w:eastAsia="Times New Roman" w:cs="Calibri"/>
          <w:noProof/>
        </w:rPr>
        <w:t>(Pascual et al. 2017)</w:t>
      </w:r>
      <w:r w:rsidR="00527379" w:rsidRPr="00BC7A12">
        <w:rPr>
          <w:rFonts w:eastAsia="Times New Roman" w:cs="Calibri"/>
        </w:rPr>
        <w:fldChar w:fldCharType="end"/>
      </w:r>
      <w:r w:rsidR="00475F65" w:rsidRPr="00BC7A12">
        <w:rPr>
          <w:rFonts w:eastAsia="Times New Roman" w:cs="Calibri"/>
        </w:rPr>
        <w:t>.</w:t>
      </w:r>
      <w:r w:rsidRPr="00BC7A12">
        <w:rPr>
          <w:rFonts w:eastAsia="Times New Roman" w:cs="Calibri"/>
        </w:rPr>
        <w:t xml:space="preserve"> Over time, the ad-hoc approach could help change social norms and eventually lead to changes in practices</w:t>
      </w:r>
      <w:r w:rsidR="009A01EE" w:rsidRPr="00BC7A12">
        <w:rPr>
          <w:rFonts w:eastAsia="Times New Roman" w:cs="Calibri"/>
        </w:rPr>
        <w:fldChar w:fldCharType="begin" w:fldLock="1"/>
      </w:r>
      <w:r w:rsidR="00667EB7" w:rsidRPr="00BC7A12">
        <w:rPr>
          <w:rFonts w:eastAsia="Times New Roman" w:cs="Calibri"/>
        </w:rPr>
        <w:instrText>ADDIN CSL_CITATION {"citationItems":[{"id":"ITEM-1","itemData":{"author":[{"dropping-particle":"","family":"Houdet","given":"Joel","non-dropping-particle":"","parse-names":false,"suffix":""}],"id":"ITEM-1","issue":"December","issued":{"date-parts":[["2017"]]},"title":"MAINSTREAMING BIODIVERSITY INTO THE MANUFACTURING AND PROCESSING INDUSTRY: AN INITIAL COMPILATION OF REFERENCE DOCUMENTS, DATA AND KEY ACTORS","type":"report"},"uris":["http://www.mendeley.com/documents/?uuid=c5cf636c-6161-4e40-b177-6829b5d196de"]}],"mendeley":{"formattedCitation":"(Houdet 2017)","plainTextFormattedCitation":"(Houdet 2017)","previouslyFormattedCitation":"(Houdet 2017)"},"properties":{"noteIndex":0},"schema":"https://github.com/citation-style-language/schema/raw/master/csl-citation.json"}</w:instrText>
      </w:r>
      <w:r w:rsidR="009A01EE" w:rsidRPr="00BC7A12">
        <w:rPr>
          <w:rFonts w:eastAsia="Times New Roman" w:cs="Calibri"/>
        </w:rPr>
        <w:fldChar w:fldCharType="separate"/>
      </w:r>
      <w:r w:rsidR="009A01EE" w:rsidRPr="00BC7A12">
        <w:rPr>
          <w:rFonts w:eastAsia="Times New Roman" w:cs="Calibri"/>
          <w:noProof/>
        </w:rPr>
        <w:t>(Houdet 2017)</w:t>
      </w:r>
      <w:r w:rsidR="009A01EE" w:rsidRPr="00BC7A12">
        <w:rPr>
          <w:rFonts w:eastAsia="Times New Roman" w:cs="Calibri"/>
        </w:rPr>
        <w:fldChar w:fldCharType="end"/>
      </w:r>
      <w:r w:rsidRPr="00BC7A12">
        <w:rPr>
          <w:rFonts w:eastAsia="Times New Roman" w:cs="Calibri"/>
        </w:rPr>
        <w:t>—ecosystem functions may become an ever larger factor in decision making,</w:t>
      </w:r>
      <w:r w:rsidRPr="00BC7A12">
        <w:rPr>
          <w:rStyle w:val="FootnoteReference"/>
          <w:rFonts w:eastAsia="Times New Roman" w:cs="Calibri"/>
        </w:rPr>
        <w:footnoteReference w:id="18"/>
      </w:r>
      <w:r w:rsidRPr="00BC7A12">
        <w:rPr>
          <w:rFonts w:eastAsia="Times New Roman" w:cs="Calibri"/>
        </w:rPr>
        <w:t xml:space="preserve"> even without ES-CS. There has already been some movement in this direction</w:t>
      </w:r>
      <w:r w:rsidR="00647D9F" w:rsidRPr="00BC7A12">
        <w:rPr>
          <w:rFonts w:eastAsia="Times New Roman" w:cs="Calibri"/>
        </w:rPr>
        <w:t xml:space="preserve"> </w:t>
      </w:r>
      <w:r w:rsidR="00647D9F" w:rsidRPr="00BC7A12">
        <w:rPr>
          <w:rFonts w:eastAsia="Times New Roman" w:cs="Calibri"/>
        </w:rPr>
        <w:fldChar w:fldCharType="begin" w:fldLock="1"/>
      </w:r>
      <w:r w:rsidR="00647D9F" w:rsidRPr="00BC7A12">
        <w:rPr>
          <w:rFonts w:eastAsia="Times New Roman" w:cs="Calibri"/>
        </w:rPr>
        <w:instrText>ADDIN CSL_CITATION {"citationItems":[{"id":"ITEM-1","itemData":{"DOI":"10.1016/j.ecoser.2017.09.008","ISSN":"22120416","abstract":"It has been 20 years since two seminal publications about ecosystem services came out: an edited book by Gretchen Daily and an article in Nature by a group of ecologists and economists on the value of the world's ecosystem services. Both of these have been very highly cited and kicked off an explosion of research, policy, and applications of the idea, including the establishment of this journal. This article traces the history leading up to these publications and the subsequent debates, research, institutions, policies, on-the-ground actions, and controversies they triggered. It also explores what we have learned during this period about the key issues: from definitions to classification to valuation, from integrated modelling to public participation and communication, and the evolution of institutions and governance innovation. Finally, it provides recommendations for the future. In particular, it points to the weakness of the mainstream economic approaches to valuation, growth, and development. It concludes that the substantial contributions of ecosystem services to the sustainable wellbeing of humans and the rest of nature should be at the core of the fundamental change needed in economic theory and practice if we are to achieve a societal transformation to a sustainable and desirable future.","author":[{"dropping-particle":"","family":"Costanza","given":"Robert","non-dropping-particle":"","parse-names":false,"suffix":""},{"dropping-particle":"","family":"Groot","given":"Rudolf","non-dropping-particle":"de","parse-names":false,"suffix":""},{"dropping-particle":"","family":"Braat","given":"Leon","non-dropping-particle":"","parse-names":false,"suffix":""},{"dropping-particle":"","family":"Kubiszewski","given":"Ida","non-dropping-particle":"","parse-names":false,"suffix":""},{"dropping-particle":"","family":"Fioramonti","given":"Lorenzo","non-dropping-particle":"","parse-names":false,"suffix":""},{"dropping-particle":"","family":"Sutton","given":"Paul","non-dropping-particle":"","parse-names":false,"suffix":""},{"dropping-particle":"","family":"Farber","given":"Steve","non-dropping-particle":"","parse-names":false,"suffix":""},{"dropping-particle":"","family":"Grasso","given":"Monica","non-dropping-particle":"","parse-names":false,"suffix":""}],"container-title":"Ecosystem Services","id":"ITEM-1","issued":{"date-parts":[["2017"]]},"title":"Twenty years of ecosystem services: How far have we come and how far do we still need to go?","type":"article"},"uris":["http://www.mendeley.com/documents/?uuid=936229da-f09a-43a2-b747-d9e49413e2f0"]}],"mendeley":{"formattedCitation":"(Costanza et al. 2017)","plainTextFormattedCitation":"(Costanza et al. 2017)","previouslyFormattedCitation":"(Costanza et al. 2017)"},"properties":{"noteIndex":0},"schema":"https://github.com/citation-style-language/schema/raw/master/csl-citation.json"}</w:instrText>
      </w:r>
      <w:r w:rsidR="00647D9F" w:rsidRPr="00BC7A12">
        <w:rPr>
          <w:rFonts w:eastAsia="Times New Roman" w:cs="Calibri"/>
        </w:rPr>
        <w:fldChar w:fldCharType="separate"/>
      </w:r>
      <w:r w:rsidR="00647D9F" w:rsidRPr="00BC7A12">
        <w:rPr>
          <w:rFonts w:eastAsia="Times New Roman" w:cs="Calibri"/>
          <w:noProof/>
        </w:rPr>
        <w:t>(Costanza et al. 2017)</w:t>
      </w:r>
      <w:r w:rsidR="00647D9F" w:rsidRPr="00BC7A12">
        <w:rPr>
          <w:rFonts w:eastAsia="Times New Roman" w:cs="Calibri"/>
        </w:rPr>
        <w:fldChar w:fldCharType="end"/>
      </w:r>
      <w:r w:rsidR="00475F65" w:rsidRPr="00BC7A12">
        <w:rPr>
          <w:rFonts w:eastAsia="Times New Roman" w:cs="Calibri"/>
        </w:rPr>
        <w:t>.</w:t>
      </w:r>
    </w:p>
    <w:p w14:paraId="16059DFB" w14:textId="37D23A2B" w:rsidR="00C47C1B" w:rsidRPr="00BC7A12" w:rsidRDefault="00C47C1B" w:rsidP="00C47C1B">
      <w:pPr>
        <w:rPr>
          <w:rFonts w:eastAsia="Times New Roman" w:cs="Calibri"/>
        </w:rPr>
      </w:pPr>
      <w:r w:rsidRPr="00BC7A12">
        <w:rPr>
          <w:rFonts w:eastAsia="Times New Roman" w:cs="Calibri"/>
        </w:rPr>
        <w:t>This said, there are increasing calls among practitioners for ES-CS. Many have concluded that improved definitions and terms are required for the success of</w:t>
      </w:r>
      <w:r w:rsidR="000100D8" w:rsidRPr="00BC7A12">
        <w:rPr>
          <w:rFonts w:eastAsia="Times New Roman" w:cs="Calibri"/>
        </w:rPr>
        <w:t xml:space="preserve"> ecosystem services </w:t>
      </w:r>
      <w:r w:rsidRPr="00BC7A12">
        <w:rPr>
          <w:rFonts w:eastAsia="Times New Roman" w:cs="Calibri"/>
        </w:rPr>
        <w:t>approaches</w:t>
      </w:r>
      <w:r w:rsidR="006C6EC0" w:rsidRPr="00BC7A12">
        <w:rPr>
          <w:rFonts w:eastAsia="Times New Roman" w:cs="Calibri"/>
        </w:rPr>
        <w:t xml:space="preserve"> </w:t>
      </w:r>
      <w:r w:rsidR="006C6EC0" w:rsidRPr="00BC7A12">
        <w:rPr>
          <w:rFonts w:eastAsia="Times New Roman" w:cs="Calibri"/>
        </w:rPr>
        <w:fldChar w:fldCharType="begin" w:fldLock="1"/>
      </w:r>
      <w:r w:rsidR="00647D9F" w:rsidRPr="00BC7A12">
        <w:rPr>
          <w:rFonts w:eastAsia="Times New Roman" w:cs="Calibri"/>
        </w:rPr>
        <w:instrText>ADDIN CSL_CITATION {"citationItems":[{"id":"ITEM-1","itemData":{"DOI":"10.1073/pnas.1503751112","ISSN":"10916490","abstract":"The central challenge of the 21st century is to develop economic, social, and governance systems capable of ending poverty and achieving sustainable levels of population and consumption while securing the life-support systems underpinning current and future human well-being. Essential to meeting this challenge is the incorporation of natural capital and the ecosystem services it provides into decision-making. We explore progress and crucial gaps at this frontier, reflecting upon the 10 y since the Millennium Ecosystem Assessment. We focus on three key dimensions of progress and ongoing challenges: raising awareness of the interdependence of ecosystems and human well-being, advancing the fundamental interdisciplinary science of ecosystem services, and implementing this science in decisions to restore natural capital and use it sustainably. Awareness of human dependence on nature is at an all-time high, the science of ecosystem services is rapidly advancing, and talk of natural capital is now common from governments to corporate boardrooms. However, successful implementation is still in early stages. We explore why ecosystem service information has yet to fundamentally change decision-making and suggest a path forward that emphasizes: (i) developing solid evidence linking decisions to impacts on natural capital and ecosystem services, and then to human well-being; (ii) working closely with leaders in government, business, and civil society to develop the knowledge, tools, and practices necessary to integrate natural capital and ecosystem services into everyday decision-making; and (iii) reforming institutions to change policy and practices to better align private short-term goals with societal long-term goals.","author":[{"dropping-particle":"","family":"Guerry","given":"Anne D","non-dropping-particle":"","parse-names":false,"suffix":""},{"dropping-particle":"","family":"Polasky","given":"Stephen","non-dropping-particle":"","parse-names":false,"suffix":""},{"dropping-particle":"","family":"Lubchenco","given":"Jane","non-dropping-particle":"","parse-names":false,"suffix":""},{"dropping-particle":"","family":"Chaplin-Kramer","given":"Rebecca","non-dropping-particle":"","parse-names":false,"suffix":""},{"dropping-particle":"","family":"Daily","given":"Gretchen C","non-dropping-particle":"","parse-names":false,"suffix":""},{"dropping-particle":"","family":"Griffin","given":"Robert","non-dropping-particle":"","parse-names":false,"suffix":""},{"dropping-particle":"","family":"Ruckelshaus","given":"Mary","non-dropping-particle":"","parse-names":false,"suffix":""},{"dropping-particle":"","family":"Bateman","given":"Ian J","non-dropping-particle":"","parse-names":false,"suffix":""},{"dropping-particle":"","family":"Duraiappah","given":"Anantha","non-dropping-particle":"","parse-names":false,"suffix":""},{"dropping-particle":"","family":"Elmqvist","given":"Thomas","non-dropping-particle":"","parse-names":false,"suffix":""},{"dropping-particle":"","family":"Feldman","given":"Marcus W","non-dropping-particle":"","parse-names":false,"suffix":""},{"dropping-particle":"","family":"Folke","given":"Carl","non-dropping-particle":"","parse-names":false,"suffix":""},{"dropping-particle":"","family":"Hoekstra","given":"Jon","non-dropping-particle":"","parse-names":false,"suffix":""},{"dropping-particle":"","family":"Kareiva","given":"Peter M","non-dropping-particle":"","parse-names":false,"suffix":""},{"dropping-particle":"","family":"Keeler","given":"Bonnie L","non-dropping-particle":"","parse-names":false,"suffix":""},{"dropping-particle":"","family":"Li","given":"Shuzhuo","non-dropping-particle":"","parse-names":false,"suffix":""},{"dropping-particle":"","family":"McKenzie","given":"Emily","non-dropping-particle":"","parse-names":false,"suffix":""},{"dropping-particle":"","family":"Ouyang","given":"Zhiyun","non-dropping-particle":"","parse-names":false,"suffix":""},{"dropping-particle":"","family":"Reyers","given":"Belinda","non-dropping-particle":"","parse-names":false,"suffix":""},{"dropping-particle":"","family":"Ricketts","given":"Taylor H","non-dropping-particle":"","parse-names":false,"suffix":""},{"dropping-particle":"","family":"Rockström","given":"Johan","non-dropping-particle":"","parse-names":false,"suffix":""},{"dropping-particle":"","family":"Tallis","given":"Heather","non-dropping-particle":"","parse-names":false,"suffix":""},{"dropping-particle":"","family":"Vira","given":"Bhaskar","non-dropping-particle":"","parse-names":false,"suffix":""}],"container-title":"Proceedings of the National Academy of Sciences of the United States of America","id":"ITEM-1","issued":{"date-parts":[["2015"]]},"title":"Natural capital and ecosystem services informing decisions: From promise to practice","type":"article"},"uris":["http://www.mendeley.com/documents/?uuid=a3e57290-2b8b-4094-92bd-d92d04639a07"]},{"id":"ITEM-2","itemData":{"DOI":"10.1111/ele.12389","ISSN":"14610248","abstract":"Governments worldwide are recognising ecosystem services as an approach to address sustainability challenges. Decision-makers need credible and legitimate measurements of ecosystem services to evaluate decisions for trade-offs to make wise choices. Managers lack these measurements because of a data gap linking ecosystem characteristics to final ecosystem services. The dominant method to address the data gap is benefit transfer using ecological data from one location to estimate ecosystem services at other locations with similar land cover. However, benefit transfer is only valid once the data gap is adequately resolved. Disciplinary frames separating ecology from economics and policy have resulted in confusion on concepts and methods preventing progress on the data gap. In this study, we present a 10-step approach to unify concepts, methods and data from the disparate disciplines to offer guidance on overcoming the data gap. We suggest: (1) estimate ecosystem characteristics using biophysical models, (2) identify final ecosystem services using endpoints and (3) connect them using ecological production functions to quantify biophysical trade-offs. The guidance is strategic for public policy because analysts need to be: (1) realistic when setting priorities, (2) attentive to timelines to acquire relevant data, given resources and (3) responsive to the needs of decision-makers.","author":[{"dropping-particle":"","family":"Wong","given":"Christina P","non-dropping-particle":"","parse-names":false,"suffix":""},{"dropping-particle":"","family":"Jiang","given":"Bo","non-dropping-particle":"","parse-names":false,"suffix":""},{"dropping-particle":"","family":"Kinzig","given":"Ann P","non-dropping-particle":"","parse-names":false,"suffix":""},{"dropping-particle":"","family":"Lee","given":"Kai N","non-dropping-particle":"","parse-names":false,"suffix":""},{"dropping-particle":"","family":"Ouyang","given":"Zhi Yun","non-dropping-particle":"","parse-names":false,"suffix":""}],"container-title":"Ecology Letters","id":"ITEM-2","issue":"1","issued":{"date-parts":[["2015"]]},"page":"108-118","title":"Linking ecosystem characteristics to final ecosystem services for public policy","type":"article-journal","volume":"18"},"uris":["http://www.mendeley.com/documents/?uuid=eeda0d15-d9a3-4f55-b99f-b1f2c5bbc264"]},{"id":"ITEM-3","itemData":{"author":[{"dropping-particle":"","family":"Neale","given":"Anne C","non-dropping-particle":"","parse-names":false,"suffix":""},{"dropping-particle":"","family":"Daniel","given":"Jessica","non-dropping-particle":"","parse-names":false,"suffix":""},{"dropping-particle":"","family":"Mehaffey","given":"Megan","non-dropping-particle":"","parse-names":false,"suffix":""}],"id":"ITEM-3","issued":{"date-parts":[["2018"]]},"publisher":"May 17 2018","title":"Personal conversation","type":"article"},"uris":["http://www.mendeley.com/documents/?uuid=6abff561-6ee9-4b06-84ed-7b933f2c3f15"]},{"id":"ITEM-4","itemData":{"DOI":"10.1016/j.ecoser.2013.02.001","ISSN":"22120416","abstract":"The inconsistency in methods to quantify and map ecosystem services challenges the development of robust values of ecosystem services in national accounts and broader policy and natural resource management decision-making. In this paper we develop and test a blueprint to give guidance on modelling and mapping ecosystem services. The primary purpose of this blueprint is to provide a template and checklist of information needed for those beginning an ecosystem service modelling and mapping study. A secondary purpose is to provide, over time, a database of completed blueprints that becomes a valuable information resource of methods and information used in previous modelling and mapping studies. We base our blueprint on a literature review, expert opinions (as part of a related workshop organised during the 5th ESP conference. 2) and critical assessment of existing techniques used to model and map ecosystem services. While any study that models and maps ecosystem services will have its unique characteristics and will be largely driven by data and model availability, a tool such as the blueprint presented here will reduce the uncertainty associated with quantifying ecosystem services and thereby help to close the gap between theory and practice. ©2013.","author":[{"dropping-particle":"","family":"Crossman","given":"Neville D","non-dropping-particle":"","parse-names":false,"suffix":""},{"dropping-particle":"","family":"Burkhard","given":"Benjamin","non-dropping-particle":"","parse-names":false,"suffix":""},{"dropping-particle":"","family":"Nedkov","given":"Stoyan","non-dropping-particle":"","parse-names":false,"suffix":""},{"dropping-particle":"","family":"Willemen","given":"Louise","non-dropping-particle":"","parse-names":false,"suffix":""},{"dropping-particle":"","family":"Petz","given":"Katalin","non-dropping-particle":"","parse-names":false,"suffix":""},{"dropping-particle":"","family":"Palomo","given":"Ignacio","non-dropping-particle":"","parse-names":false,"suffix":""},{"dropping-particle":"","family":"Drakou","given":"Evangelia G","non-dropping-particle":"","parse-names":false,"suffix":""},{"dropping-particle":"","family":"Martín-Lopez","given":"Berta","non-dropping-particle":"","parse-names":false,"suffix":""},{"dropping-particle":"","family":"McPhearson","given":"Timon","non-dropping-particle":"","parse-names":false,"suffix":""},{"dropping-particle":"","family":"Boyanova","given":"Kremena","non-dropping-particle":"","parse-names":false,"suffix":""},{"dropping-particle":"","family":"Alkemade","given":"Rob","non-dropping-particle":"","parse-names":false,"suffix":""},{"dropping-particle":"","family":"Egoh","given":"Benis","non-dropping-particle":"","parse-names":false,"suffix":""},{"dropping-particle":"","family":"Dunbar","given":"Martha B","non-dropping-particle":"","parse-names":false,"suffix":""},{"dropping-particle":"","family":"Maes","given":"Joachim","non-dropping-particle":"","parse-names":false,"suffix":""}],"container-title":"Ecosystem Services","id":"ITEM-4","issued":{"date-parts":[["2013"]]},"title":"A blueprint for mapping and modelling ecosystem services","type":"article-journal"},"uris":["http://www.mendeley.com/documents/?uuid=63323dec-45d7-4451-902d-2019577484e2"]},{"id":"ITEM-5","itemData":{"DOI":"10.1016/j.ecolind.2011.09.003","ISSN":"1470160X","abstract":"Ecosystem service assessments (ESA) hold the promise of supporting the quantification and valuation of human appropriation of nature and its goods and services. The concept has taken flight with the number of studies published on the topic increasing rapidly. This development, and the variation of diverging approaches, support innovative ideas and may lead to complementary insights from various perspectives. However, at the same time this slows scientific synthesis through increasing uncertainty with respect to the appropriate methodologies to be used to support solving environmental management problems. We analyzed ESA and the underlying concepts based on the variety of available publications and reviews, which revealed a number of different methods, uncertain reliability and robustness. In order to facilitate comparison, evaluation and synthesis of ecosystem service assessments we propose a blueprint for reporting studies in a structured way. By exemplifying this with worked examples, we argue that the use of such a blueprint will (i) assist in achieving improved communication and collaboration in transdisciplinary teams; (ii) reveal methodological aspects, important for the interpretation of results; (iii) support robustness and reliability of assessments; (iv) aid in structuring assessment studies and monitoring programs; (v) provide a base for comparing and synthesizing results of different studies (e.g. in meta-analysis), and thus (vi) provide a base for further implementation of ESA. ©2011 Elsevier Ltd. All rights reserved.","author":[{"dropping-particle":"","family":"Seppelt","given":"Ralf","non-dropping-particle":"","parse-names":false,"suffix":""},{"dropping-particle":"","family":"Fath","given":"Brian","non-dropping-particle":"","parse-names":false,"suffix":""},{"dropping-particle":"","family":"Burkhard","given":"Benjamin","non-dropping-particle":"","parse-names":false,"suffix":""},{"dropping-particle":"","family":"Fisher","given":"Judy L","non-dropping-particle":"","parse-names":false,"suffix":""},{"dropping-particle":"","family":"Grêt-Regamey","given":"Adrienne","non-dropping-particle":"","parse-names":false,"suffix":""},{"dropping-particle":"","family":"Lautenbach","given":"Sven","non-dropping-particle":"","parse-names":false,"suffix":""},{"dropping-particle":"","family":"Pert","given":"Petina","non-dropping-particle":"","parse-names":false,"suffix":""},{"dropping-particle":"","family":"Hotes","given":"Stefan","non-dropping-particle":"","parse-names":false,"suffix":""},{"dropping-particle":"","family":"Spangenberg","given":"Joachim","non-dropping-particle":"","parse-names":false,"suffix":""},{"dropping-particle":"","family":"Verburg","given":"Peter H","non-dropping-particle":"","parse-names":false,"suffix":""},{"dropping-particle":"","family":"Oudenhoven","given":"Alexander P E","non-dropping-particle":"van","parse-names":false,"suffix":""}],"container-title":"Ecological Indicators","id":"ITEM-5","issued":{"date-parts":[["2012"]]},"title":"Form follows function? Proposing a blueprint for ecosystem service assessments based on reviews and case studies","type":"article-journal"},"uris":["http://www.mendeley.com/documents/?uuid=7069234f-3417-4ac8-9a8c-e4bb395bc6d8"]}],"mendeley":{"formattedCitation":"(Guerry et al. 2015, Wong et al. 2015, Neale et al. 2018, Crossman et al. 2013, Seppelt et al. 2012)","plainTextFormattedCitation":"(Guerry et al. 2015, Wong et al. 2015, Neale et al. 2018, Crossman et al. 2013, Seppelt et al. 2012)","previouslyFormattedCitation":"(Guerry et al. 2015, Wong et al. 2015, Neale et al. 2018, Crossman et al. 2013, Seppelt et al. 2012)"},"properties":{"noteIndex":0},"schema":"https://github.com/citation-style-language/schema/raw/master/csl-citation.json"}</w:instrText>
      </w:r>
      <w:r w:rsidR="006C6EC0" w:rsidRPr="00BC7A12">
        <w:rPr>
          <w:rFonts w:eastAsia="Times New Roman" w:cs="Calibri"/>
        </w:rPr>
        <w:fldChar w:fldCharType="separate"/>
      </w:r>
      <w:r w:rsidR="0075491C" w:rsidRPr="00BC7A12">
        <w:rPr>
          <w:rFonts w:eastAsia="Times New Roman" w:cs="Calibri"/>
          <w:noProof/>
        </w:rPr>
        <w:t>(Guerry et al. 2015, Wong et al. 2015, Neale et al. 2018, Crossman et al. 2013, Seppelt et al. 2012)</w:t>
      </w:r>
      <w:r w:rsidR="006C6EC0" w:rsidRPr="00BC7A12">
        <w:rPr>
          <w:rFonts w:eastAsia="Times New Roman" w:cs="Calibri"/>
        </w:rPr>
        <w:fldChar w:fldCharType="end"/>
      </w:r>
      <w:r w:rsidR="00475F65" w:rsidRPr="00BC7A12">
        <w:rPr>
          <w:rFonts w:eastAsia="Times New Roman" w:cs="Calibri"/>
        </w:rPr>
        <w:t>.</w:t>
      </w:r>
      <w:r w:rsidR="0075491C" w:rsidRPr="00BC7A12">
        <w:rPr>
          <w:rFonts w:eastAsia="Times New Roman" w:cs="Calibri"/>
          <w:vertAlign w:val="superscript"/>
        </w:rPr>
        <w:t xml:space="preserve"> </w:t>
      </w:r>
      <w:r w:rsidRPr="00BC7A12">
        <w:rPr>
          <w:rFonts w:eastAsia="Times New Roman" w:cs="Calibri"/>
        </w:rPr>
        <w:t>Indeed, practitioners have been using international standards for years. The ISO 14007 standards provide guidance for “determining environmental costs and benefits”, while 14008 defines acceptable practice for “monetary valuation.”</w:t>
      </w:r>
      <w:r w:rsidRPr="00BC7A12">
        <w:rPr>
          <w:rStyle w:val="FootnoteReference"/>
          <w:rFonts w:eastAsia="Times New Roman" w:cs="Calibri"/>
        </w:rPr>
        <w:footnoteReference w:id="19"/>
      </w:r>
      <w:r w:rsidRPr="00BC7A12">
        <w:rPr>
          <w:rFonts w:eastAsia="Times New Roman" w:cs="Calibri"/>
        </w:rPr>
        <w:t xml:space="preserve"> Further, investments by the European Environment Agency, US EPA, Chinese Academy of Sciences, China’s Ministry of Ecology and the Environment (previously known as the Ministry of Environmental Protection</w:t>
      </w:r>
      <w:r w:rsidRPr="00BC7A12">
        <w:rPr>
          <w:rStyle w:val="FootnoteReference"/>
          <w:rFonts w:eastAsia="Times New Roman" w:cs="Calibri"/>
        </w:rPr>
        <w:footnoteReference w:id="20"/>
      </w:r>
      <w:r w:rsidRPr="00BC7A12">
        <w:rPr>
          <w:rFonts w:eastAsia="Times New Roman" w:cs="Calibri"/>
        </w:rPr>
        <w:t>), UNSD SEEA, and leaders in natural capital accounting are generating ES-CS and FES based tools and applications which speaks to the importance practitioners places on ES-CS. These tools and applications include using ES-CS:</w:t>
      </w:r>
    </w:p>
    <w:p w14:paraId="708A712F" w14:textId="028AF4CE" w:rsidR="00C47C1B" w:rsidRPr="00BC7A12" w:rsidRDefault="00C47C1B" w:rsidP="00413DAD">
      <w:pPr>
        <w:pStyle w:val="ListParagraph"/>
        <w:numPr>
          <w:ilvl w:val="0"/>
          <w:numId w:val="15"/>
        </w:numPr>
        <w:spacing w:after="0" w:line="240" w:lineRule="auto"/>
        <w:jc w:val="left"/>
        <w:rPr>
          <w:rFonts w:eastAsia="Times New Roman" w:cs="Calibri"/>
        </w:rPr>
      </w:pPr>
      <w:r w:rsidRPr="00BC7A12">
        <w:rPr>
          <w:rFonts w:eastAsia="Times New Roman" w:cs="Calibri"/>
        </w:rPr>
        <w:t>To support implementation of the EU Biodiversity Strategy to 2020 (via the EU MAES and INCA projects)</w:t>
      </w:r>
      <w:r w:rsidR="006C6EC0" w:rsidRPr="00BC7A12">
        <w:rPr>
          <w:rFonts w:eastAsia="Times New Roman" w:cs="Calibri"/>
        </w:rPr>
        <w:t xml:space="preserve"> </w:t>
      </w:r>
      <w:r w:rsidR="0047161F" w:rsidRPr="00BC7A12">
        <w:rPr>
          <w:rFonts w:eastAsia="Times New Roman" w:cs="Calibri"/>
        </w:rPr>
        <w:fldChar w:fldCharType="begin" w:fldLock="1"/>
      </w:r>
      <w:r w:rsidR="007521DB" w:rsidRPr="00BC7A12">
        <w:rPr>
          <w:rFonts w:eastAsia="Times New Roman" w:cs="Calibri"/>
        </w:rPr>
        <w:instrText>ADDIN CSL_CITATION {"citationItems":[{"id":"ITEM-1","itemData":{"DOI":"10.2779/75203","ISBN":"9789279361616","abstract":"Indicators for ecosystem assessments under Action 5 of the EU Biodiversity Strategy to 2020","author":[{"dropping-particle":"","family":"Maes","given":"Joachim","non-dropping-particle":"","parse-names":false,"suffix":""},{"dropping-particle":"","family":"Teller","given":"Anne","non-dropping-particle":"","parse-names":false,"suffix":""},{"dropping-particle":"","family":"Erhard","given":"Markus","non-dropping-particle":"","parse-names":false,"suffix":""},{"dropping-particle":"","family":"Murphy","given":"Patrick","non-dropping-particle":"","parse-names":false,"suffix":""},{"dropping-particle":"","family":"Paracchini","given":"Maria","non-dropping-particle":"","parse-names":false,"suffix":""},{"dropping-particle":"","family":"Barredo","given":"José","non-dropping-particle":"","parse-names":false,"suffix":""},{"dropping-particle":"","family":"Grizzeti","given":"Bruna","non-dropping-particle":"","parse-names":false,"suffix":""},{"dropping-particle":"","family":"Cardoso","given":"Ana","non-dropping-particle":"","parse-names":false,"suffix":""},{"dropping-particle":"","family":"Somma","given":"Francesca","non-dropping-particle":"","parse-names":false,"suffix":""},{"dropping-particle":"","family":"Petersen","given":"Jan-Erik","non-dropping-particle":"","parse-names":false,"suffix":""},{"dropping-particle":"","family":"Meiner","given":"Andrus","non-dropping-particle":"","parse-names":false,"suffix":""},{"dropping-particle":"","family":"Gelabert","given":"Eva","non-dropping-particle":"","parse-names":false,"suffix":""},{"dropping-particle":"","family":"Zal","given":"Nihat","non-dropping-particle":"","parse-names":false,"suffix":""},{"dropping-particle":"","family":"Kristensen","given":"Peter","non-dropping-particle":"","parse-names":false,"suffix":""},{"dropping-particle":"","family":"Bastrup-Birk","given":"Annemarie","non-dropping-particle":"","parse-names":false,"suffix":""},{"dropping-particle":"","family":"Biala","given":"Katarzyna","non-dropping-particle":"","parse-names":false,"suffix":""},{"dropping-particle":"","family":"Romao","given":"Carlos","non-dropping-particle":"","parse-names":false,"suffix":""},{"dropping-particle":"","family":"Piroddi","given":"Chiara","non-dropping-particle":"","parse-names":false,"suffix":""},{"dropping-particle":"","family":"Egoh","given":"Benis","non-dropping-particle":"","parse-names":false,"suffix":""},{"dropping-particle":"","family":"Fiorina","given":"Christel","non-dropping-particle":"","parse-names":false,"suffix":""},{"dropping-particle":"","family":"Santos","given":"Fernando","non-dropping-particle":"","parse-names":false,"suffix":""},{"dropping-particle":"","family":"Narusevicius","given":"Vytautas","non-dropping-particle":"","parse-names":false,"suffix":""},{"dropping-particle":"","family":"Verboven","given":"Jan","non-dropping-particle":"","parse-names":false,"suffix":""},{"dropping-particle":"","family":"Pereira","given":"Henrique","non-dropping-particle":"","parse-names":false,"suffix":""},{"dropping-particle":"","family":"Bengtsson","given":"Jan","non-dropping-particle":"","parse-names":false,"suffix":""},{"dropping-particle":"","family":"Kremena","given":"Gocheva","non-dropping-particle":"","parse-names":false,"suffix":""},{"dropping-particle":"","family":"Marta-Pedroso","given":"Cristina","non-dropping-particle":"","parse-names":false,"suffix":""},{"dropping-particle":"","family":"Snäll","given":"Tord","non-dropping-particle":"","parse-names":false,"suffix":""},{"dropping-particle":"","family":"Estreguil","given":"Christine","non-dropping-particle":"","parse-names":false,"suffix":""},{"dropping-particle":"","family":"San Miguel","given":"Jesus","non-dropping-particle":"","parse-names":false,"suffix":""},{"dropping-particle":"","family":"Braat","given":"Leon","non-dropping-particle":"","parse-names":false,"suffix":""},{"dropping-particle":"","family":"Grêt-Regamey","given":"Adrienne","non-dropping-particle":"","parse-names":false,"suffix":""},{"dropping-particle":"","family":"Perez-Soba","given":"Marta","non-dropping-particle":"","parse-names":false,"suffix":""},{"dropping-particle":"","family":"Degeorges","given":"Patrick","non-dropping-particle":"","parse-names":false,"suffix":""},{"dropping-particle":"","family":"Beaufarron","given":"Guéhanne","non-dropping-particle":"","parse-names":false,"suffix":""},{"dropping-particle":"","family":"Lillebo","given":"Ana","non-dropping-particle":"","parse-names":false,"suffix":""},{"dropping-particle":"","family":"Abdul Malak","given":"Dania","non-dropping-particle":"","parse-names":false,"suffix":""},{"dropping-particle":"","family":"Liquete","given":"Camino","non-dropping-particle":"","parse-names":false,"suffix":""},{"dropping-particle":"","family":"Condé","given":"Sophie","non-dropping-particle":"","parse-names":false,"suffix":""},{"dropping-particle":"","family":"Moen","given":"Jon","non-dropping-particle":"","parse-names":false,"suffix":""},{"dropping-particle":"","family":"Östergard","given":"Hannah","non-dropping-particle":"","parse-names":false,"suffix":""},{"dropping-particle":"","family":"Czucz","given":"Bálint","non-dropping-particle":"","parse-names":false,"suffix":""},{"dropping-particle":"","family":"Drakou","given":"Evangelia","non-dropping-particle":"","parse-names":false,"suffix":""},{"dropping-particle":"","family":"Zulian","given":"Grazia","non-dropping-particle":"","parse-names":false,"suffix":""},{"dropping-particle":"","family":"Lavalle","given":"Carlo","non-dropping-particle":"","parse-names":false,"suffix":""}],"container-title":"Technical Report","id":"ITEM-1","issue":"February 2014","issued":{"date-parts":[["2014"]]},"title":"Mapping and Assessment of Ecosystems and their Services. Indicators for ecosystem assessment under Action 5 of the EU Biodiversity Strategy to 2020 : 2nd report - final, February 2014","type":"book","volume":"2014-080"},"uris":["http://www.mendeley.com/documents/?uuid=8117e12e-49c9-497b-963f-41010a1c99a6"]}],"mendeley":{"formattedCitation":"(Maes et al. 2014)","plainTextFormattedCitation":"(Maes et al. 2014)","previouslyFormattedCitation":"(Maes et al. 2014)"},"properties":{"noteIndex":0},"schema":"https://github.com/citation-style-language/schema/raw/master/csl-citation.json"}</w:instrText>
      </w:r>
      <w:r w:rsidR="0047161F" w:rsidRPr="00BC7A12">
        <w:rPr>
          <w:rFonts w:eastAsia="Times New Roman" w:cs="Calibri"/>
        </w:rPr>
        <w:fldChar w:fldCharType="separate"/>
      </w:r>
      <w:r w:rsidR="0047161F" w:rsidRPr="00BC7A12">
        <w:rPr>
          <w:rFonts w:eastAsia="Times New Roman" w:cs="Calibri"/>
          <w:noProof/>
        </w:rPr>
        <w:t>(Maes et al. 2014)</w:t>
      </w:r>
      <w:r w:rsidR="0047161F" w:rsidRPr="00BC7A12">
        <w:rPr>
          <w:rFonts w:eastAsia="Times New Roman" w:cs="Calibri"/>
        </w:rPr>
        <w:fldChar w:fldCharType="end"/>
      </w:r>
      <w:r w:rsidRPr="00BC7A12">
        <w:rPr>
          <w:rFonts w:eastAsia="Times New Roman" w:cs="Calibri"/>
        </w:rPr>
        <w:t xml:space="preserve"> </w:t>
      </w:r>
    </w:p>
    <w:p w14:paraId="0A251176" w14:textId="1B347032" w:rsidR="00C47C1B" w:rsidRPr="00BC7A12" w:rsidRDefault="00C47C1B" w:rsidP="00413DAD">
      <w:pPr>
        <w:pStyle w:val="ListParagraph"/>
        <w:numPr>
          <w:ilvl w:val="0"/>
          <w:numId w:val="15"/>
        </w:numPr>
        <w:spacing w:after="0" w:line="240" w:lineRule="auto"/>
        <w:jc w:val="left"/>
        <w:rPr>
          <w:rFonts w:eastAsia="Times New Roman" w:cs="Calibri"/>
        </w:rPr>
      </w:pPr>
      <w:r w:rsidRPr="00BC7A12">
        <w:rPr>
          <w:rFonts w:eastAsia="Times New Roman" w:cs="Calibri"/>
        </w:rPr>
        <w:t xml:space="preserve">In structuring the US EPA’s </w:t>
      </w:r>
      <w:proofErr w:type="spellStart"/>
      <w:r w:rsidRPr="00BC7A12">
        <w:rPr>
          <w:rFonts w:eastAsia="Times New Roman" w:cs="Calibri"/>
        </w:rPr>
        <w:t>EcoServices</w:t>
      </w:r>
      <w:proofErr w:type="spellEnd"/>
      <w:r w:rsidRPr="00BC7A12">
        <w:rPr>
          <w:rFonts w:eastAsia="Times New Roman" w:cs="Calibri"/>
        </w:rPr>
        <w:t xml:space="preserve"> Model Library so that it provides analysis of FES not just</w:t>
      </w:r>
      <w:r w:rsidR="000100D8" w:rsidRPr="00BC7A12">
        <w:rPr>
          <w:rFonts w:eastAsia="Times New Roman" w:cs="Calibri"/>
        </w:rPr>
        <w:t xml:space="preserve"> ecosystem services </w:t>
      </w:r>
      <w:r w:rsidR="006C6EC0" w:rsidRPr="00BC7A12">
        <w:rPr>
          <w:rFonts w:eastAsia="Times New Roman" w:cs="Calibri"/>
        </w:rPr>
        <w:fldChar w:fldCharType="begin" w:fldLock="1"/>
      </w:r>
      <w:r w:rsidR="006C6EC0" w:rsidRPr="00BC7A12">
        <w:rPr>
          <w:rFonts w:eastAsia="Times New Roman" w:cs="Calibri"/>
        </w:rPr>
        <w:instrText>ADDIN CSL_CITATION {"citationItems":[{"id":"ITEM-1","itemData":{"author":[{"dropping-particle":"","family":"United States Environmental Protection Agency","given":"","non-dropping-particle":"","parse-names":false,"suffix":""}],"id":"ITEM-1","issued":{"date-parts":[["0"]]},"title":"EcoService Models Library","type":"article"},"uris":["http://www.mendeley.com/documents/?uuid=ba826786-9c6e-4b40-b4b0-6832c4107d64"]}],"mendeley":{"formattedCitation":"(United States Environmental Protection Agency n.d.)","plainTextFormattedCitation":"(United States Environmental Protection Agency n.d.)","previouslyFormattedCitation":"(United States Environmental Protection Agency n.d.)"},"properties":{"noteIndex":0},"schema":"https://github.com/citation-style-language/schema/raw/master/csl-citation.json"}</w:instrText>
      </w:r>
      <w:r w:rsidR="006C6EC0" w:rsidRPr="00BC7A12">
        <w:rPr>
          <w:rFonts w:eastAsia="Times New Roman" w:cs="Calibri"/>
        </w:rPr>
        <w:fldChar w:fldCharType="separate"/>
      </w:r>
      <w:r w:rsidR="006C6EC0" w:rsidRPr="00BC7A12">
        <w:rPr>
          <w:rFonts w:eastAsia="Times New Roman" w:cs="Calibri"/>
          <w:noProof/>
        </w:rPr>
        <w:t>(United States Environmental Protection Agency n.d.)</w:t>
      </w:r>
      <w:r w:rsidR="006C6EC0" w:rsidRPr="00BC7A12">
        <w:rPr>
          <w:rFonts w:eastAsia="Times New Roman" w:cs="Calibri"/>
        </w:rPr>
        <w:fldChar w:fldCharType="end"/>
      </w:r>
    </w:p>
    <w:p w14:paraId="4B1B993C" w14:textId="6AC626A0" w:rsidR="00C47C1B" w:rsidRPr="00BC7A12" w:rsidRDefault="00C47C1B" w:rsidP="00413DAD">
      <w:pPr>
        <w:pStyle w:val="ListParagraph"/>
        <w:numPr>
          <w:ilvl w:val="0"/>
          <w:numId w:val="15"/>
        </w:numPr>
        <w:spacing w:after="0" w:line="240" w:lineRule="auto"/>
        <w:jc w:val="left"/>
        <w:rPr>
          <w:rFonts w:eastAsia="Times New Roman" w:cs="Calibri"/>
        </w:rPr>
      </w:pPr>
      <w:r w:rsidRPr="00BC7A12">
        <w:rPr>
          <w:rFonts w:eastAsia="Times New Roman" w:cs="Calibri"/>
        </w:rPr>
        <w:t>To develop at least 4 customized versions of CICES for specific studies</w:t>
      </w:r>
      <w:r w:rsidR="006C6EC0" w:rsidRPr="00BC7A12">
        <w:rPr>
          <w:rFonts w:eastAsia="Times New Roman" w:cs="Calibri"/>
        </w:rPr>
        <w:t xml:space="preserve"> </w:t>
      </w:r>
      <w:r w:rsidR="006C6EC0" w:rsidRPr="00BC7A12">
        <w:rPr>
          <w:rFonts w:eastAsia="Times New Roman" w:cs="Calibri"/>
        </w:rPr>
        <w:fldChar w:fldCharType="begin" w:fldLock="1"/>
      </w:r>
      <w:r w:rsidR="006C6EC0" w:rsidRPr="00BC7A12">
        <w:rPr>
          <w:rFonts w:eastAsia="Times New Roman" w:cs="Calibri"/>
        </w:rPr>
        <w:instrText>ADDIN CSL_CITATION {"citationItems":[{"id":"ITEM-1","itemData":{"DOI":"10.1016/j.ecoser.2017.11.018","ISSN":"22120416","abstract":"We present a ‘concept matching' systematic review linking the classes of the Common International Classification for Ecosystem Services (CICES, v4.3) to the ways scientists define and apply ES indicators in published studies. With the dual aim of creating an overview how the different services are measured in the studies, and determining if CICES provides an appropriate structure to accommodate the ES assessed in the practical literature, we reviewed 85 scientific papers from which 440 indicators were identified. Almost all CICES classes were represented, with cultural and some regulating (e.g. global climate regulation, pollination) ES being the most frequently considered. The four most frequently studied CICES classes (or class clusters) were global climate regulation, aesthetic beauty, recreation, and bio-remediation. Regulating and cultural services were more often assessed than provisioning services. Normalisation to unit area and time was common for indicators of several regulating and provisioning ES. Scores were most frequently used for cultural ES (except recreation) and some regulating services (e.g. flood protection). Altogether 20% of the ES indicators were quantified as an economic value, and monetisation is most frequently done for cultural and provisioning ES. Few regulating services, on the other hand, were monetised (including ones, like global climate regulation, for which appropriate techniques are relatively easily available). The work enabled a library of indicators to be compiled and made available. The findings can be used to help improve CICES so that it can provide a more robust and comprehensive framework for ecosystem assessments.","author":[{"dropping-particle":"","family":"Czúcz","given":"Bálint","non-dropping-particle":"","parse-names":false,"suffix":""},{"dropping-particle":"","family":"Arany","given":"Ildikó","non-dropping-particle":"","parse-names":false,"suffix":""},{"dropping-particle":"","family":"Potschin-Young","given":"Marion","non-dropping-particle":"","parse-names":false,"suffix":""},{"dropping-particle":"","family":"Bereczki","given":"Krisztina","non-dropping-particle":"","parse-names":false,"suffix":""},{"dropping-particle":"","family":"Kertész","given":"Miklós","non-dropping-particle":"","parse-names":false,"suffix":""},{"dropping-particle":"","family":"Kiss","given":"Márton","non-dropping-particle":"","parse-names":false,"suffix":""},{"dropping-particle":"","family":"Aszalós","given":"Réka","non-dropping-particle":"","parse-names":false,"suffix":""},{"dropping-particle":"","family":"Haines-Young","given":"Roy","non-dropping-particle":"","parse-names":false,"suffix":""}],"container-title":"Ecosystem Services","id":"ITEM-1","issued":{"date-parts":[["2018"]]},"page":"145-157","title":"Where concepts meet the real world: A systematic review of ecosystem service indicators and their classification using CICES","type":"article-journal","volume":"29"},"uris":["http://www.mendeley.com/documents/?uuid=12216f30-555d-4c59-8e2a-71b3351aa635"]}],"mendeley":{"formattedCitation":"(Czúcz et al. 2018)","plainTextFormattedCitation":"(Czúcz et al. 2018)","previouslyFormattedCitation":"(Czúcz et al. 2018)"},"properties":{"noteIndex":0},"schema":"https://github.com/citation-style-language/schema/raw/master/csl-citation.json"}</w:instrText>
      </w:r>
      <w:r w:rsidR="006C6EC0" w:rsidRPr="00BC7A12">
        <w:rPr>
          <w:rFonts w:eastAsia="Times New Roman" w:cs="Calibri"/>
        </w:rPr>
        <w:fldChar w:fldCharType="separate"/>
      </w:r>
      <w:r w:rsidR="006C6EC0" w:rsidRPr="00BC7A12">
        <w:rPr>
          <w:rFonts w:eastAsia="Times New Roman" w:cs="Calibri"/>
          <w:noProof/>
        </w:rPr>
        <w:t>(Czúcz et al. 2018)</w:t>
      </w:r>
      <w:r w:rsidR="006C6EC0" w:rsidRPr="00BC7A12">
        <w:rPr>
          <w:rFonts w:eastAsia="Times New Roman" w:cs="Calibri"/>
        </w:rPr>
        <w:fldChar w:fldCharType="end"/>
      </w:r>
      <w:r w:rsidRPr="00BC7A12">
        <w:rPr>
          <w:rFonts w:eastAsia="Times New Roman" w:cs="Calibri"/>
        </w:rPr>
        <w:t xml:space="preserve"> that help reduce the total number of FES and use locally appropriate terms  </w:t>
      </w:r>
    </w:p>
    <w:p w14:paraId="7CD26391" w14:textId="05D4AB40" w:rsidR="00C47C1B" w:rsidRPr="00BC7A12" w:rsidRDefault="00C47C1B" w:rsidP="00413DAD">
      <w:pPr>
        <w:pStyle w:val="ListParagraph"/>
        <w:numPr>
          <w:ilvl w:val="0"/>
          <w:numId w:val="15"/>
        </w:numPr>
        <w:spacing w:after="0" w:line="240" w:lineRule="auto"/>
        <w:jc w:val="left"/>
        <w:rPr>
          <w:rFonts w:eastAsia="Times New Roman" w:cs="Calibri"/>
        </w:rPr>
      </w:pPr>
      <w:r w:rsidRPr="00BC7A12">
        <w:rPr>
          <w:rFonts w:eastAsia="Times New Roman" w:cs="Calibri"/>
        </w:rPr>
        <w:t>To help define beneficiaries for US EPA’s Superfund program</w:t>
      </w:r>
      <w:r w:rsidR="006C6EC0" w:rsidRPr="00BC7A12">
        <w:rPr>
          <w:rFonts w:eastAsia="Times New Roman" w:cs="Calibri"/>
        </w:rPr>
        <w:t xml:space="preserve"> </w:t>
      </w:r>
      <w:r w:rsidR="006C6EC0" w:rsidRPr="00BC7A12">
        <w:rPr>
          <w:rFonts w:eastAsia="Times New Roman" w:cs="Calibri"/>
        </w:rPr>
        <w:fldChar w:fldCharType="begin" w:fldLock="1"/>
      </w:r>
      <w:r w:rsidR="006C6EC0" w:rsidRPr="00BC7A12">
        <w:rPr>
          <w:rFonts w:eastAsia="Times New Roman" w:cs="Calibri"/>
        </w:rPr>
        <w:instrText>ADDIN CSL_CITATION {"citationItems":[{"id":"ITEM-1","itemData":{"author":[{"dropping-particle":"","family":"United States Environmental Protection Agency","given":"","non-dropping-particle":"","parse-names":false,"suffix":""}],"id":"ITEM-1","issue":"August","issued":{"date-parts":[["2017"]]},"page":"1-15","title":"Ecosystem Services at Contaminated Site Cleanups","type":"article-journal"},"uris":["http://www.mendeley.com/documents/?uuid=a893cf37-d9bb-41eb-ad71-d44edb590329"]}],"mendeley":{"formattedCitation":"(United States Environmental Protection Agency 2017)","plainTextFormattedCitation":"(United States Environmental Protection Agency 2017)","previouslyFormattedCitation":"(United States Environmental Protection Agency 2017)"},"properties":{"noteIndex":0},"schema":"https://github.com/citation-style-language/schema/raw/master/csl-citation.json"}</w:instrText>
      </w:r>
      <w:r w:rsidR="006C6EC0" w:rsidRPr="00BC7A12">
        <w:rPr>
          <w:rFonts w:eastAsia="Times New Roman" w:cs="Calibri"/>
        </w:rPr>
        <w:fldChar w:fldCharType="separate"/>
      </w:r>
      <w:r w:rsidR="006C6EC0" w:rsidRPr="00BC7A12">
        <w:rPr>
          <w:rFonts w:eastAsia="Times New Roman" w:cs="Calibri"/>
          <w:noProof/>
        </w:rPr>
        <w:t>(United States Environmental Protection Agency 2017)</w:t>
      </w:r>
      <w:r w:rsidR="006C6EC0" w:rsidRPr="00BC7A12">
        <w:rPr>
          <w:rFonts w:eastAsia="Times New Roman" w:cs="Calibri"/>
        </w:rPr>
        <w:fldChar w:fldCharType="end"/>
      </w:r>
      <w:r w:rsidRPr="00BC7A12">
        <w:rPr>
          <w:rFonts w:eastAsia="Times New Roman" w:cs="Calibri"/>
        </w:rPr>
        <w:t xml:space="preserve"> </w:t>
      </w:r>
    </w:p>
    <w:p w14:paraId="2E42AA89" w14:textId="3F2929B2" w:rsidR="00C47C1B" w:rsidRPr="00BC7A12" w:rsidRDefault="00C47C1B" w:rsidP="00413DAD">
      <w:pPr>
        <w:pStyle w:val="ListParagraph"/>
        <w:numPr>
          <w:ilvl w:val="0"/>
          <w:numId w:val="15"/>
        </w:numPr>
        <w:spacing w:after="0" w:line="240" w:lineRule="auto"/>
        <w:jc w:val="left"/>
        <w:rPr>
          <w:rFonts w:eastAsia="Times New Roman" w:cs="Calibri"/>
        </w:rPr>
      </w:pPr>
      <w:r w:rsidRPr="00BC7A12">
        <w:rPr>
          <w:rFonts w:eastAsia="Times New Roman" w:cs="Calibri"/>
        </w:rPr>
        <w:t>To guide structural components of the ESMERALDA database</w:t>
      </w:r>
      <w:r w:rsidR="006C6EC0" w:rsidRPr="00BC7A12">
        <w:rPr>
          <w:rFonts w:eastAsia="Times New Roman" w:cs="Calibri"/>
        </w:rPr>
        <w:t xml:space="preserve"> </w:t>
      </w:r>
      <w:r w:rsidR="006C6EC0" w:rsidRPr="00BC7A12">
        <w:rPr>
          <w:rFonts w:eastAsia="Times New Roman" w:cs="Calibri"/>
        </w:rPr>
        <w:fldChar w:fldCharType="begin" w:fldLock="1"/>
      </w:r>
      <w:r w:rsidR="006C6EC0" w:rsidRPr="00BC7A12">
        <w:rPr>
          <w:rFonts w:eastAsia="Times New Roman" w:cs="Calibri"/>
        </w:rPr>
        <w:instrText>ADDIN CSL_CITATION {"citationItems":[{"id":"ITEM-1","itemData":{"author":[{"dropping-particle":"","family":"Union","given":"European","non-dropping-particle":"","parse-names":false,"suffix":""}],"id":"ITEM-1","issued":{"date-parts":[["0"]]},"title":"ESMERALDA Database","type":"article"},"uris":["http://www.mendeley.com/documents/?uuid=22104b99-cf14-4bb7-8af5-5257f406a7ba"]}],"mendeley":{"formattedCitation":"(Union n.d.)","plainTextFormattedCitation":"(Union n.d.)","previouslyFormattedCitation":"(Union n.d.)"},"properties":{"noteIndex":0},"schema":"https://github.com/citation-style-language/schema/raw/master/csl-citation.json"}</w:instrText>
      </w:r>
      <w:r w:rsidR="006C6EC0" w:rsidRPr="00BC7A12">
        <w:rPr>
          <w:rFonts w:eastAsia="Times New Roman" w:cs="Calibri"/>
        </w:rPr>
        <w:fldChar w:fldCharType="separate"/>
      </w:r>
      <w:r w:rsidR="006C6EC0" w:rsidRPr="00BC7A12">
        <w:rPr>
          <w:rFonts w:eastAsia="Times New Roman" w:cs="Calibri"/>
          <w:noProof/>
        </w:rPr>
        <w:t>(Union n.d.)</w:t>
      </w:r>
      <w:r w:rsidR="006C6EC0" w:rsidRPr="00BC7A12">
        <w:rPr>
          <w:rFonts w:eastAsia="Times New Roman" w:cs="Calibri"/>
        </w:rPr>
        <w:fldChar w:fldCharType="end"/>
      </w:r>
      <w:r w:rsidRPr="00BC7A12">
        <w:rPr>
          <w:rFonts w:eastAsia="Times New Roman" w:cs="Calibri"/>
        </w:rPr>
        <w:t xml:space="preserve"> </w:t>
      </w:r>
    </w:p>
    <w:p w14:paraId="4D540DFD" w14:textId="77777777" w:rsidR="002B34A3" w:rsidRPr="00BC7A12" w:rsidRDefault="002B34A3" w:rsidP="00C47C1B">
      <w:pPr>
        <w:rPr>
          <w:rFonts w:eastAsia="Times New Roman" w:cs="Calibri"/>
        </w:rPr>
      </w:pPr>
    </w:p>
    <w:p w14:paraId="4A72AA1F" w14:textId="4862B1AF" w:rsidR="00C47C1B" w:rsidRPr="00BC7A12" w:rsidRDefault="00C47C1B" w:rsidP="00C47C1B">
      <w:pPr>
        <w:rPr>
          <w:rFonts w:eastAsia="Times New Roman" w:cs="Calibri"/>
        </w:rPr>
      </w:pPr>
      <w:r w:rsidRPr="00BC7A12">
        <w:rPr>
          <w:rFonts w:eastAsia="Times New Roman" w:cs="Calibri"/>
        </w:rPr>
        <w:t>Finally, research is increasingly referencing “final ecosystem services” relative to “ecosystem services” since FES were first described in 2007</w:t>
      </w:r>
      <w:r w:rsidR="006C6EC0" w:rsidRPr="00BC7A12">
        <w:rPr>
          <w:rFonts w:eastAsia="Times New Roman" w:cs="Calibri"/>
        </w:rPr>
        <w:t xml:space="preserve"> </w:t>
      </w:r>
      <w:r w:rsidR="006C6EC0" w:rsidRPr="00BC7A12">
        <w:rPr>
          <w:rFonts w:eastAsia="Times New Roman" w:cs="Calibri"/>
        </w:rPr>
        <w:fldChar w:fldCharType="begin" w:fldLock="1"/>
      </w:r>
      <w:r w:rsidR="00C6148F" w:rsidRPr="00BC7A12">
        <w:rPr>
          <w:rFonts w:eastAsia="Times New Roman" w:cs="Calibri"/>
        </w:rPr>
        <w:instrText>ADDIN CSL_CITATION {"citationItems":[{"id":"ITEM-1","itemData":{"DOI":"10.1016/j.ecolecon.2007.01.002","ISBN":"0921-8009","ISSN":"09218009","PMID":"20430971","author":[{"dropping-particle":"","family":"Boyd","given":"James","non-dropping-particle":"","parse-names":false,"suffix":""},{"dropping-particle":"","family":"Banzhaf","given":"Spencer","non-dropping-particle":"","parse-names":false,"suffix":""}],"container-title":"Ecological Economics","id":"ITEM-1","issue":"2-3","issued":{"date-parts":[["2007"]]},"page":"616-626","title":"What are ecosystem services? The need for standardized environmental accounting units","type":"article-journal","volume":"63"},"uris":["http://www.mendeley.com/documents/?uuid=a9dcb862-be3c-4cf0-a400-ebbf5ddec547"]}],"mendeley":{"formattedCitation":"(Boyd &amp; Banzhaf 2007b)","plainTextFormattedCitation":"(Boyd &amp; Banzhaf 2007b)","previouslyFormattedCitation":"(Boyd &amp; Banzhaf 2007b)"},"properties":{"noteIndex":0},"schema":"https://github.com/citation-style-language/schema/raw/master/csl-citation.json"}</w:instrText>
      </w:r>
      <w:r w:rsidR="006C6EC0" w:rsidRPr="00BC7A12">
        <w:rPr>
          <w:rFonts w:eastAsia="Times New Roman" w:cs="Calibri"/>
        </w:rPr>
        <w:fldChar w:fldCharType="separate"/>
      </w:r>
      <w:r w:rsidR="00A54CA0" w:rsidRPr="00BC7A12">
        <w:rPr>
          <w:rFonts w:eastAsia="Times New Roman" w:cs="Calibri"/>
          <w:noProof/>
        </w:rPr>
        <w:t>(Boyd &amp; Banzhaf 2007b)</w:t>
      </w:r>
      <w:r w:rsidR="006C6EC0" w:rsidRPr="00BC7A12">
        <w:rPr>
          <w:rFonts w:eastAsia="Times New Roman" w:cs="Calibri"/>
        </w:rPr>
        <w:fldChar w:fldCharType="end"/>
      </w:r>
      <w:r w:rsidRPr="00BC7A12">
        <w:rPr>
          <w:rFonts w:eastAsia="Times New Roman" w:cs="Calibri"/>
        </w:rPr>
        <w:t xml:space="preserve"> (Chart </w:t>
      </w:r>
      <w:r w:rsidR="00A11695">
        <w:rPr>
          <w:rFonts w:eastAsia="Times New Roman" w:cs="Calibri"/>
        </w:rPr>
        <w:t>A</w:t>
      </w:r>
      <w:r w:rsidRPr="00BC7A12">
        <w:rPr>
          <w:rFonts w:eastAsia="Times New Roman" w:cs="Calibri"/>
        </w:rPr>
        <w:t>1).</w:t>
      </w:r>
      <w:r w:rsidRPr="00BC7A12">
        <w:rPr>
          <w:rFonts w:cs="Calibri"/>
          <w:noProof/>
        </w:rPr>
        <w:t xml:space="preserve"> </w:t>
      </w:r>
    </w:p>
    <w:p w14:paraId="2BF53304" w14:textId="77777777" w:rsidR="00C47C1B" w:rsidRPr="00BC7A12" w:rsidRDefault="00C47C1B" w:rsidP="00C47C1B">
      <w:pPr>
        <w:rPr>
          <w:rFonts w:eastAsia="Times New Roman" w:cs="Calibri"/>
        </w:rPr>
      </w:pPr>
    </w:p>
    <w:p w14:paraId="78B2EC6D" w14:textId="77777777" w:rsidR="00C47C1B" w:rsidRPr="00BC7A12" w:rsidRDefault="00C47C1B" w:rsidP="00C47C1B">
      <w:pPr>
        <w:jc w:val="center"/>
        <w:rPr>
          <w:rFonts w:eastAsia="Times New Roman" w:cs="Calibri"/>
        </w:rPr>
      </w:pPr>
      <w:r w:rsidRPr="00BC7A12">
        <w:rPr>
          <w:rFonts w:cs="Calibri"/>
          <w:noProof/>
          <w:lang w:eastAsia="en-AU"/>
        </w:rPr>
        <w:lastRenderedPageBreak/>
        <w:drawing>
          <wp:inline distT="0" distB="0" distL="0" distR="0" wp14:anchorId="549BB6B2" wp14:editId="23F89DED">
            <wp:extent cx="4687747" cy="2497712"/>
            <wp:effectExtent l="0" t="0" r="0" b="0"/>
            <wp:docPr id="8" name="Chart 8">
              <a:extLst xmlns:a="http://schemas.openxmlformats.org/drawingml/2006/main">
                <a:ext uri="{FF2B5EF4-FFF2-40B4-BE49-F238E27FC236}">
                  <a16:creationId xmlns:a16="http://schemas.microsoft.com/office/drawing/2014/main" id="{DED88EB8-93D2-484E-A744-21124E982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32518D9" w14:textId="2ED08C13" w:rsidR="00C47C1B" w:rsidRPr="00BC7A12" w:rsidRDefault="00C47C1B" w:rsidP="00C47C1B">
      <w:pPr>
        <w:rPr>
          <w:rFonts w:eastAsia="Times New Roman" w:cs="Calibri"/>
        </w:rPr>
      </w:pPr>
      <w:r w:rsidRPr="00BC7A12">
        <w:rPr>
          <w:rFonts w:eastAsia="Times New Roman" w:cs="Calibri"/>
        </w:rPr>
        <w:t>Most importantly, detailed below, experience with CS in other fields suggests that adoption of ES-CS will be successful and speed the incorporation of</w:t>
      </w:r>
      <w:r w:rsidR="000100D8" w:rsidRPr="00BC7A12">
        <w:rPr>
          <w:rFonts w:eastAsia="Times New Roman" w:cs="Calibri"/>
        </w:rPr>
        <w:t xml:space="preserve"> ecosystem services </w:t>
      </w:r>
      <w:r w:rsidRPr="00BC7A12">
        <w:rPr>
          <w:rFonts w:eastAsia="Times New Roman" w:cs="Calibri"/>
        </w:rPr>
        <w:t>in decision making, making ecological functions a greater part of decision making.</w:t>
      </w:r>
    </w:p>
    <w:p w14:paraId="55D4F86B" w14:textId="2FDE716A" w:rsidR="002E61E6" w:rsidRDefault="002E61E6">
      <w:pPr>
        <w:spacing w:after="200" w:line="276" w:lineRule="auto"/>
        <w:jc w:val="left"/>
        <w:rPr>
          <w:rFonts w:eastAsia="Times New Roman" w:cs="Calibri"/>
        </w:rPr>
      </w:pPr>
      <w:r>
        <w:rPr>
          <w:rFonts w:eastAsia="Times New Roman" w:cs="Calibri"/>
        </w:rPr>
        <w:br w:type="page"/>
      </w:r>
    </w:p>
    <w:p w14:paraId="5C3BFA03" w14:textId="77777777" w:rsidR="00EB5DC2" w:rsidRPr="00BC7A12" w:rsidRDefault="00EB5DC2" w:rsidP="002E61E6">
      <w:pPr>
        <w:pStyle w:val="Heading1"/>
        <w:jc w:val="left"/>
        <w:rPr>
          <w:rFonts w:ascii="Calibri" w:hAnsi="Calibri" w:cs="Calibri"/>
        </w:rPr>
      </w:pPr>
      <w:bookmarkStart w:id="113" w:name="_Toc46822332"/>
      <w:r w:rsidRPr="00BC7A12">
        <w:rPr>
          <w:rFonts w:ascii="Calibri" w:hAnsi="Calibri" w:cs="Calibri"/>
        </w:rPr>
        <w:lastRenderedPageBreak/>
        <w:t>References</w:t>
      </w:r>
      <w:bookmarkEnd w:id="113"/>
      <w:r w:rsidRPr="00BC7A12">
        <w:rPr>
          <w:rFonts w:ascii="Calibri" w:hAnsi="Calibri" w:cs="Calibri"/>
        </w:rPr>
        <w:t xml:space="preserve"> </w:t>
      </w:r>
    </w:p>
    <w:p w14:paraId="789A8115" w14:textId="27CB884A" w:rsidR="000438FA" w:rsidRPr="000438FA" w:rsidRDefault="00B8316C" w:rsidP="000438FA">
      <w:pPr>
        <w:widowControl w:val="0"/>
        <w:autoSpaceDE w:val="0"/>
        <w:autoSpaceDN w:val="0"/>
        <w:adjustRightInd w:val="0"/>
        <w:spacing w:line="240" w:lineRule="auto"/>
        <w:rPr>
          <w:rFonts w:cs="Calibri"/>
          <w:noProof/>
          <w:sz w:val="16"/>
          <w:szCs w:val="24"/>
        </w:rPr>
      </w:pPr>
      <w:r w:rsidRPr="00BC7A12">
        <w:rPr>
          <w:rFonts w:cs="Calibri"/>
          <w:sz w:val="15"/>
          <w:szCs w:val="15"/>
        </w:rPr>
        <w:fldChar w:fldCharType="begin" w:fldLock="1"/>
      </w:r>
      <w:r w:rsidRPr="00BC7A12">
        <w:rPr>
          <w:rFonts w:cs="Calibri"/>
          <w:sz w:val="15"/>
          <w:szCs w:val="15"/>
        </w:rPr>
        <w:instrText xml:space="preserve">ADDIN Mendeley Bibliography CSL_BIBLIOGRAPHY </w:instrText>
      </w:r>
      <w:r w:rsidRPr="00BC7A12">
        <w:rPr>
          <w:rFonts w:cs="Calibri"/>
          <w:sz w:val="15"/>
          <w:szCs w:val="15"/>
        </w:rPr>
        <w:fldChar w:fldCharType="separate"/>
      </w:r>
      <w:r w:rsidR="000438FA" w:rsidRPr="000438FA">
        <w:rPr>
          <w:rFonts w:cs="Calibri"/>
          <w:noProof/>
          <w:sz w:val="16"/>
          <w:szCs w:val="24"/>
        </w:rPr>
        <w:t xml:space="preserve">Akber, MA et al. 2018, ‘Storm protection service of the Sundarbans mangrove forest, Bangladesh’, </w:t>
      </w:r>
      <w:r w:rsidR="000438FA" w:rsidRPr="000438FA">
        <w:rPr>
          <w:rFonts w:cs="Calibri"/>
          <w:i/>
          <w:iCs/>
          <w:noProof/>
          <w:sz w:val="16"/>
          <w:szCs w:val="24"/>
        </w:rPr>
        <w:t>Natural Hazards</w:t>
      </w:r>
      <w:r w:rsidR="000438FA" w:rsidRPr="000438FA">
        <w:rPr>
          <w:rFonts w:cs="Calibri"/>
          <w:noProof/>
          <w:sz w:val="16"/>
          <w:szCs w:val="24"/>
        </w:rPr>
        <w:t>, vol. 94, no. 1, pp. 405–418, &lt;https://doi.org/10.1007/s11069-018-3395-8&gt;.</w:t>
      </w:r>
    </w:p>
    <w:p w14:paraId="5A56FB0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Alcamo, J et al. 2003, </w:t>
      </w:r>
      <w:r w:rsidRPr="000438FA">
        <w:rPr>
          <w:rFonts w:cs="Calibri"/>
          <w:i/>
          <w:iCs/>
          <w:noProof/>
          <w:sz w:val="16"/>
          <w:szCs w:val="24"/>
        </w:rPr>
        <w:t>Ecosystems and human well-being: a framework for assessment</w:t>
      </w:r>
      <w:r w:rsidRPr="000438FA">
        <w:rPr>
          <w:rFonts w:cs="Calibri"/>
          <w:noProof/>
          <w:sz w:val="16"/>
          <w:szCs w:val="24"/>
        </w:rPr>
        <w:t>, &lt;http://pdf.wri.org/ecosystems_human_wellbeing.pdf&gt;.</w:t>
      </w:r>
    </w:p>
    <w:p w14:paraId="55E9849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Anning, D 2012, </w:t>
      </w:r>
      <w:r w:rsidRPr="000438FA">
        <w:rPr>
          <w:rFonts w:cs="Calibri"/>
          <w:i/>
          <w:iCs/>
          <w:noProof/>
          <w:sz w:val="16"/>
          <w:szCs w:val="24"/>
        </w:rPr>
        <w:t>Estimation of the economic importance of beaches in Sydney , Australia , and implications for management S</w:t>
      </w:r>
      <w:r w:rsidRPr="000438FA">
        <w:rPr>
          <w:rFonts w:cs="Calibri"/>
          <w:noProof/>
          <w:sz w:val="16"/>
          <w:szCs w:val="24"/>
        </w:rPr>
        <w:t>, University of New South Wales, &lt;http://unsworks.unsw.edu.au/fapi/datastream/unsworks:10467/SOURCE02?view=true&gt;.</w:t>
      </w:r>
    </w:p>
    <w:p w14:paraId="7A8FE25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Aquatic Ecosystem Task Group 2012, </w:t>
      </w:r>
      <w:r w:rsidRPr="000438FA">
        <w:rPr>
          <w:rFonts w:cs="Calibri"/>
          <w:i/>
          <w:iCs/>
          <w:noProof/>
          <w:sz w:val="16"/>
          <w:szCs w:val="24"/>
        </w:rPr>
        <w:t>Aquatic ecosystem toolkit MODULE 2: Interim Australian National Aquatic Ecosystem Classification Framework</w:t>
      </w:r>
      <w:r w:rsidRPr="000438FA">
        <w:rPr>
          <w:rFonts w:cs="Calibri"/>
          <w:noProof/>
          <w:sz w:val="16"/>
          <w:szCs w:val="24"/>
        </w:rPr>
        <w:t>, Canberra.</w:t>
      </w:r>
    </w:p>
    <w:p w14:paraId="7CEB868F"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Bagstad, KJ 2020, </w:t>
      </w:r>
      <w:r w:rsidRPr="000438FA">
        <w:rPr>
          <w:rFonts w:cs="Calibri"/>
          <w:i/>
          <w:iCs/>
          <w:noProof/>
          <w:sz w:val="16"/>
          <w:szCs w:val="24"/>
        </w:rPr>
        <w:t>What is the semantic web , and why could it be a game changer for ecosystem services ?</w:t>
      </w:r>
      <w:r w:rsidRPr="000438FA">
        <w:rPr>
          <w:rFonts w:cs="Calibri"/>
          <w:noProof/>
          <w:sz w:val="16"/>
          <w:szCs w:val="24"/>
        </w:rPr>
        <w:t xml:space="preserve">, </w:t>
      </w:r>
      <w:r w:rsidRPr="000438FA">
        <w:rPr>
          <w:rFonts w:cs="Calibri"/>
          <w:i/>
          <w:iCs/>
          <w:noProof/>
          <w:sz w:val="16"/>
          <w:szCs w:val="24"/>
        </w:rPr>
        <w:t>aries.integratedmodeling.org</w:t>
      </w:r>
      <w:r w:rsidRPr="000438FA">
        <w:rPr>
          <w:rFonts w:cs="Calibri"/>
          <w:noProof/>
          <w:sz w:val="16"/>
          <w:szCs w:val="24"/>
        </w:rPr>
        <w:t>, pp. 1–8, viewed 16 April 2020, &lt;http://aries.integratedmodelling.org/what-is-the-semantic-web-and-why-could-it-be-a-game-changer-for-ecosystem-services/&gt;.</w:t>
      </w:r>
    </w:p>
    <w:p w14:paraId="7296237E"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Barbier, EB, Acreman, M, &amp; Knowler, D 1997, </w:t>
      </w:r>
      <w:r w:rsidRPr="000438FA">
        <w:rPr>
          <w:rFonts w:cs="Calibri"/>
          <w:i/>
          <w:iCs/>
          <w:noProof/>
          <w:sz w:val="16"/>
          <w:szCs w:val="24"/>
        </w:rPr>
        <w:t>Economic Valuation of wetlands: a guide for policy makers and planners</w:t>
      </w:r>
      <w:r w:rsidRPr="000438FA">
        <w:rPr>
          <w:rFonts w:cs="Calibri"/>
          <w:noProof/>
          <w:sz w:val="16"/>
          <w:szCs w:val="24"/>
        </w:rPr>
        <w:t>, Gland, Switzerland, &lt;https://www.researchgate.net/publication/246010067&gt;.</w:t>
      </w:r>
    </w:p>
    <w:p w14:paraId="04DC893F"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Bell, MD et al. 2017, ‘A framework to quantify the strength of ecological links between an environmental stressor and final ecosystem services’, </w:t>
      </w:r>
      <w:r w:rsidRPr="000438FA">
        <w:rPr>
          <w:rFonts w:cs="Calibri"/>
          <w:i/>
          <w:iCs/>
          <w:noProof/>
          <w:sz w:val="16"/>
          <w:szCs w:val="24"/>
        </w:rPr>
        <w:t>Ecosphere</w:t>
      </w:r>
      <w:r w:rsidRPr="000438FA">
        <w:rPr>
          <w:rFonts w:cs="Calibri"/>
          <w:noProof/>
          <w:sz w:val="16"/>
          <w:szCs w:val="24"/>
        </w:rPr>
        <w:t>.</w:t>
      </w:r>
    </w:p>
    <w:p w14:paraId="1B89DBB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Bishop, J 2013, </w:t>
      </w:r>
      <w:r w:rsidRPr="000438FA">
        <w:rPr>
          <w:rFonts w:cs="Calibri"/>
          <w:i/>
          <w:iCs/>
          <w:noProof/>
          <w:sz w:val="16"/>
          <w:szCs w:val="24"/>
        </w:rPr>
        <w:t>The economics of ecosystems and biodiversity in business and enterprise</w:t>
      </w:r>
      <w:r w:rsidRPr="000438FA">
        <w:rPr>
          <w:rFonts w:cs="Calibri"/>
          <w:noProof/>
          <w:sz w:val="16"/>
          <w:szCs w:val="24"/>
        </w:rPr>
        <w:t>.</w:t>
      </w:r>
    </w:p>
    <w:p w14:paraId="12BF3DFF"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Bogaart, P et al. 2019,‘DEPARTMENT OF ECONOMIC AND SOCIAL AFFAIRS An ecosystem type classification for the SEEA EEA A paper for the 25th meeting of the London Group on environmental Questions for the London group ’:, in, United Nations Economic and Social Commission for Asia and the Pacific, Melbourne, Australia, pp.1–12, &lt;https://seea.un.org/sites/seea.un.org/files/seea_eea_classification_ecosystemtypes_lg.pdf&gt;.</w:t>
      </w:r>
    </w:p>
    <w:p w14:paraId="4DBA27C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Bolt, K et al. 2016, </w:t>
      </w:r>
      <w:r w:rsidRPr="000438FA">
        <w:rPr>
          <w:rFonts w:cs="Calibri"/>
          <w:i/>
          <w:iCs/>
          <w:noProof/>
          <w:sz w:val="16"/>
          <w:szCs w:val="24"/>
        </w:rPr>
        <w:t>Biodiversity at the heart of accounting for natural capital: the key to credibility</w:t>
      </w:r>
      <w:r w:rsidRPr="000438FA">
        <w:rPr>
          <w:rFonts w:cs="Calibri"/>
          <w:noProof/>
          <w:sz w:val="16"/>
          <w:szCs w:val="24"/>
        </w:rPr>
        <w:t>, &lt;https://naturalcapitalcoalition.org/wp-content/uploads/2016/07/CCI-Natural-Capital-Paper-July-2016-low-res.pdf&gt;.</w:t>
      </w:r>
    </w:p>
    <w:p w14:paraId="79956D8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Bordt, M, Ave, L, &amp; E-mail, C n.d., ‘Concordance between FEGS-CS and CICES V4.3’, , pp. 1–70, &lt;https://unstats.un.org/unsd/envaccounting/workshops/ES_Classification_2016/FEGS_CICES_Concordance_V1.3n.pdf&gt;.</w:t>
      </w:r>
    </w:p>
    <w:p w14:paraId="74972177"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Bordt, M &amp; Saner, MA 2019, ‘Which ecosystems provide which services? A meta-analysis of nine selected ecosystem services assessments’, </w:t>
      </w:r>
      <w:r w:rsidRPr="000438FA">
        <w:rPr>
          <w:rFonts w:cs="Calibri"/>
          <w:i/>
          <w:iCs/>
          <w:noProof/>
          <w:sz w:val="16"/>
          <w:szCs w:val="24"/>
        </w:rPr>
        <w:t>One Ecosystem</w:t>
      </w:r>
      <w:r w:rsidRPr="000438FA">
        <w:rPr>
          <w:rFonts w:cs="Calibri"/>
          <w:noProof/>
          <w:sz w:val="16"/>
          <w:szCs w:val="24"/>
        </w:rPr>
        <w:t>, vol. 4.</w:t>
      </w:r>
    </w:p>
    <w:p w14:paraId="64EBBB3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Boutwell, JL &amp; Westra, JW 2015,‘The economic value of wetlands as storm buffers’, in, </w:t>
      </w:r>
      <w:r w:rsidRPr="000438FA">
        <w:rPr>
          <w:rFonts w:cs="Calibri"/>
          <w:i/>
          <w:iCs/>
          <w:noProof/>
          <w:sz w:val="16"/>
          <w:szCs w:val="24"/>
        </w:rPr>
        <w:t>Southern Agricultural Economics Association’s 2015 Annual Meeting</w:t>
      </w:r>
      <w:r w:rsidRPr="000438FA">
        <w:rPr>
          <w:rFonts w:cs="Calibri"/>
          <w:noProof/>
          <w:sz w:val="16"/>
          <w:szCs w:val="24"/>
        </w:rPr>
        <w:t>, Atlanta, Georgia, p.17, &lt;http://ageconsearch.umn.edu/record/196854/files/SAEA 2015 Boutwell_ Westra.pdf&gt;.</w:t>
      </w:r>
    </w:p>
    <w:p w14:paraId="4279A62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Boyd, J &amp; Banzhaf, S 2007a, ‘What are ecosystem services? The need for standardized environmental accounting units’, </w:t>
      </w:r>
      <w:r w:rsidRPr="000438FA">
        <w:rPr>
          <w:rFonts w:cs="Calibri"/>
          <w:i/>
          <w:iCs/>
          <w:noProof/>
          <w:sz w:val="16"/>
          <w:szCs w:val="24"/>
        </w:rPr>
        <w:t>Ecological Economics</w:t>
      </w:r>
      <w:r w:rsidRPr="000438FA">
        <w:rPr>
          <w:rFonts w:cs="Calibri"/>
          <w:noProof/>
          <w:sz w:val="16"/>
          <w:szCs w:val="24"/>
        </w:rPr>
        <w:t>.</w:t>
      </w:r>
    </w:p>
    <w:p w14:paraId="4FE85EC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Boyd, J &amp; Banzhaf, S 2007b, ‘What are ecosystem services? The need for standardized environmental accounting units’, </w:t>
      </w:r>
      <w:r w:rsidRPr="000438FA">
        <w:rPr>
          <w:rFonts w:cs="Calibri"/>
          <w:i/>
          <w:iCs/>
          <w:noProof/>
          <w:sz w:val="16"/>
          <w:szCs w:val="24"/>
        </w:rPr>
        <w:t>Ecological Economics</w:t>
      </w:r>
      <w:r w:rsidRPr="000438FA">
        <w:rPr>
          <w:rFonts w:cs="Calibri"/>
          <w:noProof/>
          <w:sz w:val="16"/>
          <w:szCs w:val="24"/>
        </w:rPr>
        <w:t>, vol. 63, no. 2–3, pp. 616–626, viewed 27 June 2018, &lt;https://www-sciencedirect-com.ezp.lib.unimelb.edu.au/science/article/pii/S0921800907000341&gt;.</w:t>
      </w:r>
    </w:p>
    <w:p w14:paraId="20895ACE"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Boyle, KJ &amp; Parmeter, CF 2017, ‘Benefit transfer for ecosystem services’, , pp. 1–34.</w:t>
      </w:r>
    </w:p>
    <w:p w14:paraId="506D482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Brander, LM, Florax, RJGM, &amp; Vermaat, JE 2006, ‘The empirics of wetland valuation: A comprehensive summary and a meta-analysis of the literature’, </w:t>
      </w:r>
      <w:r w:rsidRPr="000438FA">
        <w:rPr>
          <w:rFonts w:cs="Calibri"/>
          <w:i/>
          <w:iCs/>
          <w:noProof/>
          <w:sz w:val="16"/>
          <w:szCs w:val="24"/>
        </w:rPr>
        <w:t>Environmental and Resource Economics</w:t>
      </w:r>
      <w:r w:rsidRPr="000438FA">
        <w:rPr>
          <w:rFonts w:cs="Calibri"/>
          <w:noProof/>
          <w:sz w:val="16"/>
          <w:szCs w:val="24"/>
        </w:rPr>
        <w:t>, vol. 33, no. 2, pp. 223–250.</w:t>
      </w:r>
    </w:p>
    <w:p w14:paraId="0B751C2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Bruno, D &amp; Richmond, H 2003, ‘The truth about taxonomies’, </w:t>
      </w:r>
      <w:r w:rsidRPr="000438FA">
        <w:rPr>
          <w:rFonts w:cs="Calibri"/>
          <w:i/>
          <w:iCs/>
          <w:noProof/>
          <w:sz w:val="16"/>
          <w:szCs w:val="24"/>
        </w:rPr>
        <w:t>Information Management Journal</w:t>
      </w:r>
      <w:r w:rsidRPr="000438FA">
        <w:rPr>
          <w:rFonts w:cs="Calibri"/>
          <w:noProof/>
          <w:sz w:val="16"/>
          <w:szCs w:val="24"/>
        </w:rPr>
        <w:t>.</w:t>
      </w:r>
    </w:p>
    <w:p w14:paraId="26C5581D"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Bruyère, C et al. 2019, </w:t>
      </w:r>
      <w:r w:rsidRPr="000438FA">
        <w:rPr>
          <w:rFonts w:cs="Calibri"/>
          <w:i/>
          <w:iCs/>
          <w:noProof/>
          <w:sz w:val="16"/>
          <w:szCs w:val="24"/>
        </w:rPr>
        <w:t>Severe or extreme weather in a changing climate</w:t>
      </w:r>
      <w:r w:rsidRPr="000438FA">
        <w:rPr>
          <w:rFonts w:cs="Calibri"/>
          <w:noProof/>
          <w:sz w:val="16"/>
          <w:szCs w:val="24"/>
        </w:rPr>
        <w:t>, &lt;https://www.iag.com.au/sites/default/files/documents/Severe-weather-in-a-changing-climate-report-151119.pdf&gt;.</w:t>
      </w:r>
    </w:p>
    <w:p w14:paraId="7BD20B8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Carnell, P.E, Reeves, S.E, Nicholson, E., M, P. Ierodiaconou, D., Young, M., Kelvin, J., J, &amp; H., Navarro, A., Fitzsimons, J., Gillies, CL 2019, </w:t>
      </w:r>
      <w:r w:rsidRPr="000438FA">
        <w:rPr>
          <w:rFonts w:cs="Calibri"/>
          <w:i/>
          <w:iCs/>
          <w:noProof/>
          <w:sz w:val="16"/>
          <w:szCs w:val="24"/>
        </w:rPr>
        <w:t>Mapping Ocean Wealth Australia: The value of coastal wetlands to people and nature</w:t>
      </w:r>
      <w:r w:rsidRPr="000438FA">
        <w:rPr>
          <w:rFonts w:cs="Calibri"/>
          <w:noProof/>
          <w:sz w:val="16"/>
          <w:szCs w:val="24"/>
        </w:rPr>
        <w:t>, &lt;https://www.natureaustralia.org.au/content/dam/tnc/nature/en/documents/australia/MOW_Report_Web.pdf&gt;.</w:t>
      </w:r>
    </w:p>
    <w:p w14:paraId="44102BD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Carter, ME 2015,‘Wetlands and Health: How do Urban Wetlands Contribute to Community Wellbeing?’, in, </w:t>
      </w:r>
      <w:r w:rsidRPr="000438FA">
        <w:rPr>
          <w:rFonts w:cs="Calibri"/>
          <w:i/>
          <w:iCs/>
          <w:noProof/>
          <w:sz w:val="16"/>
          <w:szCs w:val="24"/>
        </w:rPr>
        <w:t>Wetlands and Human Health</w:t>
      </w:r>
      <w:r w:rsidRPr="000438FA">
        <w:rPr>
          <w:rFonts w:cs="Calibri"/>
          <w:noProof/>
          <w:sz w:val="16"/>
          <w:szCs w:val="24"/>
        </w:rPr>
        <w:t>.</w:t>
      </w:r>
    </w:p>
    <w:p w14:paraId="3B6E477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Change, LWE 2012, </w:t>
      </w:r>
      <w:r w:rsidRPr="000438FA">
        <w:rPr>
          <w:rFonts w:cs="Calibri"/>
          <w:i/>
          <w:iCs/>
          <w:noProof/>
          <w:sz w:val="16"/>
          <w:szCs w:val="24"/>
        </w:rPr>
        <w:t>National Ecosystem Assessment achieves international impact</w:t>
      </w:r>
      <w:r w:rsidRPr="000438FA">
        <w:rPr>
          <w:rFonts w:cs="Calibri"/>
          <w:noProof/>
          <w:sz w:val="16"/>
          <w:szCs w:val="24"/>
        </w:rPr>
        <w:t>, , p. 1, viewed 18 September 2018, &lt;https://web.archive.org/web/20120912174333/http://www.lwec.org.uk/stories/national-ecosystem-assessment-achieves-international-impact&gt;.</w:t>
      </w:r>
    </w:p>
    <w:p w14:paraId="10B7BBAE"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Clark, GF &amp; Johnston, EL 2017, </w:t>
      </w:r>
      <w:r w:rsidRPr="000438FA">
        <w:rPr>
          <w:rFonts w:cs="Calibri"/>
          <w:i/>
          <w:iCs/>
          <w:noProof/>
          <w:sz w:val="16"/>
          <w:szCs w:val="24"/>
        </w:rPr>
        <w:t>Australia state of the environment 2016: coasts, independent report to the Australian Government Minister for Environment and Energy</w:t>
      </w:r>
      <w:r w:rsidRPr="000438FA">
        <w:rPr>
          <w:rFonts w:cs="Calibri"/>
          <w:noProof/>
          <w:sz w:val="16"/>
          <w:szCs w:val="24"/>
        </w:rPr>
        <w:t>, Canberra, &lt;https://soe.environment.gov.au/sites/default/files/soe2016-coasts-launch-17feb.pdf?v=1488793015&gt;.</w:t>
      </w:r>
    </w:p>
    <w:p w14:paraId="73A7BED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Claus, C et al. 2011, </w:t>
      </w:r>
      <w:r w:rsidRPr="000438FA">
        <w:rPr>
          <w:rFonts w:cs="Calibri"/>
          <w:i/>
          <w:iCs/>
          <w:noProof/>
          <w:sz w:val="16"/>
          <w:szCs w:val="24"/>
        </w:rPr>
        <w:t>State of the Catchments 2010 Monitoring, Technical report series, Evaluation and reporting program, Assessing the extent and condition of wetland in NSW, Supporting report A - Conceptual framework</w:t>
      </w:r>
      <w:r w:rsidRPr="000438FA">
        <w:rPr>
          <w:rFonts w:cs="Calibri"/>
          <w:noProof/>
          <w:sz w:val="16"/>
          <w:szCs w:val="24"/>
        </w:rPr>
        <w:t>, Sydney.</w:t>
      </w:r>
    </w:p>
    <w:p w14:paraId="0550A2D6"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lastRenderedPageBreak/>
        <w:t xml:space="preserve">Clayton, PD et al. 2006, </w:t>
      </w:r>
      <w:r w:rsidRPr="000438FA">
        <w:rPr>
          <w:rFonts w:cs="Calibri"/>
          <w:i/>
          <w:iCs/>
          <w:noProof/>
          <w:sz w:val="16"/>
          <w:szCs w:val="24"/>
        </w:rPr>
        <w:t>Clayton, P.D., Fielder, D.P., Howell, S. and Hill, C.J. (2006). Aquatic Biodiversity Assessment and Mapping Method (AquaBAMM): a conservation values assessment tool for wetlands with trial application in the Burnett River catchment</w:t>
      </w:r>
      <w:r w:rsidRPr="000438FA">
        <w:rPr>
          <w:rFonts w:cs="Calibri"/>
          <w:noProof/>
          <w:sz w:val="16"/>
          <w:szCs w:val="24"/>
        </w:rPr>
        <w:t>, Brisbane.</w:t>
      </w:r>
    </w:p>
    <w:p w14:paraId="01839AB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Van Coppenolle, R &amp; Temmerman, S 2020, ‘Identifying Ecosystem Surface Areas Available for Nature-Based Flood Risk Mitigation in Coastal Cities Around the World’, </w:t>
      </w:r>
      <w:r w:rsidRPr="000438FA">
        <w:rPr>
          <w:rFonts w:cs="Calibri"/>
          <w:i/>
          <w:iCs/>
          <w:noProof/>
          <w:sz w:val="16"/>
          <w:szCs w:val="24"/>
        </w:rPr>
        <w:t>Estuaries and Coasts</w:t>
      </w:r>
      <w:r w:rsidRPr="000438FA">
        <w:rPr>
          <w:rFonts w:cs="Calibri"/>
          <w:noProof/>
          <w:sz w:val="16"/>
          <w:szCs w:val="24"/>
        </w:rPr>
        <w:t>.</w:t>
      </w:r>
    </w:p>
    <w:p w14:paraId="30D380C7"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Costanza, R et al. 1997, ‘The value of the world’s ecosystem services and natural capital’, </w:t>
      </w:r>
      <w:r w:rsidRPr="000438FA">
        <w:rPr>
          <w:rFonts w:cs="Calibri"/>
          <w:i/>
          <w:iCs/>
          <w:noProof/>
          <w:sz w:val="16"/>
          <w:szCs w:val="24"/>
        </w:rPr>
        <w:t>Nature</w:t>
      </w:r>
      <w:r w:rsidRPr="000438FA">
        <w:rPr>
          <w:rFonts w:cs="Calibri"/>
          <w:noProof/>
          <w:sz w:val="16"/>
          <w:szCs w:val="24"/>
        </w:rPr>
        <w:t>.</w:t>
      </w:r>
    </w:p>
    <w:p w14:paraId="3D001668"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Costanza, R et al. 2017, ‘Twenty years of ecosystem services: How far have we come and how far do we still need to go?’, </w:t>
      </w:r>
      <w:r w:rsidRPr="000438FA">
        <w:rPr>
          <w:rFonts w:cs="Calibri"/>
          <w:i/>
          <w:iCs/>
          <w:noProof/>
          <w:sz w:val="16"/>
          <w:szCs w:val="24"/>
        </w:rPr>
        <w:t>Ecosystem Services</w:t>
      </w:r>
      <w:r w:rsidRPr="000438FA">
        <w:rPr>
          <w:rFonts w:cs="Calibri"/>
          <w:noProof/>
          <w:sz w:val="16"/>
          <w:szCs w:val="24"/>
        </w:rPr>
        <w:t>.</w:t>
      </w:r>
    </w:p>
    <w:p w14:paraId="47685707"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Creighton, C et al. 2015, ‘Repairing Australia’s estuaries for improved fisheries production–what benefits, at what cost?’, </w:t>
      </w:r>
      <w:r w:rsidRPr="000438FA">
        <w:rPr>
          <w:rFonts w:cs="Calibri"/>
          <w:i/>
          <w:iCs/>
          <w:noProof/>
          <w:sz w:val="16"/>
          <w:szCs w:val="24"/>
        </w:rPr>
        <w:t>Marine and Freshwater Research</w:t>
      </w:r>
      <w:r w:rsidRPr="000438FA">
        <w:rPr>
          <w:rFonts w:cs="Calibri"/>
          <w:noProof/>
          <w:sz w:val="16"/>
          <w:szCs w:val="24"/>
        </w:rPr>
        <w:t>, vol. 66, no. 6, pp. 493–507.</w:t>
      </w:r>
    </w:p>
    <w:p w14:paraId="08DF956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Creighton, C et al. 2016, ‘Adapting Management of Marine Environments to a Changing Climate: A Checklist to Guide Reform and Assess Progress’, </w:t>
      </w:r>
      <w:r w:rsidRPr="000438FA">
        <w:rPr>
          <w:rFonts w:cs="Calibri"/>
          <w:i/>
          <w:iCs/>
          <w:noProof/>
          <w:sz w:val="16"/>
          <w:szCs w:val="24"/>
        </w:rPr>
        <w:t>Ecosystems</w:t>
      </w:r>
      <w:r w:rsidRPr="000438FA">
        <w:rPr>
          <w:rFonts w:cs="Calibri"/>
          <w:noProof/>
          <w:sz w:val="16"/>
          <w:szCs w:val="24"/>
        </w:rPr>
        <w:t>, vol. 19, no. 2, pp. 187–219, &lt;http://link.springer.com/10.1007/s10021-015-9925-2&gt;.</w:t>
      </w:r>
    </w:p>
    <w:p w14:paraId="0472DBBF"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Crossman, ND et al. 2013, ‘A blueprint for mapping and modelling ecosystem services’, </w:t>
      </w:r>
      <w:r w:rsidRPr="000438FA">
        <w:rPr>
          <w:rFonts w:cs="Calibri"/>
          <w:i/>
          <w:iCs/>
          <w:noProof/>
          <w:sz w:val="16"/>
          <w:szCs w:val="24"/>
        </w:rPr>
        <w:t>Ecosystem Services</w:t>
      </w:r>
      <w:r w:rsidRPr="000438FA">
        <w:rPr>
          <w:rFonts w:cs="Calibri"/>
          <w:noProof/>
          <w:sz w:val="16"/>
          <w:szCs w:val="24"/>
        </w:rPr>
        <w:t>.</w:t>
      </w:r>
    </w:p>
    <w:p w14:paraId="4564EDA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Czúcz, B et al. 2018, ‘Where concepts meet the real world: A systematic review of ecosystem service indicators and their classification using CICES’, </w:t>
      </w:r>
      <w:r w:rsidRPr="000438FA">
        <w:rPr>
          <w:rFonts w:cs="Calibri"/>
          <w:i/>
          <w:iCs/>
          <w:noProof/>
          <w:sz w:val="16"/>
          <w:szCs w:val="24"/>
        </w:rPr>
        <w:t>Ecosystem Services</w:t>
      </w:r>
      <w:r w:rsidRPr="000438FA">
        <w:rPr>
          <w:rFonts w:cs="Calibri"/>
          <w:noProof/>
          <w:sz w:val="16"/>
          <w:szCs w:val="24"/>
        </w:rPr>
        <w:t>, vol. 29, pp. 145–157.</w:t>
      </w:r>
    </w:p>
    <w:p w14:paraId="4BFCF8A7"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Daily, GC 2013,‘Nature’s services: Societal dependence on natural ecosystems’, in, </w:t>
      </w:r>
      <w:r w:rsidRPr="000438FA">
        <w:rPr>
          <w:rFonts w:cs="Calibri"/>
          <w:i/>
          <w:iCs/>
          <w:noProof/>
          <w:sz w:val="16"/>
          <w:szCs w:val="24"/>
        </w:rPr>
        <w:t>The Future of Nature: Documents of Global Change</w:t>
      </w:r>
      <w:r w:rsidRPr="000438FA">
        <w:rPr>
          <w:rFonts w:cs="Calibri"/>
          <w:noProof/>
          <w:sz w:val="16"/>
          <w:szCs w:val="24"/>
        </w:rPr>
        <w:t>.</w:t>
      </w:r>
    </w:p>
    <w:p w14:paraId="42DBFD3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Das, S &amp; Crépin, AS 2013, ‘Mangroves can provide protection against wind damage during storms’, </w:t>
      </w:r>
      <w:r w:rsidRPr="000438FA">
        <w:rPr>
          <w:rFonts w:cs="Calibri"/>
          <w:i/>
          <w:iCs/>
          <w:noProof/>
          <w:sz w:val="16"/>
          <w:szCs w:val="24"/>
        </w:rPr>
        <w:t>Estuarine, Coastal and Shelf Science</w:t>
      </w:r>
      <w:r w:rsidRPr="000438FA">
        <w:rPr>
          <w:rFonts w:cs="Calibri"/>
          <w:noProof/>
          <w:sz w:val="16"/>
          <w:szCs w:val="24"/>
        </w:rPr>
        <w:t>, vol. 134, no. August, pp. 98–107, &lt;http://dx.doi.org/10.1016/j.ecss.2013.09.021&gt;.</w:t>
      </w:r>
    </w:p>
    <w:p w14:paraId="0C8E7CC1"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DELWP 2018, </w:t>
      </w:r>
      <w:r w:rsidRPr="000438FA">
        <w:rPr>
          <w:rFonts w:cs="Calibri"/>
          <w:i/>
          <w:iCs/>
          <w:noProof/>
          <w:sz w:val="16"/>
          <w:szCs w:val="24"/>
        </w:rPr>
        <w:t>Index of Wetland Condition assessment procedure</w:t>
      </w:r>
      <w:r w:rsidRPr="000438FA">
        <w:rPr>
          <w:rFonts w:cs="Calibri"/>
          <w:noProof/>
          <w:sz w:val="16"/>
          <w:szCs w:val="24"/>
        </w:rPr>
        <w:t>, Melbourne, Australia.</w:t>
      </w:r>
    </w:p>
    <w:p w14:paraId="5154B40E"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Department of Environment and Heritage Protection 2012, ‘Natural assets for flood and cyclone resilience: Synthesis of scientific evidence on the role of natural assets to reduce the human impacts of floods and cyclones’, &lt;https://www.ehp.qld.gov.au/water/pdf/synthesis-scientific-evidence.pdf&gt;.</w:t>
      </w:r>
    </w:p>
    <w:p w14:paraId="398C62E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Department of Environment and Water 2014, </w:t>
      </w:r>
      <w:r w:rsidRPr="000438FA">
        <w:rPr>
          <w:rFonts w:cs="Calibri"/>
          <w:i/>
          <w:iCs/>
          <w:noProof/>
          <w:sz w:val="16"/>
          <w:szCs w:val="24"/>
        </w:rPr>
        <w:t>Assessment of Waterfowl Abundance and Wetland Condition in south-eastern South Australia</w:t>
      </w:r>
      <w:r w:rsidRPr="000438FA">
        <w:rPr>
          <w:rFonts w:cs="Calibri"/>
          <w:noProof/>
          <w:sz w:val="16"/>
          <w:szCs w:val="24"/>
        </w:rPr>
        <w:t>, Adeliade.</w:t>
      </w:r>
    </w:p>
    <w:p w14:paraId="59BB7F1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Department of Home Affairs 2010, </w:t>
      </w:r>
      <w:r w:rsidRPr="000438FA">
        <w:rPr>
          <w:rFonts w:cs="Calibri"/>
          <w:i/>
          <w:iCs/>
          <w:noProof/>
          <w:sz w:val="16"/>
          <w:szCs w:val="24"/>
        </w:rPr>
        <w:t>DISASTER RECOVERY FUNDING ARRANGEMENTS 2018</w:t>
      </w:r>
      <w:r w:rsidRPr="000438FA">
        <w:rPr>
          <w:rFonts w:cs="Calibri"/>
          <w:noProof/>
          <w:sz w:val="16"/>
          <w:szCs w:val="24"/>
        </w:rPr>
        <w:t>, Canberra, &lt;https://www.disasterassist.gov.au/Documents/Natural-Disaster-Relief-and-Recovery-Arrangements/disaster-recovery-funding-arrangements-2018.pdf&gt;.</w:t>
      </w:r>
    </w:p>
    <w:p w14:paraId="0906F477"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Department of the Prime Minister and Cabinet 2014, </w:t>
      </w:r>
      <w:r w:rsidRPr="000438FA">
        <w:rPr>
          <w:rFonts w:cs="Calibri"/>
          <w:i/>
          <w:iCs/>
          <w:noProof/>
          <w:sz w:val="16"/>
          <w:szCs w:val="24"/>
        </w:rPr>
        <w:t>Research report : Environmental valuation and uncertainty</w:t>
      </w:r>
      <w:r w:rsidRPr="000438FA">
        <w:rPr>
          <w:rFonts w:cs="Calibri"/>
          <w:noProof/>
          <w:sz w:val="16"/>
          <w:szCs w:val="24"/>
        </w:rPr>
        <w:t>, Canberra, &lt;https://www.pmc.gov.au/sites/default/files/publications/012a_Research_Report_Environment.pdf&gt;.</w:t>
      </w:r>
    </w:p>
    <w:p w14:paraId="6ADD36A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Department of Water 2011, </w:t>
      </w:r>
      <w:r w:rsidRPr="000438FA">
        <w:rPr>
          <w:rFonts w:cs="Calibri"/>
          <w:i/>
          <w:iCs/>
          <w:noProof/>
          <w:sz w:val="16"/>
          <w:szCs w:val="24"/>
        </w:rPr>
        <w:t>The framework for the assessment of river and wetland health (FARWH) for flowing rivers of south-west Western Australia : project summary and results.</w:t>
      </w:r>
      <w:r w:rsidRPr="000438FA">
        <w:rPr>
          <w:rFonts w:cs="Calibri"/>
          <w:noProof/>
          <w:sz w:val="16"/>
          <w:szCs w:val="24"/>
        </w:rPr>
        <w:t>, Western Australia, Perth.</w:t>
      </w:r>
    </w:p>
    <w:p w14:paraId="43873C3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Díaz, S et al. 2018, ‘Assessing nature’s contributions to people’, </w:t>
      </w:r>
      <w:r w:rsidRPr="000438FA">
        <w:rPr>
          <w:rFonts w:cs="Calibri"/>
          <w:i/>
          <w:iCs/>
          <w:noProof/>
          <w:sz w:val="16"/>
          <w:szCs w:val="24"/>
        </w:rPr>
        <w:t>Science</w:t>
      </w:r>
      <w:r w:rsidRPr="000438FA">
        <w:rPr>
          <w:rFonts w:cs="Calibri"/>
          <w:noProof/>
          <w:sz w:val="16"/>
          <w:szCs w:val="24"/>
        </w:rPr>
        <w:t>, vol. 359, no. 6373, pp. 270–272.</w:t>
      </w:r>
    </w:p>
    <w:p w14:paraId="361E4B85"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Duguid, A et al. 2005, </w:t>
      </w:r>
      <w:r w:rsidRPr="000438FA">
        <w:rPr>
          <w:rFonts w:cs="Calibri"/>
          <w:i/>
          <w:iCs/>
          <w:noProof/>
          <w:sz w:val="16"/>
          <w:szCs w:val="24"/>
        </w:rPr>
        <w:t>Wetlands in the arid Northern Territory</w:t>
      </w:r>
      <w:r w:rsidRPr="000438FA">
        <w:rPr>
          <w:rFonts w:cs="Calibri"/>
          <w:noProof/>
          <w:sz w:val="16"/>
          <w:szCs w:val="24"/>
        </w:rPr>
        <w:t>, &lt;https://nt.gov.au/__data/assets/pdf_file/0018/262224/wetlands-in-the-arid-nt.pdf&gt;.</w:t>
      </w:r>
    </w:p>
    <w:p w14:paraId="43440DF9"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Elliott, M et al. 2016, ‘Ecoengineering with Ecohydrology: Successes and failures in estuarine restoration’, </w:t>
      </w:r>
      <w:r w:rsidRPr="000438FA">
        <w:rPr>
          <w:rFonts w:cs="Calibri"/>
          <w:i/>
          <w:iCs/>
          <w:noProof/>
          <w:sz w:val="16"/>
          <w:szCs w:val="24"/>
        </w:rPr>
        <w:t>Estuarine, Coastal and Shelf Science</w:t>
      </w:r>
      <w:r w:rsidRPr="000438FA">
        <w:rPr>
          <w:rFonts w:cs="Calibri"/>
          <w:noProof/>
          <w:sz w:val="16"/>
          <w:szCs w:val="24"/>
        </w:rPr>
        <w:t>, vol. 176, pp. 12–35, &lt;https://linkinghub.elsevier.com/retrieve/pii/S0272771416301044&gt;.</w:t>
      </w:r>
    </w:p>
    <w:p w14:paraId="24D8EF7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Environment, D of AW and 2005, </w:t>
      </w:r>
      <w:r w:rsidRPr="000438FA">
        <w:rPr>
          <w:rFonts w:cs="Calibri"/>
          <w:i/>
          <w:iCs/>
          <w:noProof/>
          <w:sz w:val="16"/>
          <w:szCs w:val="24"/>
        </w:rPr>
        <w:t>Directory of Important Wetlands</w:t>
      </w:r>
      <w:r w:rsidRPr="000438FA">
        <w:rPr>
          <w:rFonts w:cs="Calibri"/>
          <w:noProof/>
          <w:sz w:val="16"/>
          <w:szCs w:val="24"/>
        </w:rPr>
        <w:t>, &lt;http://www.environment.gov.au/cgi-bin/wetlands/search.pl?smode=DOIW&gt;.</w:t>
      </w:r>
    </w:p>
    <w:p w14:paraId="31665755"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Finisdore, J et al. n.d., ‘The 18 benefits of using ecosystem services classification systems’, </w:t>
      </w:r>
      <w:r w:rsidRPr="000438FA">
        <w:rPr>
          <w:rFonts w:cs="Calibri"/>
          <w:i/>
          <w:iCs/>
          <w:noProof/>
          <w:sz w:val="16"/>
          <w:szCs w:val="24"/>
        </w:rPr>
        <w:t>Ecosystem Services</w:t>
      </w:r>
      <w:r w:rsidRPr="000438FA">
        <w:rPr>
          <w:rFonts w:cs="Calibri"/>
          <w:noProof/>
          <w:sz w:val="16"/>
          <w:szCs w:val="24"/>
        </w:rPr>
        <w:t>.</w:t>
      </w:r>
    </w:p>
    <w:p w14:paraId="3E3121D5"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Finisdore, J et al. 2016,‘Improving corporate performance with final ecosystem services’, in, </w:t>
      </w:r>
      <w:r w:rsidRPr="000438FA">
        <w:rPr>
          <w:rFonts w:cs="Calibri"/>
          <w:i/>
          <w:iCs/>
          <w:noProof/>
          <w:sz w:val="16"/>
          <w:szCs w:val="24"/>
        </w:rPr>
        <w:t>A Community on Ecosystem Services. Conference poster</w:t>
      </w:r>
      <w:r w:rsidRPr="000438FA">
        <w:rPr>
          <w:rFonts w:cs="Calibri"/>
          <w:noProof/>
          <w:sz w:val="16"/>
          <w:szCs w:val="24"/>
        </w:rPr>
        <w:t>, &lt;http://conference.ifas.ufl.edu/aces16/posters/Finisdore-poster-d5-press.pdf&gt;.</w:t>
      </w:r>
    </w:p>
    <w:p w14:paraId="7DEBCCEE"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Finisdore, J, Rhodes, CR, &amp; Haines-young, RH 2019, ‘Working Paper: Expanding the field of ecosystem services practitioners — 18 benefits from using classification systems (Version 1.1, March 2019)’, </w:t>
      </w:r>
      <w:r w:rsidRPr="000438FA">
        <w:rPr>
          <w:rFonts w:cs="Calibri"/>
          <w:i/>
          <w:iCs/>
          <w:noProof/>
          <w:sz w:val="16"/>
          <w:szCs w:val="24"/>
        </w:rPr>
        <w:t>Sustainable Flows: Improving Financial &amp; Ecosystem Service Flows</w:t>
      </w:r>
      <w:r w:rsidRPr="000438FA">
        <w:rPr>
          <w:rFonts w:cs="Calibri"/>
          <w:noProof/>
          <w:sz w:val="16"/>
          <w:szCs w:val="24"/>
        </w:rPr>
        <w:t>, vol. Version 1., no. March, p. 44 p.</w:t>
      </w:r>
    </w:p>
    <w:p w14:paraId="5A21BD85"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Fisher, B, Turner, RK, &amp; Morling, P 2009, ‘Defining and classifying ecosystem services for decision making’, </w:t>
      </w:r>
      <w:r w:rsidRPr="000438FA">
        <w:rPr>
          <w:rFonts w:cs="Calibri"/>
          <w:i/>
          <w:iCs/>
          <w:noProof/>
          <w:sz w:val="16"/>
          <w:szCs w:val="24"/>
        </w:rPr>
        <w:t>Ecological Economics</w:t>
      </w:r>
      <w:r w:rsidRPr="000438FA">
        <w:rPr>
          <w:rFonts w:cs="Calibri"/>
          <w:noProof/>
          <w:sz w:val="16"/>
          <w:szCs w:val="24"/>
        </w:rPr>
        <w:t>, vol. 68, no. 3, pp. 643–653, &lt;http://dx.doi.org/10.1016/j.ecolecon.2008.09.014&gt;.</w:t>
      </w:r>
    </w:p>
    <w:p w14:paraId="5B708948"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Folan, A et al. 2019, ‘Flying fish point rock revetment upgrade: Application of “green engineering”, fish friendly features and other innovative measures’, </w:t>
      </w:r>
      <w:r w:rsidRPr="000438FA">
        <w:rPr>
          <w:rFonts w:cs="Calibri"/>
          <w:i/>
          <w:iCs/>
          <w:noProof/>
          <w:sz w:val="16"/>
          <w:szCs w:val="24"/>
        </w:rPr>
        <w:t>Australasian Coasts and Ports 2019 Conference</w:t>
      </w:r>
      <w:r w:rsidRPr="000438FA">
        <w:rPr>
          <w:rFonts w:cs="Calibri"/>
          <w:noProof/>
          <w:sz w:val="16"/>
          <w:szCs w:val="24"/>
        </w:rPr>
        <w:t>, , no. September, pp. 411–417.</w:t>
      </w:r>
    </w:p>
    <w:p w14:paraId="074F739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Fox, N et al. 2020, ‘Incorporating geodiversity in ecosystem service decisions’, </w:t>
      </w:r>
      <w:r w:rsidRPr="000438FA">
        <w:rPr>
          <w:rFonts w:cs="Calibri"/>
          <w:i/>
          <w:iCs/>
          <w:noProof/>
          <w:sz w:val="16"/>
          <w:szCs w:val="24"/>
        </w:rPr>
        <w:t>Ecosystems and People</w:t>
      </w:r>
      <w:r w:rsidRPr="000438FA">
        <w:rPr>
          <w:rFonts w:cs="Calibri"/>
          <w:noProof/>
          <w:sz w:val="16"/>
          <w:szCs w:val="24"/>
        </w:rPr>
        <w:t>, vol. 16, no. 1, pp. 151–159, &lt;https://doi.org/10.1080/26395916.2020.1758214&gt;.</w:t>
      </w:r>
    </w:p>
    <w:p w14:paraId="0E111E1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Fu, BJ et al. 2011, ‘Double counting in ecosystem services valuation: Causes and countermeasures’, </w:t>
      </w:r>
      <w:r w:rsidRPr="000438FA">
        <w:rPr>
          <w:rFonts w:cs="Calibri"/>
          <w:i/>
          <w:iCs/>
          <w:noProof/>
          <w:sz w:val="16"/>
          <w:szCs w:val="24"/>
        </w:rPr>
        <w:t>Ecological Research</w:t>
      </w:r>
      <w:r w:rsidRPr="000438FA">
        <w:rPr>
          <w:rFonts w:cs="Calibri"/>
          <w:noProof/>
          <w:sz w:val="16"/>
          <w:szCs w:val="24"/>
        </w:rPr>
        <w:t>, vol. 26, no. 1, pp. 1–14.</w:t>
      </w:r>
    </w:p>
    <w:p w14:paraId="41BB92AC"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Gaylard, S et al. 2020, ‘Review of Coast and Marine Ecosystems in Temperate Australia Demonstrates a Wealth of Ecosystem Services’, </w:t>
      </w:r>
      <w:r w:rsidRPr="000438FA">
        <w:rPr>
          <w:rFonts w:cs="Calibri"/>
          <w:i/>
          <w:iCs/>
          <w:noProof/>
          <w:sz w:val="16"/>
          <w:szCs w:val="24"/>
        </w:rPr>
        <w:lastRenderedPageBreak/>
        <w:t>Frontiers in Marine Science</w:t>
      </w:r>
      <w:r w:rsidRPr="000438FA">
        <w:rPr>
          <w:rFonts w:cs="Calibri"/>
          <w:noProof/>
          <w:sz w:val="16"/>
          <w:szCs w:val="24"/>
        </w:rPr>
        <w:t>, vol. 7, no. June, pp. 1–15.</w:t>
      </w:r>
    </w:p>
    <w:p w14:paraId="53F6AD2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Geneletti, D 2019,‘Strategic Environmental Assessment as a tool to mainstream ecosystem services in planning’, in, </w:t>
      </w:r>
      <w:r w:rsidRPr="000438FA">
        <w:rPr>
          <w:rFonts w:cs="Calibri"/>
          <w:i/>
          <w:iCs/>
          <w:noProof/>
          <w:sz w:val="16"/>
          <w:szCs w:val="24"/>
        </w:rPr>
        <w:t>Mainstreaming Natural Capital and Ecosystem Services into Development Policy</w:t>
      </w:r>
      <w:r w:rsidRPr="000438FA">
        <w:rPr>
          <w:rFonts w:cs="Calibri"/>
          <w:noProof/>
          <w:sz w:val="16"/>
          <w:szCs w:val="24"/>
        </w:rPr>
        <w:t>, Routledge, pp.16–39, &lt;https://www.taylorfrancis.com/books/9781315531205/chapters/10.4324/9781315531212-2&gt;.</w:t>
      </w:r>
    </w:p>
    <w:p w14:paraId="395E3EE9"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Gómez-Baggethun, E et al. 2014, ‘State-of-the-art report on integrated valuation of ecosystem services’, </w:t>
      </w:r>
      <w:r w:rsidRPr="000438FA">
        <w:rPr>
          <w:rFonts w:cs="Calibri"/>
          <w:i/>
          <w:iCs/>
          <w:noProof/>
          <w:sz w:val="16"/>
          <w:szCs w:val="24"/>
        </w:rPr>
        <w:t>European Commission FP7</w:t>
      </w:r>
      <w:r w:rsidRPr="000438FA">
        <w:rPr>
          <w:rFonts w:cs="Calibri"/>
          <w:noProof/>
          <w:sz w:val="16"/>
          <w:szCs w:val="24"/>
        </w:rPr>
        <w:t>, , no. July, p. 33.</w:t>
      </w:r>
    </w:p>
    <w:p w14:paraId="6FA046E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Gray, JDE, O’Neill, K, &amp; Qiu, Z 2017, ‘Coastal residents’ perceptions of the function of and relationship between engineered and natural infrastructure for coastal hazard mitigation’, </w:t>
      </w:r>
      <w:r w:rsidRPr="000438FA">
        <w:rPr>
          <w:rFonts w:cs="Calibri"/>
          <w:i/>
          <w:iCs/>
          <w:noProof/>
          <w:sz w:val="16"/>
          <w:szCs w:val="24"/>
        </w:rPr>
        <w:t>Ocean and Coastal Management</w:t>
      </w:r>
      <w:r w:rsidRPr="000438FA">
        <w:rPr>
          <w:rFonts w:cs="Calibri"/>
          <w:noProof/>
          <w:sz w:val="16"/>
          <w:szCs w:val="24"/>
        </w:rPr>
        <w:t>, vol. 146, pp. 144–156, &lt;http://dx.doi.org/10.1016/j.ocecoaman.2017.07.005&gt;.</w:t>
      </w:r>
    </w:p>
    <w:p w14:paraId="72CC4EEC"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Di Gregorio, A &amp; Jansen, LJM 2000, ‘Land Cover Classification System (LCCS): Classification Concepts and User Manual’, </w:t>
      </w:r>
      <w:r w:rsidRPr="000438FA">
        <w:rPr>
          <w:rFonts w:cs="Calibri"/>
          <w:i/>
          <w:iCs/>
          <w:noProof/>
          <w:sz w:val="16"/>
          <w:szCs w:val="24"/>
        </w:rPr>
        <w:t>Fao</w:t>
      </w:r>
      <w:r w:rsidRPr="000438FA">
        <w:rPr>
          <w:rFonts w:cs="Calibri"/>
          <w:noProof/>
          <w:sz w:val="16"/>
          <w:szCs w:val="24"/>
        </w:rPr>
        <w:t>.</w:t>
      </w:r>
    </w:p>
    <w:p w14:paraId="22FCB9A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Guerry, AD et al. 2015, ‘Natural capital and ecosystem services informing decisions: From promise to practice’, </w:t>
      </w:r>
      <w:r w:rsidRPr="000438FA">
        <w:rPr>
          <w:rFonts w:cs="Calibri"/>
          <w:i/>
          <w:iCs/>
          <w:noProof/>
          <w:sz w:val="16"/>
          <w:szCs w:val="24"/>
        </w:rPr>
        <w:t>Proceedings of the National Academy of Sciences of the United States of America</w:t>
      </w:r>
      <w:r w:rsidRPr="000438FA">
        <w:rPr>
          <w:rFonts w:cs="Calibri"/>
          <w:noProof/>
          <w:sz w:val="16"/>
          <w:szCs w:val="24"/>
        </w:rPr>
        <w:t>.</w:t>
      </w:r>
    </w:p>
    <w:p w14:paraId="546A461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Haines-Young, R &amp; Potschin, M 2013, </w:t>
      </w:r>
      <w:r w:rsidRPr="000438FA">
        <w:rPr>
          <w:rFonts w:cs="Calibri"/>
          <w:i/>
          <w:iCs/>
          <w:noProof/>
          <w:sz w:val="16"/>
          <w:szCs w:val="24"/>
        </w:rPr>
        <w:t>Revised report prepared following consultation on CICES Version 4</w:t>
      </w:r>
      <w:r w:rsidRPr="000438FA">
        <w:rPr>
          <w:rFonts w:cs="Calibri"/>
          <w:noProof/>
          <w:sz w:val="16"/>
          <w:szCs w:val="24"/>
        </w:rPr>
        <w:t>, &lt;https://unstats.un.org/unsd/envaccounting/seearev/GCComments/CICES_Report.pdf&gt;.</w:t>
      </w:r>
    </w:p>
    <w:p w14:paraId="0C1053E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Haines-Young, R &amp; Potschin, MB 2018, ‘Common International Classification of Ecosystem Services (CICES) V5.1 and Guidance on the Application of the Revised Structure’, </w:t>
      </w:r>
      <w:r w:rsidRPr="000438FA">
        <w:rPr>
          <w:rFonts w:cs="Calibri"/>
          <w:i/>
          <w:iCs/>
          <w:noProof/>
          <w:sz w:val="16"/>
          <w:szCs w:val="24"/>
        </w:rPr>
        <w:t>European Environment Agency</w:t>
      </w:r>
      <w:r w:rsidRPr="000438FA">
        <w:rPr>
          <w:rFonts w:cs="Calibri"/>
          <w:noProof/>
          <w:sz w:val="16"/>
          <w:szCs w:val="24"/>
        </w:rPr>
        <w:t>.</w:t>
      </w:r>
    </w:p>
    <w:p w14:paraId="696E7896"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HaMAARAG 2018, ‘Israel - National Ecosystem Assessment Report’, viewed 11 July 2019, &lt;http://www.hamaarag.org.il/en/ecosystem-services/israel-national-ecosystem-assessment”-report&gt;.</w:t>
      </w:r>
    </w:p>
    <w:p w14:paraId="4E1505E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Hancock, A 2013, ‘Best practice guidelines for Developing International Statistical Classifications’, </w:t>
      </w:r>
      <w:r w:rsidRPr="000438FA">
        <w:rPr>
          <w:rFonts w:cs="Calibri"/>
          <w:i/>
          <w:iCs/>
          <w:noProof/>
          <w:sz w:val="16"/>
          <w:szCs w:val="24"/>
        </w:rPr>
        <w:t>Expert Group Meeting on International Statistical Classifications. New York, 13-15 May 2013</w:t>
      </w:r>
      <w:r w:rsidRPr="000438FA">
        <w:rPr>
          <w:rFonts w:cs="Calibri"/>
          <w:noProof/>
          <w:sz w:val="16"/>
          <w:szCs w:val="24"/>
        </w:rPr>
        <w:t>, , no. June, p. 16, &lt;http://unstats.un.org/unsd/class/intercop/expertgroup/2013/AC267-5.PDF&gt;.</w:t>
      </w:r>
    </w:p>
    <w:p w14:paraId="178F7E7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Hatfield-Dodds, S 2005, ‘Decision Support for Highly Contested Choices: The Role of Monetised Values and Other Metrics in Pursuit of Sustainability’, </w:t>
      </w:r>
      <w:r w:rsidRPr="000438FA">
        <w:rPr>
          <w:rFonts w:cs="Calibri"/>
          <w:i/>
          <w:iCs/>
          <w:noProof/>
          <w:sz w:val="16"/>
          <w:szCs w:val="24"/>
        </w:rPr>
        <w:t>Anzsee</w:t>
      </w:r>
      <w:r w:rsidRPr="000438FA">
        <w:rPr>
          <w:rFonts w:cs="Calibri"/>
          <w:noProof/>
          <w:sz w:val="16"/>
          <w:szCs w:val="24"/>
        </w:rPr>
        <w:t>, , no. December 2005, &lt;https://www.researchgate.net/publication/265786307_Decision_support_for_highly_contested_choices_The_role_of_monetised_values_and_other_metrics_in_the_pursuit_of_sustainability&gt;.</w:t>
      </w:r>
    </w:p>
    <w:p w14:paraId="76F2E95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Hlava, MMK 2018, ‘Personal conversation’.</w:t>
      </w:r>
    </w:p>
    <w:p w14:paraId="5FEE1667"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Hoffmann, E &amp; Chamie, M 1999,‘STANDARD STATISTICAL CLASSIFICATIONS: BASIC PRINCIPLES’, in, </w:t>
      </w:r>
      <w:r w:rsidRPr="000438FA">
        <w:rPr>
          <w:rFonts w:cs="Calibri"/>
          <w:i/>
          <w:iCs/>
          <w:noProof/>
          <w:sz w:val="16"/>
          <w:szCs w:val="24"/>
        </w:rPr>
        <w:t>STATISTICAL COMMISSION 10 February 1999 Thirtieth session New York, 1-5 March 1999 Items 8 of the provisional agenda</w:t>
      </w:r>
      <w:r w:rsidRPr="000438FA">
        <w:rPr>
          <w:rFonts w:cs="Calibri"/>
          <w:noProof/>
          <w:sz w:val="16"/>
          <w:szCs w:val="24"/>
        </w:rPr>
        <w:t>, p.35, &lt;https://unstats.un.org/unsd/classifications/bestpractices/basicprinciples_1999.pdf&gt;.</w:t>
      </w:r>
    </w:p>
    <w:p w14:paraId="4BDE53FF"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Houdet, J 2017, </w:t>
      </w:r>
      <w:r w:rsidRPr="000438FA">
        <w:rPr>
          <w:rFonts w:cs="Calibri"/>
          <w:i/>
          <w:iCs/>
          <w:noProof/>
          <w:sz w:val="16"/>
          <w:szCs w:val="24"/>
        </w:rPr>
        <w:t>MAINSTREAMING BIODIVERSITY INTO THE MANUFACTURING AND PROCESSING INDUSTRY: AN INITIAL COMPILATION OF REFERENCE DOCUMENTS, DATA AND KEY ACTORS</w:t>
      </w:r>
      <w:r w:rsidRPr="000438FA">
        <w:rPr>
          <w:rFonts w:cs="Calibri"/>
          <w:noProof/>
          <w:sz w:val="16"/>
          <w:szCs w:val="24"/>
        </w:rPr>
        <w:t>, &lt;https://www.researchgate.net/publication/321754256_MAINSTREAMING_BIODIVERSITY_INTO_THE_MANUFACTURING_AND_PROCESSING_INDUSTRY_AN_INITIAL_COMPILATION_OF_REFERENCE_DOCUMENTS_DATA_AND_KEY_ACTORS_sbstta-21-inf-12-en&gt;.</w:t>
      </w:r>
    </w:p>
    <w:p w14:paraId="2B492AA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IDEEA Group 2020a, ‘Valuation of disaster risk reduction ecosystem services of Australia’s coastal wetlands: review and recommendations. Data from literature review’.</w:t>
      </w:r>
    </w:p>
    <w:p w14:paraId="30F68B1C"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IDEEA Group 2020b, ‘Valuation of disaster risk reduction ecosystem services of Australia’s coastal wetlands: review and recommendations . Stakeholder consultation’.</w:t>
      </w:r>
    </w:p>
    <w:p w14:paraId="7D43725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Interjurisdictional &amp; Environmental-Economic Accounting Steering Committe 2018, </w:t>
      </w:r>
      <w:r w:rsidRPr="000438FA">
        <w:rPr>
          <w:rFonts w:cs="Calibri"/>
          <w:i/>
          <w:iCs/>
          <w:noProof/>
          <w:sz w:val="16"/>
          <w:szCs w:val="24"/>
        </w:rPr>
        <w:t>Environmental Economic Accounting: A common national approach Strategy and Action Plan</w:t>
      </w:r>
      <w:r w:rsidRPr="000438FA">
        <w:rPr>
          <w:rFonts w:cs="Calibri"/>
          <w:noProof/>
          <w:sz w:val="16"/>
          <w:szCs w:val="24"/>
        </w:rPr>
        <w:t>, Canberra, &lt;https://eea.environment.gov.au/sites/default/files/2019-06/Strategy for Common National Approach to EEA_20180426_final.pdf&gt;.</w:t>
      </w:r>
    </w:p>
    <w:p w14:paraId="1F870E5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Irwin, R &amp; Schaltegger, S 2015,‘Environmental and Sustainability Management Accounting Network’, in, </w:t>
      </w:r>
      <w:r w:rsidRPr="000438FA">
        <w:rPr>
          <w:rFonts w:cs="Calibri"/>
          <w:i/>
          <w:iCs/>
          <w:noProof/>
          <w:sz w:val="16"/>
          <w:szCs w:val="24"/>
        </w:rPr>
        <w:t>International Sustainability Accounting Symposium 2015 Measuring sustainability performance : Bridging corporate and academic contributions content and scope of sustainability accounting</w:t>
      </w:r>
      <w:r w:rsidRPr="000438FA">
        <w:rPr>
          <w:rFonts w:cs="Calibri"/>
          <w:noProof/>
          <w:sz w:val="16"/>
          <w:szCs w:val="24"/>
        </w:rPr>
        <w:t>, the World Business Council for Sustainable Development (WBCSD), the Environmental and Sustainability Management Accounting Network (EMAN) and the Centre for Sustainability Management (CSM), pp.1–124, &lt;https://www.wbcsd.org/contentwbc/download/1371/17773&gt;.</w:t>
      </w:r>
    </w:p>
    <w:p w14:paraId="1B3CD347"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Jiang, B et al. 2015, ‘Final ecosystem services valuation of Bosten Lake’, </w:t>
      </w:r>
      <w:r w:rsidRPr="000438FA">
        <w:rPr>
          <w:rFonts w:cs="Calibri"/>
          <w:i/>
          <w:iCs/>
          <w:noProof/>
          <w:sz w:val="16"/>
          <w:szCs w:val="24"/>
        </w:rPr>
        <w:t>Chinese Journal of Ecology</w:t>
      </w:r>
      <w:r w:rsidRPr="000438FA">
        <w:rPr>
          <w:rFonts w:cs="Calibri"/>
          <w:noProof/>
          <w:sz w:val="16"/>
          <w:szCs w:val="24"/>
        </w:rPr>
        <w:t>.</w:t>
      </w:r>
    </w:p>
    <w:p w14:paraId="078217D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Jiang, W &amp; Ouyang, L 2016, ‘Implementing Ecosystem Services for Inclusive Green Growth’, , , no. September, pp. 6–7.</w:t>
      </w:r>
    </w:p>
    <w:p w14:paraId="24D8A2A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Johnston, RJ et al. 2017, ‘Contemporary Guidance for Stated Preference Studies’, </w:t>
      </w:r>
      <w:r w:rsidRPr="000438FA">
        <w:rPr>
          <w:rFonts w:cs="Calibri"/>
          <w:i/>
          <w:iCs/>
          <w:noProof/>
          <w:sz w:val="16"/>
          <w:szCs w:val="24"/>
        </w:rPr>
        <w:t>Journal of the Association of Environmental and Resource Economists</w:t>
      </w:r>
      <w:r w:rsidRPr="000438FA">
        <w:rPr>
          <w:rFonts w:cs="Calibri"/>
          <w:noProof/>
          <w:sz w:val="16"/>
          <w:szCs w:val="24"/>
        </w:rPr>
        <w:t>, vol. 4, no. 2, pp. 319–405, &lt;https://www.journals.uchicago.edu/doi/10.1086/691697&gt;.</w:t>
      </w:r>
    </w:p>
    <w:p w14:paraId="25E42EC5"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Keenan, RJ, Pozza, G, &amp; Fitzsimons, JA 2019, ‘Ecosystem services in environmental policy: Barriers and opportunities for increased adoption’, </w:t>
      </w:r>
      <w:r w:rsidRPr="000438FA">
        <w:rPr>
          <w:rFonts w:cs="Calibri"/>
          <w:i/>
          <w:iCs/>
          <w:noProof/>
          <w:sz w:val="16"/>
          <w:szCs w:val="24"/>
        </w:rPr>
        <w:t>Ecosystem Services</w:t>
      </w:r>
      <w:r w:rsidRPr="000438FA">
        <w:rPr>
          <w:rFonts w:cs="Calibri"/>
          <w:noProof/>
          <w:sz w:val="16"/>
          <w:szCs w:val="24"/>
        </w:rPr>
        <w:t>, vol. 38, no. June, p. 100943, &lt;https://doi.org/10.1016/j.ecoser.2019.100943&gt;.</w:t>
      </w:r>
    </w:p>
    <w:p w14:paraId="3DE2F017"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Keith, D et al. 2020, ‘The IUCN Global Ecosystem Typology v1.01: Descriptive profiles for Biomes and Ecosystem Functional Groups’, , , no. February, p. 172, &lt;https://iucnrle.org/static/media/uploads/references/research-development/keith_etal_iucnglobalecosystemtypology_v1.01.pdf&gt;.</w:t>
      </w:r>
    </w:p>
    <w:p w14:paraId="462188D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lastRenderedPageBreak/>
        <w:t xml:space="preserve">Kim, TG &amp; Petrolia, DR 2013, ‘Public perceptions of wetland restoration benefits in Louisiana’, </w:t>
      </w:r>
      <w:r w:rsidRPr="000438FA">
        <w:rPr>
          <w:rFonts w:cs="Calibri"/>
          <w:i/>
          <w:iCs/>
          <w:noProof/>
          <w:sz w:val="16"/>
          <w:szCs w:val="24"/>
        </w:rPr>
        <w:t>ICES Journal of Marine Science</w:t>
      </w:r>
      <w:r w:rsidRPr="000438FA">
        <w:rPr>
          <w:rFonts w:cs="Calibri"/>
          <w:noProof/>
          <w:sz w:val="16"/>
          <w:szCs w:val="24"/>
        </w:rPr>
        <w:t>, vol. 70, no. 5, pp. 1045–1054.</w:t>
      </w:r>
    </w:p>
    <w:p w14:paraId="0F8C25FC"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Kirkpatrick, S 2011, ‘The Economic Value of  Natural and Built Coastal  Assets  Part 1: Natural Coastal Assets. ACCARNSI discussion paper’, , p. 53, &lt;http://www.nccarf.edu.au/settlements-infrastructure/node/79&gt;.</w:t>
      </w:r>
    </w:p>
    <w:p w14:paraId="0E99E1A8"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Landers, DH &amp; Nahlik, AM 2013, </w:t>
      </w:r>
      <w:r w:rsidRPr="000438FA">
        <w:rPr>
          <w:rFonts w:cs="Calibri"/>
          <w:i/>
          <w:iCs/>
          <w:noProof/>
          <w:sz w:val="16"/>
          <w:szCs w:val="24"/>
        </w:rPr>
        <w:t>Final Ecosystem Goods and Services Classification System (FEGS-CS)</w:t>
      </w:r>
      <w:r w:rsidRPr="000438FA">
        <w:rPr>
          <w:rFonts w:cs="Calibri"/>
          <w:noProof/>
          <w:sz w:val="16"/>
          <w:szCs w:val="24"/>
        </w:rPr>
        <w:t>, U.S. Environmental Protection Agency, Office of Research and Development, Washington, D.C. EPA/600/R-13/ORD-004914, viewed 29 June 2018, &lt;https://gispub4.epa.gov/FEGS/FEGS-CS FINAL V.2.8a.pdf&gt;.</w:t>
      </w:r>
    </w:p>
    <w:p w14:paraId="4072AAD8"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Larmour, G 1994,‘2 . Wetland classification system , Criteria for inclusion and Data presentation’, in, </w:t>
      </w:r>
      <w:r w:rsidRPr="000438FA">
        <w:rPr>
          <w:rFonts w:cs="Calibri"/>
          <w:i/>
          <w:iCs/>
          <w:noProof/>
          <w:sz w:val="16"/>
          <w:szCs w:val="24"/>
        </w:rPr>
        <w:t>A Directory of Important Wetlands in Australia</w:t>
      </w:r>
      <w:r w:rsidRPr="000438FA">
        <w:rPr>
          <w:rFonts w:cs="Calibri"/>
          <w:noProof/>
          <w:sz w:val="16"/>
          <w:szCs w:val="24"/>
        </w:rPr>
        <w:t>, pp.9–14, &lt;https://www.environment.gov.au/system/files/resources/18f0bb21-b67c-4e99-a155-cb5255398568/files/directory-ch2.pdf&gt;.</w:t>
      </w:r>
    </w:p>
    <w:p w14:paraId="0A10FEE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Maes, J et al. 2014, </w:t>
      </w:r>
      <w:r w:rsidRPr="000438FA">
        <w:rPr>
          <w:rFonts w:cs="Calibri"/>
          <w:i/>
          <w:iCs/>
          <w:noProof/>
          <w:sz w:val="16"/>
          <w:szCs w:val="24"/>
        </w:rPr>
        <w:t>Mapping and Assessment of Ecosystems and their Services. Indicators for ecosystem assessment under Action 5 of the EU Biodiversity Strategy to 2020 : 2nd report - final, February 2014</w:t>
      </w:r>
      <w:r w:rsidRPr="000438FA">
        <w:rPr>
          <w:rFonts w:cs="Calibri"/>
          <w:noProof/>
          <w:sz w:val="16"/>
          <w:szCs w:val="24"/>
        </w:rPr>
        <w:t>.</w:t>
      </w:r>
    </w:p>
    <w:p w14:paraId="490ED27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Malmquist, D 2020, </w:t>
      </w:r>
      <w:r w:rsidRPr="000438FA">
        <w:rPr>
          <w:rFonts w:cs="Calibri"/>
          <w:i/>
          <w:iCs/>
          <w:noProof/>
          <w:sz w:val="16"/>
          <w:szCs w:val="24"/>
        </w:rPr>
        <w:t>VIMS earns grant to improve coastal resilience by studying dunes</w:t>
      </w:r>
      <w:r w:rsidRPr="000438FA">
        <w:rPr>
          <w:rFonts w:cs="Calibri"/>
          <w:noProof/>
          <w:sz w:val="16"/>
          <w:szCs w:val="24"/>
        </w:rPr>
        <w:t xml:space="preserve">, </w:t>
      </w:r>
      <w:r w:rsidRPr="000438FA">
        <w:rPr>
          <w:rFonts w:cs="Calibri"/>
          <w:i/>
          <w:iCs/>
          <w:noProof/>
          <w:sz w:val="16"/>
          <w:szCs w:val="24"/>
        </w:rPr>
        <w:t>VMIS News</w:t>
      </w:r>
      <w:r w:rsidRPr="000438FA">
        <w:rPr>
          <w:rFonts w:cs="Calibri"/>
          <w:noProof/>
          <w:sz w:val="16"/>
          <w:szCs w:val="24"/>
        </w:rPr>
        <w:t>, p. 1, viewed 11 June 2020, &lt;https://www.wm.edu/news/stories/2019/vims-earns-grant-to-improve-coastal-resilience-by-studying-dunes.php&gt;.</w:t>
      </w:r>
    </w:p>
    <w:p w14:paraId="58ADA33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Markandya, A 2016, </w:t>
      </w:r>
      <w:r w:rsidRPr="000438FA">
        <w:rPr>
          <w:rFonts w:cs="Calibri"/>
          <w:i/>
          <w:iCs/>
          <w:noProof/>
          <w:sz w:val="16"/>
          <w:szCs w:val="24"/>
        </w:rPr>
        <w:t>Cost Benefit Analysis and the Environment:How to best cover impacts on biodiversity and ecosystem services</w:t>
      </w:r>
      <w:r w:rsidRPr="000438FA">
        <w:rPr>
          <w:rFonts w:cs="Calibri"/>
          <w:noProof/>
          <w:sz w:val="16"/>
          <w:szCs w:val="24"/>
        </w:rPr>
        <w:t>, Paris, &lt;http://dx.doi.org/10.1787/5jm2f6w8b25l-en&gt;.</w:t>
      </w:r>
    </w:p>
    <w:p w14:paraId="185BF38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Marre, J-B et al. 2015, ‘The use of ecosystem services valuation in Australian coastal zone management’, </w:t>
      </w:r>
      <w:r w:rsidRPr="000438FA">
        <w:rPr>
          <w:rFonts w:cs="Calibri"/>
          <w:i/>
          <w:iCs/>
          <w:noProof/>
          <w:sz w:val="16"/>
          <w:szCs w:val="24"/>
        </w:rPr>
        <w:t>Marine Policy</w:t>
      </w:r>
      <w:r w:rsidRPr="000438FA">
        <w:rPr>
          <w:rFonts w:cs="Calibri"/>
          <w:noProof/>
          <w:sz w:val="16"/>
          <w:szCs w:val="24"/>
        </w:rPr>
        <w:t>, vol. 56, pp. 117–124, &lt;http://dx.doi.org/10.1016/j.marpol.2015.02.011&gt;.</w:t>
      </w:r>
    </w:p>
    <w:p w14:paraId="1A99C3B5"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Marre, J-B et al. 2016, ‘Is economic valuation of ecosystem services useful to decision-makers? Lessons learned from Australian coastal and marine management’, </w:t>
      </w:r>
      <w:r w:rsidRPr="000438FA">
        <w:rPr>
          <w:rFonts w:cs="Calibri"/>
          <w:i/>
          <w:iCs/>
          <w:noProof/>
          <w:sz w:val="16"/>
          <w:szCs w:val="24"/>
        </w:rPr>
        <w:t>Journal of Environmental Management</w:t>
      </w:r>
      <w:r w:rsidRPr="000438FA">
        <w:rPr>
          <w:rFonts w:cs="Calibri"/>
          <w:noProof/>
          <w:sz w:val="16"/>
          <w:szCs w:val="24"/>
        </w:rPr>
        <w:t>, vol. 178, no. 178, pp. 52–62, &lt;https://linkinghub.elsevier.com/retrieve/pii/S0301479716301773&gt;.</w:t>
      </w:r>
    </w:p>
    <w:p w14:paraId="17F5A57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Maze, K et al. 2016, ‘Making the case for Biodiversity in South Africa: Re-framing Biodiversity communicatons’, </w:t>
      </w:r>
      <w:r w:rsidRPr="000438FA">
        <w:rPr>
          <w:rFonts w:cs="Calibri"/>
          <w:i/>
          <w:iCs/>
          <w:noProof/>
          <w:sz w:val="16"/>
          <w:szCs w:val="24"/>
        </w:rPr>
        <w:t>Bothalia</w:t>
      </w:r>
      <w:r w:rsidRPr="000438FA">
        <w:rPr>
          <w:rFonts w:cs="Calibri"/>
          <w:noProof/>
          <w:sz w:val="16"/>
          <w:szCs w:val="24"/>
        </w:rPr>
        <w:t>, vol. 46, no. 1, pp. 1–8.</w:t>
      </w:r>
    </w:p>
    <w:p w14:paraId="45D8736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McComb, JQ et al. 2015, ‘Coastal wetlands and their role in human health’, </w:t>
      </w:r>
      <w:r w:rsidRPr="000438FA">
        <w:rPr>
          <w:rFonts w:cs="Calibri"/>
          <w:i/>
          <w:iCs/>
          <w:noProof/>
          <w:sz w:val="16"/>
          <w:szCs w:val="24"/>
        </w:rPr>
        <w:t>Advances in Environmental Research</w:t>
      </w:r>
      <w:r w:rsidRPr="000438FA">
        <w:rPr>
          <w:rFonts w:cs="Calibri"/>
          <w:noProof/>
          <w:sz w:val="16"/>
          <w:szCs w:val="24"/>
        </w:rPr>
        <w:t>, vol. 42, no. June, pp. 1–23, &lt;https://www.researchgate.net/profile/Jacqueline_Mccomb2/publication/276411611_Coastal_Wetlands_and_their_Role_in_Human_Health/links/5589880808ae2affe7151579/Coastal-Wetlands-and-their-Role-in-Human-Health.pdf&gt;.</w:t>
      </w:r>
    </w:p>
    <w:p w14:paraId="1BCF4B3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McDonough, K et al. 2017, ‘Analysis of publication trends in ecosystem services research’, </w:t>
      </w:r>
      <w:r w:rsidRPr="000438FA">
        <w:rPr>
          <w:rFonts w:cs="Calibri"/>
          <w:i/>
          <w:iCs/>
          <w:noProof/>
          <w:sz w:val="16"/>
          <w:szCs w:val="24"/>
        </w:rPr>
        <w:t>Ecosystem Services</w:t>
      </w:r>
      <w:r w:rsidRPr="000438FA">
        <w:rPr>
          <w:rFonts w:cs="Calibri"/>
          <w:noProof/>
          <w:sz w:val="16"/>
          <w:szCs w:val="24"/>
        </w:rPr>
        <w:t>.</w:t>
      </w:r>
    </w:p>
    <w:p w14:paraId="7A8499C6"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Millennium Ecosystem Assessment 2003, </w:t>
      </w:r>
      <w:r w:rsidRPr="000438FA">
        <w:rPr>
          <w:rFonts w:cs="Calibri"/>
          <w:i/>
          <w:iCs/>
          <w:noProof/>
          <w:sz w:val="16"/>
          <w:szCs w:val="24"/>
        </w:rPr>
        <w:t>Ecosystems and their services</w:t>
      </w:r>
      <w:r w:rsidRPr="000438FA">
        <w:rPr>
          <w:rFonts w:cs="Calibri"/>
          <w:noProof/>
          <w:sz w:val="16"/>
          <w:szCs w:val="24"/>
        </w:rPr>
        <w:t>, Washington, DC, &lt;http://pdf.wri.org/ecosystems_human_wellbeing.pdf&gt;.</w:t>
      </w:r>
    </w:p>
    <w:p w14:paraId="4C0C2E4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NCC 2016, ‘Natural Capital Protocol’, </w:t>
      </w:r>
      <w:r w:rsidRPr="000438FA">
        <w:rPr>
          <w:rFonts w:cs="Calibri"/>
          <w:i/>
          <w:iCs/>
          <w:noProof/>
          <w:sz w:val="16"/>
          <w:szCs w:val="24"/>
        </w:rPr>
        <w:t>Natural Capital Coalition Report</w:t>
      </w:r>
      <w:r w:rsidRPr="000438FA">
        <w:rPr>
          <w:rFonts w:cs="Calibri"/>
          <w:noProof/>
          <w:sz w:val="16"/>
          <w:szCs w:val="24"/>
        </w:rPr>
        <w:t>.</w:t>
      </w:r>
    </w:p>
    <w:p w14:paraId="0A5727B1"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Neale, AC, Daniel, J, &amp; Mehaffey, M 2018, ‘Personal conversation’.</w:t>
      </w:r>
    </w:p>
    <w:p w14:paraId="4C9A6DFE"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Neumeier, U &amp; Ciavola, P 2004, ‘Flow Resistance and Associated Sedimentary Processes in a Spartina maritima Salt-Marsh Article’, </w:t>
      </w:r>
      <w:r w:rsidRPr="000438FA">
        <w:rPr>
          <w:rFonts w:cs="Calibri"/>
          <w:i/>
          <w:iCs/>
          <w:noProof/>
          <w:sz w:val="16"/>
          <w:szCs w:val="24"/>
        </w:rPr>
        <w:t>Journal of Coastal Research</w:t>
      </w:r>
      <w:r w:rsidRPr="000438FA">
        <w:rPr>
          <w:rFonts w:cs="Calibri"/>
          <w:noProof/>
          <w:sz w:val="16"/>
          <w:szCs w:val="24"/>
        </w:rPr>
        <w:t>, vol. 20, no. 2, pp. 435–447, &lt;file:///D:/Dropbox/IDEEA Group - Wetlands project/Wetlands Research/232696624_Flow_Resistance_and_Associated_Sedimentary_Processes_in_a_Spartina_maritima_Salt-Marsh.html&gt;.</w:t>
      </w:r>
    </w:p>
    <w:p w14:paraId="5B7A880E"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NSW Treasury 2017, </w:t>
      </w:r>
      <w:r w:rsidRPr="000438FA">
        <w:rPr>
          <w:rFonts w:cs="Calibri"/>
          <w:i/>
          <w:iCs/>
          <w:noProof/>
          <w:sz w:val="16"/>
          <w:szCs w:val="24"/>
        </w:rPr>
        <w:t>TPP17-03 NSW Government Guide to Cost-Benefit Analysis</w:t>
      </w:r>
      <w:r w:rsidRPr="000438FA">
        <w:rPr>
          <w:rFonts w:cs="Calibri"/>
          <w:noProof/>
          <w:sz w:val="16"/>
          <w:szCs w:val="24"/>
        </w:rPr>
        <w:t>, &lt;https://www.treasury.nsw.gov.au/sites/default/files/2017-03/TPP17-03 NSW Government Guide to Cost-Benefit Analysis - pdf_0.pdf&gt;.</w:t>
      </w:r>
    </w:p>
    <w:p w14:paraId="06C278AD"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Obst, C &amp; Eigenraam, M 2017, </w:t>
      </w:r>
      <w:r w:rsidRPr="000438FA">
        <w:rPr>
          <w:rFonts w:cs="Calibri"/>
          <w:i/>
          <w:iCs/>
          <w:noProof/>
          <w:sz w:val="16"/>
          <w:szCs w:val="24"/>
        </w:rPr>
        <w:t>Linking AWS and the SEEA: Applying advances in accounting for natural capital to support the implementation of AWS</w:t>
      </w:r>
      <w:r w:rsidRPr="000438FA">
        <w:rPr>
          <w:rFonts w:cs="Calibri"/>
          <w:noProof/>
          <w:sz w:val="16"/>
          <w:szCs w:val="24"/>
        </w:rPr>
        <w:t>, Melbourne.</w:t>
      </w:r>
    </w:p>
    <w:p w14:paraId="6D9C346D"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Office of Best Practice Regulation 2016, ‘Environmental Valuation and Uncertainty’, , , no. February, pp. 1–16, &lt;https://www.pmc.gov.au/sites/default/files/publications/012-Environment.pdf&gt;.</w:t>
      </w:r>
    </w:p>
    <w:p w14:paraId="1C94208D"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Olander, L et al. 2017, ‘So you want your research to be relevant? Building the bridge between ecosystem services research and practice’, </w:t>
      </w:r>
      <w:r w:rsidRPr="000438FA">
        <w:rPr>
          <w:rFonts w:cs="Calibri"/>
          <w:i/>
          <w:iCs/>
          <w:noProof/>
          <w:sz w:val="16"/>
          <w:szCs w:val="24"/>
        </w:rPr>
        <w:t>Ecosystem Services</w:t>
      </w:r>
      <w:r w:rsidRPr="000438FA">
        <w:rPr>
          <w:rFonts w:cs="Calibri"/>
          <w:noProof/>
          <w:sz w:val="16"/>
          <w:szCs w:val="24"/>
        </w:rPr>
        <w:t>, vol. 26, pp. 170–182, &lt;http://dx.doi.org/10.1016/j.ecoser.2017.06.003&gt;.</w:t>
      </w:r>
    </w:p>
    <w:p w14:paraId="79B18AE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Olander, LP et al. 2018, ‘Benefit relevant indicators: Ecosystem services measures that link ecological and social outcomes’, </w:t>
      </w:r>
      <w:r w:rsidRPr="000438FA">
        <w:rPr>
          <w:rFonts w:cs="Calibri"/>
          <w:i/>
          <w:iCs/>
          <w:noProof/>
          <w:sz w:val="16"/>
          <w:szCs w:val="24"/>
        </w:rPr>
        <w:t>Ecological Indicators</w:t>
      </w:r>
      <w:r w:rsidRPr="000438FA">
        <w:rPr>
          <w:rFonts w:cs="Calibri"/>
          <w:noProof/>
          <w:sz w:val="16"/>
          <w:szCs w:val="24"/>
        </w:rPr>
        <w:t>, vol. 85, no. June 2017, pp. 1262–1272, &lt;https://doi.org/10.1016/j.ecolind.2017.12.001&gt;.</w:t>
      </w:r>
    </w:p>
    <w:p w14:paraId="2B29A26C"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Organisation for Economic Co-Operation and Development 2018, </w:t>
      </w:r>
      <w:r w:rsidRPr="000438FA">
        <w:rPr>
          <w:rFonts w:cs="Calibri"/>
          <w:i/>
          <w:iCs/>
          <w:noProof/>
          <w:sz w:val="16"/>
          <w:szCs w:val="24"/>
        </w:rPr>
        <w:t>Cost-Benefit Analysis and the Environment</w:t>
      </w:r>
      <w:r w:rsidRPr="000438FA">
        <w:rPr>
          <w:rFonts w:cs="Calibri"/>
          <w:noProof/>
          <w:sz w:val="16"/>
          <w:szCs w:val="24"/>
        </w:rPr>
        <w:t>, OECD, Paris, &lt;https://www.oecd-ilibrary.org/environment/cost-benefit-analysis-and-the-environment_9789264085169-en&gt;.</w:t>
      </w:r>
    </w:p>
    <w:p w14:paraId="7748C43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Ouyang, X et al. 2018, ‘Spatially-explicit valuation of coastal wetlands for cyclone mitigation in Australia and China’, </w:t>
      </w:r>
      <w:r w:rsidRPr="000438FA">
        <w:rPr>
          <w:rFonts w:cs="Calibri"/>
          <w:i/>
          <w:iCs/>
          <w:noProof/>
          <w:sz w:val="16"/>
          <w:szCs w:val="24"/>
        </w:rPr>
        <w:t>Scientific Reports</w:t>
      </w:r>
      <w:r w:rsidRPr="000438FA">
        <w:rPr>
          <w:rFonts w:cs="Calibri"/>
          <w:noProof/>
          <w:sz w:val="16"/>
          <w:szCs w:val="24"/>
        </w:rPr>
        <w:t>, vol. 8, no. 1, pp. 1–9, &lt;http://dx.doi.org/10.1038/s41598-018-21217-z&gt;.</w:t>
      </w:r>
    </w:p>
    <w:p w14:paraId="3D9BD6D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Ouyang, X 2020, ‘Email correspondence with Xiaoguang Ouyang’, , p. 1.</w:t>
      </w:r>
    </w:p>
    <w:p w14:paraId="1E8E72FE"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Overhage, JM &amp; Suico, JG 2001, ‘Sorting Things Out: Classification and Its Consequences’, </w:t>
      </w:r>
      <w:r w:rsidRPr="000438FA">
        <w:rPr>
          <w:rFonts w:cs="Calibri"/>
          <w:i/>
          <w:iCs/>
          <w:noProof/>
          <w:sz w:val="16"/>
          <w:szCs w:val="24"/>
        </w:rPr>
        <w:t>Annals of Internal Medicine</w:t>
      </w:r>
      <w:r w:rsidRPr="000438FA">
        <w:rPr>
          <w:rFonts w:cs="Calibri"/>
          <w:noProof/>
          <w:sz w:val="16"/>
          <w:szCs w:val="24"/>
        </w:rPr>
        <w:t>, vol. 135, no. 10, p. 934.</w:t>
      </w:r>
    </w:p>
    <w:p w14:paraId="59DE2F2C"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Partnership Ecosystem Services 2018, ‘Results of Google search for “classification” on ESP website highlighting ESP’s work in the area’, &lt;https://www.es-partnership.org/?s=classification+&gt;.</w:t>
      </w:r>
    </w:p>
    <w:p w14:paraId="3BC48DF7"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lastRenderedPageBreak/>
        <w:t xml:space="preserve">Pascal, N, Molisa, V, &amp; Fernandes, L; Brander, L; Wendt, H; Seidl, A; Arena, M; Wini, L; Salcone, J; Leport, G 2015, ‘National marine ecosystem service valuation’, </w:t>
      </w:r>
      <w:r w:rsidRPr="000438FA">
        <w:rPr>
          <w:rFonts w:cs="Calibri"/>
          <w:i/>
          <w:iCs/>
          <w:noProof/>
          <w:sz w:val="16"/>
          <w:szCs w:val="24"/>
        </w:rPr>
        <w:t>National marine ecosystem service valuation: Solomon Islands.</w:t>
      </w:r>
      <w:r w:rsidRPr="000438FA">
        <w:rPr>
          <w:rFonts w:cs="Calibri"/>
          <w:noProof/>
          <w:sz w:val="16"/>
          <w:szCs w:val="24"/>
        </w:rPr>
        <w:t>, p. 86.</w:t>
      </w:r>
    </w:p>
    <w:p w14:paraId="7E87148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Pascual, U et al. 2017, ‘Valuing nature’s contributions to people: the IPBES approach’, </w:t>
      </w:r>
      <w:r w:rsidRPr="000438FA">
        <w:rPr>
          <w:rFonts w:cs="Calibri"/>
          <w:i/>
          <w:iCs/>
          <w:noProof/>
          <w:sz w:val="16"/>
          <w:szCs w:val="24"/>
        </w:rPr>
        <w:t>Current Opinion in Environmental Sustainability</w:t>
      </w:r>
      <w:r w:rsidRPr="000438FA">
        <w:rPr>
          <w:rFonts w:cs="Calibri"/>
          <w:noProof/>
          <w:sz w:val="16"/>
          <w:szCs w:val="24"/>
        </w:rPr>
        <w:t>, vol. 26–27, pp. 7–16, viewed 27 June 2018, &lt;https://www.sciencedirect.com/science/article/pii/S1877343517300040&gt;.</w:t>
      </w:r>
    </w:p>
    <w:p w14:paraId="1F2C143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Pittock, J, Cork, S, &amp; Maynard, S 2012, </w:t>
      </w:r>
      <w:r w:rsidRPr="000438FA">
        <w:rPr>
          <w:rFonts w:cs="Calibri"/>
          <w:i/>
          <w:iCs/>
          <w:noProof/>
          <w:sz w:val="16"/>
          <w:szCs w:val="24"/>
        </w:rPr>
        <w:t>The state of the application of ecosystems services in Australia</w:t>
      </w:r>
      <w:r w:rsidRPr="000438FA">
        <w:rPr>
          <w:rFonts w:cs="Calibri"/>
          <w:noProof/>
          <w:sz w:val="16"/>
          <w:szCs w:val="24"/>
        </w:rPr>
        <w:t>, Elsevier, &lt;http://dx.doi.org/10.1016/j.ecoser.2012.07.010&gt;.</w:t>
      </w:r>
    </w:p>
    <w:p w14:paraId="790FE488"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Plant, R et al. 2012, </w:t>
      </w:r>
      <w:r w:rsidRPr="000438FA">
        <w:rPr>
          <w:rFonts w:cs="Calibri"/>
          <w:i/>
          <w:iCs/>
          <w:noProof/>
          <w:sz w:val="16"/>
          <w:szCs w:val="24"/>
        </w:rPr>
        <w:t>Recognising the broader benefits of aquatic systems in water planning : an ecosystem sPlant, R et al. 2012, Recognising the broader benefits of aquatic systems in water planning : an ecosystem services approach, Canberra, &lt;http://archive.nwc.gov.au/librar</w:t>
      </w:r>
      <w:r w:rsidRPr="000438FA">
        <w:rPr>
          <w:rFonts w:cs="Calibri"/>
          <w:noProof/>
          <w:sz w:val="16"/>
          <w:szCs w:val="24"/>
        </w:rPr>
        <w:t>, Canberra, &lt;http://archive.nwc.gov.au/library/waterlines/89&gt;.</w:t>
      </w:r>
    </w:p>
    <w:p w14:paraId="71BF26D8"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Plant, R &amp; Prior, T 2014, ‘An ecosystem services framework to support statutory water allocation planning in Australia’, </w:t>
      </w:r>
      <w:r w:rsidRPr="000438FA">
        <w:rPr>
          <w:rFonts w:cs="Calibri"/>
          <w:i/>
          <w:iCs/>
          <w:noProof/>
          <w:sz w:val="16"/>
          <w:szCs w:val="24"/>
        </w:rPr>
        <w:t>International Journal of River Basin Management</w:t>
      </w:r>
      <w:r w:rsidRPr="000438FA">
        <w:rPr>
          <w:rFonts w:cs="Calibri"/>
          <w:noProof/>
          <w:sz w:val="16"/>
          <w:szCs w:val="24"/>
        </w:rPr>
        <w:t>.</w:t>
      </w:r>
    </w:p>
    <w:p w14:paraId="4D422CF8"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Posner, S, Getz, C, &amp; Ricketts, T 2016, ‘Evaluating the impact of ecosystem service assessments on decision-makers’, </w:t>
      </w:r>
      <w:r w:rsidRPr="000438FA">
        <w:rPr>
          <w:rFonts w:cs="Calibri"/>
          <w:i/>
          <w:iCs/>
          <w:noProof/>
          <w:sz w:val="16"/>
          <w:szCs w:val="24"/>
        </w:rPr>
        <w:t>Environmental Science and Policy</w:t>
      </w:r>
      <w:r w:rsidRPr="000438FA">
        <w:rPr>
          <w:rFonts w:cs="Calibri"/>
          <w:noProof/>
          <w:sz w:val="16"/>
          <w:szCs w:val="24"/>
        </w:rPr>
        <w:t>, vol. 64, pp. 30–37, &lt;http://dx.doi.org/10.1016/j.envsci.2016.06.003&gt;.</w:t>
      </w:r>
    </w:p>
    <w:p w14:paraId="7EC413B6"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Preston, SM &amp; Raudsepp-Hearne, C 2017, </w:t>
      </w:r>
      <w:r w:rsidRPr="000438FA">
        <w:rPr>
          <w:rFonts w:cs="Calibri"/>
          <w:i/>
          <w:iCs/>
          <w:noProof/>
          <w:sz w:val="16"/>
          <w:szCs w:val="24"/>
        </w:rPr>
        <w:t>Completing and Using Ecosystem Service Assessment for Decision-Making: An Interdisciplinary Toolkit for Managers and Analysts. Issued</w:t>
      </w:r>
      <w:r w:rsidRPr="000438FA">
        <w:rPr>
          <w:rFonts w:cs="Calibri"/>
          <w:noProof/>
          <w:sz w:val="16"/>
          <w:szCs w:val="24"/>
        </w:rPr>
        <w:t>, Value of Nature to Canadians Study Taskforce Federal,.</w:t>
      </w:r>
    </w:p>
    <w:p w14:paraId="4335235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Rhodes, CR, Landers, D, Petersen, J-E, et al. 2016,‘Developing ecosystem service classification (s) for ecosystem accounting–taking stock &amp; moving forward’, in, </w:t>
      </w:r>
      <w:r w:rsidRPr="000438FA">
        <w:rPr>
          <w:rFonts w:cs="Calibri"/>
          <w:i/>
          <w:iCs/>
          <w:noProof/>
          <w:sz w:val="16"/>
          <w:szCs w:val="24"/>
        </w:rPr>
        <w:t>Expert Workshop organised by EEA and US-EPA, with support from UNSD, University of Wageningen and Nottingham University; Wageningen University, Netherlands, 17-18 November 2016; Summary paper on discussions as input to SEEA EEA expert forum, Glen Cove, NY</w:t>
      </w:r>
      <w:r w:rsidRPr="000438FA">
        <w:rPr>
          <w:rFonts w:cs="Calibri"/>
          <w:noProof/>
          <w:sz w:val="16"/>
          <w:szCs w:val="24"/>
        </w:rPr>
        <w:t>, &lt;https://seea.un.org/sites/seea.un.org/files/documents/Forum_2018/s4_background_paper_summary_of_wageningen_es_classification_workshop_final_draft_for_expert_forum_15-06-18.pdf&gt;.</w:t>
      </w:r>
    </w:p>
    <w:p w14:paraId="689A25CF"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Rhodes, CR, Landers, D, Haines-Young, R, et al. 2016,‘CLASSIFYING ECOSYSTEM SERVICES FOR ECOSYSTEM ACCOUNTING AND RESEARCH PURPOSES – STATE OF THE ART AND KEY CHALLENGES’, in, A Community on Ecosystem Services, Jacksonville,FL, p.25, &lt;http://conference.ifas.ufl.edu/aces16/presentations/GB_8_TUES_6_1305_Rhodes.pdf.&gt;.</w:t>
      </w:r>
    </w:p>
    <w:p w14:paraId="7CA96889"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Rhodes, CR et al. 2018, </w:t>
      </w:r>
      <w:r w:rsidRPr="000438FA">
        <w:rPr>
          <w:rFonts w:cs="Calibri"/>
          <w:i/>
          <w:iCs/>
          <w:noProof/>
          <w:sz w:val="16"/>
          <w:szCs w:val="24"/>
        </w:rPr>
        <w:t>Final Ecosystem Services for Corporate Metrics and Performance</w:t>
      </w:r>
      <w:r w:rsidRPr="000438FA">
        <w:rPr>
          <w:rFonts w:cs="Calibri"/>
          <w:noProof/>
          <w:sz w:val="16"/>
          <w:szCs w:val="24"/>
        </w:rPr>
        <w:t>.</w:t>
      </w:r>
    </w:p>
    <w:p w14:paraId="0A1C5705"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Rogers, AA et al. 2015, ‘Non-market valuation: Usage and impacts in environmental policy and management in Australia’, </w:t>
      </w:r>
      <w:r w:rsidRPr="000438FA">
        <w:rPr>
          <w:rFonts w:cs="Calibri"/>
          <w:i/>
          <w:iCs/>
          <w:noProof/>
          <w:sz w:val="16"/>
          <w:szCs w:val="24"/>
        </w:rPr>
        <w:t>Australian Journal of Agricultural and Resource Economics</w:t>
      </w:r>
      <w:r w:rsidRPr="000438FA">
        <w:rPr>
          <w:rFonts w:cs="Calibri"/>
          <w:noProof/>
          <w:sz w:val="16"/>
          <w:szCs w:val="24"/>
        </w:rPr>
        <w:t>, vol. 59, no. 1, pp. 1–15.</w:t>
      </w:r>
    </w:p>
    <w:p w14:paraId="7C43090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Rosenthal, A et al. 2014, </w:t>
      </w:r>
      <w:r w:rsidRPr="000438FA">
        <w:rPr>
          <w:rFonts w:cs="Calibri"/>
          <w:i/>
          <w:iCs/>
          <w:noProof/>
          <w:sz w:val="16"/>
          <w:szCs w:val="24"/>
        </w:rPr>
        <w:t>InVEST Scenarios Case Study: Coastal Belize</w:t>
      </w:r>
      <w:r w:rsidRPr="000438FA">
        <w:rPr>
          <w:rFonts w:cs="Calibri"/>
          <w:noProof/>
          <w:sz w:val="16"/>
          <w:szCs w:val="24"/>
        </w:rPr>
        <w:t>, &lt;http://www.naturalcapitalproject.org/pubs/Belize_InVEST_scenarios_case_study.pdf&gt;.</w:t>
      </w:r>
    </w:p>
    <w:p w14:paraId="32BEEDF9"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Russi, D et al. 2013, ‘The Economics of Ecosystems and Biodiversity for Water and Wetlands’, </w:t>
      </w:r>
      <w:r w:rsidRPr="000438FA">
        <w:rPr>
          <w:rFonts w:cs="Calibri"/>
          <w:i/>
          <w:iCs/>
          <w:noProof/>
          <w:sz w:val="16"/>
          <w:szCs w:val="24"/>
        </w:rPr>
        <w:t>The Economics of Ecosystems and Biodiversity for Water and Wetlands</w:t>
      </w:r>
      <w:r w:rsidRPr="000438FA">
        <w:rPr>
          <w:rFonts w:cs="Calibri"/>
          <w:noProof/>
          <w:sz w:val="16"/>
          <w:szCs w:val="24"/>
        </w:rPr>
        <w:t>, p. 84, &lt;http://medcontent.metapress.com/index/A65RM03P4874243N.pdf%5Cnwww.teebweb.org&gt;.</w:t>
      </w:r>
    </w:p>
    <w:p w14:paraId="61BC306A"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Seppelt, R et al. 2012, ‘Form follows function? Proposing a blueprint for ecosystem service assessments based on reviews and case studies’, </w:t>
      </w:r>
      <w:r w:rsidRPr="000438FA">
        <w:rPr>
          <w:rFonts w:cs="Calibri"/>
          <w:i/>
          <w:iCs/>
          <w:noProof/>
          <w:sz w:val="16"/>
          <w:szCs w:val="24"/>
        </w:rPr>
        <w:t>Ecological Indicators</w:t>
      </w:r>
      <w:r w:rsidRPr="000438FA">
        <w:rPr>
          <w:rFonts w:cs="Calibri"/>
          <w:noProof/>
          <w:sz w:val="16"/>
          <w:szCs w:val="24"/>
        </w:rPr>
        <w:t>.</w:t>
      </w:r>
    </w:p>
    <w:p w14:paraId="0B9A2CE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Seto, KC et al. 2011, ‘A Meta-Analysis of Global Urban Land Expansion’, </w:t>
      </w:r>
      <w:r w:rsidRPr="000438FA">
        <w:rPr>
          <w:rFonts w:cs="Calibri"/>
          <w:i/>
          <w:iCs/>
          <w:noProof/>
          <w:sz w:val="16"/>
          <w:szCs w:val="24"/>
        </w:rPr>
        <w:t>PLOS ONE</w:t>
      </w:r>
      <w:r w:rsidRPr="000438FA">
        <w:rPr>
          <w:rFonts w:cs="Calibri"/>
          <w:noProof/>
          <w:sz w:val="16"/>
          <w:szCs w:val="24"/>
        </w:rPr>
        <w:t>, vol. 6, no. 8, pp. 1–9, &lt;https://doi.org/10.1371/journal.pone.0023777&gt;.</w:t>
      </w:r>
    </w:p>
    <w:p w14:paraId="34B84319"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Sheaves, M et al. 2020, ‘The consequences of paradigm change and poorly validated science: The example of the value of mangroves to fisheries’, </w:t>
      </w:r>
      <w:r w:rsidRPr="000438FA">
        <w:rPr>
          <w:rFonts w:cs="Calibri"/>
          <w:i/>
          <w:iCs/>
          <w:noProof/>
          <w:sz w:val="16"/>
          <w:szCs w:val="24"/>
        </w:rPr>
        <w:t>Fish and Fisheries</w:t>
      </w:r>
      <w:r w:rsidRPr="000438FA">
        <w:rPr>
          <w:rFonts w:cs="Calibri"/>
          <w:noProof/>
          <w:sz w:val="16"/>
          <w:szCs w:val="24"/>
        </w:rPr>
        <w:t>, , no. June, p. faf.12479, &lt;https://onlinelibrary.wiley.com/doi/abs/10.1111/faf.12479&gt;.</w:t>
      </w:r>
    </w:p>
    <w:p w14:paraId="1BF2F8FD"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Steger, C et al. 2018, ‘Ecosystem Services as Boundary Objects for Transdisciplinary Collaboration’, </w:t>
      </w:r>
      <w:r w:rsidRPr="000438FA">
        <w:rPr>
          <w:rFonts w:cs="Calibri"/>
          <w:i/>
          <w:iCs/>
          <w:noProof/>
          <w:sz w:val="16"/>
          <w:szCs w:val="24"/>
        </w:rPr>
        <w:t>Ecological Economics</w:t>
      </w:r>
      <w:r w:rsidRPr="000438FA">
        <w:rPr>
          <w:rFonts w:cs="Calibri"/>
          <w:noProof/>
          <w:sz w:val="16"/>
          <w:szCs w:val="24"/>
        </w:rPr>
        <w:t>.</w:t>
      </w:r>
    </w:p>
    <w:p w14:paraId="5346D2C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Swiss RE 2019, </w:t>
      </w:r>
      <w:r w:rsidRPr="000438FA">
        <w:rPr>
          <w:rFonts w:cs="Calibri"/>
          <w:i/>
          <w:iCs/>
          <w:noProof/>
          <w:sz w:val="16"/>
          <w:szCs w:val="24"/>
        </w:rPr>
        <w:t>Designing a new type of insurance to protect the coral reefs, economies and the planet</w:t>
      </w:r>
      <w:r w:rsidRPr="000438FA">
        <w:rPr>
          <w:rFonts w:cs="Calibri"/>
          <w:noProof/>
          <w:sz w:val="16"/>
          <w:szCs w:val="24"/>
        </w:rPr>
        <w:t xml:space="preserve">, </w:t>
      </w:r>
      <w:r w:rsidRPr="000438FA">
        <w:rPr>
          <w:rFonts w:cs="Calibri"/>
          <w:i/>
          <w:iCs/>
          <w:noProof/>
          <w:sz w:val="16"/>
          <w:szCs w:val="24"/>
        </w:rPr>
        <w:t>swissre.com</w:t>
      </w:r>
      <w:r w:rsidRPr="000438FA">
        <w:rPr>
          <w:rFonts w:cs="Calibri"/>
          <w:noProof/>
          <w:sz w:val="16"/>
          <w:szCs w:val="24"/>
        </w:rPr>
        <w:t>, pp. 2019–2021, viewed 10 July 2020, &lt;https://www.swissre.com/our-business/public-sector-solutions/thought-leadership/new-type-of-insurance-to-protect-coral-reefs-economies.html&gt;.</w:t>
      </w:r>
    </w:p>
    <w:p w14:paraId="5F1035F0"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Taylor, MD &amp; Creighton, C 2018, ‘Estimating the potential fishery benefits from targeted habitat repair: a case study of school prawn (Metapenaeus macleayi) in the lower Clarence River estuary’, </w:t>
      </w:r>
      <w:r w:rsidRPr="000438FA">
        <w:rPr>
          <w:rFonts w:cs="Calibri"/>
          <w:i/>
          <w:iCs/>
          <w:noProof/>
          <w:sz w:val="16"/>
          <w:szCs w:val="24"/>
        </w:rPr>
        <w:t>Wetlands</w:t>
      </w:r>
      <w:r w:rsidRPr="000438FA">
        <w:rPr>
          <w:rFonts w:cs="Calibri"/>
          <w:noProof/>
          <w:sz w:val="16"/>
          <w:szCs w:val="24"/>
        </w:rPr>
        <w:t>, vol. 38, no. 6, pp. 1199–1209.</w:t>
      </w:r>
    </w:p>
    <w:p w14:paraId="0BF233BF"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The Natural Capital Project 2019, </w:t>
      </w:r>
      <w:r w:rsidRPr="000438FA">
        <w:rPr>
          <w:rFonts w:cs="Calibri"/>
          <w:i/>
          <w:iCs/>
          <w:noProof/>
          <w:sz w:val="16"/>
          <w:szCs w:val="24"/>
        </w:rPr>
        <w:t>InVEST Coastal Vulnerability Model</w:t>
      </w:r>
      <w:r w:rsidRPr="000438FA">
        <w:rPr>
          <w:rFonts w:cs="Calibri"/>
          <w:noProof/>
          <w:sz w:val="16"/>
          <w:szCs w:val="24"/>
        </w:rPr>
        <w:t>, viewed 16 June 2020, &lt;http://releases.naturalcapitalproject.org/invest-userguide/latest/coastal_vulnerability.html&gt;.</w:t>
      </w:r>
    </w:p>
    <w:p w14:paraId="65B7EE0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The Royal Comission into Natural Disaster Arangements 2020, </w:t>
      </w:r>
      <w:r w:rsidRPr="000438FA">
        <w:rPr>
          <w:rFonts w:cs="Calibri"/>
          <w:i/>
          <w:iCs/>
          <w:noProof/>
          <w:sz w:val="16"/>
          <w:szCs w:val="24"/>
        </w:rPr>
        <w:t>Welcome to the Royal Commission Public hearings Read public submissions received 2019-20 Bushfire History Project</w:t>
      </w:r>
      <w:r w:rsidRPr="000438FA">
        <w:rPr>
          <w:rFonts w:cs="Calibri"/>
          <w:noProof/>
          <w:sz w:val="16"/>
          <w:szCs w:val="24"/>
        </w:rPr>
        <w:t xml:space="preserve">, </w:t>
      </w:r>
      <w:r w:rsidRPr="000438FA">
        <w:rPr>
          <w:rFonts w:cs="Calibri"/>
          <w:i/>
          <w:iCs/>
          <w:noProof/>
          <w:sz w:val="16"/>
          <w:szCs w:val="24"/>
        </w:rPr>
        <w:t>https://naturaldisaster.royalcommission.gov.au/</w:t>
      </w:r>
      <w:r w:rsidRPr="000438FA">
        <w:rPr>
          <w:rFonts w:cs="Calibri"/>
          <w:noProof/>
          <w:sz w:val="16"/>
          <w:szCs w:val="24"/>
        </w:rPr>
        <w:t>, pp. 1–6, viewed 10 July 2020, &lt;https://naturaldisaster.royalcommission.gov.au/&gt;.</w:t>
      </w:r>
    </w:p>
    <w:p w14:paraId="5C33022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U.S. Bureau of Labor Statistics n.d., ‘Handbook of Methods: Classification Systems’, viewed 23 April 2018, &lt;https://www.bls.gov/opub/hom/topic/classification-systems.htm&gt;.</w:t>
      </w:r>
    </w:p>
    <w:p w14:paraId="2BE708FC"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U.S. Environmental Protection Agency 2020, </w:t>
      </w:r>
      <w:r w:rsidRPr="000438FA">
        <w:rPr>
          <w:rFonts w:cs="Calibri"/>
          <w:i/>
          <w:iCs/>
          <w:noProof/>
          <w:sz w:val="16"/>
          <w:szCs w:val="24"/>
        </w:rPr>
        <w:t>EcoService Models Library</w:t>
      </w:r>
      <w:r w:rsidRPr="000438FA">
        <w:rPr>
          <w:rFonts w:cs="Calibri"/>
          <w:noProof/>
          <w:sz w:val="16"/>
          <w:szCs w:val="24"/>
        </w:rPr>
        <w:t>, viewed 7 June 2020, &lt;https://esml.epa.gov/&gt;.</w:t>
      </w:r>
    </w:p>
    <w:p w14:paraId="59506B76"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UK National Ecosystem Assessment 2011, ‘UK National Ecosystem Assessment: Understanding Nature’s Value to Society. Synthesis of the Key Findings’, </w:t>
      </w:r>
      <w:r w:rsidRPr="000438FA">
        <w:rPr>
          <w:rFonts w:cs="Calibri"/>
          <w:i/>
          <w:iCs/>
          <w:noProof/>
          <w:sz w:val="16"/>
          <w:szCs w:val="24"/>
        </w:rPr>
        <w:t>Unep-Wcmc</w:t>
      </w:r>
      <w:r w:rsidRPr="000438FA">
        <w:rPr>
          <w:rFonts w:cs="Calibri"/>
          <w:noProof/>
          <w:sz w:val="16"/>
          <w:szCs w:val="24"/>
        </w:rPr>
        <w:t>.</w:t>
      </w:r>
    </w:p>
    <w:p w14:paraId="7D376561"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lastRenderedPageBreak/>
        <w:t>Union, E n.d., ‘ESMERALDA Database’, viewed 18 May 2018, &lt;http://database.esmeralda-project.eu/database&gt;.</w:t>
      </w:r>
    </w:p>
    <w:p w14:paraId="5139406F"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United Nations et al. 2014a, </w:t>
      </w:r>
      <w:r w:rsidRPr="000438FA">
        <w:rPr>
          <w:rFonts w:cs="Calibri"/>
          <w:i/>
          <w:iCs/>
          <w:noProof/>
          <w:sz w:val="16"/>
          <w:szCs w:val="24"/>
        </w:rPr>
        <w:t>System of Environmental-Economic Accounting 2012 Experimental Ecosystem Accounting</w:t>
      </w:r>
      <w:r w:rsidRPr="000438FA">
        <w:rPr>
          <w:rFonts w:cs="Calibri"/>
          <w:noProof/>
          <w:sz w:val="16"/>
          <w:szCs w:val="24"/>
        </w:rPr>
        <w:t>, United Nations, New York, viewed 27 June 2018, &lt;https://unstats.un.org/unsd/envaccounting/seeaRev/eea_final_en.pdf&gt;.</w:t>
      </w:r>
    </w:p>
    <w:p w14:paraId="1C69C874"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United Nations et al. 2014b, </w:t>
      </w:r>
      <w:r w:rsidRPr="000438FA">
        <w:rPr>
          <w:rFonts w:cs="Calibri"/>
          <w:i/>
          <w:iCs/>
          <w:noProof/>
          <w:sz w:val="16"/>
          <w:szCs w:val="24"/>
        </w:rPr>
        <w:t>System of Environmental-Economic Accounting 2012 Central Framework</w:t>
      </w:r>
      <w:r w:rsidRPr="000438FA">
        <w:rPr>
          <w:rFonts w:cs="Calibri"/>
          <w:noProof/>
          <w:sz w:val="16"/>
          <w:szCs w:val="24"/>
        </w:rPr>
        <w:t>, United Nations, New York, viewed 27 June 2018, &lt;https://seea.un.org/sites/seea.un.org/files/seea_cf_final_en.pdf&gt;.</w:t>
      </w:r>
    </w:p>
    <w:p w14:paraId="213BD3B9"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United Nations 2017, ‘SEEA Experimental Ecosystem Accounting : Technical Recommendations’, , , no. December, p. 145.</w:t>
      </w:r>
    </w:p>
    <w:p w14:paraId="0F3621EC"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United Nations Statistics Division 2018, ‘Technical Recommendations in support of the System of Environmentla-Economic Accounting 2012’, &lt;https://seea.un.org/sites/seea.un.org/files/technical_recommendations_in_support_of_the_seea_eea_final_white_cover.pdf&gt;.</w:t>
      </w:r>
    </w:p>
    <w:p w14:paraId="2AC019AD"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United States Environmental Protection Agency n.d., ‘EcoService Models Library’, viewed 24 May 2018, &lt;https://esml.epa.gov/&gt;.</w:t>
      </w:r>
    </w:p>
    <w:p w14:paraId="26A5CB81"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United States Environmental Protection Agency 2015, </w:t>
      </w:r>
      <w:r w:rsidRPr="000438FA">
        <w:rPr>
          <w:rFonts w:cs="Calibri"/>
          <w:i/>
          <w:iCs/>
          <w:noProof/>
          <w:sz w:val="16"/>
          <w:szCs w:val="24"/>
        </w:rPr>
        <w:t>National Ecosystem Services Classification System (NESCS): Framework Design and Policy Application</w:t>
      </w:r>
      <w:r w:rsidRPr="000438FA">
        <w:rPr>
          <w:rFonts w:cs="Calibri"/>
          <w:noProof/>
          <w:sz w:val="16"/>
          <w:szCs w:val="24"/>
        </w:rPr>
        <w:t>, &lt;https://www.epa.gov/sites/production/files/2015-12/documents/110915_nescs_final_report_-_compliant_1.pdf&gt;.</w:t>
      </w:r>
    </w:p>
    <w:p w14:paraId="417CDC8B"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United States Environmental Protection Agency 2017, ‘Ecosystem Services at Contaminated Site Cleanups’, , , no. August, pp. 1–15, &lt;https://www.epa.gov/sites/production/files/2017-09/documents/ecosystem_services_at_contaminated_site_cleanups_ef_issue_paper.pdf&gt;.</w:t>
      </w:r>
    </w:p>
    <w:p w14:paraId="6E25A1AD"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United States Environmental Protection Agency (US EPA) 2015, </w:t>
      </w:r>
      <w:r w:rsidRPr="000438FA">
        <w:rPr>
          <w:rFonts w:cs="Calibri"/>
          <w:i/>
          <w:iCs/>
          <w:noProof/>
          <w:sz w:val="16"/>
          <w:szCs w:val="24"/>
        </w:rPr>
        <w:t>National Ecosystem Services Classification System (NESCS): Framework design and policy application</w:t>
      </w:r>
      <w:r w:rsidRPr="000438FA">
        <w:rPr>
          <w:rFonts w:cs="Calibri"/>
          <w:noProof/>
          <w:sz w:val="16"/>
          <w:szCs w:val="24"/>
        </w:rPr>
        <w:t>, Washington DC, viewed 29 June 2018, &lt;https://www.epa.gov/sites/production/files/2015-12/documents/110915_nescs_final_report_-_compliant_1.pdf&gt;.</w:t>
      </w:r>
    </w:p>
    <w:p w14:paraId="34B85A3E"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United States Environmental Protection Agency (US EPA) 2020, </w:t>
      </w:r>
      <w:r w:rsidRPr="000438FA">
        <w:rPr>
          <w:rFonts w:cs="Calibri"/>
          <w:i/>
          <w:iCs/>
          <w:noProof/>
          <w:sz w:val="16"/>
          <w:szCs w:val="24"/>
        </w:rPr>
        <w:t>National Ecosystem Services Classification System Plus (NESCS Plus)</w:t>
      </w:r>
      <w:r w:rsidRPr="000438FA">
        <w:rPr>
          <w:rFonts w:cs="Calibri"/>
          <w:noProof/>
          <w:sz w:val="16"/>
          <w:szCs w:val="24"/>
        </w:rPr>
        <w:t>, Washington D. C.</w:t>
      </w:r>
    </w:p>
    <w:p w14:paraId="1F6AC1AF"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Vázquez-González, C et al. 2019, ‘The value of coastal wetland flood prevention lost to urbanization on the coastal plain of the Gulf of Mexico: An analysis of flood damage by hurricane impacts’, </w:t>
      </w:r>
      <w:r w:rsidRPr="000438FA">
        <w:rPr>
          <w:rFonts w:cs="Calibri"/>
          <w:i/>
          <w:iCs/>
          <w:noProof/>
          <w:sz w:val="16"/>
          <w:szCs w:val="24"/>
        </w:rPr>
        <w:t>International Journal of Disaster Risk Reduction</w:t>
      </w:r>
      <w:r w:rsidRPr="000438FA">
        <w:rPr>
          <w:rFonts w:cs="Calibri"/>
          <w:noProof/>
          <w:sz w:val="16"/>
          <w:szCs w:val="24"/>
        </w:rPr>
        <w:t>, vol. 37, no. November 2018, p. 101180, &lt;https://doi.org/10.1016/j.ijdrr.2019.101180&gt;.</w:t>
      </w:r>
    </w:p>
    <w:p w14:paraId="5D952326"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Villa, F et al. 2017, ‘Semantics for interoperability of distributed data and models: Foundations for better-connected information’, </w:t>
      </w:r>
      <w:r w:rsidRPr="000438FA">
        <w:rPr>
          <w:rFonts w:cs="Calibri"/>
          <w:i/>
          <w:iCs/>
          <w:noProof/>
          <w:sz w:val="16"/>
          <w:szCs w:val="24"/>
        </w:rPr>
        <w:t>F1000Research</w:t>
      </w:r>
      <w:r w:rsidRPr="000438FA">
        <w:rPr>
          <w:rFonts w:cs="Calibri"/>
          <w:noProof/>
          <w:sz w:val="16"/>
          <w:szCs w:val="24"/>
        </w:rPr>
        <w:t>, vol. 6, no. 2, p. 686.</w:t>
      </w:r>
    </w:p>
    <w:p w14:paraId="3D725B1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Waite, R et al. 2014, </w:t>
      </w:r>
      <w:r w:rsidRPr="000438FA">
        <w:rPr>
          <w:rFonts w:cs="Calibri"/>
          <w:i/>
          <w:iCs/>
          <w:noProof/>
          <w:sz w:val="16"/>
          <w:szCs w:val="24"/>
        </w:rPr>
        <w:t>Coastal Capital: Ecosystem Valuation for Decision Making in the Caribbean</w:t>
      </w:r>
      <w:r w:rsidRPr="000438FA">
        <w:rPr>
          <w:rFonts w:cs="Calibri"/>
          <w:noProof/>
          <w:sz w:val="16"/>
          <w:szCs w:val="24"/>
        </w:rPr>
        <w:t>, Washington D. C., &lt;https://files.wri.org/s3fs-public/coastal_capital_ecosystem_valuation_caribbean_guidebook_online.pdf&gt;.</w:t>
      </w:r>
    </w:p>
    <w:p w14:paraId="671C9B7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Waltham, NJ et al. 2019, ‘Lost floodplain wetland environments and efforts to restore connectivity, habitat and water quality settings on the Great Barrier Reef’, </w:t>
      </w:r>
      <w:r w:rsidRPr="000438FA">
        <w:rPr>
          <w:rFonts w:cs="Calibri"/>
          <w:i/>
          <w:iCs/>
          <w:noProof/>
          <w:sz w:val="16"/>
          <w:szCs w:val="24"/>
        </w:rPr>
        <w:t>Frontiers in Marine Science</w:t>
      </w:r>
      <w:r w:rsidRPr="000438FA">
        <w:rPr>
          <w:rFonts w:cs="Calibri"/>
          <w:noProof/>
          <w:sz w:val="16"/>
          <w:szCs w:val="24"/>
        </w:rPr>
        <w:t>, vol. 6, p. 71.</w:t>
      </w:r>
    </w:p>
    <w:p w14:paraId="4F8489C8"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Whiteoak, K &amp; Binney, J 2012, ‘Literature Review of the Economic Value of Ecosystem Services that Wetlands Provide Final Report’, , p. 79, &lt;https://www.environment.gov.au/system/files/resources/fb918be6-fd56-43a5-9e61-f4e63d455e0c/files/review-ecosystem-services-report.pdf&gt;.</w:t>
      </w:r>
    </w:p>
    <w:p w14:paraId="2AA692ED"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Wilkinson, MD et al. 2016, ‘Comment: The FAIR Guiding Principles for scientific data management and stewardship’, </w:t>
      </w:r>
      <w:r w:rsidRPr="000438FA">
        <w:rPr>
          <w:rFonts w:cs="Calibri"/>
          <w:i/>
          <w:iCs/>
          <w:noProof/>
          <w:sz w:val="16"/>
          <w:szCs w:val="24"/>
        </w:rPr>
        <w:t>Scientific Data</w:t>
      </w:r>
      <w:r w:rsidRPr="000438FA">
        <w:rPr>
          <w:rFonts w:cs="Calibri"/>
          <w:noProof/>
          <w:sz w:val="16"/>
          <w:szCs w:val="24"/>
        </w:rPr>
        <w:t>.</w:t>
      </w:r>
    </w:p>
    <w:p w14:paraId="535F5CB2"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Wise, RM &amp; Capon, TR 2016, </w:t>
      </w:r>
      <w:r w:rsidRPr="000438FA">
        <w:rPr>
          <w:rFonts w:cs="Calibri"/>
          <w:i/>
          <w:iCs/>
          <w:noProof/>
          <w:sz w:val="16"/>
          <w:szCs w:val="24"/>
        </w:rPr>
        <w:t>Assessing costs and benefits of coastal climate adaptation. CoastAdapt Information Manual 4</w:t>
      </w:r>
      <w:r w:rsidRPr="000438FA">
        <w:rPr>
          <w:rFonts w:cs="Calibri"/>
          <w:noProof/>
          <w:sz w:val="16"/>
          <w:szCs w:val="24"/>
        </w:rPr>
        <w:t>, Gold Coast, &lt;https://coastadapt.com.au/sites/default/files/information-manual/IM04_Costs_and_benefits.pdf&gt;.</w:t>
      </w:r>
    </w:p>
    <w:p w14:paraId="0C740743" w14:textId="77777777" w:rsidR="000438FA" w:rsidRPr="000438FA" w:rsidRDefault="000438FA" w:rsidP="000438FA">
      <w:pPr>
        <w:widowControl w:val="0"/>
        <w:autoSpaceDE w:val="0"/>
        <w:autoSpaceDN w:val="0"/>
        <w:adjustRightInd w:val="0"/>
        <w:spacing w:line="240" w:lineRule="auto"/>
        <w:rPr>
          <w:rFonts w:cs="Calibri"/>
          <w:noProof/>
          <w:sz w:val="16"/>
          <w:szCs w:val="24"/>
        </w:rPr>
      </w:pPr>
      <w:r w:rsidRPr="000438FA">
        <w:rPr>
          <w:rFonts w:cs="Calibri"/>
          <w:noProof/>
          <w:sz w:val="16"/>
          <w:szCs w:val="24"/>
        </w:rPr>
        <w:t xml:space="preserve">Wong, CP et al. 2015, ‘Linking ecosystem characteristics to final ecosystem services for public policy’, </w:t>
      </w:r>
      <w:r w:rsidRPr="000438FA">
        <w:rPr>
          <w:rFonts w:cs="Calibri"/>
          <w:i/>
          <w:iCs/>
          <w:noProof/>
          <w:sz w:val="16"/>
          <w:szCs w:val="24"/>
        </w:rPr>
        <w:t>Ecology Letters</w:t>
      </w:r>
      <w:r w:rsidRPr="000438FA">
        <w:rPr>
          <w:rFonts w:cs="Calibri"/>
          <w:noProof/>
          <w:sz w:val="16"/>
          <w:szCs w:val="24"/>
        </w:rPr>
        <w:t>, vol. 18, no. 1, pp. 108–118.</w:t>
      </w:r>
    </w:p>
    <w:p w14:paraId="5A474CB6" w14:textId="77777777" w:rsidR="000438FA" w:rsidRPr="000438FA" w:rsidRDefault="000438FA" w:rsidP="000438FA">
      <w:pPr>
        <w:widowControl w:val="0"/>
        <w:autoSpaceDE w:val="0"/>
        <w:autoSpaceDN w:val="0"/>
        <w:adjustRightInd w:val="0"/>
        <w:spacing w:line="240" w:lineRule="auto"/>
        <w:rPr>
          <w:rFonts w:cs="Calibri"/>
          <w:noProof/>
          <w:sz w:val="16"/>
        </w:rPr>
      </w:pPr>
      <w:r w:rsidRPr="000438FA">
        <w:rPr>
          <w:rFonts w:cs="Calibri"/>
          <w:noProof/>
          <w:sz w:val="16"/>
          <w:szCs w:val="24"/>
        </w:rPr>
        <w:t xml:space="preserve">Wu, J 1999, ‘Hierarchy and scaling: Extrapolating information along a scaling ladder’, </w:t>
      </w:r>
      <w:r w:rsidRPr="000438FA">
        <w:rPr>
          <w:rFonts w:cs="Calibri"/>
          <w:i/>
          <w:iCs/>
          <w:noProof/>
          <w:sz w:val="16"/>
          <w:szCs w:val="24"/>
        </w:rPr>
        <w:t>Canadian Journal of Remote Sensing</w:t>
      </w:r>
      <w:r w:rsidRPr="000438FA">
        <w:rPr>
          <w:rFonts w:cs="Calibri"/>
          <w:noProof/>
          <w:sz w:val="16"/>
          <w:szCs w:val="24"/>
        </w:rPr>
        <w:t>.</w:t>
      </w:r>
    </w:p>
    <w:p w14:paraId="561ABD78" w14:textId="0CA5801A" w:rsidR="00B8316C" w:rsidRPr="00BC7A12" w:rsidRDefault="00B8316C" w:rsidP="002E61E6">
      <w:pPr>
        <w:jc w:val="left"/>
        <w:rPr>
          <w:rFonts w:cs="Calibri"/>
          <w:sz w:val="16"/>
          <w:szCs w:val="16"/>
        </w:rPr>
      </w:pPr>
      <w:r w:rsidRPr="00BC7A12">
        <w:rPr>
          <w:rFonts w:cs="Calibri"/>
          <w:sz w:val="15"/>
          <w:szCs w:val="15"/>
        </w:rPr>
        <w:fldChar w:fldCharType="end"/>
      </w:r>
    </w:p>
    <w:sectPr w:rsidR="00B8316C" w:rsidRPr="00BC7A12" w:rsidSect="00F34357">
      <w:pgSz w:w="11906" w:h="16838" w:code="9"/>
      <w:pgMar w:top="1440" w:right="1440" w:bottom="1440" w:left="1440" w:header="425"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34E9B" w14:textId="77777777" w:rsidR="00D31ABD" w:rsidRDefault="00D31ABD" w:rsidP="009D41C0">
      <w:r>
        <w:separator/>
      </w:r>
    </w:p>
  </w:endnote>
  <w:endnote w:type="continuationSeparator" w:id="0">
    <w:p w14:paraId="4218D0C9" w14:textId="77777777" w:rsidR="00D31ABD" w:rsidRDefault="00D31ABD" w:rsidP="009D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Arial"/>
    <w:charset w:val="B1"/>
    <w:family w:val="swiss"/>
    <w:pitch w:val="variable"/>
    <w:sig w:usb0="80000A67" w:usb1="00000000" w:usb2="00000000" w:usb3="00000000" w:csb0="000001F7"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CG Times">
    <w:charset w:val="EE"/>
    <w:family w:val="roman"/>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927A8" w14:textId="46CE381D" w:rsidR="00B9526D" w:rsidRDefault="00B9526D" w:rsidP="009D41C0">
    <w:pPr>
      <w:pStyle w:val="Footer"/>
    </w:pPr>
    <w:r>
      <w:t xml:space="preserve">Page </w:t>
    </w:r>
    <w:sdt>
      <w:sdtPr>
        <w:id w:val="-10979416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43</w:t>
        </w:r>
        <w:r>
          <w:rPr>
            <w:noProof/>
          </w:rPr>
          <w:fldChar w:fldCharType="end"/>
        </w:r>
      </w:sdtContent>
    </w:sdt>
  </w:p>
  <w:p w14:paraId="330B7C9B" w14:textId="62BBFA94" w:rsidR="00B9526D" w:rsidRPr="003F6A89" w:rsidRDefault="00B9526D" w:rsidP="009D4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BBAF0" w14:textId="77777777" w:rsidR="00D31ABD" w:rsidRDefault="00D31ABD" w:rsidP="009D41C0">
      <w:r>
        <w:separator/>
      </w:r>
    </w:p>
  </w:footnote>
  <w:footnote w:type="continuationSeparator" w:id="0">
    <w:p w14:paraId="56D0106A" w14:textId="77777777" w:rsidR="00D31ABD" w:rsidRDefault="00D31ABD" w:rsidP="009D41C0">
      <w:r>
        <w:continuationSeparator/>
      </w:r>
    </w:p>
  </w:footnote>
  <w:footnote w:id="1">
    <w:p w14:paraId="5B0FB8CE" w14:textId="6687A93C" w:rsidR="00B9526D" w:rsidRPr="00F428B6" w:rsidRDefault="00B9526D">
      <w:pPr>
        <w:pStyle w:val="FootnoteText"/>
        <w:rPr>
          <w:rFonts w:ascii="Calibri" w:hAnsi="Calibri" w:cs="Calibri"/>
        </w:rPr>
      </w:pPr>
      <w:r w:rsidRPr="00F428B6">
        <w:rPr>
          <w:rStyle w:val="FootnoteReference"/>
          <w:rFonts w:ascii="Calibri" w:hAnsi="Calibri" w:cs="Calibri"/>
        </w:rPr>
        <w:footnoteRef/>
      </w:r>
      <w:r w:rsidRPr="00F428B6">
        <w:rPr>
          <w:rFonts w:ascii="Calibri" w:hAnsi="Calibri" w:cs="Calibri"/>
        </w:rPr>
        <w:t xml:space="preserve"> INT$ is the international dollar, a hypothetical currency unit based on purchasing power parity that the U.S. dollar has at a given point in time.</w:t>
      </w:r>
    </w:p>
  </w:footnote>
  <w:footnote w:id="2">
    <w:p w14:paraId="384BFADF" w14:textId="77777777" w:rsidR="00657E34" w:rsidRPr="00BC7A12" w:rsidRDefault="00B9526D" w:rsidP="00657E34">
      <w:pPr>
        <w:pStyle w:val="FootnoteText"/>
        <w:rPr>
          <w:rFonts w:ascii="Calibri" w:hAnsi="Calibri" w:cs="Calibri"/>
        </w:rPr>
      </w:pPr>
      <w:r>
        <w:rPr>
          <w:rStyle w:val="FootnoteReference"/>
        </w:rPr>
        <w:footnoteRef/>
      </w:r>
      <w:r>
        <w:t xml:space="preserve"> </w:t>
      </w:r>
      <w:r w:rsidRPr="00FE4C79">
        <w:rPr>
          <w:rFonts w:ascii="Calibri" w:hAnsi="Calibri" w:cs="Calibri"/>
        </w:rPr>
        <w:t xml:space="preserve">For details see </w:t>
      </w:r>
      <w:r w:rsidRPr="00FE4C79">
        <w:rPr>
          <w:rFonts w:ascii="Calibri" w:hAnsi="Calibri" w:cs="Calibri"/>
        </w:rPr>
        <w:fldChar w:fldCharType="begin"/>
      </w:r>
      <w:r w:rsidRPr="00FE4C79">
        <w:rPr>
          <w:rFonts w:ascii="Calibri" w:hAnsi="Calibri" w:cs="Calibri"/>
        </w:rPr>
        <w:instrText xml:space="preserve"> REF _Ref43147355 \h  \* MERGEFORMAT </w:instrText>
      </w:r>
      <w:r w:rsidRPr="00FE4C79">
        <w:rPr>
          <w:rFonts w:ascii="Calibri" w:hAnsi="Calibri" w:cs="Calibri"/>
        </w:rPr>
      </w:r>
      <w:r w:rsidRPr="00FE4C79">
        <w:rPr>
          <w:rFonts w:ascii="Calibri" w:hAnsi="Calibri" w:cs="Calibri"/>
        </w:rPr>
        <w:fldChar w:fldCharType="separate"/>
      </w:r>
      <w:r w:rsidR="00657E34" w:rsidRPr="00BC7A12">
        <w:rPr>
          <w:rFonts w:ascii="Calibri" w:hAnsi="Calibri" w:cs="Calibri"/>
        </w:rPr>
        <w:t xml:space="preserve">Appendix 4 Natural capital accounting data structure  </w:t>
      </w:r>
    </w:p>
    <w:p w14:paraId="55E40C36" w14:textId="77777777" w:rsidR="00657E34" w:rsidRPr="00BC7A12" w:rsidRDefault="00657E34" w:rsidP="00CD762C">
      <w:pPr>
        <w:rPr>
          <w:rFonts w:cs="Calibri"/>
        </w:rPr>
      </w:pPr>
      <w:r w:rsidRPr="00BC7A12">
        <w:rPr>
          <w:rFonts w:cs="Calibri"/>
        </w:rPr>
        <w:t xml:space="preserve">The System of Environmental-Economic Accounting (SEEA) </w:t>
      </w:r>
      <w:r w:rsidRPr="00BC7A12">
        <w:rPr>
          <w:rFonts w:cs="Calibri"/>
          <w:noProof/>
        </w:rPr>
        <w:t>(United Nations et al. 2014b)</w:t>
      </w:r>
      <w:r w:rsidRPr="00BC7A12">
        <w:rPr>
          <w:rFonts w:cs="Calibri"/>
        </w:rPr>
        <w:t xml:space="preserve"> is the global standard for natural capital accounting. One component of SEEA, is that provides uniform classification of data for improved speed and accuracy in defining and discovering data.  </w:t>
      </w:r>
      <w:r>
        <w:rPr>
          <w:rFonts w:cs="Calibri"/>
          <w:b/>
          <w:bCs/>
          <w:lang w:val="en-US"/>
        </w:rPr>
        <w:t>Error! Reference source not found.</w:t>
      </w:r>
      <w:r w:rsidRPr="00BC7A12">
        <w:rPr>
          <w:rFonts w:cs="Calibri"/>
        </w:rPr>
        <w:t xml:space="preserve"> demonstrated how SEEA organized different social and economic data. </w:t>
      </w:r>
    </w:p>
    <w:p w14:paraId="28B54D3C" w14:textId="77777777" w:rsidR="00657E34" w:rsidRPr="00BC7A12" w:rsidRDefault="00657E34" w:rsidP="00F0367C">
      <w:pPr>
        <w:pStyle w:val="Caption"/>
        <w:keepNext/>
        <w:rPr>
          <w:rFonts w:cs="Calibri"/>
        </w:rPr>
      </w:pPr>
      <w:r w:rsidRPr="00BC7A12">
        <w:rPr>
          <w:rFonts w:cs="Calibri"/>
        </w:rPr>
        <w:t xml:space="preserve">Table </w:t>
      </w:r>
      <w:r>
        <w:rPr>
          <w:rFonts w:cs="Calibri"/>
          <w:noProof/>
        </w:rPr>
        <w:t>11</w:t>
      </w:r>
      <w:r w:rsidRPr="00BC7A12">
        <w:rPr>
          <w:rFonts w:cs="Calibri"/>
        </w:rPr>
        <w:t xml:space="preserve"> SEEA data classification structure</w:t>
      </w:r>
    </w:p>
    <w:tbl>
      <w:tblPr>
        <w:tblStyle w:val="TableGrid"/>
        <w:tblW w:w="0" w:type="auto"/>
        <w:tblLook w:val="04A0" w:firstRow="1" w:lastRow="0" w:firstColumn="1" w:lastColumn="0" w:noHBand="0" w:noVBand="1"/>
      </w:tblPr>
      <w:tblGrid>
        <w:gridCol w:w="1417"/>
        <w:gridCol w:w="2487"/>
        <w:gridCol w:w="5112"/>
      </w:tblGrid>
      <w:tr w:rsidR="00657E34" w:rsidRPr="00BC7A12" w14:paraId="6ED58110" w14:textId="77777777" w:rsidTr="007A0C04">
        <w:trPr>
          <w:trHeight w:val="206"/>
          <w:tblHeader/>
        </w:trPr>
        <w:tc>
          <w:tcPr>
            <w:tcW w:w="0" w:type="auto"/>
            <w:gridSpan w:val="3"/>
          </w:tcPr>
          <w:p w14:paraId="4E60B390" w14:textId="77777777" w:rsidR="00657E34" w:rsidRPr="00BC7A12" w:rsidRDefault="00657E34" w:rsidP="007A0C04">
            <w:pPr>
              <w:spacing w:after="0" w:line="240" w:lineRule="auto"/>
              <w:jc w:val="center"/>
              <w:rPr>
                <w:rFonts w:cs="Calibri"/>
                <w:b/>
                <w:bCs/>
                <w:sz w:val="18"/>
                <w:szCs w:val="18"/>
              </w:rPr>
            </w:pPr>
            <w:r w:rsidRPr="00BC7A12">
              <w:rPr>
                <w:rFonts w:cs="Calibri"/>
                <w:b/>
                <w:bCs/>
                <w:sz w:val="18"/>
                <w:szCs w:val="18"/>
              </w:rPr>
              <w:t xml:space="preserve">Generic SEEA data classification structure  </w:t>
            </w:r>
            <w:r w:rsidRPr="00BC7A12">
              <w:rPr>
                <w:rFonts w:cs="Calibri"/>
                <w:bCs/>
                <w:noProof/>
                <w:sz w:val="18"/>
                <w:szCs w:val="18"/>
              </w:rPr>
              <w:t>(adopted from United Nations Statistics Division 2018)</w:t>
            </w:r>
          </w:p>
        </w:tc>
      </w:tr>
      <w:tr w:rsidR="00657E34" w:rsidRPr="00BC7A12" w14:paraId="6B47D219" w14:textId="77777777" w:rsidTr="007A0C04">
        <w:trPr>
          <w:tblHeader/>
        </w:trPr>
        <w:tc>
          <w:tcPr>
            <w:tcW w:w="0" w:type="auto"/>
          </w:tcPr>
          <w:p w14:paraId="0FC53648"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Subcomponent</w:t>
            </w:r>
          </w:p>
        </w:tc>
        <w:tc>
          <w:tcPr>
            <w:tcW w:w="0" w:type="auto"/>
          </w:tcPr>
          <w:p w14:paraId="1BC01830"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Definition</w:t>
            </w:r>
          </w:p>
        </w:tc>
        <w:tc>
          <w:tcPr>
            <w:tcW w:w="0" w:type="auto"/>
          </w:tcPr>
          <w:p w14:paraId="336CAD79" w14:textId="77777777" w:rsidR="00657E34" w:rsidRPr="00BC7A12" w:rsidRDefault="00657E34" w:rsidP="007A0C04">
            <w:pPr>
              <w:spacing w:after="0" w:line="240" w:lineRule="auto"/>
              <w:rPr>
                <w:rFonts w:cs="Calibri"/>
                <w:b/>
                <w:bCs/>
                <w:sz w:val="18"/>
                <w:szCs w:val="18"/>
              </w:rPr>
            </w:pPr>
            <w:r w:rsidRPr="00BC7A12">
              <w:rPr>
                <w:rFonts w:cs="Calibri"/>
                <w:b/>
                <w:bCs/>
                <w:sz w:val="18"/>
                <w:szCs w:val="18"/>
              </w:rPr>
              <w:t>Example</w:t>
            </w:r>
          </w:p>
        </w:tc>
      </w:tr>
      <w:tr w:rsidR="00657E34" w:rsidRPr="00BC7A12" w14:paraId="2A05A7BE" w14:textId="77777777" w:rsidTr="007A0C04">
        <w:tc>
          <w:tcPr>
            <w:tcW w:w="0" w:type="auto"/>
          </w:tcPr>
          <w:p w14:paraId="3D53EC70" w14:textId="77777777" w:rsidR="00657E34" w:rsidRPr="00BC7A12" w:rsidRDefault="00657E34" w:rsidP="007A0C04">
            <w:pPr>
              <w:spacing w:after="0" w:line="240" w:lineRule="auto"/>
              <w:rPr>
                <w:rFonts w:cs="Calibri"/>
                <w:sz w:val="12"/>
                <w:szCs w:val="12"/>
              </w:rPr>
            </w:pPr>
            <w:r w:rsidRPr="00BC7A12">
              <w:rPr>
                <w:rFonts w:cs="Calibri"/>
                <w:sz w:val="12"/>
                <w:szCs w:val="12"/>
              </w:rPr>
              <w:t>Physical extent</w:t>
            </w:r>
          </w:p>
        </w:tc>
        <w:tc>
          <w:tcPr>
            <w:tcW w:w="0" w:type="auto"/>
          </w:tcPr>
          <w:p w14:paraId="57A25921" w14:textId="77777777" w:rsidR="00657E34" w:rsidRPr="00BC7A12" w:rsidRDefault="00657E34" w:rsidP="007A0C04">
            <w:pPr>
              <w:spacing w:after="0" w:line="240" w:lineRule="auto"/>
              <w:rPr>
                <w:rFonts w:cs="Calibri"/>
                <w:sz w:val="12"/>
                <w:szCs w:val="12"/>
              </w:rPr>
            </w:pPr>
            <w:r w:rsidRPr="00BC7A12">
              <w:rPr>
                <w:rFonts w:cs="Calibri"/>
                <w:sz w:val="12"/>
                <w:szCs w:val="12"/>
              </w:rPr>
              <w:t>Area in terms of coverage and arrangement</w:t>
            </w:r>
          </w:p>
        </w:tc>
        <w:tc>
          <w:tcPr>
            <w:tcW w:w="0" w:type="auto"/>
          </w:tcPr>
          <w:p w14:paraId="0A423C08"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Topography, geography </w:t>
            </w:r>
          </w:p>
        </w:tc>
      </w:tr>
      <w:tr w:rsidR="00657E34" w:rsidRPr="00BC7A12" w14:paraId="39C8E84F" w14:textId="77777777" w:rsidTr="007A0C04">
        <w:tc>
          <w:tcPr>
            <w:tcW w:w="0" w:type="auto"/>
          </w:tcPr>
          <w:p w14:paraId="3600FDA3" w14:textId="77777777" w:rsidR="00657E34" w:rsidRPr="00BC7A12" w:rsidRDefault="00657E34" w:rsidP="007A0C04">
            <w:pPr>
              <w:spacing w:after="0" w:line="240" w:lineRule="auto"/>
              <w:rPr>
                <w:rFonts w:cs="Calibri"/>
                <w:sz w:val="12"/>
                <w:szCs w:val="12"/>
              </w:rPr>
            </w:pPr>
            <w:r w:rsidRPr="00BC7A12">
              <w:rPr>
                <w:rFonts w:cs="Calibri"/>
                <w:sz w:val="12"/>
                <w:szCs w:val="12"/>
              </w:rPr>
              <w:t>Institutional extent</w:t>
            </w:r>
          </w:p>
        </w:tc>
        <w:tc>
          <w:tcPr>
            <w:tcW w:w="0" w:type="auto"/>
          </w:tcPr>
          <w:p w14:paraId="5F0F3958" w14:textId="77777777" w:rsidR="00657E34" w:rsidRPr="00BC7A12" w:rsidRDefault="00657E34" w:rsidP="007A0C04">
            <w:pPr>
              <w:spacing w:after="0" w:line="240" w:lineRule="auto"/>
              <w:rPr>
                <w:rFonts w:cs="Calibri"/>
                <w:sz w:val="12"/>
                <w:szCs w:val="12"/>
              </w:rPr>
            </w:pPr>
            <w:r w:rsidRPr="00BC7A12">
              <w:rPr>
                <w:rFonts w:cs="Calibri"/>
                <w:sz w:val="12"/>
                <w:szCs w:val="12"/>
              </w:rPr>
              <w:t>Zoning such as regulatory and planning areas</w:t>
            </w:r>
          </w:p>
        </w:tc>
        <w:tc>
          <w:tcPr>
            <w:tcW w:w="0" w:type="auto"/>
          </w:tcPr>
          <w:p w14:paraId="6617CAB8"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State and Council Zones, Ramsar boundaries </w:t>
            </w:r>
          </w:p>
        </w:tc>
      </w:tr>
      <w:tr w:rsidR="00657E34" w:rsidRPr="00BC7A12" w14:paraId="08B00CA4" w14:textId="77777777" w:rsidTr="007A0C04">
        <w:tc>
          <w:tcPr>
            <w:tcW w:w="0" w:type="auto"/>
          </w:tcPr>
          <w:p w14:paraId="6B84F504" w14:textId="77777777" w:rsidR="00657E34" w:rsidRPr="00BC7A12" w:rsidRDefault="00657E34" w:rsidP="007A0C04">
            <w:pPr>
              <w:spacing w:after="0" w:line="240" w:lineRule="auto"/>
              <w:rPr>
                <w:rFonts w:cs="Calibri"/>
                <w:sz w:val="12"/>
                <w:szCs w:val="12"/>
              </w:rPr>
            </w:pPr>
            <w:r w:rsidRPr="00BC7A12">
              <w:rPr>
                <w:rFonts w:cs="Calibri"/>
                <w:sz w:val="12"/>
                <w:szCs w:val="12"/>
              </w:rPr>
              <w:t>Ecosystem extent</w:t>
            </w:r>
          </w:p>
        </w:tc>
        <w:tc>
          <w:tcPr>
            <w:tcW w:w="0" w:type="auto"/>
          </w:tcPr>
          <w:p w14:paraId="66B87DE2" w14:textId="77777777" w:rsidR="00657E34" w:rsidRPr="00BC7A12" w:rsidRDefault="00657E34" w:rsidP="007A0C04">
            <w:pPr>
              <w:spacing w:after="0" w:line="240" w:lineRule="auto"/>
              <w:rPr>
                <w:rFonts w:cs="Calibri"/>
                <w:sz w:val="12"/>
                <w:szCs w:val="12"/>
              </w:rPr>
            </w:pPr>
            <w:r w:rsidRPr="00BC7A12">
              <w:rPr>
                <w:rFonts w:cs="Calibri"/>
                <w:sz w:val="12"/>
                <w:szCs w:val="12"/>
              </w:rPr>
              <w:t>Extent and composition of the ecosystem types</w:t>
            </w:r>
          </w:p>
        </w:tc>
        <w:tc>
          <w:tcPr>
            <w:tcW w:w="0" w:type="auto"/>
          </w:tcPr>
          <w:p w14:paraId="4EC22270" w14:textId="77777777" w:rsidR="00657E34" w:rsidRPr="00BC7A12" w:rsidRDefault="00657E34" w:rsidP="007A0C04">
            <w:pPr>
              <w:spacing w:after="0" w:line="240" w:lineRule="auto"/>
              <w:rPr>
                <w:rFonts w:cs="Calibri"/>
                <w:sz w:val="12"/>
                <w:szCs w:val="12"/>
              </w:rPr>
            </w:pPr>
            <w:r w:rsidRPr="00BC7A12">
              <w:rPr>
                <w:rFonts w:cs="Calibri"/>
                <w:sz w:val="12"/>
                <w:szCs w:val="12"/>
              </w:rPr>
              <w:t>Seagrass, rocky reef, mangrove and salt</w:t>
            </w:r>
            <w:r>
              <w:rPr>
                <w:rFonts w:cs="Calibri"/>
                <w:sz w:val="12"/>
                <w:szCs w:val="12"/>
              </w:rPr>
              <w:t xml:space="preserve"> </w:t>
            </w:r>
            <w:r w:rsidRPr="00BC7A12">
              <w:rPr>
                <w:rFonts w:cs="Calibri"/>
                <w:sz w:val="12"/>
                <w:szCs w:val="12"/>
              </w:rPr>
              <w:t xml:space="preserve">marshes </w:t>
            </w:r>
          </w:p>
        </w:tc>
      </w:tr>
      <w:tr w:rsidR="00657E34" w:rsidRPr="00BC7A12" w14:paraId="1410AA40" w14:textId="77777777" w:rsidTr="007A0C04">
        <w:tc>
          <w:tcPr>
            <w:tcW w:w="0" w:type="auto"/>
          </w:tcPr>
          <w:p w14:paraId="64E19CE8" w14:textId="77777777" w:rsidR="00657E34" w:rsidRPr="00BC7A12" w:rsidRDefault="00657E34" w:rsidP="007A0C04">
            <w:pPr>
              <w:spacing w:after="0" w:line="240" w:lineRule="auto"/>
              <w:rPr>
                <w:rFonts w:cs="Calibri"/>
                <w:sz w:val="12"/>
                <w:szCs w:val="12"/>
              </w:rPr>
            </w:pPr>
            <w:r w:rsidRPr="00BC7A12">
              <w:rPr>
                <w:rFonts w:cs="Calibri"/>
                <w:sz w:val="12"/>
                <w:szCs w:val="12"/>
              </w:rPr>
              <w:t>Context</w:t>
            </w:r>
          </w:p>
        </w:tc>
        <w:tc>
          <w:tcPr>
            <w:tcW w:w="0" w:type="auto"/>
          </w:tcPr>
          <w:p w14:paraId="3E4D6C5D" w14:textId="77777777" w:rsidR="00657E34" w:rsidRPr="00BC7A12" w:rsidRDefault="00657E34" w:rsidP="007A0C04">
            <w:pPr>
              <w:spacing w:after="0" w:line="240" w:lineRule="auto"/>
              <w:rPr>
                <w:rFonts w:cs="Calibri"/>
                <w:sz w:val="12"/>
                <w:szCs w:val="12"/>
              </w:rPr>
            </w:pPr>
            <w:r w:rsidRPr="00BC7A12">
              <w:rPr>
                <w:rFonts w:cs="Calibri"/>
                <w:sz w:val="12"/>
                <w:szCs w:val="12"/>
              </w:rPr>
              <w:t>Contextual information that makes up the broader socio-ecological system</w:t>
            </w:r>
          </w:p>
        </w:tc>
        <w:tc>
          <w:tcPr>
            <w:tcW w:w="0" w:type="auto"/>
          </w:tcPr>
          <w:p w14:paraId="3B42FDD5"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Cities, agricultural land, river connections </w:t>
            </w:r>
          </w:p>
        </w:tc>
      </w:tr>
      <w:tr w:rsidR="00657E34" w:rsidRPr="00BC7A12" w14:paraId="7BBE7BDB" w14:textId="77777777" w:rsidTr="007A0C04">
        <w:tc>
          <w:tcPr>
            <w:tcW w:w="0" w:type="auto"/>
          </w:tcPr>
          <w:p w14:paraId="5E6012DE" w14:textId="77777777" w:rsidR="00657E34" w:rsidRPr="00BC7A12" w:rsidRDefault="00657E34" w:rsidP="007A0C04">
            <w:pPr>
              <w:spacing w:after="0" w:line="240" w:lineRule="auto"/>
              <w:rPr>
                <w:rFonts w:cs="Calibri"/>
                <w:sz w:val="12"/>
                <w:szCs w:val="12"/>
              </w:rPr>
            </w:pPr>
            <w:r w:rsidRPr="00BC7A12">
              <w:rPr>
                <w:rFonts w:cs="Calibri"/>
                <w:sz w:val="12"/>
                <w:szCs w:val="12"/>
              </w:rPr>
              <w:t>Coastal use</w:t>
            </w:r>
          </w:p>
        </w:tc>
        <w:tc>
          <w:tcPr>
            <w:tcW w:w="0" w:type="auto"/>
          </w:tcPr>
          <w:p w14:paraId="26C0C2A4" w14:textId="77777777" w:rsidR="00657E34" w:rsidRPr="00BC7A12" w:rsidRDefault="00657E34" w:rsidP="007A0C04">
            <w:pPr>
              <w:spacing w:after="0" w:line="240" w:lineRule="auto"/>
              <w:rPr>
                <w:rFonts w:cs="Calibri"/>
                <w:sz w:val="12"/>
                <w:szCs w:val="12"/>
              </w:rPr>
            </w:pPr>
            <w:r w:rsidRPr="00BC7A12">
              <w:rPr>
                <w:rFonts w:cs="Calibri"/>
                <w:sz w:val="12"/>
                <w:szCs w:val="12"/>
              </w:rPr>
              <w:t>Terrestrial areas designated for use relating to the marine environment</w:t>
            </w:r>
          </w:p>
        </w:tc>
        <w:tc>
          <w:tcPr>
            <w:tcW w:w="0" w:type="auto"/>
          </w:tcPr>
          <w:p w14:paraId="4BF7C7F2" w14:textId="77777777" w:rsidR="00657E34" w:rsidRPr="00BC7A12" w:rsidRDefault="00657E34" w:rsidP="007A0C04">
            <w:pPr>
              <w:spacing w:after="0" w:line="240" w:lineRule="auto"/>
              <w:rPr>
                <w:rFonts w:cs="Calibri"/>
                <w:sz w:val="12"/>
                <w:szCs w:val="12"/>
              </w:rPr>
            </w:pPr>
            <w:r w:rsidRPr="00BC7A12">
              <w:rPr>
                <w:rFonts w:cs="Calibri"/>
                <w:sz w:val="12"/>
                <w:szCs w:val="12"/>
              </w:rPr>
              <w:t>Homes, ports, piers</w:t>
            </w:r>
          </w:p>
        </w:tc>
      </w:tr>
      <w:tr w:rsidR="00657E34" w:rsidRPr="00BC7A12" w14:paraId="5C0A6C3F" w14:textId="77777777" w:rsidTr="007A0C04">
        <w:tc>
          <w:tcPr>
            <w:tcW w:w="0" w:type="auto"/>
          </w:tcPr>
          <w:p w14:paraId="55A284CE" w14:textId="77777777" w:rsidR="00657E34" w:rsidRPr="00BC7A12" w:rsidRDefault="00657E34" w:rsidP="007A0C04">
            <w:pPr>
              <w:spacing w:after="0" w:line="240" w:lineRule="auto"/>
              <w:rPr>
                <w:rFonts w:cs="Calibri"/>
                <w:sz w:val="12"/>
                <w:szCs w:val="12"/>
              </w:rPr>
            </w:pPr>
            <w:r w:rsidRPr="00BC7A12">
              <w:rPr>
                <w:rFonts w:cs="Calibri"/>
                <w:sz w:val="12"/>
                <w:szCs w:val="12"/>
              </w:rPr>
              <w:t>Use</w:t>
            </w:r>
          </w:p>
        </w:tc>
        <w:tc>
          <w:tcPr>
            <w:tcW w:w="0" w:type="auto"/>
          </w:tcPr>
          <w:p w14:paraId="56CDC39A" w14:textId="77777777" w:rsidR="00657E34" w:rsidRPr="00BC7A12" w:rsidRDefault="00657E34" w:rsidP="007A0C04">
            <w:pPr>
              <w:spacing w:after="0" w:line="240" w:lineRule="auto"/>
              <w:rPr>
                <w:rFonts w:cs="Calibri"/>
                <w:sz w:val="12"/>
                <w:szCs w:val="12"/>
              </w:rPr>
            </w:pPr>
            <w:r w:rsidRPr="00BC7A12">
              <w:rPr>
                <w:rFonts w:cs="Calibri"/>
                <w:sz w:val="12"/>
                <w:szCs w:val="12"/>
              </w:rPr>
              <w:t>Uses of the wetland environment</w:t>
            </w:r>
          </w:p>
        </w:tc>
        <w:tc>
          <w:tcPr>
            <w:tcW w:w="0" w:type="auto"/>
          </w:tcPr>
          <w:p w14:paraId="2ED5D2F2" w14:textId="77777777" w:rsidR="00657E34" w:rsidRPr="00BC7A12" w:rsidRDefault="00657E34" w:rsidP="007A0C04">
            <w:pPr>
              <w:spacing w:after="0" w:line="240" w:lineRule="auto"/>
              <w:rPr>
                <w:rFonts w:cs="Calibri"/>
                <w:sz w:val="12"/>
                <w:szCs w:val="12"/>
              </w:rPr>
            </w:pPr>
            <w:r w:rsidRPr="00BC7A12">
              <w:rPr>
                <w:rFonts w:cs="Calibri"/>
                <w:sz w:val="12"/>
                <w:szCs w:val="12"/>
              </w:rPr>
              <w:t>Disaster risk reduction, tourism, fishing</w:t>
            </w:r>
          </w:p>
        </w:tc>
      </w:tr>
      <w:tr w:rsidR="00657E34" w:rsidRPr="00BC7A12" w14:paraId="72E42467" w14:textId="77777777" w:rsidTr="007A0C04">
        <w:tc>
          <w:tcPr>
            <w:tcW w:w="0" w:type="auto"/>
          </w:tcPr>
          <w:p w14:paraId="16E7A107" w14:textId="77777777" w:rsidR="00657E34" w:rsidRPr="00BC7A12" w:rsidRDefault="00657E34" w:rsidP="007A0C04">
            <w:pPr>
              <w:spacing w:after="0" w:line="240" w:lineRule="auto"/>
              <w:rPr>
                <w:rFonts w:cs="Calibri"/>
                <w:sz w:val="12"/>
                <w:szCs w:val="12"/>
              </w:rPr>
            </w:pPr>
            <w:r w:rsidRPr="00BC7A12">
              <w:rPr>
                <w:rFonts w:cs="Calibri"/>
                <w:sz w:val="12"/>
                <w:szCs w:val="12"/>
              </w:rPr>
              <w:t>Physical characteristics</w:t>
            </w:r>
          </w:p>
        </w:tc>
        <w:tc>
          <w:tcPr>
            <w:tcW w:w="0" w:type="auto"/>
          </w:tcPr>
          <w:p w14:paraId="4F1951D9"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Physical attributes system quality </w:t>
            </w:r>
          </w:p>
        </w:tc>
        <w:tc>
          <w:tcPr>
            <w:tcW w:w="0" w:type="auto"/>
          </w:tcPr>
          <w:p w14:paraId="1965D68A" w14:textId="77777777" w:rsidR="00657E34" w:rsidRPr="00BC7A12" w:rsidRDefault="00657E34" w:rsidP="007A0C04">
            <w:pPr>
              <w:spacing w:after="0" w:line="240" w:lineRule="auto"/>
              <w:rPr>
                <w:rFonts w:cs="Calibri"/>
                <w:sz w:val="12"/>
                <w:szCs w:val="12"/>
              </w:rPr>
            </w:pPr>
            <w:r w:rsidRPr="00BC7A12">
              <w:rPr>
                <w:rFonts w:cs="Calibri"/>
                <w:sz w:val="12"/>
                <w:szCs w:val="12"/>
              </w:rPr>
              <w:t>Soil types, waves, tides, winds, salinity, heat content, mean sea surface, mean dynamic topography, turbidity (reflectance), mixed layer thickness, water pressure, water density</w:t>
            </w:r>
          </w:p>
        </w:tc>
      </w:tr>
      <w:tr w:rsidR="00657E34" w:rsidRPr="00BC7A12" w14:paraId="1B8C8C75" w14:textId="77777777" w:rsidTr="007A0C04">
        <w:tc>
          <w:tcPr>
            <w:tcW w:w="0" w:type="auto"/>
          </w:tcPr>
          <w:p w14:paraId="35556D11" w14:textId="77777777" w:rsidR="00657E34" w:rsidRPr="00BC7A12" w:rsidRDefault="00657E34" w:rsidP="007A0C04">
            <w:pPr>
              <w:spacing w:after="0" w:line="240" w:lineRule="auto"/>
              <w:rPr>
                <w:rFonts w:cs="Calibri"/>
                <w:sz w:val="12"/>
                <w:szCs w:val="12"/>
              </w:rPr>
            </w:pPr>
            <w:r w:rsidRPr="00BC7A12">
              <w:rPr>
                <w:rFonts w:cs="Calibri"/>
                <w:sz w:val="12"/>
                <w:szCs w:val="12"/>
              </w:rPr>
              <w:t>Chemical characteristics</w:t>
            </w:r>
          </w:p>
        </w:tc>
        <w:tc>
          <w:tcPr>
            <w:tcW w:w="0" w:type="auto"/>
          </w:tcPr>
          <w:p w14:paraId="29460383"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Chemicals and nutrients system quality </w:t>
            </w:r>
          </w:p>
        </w:tc>
        <w:tc>
          <w:tcPr>
            <w:tcW w:w="0" w:type="auto"/>
          </w:tcPr>
          <w:p w14:paraId="7E01865D" w14:textId="77777777" w:rsidR="00657E34" w:rsidRPr="00BC7A12" w:rsidRDefault="00657E34" w:rsidP="007A0C04">
            <w:pPr>
              <w:spacing w:after="0" w:line="240" w:lineRule="auto"/>
              <w:rPr>
                <w:rFonts w:cs="Calibri"/>
                <w:sz w:val="12"/>
                <w:szCs w:val="12"/>
              </w:rPr>
            </w:pPr>
            <w:r w:rsidRPr="00BC7A12">
              <w:rPr>
                <w:rFonts w:cs="Calibri"/>
                <w:sz w:val="12"/>
                <w:szCs w:val="12"/>
              </w:rPr>
              <w:t>Phosphate, nitrate, silicate, alkalinity, pH, CO2, oxygen/hypoxia, tritium, oil-spill trajectory</w:t>
            </w:r>
          </w:p>
        </w:tc>
      </w:tr>
      <w:tr w:rsidR="00657E34" w:rsidRPr="00BC7A12" w14:paraId="1C19891C" w14:textId="77777777" w:rsidTr="007A0C04">
        <w:tc>
          <w:tcPr>
            <w:tcW w:w="0" w:type="auto"/>
          </w:tcPr>
          <w:p w14:paraId="79F522EA" w14:textId="77777777" w:rsidR="00657E34" w:rsidRPr="00BC7A12" w:rsidRDefault="00657E34" w:rsidP="007A0C04">
            <w:pPr>
              <w:spacing w:after="0" w:line="240" w:lineRule="auto"/>
              <w:rPr>
                <w:rFonts w:cs="Calibri"/>
                <w:sz w:val="12"/>
                <w:szCs w:val="12"/>
              </w:rPr>
            </w:pPr>
            <w:r w:rsidRPr="00BC7A12">
              <w:rPr>
                <w:rFonts w:cs="Calibri"/>
                <w:sz w:val="12"/>
                <w:szCs w:val="12"/>
              </w:rPr>
              <w:t>Biological characteristics</w:t>
            </w:r>
          </w:p>
        </w:tc>
        <w:tc>
          <w:tcPr>
            <w:tcW w:w="0" w:type="auto"/>
          </w:tcPr>
          <w:p w14:paraId="4C4976F9" w14:textId="77777777" w:rsidR="00657E34" w:rsidRPr="00BC7A12" w:rsidRDefault="00657E34" w:rsidP="007A0C04">
            <w:pPr>
              <w:spacing w:after="0" w:line="240" w:lineRule="auto"/>
              <w:rPr>
                <w:rFonts w:cs="Calibri"/>
                <w:sz w:val="12"/>
                <w:szCs w:val="12"/>
              </w:rPr>
            </w:pPr>
            <w:r w:rsidRPr="00BC7A12">
              <w:rPr>
                <w:rFonts w:cs="Calibri"/>
                <w:sz w:val="12"/>
                <w:szCs w:val="12"/>
              </w:rPr>
              <w:t>Biological attributes</w:t>
            </w:r>
          </w:p>
        </w:tc>
        <w:tc>
          <w:tcPr>
            <w:tcW w:w="0" w:type="auto"/>
          </w:tcPr>
          <w:p w14:paraId="396613FC"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algal bloom,  water quality, pests (starfish, sea urchins), bleaching </w:t>
            </w:r>
          </w:p>
        </w:tc>
      </w:tr>
      <w:tr w:rsidR="00657E34" w:rsidRPr="00BC7A12" w14:paraId="7CE238C4" w14:textId="77777777" w:rsidTr="007A0C04">
        <w:tc>
          <w:tcPr>
            <w:tcW w:w="0" w:type="auto"/>
          </w:tcPr>
          <w:p w14:paraId="1AADB37E" w14:textId="77777777" w:rsidR="00657E34" w:rsidRPr="00BC7A12" w:rsidRDefault="00657E34" w:rsidP="007A0C04">
            <w:pPr>
              <w:spacing w:after="0" w:line="240" w:lineRule="auto"/>
              <w:rPr>
                <w:rFonts w:cs="Calibri"/>
                <w:sz w:val="12"/>
                <w:szCs w:val="12"/>
              </w:rPr>
            </w:pPr>
            <w:r w:rsidRPr="00BC7A12">
              <w:rPr>
                <w:rFonts w:cs="Calibri"/>
                <w:sz w:val="12"/>
                <w:szCs w:val="12"/>
              </w:rPr>
              <w:t>Ecological characteristics</w:t>
            </w:r>
          </w:p>
        </w:tc>
        <w:tc>
          <w:tcPr>
            <w:tcW w:w="0" w:type="auto"/>
          </w:tcPr>
          <w:p w14:paraId="14CBA4B8"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Ecological characteristics of system </w:t>
            </w:r>
          </w:p>
        </w:tc>
        <w:tc>
          <w:tcPr>
            <w:tcW w:w="0" w:type="auto"/>
          </w:tcPr>
          <w:p w14:paraId="637AE64E" w14:textId="77777777" w:rsidR="00657E34" w:rsidRPr="00BC7A12" w:rsidRDefault="00657E34" w:rsidP="007A0C04">
            <w:pPr>
              <w:spacing w:after="0" w:line="240" w:lineRule="auto"/>
              <w:rPr>
                <w:rFonts w:cs="Calibri"/>
                <w:sz w:val="12"/>
                <w:szCs w:val="12"/>
              </w:rPr>
            </w:pPr>
            <w:r w:rsidRPr="00BC7A12">
              <w:rPr>
                <w:rFonts w:cs="Calibri"/>
                <w:sz w:val="12"/>
                <w:szCs w:val="12"/>
              </w:rPr>
              <w:t>Cover, density, diversity of species</w:t>
            </w:r>
          </w:p>
        </w:tc>
      </w:tr>
      <w:tr w:rsidR="00657E34" w:rsidRPr="00BC7A12" w14:paraId="125885D8" w14:textId="77777777" w:rsidTr="007A0C04">
        <w:tc>
          <w:tcPr>
            <w:tcW w:w="0" w:type="auto"/>
          </w:tcPr>
          <w:p w14:paraId="0DA8AFC4" w14:textId="77777777" w:rsidR="00657E34" w:rsidRPr="00BC7A12" w:rsidRDefault="00657E34" w:rsidP="007A0C04">
            <w:pPr>
              <w:spacing w:after="0" w:line="240" w:lineRule="auto"/>
              <w:rPr>
                <w:rFonts w:cs="Calibri"/>
                <w:sz w:val="12"/>
                <w:szCs w:val="12"/>
              </w:rPr>
            </w:pPr>
            <w:r w:rsidRPr="00BC7A12">
              <w:rPr>
                <w:rFonts w:cs="Calibri"/>
                <w:sz w:val="12"/>
                <w:szCs w:val="12"/>
              </w:rPr>
              <w:t>Biotic assets</w:t>
            </w:r>
          </w:p>
        </w:tc>
        <w:tc>
          <w:tcPr>
            <w:tcW w:w="0" w:type="auto"/>
          </w:tcPr>
          <w:p w14:paraId="1B6BAFB9" w14:textId="77777777" w:rsidR="00657E34" w:rsidRPr="00BC7A12" w:rsidRDefault="00657E34" w:rsidP="007A0C04">
            <w:pPr>
              <w:spacing w:after="0" w:line="240" w:lineRule="auto"/>
              <w:rPr>
                <w:rFonts w:cs="Calibri"/>
                <w:sz w:val="12"/>
                <w:szCs w:val="12"/>
              </w:rPr>
            </w:pPr>
            <w:r w:rsidRPr="00BC7A12">
              <w:rPr>
                <w:rFonts w:cs="Calibri"/>
                <w:sz w:val="12"/>
                <w:szCs w:val="12"/>
              </w:rPr>
              <w:t>Living natural assets</w:t>
            </w:r>
          </w:p>
        </w:tc>
        <w:tc>
          <w:tcPr>
            <w:tcW w:w="0" w:type="auto"/>
          </w:tcPr>
          <w:p w14:paraId="0D41048E"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Aquatic plants, seaweeds, fish, birds, shrubs, trees, </w:t>
            </w:r>
          </w:p>
        </w:tc>
      </w:tr>
      <w:tr w:rsidR="00657E34" w:rsidRPr="00BC7A12" w14:paraId="78362AEF" w14:textId="77777777" w:rsidTr="007A0C04">
        <w:tc>
          <w:tcPr>
            <w:tcW w:w="0" w:type="auto"/>
          </w:tcPr>
          <w:p w14:paraId="6913632B" w14:textId="77777777" w:rsidR="00657E34" w:rsidRPr="00BC7A12" w:rsidRDefault="00657E34" w:rsidP="007A0C04">
            <w:pPr>
              <w:spacing w:after="0" w:line="240" w:lineRule="auto"/>
              <w:rPr>
                <w:rFonts w:cs="Calibri"/>
                <w:sz w:val="12"/>
                <w:szCs w:val="12"/>
              </w:rPr>
            </w:pPr>
            <w:r w:rsidRPr="00BC7A12">
              <w:rPr>
                <w:rFonts w:cs="Calibri"/>
                <w:sz w:val="12"/>
                <w:szCs w:val="12"/>
              </w:rPr>
              <w:t>Abiotic assets</w:t>
            </w:r>
          </w:p>
        </w:tc>
        <w:tc>
          <w:tcPr>
            <w:tcW w:w="0" w:type="auto"/>
          </w:tcPr>
          <w:p w14:paraId="27D04F33" w14:textId="77777777" w:rsidR="00657E34" w:rsidRPr="00BC7A12" w:rsidRDefault="00657E34" w:rsidP="007A0C04">
            <w:pPr>
              <w:spacing w:after="0" w:line="240" w:lineRule="auto"/>
              <w:rPr>
                <w:rFonts w:cs="Calibri"/>
                <w:sz w:val="12"/>
                <w:szCs w:val="12"/>
              </w:rPr>
            </w:pPr>
            <w:r w:rsidRPr="00BC7A12">
              <w:rPr>
                <w:rFonts w:cs="Calibri"/>
                <w:sz w:val="12"/>
                <w:szCs w:val="12"/>
              </w:rPr>
              <w:t>Nonliving natural assets</w:t>
            </w:r>
          </w:p>
        </w:tc>
        <w:tc>
          <w:tcPr>
            <w:tcW w:w="0" w:type="auto"/>
          </w:tcPr>
          <w:p w14:paraId="7D7B248D" w14:textId="77777777" w:rsidR="00657E34" w:rsidRPr="00BC7A12" w:rsidRDefault="00657E34" w:rsidP="007A0C04">
            <w:pPr>
              <w:spacing w:after="0" w:line="240" w:lineRule="auto"/>
              <w:rPr>
                <w:rFonts w:cs="Calibri"/>
                <w:sz w:val="12"/>
                <w:szCs w:val="12"/>
              </w:rPr>
            </w:pPr>
            <w:r w:rsidRPr="00BC7A12">
              <w:rPr>
                <w:rFonts w:cs="Calibri"/>
                <w:sz w:val="12"/>
                <w:szCs w:val="12"/>
              </w:rPr>
              <w:t>Beach, seafloor sediments and rocks</w:t>
            </w:r>
          </w:p>
        </w:tc>
      </w:tr>
      <w:tr w:rsidR="00657E34" w:rsidRPr="00BC7A12" w14:paraId="01D1BA46" w14:textId="77777777" w:rsidTr="007A0C04">
        <w:tc>
          <w:tcPr>
            <w:tcW w:w="0" w:type="auto"/>
          </w:tcPr>
          <w:p w14:paraId="5119FA73" w14:textId="77777777" w:rsidR="00657E34" w:rsidRPr="00BC7A12" w:rsidRDefault="00657E34" w:rsidP="007A0C04">
            <w:pPr>
              <w:spacing w:after="0" w:line="240" w:lineRule="auto"/>
              <w:rPr>
                <w:rFonts w:cs="Calibri"/>
                <w:sz w:val="12"/>
                <w:szCs w:val="12"/>
              </w:rPr>
            </w:pPr>
            <w:r w:rsidRPr="00BC7A12">
              <w:rPr>
                <w:rFonts w:cs="Calibri"/>
                <w:sz w:val="12"/>
                <w:szCs w:val="12"/>
              </w:rPr>
              <w:t>Biotic physical services</w:t>
            </w:r>
          </w:p>
        </w:tc>
        <w:tc>
          <w:tcPr>
            <w:tcW w:w="0" w:type="auto"/>
          </w:tcPr>
          <w:p w14:paraId="6CA9EFB5" w14:textId="77777777" w:rsidR="00657E34" w:rsidRPr="00BC7A12" w:rsidRDefault="00657E34" w:rsidP="007A0C04">
            <w:pPr>
              <w:spacing w:after="0" w:line="240" w:lineRule="auto"/>
              <w:rPr>
                <w:rFonts w:cs="Calibri"/>
                <w:sz w:val="12"/>
                <w:szCs w:val="12"/>
              </w:rPr>
            </w:pPr>
            <w:r w:rsidRPr="00BC7A12">
              <w:rPr>
                <w:rFonts w:cs="Calibri"/>
                <w:sz w:val="12"/>
                <w:szCs w:val="12"/>
              </w:rPr>
              <w:t>Services that living components of the system provide</w:t>
            </w:r>
          </w:p>
        </w:tc>
        <w:tc>
          <w:tcPr>
            <w:tcW w:w="0" w:type="auto"/>
          </w:tcPr>
          <w:p w14:paraId="4E5DDC1A" w14:textId="77777777" w:rsidR="00657E34" w:rsidRPr="00BC7A12" w:rsidRDefault="00657E34" w:rsidP="007A0C04">
            <w:pPr>
              <w:spacing w:after="0" w:line="240" w:lineRule="auto"/>
              <w:rPr>
                <w:rFonts w:cs="Calibri"/>
                <w:sz w:val="12"/>
                <w:szCs w:val="12"/>
              </w:rPr>
            </w:pPr>
            <w:r w:rsidRPr="00BC7A12">
              <w:rPr>
                <w:rFonts w:cs="Calibri"/>
                <w:sz w:val="12"/>
                <w:szCs w:val="12"/>
              </w:rPr>
              <w:t>Protection of human property (wave attenuation, wind speed reduction), habitat services, carbon sequestration and storage, cultural services, tourism</w:t>
            </w:r>
          </w:p>
        </w:tc>
      </w:tr>
      <w:tr w:rsidR="00657E34" w:rsidRPr="00BC7A12" w14:paraId="0F263E78" w14:textId="77777777" w:rsidTr="007A0C04">
        <w:tc>
          <w:tcPr>
            <w:tcW w:w="0" w:type="auto"/>
          </w:tcPr>
          <w:p w14:paraId="65E3C753" w14:textId="77777777" w:rsidR="00657E34" w:rsidRPr="00BC7A12" w:rsidRDefault="00657E34" w:rsidP="007A0C04">
            <w:pPr>
              <w:spacing w:after="0" w:line="240" w:lineRule="auto"/>
              <w:rPr>
                <w:rFonts w:cs="Calibri"/>
                <w:sz w:val="12"/>
                <w:szCs w:val="12"/>
              </w:rPr>
            </w:pPr>
            <w:r w:rsidRPr="00BC7A12">
              <w:rPr>
                <w:rFonts w:cs="Calibri"/>
                <w:sz w:val="12"/>
                <w:szCs w:val="12"/>
              </w:rPr>
              <w:t>Biotic monetary services</w:t>
            </w:r>
          </w:p>
        </w:tc>
        <w:tc>
          <w:tcPr>
            <w:tcW w:w="0" w:type="auto"/>
          </w:tcPr>
          <w:p w14:paraId="6E62A853"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Valuation of physical services </w:t>
            </w:r>
          </w:p>
        </w:tc>
        <w:tc>
          <w:tcPr>
            <w:tcW w:w="0" w:type="auto"/>
          </w:tcPr>
          <w:p w14:paraId="59E05B95" w14:textId="77777777" w:rsidR="00657E34" w:rsidRPr="00BC7A12" w:rsidRDefault="00657E34" w:rsidP="007A0C04">
            <w:pPr>
              <w:spacing w:after="0" w:line="240" w:lineRule="auto"/>
              <w:rPr>
                <w:rFonts w:cs="Calibri"/>
                <w:sz w:val="12"/>
                <w:szCs w:val="12"/>
              </w:rPr>
            </w:pPr>
            <w:r w:rsidRPr="00BC7A12">
              <w:rPr>
                <w:rFonts w:cs="Calibri"/>
                <w:sz w:val="12"/>
                <w:szCs w:val="12"/>
              </w:rPr>
              <w:t>As above, but valuation perspective</w:t>
            </w:r>
          </w:p>
        </w:tc>
      </w:tr>
      <w:tr w:rsidR="00657E34" w:rsidRPr="00BC7A12" w14:paraId="40A4B08C" w14:textId="77777777" w:rsidTr="007A0C04">
        <w:tc>
          <w:tcPr>
            <w:tcW w:w="0" w:type="auto"/>
          </w:tcPr>
          <w:p w14:paraId="4937452E" w14:textId="77777777" w:rsidR="00657E34" w:rsidRPr="00BC7A12" w:rsidRDefault="00657E34" w:rsidP="007A0C04">
            <w:pPr>
              <w:spacing w:after="0" w:line="240" w:lineRule="auto"/>
              <w:rPr>
                <w:rFonts w:cs="Calibri"/>
                <w:sz w:val="12"/>
                <w:szCs w:val="12"/>
              </w:rPr>
            </w:pPr>
            <w:r w:rsidRPr="00BC7A12">
              <w:rPr>
                <w:rFonts w:cs="Calibri"/>
                <w:sz w:val="12"/>
                <w:szCs w:val="12"/>
              </w:rPr>
              <w:t>Abiotic physical services</w:t>
            </w:r>
          </w:p>
        </w:tc>
        <w:tc>
          <w:tcPr>
            <w:tcW w:w="0" w:type="auto"/>
          </w:tcPr>
          <w:p w14:paraId="6865C967" w14:textId="77777777" w:rsidR="00657E34" w:rsidRPr="00BC7A12" w:rsidRDefault="00657E34" w:rsidP="007A0C04">
            <w:pPr>
              <w:spacing w:after="0" w:line="240" w:lineRule="auto"/>
              <w:rPr>
                <w:rFonts w:cs="Calibri"/>
                <w:sz w:val="12"/>
                <w:szCs w:val="12"/>
              </w:rPr>
            </w:pPr>
            <w:r w:rsidRPr="00BC7A12">
              <w:rPr>
                <w:rFonts w:cs="Calibri"/>
                <w:sz w:val="12"/>
                <w:szCs w:val="12"/>
              </w:rPr>
              <w:t>Non-living components the system provides</w:t>
            </w:r>
          </w:p>
        </w:tc>
        <w:tc>
          <w:tcPr>
            <w:tcW w:w="0" w:type="auto"/>
          </w:tcPr>
          <w:p w14:paraId="23EC7080"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Wind and wave energy reduction, </w:t>
            </w:r>
          </w:p>
        </w:tc>
      </w:tr>
      <w:tr w:rsidR="00657E34" w:rsidRPr="00BC7A12" w14:paraId="5A025059" w14:textId="77777777" w:rsidTr="007A0C04">
        <w:tc>
          <w:tcPr>
            <w:tcW w:w="0" w:type="auto"/>
          </w:tcPr>
          <w:p w14:paraId="0915C0BB" w14:textId="77777777" w:rsidR="00657E34" w:rsidRPr="00BC7A12" w:rsidRDefault="00657E34" w:rsidP="007A0C04">
            <w:pPr>
              <w:spacing w:after="0" w:line="240" w:lineRule="auto"/>
              <w:rPr>
                <w:rFonts w:cs="Calibri"/>
                <w:sz w:val="12"/>
                <w:szCs w:val="12"/>
              </w:rPr>
            </w:pPr>
            <w:r w:rsidRPr="00BC7A12">
              <w:rPr>
                <w:rFonts w:cs="Calibri"/>
                <w:sz w:val="12"/>
                <w:szCs w:val="12"/>
              </w:rPr>
              <w:t>Abiotic monetary services</w:t>
            </w:r>
          </w:p>
        </w:tc>
        <w:tc>
          <w:tcPr>
            <w:tcW w:w="0" w:type="auto"/>
          </w:tcPr>
          <w:p w14:paraId="228F7F8E"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Valuation of abiotic physical services </w:t>
            </w:r>
          </w:p>
        </w:tc>
        <w:tc>
          <w:tcPr>
            <w:tcW w:w="0" w:type="auto"/>
          </w:tcPr>
          <w:p w14:paraId="761D3835" w14:textId="77777777" w:rsidR="00657E34" w:rsidRPr="00BC7A12" w:rsidRDefault="00657E34" w:rsidP="007A0C04">
            <w:pPr>
              <w:spacing w:after="0" w:line="240" w:lineRule="auto"/>
              <w:rPr>
                <w:rFonts w:cs="Calibri"/>
                <w:sz w:val="12"/>
                <w:szCs w:val="12"/>
              </w:rPr>
            </w:pPr>
            <w:r w:rsidRPr="00BC7A12">
              <w:rPr>
                <w:rFonts w:cs="Calibri"/>
                <w:sz w:val="12"/>
                <w:szCs w:val="12"/>
              </w:rPr>
              <w:t xml:space="preserve">Wave attenuation of rocky reef </w:t>
            </w:r>
          </w:p>
        </w:tc>
      </w:tr>
    </w:tbl>
    <w:p w14:paraId="25D1535B" w14:textId="77777777" w:rsidR="00657E34" w:rsidRPr="00BC7A12" w:rsidRDefault="00657E34" w:rsidP="00CD762C">
      <w:pPr>
        <w:rPr>
          <w:rFonts w:eastAsia="Times New Roman" w:cs="Calibri"/>
        </w:rPr>
      </w:pPr>
    </w:p>
    <w:p w14:paraId="6A77888C" w14:textId="77777777" w:rsidR="00657E34" w:rsidRPr="00BC7A12" w:rsidRDefault="00657E34" w:rsidP="00CD762C">
      <w:pPr>
        <w:spacing w:after="200" w:line="276" w:lineRule="auto"/>
        <w:jc w:val="left"/>
        <w:rPr>
          <w:rFonts w:eastAsia="Times New Roman" w:cs="Calibri"/>
        </w:rPr>
      </w:pPr>
      <w:r w:rsidRPr="00BC7A12">
        <w:rPr>
          <w:rFonts w:eastAsia="Times New Roman" w:cs="Calibri"/>
        </w:rPr>
        <w:br w:type="page"/>
      </w:r>
    </w:p>
    <w:p w14:paraId="72307EC7" w14:textId="4DFA105E" w:rsidR="00B9526D" w:rsidRPr="00FE4C79" w:rsidRDefault="00657E34">
      <w:pPr>
        <w:pStyle w:val="FootnoteText"/>
        <w:rPr>
          <w:rFonts w:ascii="Calibri" w:hAnsi="Calibri" w:cs="Calibri"/>
          <w:lang w:val="en-AU"/>
        </w:rPr>
      </w:pPr>
      <w:r w:rsidRPr="00BC7A12">
        <w:rPr>
          <w:rFonts w:ascii="Calibri" w:hAnsi="Calibri" w:cs="Calibri"/>
        </w:rPr>
        <w:t>Appendix 5 History of ecosystem services classification</w:t>
      </w:r>
      <w:r w:rsidR="00B9526D" w:rsidRPr="00FE4C79">
        <w:rPr>
          <w:rFonts w:ascii="Calibri" w:hAnsi="Calibri" w:cs="Calibri"/>
        </w:rPr>
        <w:fldChar w:fldCharType="end"/>
      </w:r>
      <w:r w:rsidR="00B9526D" w:rsidRPr="00FE4C79">
        <w:rPr>
          <w:rFonts w:ascii="Calibri" w:hAnsi="Calibri" w:cs="Calibri"/>
        </w:rPr>
        <w:t>.</w:t>
      </w:r>
    </w:p>
  </w:footnote>
  <w:footnote w:id="3">
    <w:p w14:paraId="2A7A6C66" w14:textId="5CBED410" w:rsidR="00B9526D" w:rsidRDefault="00B9526D">
      <w:pPr>
        <w:pStyle w:val="FootnoteText"/>
      </w:pPr>
      <w:r w:rsidRPr="00FE4C79">
        <w:rPr>
          <w:rStyle w:val="FootnoteReference"/>
          <w:rFonts w:ascii="Calibri" w:hAnsi="Calibri" w:cs="Calibri"/>
        </w:rPr>
        <w:footnoteRef/>
      </w:r>
      <w:r w:rsidRPr="00FE4C79">
        <w:rPr>
          <w:rFonts w:ascii="Calibri" w:hAnsi="Calibri" w:cs="Calibri"/>
        </w:rPr>
        <w:t xml:space="preserve"> This similarity contrasts with the CICES ecosystem services of “food” that is absent from NESCS Plus. NESCS Plus focuses on the ecosystem services that soil, rainfall and local temperatures provide to farmers</w:t>
      </w:r>
      <w:r>
        <w:t xml:space="preserve">. </w:t>
      </w:r>
    </w:p>
  </w:footnote>
  <w:footnote w:id="4">
    <w:p w14:paraId="799481B6" w14:textId="11481432" w:rsidR="00B9526D" w:rsidRDefault="00B9526D" w:rsidP="008B537F">
      <w:pPr>
        <w:pStyle w:val="FootnoteText"/>
      </w:pPr>
      <w:r>
        <w:rPr>
          <w:rStyle w:val="FootnoteReference"/>
        </w:rPr>
        <w:footnoteRef/>
      </w:r>
      <w:r>
        <w:t xml:space="preserve"> </w:t>
      </w:r>
      <w:r w:rsidRPr="00660B61">
        <w:rPr>
          <w:rFonts w:ascii="Calibri" w:hAnsi="Calibri" w:cs="Calibri"/>
        </w:rPr>
        <w:t xml:space="preserve">Intermediate ecosystem services are ecosystem functions and processes that are delivered between or among ecosystems. </w:t>
      </w:r>
      <w:r w:rsidRPr="00660B61">
        <w:rPr>
          <w:rFonts w:ascii="Calibri" w:hAnsi="Calibri" w:cs="Calibri"/>
        </w:rPr>
        <w:fldChar w:fldCharType="begin" w:fldLock="1"/>
      </w:r>
      <w:r w:rsidRPr="00660B61">
        <w:rPr>
          <w:rFonts w:ascii="Calibri" w:hAnsi="Calibri" w:cs="Calibri"/>
        </w:rPr>
        <w:instrText>ADDIN CSL_CITATION {"citationItems":[{"id":"ITEM-1","itemData":{"author":[{"dropping-particle":"","family":"United Nations","given":"","non-dropping-particle":"","parse-names":false,"suffix":""}],"id":"ITEM-1","issue":"December","issued":{"date-parts":[["2017"]]},"page":"145","title":"SEEA Experimental Ecosystem Accounting : Technical Recommendations","type":"article-journal"},"uris":["http://www.mendeley.com/documents/?uuid=d14b375f-01b9-4bb2-987a-b8fcf4a37221"]}],"mendeley":{"formattedCitation":"(United Nations 2017)","plainTextFormattedCitation":"(United Nations 2017)","previouslyFormattedCitation":"(United Nations 2017)"},"properties":{"noteIndex":0},"schema":"https://github.com/citation-style-language/schema/raw/master/csl-citation.json"}</w:instrText>
      </w:r>
      <w:r w:rsidRPr="00660B61">
        <w:rPr>
          <w:rFonts w:ascii="Calibri" w:hAnsi="Calibri" w:cs="Calibri"/>
        </w:rPr>
        <w:fldChar w:fldCharType="separate"/>
      </w:r>
      <w:r w:rsidRPr="00660B61">
        <w:rPr>
          <w:rFonts w:ascii="Calibri" w:hAnsi="Calibri" w:cs="Calibri"/>
          <w:noProof/>
        </w:rPr>
        <w:t>(United Nations 2017)</w:t>
      </w:r>
      <w:r w:rsidRPr="00660B61">
        <w:rPr>
          <w:rFonts w:ascii="Calibri" w:hAnsi="Calibri" w:cs="Calibri"/>
        </w:rPr>
        <w:fldChar w:fldCharType="end"/>
      </w:r>
    </w:p>
  </w:footnote>
  <w:footnote w:id="5">
    <w:p w14:paraId="42B3FB21" w14:textId="359FD27E" w:rsidR="00B9526D" w:rsidRPr="002E61E6" w:rsidRDefault="00B9526D">
      <w:pPr>
        <w:pStyle w:val="FootnoteText"/>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w:t>
      </w:r>
      <w:r w:rsidRPr="002E61E6">
        <w:rPr>
          <w:rStyle w:val="CommentReference"/>
          <w:rFonts w:ascii="Calibri" w:hAnsi="Calibri" w:cs="Calibri"/>
        </w:rPr>
        <w:t>P</w:t>
      </w:r>
      <w:r w:rsidRPr="002E61E6">
        <w:rPr>
          <w:rFonts w:ascii="Calibri" w:hAnsi="Calibri" w:cs="Calibri"/>
          <w:sz w:val="16"/>
          <w:szCs w:val="16"/>
        </w:rPr>
        <w:t xml:space="preserve">roximity parameters use in hedonic pricing reflect short distances (e.g. 0-500m for urban green space) that may be less appropriate for wetlands. They may reflect a hedonic values close to zero for property that is “in proximity” of coastal wetlands when in fact significant value exists. </w:t>
      </w:r>
      <w:r w:rsidRPr="002E61E6">
        <w:rPr>
          <w:rFonts w:ascii="Calibri" w:hAnsi="Calibri" w:cs="Calibri"/>
          <w:sz w:val="16"/>
          <w:szCs w:val="16"/>
        </w:rPr>
        <w:fldChar w:fldCharType="begin" w:fldLock="1"/>
      </w:r>
      <w:r w:rsidRPr="002E61E6">
        <w:rPr>
          <w:rFonts w:ascii="Calibri" w:hAnsi="Calibri" w:cs="Calibri"/>
          <w:sz w:val="16"/>
          <w:szCs w:val="16"/>
        </w:rPr>
        <w:instrText>ADDIN CSL_CITATION {"citationItems":[{"id":"ITEM-1","itemData":{"author":[{"dropping-particle":"","family":"IDEEA Group","given":"","non-dropping-particle":"","parse-names":false,"suffix":""}],"id":"ITEM-1","issued":{"date-parts":[["2020"]]},"publisher":"Department of Agriculture, Water and the Environment","publisher-place":"Canberra","title":"Valuation of disaster risk reduction ecosystem services of Australia's coastal wetlands: review and recommendations . Stakeholder consultation","type":"article"},"uris":["http://www.mendeley.com/documents/?uuid=bafcc05a-a77b-48ec-bab0-63b9ec400826"]}],"mendeley":{"formattedCitation":"(IDEEA Group 2020b)","manualFormatting":"(Plant in IDEEA Group 2020a)","plainTextFormattedCitation":"(IDEEA Group 2020b)","previouslyFormattedCitation":"(IDEEA Group 2020b)"},"properties":{"noteIndex":0},"schema":"https://github.com/citation-style-language/schema/raw/master/csl-citation.json"}</w:instrText>
      </w:r>
      <w:r w:rsidRPr="002E61E6">
        <w:rPr>
          <w:rFonts w:ascii="Calibri" w:hAnsi="Calibri" w:cs="Calibri"/>
          <w:sz w:val="16"/>
          <w:szCs w:val="16"/>
        </w:rPr>
        <w:fldChar w:fldCharType="separate"/>
      </w:r>
      <w:r w:rsidRPr="002E61E6">
        <w:rPr>
          <w:rFonts w:ascii="Calibri" w:hAnsi="Calibri" w:cs="Calibri"/>
          <w:noProof/>
          <w:sz w:val="16"/>
          <w:szCs w:val="16"/>
        </w:rPr>
        <w:t>(Plant in IDEEA Group 2020a)</w:t>
      </w:r>
      <w:r w:rsidRPr="002E61E6">
        <w:rPr>
          <w:rFonts w:ascii="Calibri" w:hAnsi="Calibri" w:cs="Calibri"/>
          <w:sz w:val="16"/>
          <w:szCs w:val="16"/>
        </w:rPr>
        <w:fldChar w:fldCharType="end"/>
      </w:r>
    </w:p>
  </w:footnote>
  <w:footnote w:id="6">
    <w:p w14:paraId="3A922860" w14:textId="57F0F648" w:rsidR="00B9526D" w:rsidRPr="002E61E6" w:rsidRDefault="00B9526D">
      <w:pPr>
        <w:pStyle w:val="FootnoteText"/>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INT$ is the international dollar, a hypothetical currency unit based on purchasing power parity that the U.S. dollar has at a given point in time. </w:t>
      </w:r>
    </w:p>
  </w:footnote>
  <w:footnote w:id="7">
    <w:p w14:paraId="6C53DFDE" w14:textId="77777777" w:rsidR="00B9526D" w:rsidRPr="0071639F" w:rsidRDefault="00B9526D" w:rsidP="00193381">
      <w:pPr>
        <w:pStyle w:val="FootnoteText"/>
        <w:rPr>
          <w:rFonts w:ascii="Calibri" w:hAnsi="Calibri" w:cs="Calibri"/>
        </w:rPr>
      </w:pPr>
      <w:r w:rsidRPr="0071639F">
        <w:rPr>
          <w:rStyle w:val="FootnoteReference"/>
          <w:rFonts w:ascii="Calibri" w:hAnsi="Calibri" w:cs="Calibri"/>
        </w:rPr>
        <w:footnoteRef/>
      </w:r>
      <w:r w:rsidRPr="0071639F">
        <w:rPr>
          <w:rFonts w:ascii="Calibri" w:hAnsi="Calibri" w:cs="Calibri"/>
        </w:rPr>
        <w:t xml:space="preserve"> There is overlap among the wetland groups. For example, the valuations in Victoria’s Western Port are also includes in valuations of the Southeast Australian group. </w:t>
      </w:r>
    </w:p>
  </w:footnote>
  <w:footnote w:id="8">
    <w:p w14:paraId="343E9FB4" w14:textId="5F661124" w:rsidR="00B9526D" w:rsidRPr="00DD5609" w:rsidRDefault="00B9526D">
      <w:pPr>
        <w:pStyle w:val="FootnoteText"/>
        <w:rPr>
          <w:rFonts w:ascii="Calibri" w:hAnsi="Calibri" w:cs="Calibri"/>
        </w:rPr>
      </w:pPr>
      <w:r w:rsidRPr="00DD5609">
        <w:rPr>
          <w:rStyle w:val="FootnoteReference"/>
          <w:rFonts w:ascii="Calibri" w:hAnsi="Calibri" w:cs="Calibri"/>
        </w:rPr>
        <w:footnoteRef/>
      </w:r>
      <w:r w:rsidRPr="00DD5609">
        <w:rPr>
          <w:rFonts w:ascii="Calibri" w:hAnsi="Calibri" w:cs="Calibri"/>
        </w:rPr>
        <w:t xml:space="preserve"> While for the purposes of monetary valuation SEEA focuses on exchange values and CBA on welfare values which include consumer surplus, the measurement of DRR ecosystem services in physical terms and associated data on ecosystem type and condition will underpin all monetary values provided by coastal wetlands. </w:t>
      </w:r>
    </w:p>
  </w:footnote>
  <w:footnote w:id="9">
    <w:p w14:paraId="107B2400" w14:textId="1A527E67" w:rsidR="00B9526D" w:rsidRPr="00DD5609" w:rsidRDefault="00B9526D">
      <w:pPr>
        <w:pStyle w:val="FootnoteText"/>
        <w:rPr>
          <w:rFonts w:ascii="Calibri" w:hAnsi="Calibri" w:cs="Calibri"/>
        </w:rPr>
      </w:pPr>
      <w:r w:rsidRPr="00DD5609">
        <w:rPr>
          <w:rStyle w:val="FootnoteReference"/>
          <w:rFonts w:ascii="Calibri" w:hAnsi="Calibri" w:cs="Calibri"/>
        </w:rPr>
        <w:footnoteRef/>
      </w:r>
      <w:r w:rsidRPr="00DD5609">
        <w:rPr>
          <w:rFonts w:ascii="Calibri" w:hAnsi="Calibri" w:cs="Calibri"/>
        </w:rPr>
        <w:t xml:space="preserve"> It is beyond the scope of this report to define fully, but best in class explicit local valuation would depend factors including the scale of data, the number of environmental parameters used, ultimately focused on improving the accuracy and precision of models.  </w:t>
      </w:r>
    </w:p>
  </w:footnote>
  <w:footnote w:id="10">
    <w:p w14:paraId="03983F32" w14:textId="77777777" w:rsidR="00B9526D" w:rsidRPr="002E61E6" w:rsidRDefault="00B9526D" w:rsidP="002E61E6">
      <w:pPr>
        <w:pStyle w:val="FootnoteText"/>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Writing on the concept of ecosystem services dates to Plato, at least, and lists of ecosystem services emerged in the 1960s. However, popularization of the concept related to current discussions on ecosystem services started in 1997. </w:t>
      </w:r>
    </w:p>
  </w:footnote>
  <w:footnote w:id="11">
    <w:p w14:paraId="02BD0F40" w14:textId="699350D1" w:rsidR="00B9526D" w:rsidRPr="002E61E6" w:rsidRDefault="00B9526D" w:rsidP="002E61E6">
      <w:pPr>
        <w:pStyle w:val="FootnoteText"/>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Flat CS are effective, but are simple lists of classification such as “gender: male, female” and cannot organize the complexity of ecosystem services because they do not capture hierarchical relationships (See endnote 64, Czúcz 2017).  </w:t>
      </w:r>
    </w:p>
  </w:footnote>
  <w:footnote w:id="12">
    <w:p w14:paraId="29FEB290" w14:textId="77777777" w:rsidR="00B9526D" w:rsidRPr="00CD3E8A" w:rsidRDefault="00B9526D" w:rsidP="002E61E6">
      <w:pPr>
        <w:pBdr>
          <w:top w:val="nil"/>
          <w:left w:val="nil"/>
          <w:bottom w:val="nil"/>
          <w:right w:val="nil"/>
          <w:between w:val="nil"/>
        </w:pBdr>
        <w:jc w:val="left"/>
        <w:rPr>
          <w:rFonts w:ascii="Times New Roman" w:eastAsia="Times New Roman" w:hAnsi="Times New Roman" w:cs="Times New Roman"/>
          <w:color w:val="000000"/>
          <w:sz w:val="20"/>
          <w:szCs w:val="20"/>
        </w:rPr>
      </w:pPr>
      <w:r w:rsidRPr="002E61E6">
        <w:rPr>
          <w:rStyle w:val="FootnoteReference"/>
          <w:rFonts w:cs="Calibri"/>
          <w:sz w:val="20"/>
          <w:szCs w:val="20"/>
        </w:rPr>
        <w:footnoteRef/>
      </w:r>
      <w:r w:rsidRPr="002E61E6">
        <w:rPr>
          <w:rFonts w:cs="Calibri"/>
          <w:sz w:val="20"/>
          <w:szCs w:val="20"/>
        </w:rPr>
        <w:t xml:space="preserve"> </w:t>
      </w:r>
      <w:r w:rsidRPr="002E61E6">
        <w:rPr>
          <w:rFonts w:eastAsia="Times New Roman" w:cs="Calibri"/>
          <w:color w:val="000000"/>
          <w:sz w:val="20"/>
          <w:szCs w:val="20"/>
        </w:rPr>
        <w:t xml:space="preserve">An extensive list of classification systems and resources can be found at </w:t>
      </w:r>
      <w:hyperlink r:id="rId1">
        <w:r w:rsidRPr="002E61E6">
          <w:rPr>
            <w:rFonts w:eastAsia="Times New Roman" w:cs="Calibri"/>
            <w:color w:val="0563C1"/>
            <w:sz w:val="20"/>
            <w:szCs w:val="20"/>
            <w:u w:val="single"/>
          </w:rPr>
          <w:t>http://www.taxonomywarehouse.com</w:t>
        </w:r>
      </w:hyperlink>
      <w:r w:rsidRPr="002E61E6">
        <w:rPr>
          <w:rFonts w:eastAsia="Times New Roman" w:cs="Calibri"/>
          <w:color w:val="000000"/>
          <w:sz w:val="20"/>
          <w:szCs w:val="20"/>
        </w:rPr>
        <w:t>.</w:t>
      </w:r>
    </w:p>
  </w:footnote>
  <w:footnote w:id="13">
    <w:p w14:paraId="2B150D84" w14:textId="77777777" w:rsidR="00B9526D" w:rsidRPr="002E61E6" w:rsidRDefault="00B9526D" w:rsidP="00C47C1B">
      <w:pPr>
        <w:pStyle w:val="FootnoteText"/>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For example, TEEB use the term “habitat” rather than “supporting.” </w:t>
      </w:r>
    </w:p>
  </w:footnote>
  <w:footnote w:id="14">
    <w:p w14:paraId="61B44B35" w14:textId="3F6F773D" w:rsidR="00B9526D" w:rsidRPr="002E61E6" w:rsidRDefault="00B9526D" w:rsidP="00C47C1B">
      <w:pPr>
        <w:pStyle w:val="FootnoteText"/>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This appendix describes some structures and elements of CICES, FEGS-CS, NESCS, and </w:t>
      </w:r>
      <w:r w:rsidRPr="002E61E6">
        <w:rPr>
          <w:rFonts w:ascii="Calibri" w:eastAsia="Times New Roman" w:hAnsi="Calibri" w:cs="Calibri"/>
          <w:color w:val="000000"/>
        </w:rPr>
        <w:t>NESCS Plus</w:t>
      </w:r>
      <w:r w:rsidRPr="002E61E6">
        <w:rPr>
          <w:rFonts w:ascii="Calibri" w:hAnsi="Calibri" w:cs="Calibri"/>
        </w:rPr>
        <w:t xml:space="preserve"> where appropriate. These are for descriptive purposes only and are not opinions on the relative merits of any ES-CS. </w:t>
      </w:r>
    </w:p>
  </w:footnote>
  <w:footnote w:id="15">
    <w:p w14:paraId="5CB60A51" w14:textId="5F66CF4B" w:rsidR="00B9526D" w:rsidRPr="00531503" w:rsidRDefault="00B9526D" w:rsidP="00C47C1B">
      <w:pPr>
        <w:rPr>
          <w:rFonts w:ascii="Times New Roman" w:hAnsi="Times New Roman" w:cs="Times New Roman"/>
          <w:sz w:val="20"/>
          <w:szCs w:val="20"/>
        </w:rPr>
      </w:pPr>
      <w:r w:rsidRPr="002E61E6">
        <w:rPr>
          <w:rStyle w:val="FootnoteReference"/>
          <w:rFonts w:cs="Calibri"/>
          <w:sz w:val="20"/>
          <w:szCs w:val="20"/>
        </w:rPr>
        <w:footnoteRef/>
      </w:r>
      <w:r w:rsidRPr="002E61E6">
        <w:rPr>
          <w:rFonts w:cs="Calibri"/>
          <w:sz w:val="20"/>
          <w:szCs w:val="20"/>
        </w:rPr>
        <w:t xml:space="preserve"> </w:t>
      </w:r>
      <w:bookmarkStart w:id="106" w:name="_Hlk527444385"/>
      <w:r w:rsidRPr="002E61E6">
        <w:rPr>
          <w:rFonts w:eastAsia="Times New Roman" w:cs="Calibri"/>
          <w:color w:val="000000"/>
          <w:sz w:val="20"/>
          <w:szCs w:val="20"/>
        </w:rPr>
        <w:t>Recent versions of CICES more fully incorporate the FES concept than earlier versions.</w:t>
      </w:r>
      <w:r w:rsidRPr="00A56C82">
        <w:rPr>
          <w:rFonts w:ascii="Times New Roman" w:eastAsia="Times New Roman" w:hAnsi="Times New Roman" w:cs="Times New Roman"/>
          <w:color w:val="000000"/>
          <w:sz w:val="20"/>
          <w:szCs w:val="20"/>
        </w:rPr>
        <w:t xml:space="preserve"> </w:t>
      </w:r>
      <w:bookmarkEnd w:id="106"/>
    </w:p>
  </w:footnote>
  <w:footnote w:id="16">
    <w:p w14:paraId="4EB6AC01" w14:textId="77777777" w:rsidR="00B9526D" w:rsidRPr="002E61E6" w:rsidRDefault="00B9526D" w:rsidP="00C47C1B">
      <w:pPr>
        <w:pStyle w:val="FootnoteText"/>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ES-CS define ecological end products differently, but all note its centrality to developing a hierarchy. </w:t>
      </w:r>
    </w:p>
  </w:footnote>
  <w:footnote w:id="17">
    <w:p w14:paraId="50F16F64" w14:textId="31D601FE" w:rsidR="00B9526D" w:rsidRPr="002E61E6" w:rsidRDefault="00B9526D" w:rsidP="002B34A3">
      <w:pPr>
        <w:pStyle w:val="NormalWeb"/>
        <w:spacing w:before="0" w:beforeAutospacing="0" w:after="0" w:afterAutospacing="0"/>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w:t>
      </w:r>
      <w:r w:rsidRPr="002E61E6">
        <w:rPr>
          <w:rFonts w:ascii="Calibri" w:hAnsi="Calibri" w:cs="Calibri"/>
          <w:sz w:val="16"/>
          <w:szCs w:val="16"/>
        </w:rPr>
        <w:t>Figures 1, 2, and 3, present different ES-CS hierarchical structures. CICES used the MA four types as its starting point for developing the hierarchies. FEGS-CS, NESCS and NESCS Plus used descriptions of FES flows—from the environment to the beneficiary—as the basis of its holons. In NESCS and NESCS Plus, there are four parallel holons. The first holon is Environment and the top level of that hierarchy could be labeled A1, Ecological End-Product may be labelled B1, through to Direct Users, D1. The second hierarchical level within Environment is Classes that could be labelled A2 and after that Forests A3, etc. In the FEGS-CS, using this same rule for parallel and nesting holons, the four listed hierarchical levels might be called A1, A2, B1 and B2. In the CICES, each listed hierarchical level is a nesting for the next, so A1, A2...A5.</w:t>
      </w:r>
    </w:p>
  </w:footnote>
  <w:footnote w:id="18">
    <w:p w14:paraId="594B1EAD" w14:textId="45FC40CA" w:rsidR="00B9526D" w:rsidRPr="002E61E6" w:rsidRDefault="00B9526D" w:rsidP="00C47C1B">
      <w:pPr>
        <w:pStyle w:val="FootnoteText"/>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w:t>
      </w:r>
      <w:r w:rsidRPr="002E61E6">
        <w:rPr>
          <w:rFonts w:ascii="Calibri" w:eastAsia="Times New Roman" w:hAnsi="Calibri" w:cs="Calibri"/>
        </w:rPr>
        <w:t>The extent of ecosystem services integration into decision making can be measured by (1) comparing the frequency that monetary values are used in healthcare policy versus environmental policy debates and (2) the degree to which ecosystem services are included in impact assessments, life cycle assessments, corporate valuations, among other environmental approaches, tools, and orthodox techniques of environmental science.</w:t>
      </w:r>
    </w:p>
  </w:footnote>
  <w:footnote w:id="19">
    <w:p w14:paraId="31E4BA66" w14:textId="1B2C607D" w:rsidR="00B9526D" w:rsidRPr="002E61E6" w:rsidRDefault="00B9526D" w:rsidP="00C47C1B">
      <w:pPr>
        <w:pStyle w:val="FootnoteText"/>
        <w:rPr>
          <w:rFonts w:ascii="Calibri" w:hAnsi="Calibri" w:cs="Calibri"/>
        </w:rPr>
      </w:pPr>
      <w:r w:rsidRPr="002E61E6">
        <w:rPr>
          <w:rStyle w:val="FootnoteReference"/>
          <w:rFonts w:ascii="Calibri" w:hAnsi="Calibri" w:cs="Calibri"/>
        </w:rPr>
        <w:footnoteRef/>
      </w:r>
      <w:r w:rsidRPr="002E61E6">
        <w:rPr>
          <w:rFonts w:ascii="Calibri" w:hAnsi="Calibri" w:cs="Calibri"/>
        </w:rPr>
        <w:t xml:space="preserve"> </w:t>
      </w:r>
      <w:r w:rsidRPr="002E61E6">
        <w:rPr>
          <w:rFonts w:ascii="Calibri" w:eastAsia="Times New Roman" w:hAnsi="Calibri" w:cs="Calibri"/>
          <w:color w:val="000000"/>
        </w:rPr>
        <w:t>These standards do not focus on ecosystem services frameworks and definitions but seek to align the ecosystem services applications and techniques with other ISO standards.</w:t>
      </w:r>
    </w:p>
  </w:footnote>
  <w:footnote w:id="20">
    <w:p w14:paraId="2ECFB5F2" w14:textId="5D11B92E" w:rsidR="00B9526D" w:rsidRPr="00527C60" w:rsidRDefault="00B9526D" w:rsidP="00C47C1B">
      <w:pPr>
        <w:pStyle w:val="FootnoteText"/>
        <w:rPr>
          <w:rFonts w:ascii="Times New Roman" w:hAnsi="Times New Roman" w:cs="Times New Roman"/>
        </w:rPr>
      </w:pPr>
      <w:r w:rsidRPr="002E61E6">
        <w:rPr>
          <w:rStyle w:val="FootnoteReference"/>
          <w:rFonts w:ascii="Calibri" w:hAnsi="Calibri" w:cs="Calibri"/>
        </w:rPr>
        <w:footnoteRef/>
      </w:r>
      <w:r w:rsidRPr="002E61E6">
        <w:rPr>
          <w:rFonts w:ascii="Calibri" w:hAnsi="Calibri" w:cs="Calibri"/>
        </w:rPr>
        <w:t xml:space="preserve"> The Chinese government is the world’s largest investor in ecosystem services and is developing a FES based national accounting system, the Gross Ecosystem Product (GEP), as well as other more targeted accounting systems (e.g., for its National Key Ecological Function Zones).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05DA1" w14:textId="1CA8932B" w:rsidR="00B9526D" w:rsidRDefault="00B9526D" w:rsidP="009D41C0">
    <w:pPr>
      <w:pStyle w:val="Header"/>
    </w:pPr>
    <w:r>
      <w:rPr>
        <w:noProof/>
        <w:lang w:eastAsia="en-AU"/>
      </w:rPr>
      <w:drawing>
        <wp:anchor distT="0" distB="0" distL="114300" distR="114300" simplePos="0" relativeHeight="251667455" behindDoc="1" locked="0" layoutInCell="1" allowOverlap="1" wp14:anchorId="0A22A520" wp14:editId="3A83697B">
          <wp:simplePos x="0" y="0"/>
          <wp:positionH relativeFrom="column">
            <wp:posOffset>-892810</wp:posOffset>
          </wp:positionH>
          <wp:positionV relativeFrom="paragraph">
            <wp:posOffset>-245583</wp:posOffset>
          </wp:positionV>
          <wp:extent cx="2953512" cy="2944368"/>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29443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8480" behindDoc="0" locked="0" layoutInCell="1" allowOverlap="1" wp14:anchorId="06D7C98B" wp14:editId="7A62000B">
          <wp:simplePos x="0" y="0"/>
          <wp:positionH relativeFrom="margin">
            <wp:posOffset>4343400</wp:posOffset>
          </wp:positionH>
          <wp:positionV relativeFrom="paragraph">
            <wp:posOffset>72390</wp:posOffset>
          </wp:positionV>
          <wp:extent cx="1381125" cy="2952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EAgroup-Logo-simple-cmyk.jpg"/>
                  <pic:cNvPicPr/>
                </pic:nvPicPr>
                <pic:blipFill rotWithShape="1">
                  <a:blip r:embed="rId2" cstate="print">
                    <a:extLst>
                      <a:ext uri="{28A0092B-C50C-407E-A947-70E740481C1C}">
                        <a14:useLocalDpi xmlns:a14="http://schemas.microsoft.com/office/drawing/2010/main" val="0"/>
                      </a:ext>
                    </a:extLst>
                  </a:blip>
                  <a:srcRect l="6041" t="18317" r="6364" b="18586"/>
                  <a:stretch/>
                </pic:blipFill>
                <pic:spPr bwMode="auto">
                  <a:xfrm>
                    <a:off x="0" y="0"/>
                    <a:ext cx="138112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4A967" w14:textId="301B0003" w:rsidR="00B9526D" w:rsidRDefault="00B9526D" w:rsidP="009D41C0">
    <w:pPr>
      <w:pStyle w:val="Header"/>
    </w:pPr>
  </w:p>
  <w:p w14:paraId="0883ABF0" w14:textId="70FEEF28" w:rsidR="00B9526D" w:rsidRDefault="00B9526D" w:rsidP="009D41C0">
    <w:pPr>
      <w:pStyle w:val="Header"/>
    </w:pPr>
  </w:p>
  <w:p w14:paraId="7F29C9F0" w14:textId="3A94A86B" w:rsidR="00B9526D" w:rsidRDefault="00B9526D" w:rsidP="009D41C0">
    <w:pPr>
      <w:pStyle w:val="Header"/>
    </w:pPr>
  </w:p>
  <w:p w14:paraId="740DE1B7" w14:textId="77777777" w:rsidR="00B9526D" w:rsidRDefault="00B9526D" w:rsidP="009D41C0">
    <w:pPr>
      <w:pStyle w:val="Header"/>
    </w:pPr>
  </w:p>
  <w:p w14:paraId="3E67CFA8" w14:textId="77777777" w:rsidR="00B9526D" w:rsidRDefault="00B9526D" w:rsidP="009D4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6A601" w14:textId="34CB648B" w:rsidR="00B9526D" w:rsidRDefault="00B9526D" w:rsidP="009D41C0">
    <w:pPr>
      <w:pStyle w:val="Header"/>
    </w:pPr>
  </w:p>
  <w:p w14:paraId="370B67E7" w14:textId="6EABC496" w:rsidR="00B9526D" w:rsidRDefault="00B9526D" w:rsidP="009D41C0">
    <w:pPr>
      <w:pStyle w:val="Header"/>
    </w:pPr>
    <w:r>
      <w:tab/>
    </w:r>
  </w:p>
  <w:p w14:paraId="4B9DE634" w14:textId="079E2C9D" w:rsidR="00B9526D" w:rsidRDefault="00B9526D" w:rsidP="009D41C0">
    <w:pPr>
      <w:pStyle w:val="Header"/>
    </w:pPr>
    <w:r>
      <w:tab/>
    </w:r>
  </w:p>
  <w:p w14:paraId="03953834" w14:textId="5A223DDA" w:rsidR="00B9526D" w:rsidRDefault="00B9526D" w:rsidP="009D41C0">
    <w:pPr>
      <w:pStyle w:val="Header"/>
    </w:pPr>
    <w:r>
      <w:tab/>
    </w:r>
  </w:p>
  <w:p w14:paraId="0E99D82B" w14:textId="74171493" w:rsidR="00B9526D" w:rsidRDefault="00B9526D" w:rsidP="009D41C0">
    <w:pPr>
      <w:pStyle w:val="Header"/>
    </w:pPr>
  </w:p>
  <w:p w14:paraId="347D5007" w14:textId="77777777" w:rsidR="00B9526D" w:rsidRDefault="00B9526D" w:rsidP="009D4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10E80"/>
    <w:multiLevelType w:val="hybridMultilevel"/>
    <w:tmpl w:val="E2A8C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C5848"/>
    <w:multiLevelType w:val="hybridMultilevel"/>
    <w:tmpl w:val="D06653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5E1F29"/>
    <w:multiLevelType w:val="hybridMultilevel"/>
    <w:tmpl w:val="409AAA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020BDD"/>
    <w:multiLevelType w:val="hybridMultilevel"/>
    <w:tmpl w:val="BEDC777C"/>
    <w:lvl w:ilvl="0" w:tplc="5950E030">
      <w:start w:val="1"/>
      <w:numFmt w:val="decimal"/>
      <w:lvlText w:val="%1."/>
      <w:lvlJc w:val="left"/>
      <w:pPr>
        <w:tabs>
          <w:tab w:val="num" w:pos="720"/>
        </w:tabs>
        <w:ind w:left="720" w:hanging="360"/>
      </w:pPr>
    </w:lvl>
    <w:lvl w:ilvl="1" w:tplc="0D8C06A2">
      <w:start w:val="1"/>
      <w:numFmt w:val="decimal"/>
      <w:lvlText w:val="%2."/>
      <w:lvlJc w:val="left"/>
      <w:pPr>
        <w:tabs>
          <w:tab w:val="num" w:pos="1440"/>
        </w:tabs>
        <w:ind w:left="1440" w:hanging="360"/>
      </w:pPr>
    </w:lvl>
    <w:lvl w:ilvl="2" w:tplc="D6FE4EBC">
      <w:start w:val="1"/>
      <w:numFmt w:val="decimal"/>
      <w:lvlText w:val="%3."/>
      <w:lvlJc w:val="left"/>
      <w:pPr>
        <w:tabs>
          <w:tab w:val="num" w:pos="2160"/>
        </w:tabs>
        <w:ind w:left="2160" w:hanging="360"/>
      </w:pPr>
    </w:lvl>
    <w:lvl w:ilvl="3" w:tplc="FBDCDC7E" w:tentative="1">
      <w:start w:val="1"/>
      <w:numFmt w:val="decimal"/>
      <w:lvlText w:val="%4."/>
      <w:lvlJc w:val="left"/>
      <w:pPr>
        <w:tabs>
          <w:tab w:val="num" w:pos="2880"/>
        </w:tabs>
        <w:ind w:left="2880" w:hanging="360"/>
      </w:pPr>
    </w:lvl>
    <w:lvl w:ilvl="4" w:tplc="78EC79B8" w:tentative="1">
      <w:start w:val="1"/>
      <w:numFmt w:val="decimal"/>
      <w:lvlText w:val="%5."/>
      <w:lvlJc w:val="left"/>
      <w:pPr>
        <w:tabs>
          <w:tab w:val="num" w:pos="3600"/>
        </w:tabs>
        <w:ind w:left="3600" w:hanging="360"/>
      </w:pPr>
    </w:lvl>
    <w:lvl w:ilvl="5" w:tplc="E43EB8A8" w:tentative="1">
      <w:start w:val="1"/>
      <w:numFmt w:val="decimal"/>
      <w:lvlText w:val="%6."/>
      <w:lvlJc w:val="left"/>
      <w:pPr>
        <w:tabs>
          <w:tab w:val="num" w:pos="4320"/>
        </w:tabs>
        <w:ind w:left="4320" w:hanging="360"/>
      </w:pPr>
    </w:lvl>
    <w:lvl w:ilvl="6" w:tplc="94027E0C" w:tentative="1">
      <w:start w:val="1"/>
      <w:numFmt w:val="decimal"/>
      <w:lvlText w:val="%7."/>
      <w:lvlJc w:val="left"/>
      <w:pPr>
        <w:tabs>
          <w:tab w:val="num" w:pos="5040"/>
        </w:tabs>
        <w:ind w:left="5040" w:hanging="360"/>
      </w:pPr>
    </w:lvl>
    <w:lvl w:ilvl="7" w:tplc="FDFEC4DC" w:tentative="1">
      <w:start w:val="1"/>
      <w:numFmt w:val="decimal"/>
      <w:lvlText w:val="%8."/>
      <w:lvlJc w:val="left"/>
      <w:pPr>
        <w:tabs>
          <w:tab w:val="num" w:pos="5760"/>
        </w:tabs>
        <w:ind w:left="5760" w:hanging="360"/>
      </w:pPr>
    </w:lvl>
    <w:lvl w:ilvl="8" w:tplc="E6C0DB08" w:tentative="1">
      <w:start w:val="1"/>
      <w:numFmt w:val="decimal"/>
      <w:lvlText w:val="%9."/>
      <w:lvlJc w:val="left"/>
      <w:pPr>
        <w:tabs>
          <w:tab w:val="num" w:pos="6480"/>
        </w:tabs>
        <w:ind w:left="6480" w:hanging="360"/>
      </w:pPr>
    </w:lvl>
  </w:abstractNum>
  <w:abstractNum w:abstractNumId="4" w15:restartNumberingAfterBreak="0">
    <w:nsid w:val="0C541888"/>
    <w:multiLevelType w:val="hybridMultilevel"/>
    <w:tmpl w:val="3C144AAC"/>
    <w:lvl w:ilvl="0" w:tplc="FA704256">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4B0AC6"/>
    <w:multiLevelType w:val="hybridMultilevel"/>
    <w:tmpl w:val="F43EA7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D23B72"/>
    <w:multiLevelType w:val="hybridMultilevel"/>
    <w:tmpl w:val="00D67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EF60F1"/>
    <w:multiLevelType w:val="singleLevel"/>
    <w:tmpl w:val="180E2B16"/>
    <w:lvl w:ilvl="0">
      <w:start w:val="1"/>
      <w:numFmt w:val="bullet"/>
      <w:pStyle w:val="Dotpoints"/>
      <w:lvlText w:val=""/>
      <w:lvlJc w:val="left"/>
      <w:pPr>
        <w:ind w:left="530" w:hanging="360"/>
      </w:pPr>
      <w:rPr>
        <w:rFonts w:ascii="Symbol" w:hAnsi="Symbol" w:hint="default"/>
        <w:color w:val="444D53" w:themeColor="accent5" w:themeShade="BF"/>
        <w:sz w:val="22"/>
      </w:rPr>
    </w:lvl>
  </w:abstractNum>
  <w:abstractNum w:abstractNumId="8" w15:restartNumberingAfterBreak="0">
    <w:nsid w:val="1B430BF6"/>
    <w:multiLevelType w:val="hybridMultilevel"/>
    <w:tmpl w:val="0472E9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0052652"/>
    <w:multiLevelType w:val="hybridMultilevel"/>
    <w:tmpl w:val="AC000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3F3FED"/>
    <w:multiLevelType w:val="hybridMultilevel"/>
    <w:tmpl w:val="45683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E076CF"/>
    <w:multiLevelType w:val="hybridMultilevel"/>
    <w:tmpl w:val="7D824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70929"/>
    <w:multiLevelType w:val="hybridMultilevel"/>
    <w:tmpl w:val="322060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6997F27"/>
    <w:multiLevelType w:val="hybridMultilevel"/>
    <w:tmpl w:val="B8DC4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22620B"/>
    <w:multiLevelType w:val="hybridMultilevel"/>
    <w:tmpl w:val="0B483352"/>
    <w:lvl w:ilvl="0" w:tplc="288CEE7E">
      <w:start w:val="1"/>
      <w:numFmt w:val="decimal"/>
      <w:lvlText w:val="%1."/>
      <w:lvlJc w:val="left"/>
      <w:pPr>
        <w:tabs>
          <w:tab w:val="num" w:pos="720"/>
        </w:tabs>
        <w:ind w:left="720" w:hanging="360"/>
      </w:pPr>
    </w:lvl>
    <w:lvl w:ilvl="1" w:tplc="198EBEDA" w:tentative="1">
      <w:start w:val="1"/>
      <w:numFmt w:val="decimal"/>
      <w:lvlText w:val="%2."/>
      <w:lvlJc w:val="left"/>
      <w:pPr>
        <w:tabs>
          <w:tab w:val="num" w:pos="1440"/>
        </w:tabs>
        <w:ind w:left="1440" w:hanging="360"/>
      </w:pPr>
    </w:lvl>
    <w:lvl w:ilvl="2" w:tplc="4AFABA90" w:tentative="1">
      <w:start w:val="1"/>
      <w:numFmt w:val="decimal"/>
      <w:lvlText w:val="%3."/>
      <w:lvlJc w:val="left"/>
      <w:pPr>
        <w:tabs>
          <w:tab w:val="num" w:pos="2160"/>
        </w:tabs>
        <w:ind w:left="2160" w:hanging="360"/>
      </w:pPr>
    </w:lvl>
    <w:lvl w:ilvl="3" w:tplc="D1ECF878" w:tentative="1">
      <w:start w:val="1"/>
      <w:numFmt w:val="decimal"/>
      <w:lvlText w:val="%4."/>
      <w:lvlJc w:val="left"/>
      <w:pPr>
        <w:tabs>
          <w:tab w:val="num" w:pos="2880"/>
        </w:tabs>
        <w:ind w:left="2880" w:hanging="360"/>
      </w:pPr>
    </w:lvl>
    <w:lvl w:ilvl="4" w:tplc="D7B24AA6" w:tentative="1">
      <w:start w:val="1"/>
      <w:numFmt w:val="decimal"/>
      <w:lvlText w:val="%5."/>
      <w:lvlJc w:val="left"/>
      <w:pPr>
        <w:tabs>
          <w:tab w:val="num" w:pos="3600"/>
        </w:tabs>
        <w:ind w:left="3600" w:hanging="360"/>
      </w:pPr>
    </w:lvl>
    <w:lvl w:ilvl="5" w:tplc="23F01364" w:tentative="1">
      <w:start w:val="1"/>
      <w:numFmt w:val="decimal"/>
      <w:lvlText w:val="%6."/>
      <w:lvlJc w:val="left"/>
      <w:pPr>
        <w:tabs>
          <w:tab w:val="num" w:pos="4320"/>
        </w:tabs>
        <w:ind w:left="4320" w:hanging="360"/>
      </w:pPr>
    </w:lvl>
    <w:lvl w:ilvl="6" w:tplc="3102841E" w:tentative="1">
      <w:start w:val="1"/>
      <w:numFmt w:val="decimal"/>
      <w:lvlText w:val="%7."/>
      <w:lvlJc w:val="left"/>
      <w:pPr>
        <w:tabs>
          <w:tab w:val="num" w:pos="5040"/>
        </w:tabs>
        <w:ind w:left="5040" w:hanging="360"/>
      </w:pPr>
    </w:lvl>
    <w:lvl w:ilvl="7" w:tplc="FFE24C8A" w:tentative="1">
      <w:start w:val="1"/>
      <w:numFmt w:val="decimal"/>
      <w:lvlText w:val="%8."/>
      <w:lvlJc w:val="left"/>
      <w:pPr>
        <w:tabs>
          <w:tab w:val="num" w:pos="5760"/>
        </w:tabs>
        <w:ind w:left="5760" w:hanging="360"/>
      </w:pPr>
    </w:lvl>
    <w:lvl w:ilvl="8" w:tplc="C9D6CDE4" w:tentative="1">
      <w:start w:val="1"/>
      <w:numFmt w:val="decimal"/>
      <w:lvlText w:val="%9."/>
      <w:lvlJc w:val="left"/>
      <w:pPr>
        <w:tabs>
          <w:tab w:val="num" w:pos="6480"/>
        </w:tabs>
        <w:ind w:left="6480" w:hanging="360"/>
      </w:pPr>
    </w:lvl>
  </w:abstractNum>
  <w:abstractNum w:abstractNumId="15" w15:restartNumberingAfterBreak="0">
    <w:nsid w:val="2FE8138F"/>
    <w:multiLevelType w:val="hybridMultilevel"/>
    <w:tmpl w:val="2E365CE2"/>
    <w:lvl w:ilvl="0" w:tplc="0C09000F">
      <w:start w:val="1"/>
      <w:numFmt w:val="decimal"/>
      <w:lvlText w:val="%1."/>
      <w:lvlJc w:val="left"/>
      <w:pPr>
        <w:ind w:left="360" w:hanging="360"/>
      </w:pPr>
    </w:lvl>
    <w:lvl w:ilvl="1" w:tplc="0C090019" w:tentative="1">
      <w:start w:val="1"/>
      <w:numFmt w:val="lowerLetter"/>
      <w:lvlText w:val="%2."/>
      <w:lvlJc w:val="left"/>
      <w:pPr>
        <w:ind w:left="900" w:hanging="360"/>
      </w:p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6" w15:restartNumberingAfterBreak="0">
    <w:nsid w:val="38205C55"/>
    <w:multiLevelType w:val="multilevel"/>
    <w:tmpl w:val="64C69DB2"/>
    <w:lvl w:ilvl="0">
      <w:start w:val="1"/>
      <w:numFmt w:val="decimal"/>
      <w:pStyle w:val="NumberedList"/>
      <w:lvlText w:val="%1."/>
      <w:lvlJc w:val="left"/>
      <w:pPr>
        <w:ind w:left="900" w:hanging="360"/>
      </w:pPr>
      <w:rPr>
        <w:rFonts w:hint="default"/>
      </w:rPr>
    </w:lvl>
    <w:lvl w:ilvl="1">
      <w:start w:val="1"/>
      <w:numFmt w:val="decimal"/>
      <w:isLgl/>
      <w:lvlText w:val="%1.%2"/>
      <w:lvlJc w:val="left"/>
      <w:pPr>
        <w:ind w:left="880" w:hanging="34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7" w15:restartNumberingAfterBreak="0">
    <w:nsid w:val="38526951"/>
    <w:multiLevelType w:val="multilevel"/>
    <w:tmpl w:val="0C09001D"/>
    <w:styleLink w:val="Style2"/>
    <w:lvl w:ilvl="0">
      <w:start w:val="1"/>
      <w:numFmt w:val="bullet"/>
      <w:lvlText w:val=""/>
      <w:lvlJc w:val="left"/>
      <w:pPr>
        <w:ind w:left="360" w:hanging="360"/>
      </w:pPr>
      <w:rPr>
        <w:rFonts w:ascii="Wingdings" w:hAnsi="Wingdings" w:hint="default"/>
        <w:color w:val="BFBFBF" w:themeColor="background1" w:themeShade="BF"/>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B450AB"/>
    <w:multiLevelType w:val="hybridMultilevel"/>
    <w:tmpl w:val="10AE3A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BC2261"/>
    <w:multiLevelType w:val="multilevel"/>
    <w:tmpl w:val="EF3A06E6"/>
    <w:lvl w:ilvl="0">
      <w:start w:val="1"/>
      <w:numFmt w:val="decimal"/>
      <w:pStyle w:val="Heading1"/>
      <w:lvlText w:val="%1"/>
      <w:lvlJc w:val="left"/>
      <w:pPr>
        <w:ind w:left="1021" w:hanging="1021"/>
      </w:pPr>
      <w:rPr>
        <w:rFonts w:hint="default"/>
      </w:rPr>
    </w:lvl>
    <w:lvl w:ilvl="1">
      <w:start w:val="1"/>
      <w:numFmt w:val="decimal"/>
      <w:pStyle w:val="Heading2"/>
      <w:lvlText w:val="%1.%2"/>
      <w:lvlJc w:val="left"/>
      <w:pPr>
        <w:ind w:left="1831" w:hanging="1021"/>
      </w:pPr>
    </w:lvl>
    <w:lvl w:ilvl="2">
      <w:start w:val="1"/>
      <w:numFmt w:val="decimal"/>
      <w:pStyle w:val="Heading3"/>
      <w:lvlText w:val="%1.%2.%3"/>
      <w:lvlJc w:val="left"/>
      <w:pPr>
        <w:ind w:left="1021" w:hanging="1021"/>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3140E44"/>
    <w:multiLevelType w:val="hybridMultilevel"/>
    <w:tmpl w:val="DDC21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114151"/>
    <w:multiLevelType w:val="hybridMultilevel"/>
    <w:tmpl w:val="1FE26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AB6126"/>
    <w:multiLevelType w:val="multilevel"/>
    <w:tmpl w:val="06B23EBC"/>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Restart w:val="0"/>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23" w15:restartNumberingAfterBreak="0">
    <w:nsid w:val="49D53475"/>
    <w:multiLevelType w:val="multilevel"/>
    <w:tmpl w:val="5B7C14E8"/>
    <w:lvl w:ilvl="0">
      <w:start w:val="1"/>
      <w:numFmt w:val="bullet"/>
      <w:lvlText w:val="●"/>
      <w:lvlJc w:val="left"/>
      <w:pPr>
        <w:ind w:left="720" w:hanging="360"/>
      </w:pPr>
      <w:rPr>
        <w:rFonts w:ascii="Noto Sans Symbols" w:eastAsia="Noto Sans Symbols" w:hAnsi="Noto Sans Symbols" w:cs="Noto Sans Symbols"/>
      </w:rPr>
    </w:lvl>
    <w:lvl w:ilvl="1">
      <w:start w:val="5"/>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FEB2163"/>
    <w:multiLevelType w:val="hybridMultilevel"/>
    <w:tmpl w:val="087616D6"/>
    <w:lvl w:ilvl="0" w:tplc="732A8650">
      <w:start w:val="1"/>
      <w:numFmt w:val="decimal"/>
      <w:lvlText w:val="%1."/>
      <w:lvlJc w:val="left"/>
      <w:pPr>
        <w:tabs>
          <w:tab w:val="num" w:pos="720"/>
        </w:tabs>
        <w:ind w:left="720" w:hanging="360"/>
      </w:pPr>
    </w:lvl>
    <w:lvl w:ilvl="1" w:tplc="22043D96">
      <w:numFmt w:val="bullet"/>
      <w:lvlText w:val="•"/>
      <w:lvlJc w:val="left"/>
      <w:pPr>
        <w:tabs>
          <w:tab w:val="num" w:pos="1440"/>
        </w:tabs>
        <w:ind w:left="1440" w:hanging="360"/>
      </w:pPr>
      <w:rPr>
        <w:rFonts w:ascii="Arial" w:hAnsi="Arial" w:hint="default"/>
      </w:rPr>
    </w:lvl>
    <w:lvl w:ilvl="2" w:tplc="03CCEF6E" w:tentative="1">
      <w:start w:val="1"/>
      <w:numFmt w:val="decimal"/>
      <w:lvlText w:val="%3."/>
      <w:lvlJc w:val="left"/>
      <w:pPr>
        <w:tabs>
          <w:tab w:val="num" w:pos="2160"/>
        </w:tabs>
        <w:ind w:left="2160" w:hanging="360"/>
      </w:pPr>
    </w:lvl>
    <w:lvl w:ilvl="3" w:tplc="D5524B9C" w:tentative="1">
      <w:start w:val="1"/>
      <w:numFmt w:val="decimal"/>
      <w:lvlText w:val="%4."/>
      <w:lvlJc w:val="left"/>
      <w:pPr>
        <w:tabs>
          <w:tab w:val="num" w:pos="2880"/>
        </w:tabs>
        <w:ind w:left="2880" w:hanging="360"/>
      </w:pPr>
    </w:lvl>
    <w:lvl w:ilvl="4" w:tplc="FE3AA86E" w:tentative="1">
      <w:start w:val="1"/>
      <w:numFmt w:val="decimal"/>
      <w:lvlText w:val="%5."/>
      <w:lvlJc w:val="left"/>
      <w:pPr>
        <w:tabs>
          <w:tab w:val="num" w:pos="3600"/>
        </w:tabs>
        <w:ind w:left="3600" w:hanging="360"/>
      </w:pPr>
    </w:lvl>
    <w:lvl w:ilvl="5" w:tplc="1AD47940" w:tentative="1">
      <w:start w:val="1"/>
      <w:numFmt w:val="decimal"/>
      <w:lvlText w:val="%6."/>
      <w:lvlJc w:val="left"/>
      <w:pPr>
        <w:tabs>
          <w:tab w:val="num" w:pos="4320"/>
        </w:tabs>
        <w:ind w:left="4320" w:hanging="360"/>
      </w:pPr>
    </w:lvl>
    <w:lvl w:ilvl="6" w:tplc="2EAA9264" w:tentative="1">
      <w:start w:val="1"/>
      <w:numFmt w:val="decimal"/>
      <w:lvlText w:val="%7."/>
      <w:lvlJc w:val="left"/>
      <w:pPr>
        <w:tabs>
          <w:tab w:val="num" w:pos="5040"/>
        </w:tabs>
        <w:ind w:left="5040" w:hanging="360"/>
      </w:pPr>
    </w:lvl>
    <w:lvl w:ilvl="7" w:tplc="A8BE3404" w:tentative="1">
      <w:start w:val="1"/>
      <w:numFmt w:val="decimal"/>
      <w:lvlText w:val="%8."/>
      <w:lvlJc w:val="left"/>
      <w:pPr>
        <w:tabs>
          <w:tab w:val="num" w:pos="5760"/>
        </w:tabs>
        <w:ind w:left="5760" w:hanging="360"/>
      </w:pPr>
    </w:lvl>
    <w:lvl w:ilvl="8" w:tplc="CEBA6798" w:tentative="1">
      <w:start w:val="1"/>
      <w:numFmt w:val="decimal"/>
      <w:lvlText w:val="%9."/>
      <w:lvlJc w:val="left"/>
      <w:pPr>
        <w:tabs>
          <w:tab w:val="num" w:pos="6480"/>
        </w:tabs>
        <w:ind w:left="6480" w:hanging="360"/>
      </w:pPr>
    </w:lvl>
  </w:abstractNum>
  <w:abstractNum w:abstractNumId="25" w15:restartNumberingAfterBreak="0">
    <w:nsid w:val="51B1358D"/>
    <w:multiLevelType w:val="hybridMultilevel"/>
    <w:tmpl w:val="9B1AB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F85546"/>
    <w:multiLevelType w:val="hybridMultilevel"/>
    <w:tmpl w:val="6F78C87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6D3AD7"/>
    <w:multiLevelType w:val="hybridMultilevel"/>
    <w:tmpl w:val="0C2E8F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F6768D"/>
    <w:multiLevelType w:val="hybridMultilevel"/>
    <w:tmpl w:val="63F2C0BA"/>
    <w:lvl w:ilvl="0" w:tplc="ABD6C02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1C06073"/>
    <w:multiLevelType w:val="hybridMultilevel"/>
    <w:tmpl w:val="EC620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1F628C"/>
    <w:multiLevelType w:val="hybridMultilevel"/>
    <w:tmpl w:val="C9A6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B81E5E"/>
    <w:multiLevelType w:val="hybridMultilevel"/>
    <w:tmpl w:val="D06653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7F56227"/>
    <w:multiLevelType w:val="multilevel"/>
    <w:tmpl w:val="914C9FD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15:restartNumberingAfterBreak="0">
    <w:nsid w:val="6A254AC1"/>
    <w:multiLevelType w:val="hybridMultilevel"/>
    <w:tmpl w:val="4EE045C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225117"/>
    <w:multiLevelType w:val="hybridMultilevel"/>
    <w:tmpl w:val="479CB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D31BD2"/>
    <w:multiLevelType w:val="hybridMultilevel"/>
    <w:tmpl w:val="059A45B2"/>
    <w:lvl w:ilvl="0" w:tplc="50C8967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EA4594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18E36C6"/>
    <w:multiLevelType w:val="hybridMultilevel"/>
    <w:tmpl w:val="ECE8446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74604985"/>
    <w:multiLevelType w:val="hybridMultilevel"/>
    <w:tmpl w:val="954AAE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E558C1"/>
    <w:multiLevelType w:val="hybridMultilevel"/>
    <w:tmpl w:val="6B00598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290036"/>
    <w:multiLevelType w:val="hybridMultilevel"/>
    <w:tmpl w:val="AC000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226EDE"/>
    <w:multiLevelType w:val="hybridMultilevel"/>
    <w:tmpl w:val="4866E5E2"/>
    <w:lvl w:ilvl="0" w:tplc="ABC885E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BB46E52"/>
    <w:multiLevelType w:val="multilevel"/>
    <w:tmpl w:val="D5887D9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2E3946"/>
    <w:multiLevelType w:val="multilevel"/>
    <w:tmpl w:val="59A81CDC"/>
    <w:styleLink w:val="Style1"/>
    <w:lvl w:ilvl="0">
      <w:start w:val="1"/>
      <w:numFmt w:val="bullet"/>
      <w:lvlText w:val=""/>
      <w:lvlJc w:val="left"/>
      <w:pPr>
        <w:ind w:left="360" w:hanging="360"/>
      </w:pPr>
      <w:rPr>
        <w:rFonts w:ascii="Wingdings" w:hAnsi="Wingdings" w:hint="default"/>
        <w:color w:val="BFBFBF" w:themeColor="background1" w:themeShade="BF"/>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C506CC8"/>
    <w:multiLevelType w:val="hybridMultilevel"/>
    <w:tmpl w:val="20EE9D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CA47426"/>
    <w:multiLevelType w:val="hybridMultilevel"/>
    <w:tmpl w:val="68E235A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22"/>
  </w:num>
  <w:num w:numId="3">
    <w:abstractNumId w:val="43"/>
  </w:num>
  <w:num w:numId="4">
    <w:abstractNumId w:val="17"/>
  </w:num>
  <w:num w:numId="5">
    <w:abstractNumId w:val="7"/>
  </w:num>
  <w:num w:numId="6">
    <w:abstractNumId w:val="19"/>
  </w:num>
  <w:num w:numId="7">
    <w:abstractNumId w:val="29"/>
  </w:num>
  <w:num w:numId="8">
    <w:abstractNumId w:val="3"/>
  </w:num>
  <w:num w:numId="9">
    <w:abstractNumId w:val="14"/>
  </w:num>
  <w:num w:numId="10">
    <w:abstractNumId w:val="36"/>
  </w:num>
  <w:num w:numId="11">
    <w:abstractNumId w:val="42"/>
  </w:num>
  <w:num w:numId="12">
    <w:abstractNumId w:val="32"/>
  </w:num>
  <w:num w:numId="13">
    <w:abstractNumId w:val="23"/>
  </w:num>
  <w:num w:numId="14">
    <w:abstractNumId w:val="25"/>
  </w:num>
  <w:num w:numId="15">
    <w:abstractNumId w:val="30"/>
  </w:num>
  <w:num w:numId="16">
    <w:abstractNumId w:val="21"/>
  </w:num>
  <w:num w:numId="17">
    <w:abstractNumId w:val="2"/>
  </w:num>
  <w:num w:numId="18">
    <w:abstractNumId w:val="24"/>
  </w:num>
  <w:num w:numId="19">
    <w:abstractNumId w:val="6"/>
  </w:num>
  <w:num w:numId="20">
    <w:abstractNumId w:val="1"/>
  </w:num>
  <w:num w:numId="21">
    <w:abstractNumId w:val="41"/>
  </w:num>
  <w:num w:numId="22">
    <w:abstractNumId w:val="28"/>
  </w:num>
  <w:num w:numId="23">
    <w:abstractNumId w:val="35"/>
  </w:num>
  <w:num w:numId="24">
    <w:abstractNumId w:val="20"/>
  </w:num>
  <w:num w:numId="25">
    <w:abstractNumId w:val="26"/>
  </w:num>
  <w:num w:numId="26">
    <w:abstractNumId w:val="10"/>
  </w:num>
  <w:num w:numId="27">
    <w:abstractNumId w:val="27"/>
  </w:num>
  <w:num w:numId="28">
    <w:abstractNumId w:val="5"/>
  </w:num>
  <w:num w:numId="29">
    <w:abstractNumId w:val="39"/>
  </w:num>
  <w:num w:numId="30">
    <w:abstractNumId w:val="45"/>
  </w:num>
  <w:num w:numId="31">
    <w:abstractNumId w:val="33"/>
  </w:num>
  <w:num w:numId="32">
    <w:abstractNumId w:val="38"/>
  </w:num>
  <w:num w:numId="33">
    <w:abstractNumId w:val="15"/>
  </w:num>
  <w:num w:numId="34">
    <w:abstractNumId w:val="4"/>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8"/>
  </w:num>
  <w:num w:numId="38">
    <w:abstractNumId w:val="9"/>
  </w:num>
  <w:num w:numId="39">
    <w:abstractNumId w:val="40"/>
  </w:num>
  <w:num w:numId="40">
    <w:abstractNumId w:val="12"/>
  </w:num>
  <w:num w:numId="41">
    <w:abstractNumId w:val="8"/>
  </w:num>
  <w:num w:numId="42">
    <w:abstractNumId w:val="31"/>
  </w:num>
  <w:num w:numId="43">
    <w:abstractNumId w:val="34"/>
  </w:num>
  <w:num w:numId="44">
    <w:abstractNumId w:val="13"/>
  </w:num>
  <w:num w:numId="45">
    <w:abstractNumId w:val="44"/>
  </w:num>
  <w:num w:numId="46">
    <w:abstractNumId w:val="11"/>
  </w:num>
  <w:num w:numId="47">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93"/>
    <w:rsid w:val="00000852"/>
    <w:rsid w:val="00000D7C"/>
    <w:rsid w:val="00003509"/>
    <w:rsid w:val="00005E0C"/>
    <w:rsid w:val="000073B5"/>
    <w:rsid w:val="000100D8"/>
    <w:rsid w:val="00010296"/>
    <w:rsid w:val="00010953"/>
    <w:rsid w:val="00010B74"/>
    <w:rsid w:val="00011D93"/>
    <w:rsid w:val="000125D8"/>
    <w:rsid w:val="00014006"/>
    <w:rsid w:val="00017616"/>
    <w:rsid w:val="000204D9"/>
    <w:rsid w:val="00021849"/>
    <w:rsid w:val="00021B2C"/>
    <w:rsid w:val="00022502"/>
    <w:rsid w:val="00023082"/>
    <w:rsid w:val="000242F1"/>
    <w:rsid w:val="00024569"/>
    <w:rsid w:val="00024940"/>
    <w:rsid w:val="00024AF8"/>
    <w:rsid w:val="00025F46"/>
    <w:rsid w:val="00026FB4"/>
    <w:rsid w:val="00027845"/>
    <w:rsid w:val="00027D64"/>
    <w:rsid w:val="000302A1"/>
    <w:rsid w:val="00031DEB"/>
    <w:rsid w:val="00033A90"/>
    <w:rsid w:val="00035564"/>
    <w:rsid w:val="0003656F"/>
    <w:rsid w:val="00036734"/>
    <w:rsid w:val="00036F9D"/>
    <w:rsid w:val="0004026E"/>
    <w:rsid w:val="000414F1"/>
    <w:rsid w:val="00041594"/>
    <w:rsid w:val="00041BB0"/>
    <w:rsid w:val="00041BBC"/>
    <w:rsid w:val="000433F8"/>
    <w:rsid w:val="000438FA"/>
    <w:rsid w:val="00045518"/>
    <w:rsid w:val="000459B9"/>
    <w:rsid w:val="00046C12"/>
    <w:rsid w:val="00047F97"/>
    <w:rsid w:val="0005197F"/>
    <w:rsid w:val="00052143"/>
    <w:rsid w:val="00052300"/>
    <w:rsid w:val="00053814"/>
    <w:rsid w:val="00055726"/>
    <w:rsid w:val="00056F99"/>
    <w:rsid w:val="000600B0"/>
    <w:rsid w:val="000637D1"/>
    <w:rsid w:val="00063CE2"/>
    <w:rsid w:val="00064561"/>
    <w:rsid w:val="0006508B"/>
    <w:rsid w:val="000664A0"/>
    <w:rsid w:val="0006755B"/>
    <w:rsid w:val="000677BB"/>
    <w:rsid w:val="00071AAC"/>
    <w:rsid w:val="00071D52"/>
    <w:rsid w:val="00071D6D"/>
    <w:rsid w:val="00072FDD"/>
    <w:rsid w:val="0007546F"/>
    <w:rsid w:val="000754BC"/>
    <w:rsid w:val="0007711D"/>
    <w:rsid w:val="0007719F"/>
    <w:rsid w:val="00081C0F"/>
    <w:rsid w:val="00081EC8"/>
    <w:rsid w:val="00081F86"/>
    <w:rsid w:val="00082B15"/>
    <w:rsid w:val="00084F21"/>
    <w:rsid w:val="00086009"/>
    <w:rsid w:val="00086C33"/>
    <w:rsid w:val="00087A10"/>
    <w:rsid w:val="00090625"/>
    <w:rsid w:val="000923B5"/>
    <w:rsid w:val="000928DA"/>
    <w:rsid w:val="0009569E"/>
    <w:rsid w:val="000967B0"/>
    <w:rsid w:val="00097E48"/>
    <w:rsid w:val="000A02BC"/>
    <w:rsid w:val="000A03B4"/>
    <w:rsid w:val="000A1DCE"/>
    <w:rsid w:val="000A3DE3"/>
    <w:rsid w:val="000A42F5"/>
    <w:rsid w:val="000A71D0"/>
    <w:rsid w:val="000A71F2"/>
    <w:rsid w:val="000A744B"/>
    <w:rsid w:val="000A7784"/>
    <w:rsid w:val="000B03E2"/>
    <w:rsid w:val="000B08DD"/>
    <w:rsid w:val="000B154C"/>
    <w:rsid w:val="000B2C50"/>
    <w:rsid w:val="000B2FA2"/>
    <w:rsid w:val="000B307B"/>
    <w:rsid w:val="000B5BAE"/>
    <w:rsid w:val="000B5F22"/>
    <w:rsid w:val="000B6700"/>
    <w:rsid w:val="000B71CD"/>
    <w:rsid w:val="000C004D"/>
    <w:rsid w:val="000C2CDF"/>
    <w:rsid w:val="000C3D9C"/>
    <w:rsid w:val="000C577A"/>
    <w:rsid w:val="000C7A50"/>
    <w:rsid w:val="000D3DF6"/>
    <w:rsid w:val="000D47C2"/>
    <w:rsid w:val="000D7ADA"/>
    <w:rsid w:val="000E100C"/>
    <w:rsid w:val="000E104B"/>
    <w:rsid w:val="000E162C"/>
    <w:rsid w:val="000E16BA"/>
    <w:rsid w:val="000E3747"/>
    <w:rsid w:val="000E3E6C"/>
    <w:rsid w:val="000E4850"/>
    <w:rsid w:val="000E5120"/>
    <w:rsid w:val="000E623B"/>
    <w:rsid w:val="000E678B"/>
    <w:rsid w:val="000E68F6"/>
    <w:rsid w:val="000F118A"/>
    <w:rsid w:val="000F208B"/>
    <w:rsid w:val="000F357B"/>
    <w:rsid w:val="000F4000"/>
    <w:rsid w:val="000F5E84"/>
    <w:rsid w:val="000F6676"/>
    <w:rsid w:val="00100D0D"/>
    <w:rsid w:val="00101732"/>
    <w:rsid w:val="001030F0"/>
    <w:rsid w:val="001032E9"/>
    <w:rsid w:val="0010360C"/>
    <w:rsid w:val="00103A79"/>
    <w:rsid w:val="00104625"/>
    <w:rsid w:val="001048E3"/>
    <w:rsid w:val="00105E3A"/>
    <w:rsid w:val="0010674D"/>
    <w:rsid w:val="00106A9E"/>
    <w:rsid w:val="00112D7C"/>
    <w:rsid w:val="00113463"/>
    <w:rsid w:val="00113975"/>
    <w:rsid w:val="00114969"/>
    <w:rsid w:val="00114F30"/>
    <w:rsid w:val="00120A45"/>
    <w:rsid w:val="00121404"/>
    <w:rsid w:val="00121B52"/>
    <w:rsid w:val="00126238"/>
    <w:rsid w:val="00126FEB"/>
    <w:rsid w:val="001310FD"/>
    <w:rsid w:val="00133F23"/>
    <w:rsid w:val="00134999"/>
    <w:rsid w:val="00134CC2"/>
    <w:rsid w:val="00134D25"/>
    <w:rsid w:val="00135600"/>
    <w:rsid w:val="001361DB"/>
    <w:rsid w:val="00137215"/>
    <w:rsid w:val="0014079B"/>
    <w:rsid w:val="00142E9D"/>
    <w:rsid w:val="00144AFF"/>
    <w:rsid w:val="0014568A"/>
    <w:rsid w:val="00145D2F"/>
    <w:rsid w:val="001469C3"/>
    <w:rsid w:val="00146E72"/>
    <w:rsid w:val="00147236"/>
    <w:rsid w:val="00150182"/>
    <w:rsid w:val="00151866"/>
    <w:rsid w:val="00151E61"/>
    <w:rsid w:val="00153971"/>
    <w:rsid w:val="00153E0B"/>
    <w:rsid w:val="00154586"/>
    <w:rsid w:val="0015503F"/>
    <w:rsid w:val="0015642C"/>
    <w:rsid w:val="0016062E"/>
    <w:rsid w:val="0016099D"/>
    <w:rsid w:val="00161851"/>
    <w:rsid w:val="001627B9"/>
    <w:rsid w:val="00162AB5"/>
    <w:rsid w:val="00162CB2"/>
    <w:rsid w:val="00164A21"/>
    <w:rsid w:val="00165364"/>
    <w:rsid w:val="00165F68"/>
    <w:rsid w:val="00166B7D"/>
    <w:rsid w:val="00167CD3"/>
    <w:rsid w:val="00167D54"/>
    <w:rsid w:val="001706EE"/>
    <w:rsid w:val="00171C7E"/>
    <w:rsid w:val="0017364D"/>
    <w:rsid w:val="001744DC"/>
    <w:rsid w:val="00174565"/>
    <w:rsid w:val="001767B1"/>
    <w:rsid w:val="00181323"/>
    <w:rsid w:val="00181592"/>
    <w:rsid w:val="001823B5"/>
    <w:rsid w:val="001824F0"/>
    <w:rsid w:val="0018352E"/>
    <w:rsid w:val="00184011"/>
    <w:rsid w:val="00184361"/>
    <w:rsid w:val="00185C07"/>
    <w:rsid w:val="0018661F"/>
    <w:rsid w:val="00186BDD"/>
    <w:rsid w:val="0018766A"/>
    <w:rsid w:val="0019126C"/>
    <w:rsid w:val="00191890"/>
    <w:rsid w:val="00192224"/>
    <w:rsid w:val="00193381"/>
    <w:rsid w:val="00193BC4"/>
    <w:rsid w:val="00193E80"/>
    <w:rsid w:val="00194208"/>
    <w:rsid w:val="001946AF"/>
    <w:rsid w:val="00194BE4"/>
    <w:rsid w:val="0019530D"/>
    <w:rsid w:val="00195F4C"/>
    <w:rsid w:val="001A45E5"/>
    <w:rsid w:val="001A527C"/>
    <w:rsid w:val="001A5560"/>
    <w:rsid w:val="001A563E"/>
    <w:rsid w:val="001A5FA6"/>
    <w:rsid w:val="001A62C3"/>
    <w:rsid w:val="001A6489"/>
    <w:rsid w:val="001A763F"/>
    <w:rsid w:val="001B0B98"/>
    <w:rsid w:val="001B0D47"/>
    <w:rsid w:val="001B1FB7"/>
    <w:rsid w:val="001B38CB"/>
    <w:rsid w:val="001B5CD7"/>
    <w:rsid w:val="001B667C"/>
    <w:rsid w:val="001C077E"/>
    <w:rsid w:val="001C1616"/>
    <w:rsid w:val="001C2F3E"/>
    <w:rsid w:val="001C4961"/>
    <w:rsid w:val="001C496B"/>
    <w:rsid w:val="001C4E7E"/>
    <w:rsid w:val="001C5271"/>
    <w:rsid w:val="001C7838"/>
    <w:rsid w:val="001C7A9C"/>
    <w:rsid w:val="001C7E47"/>
    <w:rsid w:val="001D2CA3"/>
    <w:rsid w:val="001D3988"/>
    <w:rsid w:val="001D5371"/>
    <w:rsid w:val="001D689E"/>
    <w:rsid w:val="001E0F27"/>
    <w:rsid w:val="001E1061"/>
    <w:rsid w:val="001E13BE"/>
    <w:rsid w:val="001E1AB9"/>
    <w:rsid w:val="001E2256"/>
    <w:rsid w:val="001E4AA7"/>
    <w:rsid w:val="001E5AEA"/>
    <w:rsid w:val="001E5D39"/>
    <w:rsid w:val="001E6578"/>
    <w:rsid w:val="001E66E3"/>
    <w:rsid w:val="001E769D"/>
    <w:rsid w:val="001E7C14"/>
    <w:rsid w:val="001F0AD9"/>
    <w:rsid w:val="001F3086"/>
    <w:rsid w:val="001F5412"/>
    <w:rsid w:val="001F678D"/>
    <w:rsid w:val="001F74B0"/>
    <w:rsid w:val="001F7A90"/>
    <w:rsid w:val="00200099"/>
    <w:rsid w:val="0020073B"/>
    <w:rsid w:val="00201B85"/>
    <w:rsid w:val="002028CE"/>
    <w:rsid w:val="00202D9A"/>
    <w:rsid w:val="002047AE"/>
    <w:rsid w:val="00205342"/>
    <w:rsid w:val="00206746"/>
    <w:rsid w:val="00206783"/>
    <w:rsid w:val="0020684B"/>
    <w:rsid w:val="0021124F"/>
    <w:rsid w:val="002114F0"/>
    <w:rsid w:val="002124E7"/>
    <w:rsid w:val="002134A7"/>
    <w:rsid w:val="0021370A"/>
    <w:rsid w:val="00215476"/>
    <w:rsid w:val="00215D0C"/>
    <w:rsid w:val="00216A5E"/>
    <w:rsid w:val="00220391"/>
    <w:rsid w:val="00222128"/>
    <w:rsid w:val="00223239"/>
    <w:rsid w:val="00224824"/>
    <w:rsid w:val="0022553F"/>
    <w:rsid w:val="00225708"/>
    <w:rsid w:val="002277DB"/>
    <w:rsid w:val="002306F8"/>
    <w:rsid w:val="00230A57"/>
    <w:rsid w:val="00230BF2"/>
    <w:rsid w:val="0023260A"/>
    <w:rsid w:val="00233365"/>
    <w:rsid w:val="00234FBD"/>
    <w:rsid w:val="00237122"/>
    <w:rsid w:val="002376FF"/>
    <w:rsid w:val="0024473C"/>
    <w:rsid w:val="0024713C"/>
    <w:rsid w:val="002473A6"/>
    <w:rsid w:val="00250010"/>
    <w:rsid w:val="00252896"/>
    <w:rsid w:val="002528C4"/>
    <w:rsid w:val="00252FC1"/>
    <w:rsid w:val="0025333F"/>
    <w:rsid w:val="00253678"/>
    <w:rsid w:val="002554DC"/>
    <w:rsid w:val="0025569A"/>
    <w:rsid w:val="00255755"/>
    <w:rsid w:val="00260438"/>
    <w:rsid w:val="002604B3"/>
    <w:rsid w:val="0026109F"/>
    <w:rsid w:val="00261371"/>
    <w:rsid w:val="00266A38"/>
    <w:rsid w:val="00266E76"/>
    <w:rsid w:val="00267178"/>
    <w:rsid w:val="0027019A"/>
    <w:rsid w:val="0027337D"/>
    <w:rsid w:val="00274E56"/>
    <w:rsid w:val="00275550"/>
    <w:rsid w:val="002769A1"/>
    <w:rsid w:val="00280C9F"/>
    <w:rsid w:val="00281AC7"/>
    <w:rsid w:val="00284A6E"/>
    <w:rsid w:val="0028691E"/>
    <w:rsid w:val="0028706B"/>
    <w:rsid w:val="0029123F"/>
    <w:rsid w:val="00291DFB"/>
    <w:rsid w:val="00292914"/>
    <w:rsid w:val="00292B0F"/>
    <w:rsid w:val="002946C1"/>
    <w:rsid w:val="00294F7D"/>
    <w:rsid w:val="00297060"/>
    <w:rsid w:val="00297E0B"/>
    <w:rsid w:val="002A090E"/>
    <w:rsid w:val="002A0A8F"/>
    <w:rsid w:val="002A172B"/>
    <w:rsid w:val="002A1801"/>
    <w:rsid w:val="002A2694"/>
    <w:rsid w:val="002A38B7"/>
    <w:rsid w:val="002A4C82"/>
    <w:rsid w:val="002A5BE4"/>
    <w:rsid w:val="002A5DE2"/>
    <w:rsid w:val="002A6FED"/>
    <w:rsid w:val="002A710F"/>
    <w:rsid w:val="002B34A3"/>
    <w:rsid w:val="002B672D"/>
    <w:rsid w:val="002B7DB9"/>
    <w:rsid w:val="002C3361"/>
    <w:rsid w:val="002C34FF"/>
    <w:rsid w:val="002C3929"/>
    <w:rsid w:val="002C528B"/>
    <w:rsid w:val="002C5F05"/>
    <w:rsid w:val="002D50FB"/>
    <w:rsid w:val="002D525E"/>
    <w:rsid w:val="002D637C"/>
    <w:rsid w:val="002D6AA7"/>
    <w:rsid w:val="002D767A"/>
    <w:rsid w:val="002D76A2"/>
    <w:rsid w:val="002E0718"/>
    <w:rsid w:val="002E11DD"/>
    <w:rsid w:val="002E2130"/>
    <w:rsid w:val="002E252B"/>
    <w:rsid w:val="002E2BD2"/>
    <w:rsid w:val="002E48E2"/>
    <w:rsid w:val="002E519E"/>
    <w:rsid w:val="002E51E4"/>
    <w:rsid w:val="002E5280"/>
    <w:rsid w:val="002E5857"/>
    <w:rsid w:val="002E61E6"/>
    <w:rsid w:val="002E6B7B"/>
    <w:rsid w:val="002E702E"/>
    <w:rsid w:val="002E7712"/>
    <w:rsid w:val="002F210E"/>
    <w:rsid w:val="002F3371"/>
    <w:rsid w:val="002F3629"/>
    <w:rsid w:val="002F4068"/>
    <w:rsid w:val="002F43F7"/>
    <w:rsid w:val="002F470B"/>
    <w:rsid w:val="002F50DF"/>
    <w:rsid w:val="002F65B7"/>
    <w:rsid w:val="002F7066"/>
    <w:rsid w:val="00301294"/>
    <w:rsid w:val="00302AD8"/>
    <w:rsid w:val="00302F1F"/>
    <w:rsid w:val="00303882"/>
    <w:rsid w:val="00305465"/>
    <w:rsid w:val="00306DC5"/>
    <w:rsid w:val="00307B3F"/>
    <w:rsid w:val="00307B60"/>
    <w:rsid w:val="00310C2C"/>
    <w:rsid w:val="0031205C"/>
    <w:rsid w:val="00312165"/>
    <w:rsid w:val="0031234D"/>
    <w:rsid w:val="00313251"/>
    <w:rsid w:val="00313818"/>
    <w:rsid w:val="0031387B"/>
    <w:rsid w:val="00314150"/>
    <w:rsid w:val="00315DDB"/>
    <w:rsid w:val="00317734"/>
    <w:rsid w:val="00320DDC"/>
    <w:rsid w:val="00321184"/>
    <w:rsid w:val="00322A80"/>
    <w:rsid w:val="00322BDC"/>
    <w:rsid w:val="0032333D"/>
    <w:rsid w:val="00323373"/>
    <w:rsid w:val="003248F0"/>
    <w:rsid w:val="00326DFF"/>
    <w:rsid w:val="00327065"/>
    <w:rsid w:val="0032782C"/>
    <w:rsid w:val="003279F7"/>
    <w:rsid w:val="00327E3A"/>
    <w:rsid w:val="00327E52"/>
    <w:rsid w:val="00330558"/>
    <w:rsid w:val="00330BE2"/>
    <w:rsid w:val="00331133"/>
    <w:rsid w:val="00331754"/>
    <w:rsid w:val="003329EB"/>
    <w:rsid w:val="003342BD"/>
    <w:rsid w:val="00335DED"/>
    <w:rsid w:val="00336D3D"/>
    <w:rsid w:val="0033715C"/>
    <w:rsid w:val="0033758D"/>
    <w:rsid w:val="003409F9"/>
    <w:rsid w:val="003412E8"/>
    <w:rsid w:val="00341FA2"/>
    <w:rsid w:val="003423AE"/>
    <w:rsid w:val="0034355A"/>
    <w:rsid w:val="0034486F"/>
    <w:rsid w:val="003463F4"/>
    <w:rsid w:val="003466AB"/>
    <w:rsid w:val="00346C59"/>
    <w:rsid w:val="0035208D"/>
    <w:rsid w:val="00352951"/>
    <w:rsid w:val="00354AFB"/>
    <w:rsid w:val="00356DA8"/>
    <w:rsid w:val="00356F11"/>
    <w:rsid w:val="003571E1"/>
    <w:rsid w:val="00357F95"/>
    <w:rsid w:val="00361042"/>
    <w:rsid w:val="00362FEC"/>
    <w:rsid w:val="003630FB"/>
    <w:rsid w:val="0036387B"/>
    <w:rsid w:val="00363D31"/>
    <w:rsid w:val="00363FFF"/>
    <w:rsid w:val="00366C5F"/>
    <w:rsid w:val="00370482"/>
    <w:rsid w:val="0037146D"/>
    <w:rsid w:val="00371B04"/>
    <w:rsid w:val="003723B7"/>
    <w:rsid w:val="0037308D"/>
    <w:rsid w:val="0037335A"/>
    <w:rsid w:val="003741F4"/>
    <w:rsid w:val="00374290"/>
    <w:rsid w:val="00374C28"/>
    <w:rsid w:val="00374CE5"/>
    <w:rsid w:val="00375CB4"/>
    <w:rsid w:val="0037622A"/>
    <w:rsid w:val="003767D2"/>
    <w:rsid w:val="00377B1F"/>
    <w:rsid w:val="00381738"/>
    <w:rsid w:val="003822CC"/>
    <w:rsid w:val="00383380"/>
    <w:rsid w:val="00384DD0"/>
    <w:rsid w:val="00385995"/>
    <w:rsid w:val="00385BDD"/>
    <w:rsid w:val="00385F8C"/>
    <w:rsid w:val="00386C20"/>
    <w:rsid w:val="00386EA1"/>
    <w:rsid w:val="00390A50"/>
    <w:rsid w:val="00390B03"/>
    <w:rsid w:val="00392D0E"/>
    <w:rsid w:val="0039484D"/>
    <w:rsid w:val="003A008E"/>
    <w:rsid w:val="003A00E8"/>
    <w:rsid w:val="003A178A"/>
    <w:rsid w:val="003A22CC"/>
    <w:rsid w:val="003A38E1"/>
    <w:rsid w:val="003A51A7"/>
    <w:rsid w:val="003A567E"/>
    <w:rsid w:val="003A7EB5"/>
    <w:rsid w:val="003B2A57"/>
    <w:rsid w:val="003B32CB"/>
    <w:rsid w:val="003B493F"/>
    <w:rsid w:val="003B4EE7"/>
    <w:rsid w:val="003B591B"/>
    <w:rsid w:val="003B5B97"/>
    <w:rsid w:val="003B5EAB"/>
    <w:rsid w:val="003C03B2"/>
    <w:rsid w:val="003C0902"/>
    <w:rsid w:val="003C14FA"/>
    <w:rsid w:val="003C1722"/>
    <w:rsid w:val="003C1DF6"/>
    <w:rsid w:val="003C209B"/>
    <w:rsid w:val="003C3137"/>
    <w:rsid w:val="003C3636"/>
    <w:rsid w:val="003C3725"/>
    <w:rsid w:val="003C38D8"/>
    <w:rsid w:val="003C401A"/>
    <w:rsid w:val="003C401E"/>
    <w:rsid w:val="003C5D00"/>
    <w:rsid w:val="003C6293"/>
    <w:rsid w:val="003C65F4"/>
    <w:rsid w:val="003C701E"/>
    <w:rsid w:val="003C78BB"/>
    <w:rsid w:val="003D0177"/>
    <w:rsid w:val="003D0214"/>
    <w:rsid w:val="003D0230"/>
    <w:rsid w:val="003D1215"/>
    <w:rsid w:val="003D1BB1"/>
    <w:rsid w:val="003D2C01"/>
    <w:rsid w:val="003D4AB2"/>
    <w:rsid w:val="003D57FF"/>
    <w:rsid w:val="003E1DBE"/>
    <w:rsid w:val="003E25C9"/>
    <w:rsid w:val="003E2A11"/>
    <w:rsid w:val="003E46FD"/>
    <w:rsid w:val="003E4F18"/>
    <w:rsid w:val="003E5822"/>
    <w:rsid w:val="003E5EEF"/>
    <w:rsid w:val="003E63A3"/>
    <w:rsid w:val="003E6E44"/>
    <w:rsid w:val="003E7D1E"/>
    <w:rsid w:val="003E7F09"/>
    <w:rsid w:val="003F05CD"/>
    <w:rsid w:val="003F1519"/>
    <w:rsid w:val="003F1F21"/>
    <w:rsid w:val="003F30F8"/>
    <w:rsid w:val="003F4B90"/>
    <w:rsid w:val="003F6A89"/>
    <w:rsid w:val="003F7297"/>
    <w:rsid w:val="003F7CD9"/>
    <w:rsid w:val="003F7EEB"/>
    <w:rsid w:val="0040052F"/>
    <w:rsid w:val="0040066C"/>
    <w:rsid w:val="00402387"/>
    <w:rsid w:val="00403E86"/>
    <w:rsid w:val="00404CED"/>
    <w:rsid w:val="004052C7"/>
    <w:rsid w:val="00405C7B"/>
    <w:rsid w:val="00407165"/>
    <w:rsid w:val="00407263"/>
    <w:rsid w:val="00407732"/>
    <w:rsid w:val="00410919"/>
    <w:rsid w:val="00410D7E"/>
    <w:rsid w:val="00411174"/>
    <w:rsid w:val="004113B3"/>
    <w:rsid w:val="00413B3A"/>
    <w:rsid w:val="00413DAD"/>
    <w:rsid w:val="004146A1"/>
    <w:rsid w:val="004165F6"/>
    <w:rsid w:val="0042012B"/>
    <w:rsid w:val="00420D44"/>
    <w:rsid w:val="00421B56"/>
    <w:rsid w:val="004242B3"/>
    <w:rsid w:val="004244D5"/>
    <w:rsid w:val="00424AEE"/>
    <w:rsid w:val="00424C63"/>
    <w:rsid w:val="004261BF"/>
    <w:rsid w:val="00430989"/>
    <w:rsid w:val="00430B7A"/>
    <w:rsid w:val="00433231"/>
    <w:rsid w:val="004333F8"/>
    <w:rsid w:val="00433D9B"/>
    <w:rsid w:val="00434FFE"/>
    <w:rsid w:val="00435A74"/>
    <w:rsid w:val="004363F8"/>
    <w:rsid w:val="00436AC1"/>
    <w:rsid w:val="00436E10"/>
    <w:rsid w:val="004413B2"/>
    <w:rsid w:val="00443A4F"/>
    <w:rsid w:val="00444CC4"/>
    <w:rsid w:val="0044520B"/>
    <w:rsid w:val="0044636D"/>
    <w:rsid w:val="004464B0"/>
    <w:rsid w:val="004469C6"/>
    <w:rsid w:val="00446B4F"/>
    <w:rsid w:val="00447F49"/>
    <w:rsid w:val="004507B5"/>
    <w:rsid w:val="004521A1"/>
    <w:rsid w:val="0045461E"/>
    <w:rsid w:val="00454F49"/>
    <w:rsid w:val="00454F9A"/>
    <w:rsid w:val="00457DD5"/>
    <w:rsid w:val="004605DA"/>
    <w:rsid w:val="00460AC0"/>
    <w:rsid w:val="00460EBC"/>
    <w:rsid w:val="004630D3"/>
    <w:rsid w:val="00463776"/>
    <w:rsid w:val="00463883"/>
    <w:rsid w:val="00463DB6"/>
    <w:rsid w:val="00464340"/>
    <w:rsid w:val="00465C32"/>
    <w:rsid w:val="00466B00"/>
    <w:rsid w:val="004704D2"/>
    <w:rsid w:val="0047161F"/>
    <w:rsid w:val="004716FD"/>
    <w:rsid w:val="0047172C"/>
    <w:rsid w:val="00471BC6"/>
    <w:rsid w:val="004721F4"/>
    <w:rsid w:val="00472792"/>
    <w:rsid w:val="00472870"/>
    <w:rsid w:val="00472C70"/>
    <w:rsid w:val="00473659"/>
    <w:rsid w:val="00473D8E"/>
    <w:rsid w:val="00474346"/>
    <w:rsid w:val="00475F65"/>
    <w:rsid w:val="00476015"/>
    <w:rsid w:val="00476034"/>
    <w:rsid w:val="00480A69"/>
    <w:rsid w:val="00482682"/>
    <w:rsid w:val="0048351F"/>
    <w:rsid w:val="00483CFD"/>
    <w:rsid w:val="00484BD3"/>
    <w:rsid w:val="00485F8C"/>
    <w:rsid w:val="00487A7A"/>
    <w:rsid w:val="00490C22"/>
    <w:rsid w:val="00491794"/>
    <w:rsid w:val="004938DE"/>
    <w:rsid w:val="00494B03"/>
    <w:rsid w:val="00494B58"/>
    <w:rsid w:val="00495A4F"/>
    <w:rsid w:val="00496F12"/>
    <w:rsid w:val="00497431"/>
    <w:rsid w:val="004A041F"/>
    <w:rsid w:val="004A28DF"/>
    <w:rsid w:val="004A3522"/>
    <w:rsid w:val="004A5F6F"/>
    <w:rsid w:val="004B0AAF"/>
    <w:rsid w:val="004B3F79"/>
    <w:rsid w:val="004B6028"/>
    <w:rsid w:val="004B6D7A"/>
    <w:rsid w:val="004B7E2D"/>
    <w:rsid w:val="004C14DC"/>
    <w:rsid w:val="004C2B37"/>
    <w:rsid w:val="004C30BF"/>
    <w:rsid w:val="004C380A"/>
    <w:rsid w:val="004C440B"/>
    <w:rsid w:val="004C5022"/>
    <w:rsid w:val="004C5A16"/>
    <w:rsid w:val="004C5F8D"/>
    <w:rsid w:val="004C6A04"/>
    <w:rsid w:val="004D0860"/>
    <w:rsid w:val="004D08DB"/>
    <w:rsid w:val="004D0C41"/>
    <w:rsid w:val="004D1F8E"/>
    <w:rsid w:val="004D34B1"/>
    <w:rsid w:val="004D3F5A"/>
    <w:rsid w:val="004D405C"/>
    <w:rsid w:val="004D47D7"/>
    <w:rsid w:val="004D4BFC"/>
    <w:rsid w:val="004D4D73"/>
    <w:rsid w:val="004D7095"/>
    <w:rsid w:val="004E1963"/>
    <w:rsid w:val="004E1FD0"/>
    <w:rsid w:val="004E4405"/>
    <w:rsid w:val="004E498A"/>
    <w:rsid w:val="004E512F"/>
    <w:rsid w:val="004E57BE"/>
    <w:rsid w:val="004E604C"/>
    <w:rsid w:val="004E621B"/>
    <w:rsid w:val="004E6678"/>
    <w:rsid w:val="004E6713"/>
    <w:rsid w:val="004E762B"/>
    <w:rsid w:val="004E76D4"/>
    <w:rsid w:val="004E7FB9"/>
    <w:rsid w:val="004F12D8"/>
    <w:rsid w:val="004F2639"/>
    <w:rsid w:val="004F312F"/>
    <w:rsid w:val="004F46AE"/>
    <w:rsid w:val="004F5237"/>
    <w:rsid w:val="004F5F6D"/>
    <w:rsid w:val="004F61ED"/>
    <w:rsid w:val="004F6F3C"/>
    <w:rsid w:val="004F7D4B"/>
    <w:rsid w:val="0050022C"/>
    <w:rsid w:val="00500A8B"/>
    <w:rsid w:val="00500D86"/>
    <w:rsid w:val="0050194F"/>
    <w:rsid w:val="00501FC8"/>
    <w:rsid w:val="00502315"/>
    <w:rsid w:val="00503C97"/>
    <w:rsid w:val="005072E8"/>
    <w:rsid w:val="00510E06"/>
    <w:rsid w:val="00510FD2"/>
    <w:rsid w:val="005119CF"/>
    <w:rsid w:val="00511E5D"/>
    <w:rsid w:val="00512A19"/>
    <w:rsid w:val="00513352"/>
    <w:rsid w:val="00513A34"/>
    <w:rsid w:val="00513E47"/>
    <w:rsid w:val="00515F89"/>
    <w:rsid w:val="00516511"/>
    <w:rsid w:val="00520428"/>
    <w:rsid w:val="0052104A"/>
    <w:rsid w:val="00521757"/>
    <w:rsid w:val="005217AA"/>
    <w:rsid w:val="00523CF7"/>
    <w:rsid w:val="00525749"/>
    <w:rsid w:val="00525F08"/>
    <w:rsid w:val="00526404"/>
    <w:rsid w:val="00526D0A"/>
    <w:rsid w:val="00527379"/>
    <w:rsid w:val="00531298"/>
    <w:rsid w:val="00533302"/>
    <w:rsid w:val="005335B3"/>
    <w:rsid w:val="00533B9A"/>
    <w:rsid w:val="005357DC"/>
    <w:rsid w:val="00535A67"/>
    <w:rsid w:val="00537C4B"/>
    <w:rsid w:val="00540230"/>
    <w:rsid w:val="005440EC"/>
    <w:rsid w:val="00547A9E"/>
    <w:rsid w:val="005507B5"/>
    <w:rsid w:val="005510F1"/>
    <w:rsid w:val="0055256A"/>
    <w:rsid w:val="00553524"/>
    <w:rsid w:val="00553C42"/>
    <w:rsid w:val="005555BB"/>
    <w:rsid w:val="005564B9"/>
    <w:rsid w:val="00556608"/>
    <w:rsid w:val="00560D5E"/>
    <w:rsid w:val="005629B4"/>
    <w:rsid w:val="005642F4"/>
    <w:rsid w:val="005643D2"/>
    <w:rsid w:val="00564B4A"/>
    <w:rsid w:val="00565486"/>
    <w:rsid w:val="00565A50"/>
    <w:rsid w:val="00566EE7"/>
    <w:rsid w:val="00567B3A"/>
    <w:rsid w:val="00570628"/>
    <w:rsid w:val="00572609"/>
    <w:rsid w:val="005734C8"/>
    <w:rsid w:val="00574999"/>
    <w:rsid w:val="005758EB"/>
    <w:rsid w:val="00577FD4"/>
    <w:rsid w:val="00581F26"/>
    <w:rsid w:val="00583753"/>
    <w:rsid w:val="00585B43"/>
    <w:rsid w:val="005873E3"/>
    <w:rsid w:val="0059152A"/>
    <w:rsid w:val="00594096"/>
    <w:rsid w:val="00594FCA"/>
    <w:rsid w:val="00596142"/>
    <w:rsid w:val="00597540"/>
    <w:rsid w:val="005A0074"/>
    <w:rsid w:val="005A0B5D"/>
    <w:rsid w:val="005A1469"/>
    <w:rsid w:val="005A2101"/>
    <w:rsid w:val="005A2370"/>
    <w:rsid w:val="005A3549"/>
    <w:rsid w:val="005A3AE8"/>
    <w:rsid w:val="005A6532"/>
    <w:rsid w:val="005A6D1B"/>
    <w:rsid w:val="005B0ED2"/>
    <w:rsid w:val="005B0F4F"/>
    <w:rsid w:val="005B2D37"/>
    <w:rsid w:val="005B36DF"/>
    <w:rsid w:val="005B4820"/>
    <w:rsid w:val="005B5EDD"/>
    <w:rsid w:val="005B7A8D"/>
    <w:rsid w:val="005B7DC7"/>
    <w:rsid w:val="005C005C"/>
    <w:rsid w:val="005C05AE"/>
    <w:rsid w:val="005C24D6"/>
    <w:rsid w:val="005C2809"/>
    <w:rsid w:val="005C2E7C"/>
    <w:rsid w:val="005C3EA6"/>
    <w:rsid w:val="005C43BE"/>
    <w:rsid w:val="005C4C37"/>
    <w:rsid w:val="005C51BD"/>
    <w:rsid w:val="005C71A2"/>
    <w:rsid w:val="005C7472"/>
    <w:rsid w:val="005C7D95"/>
    <w:rsid w:val="005D1AC4"/>
    <w:rsid w:val="005D2ECF"/>
    <w:rsid w:val="005D3EA2"/>
    <w:rsid w:val="005D4810"/>
    <w:rsid w:val="005D4DB4"/>
    <w:rsid w:val="005D5D1E"/>
    <w:rsid w:val="005D6516"/>
    <w:rsid w:val="005D6CA9"/>
    <w:rsid w:val="005D7115"/>
    <w:rsid w:val="005D7D1C"/>
    <w:rsid w:val="005E0EEB"/>
    <w:rsid w:val="005E10AA"/>
    <w:rsid w:val="005E114C"/>
    <w:rsid w:val="005E2475"/>
    <w:rsid w:val="005E48D3"/>
    <w:rsid w:val="005F1A34"/>
    <w:rsid w:val="005F1A51"/>
    <w:rsid w:val="005F1A64"/>
    <w:rsid w:val="005F21C3"/>
    <w:rsid w:val="005F23D3"/>
    <w:rsid w:val="005F315D"/>
    <w:rsid w:val="005F36AA"/>
    <w:rsid w:val="005F766C"/>
    <w:rsid w:val="00603290"/>
    <w:rsid w:val="00603A5B"/>
    <w:rsid w:val="00604532"/>
    <w:rsid w:val="00605E17"/>
    <w:rsid w:val="006077EC"/>
    <w:rsid w:val="00607B75"/>
    <w:rsid w:val="00607C92"/>
    <w:rsid w:val="00610521"/>
    <w:rsid w:val="00611DE4"/>
    <w:rsid w:val="00611E8F"/>
    <w:rsid w:val="00611F3B"/>
    <w:rsid w:val="0061270B"/>
    <w:rsid w:val="006127EA"/>
    <w:rsid w:val="0061297B"/>
    <w:rsid w:val="00613633"/>
    <w:rsid w:val="006140E7"/>
    <w:rsid w:val="00614466"/>
    <w:rsid w:val="006145FE"/>
    <w:rsid w:val="00614EE8"/>
    <w:rsid w:val="0061629D"/>
    <w:rsid w:val="00617DB7"/>
    <w:rsid w:val="0062016E"/>
    <w:rsid w:val="0062063F"/>
    <w:rsid w:val="0062089E"/>
    <w:rsid w:val="00621143"/>
    <w:rsid w:val="00621FD5"/>
    <w:rsid w:val="0062377E"/>
    <w:rsid w:val="006237A6"/>
    <w:rsid w:val="00624EFB"/>
    <w:rsid w:val="00626AE3"/>
    <w:rsid w:val="00627D80"/>
    <w:rsid w:val="0063000E"/>
    <w:rsid w:val="0063017D"/>
    <w:rsid w:val="00632269"/>
    <w:rsid w:val="00632407"/>
    <w:rsid w:val="00633B97"/>
    <w:rsid w:val="00635402"/>
    <w:rsid w:val="00635DA5"/>
    <w:rsid w:val="0063621E"/>
    <w:rsid w:val="00637565"/>
    <w:rsid w:val="0063786D"/>
    <w:rsid w:val="00640EC1"/>
    <w:rsid w:val="006434D9"/>
    <w:rsid w:val="006436EB"/>
    <w:rsid w:val="0064393F"/>
    <w:rsid w:val="00644AFF"/>
    <w:rsid w:val="00644F61"/>
    <w:rsid w:val="006451CA"/>
    <w:rsid w:val="00645389"/>
    <w:rsid w:val="00645931"/>
    <w:rsid w:val="00645F9C"/>
    <w:rsid w:val="006469EA"/>
    <w:rsid w:val="00646A15"/>
    <w:rsid w:val="00646D13"/>
    <w:rsid w:val="00647D9F"/>
    <w:rsid w:val="00650706"/>
    <w:rsid w:val="0065222A"/>
    <w:rsid w:val="00653D62"/>
    <w:rsid w:val="0065635D"/>
    <w:rsid w:val="00657240"/>
    <w:rsid w:val="00657E34"/>
    <w:rsid w:val="00660375"/>
    <w:rsid w:val="0066097A"/>
    <w:rsid w:val="00660B61"/>
    <w:rsid w:val="00660DDA"/>
    <w:rsid w:val="006614CF"/>
    <w:rsid w:val="006622FE"/>
    <w:rsid w:val="006636CF"/>
    <w:rsid w:val="00664718"/>
    <w:rsid w:val="00665076"/>
    <w:rsid w:val="00665E6E"/>
    <w:rsid w:val="0066735B"/>
    <w:rsid w:val="00667EB7"/>
    <w:rsid w:val="006700D0"/>
    <w:rsid w:val="0067011C"/>
    <w:rsid w:val="00670B79"/>
    <w:rsid w:val="00673EB4"/>
    <w:rsid w:val="00673FB3"/>
    <w:rsid w:val="006807F3"/>
    <w:rsid w:val="006808A1"/>
    <w:rsid w:val="00680E4D"/>
    <w:rsid w:val="006811C6"/>
    <w:rsid w:val="0068223A"/>
    <w:rsid w:val="00682655"/>
    <w:rsid w:val="00683745"/>
    <w:rsid w:val="006838B7"/>
    <w:rsid w:val="00684659"/>
    <w:rsid w:val="00684DCE"/>
    <w:rsid w:val="00690D95"/>
    <w:rsid w:val="00691590"/>
    <w:rsid w:val="006920BE"/>
    <w:rsid w:val="006920D2"/>
    <w:rsid w:val="006931D6"/>
    <w:rsid w:val="00695744"/>
    <w:rsid w:val="00696EA0"/>
    <w:rsid w:val="006A0E8B"/>
    <w:rsid w:val="006A1058"/>
    <w:rsid w:val="006A23E5"/>
    <w:rsid w:val="006A342B"/>
    <w:rsid w:val="006A3490"/>
    <w:rsid w:val="006A4296"/>
    <w:rsid w:val="006A4FEA"/>
    <w:rsid w:val="006A51A8"/>
    <w:rsid w:val="006A60B7"/>
    <w:rsid w:val="006B2D27"/>
    <w:rsid w:val="006B3824"/>
    <w:rsid w:val="006C0215"/>
    <w:rsid w:val="006C0755"/>
    <w:rsid w:val="006C2162"/>
    <w:rsid w:val="006C32DE"/>
    <w:rsid w:val="006C3CAE"/>
    <w:rsid w:val="006C3FA2"/>
    <w:rsid w:val="006C5925"/>
    <w:rsid w:val="006C6094"/>
    <w:rsid w:val="006C6819"/>
    <w:rsid w:val="006C68CF"/>
    <w:rsid w:val="006C6EC0"/>
    <w:rsid w:val="006C72A9"/>
    <w:rsid w:val="006D0221"/>
    <w:rsid w:val="006D03D4"/>
    <w:rsid w:val="006D1A1F"/>
    <w:rsid w:val="006D1ED1"/>
    <w:rsid w:val="006D3AA6"/>
    <w:rsid w:val="006D3DBC"/>
    <w:rsid w:val="006D6C39"/>
    <w:rsid w:val="006D6EA5"/>
    <w:rsid w:val="006D706B"/>
    <w:rsid w:val="006E0132"/>
    <w:rsid w:val="006E0928"/>
    <w:rsid w:val="006E0F2D"/>
    <w:rsid w:val="006E1243"/>
    <w:rsid w:val="006E194D"/>
    <w:rsid w:val="006E1E94"/>
    <w:rsid w:val="006E30EB"/>
    <w:rsid w:val="006E3B76"/>
    <w:rsid w:val="006E55E1"/>
    <w:rsid w:val="006E68FE"/>
    <w:rsid w:val="006E6FE4"/>
    <w:rsid w:val="006E71D6"/>
    <w:rsid w:val="006F0CB6"/>
    <w:rsid w:val="006F1627"/>
    <w:rsid w:val="006F17B6"/>
    <w:rsid w:val="006F189F"/>
    <w:rsid w:val="006F1993"/>
    <w:rsid w:val="006F1995"/>
    <w:rsid w:val="006F1B54"/>
    <w:rsid w:val="006F2C44"/>
    <w:rsid w:val="006F354D"/>
    <w:rsid w:val="006F40B9"/>
    <w:rsid w:val="006F489D"/>
    <w:rsid w:val="006F57AE"/>
    <w:rsid w:val="006F653D"/>
    <w:rsid w:val="006F791B"/>
    <w:rsid w:val="006F7CF5"/>
    <w:rsid w:val="007001BA"/>
    <w:rsid w:val="00700F6C"/>
    <w:rsid w:val="0070329A"/>
    <w:rsid w:val="00703509"/>
    <w:rsid w:val="00703EB1"/>
    <w:rsid w:val="0070400E"/>
    <w:rsid w:val="007058A5"/>
    <w:rsid w:val="00706696"/>
    <w:rsid w:val="007074E0"/>
    <w:rsid w:val="0071293A"/>
    <w:rsid w:val="00712F9C"/>
    <w:rsid w:val="00712FCC"/>
    <w:rsid w:val="0071452F"/>
    <w:rsid w:val="007145DC"/>
    <w:rsid w:val="0071639F"/>
    <w:rsid w:val="00716E2B"/>
    <w:rsid w:val="00717A7F"/>
    <w:rsid w:val="00717F5A"/>
    <w:rsid w:val="0072182D"/>
    <w:rsid w:val="00721AD4"/>
    <w:rsid w:val="00722066"/>
    <w:rsid w:val="00723732"/>
    <w:rsid w:val="00723B9E"/>
    <w:rsid w:val="00725063"/>
    <w:rsid w:val="007256BB"/>
    <w:rsid w:val="0072627A"/>
    <w:rsid w:val="007263FA"/>
    <w:rsid w:val="00726D15"/>
    <w:rsid w:val="00726F98"/>
    <w:rsid w:val="00730EEC"/>
    <w:rsid w:val="00731EF3"/>
    <w:rsid w:val="00731F94"/>
    <w:rsid w:val="00732988"/>
    <w:rsid w:val="007335FE"/>
    <w:rsid w:val="007339FC"/>
    <w:rsid w:val="00734B97"/>
    <w:rsid w:val="007360C1"/>
    <w:rsid w:val="007368BD"/>
    <w:rsid w:val="00740040"/>
    <w:rsid w:val="0074317D"/>
    <w:rsid w:val="0074317F"/>
    <w:rsid w:val="0074383E"/>
    <w:rsid w:val="007505F4"/>
    <w:rsid w:val="00750AEA"/>
    <w:rsid w:val="00751BC5"/>
    <w:rsid w:val="007521DB"/>
    <w:rsid w:val="0075491C"/>
    <w:rsid w:val="00755742"/>
    <w:rsid w:val="00755FA3"/>
    <w:rsid w:val="00756129"/>
    <w:rsid w:val="00756D9D"/>
    <w:rsid w:val="00757282"/>
    <w:rsid w:val="007573E6"/>
    <w:rsid w:val="00760777"/>
    <w:rsid w:val="00761DC7"/>
    <w:rsid w:val="00762B60"/>
    <w:rsid w:val="00763BC4"/>
    <w:rsid w:val="00765670"/>
    <w:rsid w:val="00765CA3"/>
    <w:rsid w:val="00767602"/>
    <w:rsid w:val="00770769"/>
    <w:rsid w:val="00771485"/>
    <w:rsid w:val="007721A7"/>
    <w:rsid w:val="00772376"/>
    <w:rsid w:val="007728DC"/>
    <w:rsid w:val="00772CD8"/>
    <w:rsid w:val="00773D11"/>
    <w:rsid w:val="00775232"/>
    <w:rsid w:val="0077739A"/>
    <w:rsid w:val="00777C01"/>
    <w:rsid w:val="0078006D"/>
    <w:rsid w:val="00780B5F"/>
    <w:rsid w:val="0078196D"/>
    <w:rsid w:val="0078453A"/>
    <w:rsid w:val="00784A18"/>
    <w:rsid w:val="00785002"/>
    <w:rsid w:val="0078640C"/>
    <w:rsid w:val="0078650C"/>
    <w:rsid w:val="00786EAE"/>
    <w:rsid w:val="0079006F"/>
    <w:rsid w:val="0079021C"/>
    <w:rsid w:val="007909A5"/>
    <w:rsid w:val="0079139F"/>
    <w:rsid w:val="007915D4"/>
    <w:rsid w:val="00791C02"/>
    <w:rsid w:val="0079229A"/>
    <w:rsid w:val="00792B5A"/>
    <w:rsid w:val="00794A7B"/>
    <w:rsid w:val="00796C50"/>
    <w:rsid w:val="007A09A0"/>
    <w:rsid w:val="007A0C04"/>
    <w:rsid w:val="007A0C74"/>
    <w:rsid w:val="007A0DF2"/>
    <w:rsid w:val="007A1145"/>
    <w:rsid w:val="007A21DE"/>
    <w:rsid w:val="007A3301"/>
    <w:rsid w:val="007A3954"/>
    <w:rsid w:val="007A4098"/>
    <w:rsid w:val="007A46F6"/>
    <w:rsid w:val="007A51AA"/>
    <w:rsid w:val="007A6D53"/>
    <w:rsid w:val="007A7554"/>
    <w:rsid w:val="007B0B31"/>
    <w:rsid w:val="007B141E"/>
    <w:rsid w:val="007B2108"/>
    <w:rsid w:val="007B3321"/>
    <w:rsid w:val="007B444C"/>
    <w:rsid w:val="007B5BC2"/>
    <w:rsid w:val="007B679E"/>
    <w:rsid w:val="007B6EA5"/>
    <w:rsid w:val="007B705C"/>
    <w:rsid w:val="007C0922"/>
    <w:rsid w:val="007C1169"/>
    <w:rsid w:val="007C15A4"/>
    <w:rsid w:val="007C4509"/>
    <w:rsid w:val="007C59AD"/>
    <w:rsid w:val="007C60EE"/>
    <w:rsid w:val="007C6863"/>
    <w:rsid w:val="007C7CEC"/>
    <w:rsid w:val="007D0922"/>
    <w:rsid w:val="007D0E4A"/>
    <w:rsid w:val="007D134B"/>
    <w:rsid w:val="007D1E6C"/>
    <w:rsid w:val="007D200F"/>
    <w:rsid w:val="007D20FF"/>
    <w:rsid w:val="007D31B6"/>
    <w:rsid w:val="007D3EF8"/>
    <w:rsid w:val="007D45D8"/>
    <w:rsid w:val="007D5866"/>
    <w:rsid w:val="007D76AF"/>
    <w:rsid w:val="007E0881"/>
    <w:rsid w:val="007E11AF"/>
    <w:rsid w:val="007E21C3"/>
    <w:rsid w:val="007E2A0D"/>
    <w:rsid w:val="007E6588"/>
    <w:rsid w:val="007E6ACE"/>
    <w:rsid w:val="007E6C7B"/>
    <w:rsid w:val="007E7617"/>
    <w:rsid w:val="007E76F1"/>
    <w:rsid w:val="007F0A3A"/>
    <w:rsid w:val="007F1163"/>
    <w:rsid w:val="007F158A"/>
    <w:rsid w:val="007F1833"/>
    <w:rsid w:val="007F19BB"/>
    <w:rsid w:val="007F3705"/>
    <w:rsid w:val="007F4AD6"/>
    <w:rsid w:val="007F6EDA"/>
    <w:rsid w:val="007F7A03"/>
    <w:rsid w:val="008020F9"/>
    <w:rsid w:val="00803357"/>
    <w:rsid w:val="00803DB5"/>
    <w:rsid w:val="00804298"/>
    <w:rsid w:val="0080457E"/>
    <w:rsid w:val="00804B67"/>
    <w:rsid w:val="00805746"/>
    <w:rsid w:val="00805A3D"/>
    <w:rsid w:val="008067C2"/>
    <w:rsid w:val="00807297"/>
    <w:rsid w:val="008076CE"/>
    <w:rsid w:val="00813B5D"/>
    <w:rsid w:val="00813BD0"/>
    <w:rsid w:val="0081460F"/>
    <w:rsid w:val="008153EC"/>
    <w:rsid w:val="00816B33"/>
    <w:rsid w:val="008207E8"/>
    <w:rsid w:val="0082158E"/>
    <w:rsid w:val="00823709"/>
    <w:rsid w:val="00823ED9"/>
    <w:rsid w:val="00824F97"/>
    <w:rsid w:val="0082521F"/>
    <w:rsid w:val="008268A4"/>
    <w:rsid w:val="0082790F"/>
    <w:rsid w:val="00827F5A"/>
    <w:rsid w:val="00830181"/>
    <w:rsid w:val="0083085F"/>
    <w:rsid w:val="00830A33"/>
    <w:rsid w:val="008327F1"/>
    <w:rsid w:val="00833B30"/>
    <w:rsid w:val="00836A0A"/>
    <w:rsid w:val="008371D0"/>
    <w:rsid w:val="00840160"/>
    <w:rsid w:val="00841084"/>
    <w:rsid w:val="008412BF"/>
    <w:rsid w:val="008415F9"/>
    <w:rsid w:val="0084264C"/>
    <w:rsid w:val="00844768"/>
    <w:rsid w:val="00844C94"/>
    <w:rsid w:val="008468C5"/>
    <w:rsid w:val="0084695C"/>
    <w:rsid w:val="00847A4D"/>
    <w:rsid w:val="00847A5A"/>
    <w:rsid w:val="00847C5A"/>
    <w:rsid w:val="00850985"/>
    <w:rsid w:val="00850F79"/>
    <w:rsid w:val="00852BCC"/>
    <w:rsid w:val="00852C0B"/>
    <w:rsid w:val="0085303B"/>
    <w:rsid w:val="0085306F"/>
    <w:rsid w:val="008530F3"/>
    <w:rsid w:val="008531FE"/>
    <w:rsid w:val="008534D9"/>
    <w:rsid w:val="00853C0B"/>
    <w:rsid w:val="00853DCD"/>
    <w:rsid w:val="00854921"/>
    <w:rsid w:val="00854EC9"/>
    <w:rsid w:val="00855993"/>
    <w:rsid w:val="00856148"/>
    <w:rsid w:val="008564D8"/>
    <w:rsid w:val="008566AD"/>
    <w:rsid w:val="00860A53"/>
    <w:rsid w:val="00860B2D"/>
    <w:rsid w:val="00861E88"/>
    <w:rsid w:val="0086271D"/>
    <w:rsid w:val="008639E0"/>
    <w:rsid w:val="00864376"/>
    <w:rsid w:val="00864D55"/>
    <w:rsid w:val="008668DC"/>
    <w:rsid w:val="0086724F"/>
    <w:rsid w:val="00870DD5"/>
    <w:rsid w:val="0087124D"/>
    <w:rsid w:val="00872E30"/>
    <w:rsid w:val="00872FD8"/>
    <w:rsid w:val="00874D1F"/>
    <w:rsid w:val="0087533E"/>
    <w:rsid w:val="00875860"/>
    <w:rsid w:val="00876CDA"/>
    <w:rsid w:val="00877595"/>
    <w:rsid w:val="00880D68"/>
    <w:rsid w:val="00881546"/>
    <w:rsid w:val="008829D2"/>
    <w:rsid w:val="008867C2"/>
    <w:rsid w:val="00886C35"/>
    <w:rsid w:val="00887836"/>
    <w:rsid w:val="00890C8E"/>
    <w:rsid w:val="0089101B"/>
    <w:rsid w:val="0089132A"/>
    <w:rsid w:val="00891771"/>
    <w:rsid w:val="00892CA9"/>
    <w:rsid w:val="00894CBC"/>
    <w:rsid w:val="00895831"/>
    <w:rsid w:val="00895AC2"/>
    <w:rsid w:val="00896248"/>
    <w:rsid w:val="00896B6F"/>
    <w:rsid w:val="008A12C4"/>
    <w:rsid w:val="008A20D4"/>
    <w:rsid w:val="008A2342"/>
    <w:rsid w:val="008A2393"/>
    <w:rsid w:val="008A25AE"/>
    <w:rsid w:val="008A3800"/>
    <w:rsid w:val="008A3F38"/>
    <w:rsid w:val="008A3F39"/>
    <w:rsid w:val="008A439D"/>
    <w:rsid w:val="008A4D6E"/>
    <w:rsid w:val="008A72DD"/>
    <w:rsid w:val="008B3383"/>
    <w:rsid w:val="008B3ACB"/>
    <w:rsid w:val="008B4B87"/>
    <w:rsid w:val="008B4D1A"/>
    <w:rsid w:val="008B537F"/>
    <w:rsid w:val="008B53A5"/>
    <w:rsid w:val="008B570E"/>
    <w:rsid w:val="008B6CB9"/>
    <w:rsid w:val="008B72C6"/>
    <w:rsid w:val="008C0550"/>
    <w:rsid w:val="008C0F87"/>
    <w:rsid w:val="008C1384"/>
    <w:rsid w:val="008C181A"/>
    <w:rsid w:val="008C328B"/>
    <w:rsid w:val="008C3AAA"/>
    <w:rsid w:val="008C3D05"/>
    <w:rsid w:val="008C4F8D"/>
    <w:rsid w:val="008C5858"/>
    <w:rsid w:val="008C5B71"/>
    <w:rsid w:val="008C5F14"/>
    <w:rsid w:val="008C621A"/>
    <w:rsid w:val="008C76CC"/>
    <w:rsid w:val="008C79A7"/>
    <w:rsid w:val="008D136B"/>
    <w:rsid w:val="008D1CCC"/>
    <w:rsid w:val="008D2589"/>
    <w:rsid w:val="008D2C47"/>
    <w:rsid w:val="008D327D"/>
    <w:rsid w:val="008D3F8D"/>
    <w:rsid w:val="008D4563"/>
    <w:rsid w:val="008D6E98"/>
    <w:rsid w:val="008D745E"/>
    <w:rsid w:val="008E06AC"/>
    <w:rsid w:val="008E071A"/>
    <w:rsid w:val="008E1502"/>
    <w:rsid w:val="008E26AA"/>
    <w:rsid w:val="008E2BB8"/>
    <w:rsid w:val="008E2BC3"/>
    <w:rsid w:val="008E3528"/>
    <w:rsid w:val="008E66B2"/>
    <w:rsid w:val="008E7F64"/>
    <w:rsid w:val="008F0045"/>
    <w:rsid w:val="008F0263"/>
    <w:rsid w:val="008F1CC7"/>
    <w:rsid w:val="008F3709"/>
    <w:rsid w:val="008F427D"/>
    <w:rsid w:val="008F6443"/>
    <w:rsid w:val="008F77C5"/>
    <w:rsid w:val="008F7FDB"/>
    <w:rsid w:val="00900746"/>
    <w:rsid w:val="00901422"/>
    <w:rsid w:val="00903081"/>
    <w:rsid w:val="0090395A"/>
    <w:rsid w:val="00904A84"/>
    <w:rsid w:val="00904F8D"/>
    <w:rsid w:val="00904FDF"/>
    <w:rsid w:val="00906164"/>
    <w:rsid w:val="0091351E"/>
    <w:rsid w:val="00916090"/>
    <w:rsid w:val="009160E0"/>
    <w:rsid w:val="00916B25"/>
    <w:rsid w:val="00917737"/>
    <w:rsid w:val="009178AE"/>
    <w:rsid w:val="00917C3A"/>
    <w:rsid w:val="00920B96"/>
    <w:rsid w:val="0092183B"/>
    <w:rsid w:val="00921FD6"/>
    <w:rsid w:val="00923776"/>
    <w:rsid w:val="0092569A"/>
    <w:rsid w:val="009303B2"/>
    <w:rsid w:val="009317DF"/>
    <w:rsid w:val="00932A19"/>
    <w:rsid w:val="009349FA"/>
    <w:rsid w:val="00935BCF"/>
    <w:rsid w:val="00940222"/>
    <w:rsid w:val="009410F0"/>
    <w:rsid w:val="00943B8A"/>
    <w:rsid w:val="00943DFC"/>
    <w:rsid w:val="00945554"/>
    <w:rsid w:val="00950E1B"/>
    <w:rsid w:val="0095217E"/>
    <w:rsid w:val="00953DAF"/>
    <w:rsid w:val="00953ED4"/>
    <w:rsid w:val="009550A0"/>
    <w:rsid w:val="00957D6B"/>
    <w:rsid w:val="009601D7"/>
    <w:rsid w:val="00960C3E"/>
    <w:rsid w:val="00962752"/>
    <w:rsid w:val="00962FB8"/>
    <w:rsid w:val="009639C5"/>
    <w:rsid w:val="00963C18"/>
    <w:rsid w:val="0096532F"/>
    <w:rsid w:val="00965BF1"/>
    <w:rsid w:val="00966E0F"/>
    <w:rsid w:val="009677CD"/>
    <w:rsid w:val="00967E4F"/>
    <w:rsid w:val="0097047A"/>
    <w:rsid w:val="00972D9B"/>
    <w:rsid w:val="00975850"/>
    <w:rsid w:val="00975934"/>
    <w:rsid w:val="00976FD6"/>
    <w:rsid w:val="00977245"/>
    <w:rsid w:val="00980A26"/>
    <w:rsid w:val="009830F1"/>
    <w:rsid w:val="00984CEC"/>
    <w:rsid w:val="009855FA"/>
    <w:rsid w:val="00985AF8"/>
    <w:rsid w:val="00986B61"/>
    <w:rsid w:val="00990BD3"/>
    <w:rsid w:val="00993DAA"/>
    <w:rsid w:val="00995C8E"/>
    <w:rsid w:val="00995ED9"/>
    <w:rsid w:val="00996DD0"/>
    <w:rsid w:val="0099702D"/>
    <w:rsid w:val="00997C36"/>
    <w:rsid w:val="00997F8C"/>
    <w:rsid w:val="009A01EE"/>
    <w:rsid w:val="009A2B48"/>
    <w:rsid w:val="009A3979"/>
    <w:rsid w:val="009A4419"/>
    <w:rsid w:val="009A5B65"/>
    <w:rsid w:val="009B3B97"/>
    <w:rsid w:val="009B5025"/>
    <w:rsid w:val="009B5E78"/>
    <w:rsid w:val="009B69AB"/>
    <w:rsid w:val="009B6FA3"/>
    <w:rsid w:val="009B7047"/>
    <w:rsid w:val="009C149C"/>
    <w:rsid w:val="009C2578"/>
    <w:rsid w:val="009C3C31"/>
    <w:rsid w:val="009C4DC8"/>
    <w:rsid w:val="009C5CC9"/>
    <w:rsid w:val="009C603C"/>
    <w:rsid w:val="009C6173"/>
    <w:rsid w:val="009C7016"/>
    <w:rsid w:val="009D0190"/>
    <w:rsid w:val="009D038C"/>
    <w:rsid w:val="009D15B9"/>
    <w:rsid w:val="009D1C26"/>
    <w:rsid w:val="009D1FB9"/>
    <w:rsid w:val="009D2850"/>
    <w:rsid w:val="009D2E86"/>
    <w:rsid w:val="009D41C0"/>
    <w:rsid w:val="009D434C"/>
    <w:rsid w:val="009D5A71"/>
    <w:rsid w:val="009D64F4"/>
    <w:rsid w:val="009D7EA2"/>
    <w:rsid w:val="009D7EC5"/>
    <w:rsid w:val="009E1653"/>
    <w:rsid w:val="009E1D17"/>
    <w:rsid w:val="009E258F"/>
    <w:rsid w:val="009E2850"/>
    <w:rsid w:val="009E349E"/>
    <w:rsid w:val="009E447A"/>
    <w:rsid w:val="009E5848"/>
    <w:rsid w:val="009E69FB"/>
    <w:rsid w:val="009E6AB9"/>
    <w:rsid w:val="009E7F65"/>
    <w:rsid w:val="009F05DC"/>
    <w:rsid w:val="009F2357"/>
    <w:rsid w:val="009F252A"/>
    <w:rsid w:val="009F28C5"/>
    <w:rsid w:val="009F2A2A"/>
    <w:rsid w:val="009F3A05"/>
    <w:rsid w:val="009F3CED"/>
    <w:rsid w:val="009F43F8"/>
    <w:rsid w:val="009F4556"/>
    <w:rsid w:val="009F47F8"/>
    <w:rsid w:val="009F5438"/>
    <w:rsid w:val="009F5BC8"/>
    <w:rsid w:val="009F6C18"/>
    <w:rsid w:val="009F797A"/>
    <w:rsid w:val="00A00EE8"/>
    <w:rsid w:val="00A01B94"/>
    <w:rsid w:val="00A02738"/>
    <w:rsid w:val="00A03A68"/>
    <w:rsid w:val="00A05073"/>
    <w:rsid w:val="00A055E3"/>
    <w:rsid w:val="00A059E1"/>
    <w:rsid w:val="00A07253"/>
    <w:rsid w:val="00A07360"/>
    <w:rsid w:val="00A077A7"/>
    <w:rsid w:val="00A11695"/>
    <w:rsid w:val="00A11A49"/>
    <w:rsid w:val="00A11C00"/>
    <w:rsid w:val="00A11C3D"/>
    <w:rsid w:val="00A127F0"/>
    <w:rsid w:val="00A12B41"/>
    <w:rsid w:val="00A13075"/>
    <w:rsid w:val="00A165BC"/>
    <w:rsid w:val="00A166C6"/>
    <w:rsid w:val="00A217D6"/>
    <w:rsid w:val="00A227F1"/>
    <w:rsid w:val="00A22994"/>
    <w:rsid w:val="00A22B09"/>
    <w:rsid w:val="00A252CC"/>
    <w:rsid w:val="00A2653D"/>
    <w:rsid w:val="00A26BB9"/>
    <w:rsid w:val="00A27FE0"/>
    <w:rsid w:val="00A302F3"/>
    <w:rsid w:val="00A30428"/>
    <w:rsid w:val="00A31B07"/>
    <w:rsid w:val="00A31E49"/>
    <w:rsid w:val="00A31EE4"/>
    <w:rsid w:val="00A330C5"/>
    <w:rsid w:val="00A35281"/>
    <w:rsid w:val="00A35E0C"/>
    <w:rsid w:val="00A3623B"/>
    <w:rsid w:val="00A36A52"/>
    <w:rsid w:val="00A36B7C"/>
    <w:rsid w:val="00A41335"/>
    <w:rsid w:val="00A4141B"/>
    <w:rsid w:val="00A41F21"/>
    <w:rsid w:val="00A426A8"/>
    <w:rsid w:val="00A42BC5"/>
    <w:rsid w:val="00A446DA"/>
    <w:rsid w:val="00A45ACA"/>
    <w:rsid w:val="00A466F9"/>
    <w:rsid w:val="00A47B43"/>
    <w:rsid w:val="00A50E1F"/>
    <w:rsid w:val="00A515F9"/>
    <w:rsid w:val="00A52182"/>
    <w:rsid w:val="00A5228B"/>
    <w:rsid w:val="00A526F8"/>
    <w:rsid w:val="00A527D0"/>
    <w:rsid w:val="00A52885"/>
    <w:rsid w:val="00A53825"/>
    <w:rsid w:val="00A53A33"/>
    <w:rsid w:val="00A53CFB"/>
    <w:rsid w:val="00A54A9A"/>
    <w:rsid w:val="00A54CA0"/>
    <w:rsid w:val="00A5568A"/>
    <w:rsid w:val="00A55740"/>
    <w:rsid w:val="00A61CD8"/>
    <w:rsid w:val="00A61E55"/>
    <w:rsid w:val="00A620DA"/>
    <w:rsid w:val="00A627AD"/>
    <w:rsid w:val="00A65867"/>
    <w:rsid w:val="00A65A1B"/>
    <w:rsid w:val="00A67137"/>
    <w:rsid w:val="00A67D7D"/>
    <w:rsid w:val="00A67F6B"/>
    <w:rsid w:val="00A713B2"/>
    <w:rsid w:val="00A728A9"/>
    <w:rsid w:val="00A734C6"/>
    <w:rsid w:val="00A735B9"/>
    <w:rsid w:val="00A74D92"/>
    <w:rsid w:val="00A76109"/>
    <w:rsid w:val="00A7661E"/>
    <w:rsid w:val="00A770F8"/>
    <w:rsid w:val="00A77A26"/>
    <w:rsid w:val="00A81BC7"/>
    <w:rsid w:val="00A8202D"/>
    <w:rsid w:val="00A820A3"/>
    <w:rsid w:val="00A83283"/>
    <w:rsid w:val="00A832C3"/>
    <w:rsid w:val="00A83E46"/>
    <w:rsid w:val="00A85A84"/>
    <w:rsid w:val="00A87259"/>
    <w:rsid w:val="00A875E7"/>
    <w:rsid w:val="00A90D9C"/>
    <w:rsid w:val="00A911A9"/>
    <w:rsid w:val="00A92049"/>
    <w:rsid w:val="00A92B47"/>
    <w:rsid w:val="00A93FAE"/>
    <w:rsid w:val="00A9617F"/>
    <w:rsid w:val="00A9762F"/>
    <w:rsid w:val="00A97C76"/>
    <w:rsid w:val="00AA0F2D"/>
    <w:rsid w:val="00AA1007"/>
    <w:rsid w:val="00AA2A6A"/>
    <w:rsid w:val="00AA41D7"/>
    <w:rsid w:val="00AA67F0"/>
    <w:rsid w:val="00AB0067"/>
    <w:rsid w:val="00AB07FB"/>
    <w:rsid w:val="00AB175B"/>
    <w:rsid w:val="00AB5D34"/>
    <w:rsid w:val="00AB5EB8"/>
    <w:rsid w:val="00AB6366"/>
    <w:rsid w:val="00AB63BD"/>
    <w:rsid w:val="00AB6BFA"/>
    <w:rsid w:val="00AB7920"/>
    <w:rsid w:val="00AC0585"/>
    <w:rsid w:val="00AC1AF8"/>
    <w:rsid w:val="00AC5314"/>
    <w:rsid w:val="00AC5436"/>
    <w:rsid w:val="00AC5AB6"/>
    <w:rsid w:val="00AC5EF4"/>
    <w:rsid w:val="00AC60AE"/>
    <w:rsid w:val="00AC61B7"/>
    <w:rsid w:val="00AC626D"/>
    <w:rsid w:val="00AD1065"/>
    <w:rsid w:val="00AD1C4A"/>
    <w:rsid w:val="00AD2995"/>
    <w:rsid w:val="00AD29C5"/>
    <w:rsid w:val="00AD47CA"/>
    <w:rsid w:val="00AD4ADB"/>
    <w:rsid w:val="00AD6B62"/>
    <w:rsid w:val="00AE0496"/>
    <w:rsid w:val="00AE27DF"/>
    <w:rsid w:val="00AE3364"/>
    <w:rsid w:val="00AE434D"/>
    <w:rsid w:val="00AE772B"/>
    <w:rsid w:val="00AE7CBC"/>
    <w:rsid w:val="00AF01BA"/>
    <w:rsid w:val="00AF0268"/>
    <w:rsid w:val="00AF1C4B"/>
    <w:rsid w:val="00AF1D97"/>
    <w:rsid w:val="00AF217A"/>
    <w:rsid w:val="00AF24B7"/>
    <w:rsid w:val="00AF379D"/>
    <w:rsid w:val="00AF3A89"/>
    <w:rsid w:val="00B00916"/>
    <w:rsid w:val="00B00A66"/>
    <w:rsid w:val="00B014EC"/>
    <w:rsid w:val="00B03BCC"/>
    <w:rsid w:val="00B05D77"/>
    <w:rsid w:val="00B05E09"/>
    <w:rsid w:val="00B1056F"/>
    <w:rsid w:val="00B10B7B"/>
    <w:rsid w:val="00B114A0"/>
    <w:rsid w:val="00B129B9"/>
    <w:rsid w:val="00B13E45"/>
    <w:rsid w:val="00B14BA9"/>
    <w:rsid w:val="00B15117"/>
    <w:rsid w:val="00B15FA7"/>
    <w:rsid w:val="00B165AA"/>
    <w:rsid w:val="00B17A44"/>
    <w:rsid w:val="00B20490"/>
    <w:rsid w:val="00B2133D"/>
    <w:rsid w:val="00B2300C"/>
    <w:rsid w:val="00B24A1E"/>
    <w:rsid w:val="00B24E04"/>
    <w:rsid w:val="00B265C9"/>
    <w:rsid w:val="00B26695"/>
    <w:rsid w:val="00B27F57"/>
    <w:rsid w:val="00B31E22"/>
    <w:rsid w:val="00B32ECD"/>
    <w:rsid w:val="00B33F17"/>
    <w:rsid w:val="00B3695A"/>
    <w:rsid w:val="00B3791F"/>
    <w:rsid w:val="00B40020"/>
    <w:rsid w:val="00B42A7D"/>
    <w:rsid w:val="00B42E83"/>
    <w:rsid w:val="00B44BD1"/>
    <w:rsid w:val="00B50389"/>
    <w:rsid w:val="00B50698"/>
    <w:rsid w:val="00B50846"/>
    <w:rsid w:val="00B5195B"/>
    <w:rsid w:val="00B51CAC"/>
    <w:rsid w:val="00B51CDB"/>
    <w:rsid w:val="00B5507E"/>
    <w:rsid w:val="00B55363"/>
    <w:rsid w:val="00B55A7F"/>
    <w:rsid w:val="00B56495"/>
    <w:rsid w:val="00B61909"/>
    <w:rsid w:val="00B62821"/>
    <w:rsid w:val="00B63B0C"/>
    <w:rsid w:val="00B64C59"/>
    <w:rsid w:val="00B65F91"/>
    <w:rsid w:val="00B665EA"/>
    <w:rsid w:val="00B66BB1"/>
    <w:rsid w:val="00B7074A"/>
    <w:rsid w:val="00B734B0"/>
    <w:rsid w:val="00B757ED"/>
    <w:rsid w:val="00B75CE3"/>
    <w:rsid w:val="00B76C1E"/>
    <w:rsid w:val="00B8059C"/>
    <w:rsid w:val="00B8231B"/>
    <w:rsid w:val="00B82444"/>
    <w:rsid w:val="00B82E50"/>
    <w:rsid w:val="00B83123"/>
    <w:rsid w:val="00B8316C"/>
    <w:rsid w:val="00B8380C"/>
    <w:rsid w:val="00B83E9A"/>
    <w:rsid w:val="00B84090"/>
    <w:rsid w:val="00B87803"/>
    <w:rsid w:val="00B90442"/>
    <w:rsid w:val="00B91648"/>
    <w:rsid w:val="00B926A0"/>
    <w:rsid w:val="00B9371C"/>
    <w:rsid w:val="00B93903"/>
    <w:rsid w:val="00B947C2"/>
    <w:rsid w:val="00B9526D"/>
    <w:rsid w:val="00B954AE"/>
    <w:rsid w:val="00B96287"/>
    <w:rsid w:val="00B96A76"/>
    <w:rsid w:val="00B97C65"/>
    <w:rsid w:val="00BA0BEF"/>
    <w:rsid w:val="00BA192B"/>
    <w:rsid w:val="00BA1E03"/>
    <w:rsid w:val="00BA27B6"/>
    <w:rsid w:val="00BA2A18"/>
    <w:rsid w:val="00BA374F"/>
    <w:rsid w:val="00BA3D69"/>
    <w:rsid w:val="00BA68A8"/>
    <w:rsid w:val="00BA747F"/>
    <w:rsid w:val="00BA7B86"/>
    <w:rsid w:val="00BB0245"/>
    <w:rsid w:val="00BB17AF"/>
    <w:rsid w:val="00BB1804"/>
    <w:rsid w:val="00BB3374"/>
    <w:rsid w:val="00BB3E4D"/>
    <w:rsid w:val="00BB576A"/>
    <w:rsid w:val="00BB5F33"/>
    <w:rsid w:val="00BB671F"/>
    <w:rsid w:val="00BC1D9F"/>
    <w:rsid w:val="00BC2B0E"/>
    <w:rsid w:val="00BC369C"/>
    <w:rsid w:val="00BC36BD"/>
    <w:rsid w:val="00BC3811"/>
    <w:rsid w:val="00BC4227"/>
    <w:rsid w:val="00BC541B"/>
    <w:rsid w:val="00BC7091"/>
    <w:rsid w:val="00BC726B"/>
    <w:rsid w:val="00BC72F6"/>
    <w:rsid w:val="00BC7664"/>
    <w:rsid w:val="00BC7A12"/>
    <w:rsid w:val="00BC7C8B"/>
    <w:rsid w:val="00BD05A6"/>
    <w:rsid w:val="00BD079D"/>
    <w:rsid w:val="00BD1300"/>
    <w:rsid w:val="00BD52F4"/>
    <w:rsid w:val="00BD570D"/>
    <w:rsid w:val="00BD59B1"/>
    <w:rsid w:val="00BD6D66"/>
    <w:rsid w:val="00BD7F8B"/>
    <w:rsid w:val="00BE0CE7"/>
    <w:rsid w:val="00BE20DB"/>
    <w:rsid w:val="00BE27D4"/>
    <w:rsid w:val="00BE2F41"/>
    <w:rsid w:val="00BE4075"/>
    <w:rsid w:val="00BE49ED"/>
    <w:rsid w:val="00BE4BE5"/>
    <w:rsid w:val="00BE4F07"/>
    <w:rsid w:val="00BE581B"/>
    <w:rsid w:val="00BE5D0E"/>
    <w:rsid w:val="00BE6072"/>
    <w:rsid w:val="00BE6497"/>
    <w:rsid w:val="00BE75A6"/>
    <w:rsid w:val="00BF0C8A"/>
    <w:rsid w:val="00BF215D"/>
    <w:rsid w:val="00BF25F4"/>
    <w:rsid w:val="00BF2F04"/>
    <w:rsid w:val="00BF557B"/>
    <w:rsid w:val="00C0016E"/>
    <w:rsid w:val="00C00C7F"/>
    <w:rsid w:val="00C01272"/>
    <w:rsid w:val="00C0135E"/>
    <w:rsid w:val="00C032C3"/>
    <w:rsid w:val="00C03339"/>
    <w:rsid w:val="00C047EF"/>
    <w:rsid w:val="00C05556"/>
    <w:rsid w:val="00C05CFD"/>
    <w:rsid w:val="00C05EB2"/>
    <w:rsid w:val="00C06C33"/>
    <w:rsid w:val="00C1088B"/>
    <w:rsid w:val="00C11043"/>
    <w:rsid w:val="00C1297A"/>
    <w:rsid w:val="00C12CED"/>
    <w:rsid w:val="00C13DED"/>
    <w:rsid w:val="00C14258"/>
    <w:rsid w:val="00C15FBE"/>
    <w:rsid w:val="00C170C5"/>
    <w:rsid w:val="00C17C5A"/>
    <w:rsid w:val="00C20059"/>
    <w:rsid w:val="00C21142"/>
    <w:rsid w:val="00C21F13"/>
    <w:rsid w:val="00C2201B"/>
    <w:rsid w:val="00C221CD"/>
    <w:rsid w:val="00C22344"/>
    <w:rsid w:val="00C225EB"/>
    <w:rsid w:val="00C23C5B"/>
    <w:rsid w:val="00C242AF"/>
    <w:rsid w:val="00C253B2"/>
    <w:rsid w:val="00C273F8"/>
    <w:rsid w:val="00C27575"/>
    <w:rsid w:val="00C27DEA"/>
    <w:rsid w:val="00C30263"/>
    <w:rsid w:val="00C302CA"/>
    <w:rsid w:val="00C30B25"/>
    <w:rsid w:val="00C30E4B"/>
    <w:rsid w:val="00C31207"/>
    <w:rsid w:val="00C32075"/>
    <w:rsid w:val="00C33404"/>
    <w:rsid w:val="00C336A1"/>
    <w:rsid w:val="00C338C7"/>
    <w:rsid w:val="00C33A28"/>
    <w:rsid w:val="00C3458C"/>
    <w:rsid w:val="00C34C5F"/>
    <w:rsid w:val="00C35DE3"/>
    <w:rsid w:val="00C36912"/>
    <w:rsid w:val="00C375F7"/>
    <w:rsid w:val="00C40ABD"/>
    <w:rsid w:val="00C41763"/>
    <w:rsid w:val="00C41A94"/>
    <w:rsid w:val="00C42CCA"/>
    <w:rsid w:val="00C42E5B"/>
    <w:rsid w:val="00C4507A"/>
    <w:rsid w:val="00C46168"/>
    <w:rsid w:val="00C463C1"/>
    <w:rsid w:val="00C476B7"/>
    <w:rsid w:val="00C47C1B"/>
    <w:rsid w:val="00C500B7"/>
    <w:rsid w:val="00C5079C"/>
    <w:rsid w:val="00C51800"/>
    <w:rsid w:val="00C51E85"/>
    <w:rsid w:val="00C530B3"/>
    <w:rsid w:val="00C53CD4"/>
    <w:rsid w:val="00C54024"/>
    <w:rsid w:val="00C545B3"/>
    <w:rsid w:val="00C550B8"/>
    <w:rsid w:val="00C559F1"/>
    <w:rsid w:val="00C56BE4"/>
    <w:rsid w:val="00C56DE6"/>
    <w:rsid w:val="00C56E70"/>
    <w:rsid w:val="00C6148F"/>
    <w:rsid w:val="00C61D4F"/>
    <w:rsid w:val="00C61DA3"/>
    <w:rsid w:val="00C61E2B"/>
    <w:rsid w:val="00C61F4C"/>
    <w:rsid w:val="00C62F5D"/>
    <w:rsid w:val="00C63886"/>
    <w:rsid w:val="00C6410E"/>
    <w:rsid w:val="00C64379"/>
    <w:rsid w:val="00C657B1"/>
    <w:rsid w:val="00C65BB4"/>
    <w:rsid w:val="00C66523"/>
    <w:rsid w:val="00C66672"/>
    <w:rsid w:val="00C7005B"/>
    <w:rsid w:val="00C700BD"/>
    <w:rsid w:val="00C70616"/>
    <w:rsid w:val="00C70AF0"/>
    <w:rsid w:val="00C711DC"/>
    <w:rsid w:val="00C71C21"/>
    <w:rsid w:val="00C7242D"/>
    <w:rsid w:val="00C76E3D"/>
    <w:rsid w:val="00C7754D"/>
    <w:rsid w:val="00C77693"/>
    <w:rsid w:val="00C80ABC"/>
    <w:rsid w:val="00C82168"/>
    <w:rsid w:val="00C82D03"/>
    <w:rsid w:val="00C83875"/>
    <w:rsid w:val="00C84D30"/>
    <w:rsid w:val="00C87D37"/>
    <w:rsid w:val="00C90054"/>
    <w:rsid w:val="00C9077B"/>
    <w:rsid w:val="00C91A1E"/>
    <w:rsid w:val="00C91E5F"/>
    <w:rsid w:val="00C92667"/>
    <w:rsid w:val="00C93ADC"/>
    <w:rsid w:val="00C93CA7"/>
    <w:rsid w:val="00C93CCB"/>
    <w:rsid w:val="00C9434D"/>
    <w:rsid w:val="00C94ACB"/>
    <w:rsid w:val="00C95344"/>
    <w:rsid w:val="00C95388"/>
    <w:rsid w:val="00C957F1"/>
    <w:rsid w:val="00C9615B"/>
    <w:rsid w:val="00C964E8"/>
    <w:rsid w:val="00C97AD1"/>
    <w:rsid w:val="00CA053B"/>
    <w:rsid w:val="00CA0A7C"/>
    <w:rsid w:val="00CA10E6"/>
    <w:rsid w:val="00CA2A50"/>
    <w:rsid w:val="00CA44B9"/>
    <w:rsid w:val="00CA51A0"/>
    <w:rsid w:val="00CB25FD"/>
    <w:rsid w:val="00CB41FF"/>
    <w:rsid w:val="00CB4404"/>
    <w:rsid w:val="00CB441B"/>
    <w:rsid w:val="00CB4A95"/>
    <w:rsid w:val="00CB5B1A"/>
    <w:rsid w:val="00CB62B2"/>
    <w:rsid w:val="00CB6F07"/>
    <w:rsid w:val="00CC1246"/>
    <w:rsid w:val="00CC14AF"/>
    <w:rsid w:val="00CC2887"/>
    <w:rsid w:val="00CC2A9E"/>
    <w:rsid w:val="00CC3BBF"/>
    <w:rsid w:val="00CC5FCC"/>
    <w:rsid w:val="00CC7584"/>
    <w:rsid w:val="00CC7BDB"/>
    <w:rsid w:val="00CD1FBE"/>
    <w:rsid w:val="00CD36EF"/>
    <w:rsid w:val="00CD6093"/>
    <w:rsid w:val="00CD762C"/>
    <w:rsid w:val="00CD7949"/>
    <w:rsid w:val="00CD798A"/>
    <w:rsid w:val="00CD7B9D"/>
    <w:rsid w:val="00CE0E06"/>
    <w:rsid w:val="00CE1AAF"/>
    <w:rsid w:val="00CE3B13"/>
    <w:rsid w:val="00CE4B52"/>
    <w:rsid w:val="00CE61A9"/>
    <w:rsid w:val="00CE7E6A"/>
    <w:rsid w:val="00CF02D6"/>
    <w:rsid w:val="00CF2682"/>
    <w:rsid w:val="00CF28C9"/>
    <w:rsid w:val="00CF3F04"/>
    <w:rsid w:val="00CF3F74"/>
    <w:rsid w:val="00CF4359"/>
    <w:rsid w:val="00CF501F"/>
    <w:rsid w:val="00CF57C0"/>
    <w:rsid w:val="00CF7F10"/>
    <w:rsid w:val="00CF7F8D"/>
    <w:rsid w:val="00D02070"/>
    <w:rsid w:val="00D04BB2"/>
    <w:rsid w:val="00D04EB1"/>
    <w:rsid w:val="00D10465"/>
    <w:rsid w:val="00D11FF9"/>
    <w:rsid w:val="00D12723"/>
    <w:rsid w:val="00D17A14"/>
    <w:rsid w:val="00D17E05"/>
    <w:rsid w:val="00D2056D"/>
    <w:rsid w:val="00D22612"/>
    <w:rsid w:val="00D22686"/>
    <w:rsid w:val="00D23328"/>
    <w:rsid w:val="00D23742"/>
    <w:rsid w:val="00D2398F"/>
    <w:rsid w:val="00D24301"/>
    <w:rsid w:val="00D24E2C"/>
    <w:rsid w:val="00D309DE"/>
    <w:rsid w:val="00D31ABD"/>
    <w:rsid w:val="00D3243B"/>
    <w:rsid w:val="00D33301"/>
    <w:rsid w:val="00D34A83"/>
    <w:rsid w:val="00D34C7F"/>
    <w:rsid w:val="00D35C90"/>
    <w:rsid w:val="00D36F3C"/>
    <w:rsid w:val="00D4220F"/>
    <w:rsid w:val="00D42EC8"/>
    <w:rsid w:val="00D43647"/>
    <w:rsid w:val="00D457D0"/>
    <w:rsid w:val="00D46AEF"/>
    <w:rsid w:val="00D46ED3"/>
    <w:rsid w:val="00D50D66"/>
    <w:rsid w:val="00D5180B"/>
    <w:rsid w:val="00D51B02"/>
    <w:rsid w:val="00D51EB3"/>
    <w:rsid w:val="00D529E7"/>
    <w:rsid w:val="00D5522C"/>
    <w:rsid w:val="00D554AE"/>
    <w:rsid w:val="00D55BD3"/>
    <w:rsid w:val="00D561F2"/>
    <w:rsid w:val="00D564DC"/>
    <w:rsid w:val="00D56BDD"/>
    <w:rsid w:val="00D56EB9"/>
    <w:rsid w:val="00D571A9"/>
    <w:rsid w:val="00D6345A"/>
    <w:rsid w:val="00D651BC"/>
    <w:rsid w:val="00D65FE5"/>
    <w:rsid w:val="00D66459"/>
    <w:rsid w:val="00D66D92"/>
    <w:rsid w:val="00D7043B"/>
    <w:rsid w:val="00D7273A"/>
    <w:rsid w:val="00D72C93"/>
    <w:rsid w:val="00D72E8D"/>
    <w:rsid w:val="00D77424"/>
    <w:rsid w:val="00D77AAC"/>
    <w:rsid w:val="00D80B38"/>
    <w:rsid w:val="00D821C2"/>
    <w:rsid w:val="00D824E0"/>
    <w:rsid w:val="00D83DF4"/>
    <w:rsid w:val="00D83FAB"/>
    <w:rsid w:val="00D847F2"/>
    <w:rsid w:val="00D84D02"/>
    <w:rsid w:val="00D91398"/>
    <w:rsid w:val="00D9216E"/>
    <w:rsid w:val="00D92CE7"/>
    <w:rsid w:val="00D93B52"/>
    <w:rsid w:val="00D95A39"/>
    <w:rsid w:val="00D95A8C"/>
    <w:rsid w:val="00DA03A4"/>
    <w:rsid w:val="00DA0403"/>
    <w:rsid w:val="00DA11DB"/>
    <w:rsid w:val="00DA12E4"/>
    <w:rsid w:val="00DA1FA6"/>
    <w:rsid w:val="00DA2240"/>
    <w:rsid w:val="00DA46F1"/>
    <w:rsid w:val="00DA5F1A"/>
    <w:rsid w:val="00DA63C0"/>
    <w:rsid w:val="00DA6CFD"/>
    <w:rsid w:val="00DB0200"/>
    <w:rsid w:val="00DB1490"/>
    <w:rsid w:val="00DB20E8"/>
    <w:rsid w:val="00DB2551"/>
    <w:rsid w:val="00DB2F74"/>
    <w:rsid w:val="00DB35E5"/>
    <w:rsid w:val="00DB3A28"/>
    <w:rsid w:val="00DB4001"/>
    <w:rsid w:val="00DB42CA"/>
    <w:rsid w:val="00DB43B4"/>
    <w:rsid w:val="00DB5315"/>
    <w:rsid w:val="00DB5677"/>
    <w:rsid w:val="00DC1994"/>
    <w:rsid w:val="00DC213C"/>
    <w:rsid w:val="00DC2B47"/>
    <w:rsid w:val="00DC495E"/>
    <w:rsid w:val="00DC68D7"/>
    <w:rsid w:val="00DD08BE"/>
    <w:rsid w:val="00DD108B"/>
    <w:rsid w:val="00DD1821"/>
    <w:rsid w:val="00DD3609"/>
    <w:rsid w:val="00DD5609"/>
    <w:rsid w:val="00DD5A31"/>
    <w:rsid w:val="00DD5DD4"/>
    <w:rsid w:val="00DD5DD7"/>
    <w:rsid w:val="00DE010E"/>
    <w:rsid w:val="00DE0AC3"/>
    <w:rsid w:val="00DE1046"/>
    <w:rsid w:val="00DE178D"/>
    <w:rsid w:val="00DE28E9"/>
    <w:rsid w:val="00DE2E64"/>
    <w:rsid w:val="00DE4765"/>
    <w:rsid w:val="00DE4BD4"/>
    <w:rsid w:val="00DE6751"/>
    <w:rsid w:val="00DF016A"/>
    <w:rsid w:val="00DF0263"/>
    <w:rsid w:val="00DF1C0E"/>
    <w:rsid w:val="00DF233E"/>
    <w:rsid w:val="00DF2916"/>
    <w:rsid w:val="00DF2D21"/>
    <w:rsid w:val="00DF2F5A"/>
    <w:rsid w:val="00DF2FAD"/>
    <w:rsid w:val="00DF3B95"/>
    <w:rsid w:val="00DF4879"/>
    <w:rsid w:val="00DF4EA6"/>
    <w:rsid w:val="00DF61F5"/>
    <w:rsid w:val="00DF6D71"/>
    <w:rsid w:val="00E01114"/>
    <w:rsid w:val="00E01CDA"/>
    <w:rsid w:val="00E04090"/>
    <w:rsid w:val="00E04192"/>
    <w:rsid w:val="00E0419E"/>
    <w:rsid w:val="00E042F1"/>
    <w:rsid w:val="00E04799"/>
    <w:rsid w:val="00E04BFC"/>
    <w:rsid w:val="00E06862"/>
    <w:rsid w:val="00E07E54"/>
    <w:rsid w:val="00E07F00"/>
    <w:rsid w:val="00E1044B"/>
    <w:rsid w:val="00E10A07"/>
    <w:rsid w:val="00E11418"/>
    <w:rsid w:val="00E1264A"/>
    <w:rsid w:val="00E12AA2"/>
    <w:rsid w:val="00E15625"/>
    <w:rsid w:val="00E1588F"/>
    <w:rsid w:val="00E17AD3"/>
    <w:rsid w:val="00E2202E"/>
    <w:rsid w:val="00E2241E"/>
    <w:rsid w:val="00E22DD0"/>
    <w:rsid w:val="00E23FAE"/>
    <w:rsid w:val="00E23FC1"/>
    <w:rsid w:val="00E25193"/>
    <w:rsid w:val="00E26718"/>
    <w:rsid w:val="00E312EF"/>
    <w:rsid w:val="00E3134A"/>
    <w:rsid w:val="00E32E26"/>
    <w:rsid w:val="00E332DE"/>
    <w:rsid w:val="00E34082"/>
    <w:rsid w:val="00E34D7D"/>
    <w:rsid w:val="00E34EA1"/>
    <w:rsid w:val="00E3662E"/>
    <w:rsid w:val="00E444BD"/>
    <w:rsid w:val="00E467AD"/>
    <w:rsid w:val="00E47089"/>
    <w:rsid w:val="00E474C3"/>
    <w:rsid w:val="00E4793F"/>
    <w:rsid w:val="00E500C5"/>
    <w:rsid w:val="00E53810"/>
    <w:rsid w:val="00E54EC4"/>
    <w:rsid w:val="00E562CD"/>
    <w:rsid w:val="00E565AC"/>
    <w:rsid w:val="00E605EA"/>
    <w:rsid w:val="00E61412"/>
    <w:rsid w:val="00E61D95"/>
    <w:rsid w:val="00E634A8"/>
    <w:rsid w:val="00E63914"/>
    <w:rsid w:val="00E64D5D"/>
    <w:rsid w:val="00E64F33"/>
    <w:rsid w:val="00E65C97"/>
    <w:rsid w:val="00E66118"/>
    <w:rsid w:val="00E6688E"/>
    <w:rsid w:val="00E66948"/>
    <w:rsid w:val="00E66D24"/>
    <w:rsid w:val="00E67730"/>
    <w:rsid w:val="00E70A26"/>
    <w:rsid w:val="00E74423"/>
    <w:rsid w:val="00E75142"/>
    <w:rsid w:val="00E75556"/>
    <w:rsid w:val="00E757F1"/>
    <w:rsid w:val="00E75C4E"/>
    <w:rsid w:val="00E75D65"/>
    <w:rsid w:val="00E767AF"/>
    <w:rsid w:val="00E77CD4"/>
    <w:rsid w:val="00E80015"/>
    <w:rsid w:val="00E809A8"/>
    <w:rsid w:val="00E814CD"/>
    <w:rsid w:val="00E81DB4"/>
    <w:rsid w:val="00E831E1"/>
    <w:rsid w:val="00E83668"/>
    <w:rsid w:val="00E84F8B"/>
    <w:rsid w:val="00E85AF1"/>
    <w:rsid w:val="00E8621F"/>
    <w:rsid w:val="00E878B2"/>
    <w:rsid w:val="00E91805"/>
    <w:rsid w:val="00E919C7"/>
    <w:rsid w:val="00E944C0"/>
    <w:rsid w:val="00E95F22"/>
    <w:rsid w:val="00E976F5"/>
    <w:rsid w:val="00EA0F26"/>
    <w:rsid w:val="00EA1607"/>
    <w:rsid w:val="00EA1758"/>
    <w:rsid w:val="00EA1835"/>
    <w:rsid w:val="00EA20B6"/>
    <w:rsid w:val="00EA42EE"/>
    <w:rsid w:val="00EA5E9B"/>
    <w:rsid w:val="00EA66CB"/>
    <w:rsid w:val="00EA70BB"/>
    <w:rsid w:val="00EB0A9C"/>
    <w:rsid w:val="00EB0B26"/>
    <w:rsid w:val="00EB1058"/>
    <w:rsid w:val="00EB1EB8"/>
    <w:rsid w:val="00EB201E"/>
    <w:rsid w:val="00EB243A"/>
    <w:rsid w:val="00EB311E"/>
    <w:rsid w:val="00EB5DC2"/>
    <w:rsid w:val="00EB6285"/>
    <w:rsid w:val="00EB67BC"/>
    <w:rsid w:val="00EB7A7A"/>
    <w:rsid w:val="00EB7D12"/>
    <w:rsid w:val="00EC1BAF"/>
    <w:rsid w:val="00EC22BE"/>
    <w:rsid w:val="00EC41F8"/>
    <w:rsid w:val="00EC47C3"/>
    <w:rsid w:val="00EC4E34"/>
    <w:rsid w:val="00EC5305"/>
    <w:rsid w:val="00ED0EE6"/>
    <w:rsid w:val="00ED11DF"/>
    <w:rsid w:val="00ED1391"/>
    <w:rsid w:val="00ED14D9"/>
    <w:rsid w:val="00ED1FB8"/>
    <w:rsid w:val="00ED202D"/>
    <w:rsid w:val="00ED253B"/>
    <w:rsid w:val="00ED4BC2"/>
    <w:rsid w:val="00ED5995"/>
    <w:rsid w:val="00ED7183"/>
    <w:rsid w:val="00ED7733"/>
    <w:rsid w:val="00EE0B3B"/>
    <w:rsid w:val="00EE0D95"/>
    <w:rsid w:val="00EE17D4"/>
    <w:rsid w:val="00EE2F3D"/>
    <w:rsid w:val="00EE36C4"/>
    <w:rsid w:val="00EE3E36"/>
    <w:rsid w:val="00EE795D"/>
    <w:rsid w:val="00EE7BDB"/>
    <w:rsid w:val="00EF006B"/>
    <w:rsid w:val="00EF0DC1"/>
    <w:rsid w:val="00EF1479"/>
    <w:rsid w:val="00EF2774"/>
    <w:rsid w:val="00EF27D1"/>
    <w:rsid w:val="00EF36A9"/>
    <w:rsid w:val="00EF3E19"/>
    <w:rsid w:val="00EF5A06"/>
    <w:rsid w:val="00EF5C0E"/>
    <w:rsid w:val="00EF5E95"/>
    <w:rsid w:val="00EF6FCA"/>
    <w:rsid w:val="00F00D00"/>
    <w:rsid w:val="00F01263"/>
    <w:rsid w:val="00F01DA6"/>
    <w:rsid w:val="00F0367C"/>
    <w:rsid w:val="00F04E87"/>
    <w:rsid w:val="00F0557B"/>
    <w:rsid w:val="00F0743E"/>
    <w:rsid w:val="00F10A96"/>
    <w:rsid w:val="00F11353"/>
    <w:rsid w:val="00F12230"/>
    <w:rsid w:val="00F14144"/>
    <w:rsid w:val="00F15176"/>
    <w:rsid w:val="00F15FF4"/>
    <w:rsid w:val="00F165A4"/>
    <w:rsid w:val="00F179E1"/>
    <w:rsid w:val="00F17B27"/>
    <w:rsid w:val="00F20359"/>
    <w:rsid w:val="00F2053E"/>
    <w:rsid w:val="00F207FC"/>
    <w:rsid w:val="00F210A0"/>
    <w:rsid w:val="00F22E3A"/>
    <w:rsid w:val="00F2345A"/>
    <w:rsid w:val="00F236ED"/>
    <w:rsid w:val="00F24B9E"/>
    <w:rsid w:val="00F24F44"/>
    <w:rsid w:val="00F2559B"/>
    <w:rsid w:val="00F26057"/>
    <w:rsid w:val="00F26448"/>
    <w:rsid w:val="00F27BA6"/>
    <w:rsid w:val="00F31158"/>
    <w:rsid w:val="00F313B7"/>
    <w:rsid w:val="00F317CE"/>
    <w:rsid w:val="00F32D8E"/>
    <w:rsid w:val="00F34357"/>
    <w:rsid w:val="00F35134"/>
    <w:rsid w:val="00F35326"/>
    <w:rsid w:val="00F3709A"/>
    <w:rsid w:val="00F3747A"/>
    <w:rsid w:val="00F41B83"/>
    <w:rsid w:val="00F428B6"/>
    <w:rsid w:val="00F4298F"/>
    <w:rsid w:val="00F42E03"/>
    <w:rsid w:val="00F43380"/>
    <w:rsid w:val="00F43CF8"/>
    <w:rsid w:val="00F446DE"/>
    <w:rsid w:val="00F44CE4"/>
    <w:rsid w:val="00F468E9"/>
    <w:rsid w:val="00F47B6B"/>
    <w:rsid w:val="00F5095D"/>
    <w:rsid w:val="00F5212A"/>
    <w:rsid w:val="00F53FC4"/>
    <w:rsid w:val="00F5428C"/>
    <w:rsid w:val="00F54B14"/>
    <w:rsid w:val="00F55110"/>
    <w:rsid w:val="00F578A1"/>
    <w:rsid w:val="00F57932"/>
    <w:rsid w:val="00F60996"/>
    <w:rsid w:val="00F60DA3"/>
    <w:rsid w:val="00F62727"/>
    <w:rsid w:val="00F62D05"/>
    <w:rsid w:val="00F64382"/>
    <w:rsid w:val="00F6526A"/>
    <w:rsid w:val="00F65A83"/>
    <w:rsid w:val="00F675C8"/>
    <w:rsid w:val="00F70647"/>
    <w:rsid w:val="00F70C12"/>
    <w:rsid w:val="00F726FB"/>
    <w:rsid w:val="00F72914"/>
    <w:rsid w:val="00F73179"/>
    <w:rsid w:val="00F732DA"/>
    <w:rsid w:val="00F74C42"/>
    <w:rsid w:val="00F755EA"/>
    <w:rsid w:val="00F76A2A"/>
    <w:rsid w:val="00F80024"/>
    <w:rsid w:val="00F8166F"/>
    <w:rsid w:val="00F81A5A"/>
    <w:rsid w:val="00F824CC"/>
    <w:rsid w:val="00F82CDA"/>
    <w:rsid w:val="00F85B89"/>
    <w:rsid w:val="00F85C11"/>
    <w:rsid w:val="00F86A35"/>
    <w:rsid w:val="00F86A3B"/>
    <w:rsid w:val="00F86F34"/>
    <w:rsid w:val="00F8759E"/>
    <w:rsid w:val="00F87F31"/>
    <w:rsid w:val="00F90678"/>
    <w:rsid w:val="00F9197C"/>
    <w:rsid w:val="00F9240E"/>
    <w:rsid w:val="00F93752"/>
    <w:rsid w:val="00F94F79"/>
    <w:rsid w:val="00F97730"/>
    <w:rsid w:val="00FA1250"/>
    <w:rsid w:val="00FA2BA4"/>
    <w:rsid w:val="00FA2FDD"/>
    <w:rsid w:val="00FA3831"/>
    <w:rsid w:val="00FA43D0"/>
    <w:rsid w:val="00FA5023"/>
    <w:rsid w:val="00FB04C8"/>
    <w:rsid w:val="00FB0EB2"/>
    <w:rsid w:val="00FB0FBA"/>
    <w:rsid w:val="00FB137B"/>
    <w:rsid w:val="00FB1564"/>
    <w:rsid w:val="00FB1AC2"/>
    <w:rsid w:val="00FB25D6"/>
    <w:rsid w:val="00FB2D91"/>
    <w:rsid w:val="00FB3449"/>
    <w:rsid w:val="00FB5B71"/>
    <w:rsid w:val="00FB6CCA"/>
    <w:rsid w:val="00FC12CF"/>
    <w:rsid w:val="00FC16FE"/>
    <w:rsid w:val="00FC244B"/>
    <w:rsid w:val="00FC74E7"/>
    <w:rsid w:val="00FD08BA"/>
    <w:rsid w:val="00FD11B2"/>
    <w:rsid w:val="00FD2E54"/>
    <w:rsid w:val="00FD3388"/>
    <w:rsid w:val="00FD33CA"/>
    <w:rsid w:val="00FD5499"/>
    <w:rsid w:val="00FD5C43"/>
    <w:rsid w:val="00FD5F1F"/>
    <w:rsid w:val="00FD7083"/>
    <w:rsid w:val="00FD73E6"/>
    <w:rsid w:val="00FD7C15"/>
    <w:rsid w:val="00FD7E12"/>
    <w:rsid w:val="00FE1707"/>
    <w:rsid w:val="00FE2C07"/>
    <w:rsid w:val="00FE3BDE"/>
    <w:rsid w:val="00FE4C79"/>
    <w:rsid w:val="00FE5884"/>
    <w:rsid w:val="00FE7C72"/>
    <w:rsid w:val="00FF0302"/>
    <w:rsid w:val="00FF2149"/>
    <w:rsid w:val="00FF2A9B"/>
    <w:rsid w:val="00FF34FB"/>
    <w:rsid w:val="00FF3F8E"/>
    <w:rsid w:val="00FF4606"/>
    <w:rsid w:val="00FF5117"/>
    <w:rsid w:val="00FF5988"/>
    <w:rsid w:val="00FF5DBB"/>
    <w:rsid w:val="00FF6AAE"/>
    <w:rsid w:val="01802B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F9C996"/>
  <w15:docId w15:val="{26512298-B9AF-44B7-91BE-2AB2BC52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3"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F4C"/>
    <w:pPr>
      <w:spacing w:after="120" w:line="288" w:lineRule="auto"/>
      <w:jc w:val="both"/>
    </w:pPr>
    <w:rPr>
      <w:rFonts w:ascii="Calibri" w:hAnsi="Calibri"/>
    </w:rPr>
  </w:style>
  <w:style w:type="paragraph" w:styleId="Heading1">
    <w:name w:val="heading 1"/>
    <w:basedOn w:val="Normal"/>
    <w:next w:val="Normal"/>
    <w:link w:val="Heading1Char"/>
    <w:uiPriority w:val="4"/>
    <w:qFormat/>
    <w:rsid w:val="00303882"/>
    <w:pPr>
      <w:numPr>
        <w:numId w:val="6"/>
      </w:numPr>
      <w:outlineLvl w:val="0"/>
    </w:pPr>
    <w:rPr>
      <w:rFonts w:asciiTheme="majorHAnsi" w:hAnsiTheme="majorHAnsi" w:cs="Arial"/>
      <w:b/>
      <w:caps/>
      <w:color w:val="156471" w:themeColor="text2"/>
      <w:sz w:val="30"/>
      <w:szCs w:val="30"/>
    </w:rPr>
  </w:style>
  <w:style w:type="paragraph" w:styleId="Heading2">
    <w:name w:val="heading 2"/>
    <w:basedOn w:val="Normal"/>
    <w:next w:val="Normal"/>
    <w:link w:val="Heading2Char"/>
    <w:uiPriority w:val="5"/>
    <w:unhideWhenUsed/>
    <w:qFormat/>
    <w:rsid w:val="00303882"/>
    <w:pPr>
      <w:numPr>
        <w:ilvl w:val="1"/>
        <w:numId w:val="6"/>
      </w:numPr>
      <w:ind w:left="1021"/>
      <w:outlineLvl w:val="1"/>
    </w:pPr>
    <w:rPr>
      <w:rFonts w:cs="Arial"/>
      <w:b/>
      <w:color w:val="156471" w:themeColor="text2"/>
      <w:sz w:val="26"/>
      <w:szCs w:val="26"/>
    </w:rPr>
  </w:style>
  <w:style w:type="paragraph" w:styleId="Heading3">
    <w:name w:val="heading 3"/>
    <w:basedOn w:val="ListParagraph"/>
    <w:next w:val="Normal"/>
    <w:link w:val="Heading3Char"/>
    <w:uiPriority w:val="6"/>
    <w:unhideWhenUsed/>
    <w:qFormat/>
    <w:rsid w:val="00303882"/>
    <w:pPr>
      <w:numPr>
        <w:ilvl w:val="2"/>
        <w:numId w:val="6"/>
      </w:numPr>
      <w:outlineLvl w:val="2"/>
    </w:pPr>
    <w:rPr>
      <w:b/>
      <w:color w:val="156471" w:themeColor="text2"/>
    </w:rPr>
  </w:style>
  <w:style w:type="paragraph" w:styleId="Heading4">
    <w:name w:val="heading 4"/>
    <w:basedOn w:val="Normal"/>
    <w:next w:val="Normal"/>
    <w:link w:val="Heading4Char"/>
    <w:uiPriority w:val="7"/>
    <w:unhideWhenUsed/>
    <w:qFormat/>
    <w:rsid w:val="00DA46F1"/>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36E1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54F49"/>
    <w:rPr>
      <w:rFonts w:ascii="Calibri" w:hAnsi="Calibri"/>
    </w:rPr>
  </w:style>
  <w:style w:type="paragraph" w:styleId="Footer">
    <w:name w:val="footer"/>
    <w:basedOn w:val="Normal"/>
    <w:link w:val="FooterChar"/>
    <w:uiPriority w:val="99"/>
    <w:semiHidden/>
    <w:rsid w:val="003F6A89"/>
    <w:pPr>
      <w:tabs>
        <w:tab w:val="center" w:pos="4253"/>
      </w:tabs>
      <w:spacing w:after="0" w:line="240" w:lineRule="auto"/>
    </w:pPr>
    <w:rPr>
      <w:color w:val="5B6770" w:themeColor="accent5"/>
      <w:sz w:val="16"/>
    </w:rPr>
  </w:style>
  <w:style w:type="character" w:customStyle="1" w:styleId="FooterChar">
    <w:name w:val="Footer Char"/>
    <w:basedOn w:val="DefaultParagraphFont"/>
    <w:link w:val="Footer"/>
    <w:uiPriority w:val="99"/>
    <w:semiHidden/>
    <w:rsid w:val="00454F49"/>
    <w:rPr>
      <w:rFonts w:ascii="Calibri" w:hAnsi="Calibri"/>
      <w:color w:val="5B6770" w:themeColor="accent5"/>
      <w:sz w:val="16"/>
    </w:rPr>
  </w:style>
  <w:style w:type="paragraph" w:styleId="BalloonText">
    <w:name w:val="Balloon Text"/>
    <w:basedOn w:val="Normal"/>
    <w:link w:val="BalloonTextChar"/>
    <w:uiPriority w:val="99"/>
    <w:semiHidden/>
    <w:unhideWhenUsed/>
    <w:rsid w:val="00436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E10"/>
    <w:rPr>
      <w:rFonts w:ascii="Tahoma" w:hAnsi="Tahoma" w:cs="Tahoma"/>
      <w:sz w:val="16"/>
      <w:szCs w:val="16"/>
    </w:rPr>
  </w:style>
  <w:style w:type="paragraph" w:styleId="ListParagraph">
    <w:name w:val="List Paragraph"/>
    <w:basedOn w:val="Normal"/>
    <w:link w:val="ListParagraphChar"/>
    <w:uiPriority w:val="34"/>
    <w:qFormat/>
    <w:rsid w:val="00603290"/>
    <w:pPr>
      <w:ind w:left="284" w:hanging="284"/>
      <w:contextualSpacing/>
    </w:pPr>
  </w:style>
  <w:style w:type="paragraph" w:customStyle="1" w:styleId="NumberedList">
    <w:name w:val="Numbered List"/>
    <w:basedOn w:val="ListParagraph"/>
    <w:link w:val="NumberedListChar"/>
    <w:uiPriority w:val="1"/>
    <w:qFormat/>
    <w:rsid w:val="00E312EF"/>
    <w:pPr>
      <w:numPr>
        <w:numId w:val="1"/>
      </w:numPr>
      <w:spacing w:after="100"/>
      <w:contextualSpacing w:val="0"/>
    </w:pPr>
    <w:rPr>
      <w:rFonts w:cs="Arial"/>
      <w:szCs w:val="20"/>
    </w:rPr>
  </w:style>
  <w:style w:type="paragraph" w:customStyle="1" w:styleId="NameandAddress">
    <w:name w:val="Name and Address"/>
    <w:basedOn w:val="Normal"/>
    <w:autoRedefine/>
    <w:uiPriority w:val="99"/>
    <w:rsid w:val="0074317F"/>
    <w:pPr>
      <w:spacing w:after="360"/>
      <w:contextualSpacing/>
    </w:pPr>
    <w:rPr>
      <w:rFonts w:cs="Arial"/>
      <w:szCs w:val="20"/>
    </w:rPr>
  </w:style>
  <w:style w:type="character" w:customStyle="1" w:styleId="ListParagraphChar">
    <w:name w:val="List Paragraph Char"/>
    <w:basedOn w:val="DefaultParagraphFont"/>
    <w:link w:val="ListParagraph"/>
    <w:uiPriority w:val="34"/>
    <w:rsid w:val="00603290"/>
    <w:rPr>
      <w:rFonts w:ascii="Arial" w:hAnsi="Arial"/>
      <w:sz w:val="20"/>
    </w:rPr>
  </w:style>
  <w:style w:type="character" w:customStyle="1" w:styleId="NumberedListChar">
    <w:name w:val="Numbered List Char"/>
    <w:basedOn w:val="ListParagraphChar"/>
    <w:link w:val="NumberedList"/>
    <w:uiPriority w:val="1"/>
    <w:rsid w:val="00E312EF"/>
    <w:rPr>
      <w:rFonts w:ascii="Calibri" w:hAnsi="Calibri" w:cs="Arial"/>
      <w:sz w:val="20"/>
      <w:szCs w:val="20"/>
    </w:rPr>
  </w:style>
  <w:style w:type="character" w:customStyle="1" w:styleId="Heading1Char">
    <w:name w:val="Heading 1 Char"/>
    <w:basedOn w:val="DefaultParagraphFont"/>
    <w:link w:val="Heading1"/>
    <w:uiPriority w:val="4"/>
    <w:rsid w:val="00223239"/>
    <w:rPr>
      <w:rFonts w:asciiTheme="majorHAnsi" w:hAnsiTheme="majorHAnsi" w:cs="Arial"/>
      <w:b/>
      <w:caps/>
      <w:color w:val="156471" w:themeColor="text2"/>
      <w:sz w:val="30"/>
      <w:szCs w:val="30"/>
    </w:rPr>
  </w:style>
  <w:style w:type="character" w:customStyle="1" w:styleId="Heading2Char">
    <w:name w:val="Heading 2 Char"/>
    <w:basedOn w:val="DefaultParagraphFont"/>
    <w:link w:val="Heading2"/>
    <w:uiPriority w:val="5"/>
    <w:rsid w:val="00223239"/>
    <w:rPr>
      <w:rFonts w:ascii="Calibri" w:hAnsi="Calibri" w:cs="Arial"/>
      <w:b/>
      <w:color w:val="156471" w:themeColor="text2"/>
      <w:sz w:val="26"/>
      <w:szCs w:val="26"/>
    </w:rPr>
  </w:style>
  <w:style w:type="character" w:styleId="Hyperlink">
    <w:name w:val="Hyperlink"/>
    <w:basedOn w:val="DefaultParagraphFont"/>
    <w:uiPriority w:val="99"/>
    <w:rsid w:val="00C33A28"/>
    <w:rPr>
      <w:color w:val="0000FF" w:themeColor="hyperlink"/>
      <w:u w:val="single"/>
    </w:rPr>
  </w:style>
  <w:style w:type="paragraph" w:styleId="NoSpacing">
    <w:name w:val="No Spacing"/>
    <w:basedOn w:val="Normal"/>
    <w:uiPriority w:val="99"/>
    <w:rsid w:val="00740040"/>
    <w:pPr>
      <w:spacing w:after="0" w:line="240" w:lineRule="auto"/>
    </w:pPr>
  </w:style>
  <w:style w:type="character" w:styleId="PlaceholderText">
    <w:name w:val="Placeholder Text"/>
    <w:basedOn w:val="DefaultParagraphFont"/>
    <w:uiPriority w:val="99"/>
    <w:semiHidden/>
    <w:rsid w:val="006A0E8B"/>
    <w:rPr>
      <w:color w:val="808080"/>
    </w:rPr>
  </w:style>
  <w:style w:type="paragraph" w:customStyle="1" w:styleId="Subject">
    <w:name w:val="Subject"/>
    <w:basedOn w:val="Normal"/>
    <w:link w:val="SubjectChar"/>
    <w:uiPriority w:val="99"/>
    <w:rsid w:val="00014006"/>
    <w:pPr>
      <w:spacing w:after="340"/>
    </w:pPr>
    <w:rPr>
      <w:rFonts w:cs="Arial"/>
      <w:b/>
      <w:szCs w:val="20"/>
    </w:rPr>
  </w:style>
  <w:style w:type="character" w:customStyle="1" w:styleId="SubjectChar">
    <w:name w:val="Subject Char"/>
    <w:basedOn w:val="DefaultParagraphFont"/>
    <w:link w:val="Subject"/>
    <w:uiPriority w:val="99"/>
    <w:rsid w:val="00223239"/>
    <w:rPr>
      <w:rFonts w:ascii="Calibri" w:hAnsi="Calibri" w:cs="Arial"/>
      <w:b/>
      <w:szCs w:val="20"/>
    </w:rPr>
  </w:style>
  <w:style w:type="numbering" w:customStyle="1" w:styleId="Bulletlist">
    <w:name w:val="Bullet list"/>
    <w:uiPriority w:val="99"/>
    <w:rsid w:val="008F6443"/>
    <w:pPr>
      <w:numPr>
        <w:numId w:val="2"/>
      </w:numPr>
    </w:pPr>
  </w:style>
  <w:style w:type="character" w:customStyle="1" w:styleId="Heading3Char">
    <w:name w:val="Heading 3 Char"/>
    <w:basedOn w:val="DefaultParagraphFont"/>
    <w:link w:val="Heading3"/>
    <w:uiPriority w:val="6"/>
    <w:rsid w:val="00223239"/>
    <w:rPr>
      <w:rFonts w:ascii="Calibri" w:hAnsi="Calibri"/>
      <w:b/>
      <w:color w:val="156471" w:themeColor="text2"/>
    </w:rPr>
  </w:style>
  <w:style w:type="paragraph" w:customStyle="1" w:styleId="PageHeading">
    <w:name w:val="Page Heading"/>
    <w:basedOn w:val="Normal"/>
    <w:autoRedefine/>
    <w:uiPriority w:val="99"/>
    <w:qFormat/>
    <w:rsid w:val="003F6A89"/>
    <w:pPr>
      <w:pBdr>
        <w:bottom w:val="single" w:sz="4" w:space="1" w:color="156471" w:themeColor="text2"/>
      </w:pBdr>
      <w:spacing w:after="480" w:line="312" w:lineRule="auto"/>
      <w:ind w:right="6"/>
    </w:pPr>
    <w:rPr>
      <w:rFonts w:asciiTheme="majorHAnsi" w:hAnsiTheme="majorHAnsi" w:cs="Arial"/>
      <w:b/>
      <w:color w:val="156471" w:themeColor="text2"/>
      <w:sz w:val="36"/>
      <w:szCs w:val="32"/>
    </w:rPr>
  </w:style>
  <w:style w:type="table" w:styleId="TableGrid">
    <w:name w:val="Table Grid"/>
    <w:basedOn w:val="TableNormal"/>
    <w:uiPriority w:val="39"/>
    <w:rsid w:val="00B0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7"/>
    <w:rsid w:val="00223239"/>
    <w:rPr>
      <w:rFonts w:asciiTheme="majorHAnsi" w:eastAsiaTheme="majorEastAsia" w:hAnsiTheme="majorHAnsi" w:cstheme="majorBidi"/>
      <w:i/>
      <w:iCs/>
    </w:rPr>
  </w:style>
  <w:style w:type="numbering" w:customStyle="1" w:styleId="Style1">
    <w:name w:val="Style1"/>
    <w:basedOn w:val="NoList"/>
    <w:uiPriority w:val="99"/>
    <w:rsid w:val="00FB0FBA"/>
    <w:pPr>
      <w:numPr>
        <w:numId w:val="3"/>
      </w:numPr>
    </w:pPr>
  </w:style>
  <w:style w:type="numbering" w:customStyle="1" w:styleId="Style2">
    <w:name w:val="Style2"/>
    <w:basedOn w:val="NoList"/>
    <w:uiPriority w:val="99"/>
    <w:rsid w:val="00DA46F1"/>
    <w:pPr>
      <w:numPr>
        <w:numId w:val="4"/>
      </w:numPr>
    </w:pPr>
  </w:style>
  <w:style w:type="paragraph" w:customStyle="1" w:styleId="Dotpoints">
    <w:name w:val="Dot points"/>
    <w:basedOn w:val="Normal"/>
    <w:link w:val="DotpointsChar"/>
    <w:uiPriority w:val="2"/>
    <w:qFormat/>
    <w:rsid w:val="0031205C"/>
    <w:pPr>
      <w:numPr>
        <w:numId w:val="5"/>
      </w:numPr>
    </w:pPr>
  </w:style>
  <w:style w:type="paragraph" w:styleId="Caption">
    <w:name w:val="caption"/>
    <w:basedOn w:val="Normal"/>
    <w:next w:val="Normal"/>
    <w:link w:val="CaptionChar"/>
    <w:uiPriority w:val="35"/>
    <w:unhideWhenUsed/>
    <w:qFormat/>
    <w:rsid w:val="00DA46F1"/>
    <w:pPr>
      <w:spacing w:line="240" w:lineRule="auto"/>
    </w:pPr>
    <w:rPr>
      <w:i/>
      <w:iCs/>
      <w:color w:val="156471" w:themeColor="text2"/>
      <w:sz w:val="18"/>
      <w:szCs w:val="18"/>
    </w:rPr>
  </w:style>
  <w:style w:type="character" w:customStyle="1" w:styleId="DotpointsChar">
    <w:name w:val="Dot points Char"/>
    <w:basedOn w:val="SubjectChar"/>
    <w:link w:val="Dotpoints"/>
    <w:uiPriority w:val="2"/>
    <w:rsid w:val="0031205C"/>
    <w:rPr>
      <w:rFonts w:ascii="Calibri" w:hAnsi="Calibri" w:cs="Arial"/>
      <w:b w:val="0"/>
      <w:szCs w:val="20"/>
    </w:rPr>
  </w:style>
  <w:style w:type="paragraph" w:customStyle="1" w:styleId="Figureheading">
    <w:name w:val="Figure heading"/>
    <w:basedOn w:val="Caption"/>
    <w:link w:val="FigureheadingChar"/>
    <w:uiPriority w:val="4"/>
    <w:qFormat/>
    <w:rsid w:val="007074E0"/>
    <w:pPr>
      <w:keepNext/>
    </w:pPr>
    <w:rPr>
      <w:sz w:val="22"/>
    </w:rPr>
  </w:style>
  <w:style w:type="paragraph" w:customStyle="1" w:styleId="Chartnotes">
    <w:name w:val="Chart notes"/>
    <w:basedOn w:val="Figureheading"/>
    <w:link w:val="ChartnotesChar"/>
    <w:uiPriority w:val="3"/>
    <w:qFormat/>
    <w:rsid w:val="007074E0"/>
    <w:rPr>
      <w:b/>
      <w:i w:val="0"/>
      <w:color w:val="auto"/>
      <w:sz w:val="18"/>
      <w:lang w:val="en-US"/>
    </w:rPr>
  </w:style>
  <w:style w:type="character" w:customStyle="1" w:styleId="CaptionChar">
    <w:name w:val="Caption Char"/>
    <w:basedOn w:val="DefaultParagraphFont"/>
    <w:link w:val="Caption"/>
    <w:uiPriority w:val="35"/>
    <w:rsid w:val="00DA46F1"/>
    <w:rPr>
      <w:rFonts w:ascii="Calibri" w:hAnsi="Calibri"/>
      <w:i/>
      <w:iCs/>
      <w:color w:val="156471" w:themeColor="text2"/>
      <w:sz w:val="18"/>
      <w:szCs w:val="18"/>
    </w:rPr>
  </w:style>
  <w:style w:type="character" w:customStyle="1" w:styleId="FigureheadingChar">
    <w:name w:val="Figure heading Char"/>
    <w:basedOn w:val="CaptionChar"/>
    <w:link w:val="Figureheading"/>
    <w:uiPriority w:val="4"/>
    <w:rsid w:val="007074E0"/>
    <w:rPr>
      <w:rFonts w:ascii="Calibri" w:hAnsi="Calibri"/>
      <w:i/>
      <w:iCs/>
      <w:color w:val="156471" w:themeColor="text2"/>
      <w:sz w:val="18"/>
      <w:szCs w:val="18"/>
    </w:rPr>
  </w:style>
  <w:style w:type="character" w:customStyle="1" w:styleId="ChartnotesChar">
    <w:name w:val="Chart notes Char"/>
    <w:basedOn w:val="FigureheadingChar"/>
    <w:link w:val="Chartnotes"/>
    <w:uiPriority w:val="3"/>
    <w:rsid w:val="007074E0"/>
    <w:rPr>
      <w:rFonts w:ascii="Calibri" w:hAnsi="Calibri"/>
      <w:b/>
      <w:i w:val="0"/>
      <w:iCs/>
      <w:color w:val="156471" w:themeColor="text2"/>
      <w:sz w:val="18"/>
      <w:szCs w:val="18"/>
      <w:lang w:val="en-US"/>
    </w:rPr>
  </w:style>
  <w:style w:type="character" w:customStyle="1" w:styleId="UnresolvedMention1">
    <w:name w:val="Unresolved Mention1"/>
    <w:basedOn w:val="DefaultParagraphFont"/>
    <w:uiPriority w:val="99"/>
    <w:semiHidden/>
    <w:unhideWhenUsed/>
    <w:rsid w:val="004D08DB"/>
    <w:rPr>
      <w:color w:val="605E5C"/>
      <w:shd w:val="clear" w:color="auto" w:fill="E1DFDD"/>
    </w:rPr>
  </w:style>
  <w:style w:type="paragraph" w:styleId="TOCHeading">
    <w:name w:val="TOC Heading"/>
    <w:basedOn w:val="Heading1"/>
    <w:next w:val="Normal"/>
    <w:uiPriority w:val="39"/>
    <w:semiHidden/>
    <w:rsid w:val="00CE3B13"/>
    <w:pPr>
      <w:keepNext/>
      <w:keepLines/>
      <w:spacing w:before="240" w:after="0" w:line="259" w:lineRule="auto"/>
      <w:outlineLvl w:val="9"/>
    </w:pPr>
    <w:rPr>
      <w:rFonts w:eastAsiaTheme="majorEastAsia" w:cstheme="majorBidi"/>
      <w:b w:val="0"/>
      <w:caps w:val="0"/>
      <w:color w:val="004A8A" w:themeColor="accent1" w:themeShade="BF"/>
      <w:sz w:val="32"/>
      <w:szCs w:val="32"/>
      <w:lang w:val="en-US"/>
    </w:rPr>
  </w:style>
  <w:style w:type="paragraph" w:styleId="TOC1">
    <w:name w:val="toc 1"/>
    <w:basedOn w:val="Normal"/>
    <w:next w:val="Normal"/>
    <w:autoRedefine/>
    <w:uiPriority w:val="39"/>
    <w:rsid w:val="00CE3B13"/>
    <w:pPr>
      <w:spacing w:after="100"/>
    </w:pPr>
  </w:style>
  <w:style w:type="paragraph" w:styleId="TOC2">
    <w:name w:val="toc 2"/>
    <w:basedOn w:val="Normal"/>
    <w:next w:val="Normal"/>
    <w:autoRedefine/>
    <w:uiPriority w:val="39"/>
    <w:rsid w:val="009D41C0"/>
    <w:pPr>
      <w:spacing w:after="100"/>
      <w:ind w:left="220"/>
    </w:pPr>
  </w:style>
  <w:style w:type="paragraph" w:styleId="TOC3">
    <w:name w:val="toc 3"/>
    <w:basedOn w:val="Normal"/>
    <w:next w:val="Normal"/>
    <w:autoRedefine/>
    <w:uiPriority w:val="39"/>
    <w:rsid w:val="009D41C0"/>
    <w:pPr>
      <w:spacing w:after="100"/>
      <w:ind w:left="440"/>
    </w:pPr>
  </w:style>
  <w:style w:type="paragraph" w:customStyle="1" w:styleId="TitlePageHeading">
    <w:name w:val="Title Page Heading"/>
    <w:basedOn w:val="Normal"/>
    <w:link w:val="TitlePageHeadingChar"/>
    <w:uiPriority w:val="8"/>
    <w:qFormat/>
    <w:rsid w:val="002376FF"/>
    <w:pPr>
      <w:spacing w:before="7500"/>
    </w:pPr>
    <w:rPr>
      <w:b/>
      <w:color w:val="156471" w:themeColor="text2"/>
      <w:sz w:val="56"/>
      <w:szCs w:val="56"/>
      <w:lang w:val="en-GB"/>
    </w:rPr>
  </w:style>
  <w:style w:type="paragraph" w:customStyle="1" w:styleId="Titlepagesubheading">
    <w:name w:val="Title page subheading"/>
    <w:basedOn w:val="Normal"/>
    <w:link w:val="TitlepagesubheadingChar"/>
    <w:uiPriority w:val="9"/>
    <w:qFormat/>
    <w:rsid w:val="002376FF"/>
    <w:pPr>
      <w:jc w:val="center"/>
    </w:pPr>
    <w:rPr>
      <w:b/>
      <w:color w:val="156471" w:themeColor="text2"/>
      <w:sz w:val="44"/>
      <w:szCs w:val="44"/>
      <w:lang w:val="en-GB"/>
    </w:rPr>
  </w:style>
  <w:style w:type="character" w:customStyle="1" w:styleId="TitlePageHeadingChar">
    <w:name w:val="Title Page Heading Char"/>
    <w:basedOn w:val="DefaultParagraphFont"/>
    <w:link w:val="TitlePageHeading"/>
    <w:uiPriority w:val="8"/>
    <w:rsid w:val="00223239"/>
    <w:rPr>
      <w:rFonts w:ascii="Calibri" w:hAnsi="Calibri"/>
      <w:b/>
      <w:color w:val="156471" w:themeColor="text2"/>
      <w:sz w:val="56"/>
      <w:szCs w:val="56"/>
      <w:lang w:val="en-GB"/>
    </w:rPr>
  </w:style>
  <w:style w:type="paragraph" w:styleId="TableofFigures">
    <w:name w:val="table of figures"/>
    <w:basedOn w:val="Normal"/>
    <w:next w:val="Normal"/>
    <w:uiPriority w:val="99"/>
    <w:rsid w:val="002376FF"/>
    <w:pPr>
      <w:spacing w:after="0"/>
    </w:pPr>
  </w:style>
  <w:style w:type="character" w:customStyle="1" w:styleId="TitlepagesubheadingChar">
    <w:name w:val="Title page subheading Char"/>
    <w:basedOn w:val="DefaultParagraphFont"/>
    <w:link w:val="Titlepagesubheading"/>
    <w:uiPriority w:val="9"/>
    <w:rsid w:val="00223239"/>
    <w:rPr>
      <w:rFonts w:ascii="Calibri" w:hAnsi="Calibri"/>
      <w:b/>
      <w:color w:val="156471" w:themeColor="text2"/>
      <w:sz w:val="44"/>
      <w:szCs w:val="44"/>
      <w:lang w:val="en-GB"/>
    </w:rPr>
  </w:style>
  <w:style w:type="paragraph" w:customStyle="1" w:styleId="Titlepagedate">
    <w:name w:val="Title page date"/>
    <w:basedOn w:val="Normal"/>
    <w:link w:val="TitlepagedateChar"/>
    <w:uiPriority w:val="10"/>
    <w:qFormat/>
    <w:rsid w:val="00454F49"/>
    <w:pPr>
      <w:jc w:val="center"/>
    </w:pPr>
    <w:rPr>
      <w:color w:val="156471" w:themeColor="text2"/>
      <w:sz w:val="32"/>
      <w:szCs w:val="32"/>
      <w:lang w:val="en-GB"/>
    </w:rPr>
  </w:style>
  <w:style w:type="paragraph" w:customStyle="1" w:styleId="Titlepageauthor">
    <w:name w:val="Title page author"/>
    <w:basedOn w:val="Normal"/>
    <w:link w:val="TitlepageauthorChar"/>
    <w:uiPriority w:val="10"/>
    <w:qFormat/>
    <w:rsid w:val="00454F49"/>
    <w:pPr>
      <w:spacing w:before="1200"/>
      <w:jc w:val="center"/>
    </w:pPr>
    <w:rPr>
      <w:b/>
      <w:color w:val="156471" w:themeColor="text2"/>
      <w:sz w:val="36"/>
      <w:szCs w:val="36"/>
      <w:lang w:val="en-GB"/>
    </w:rPr>
  </w:style>
  <w:style w:type="character" w:customStyle="1" w:styleId="TitlepagedateChar">
    <w:name w:val="Title page date Char"/>
    <w:basedOn w:val="DefaultParagraphFont"/>
    <w:link w:val="Titlepagedate"/>
    <w:uiPriority w:val="10"/>
    <w:rsid w:val="00223239"/>
    <w:rPr>
      <w:rFonts w:ascii="Calibri" w:hAnsi="Calibri"/>
      <w:color w:val="156471" w:themeColor="text2"/>
      <w:sz w:val="32"/>
      <w:szCs w:val="32"/>
      <w:lang w:val="en-GB"/>
    </w:rPr>
  </w:style>
  <w:style w:type="character" w:customStyle="1" w:styleId="TitlepageauthorChar">
    <w:name w:val="Title page author Char"/>
    <w:basedOn w:val="DefaultParagraphFont"/>
    <w:link w:val="Titlepageauthor"/>
    <w:uiPriority w:val="10"/>
    <w:rsid w:val="00223239"/>
    <w:rPr>
      <w:rFonts w:ascii="Calibri" w:hAnsi="Calibri"/>
      <w:b/>
      <w:color w:val="156471" w:themeColor="text2"/>
      <w:sz w:val="36"/>
      <w:szCs w:val="36"/>
      <w:lang w:val="en-GB"/>
    </w:rPr>
  </w:style>
  <w:style w:type="paragraph" w:styleId="NormalWeb">
    <w:name w:val="Normal (Web)"/>
    <w:basedOn w:val="Normal"/>
    <w:uiPriority w:val="99"/>
    <w:unhideWhenUsed/>
    <w:rsid w:val="00F165A4"/>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table" w:customStyle="1" w:styleId="3">
    <w:name w:val="3"/>
    <w:basedOn w:val="TableNormal"/>
    <w:rsid w:val="00C47C1B"/>
    <w:pPr>
      <w:spacing w:after="0" w:line="240" w:lineRule="auto"/>
    </w:pPr>
    <w:rPr>
      <w:rFonts w:ascii="Gill Sans" w:eastAsia="Gill Sans" w:hAnsi="Gill Sans" w:cs="Gill Sans"/>
      <w:sz w:val="24"/>
      <w:szCs w:val="24"/>
      <w:lang w:val="en-US"/>
    </w:rPr>
    <w:tblPr>
      <w:tblStyleRowBandSize w:val="1"/>
      <w:tblStyleColBandSize w:val="1"/>
    </w:tblPr>
  </w:style>
  <w:style w:type="paragraph" w:styleId="CommentText">
    <w:name w:val="annotation text"/>
    <w:basedOn w:val="Normal"/>
    <w:link w:val="CommentTextChar"/>
    <w:uiPriority w:val="99"/>
    <w:unhideWhenUsed/>
    <w:rsid w:val="00C47C1B"/>
    <w:pPr>
      <w:spacing w:after="0" w:line="240" w:lineRule="auto"/>
      <w:jc w:val="left"/>
    </w:pPr>
    <w:rPr>
      <w:rFonts w:ascii="Gill Sans" w:eastAsia="Gill Sans" w:hAnsi="Gill Sans" w:cs="Gill Sans"/>
      <w:sz w:val="20"/>
      <w:szCs w:val="20"/>
      <w:lang w:val="en-US"/>
    </w:rPr>
  </w:style>
  <w:style w:type="character" w:customStyle="1" w:styleId="CommentTextChar">
    <w:name w:val="Comment Text Char"/>
    <w:basedOn w:val="DefaultParagraphFont"/>
    <w:link w:val="CommentText"/>
    <w:uiPriority w:val="99"/>
    <w:rsid w:val="00C47C1B"/>
    <w:rPr>
      <w:rFonts w:ascii="Gill Sans" w:eastAsia="Gill Sans" w:hAnsi="Gill Sans" w:cs="Gill Sans"/>
      <w:sz w:val="20"/>
      <w:szCs w:val="20"/>
      <w:lang w:val="en-US"/>
    </w:rPr>
  </w:style>
  <w:style w:type="paragraph" w:styleId="EndnoteText">
    <w:name w:val="endnote text"/>
    <w:basedOn w:val="Normal"/>
    <w:link w:val="EndnoteTextChar"/>
    <w:uiPriority w:val="99"/>
    <w:semiHidden/>
    <w:unhideWhenUsed/>
    <w:rsid w:val="00C47C1B"/>
    <w:pPr>
      <w:spacing w:after="0" w:line="240" w:lineRule="auto"/>
      <w:jc w:val="left"/>
    </w:pPr>
    <w:rPr>
      <w:rFonts w:ascii="Gill Sans" w:eastAsia="Gill Sans" w:hAnsi="Gill Sans" w:cs="Gill Sans"/>
      <w:sz w:val="20"/>
      <w:szCs w:val="20"/>
      <w:lang w:val="en-US"/>
    </w:rPr>
  </w:style>
  <w:style w:type="character" w:customStyle="1" w:styleId="EndnoteTextChar">
    <w:name w:val="Endnote Text Char"/>
    <w:basedOn w:val="DefaultParagraphFont"/>
    <w:link w:val="EndnoteText"/>
    <w:uiPriority w:val="99"/>
    <w:semiHidden/>
    <w:rsid w:val="00C47C1B"/>
    <w:rPr>
      <w:rFonts w:ascii="Gill Sans" w:eastAsia="Gill Sans" w:hAnsi="Gill Sans" w:cs="Gill Sans"/>
      <w:sz w:val="20"/>
      <w:szCs w:val="20"/>
      <w:lang w:val="en-US"/>
    </w:rPr>
  </w:style>
  <w:style w:type="paragraph" w:styleId="FootnoteText">
    <w:name w:val="footnote text"/>
    <w:aliases w:val="Geneva 9,Font: Geneva 9,Boston 10,f,otnote Text,Footnote,single space,footnote text,ft,Footnote Text Char2,Footnote Text Char1 Char,Footnote Text Char Char Char1,Footnote Text Char1 Char Char Char1,Footnote Text Char1 Char1 Char,Fußnote,fn"/>
    <w:basedOn w:val="Normal"/>
    <w:link w:val="FootnoteTextChar"/>
    <w:uiPriority w:val="99"/>
    <w:unhideWhenUsed/>
    <w:qFormat/>
    <w:rsid w:val="00C47C1B"/>
    <w:pPr>
      <w:spacing w:after="0" w:line="240" w:lineRule="auto"/>
      <w:jc w:val="left"/>
    </w:pPr>
    <w:rPr>
      <w:rFonts w:ascii="Gill Sans" w:eastAsia="Gill Sans" w:hAnsi="Gill Sans" w:cs="Gill Sans"/>
      <w:sz w:val="20"/>
      <w:szCs w:val="20"/>
      <w:lang w:val="en-US"/>
    </w:rPr>
  </w:style>
  <w:style w:type="character" w:customStyle="1" w:styleId="FootnoteTextChar">
    <w:name w:val="Footnote Text Char"/>
    <w:aliases w:val="Geneva 9 Char,Font: Geneva 9 Char,Boston 10 Char,f Char,otnote Text Char,Footnote Char,single space Char,footnote text Char,ft Char,Footnote Text Char2 Char,Footnote Text Char1 Char Char,Footnote Text Char Char Char1 Char,Fußnote Char"/>
    <w:basedOn w:val="DefaultParagraphFont"/>
    <w:link w:val="FootnoteText"/>
    <w:uiPriority w:val="99"/>
    <w:rsid w:val="00C47C1B"/>
    <w:rPr>
      <w:rFonts w:ascii="Gill Sans" w:eastAsia="Gill Sans" w:hAnsi="Gill Sans" w:cs="Gill Sans"/>
      <w:sz w:val="20"/>
      <w:szCs w:val="20"/>
      <w:lang w:val="en-US"/>
    </w:rPr>
  </w:style>
  <w:style w:type="character" w:styleId="EndnoteReference">
    <w:name w:val="endnote reference"/>
    <w:basedOn w:val="DefaultParagraphFont"/>
    <w:uiPriority w:val="99"/>
    <w:semiHidden/>
    <w:unhideWhenUsed/>
    <w:rsid w:val="00C47C1B"/>
    <w:rPr>
      <w:vertAlign w:val="superscript"/>
    </w:rPr>
  </w:style>
  <w:style w:type="character" w:styleId="FootnoteReference">
    <w:name w:val="footnote reference"/>
    <w:aliases w:val="16 Point,Superscript 6 Point,Superscript 6 Point + 11 pt,ftref,Footnote Reference Number,note bp, Car Car Char Car Char Car Car Char Car Char Char, Car Car Car Car Car Car Car Car Char Car Car Char Car Car Car Char Car Char Char Char"/>
    <w:basedOn w:val="DefaultParagraphFont"/>
    <w:uiPriority w:val="99"/>
    <w:unhideWhenUsed/>
    <w:qFormat/>
    <w:rsid w:val="00C47C1B"/>
    <w:rPr>
      <w:vertAlign w:val="superscript"/>
    </w:rPr>
  </w:style>
  <w:style w:type="character" w:styleId="Strong">
    <w:name w:val="Strong"/>
    <w:basedOn w:val="DefaultParagraphFont"/>
    <w:uiPriority w:val="22"/>
    <w:qFormat/>
    <w:rsid w:val="00C47C1B"/>
    <w:rPr>
      <w:b/>
      <w:bCs/>
    </w:rPr>
  </w:style>
  <w:style w:type="paragraph" w:customStyle="1" w:styleId="Body">
    <w:name w:val="Body"/>
    <w:rsid w:val="00C47C1B"/>
    <w:pPr>
      <w:spacing w:after="0" w:line="240" w:lineRule="auto"/>
    </w:pPr>
    <w:rPr>
      <w:rFonts w:ascii="Helvetica" w:eastAsia="ヒラギノ角ゴ Pro W3" w:hAnsi="Helvetica" w:cs="Times New Roman"/>
      <w:color w:val="000000"/>
      <w:sz w:val="24"/>
      <w:szCs w:val="20"/>
      <w:lang w:val="en-US"/>
    </w:rPr>
  </w:style>
  <w:style w:type="character" w:styleId="FollowedHyperlink">
    <w:name w:val="FollowedHyperlink"/>
    <w:basedOn w:val="DefaultParagraphFont"/>
    <w:uiPriority w:val="99"/>
    <w:semiHidden/>
    <w:unhideWhenUsed/>
    <w:rsid w:val="003C701E"/>
    <w:rPr>
      <w:color w:val="800080" w:themeColor="followedHyperlink"/>
      <w:u w:val="single"/>
    </w:rPr>
  </w:style>
  <w:style w:type="table" w:styleId="GridTable4-Accent1">
    <w:name w:val="Grid Table 4 Accent 1"/>
    <w:basedOn w:val="TableNormal"/>
    <w:uiPriority w:val="49"/>
    <w:rsid w:val="005B7DC7"/>
    <w:pPr>
      <w:spacing w:after="0" w:line="240" w:lineRule="auto"/>
    </w:pPr>
    <w:tblPr>
      <w:tblStyleRowBandSize w:val="1"/>
      <w:tblStyleColBandSize w:val="1"/>
      <w:tblBorders>
        <w:top w:val="single" w:sz="4" w:space="0" w:color="3CA4FF" w:themeColor="accent1" w:themeTint="99"/>
        <w:left w:val="single" w:sz="4" w:space="0" w:color="3CA4FF" w:themeColor="accent1" w:themeTint="99"/>
        <w:bottom w:val="single" w:sz="4" w:space="0" w:color="3CA4FF" w:themeColor="accent1" w:themeTint="99"/>
        <w:right w:val="single" w:sz="4" w:space="0" w:color="3CA4FF" w:themeColor="accent1" w:themeTint="99"/>
        <w:insideH w:val="single" w:sz="4" w:space="0" w:color="3CA4FF" w:themeColor="accent1" w:themeTint="99"/>
        <w:insideV w:val="single" w:sz="4" w:space="0" w:color="3CA4FF" w:themeColor="accent1" w:themeTint="99"/>
      </w:tblBorders>
    </w:tblPr>
    <w:tblStylePr w:type="firstRow">
      <w:rPr>
        <w:b/>
        <w:bCs/>
        <w:color w:val="FFFFFF" w:themeColor="background1"/>
      </w:rPr>
      <w:tblPr/>
      <w:tcPr>
        <w:tcBorders>
          <w:top w:val="single" w:sz="4" w:space="0" w:color="0064B9" w:themeColor="accent1"/>
          <w:left w:val="single" w:sz="4" w:space="0" w:color="0064B9" w:themeColor="accent1"/>
          <w:bottom w:val="single" w:sz="4" w:space="0" w:color="0064B9" w:themeColor="accent1"/>
          <w:right w:val="single" w:sz="4" w:space="0" w:color="0064B9" w:themeColor="accent1"/>
          <w:insideH w:val="nil"/>
          <w:insideV w:val="nil"/>
        </w:tcBorders>
        <w:shd w:val="clear" w:color="auto" w:fill="0064B9" w:themeFill="accent1"/>
      </w:tcPr>
    </w:tblStylePr>
    <w:tblStylePr w:type="lastRow">
      <w:rPr>
        <w:b/>
        <w:bCs/>
      </w:rPr>
      <w:tblPr/>
      <w:tcPr>
        <w:tcBorders>
          <w:top w:val="double" w:sz="4" w:space="0" w:color="0064B9" w:themeColor="accent1"/>
        </w:tcBorders>
      </w:tcPr>
    </w:tblStylePr>
    <w:tblStylePr w:type="firstCol">
      <w:rPr>
        <w:b/>
        <w:bCs/>
      </w:rPr>
    </w:tblStylePr>
    <w:tblStylePr w:type="lastCol">
      <w:rPr>
        <w:b/>
        <w:bCs/>
      </w:rPr>
    </w:tblStylePr>
    <w:tblStylePr w:type="band1Vert">
      <w:tblPr/>
      <w:tcPr>
        <w:shd w:val="clear" w:color="auto" w:fill="BEE0FF" w:themeFill="accent1" w:themeFillTint="33"/>
      </w:tcPr>
    </w:tblStylePr>
    <w:tblStylePr w:type="band1Horz">
      <w:tblPr/>
      <w:tcPr>
        <w:shd w:val="clear" w:color="auto" w:fill="BEE0FF" w:themeFill="accent1" w:themeFillTint="33"/>
      </w:tcPr>
    </w:tblStylePr>
  </w:style>
  <w:style w:type="table" w:styleId="GridTable5Dark-Accent1">
    <w:name w:val="Grid Table 5 Dark Accent 1"/>
    <w:basedOn w:val="TableNormal"/>
    <w:uiPriority w:val="50"/>
    <w:rsid w:val="004C50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4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4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4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4B9" w:themeFill="accent1"/>
      </w:tcPr>
    </w:tblStylePr>
    <w:tblStylePr w:type="band1Vert">
      <w:tblPr/>
      <w:tcPr>
        <w:shd w:val="clear" w:color="auto" w:fill="7DC2FF" w:themeFill="accent1" w:themeFillTint="66"/>
      </w:tcPr>
    </w:tblStylePr>
    <w:tblStylePr w:type="band1Horz">
      <w:tblPr/>
      <w:tcPr>
        <w:shd w:val="clear" w:color="auto" w:fill="7DC2FF" w:themeFill="accent1" w:themeFillTint="66"/>
      </w:tcPr>
    </w:tblStylePr>
  </w:style>
  <w:style w:type="table" w:styleId="GridTable1Light">
    <w:name w:val="Grid Table 1 Light"/>
    <w:basedOn w:val="TableNormal"/>
    <w:uiPriority w:val="46"/>
    <w:rsid w:val="00F34357"/>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DB35E5"/>
    <w:pPr>
      <w:spacing w:after="100"/>
      <w:ind w:left="660"/>
    </w:pPr>
  </w:style>
  <w:style w:type="table" w:styleId="GridTable2-Accent1">
    <w:name w:val="Grid Table 2 Accent 1"/>
    <w:basedOn w:val="TableNormal"/>
    <w:uiPriority w:val="47"/>
    <w:rsid w:val="00DA6CFD"/>
    <w:pPr>
      <w:spacing w:after="0" w:line="240" w:lineRule="auto"/>
    </w:pPr>
    <w:tblPr>
      <w:tblStyleRowBandSize w:val="1"/>
      <w:tblStyleColBandSize w:val="1"/>
      <w:tblBorders>
        <w:top w:val="single" w:sz="2" w:space="0" w:color="3CA4FF" w:themeColor="accent1" w:themeTint="99"/>
        <w:bottom w:val="single" w:sz="2" w:space="0" w:color="3CA4FF" w:themeColor="accent1" w:themeTint="99"/>
        <w:insideH w:val="single" w:sz="2" w:space="0" w:color="3CA4FF" w:themeColor="accent1" w:themeTint="99"/>
        <w:insideV w:val="single" w:sz="2" w:space="0" w:color="3CA4FF" w:themeColor="accent1" w:themeTint="99"/>
      </w:tblBorders>
    </w:tblPr>
    <w:tblStylePr w:type="firstRow">
      <w:rPr>
        <w:b/>
        <w:bCs/>
      </w:rPr>
      <w:tblPr/>
      <w:tcPr>
        <w:tcBorders>
          <w:top w:val="nil"/>
          <w:bottom w:val="single" w:sz="12" w:space="0" w:color="3CA4FF" w:themeColor="accent1" w:themeTint="99"/>
          <w:insideH w:val="nil"/>
          <w:insideV w:val="nil"/>
        </w:tcBorders>
        <w:shd w:val="clear" w:color="auto" w:fill="FFFFFF" w:themeFill="background1"/>
      </w:tcPr>
    </w:tblStylePr>
    <w:tblStylePr w:type="lastRow">
      <w:rPr>
        <w:b/>
        <w:bCs/>
      </w:rPr>
      <w:tblPr/>
      <w:tcPr>
        <w:tcBorders>
          <w:top w:val="double" w:sz="2" w:space="0" w:color="3CA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0FF" w:themeFill="accent1" w:themeFillTint="33"/>
      </w:tcPr>
    </w:tblStylePr>
    <w:tblStylePr w:type="band1Horz">
      <w:tblPr/>
      <w:tcPr>
        <w:shd w:val="clear" w:color="auto" w:fill="BEE0FF" w:themeFill="accent1" w:themeFillTint="33"/>
      </w:tcPr>
    </w:tblStylePr>
  </w:style>
  <w:style w:type="table" w:styleId="GridTable1Light-Accent1">
    <w:name w:val="Grid Table 1 Light Accent 1"/>
    <w:basedOn w:val="TableNormal"/>
    <w:uiPriority w:val="46"/>
    <w:rsid w:val="00487A7A"/>
    <w:pPr>
      <w:spacing w:after="0" w:line="240" w:lineRule="auto"/>
    </w:pPr>
    <w:tblPr>
      <w:tblStyleRowBandSize w:val="1"/>
      <w:tblStyleColBandSize w:val="1"/>
      <w:tblBorders>
        <w:top w:val="single" w:sz="4" w:space="0" w:color="7DC2FF" w:themeColor="accent1" w:themeTint="66"/>
        <w:left w:val="single" w:sz="4" w:space="0" w:color="7DC2FF" w:themeColor="accent1" w:themeTint="66"/>
        <w:bottom w:val="single" w:sz="4" w:space="0" w:color="7DC2FF" w:themeColor="accent1" w:themeTint="66"/>
        <w:right w:val="single" w:sz="4" w:space="0" w:color="7DC2FF" w:themeColor="accent1" w:themeTint="66"/>
        <w:insideH w:val="single" w:sz="4" w:space="0" w:color="7DC2FF" w:themeColor="accent1" w:themeTint="66"/>
        <w:insideV w:val="single" w:sz="4" w:space="0" w:color="7DC2FF" w:themeColor="accent1" w:themeTint="66"/>
      </w:tblBorders>
    </w:tblPr>
    <w:tblStylePr w:type="firstRow">
      <w:rPr>
        <w:b/>
        <w:bCs/>
      </w:rPr>
      <w:tblPr/>
      <w:tcPr>
        <w:tcBorders>
          <w:bottom w:val="single" w:sz="12" w:space="0" w:color="3CA4FF" w:themeColor="accent1" w:themeTint="99"/>
        </w:tcBorders>
      </w:tcPr>
    </w:tblStylePr>
    <w:tblStylePr w:type="lastRow">
      <w:rPr>
        <w:b/>
        <w:bCs/>
      </w:rPr>
      <w:tblPr/>
      <w:tcPr>
        <w:tcBorders>
          <w:top w:val="double" w:sz="2" w:space="0" w:color="3CA4FF"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507B5"/>
    <w:rPr>
      <w:sz w:val="16"/>
      <w:szCs w:val="16"/>
    </w:rPr>
  </w:style>
  <w:style w:type="paragraph" w:styleId="CommentSubject">
    <w:name w:val="annotation subject"/>
    <w:basedOn w:val="CommentText"/>
    <w:next w:val="CommentText"/>
    <w:link w:val="CommentSubjectChar"/>
    <w:uiPriority w:val="99"/>
    <w:semiHidden/>
    <w:unhideWhenUsed/>
    <w:rsid w:val="004507B5"/>
    <w:pPr>
      <w:spacing w:after="120"/>
      <w:jc w:val="both"/>
    </w:pPr>
    <w:rPr>
      <w:rFonts w:ascii="Calibri" w:eastAsiaTheme="minorHAnsi" w:hAnsi="Calibri" w:cstheme="minorBidi"/>
      <w:b/>
      <w:bCs/>
      <w:lang w:val="en-AU"/>
    </w:rPr>
  </w:style>
  <w:style w:type="character" w:customStyle="1" w:styleId="CommentSubjectChar">
    <w:name w:val="Comment Subject Char"/>
    <w:basedOn w:val="CommentTextChar"/>
    <w:link w:val="CommentSubject"/>
    <w:uiPriority w:val="99"/>
    <w:semiHidden/>
    <w:rsid w:val="004507B5"/>
    <w:rPr>
      <w:rFonts w:ascii="Calibri" w:eastAsia="Gill Sans" w:hAnsi="Calibri" w:cs="Gill Sans"/>
      <w:b/>
      <w:bCs/>
      <w:sz w:val="20"/>
      <w:szCs w:val="20"/>
      <w:lang w:val="en-US"/>
    </w:rPr>
  </w:style>
  <w:style w:type="character" w:customStyle="1" w:styleId="EndNoteBibliographyChar">
    <w:name w:val="EndNote Bibliography Char"/>
    <w:basedOn w:val="DefaultParagraphFont"/>
    <w:link w:val="EndNoteBibliography"/>
    <w:locked/>
    <w:rsid w:val="006436EB"/>
    <w:rPr>
      <w:rFonts w:ascii="Calibri" w:hAnsi="Calibri" w:cs="Calibri"/>
      <w:noProof/>
      <w:szCs w:val="21"/>
    </w:rPr>
  </w:style>
  <w:style w:type="paragraph" w:customStyle="1" w:styleId="EndNoteBibliography">
    <w:name w:val="EndNote Bibliography"/>
    <w:basedOn w:val="Normal"/>
    <w:link w:val="EndNoteBibliographyChar"/>
    <w:rsid w:val="006436EB"/>
    <w:pPr>
      <w:spacing w:after="160" w:line="240" w:lineRule="auto"/>
      <w:jc w:val="left"/>
    </w:pPr>
    <w:rPr>
      <w:rFonts w:cs="Calibri"/>
      <w:noProof/>
      <w:szCs w:val="21"/>
    </w:rPr>
  </w:style>
  <w:style w:type="table" w:styleId="GridTable4">
    <w:name w:val="Grid Table 4"/>
    <w:basedOn w:val="TableNormal"/>
    <w:uiPriority w:val="49"/>
    <w:rsid w:val="00F20359"/>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paragraph" w:styleId="Revision">
    <w:name w:val="Revision"/>
    <w:hidden/>
    <w:uiPriority w:val="99"/>
    <w:semiHidden/>
    <w:rsid w:val="006931D6"/>
    <w:pPr>
      <w:spacing w:after="0" w:line="240" w:lineRule="auto"/>
    </w:pPr>
    <w:rPr>
      <w:rFonts w:ascii="Calibri" w:hAnsi="Calibri"/>
    </w:rPr>
  </w:style>
  <w:style w:type="character" w:styleId="UnresolvedMention">
    <w:name w:val="Unresolved Mention"/>
    <w:basedOn w:val="DefaultParagraphFont"/>
    <w:uiPriority w:val="99"/>
    <w:semiHidden/>
    <w:unhideWhenUsed/>
    <w:rsid w:val="006E1E94"/>
    <w:rPr>
      <w:color w:val="605E5C"/>
      <w:shd w:val="clear" w:color="auto" w:fill="E1DFDD"/>
    </w:rPr>
  </w:style>
  <w:style w:type="paragraph" w:customStyle="1" w:styleId="Default">
    <w:name w:val="Default"/>
    <w:rsid w:val="0070400E"/>
    <w:pPr>
      <w:autoSpaceDE w:val="0"/>
      <w:autoSpaceDN w:val="0"/>
      <w:adjustRightInd w:val="0"/>
      <w:spacing w:after="0" w:line="240" w:lineRule="auto"/>
    </w:pPr>
    <w:rPr>
      <w:rFonts w:ascii="Arial" w:hAnsi="Arial" w:cs="Arial"/>
      <w:color w:val="000000"/>
      <w:sz w:val="24"/>
      <w:szCs w:val="24"/>
    </w:rPr>
  </w:style>
  <w:style w:type="character" w:customStyle="1" w:styleId="A8">
    <w:name w:val="A8"/>
    <w:uiPriority w:val="99"/>
    <w:rsid w:val="0070400E"/>
    <w:rPr>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560282">
      <w:bodyDiv w:val="1"/>
      <w:marLeft w:val="0"/>
      <w:marRight w:val="0"/>
      <w:marTop w:val="0"/>
      <w:marBottom w:val="0"/>
      <w:divBdr>
        <w:top w:val="none" w:sz="0" w:space="0" w:color="auto"/>
        <w:left w:val="none" w:sz="0" w:space="0" w:color="auto"/>
        <w:bottom w:val="none" w:sz="0" w:space="0" w:color="auto"/>
        <w:right w:val="none" w:sz="0" w:space="0" w:color="auto"/>
      </w:divBdr>
      <w:divsChild>
        <w:div w:id="607851067">
          <w:marLeft w:val="547"/>
          <w:marRight w:val="0"/>
          <w:marTop w:val="0"/>
          <w:marBottom w:val="0"/>
          <w:divBdr>
            <w:top w:val="none" w:sz="0" w:space="0" w:color="auto"/>
            <w:left w:val="none" w:sz="0" w:space="0" w:color="auto"/>
            <w:bottom w:val="none" w:sz="0" w:space="0" w:color="auto"/>
            <w:right w:val="none" w:sz="0" w:space="0" w:color="auto"/>
          </w:divBdr>
        </w:div>
        <w:div w:id="675886139">
          <w:marLeft w:val="547"/>
          <w:marRight w:val="0"/>
          <w:marTop w:val="0"/>
          <w:marBottom w:val="0"/>
          <w:divBdr>
            <w:top w:val="none" w:sz="0" w:space="0" w:color="auto"/>
            <w:left w:val="none" w:sz="0" w:space="0" w:color="auto"/>
            <w:bottom w:val="none" w:sz="0" w:space="0" w:color="auto"/>
            <w:right w:val="none" w:sz="0" w:space="0" w:color="auto"/>
          </w:divBdr>
        </w:div>
        <w:div w:id="1609460331">
          <w:marLeft w:val="1267"/>
          <w:marRight w:val="0"/>
          <w:marTop w:val="0"/>
          <w:marBottom w:val="0"/>
          <w:divBdr>
            <w:top w:val="none" w:sz="0" w:space="0" w:color="auto"/>
            <w:left w:val="none" w:sz="0" w:space="0" w:color="auto"/>
            <w:bottom w:val="none" w:sz="0" w:space="0" w:color="auto"/>
            <w:right w:val="none" w:sz="0" w:space="0" w:color="auto"/>
          </w:divBdr>
        </w:div>
        <w:div w:id="690108303">
          <w:marLeft w:val="1267"/>
          <w:marRight w:val="0"/>
          <w:marTop w:val="0"/>
          <w:marBottom w:val="0"/>
          <w:divBdr>
            <w:top w:val="none" w:sz="0" w:space="0" w:color="auto"/>
            <w:left w:val="none" w:sz="0" w:space="0" w:color="auto"/>
            <w:bottom w:val="none" w:sz="0" w:space="0" w:color="auto"/>
            <w:right w:val="none" w:sz="0" w:space="0" w:color="auto"/>
          </w:divBdr>
        </w:div>
        <w:div w:id="1963002774">
          <w:marLeft w:val="547"/>
          <w:marRight w:val="0"/>
          <w:marTop w:val="0"/>
          <w:marBottom w:val="0"/>
          <w:divBdr>
            <w:top w:val="none" w:sz="0" w:space="0" w:color="auto"/>
            <w:left w:val="none" w:sz="0" w:space="0" w:color="auto"/>
            <w:bottom w:val="none" w:sz="0" w:space="0" w:color="auto"/>
            <w:right w:val="none" w:sz="0" w:space="0" w:color="auto"/>
          </w:divBdr>
        </w:div>
        <w:div w:id="374350147">
          <w:marLeft w:val="1267"/>
          <w:marRight w:val="0"/>
          <w:marTop w:val="0"/>
          <w:marBottom w:val="0"/>
          <w:divBdr>
            <w:top w:val="none" w:sz="0" w:space="0" w:color="auto"/>
            <w:left w:val="none" w:sz="0" w:space="0" w:color="auto"/>
            <w:bottom w:val="none" w:sz="0" w:space="0" w:color="auto"/>
            <w:right w:val="none" w:sz="0" w:space="0" w:color="auto"/>
          </w:divBdr>
        </w:div>
        <w:div w:id="1327825425">
          <w:marLeft w:val="1267"/>
          <w:marRight w:val="0"/>
          <w:marTop w:val="0"/>
          <w:marBottom w:val="0"/>
          <w:divBdr>
            <w:top w:val="none" w:sz="0" w:space="0" w:color="auto"/>
            <w:left w:val="none" w:sz="0" w:space="0" w:color="auto"/>
            <w:bottom w:val="none" w:sz="0" w:space="0" w:color="auto"/>
            <w:right w:val="none" w:sz="0" w:space="0" w:color="auto"/>
          </w:divBdr>
        </w:div>
        <w:div w:id="945192531">
          <w:marLeft w:val="547"/>
          <w:marRight w:val="0"/>
          <w:marTop w:val="0"/>
          <w:marBottom w:val="0"/>
          <w:divBdr>
            <w:top w:val="none" w:sz="0" w:space="0" w:color="auto"/>
            <w:left w:val="none" w:sz="0" w:space="0" w:color="auto"/>
            <w:bottom w:val="none" w:sz="0" w:space="0" w:color="auto"/>
            <w:right w:val="none" w:sz="0" w:space="0" w:color="auto"/>
          </w:divBdr>
        </w:div>
        <w:div w:id="1255018390">
          <w:marLeft w:val="547"/>
          <w:marRight w:val="0"/>
          <w:marTop w:val="0"/>
          <w:marBottom w:val="0"/>
          <w:divBdr>
            <w:top w:val="none" w:sz="0" w:space="0" w:color="auto"/>
            <w:left w:val="none" w:sz="0" w:space="0" w:color="auto"/>
            <w:bottom w:val="none" w:sz="0" w:space="0" w:color="auto"/>
            <w:right w:val="none" w:sz="0" w:space="0" w:color="auto"/>
          </w:divBdr>
        </w:div>
      </w:divsChild>
    </w:div>
    <w:div w:id="358972939">
      <w:bodyDiv w:val="1"/>
      <w:marLeft w:val="0"/>
      <w:marRight w:val="0"/>
      <w:marTop w:val="0"/>
      <w:marBottom w:val="0"/>
      <w:divBdr>
        <w:top w:val="none" w:sz="0" w:space="0" w:color="auto"/>
        <w:left w:val="none" w:sz="0" w:space="0" w:color="auto"/>
        <w:bottom w:val="none" w:sz="0" w:space="0" w:color="auto"/>
        <w:right w:val="none" w:sz="0" w:space="0" w:color="auto"/>
      </w:divBdr>
    </w:div>
    <w:div w:id="371728752">
      <w:bodyDiv w:val="1"/>
      <w:marLeft w:val="0"/>
      <w:marRight w:val="0"/>
      <w:marTop w:val="0"/>
      <w:marBottom w:val="0"/>
      <w:divBdr>
        <w:top w:val="none" w:sz="0" w:space="0" w:color="auto"/>
        <w:left w:val="none" w:sz="0" w:space="0" w:color="auto"/>
        <w:bottom w:val="none" w:sz="0" w:space="0" w:color="auto"/>
        <w:right w:val="none" w:sz="0" w:space="0" w:color="auto"/>
      </w:divBdr>
    </w:div>
    <w:div w:id="403575054">
      <w:bodyDiv w:val="1"/>
      <w:marLeft w:val="0"/>
      <w:marRight w:val="0"/>
      <w:marTop w:val="0"/>
      <w:marBottom w:val="0"/>
      <w:divBdr>
        <w:top w:val="none" w:sz="0" w:space="0" w:color="auto"/>
        <w:left w:val="none" w:sz="0" w:space="0" w:color="auto"/>
        <w:bottom w:val="none" w:sz="0" w:space="0" w:color="auto"/>
        <w:right w:val="none" w:sz="0" w:space="0" w:color="auto"/>
      </w:divBdr>
      <w:divsChild>
        <w:div w:id="765536075">
          <w:marLeft w:val="547"/>
          <w:marRight w:val="0"/>
          <w:marTop w:val="0"/>
          <w:marBottom w:val="0"/>
          <w:divBdr>
            <w:top w:val="none" w:sz="0" w:space="0" w:color="auto"/>
            <w:left w:val="none" w:sz="0" w:space="0" w:color="auto"/>
            <w:bottom w:val="none" w:sz="0" w:space="0" w:color="auto"/>
            <w:right w:val="none" w:sz="0" w:space="0" w:color="auto"/>
          </w:divBdr>
        </w:div>
        <w:div w:id="143860377">
          <w:marLeft w:val="547"/>
          <w:marRight w:val="0"/>
          <w:marTop w:val="0"/>
          <w:marBottom w:val="0"/>
          <w:divBdr>
            <w:top w:val="none" w:sz="0" w:space="0" w:color="auto"/>
            <w:left w:val="none" w:sz="0" w:space="0" w:color="auto"/>
            <w:bottom w:val="none" w:sz="0" w:space="0" w:color="auto"/>
            <w:right w:val="none" w:sz="0" w:space="0" w:color="auto"/>
          </w:divBdr>
        </w:div>
        <w:div w:id="664012126">
          <w:marLeft w:val="547"/>
          <w:marRight w:val="0"/>
          <w:marTop w:val="0"/>
          <w:marBottom w:val="0"/>
          <w:divBdr>
            <w:top w:val="none" w:sz="0" w:space="0" w:color="auto"/>
            <w:left w:val="none" w:sz="0" w:space="0" w:color="auto"/>
            <w:bottom w:val="none" w:sz="0" w:space="0" w:color="auto"/>
            <w:right w:val="none" w:sz="0" w:space="0" w:color="auto"/>
          </w:divBdr>
        </w:div>
        <w:div w:id="1673334946">
          <w:marLeft w:val="547"/>
          <w:marRight w:val="0"/>
          <w:marTop w:val="0"/>
          <w:marBottom w:val="0"/>
          <w:divBdr>
            <w:top w:val="none" w:sz="0" w:space="0" w:color="auto"/>
            <w:left w:val="none" w:sz="0" w:space="0" w:color="auto"/>
            <w:bottom w:val="none" w:sz="0" w:space="0" w:color="auto"/>
            <w:right w:val="none" w:sz="0" w:space="0" w:color="auto"/>
          </w:divBdr>
        </w:div>
        <w:div w:id="503859420">
          <w:marLeft w:val="547"/>
          <w:marRight w:val="0"/>
          <w:marTop w:val="0"/>
          <w:marBottom w:val="0"/>
          <w:divBdr>
            <w:top w:val="none" w:sz="0" w:space="0" w:color="auto"/>
            <w:left w:val="none" w:sz="0" w:space="0" w:color="auto"/>
            <w:bottom w:val="none" w:sz="0" w:space="0" w:color="auto"/>
            <w:right w:val="none" w:sz="0" w:space="0" w:color="auto"/>
          </w:divBdr>
        </w:div>
        <w:div w:id="208078475">
          <w:marLeft w:val="547"/>
          <w:marRight w:val="0"/>
          <w:marTop w:val="0"/>
          <w:marBottom w:val="0"/>
          <w:divBdr>
            <w:top w:val="none" w:sz="0" w:space="0" w:color="auto"/>
            <w:left w:val="none" w:sz="0" w:space="0" w:color="auto"/>
            <w:bottom w:val="none" w:sz="0" w:space="0" w:color="auto"/>
            <w:right w:val="none" w:sz="0" w:space="0" w:color="auto"/>
          </w:divBdr>
        </w:div>
      </w:divsChild>
    </w:div>
    <w:div w:id="434059394">
      <w:bodyDiv w:val="1"/>
      <w:marLeft w:val="0"/>
      <w:marRight w:val="0"/>
      <w:marTop w:val="0"/>
      <w:marBottom w:val="0"/>
      <w:divBdr>
        <w:top w:val="none" w:sz="0" w:space="0" w:color="auto"/>
        <w:left w:val="none" w:sz="0" w:space="0" w:color="auto"/>
        <w:bottom w:val="none" w:sz="0" w:space="0" w:color="auto"/>
        <w:right w:val="none" w:sz="0" w:space="0" w:color="auto"/>
      </w:divBdr>
    </w:div>
    <w:div w:id="435448645">
      <w:bodyDiv w:val="1"/>
      <w:marLeft w:val="0"/>
      <w:marRight w:val="0"/>
      <w:marTop w:val="0"/>
      <w:marBottom w:val="0"/>
      <w:divBdr>
        <w:top w:val="none" w:sz="0" w:space="0" w:color="auto"/>
        <w:left w:val="none" w:sz="0" w:space="0" w:color="auto"/>
        <w:bottom w:val="none" w:sz="0" w:space="0" w:color="auto"/>
        <w:right w:val="none" w:sz="0" w:space="0" w:color="auto"/>
      </w:divBdr>
    </w:div>
    <w:div w:id="469521217">
      <w:bodyDiv w:val="1"/>
      <w:marLeft w:val="0"/>
      <w:marRight w:val="0"/>
      <w:marTop w:val="0"/>
      <w:marBottom w:val="0"/>
      <w:divBdr>
        <w:top w:val="none" w:sz="0" w:space="0" w:color="auto"/>
        <w:left w:val="none" w:sz="0" w:space="0" w:color="auto"/>
        <w:bottom w:val="none" w:sz="0" w:space="0" w:color="auto"/>
        <w:right w:val="none" w:sz="0" w:space="0" w:color="auto"/>
      </w:divBdr>
    </w:div>
    <w:div w:id="591939290">
      <w:bodyDiv w:val="1"/>
      <w:marLeft w:val="0"/>
      <w:marRight w:val="0"/>
      <w:marTop w:val="0"/>
      <w:marBottom w:val="0"/>
      <w:divBdr>
        <w:top w:val="none" w:sz="0" w:space="0" w:color="auto"/>
        <w:left w:val="none" w:sz="0" w:space="0" w:color="auto"/>
        <w:bottom w:val="none" w:sz="0" w:space="0" w:color="auto"/>
        <w:right w:val="none" w:sz="0" w:space="0" w:color="auto"/>
      </w:divBdr>
    </w:div>
    <w:div w:id="593443827">
      <w:bodyDiv w:val="1"/>
      <w:marLeft w:val="0"/>
      <w:marRight w:val="0"/>
      <w:marTop w:val="0"/>
      <w:marBottom w:val="0"/>
      <w:divBdr>
        <w:top w:val="none" w:sz="0" w:space="0" w:color="auto"/>
        <w:left w:val="none" w:sz="0" w:space="0" w:color="auto"/>
        <w:bottom w:val="none" w:sz="0" w:space="0" w:color="auto"/>
        <w:right w:val="none" w:sz="0" w:space="0" w:color="auto"/>
      </w:divBdr>
    </w:div>
    <w:div w:id="600528936">
      <w:bodyDiv w:val="1"/>
      <w:marLeft w:val="0"/>
      <w:marRight w:val="0"/>
      <w:marTop w:val="0"/>
      <w:marBottom w:val="0"/>
      <w:divBdr>
        <w:top w:val="none" w:sz="0" w:space="0" w:color="auto"/>
        <w:left w:val="none" w:sz="0" w:space="0" w:color="auto"/>
        <w:bottom w:val="none" w:sz="0" w:space="0" w:color="auto"/>
        <w:right w:val="none" w:sz="0" w:space="0" w:color="auto"/>
      </w:divBdr>
    </w:div>
    <w:div w:id="609968988">
      <w:bodyDiv w:val="1"/>
      <w:marLeft w:val="0"/>
      <w:marRight w:val="0"/>
      <w:marTop w:val="0"/>
      <w:marBottom w:val="0"/>
      <w:divBdr>
        <w:top w:val="none" w:sz="0" w:space="0" w:color="auto"/>
        <w:left w:val="none" w:sz="0" w:space="0" w:color="auto"/>
        <w:bottom w:val="none" w:sz="0" w:space="0" w:color="auto"/>
        <w:right w:val="none" w:sz="0" w:space="0" w:color="auto"/>
      </w:divBdr>
    </w:div>
    <w:div w:id="623579054">
      <w:bodyDiv w:val="1"/>
      <w:marLeft w:val="0"/>
      <w:marRight w:val="0"/>
      <w:marTop w:val="0"/>
      <w:marBottom w:val="0"/>
      <w:divBdr>
        <w:top w:val="none" w:sz="0" w:space="0" w:color="auto"/>
        <w:left w:val="none" w:sz="0" w:space="0" w:color="auto"/>
        <w:bottom w:val="none" w:sz="0" w:space="0" w:color="auto"/>
        <w:right w:val="none" w:sz="0" w:space="0" w:color="auto"/>
      </w:divBdr>
    </w:div>
    <w:div w:id="639504518">
      <w:bodyDiv w:val="1"/>
      <w:marLeft w:val="0"/>
      <w:marRight w:val="0"/>
      <w:marTop w:val="0"/>
      <w:marBottom w:val="0"/>
      <w:divBdr>
        <w:top w:val="none" w:sz="0" w:space="0" w:color="auto"/>
        <w:left w:val="none" w:sz="0" w:space="0" w:color="auto"/>
        <w:bottom w:val="none" w:sz="0" w:space="0" w:color="auto"/>
        <w:right w:val="none" w:sz="0" w:space="0" w:color="auto"/>
      </w:divBdr>
    </w:div>
    <w:div w:id="673074018">
      <w:bodyDiv w:val="1"/>
      <w:marLeft w:val="0"/>
      <w:marRight w:val="0"/>
      <w:marTop w:val="0"/>
      <w:marBottom w:val="0"/>
      <w:divBdr>
        <w:top w:val="none" w:sz="0" w:space="0" w:color="auto"/>
        <w:left w:val="none" w:sz="0" w:space="0" w:color="auto"/>
        <w:bottom w:val="none" w:sz="0" w:space="0" w:color="auto"/>
        <w:right w:val="none" w:sz="0" w:space="0" w:color="auto"/>
      </w:divBdr>
    </w:div>
    <w:div w:id="683560329">
      <w:bodyDiv w:val="1"/>
      <w:marLeft w:val="0"/>
      <w:marRight w:val="0"/>
      <w:marTop w:val="0"/>
      <w:marBottom w:val="0"/>
      <w:divBdr>
        <w:top w:val="none" w:sz="0" w:space="0" w:color="auto"/>
        <w:left w:val="none" w:sz="0" w:space="0" w:color="auto"/>
        <w:bottom w:val="none" w:sz="0" w:space="0" w:color="auto"/>
        <w:right w:val="none" w:sz="0" w:space="0" w:color="auto"/>
      </w:divBdr>
    </w:div>
    <w:div w:id="756632099">
      <w:bodyDiv w:val="1"/>
      <w:marLeft w:val="0"/>
      <w:marRight w:val="0"/>
      <w:marTop w:val="0"/>
      <w:marBottom w:val="0"/>
      <w:divBdr>
        <w:top w:val="none" w:sz="0" w:space="0" w:color="auto"/>
        <w:left w:val="none" w:sz="0" w:space="0" w:color="auto"/>
        <w:bottom w:val="none" w:sz="0" w:space="0" w:color="auto"/>
        <w:right w:val="none" w:sz="0" w:space="0" w:color="auto"/>
      </w:divBdr>
    </w:div>
    <w:div w:id="829366055">
      <w:bodyDiv w:val="1"/>
      <w:marLeft w:val="0"/>
      <w:marRight w:val="0"/>
      <w:marTop w:val="0"/>
      <w:marBottom w:val="0"/>
      <w:divBdr>
        <w:top w:val="none" w:sz="0" w:space="0" w:color="auto"/>
        <w:left w:val="none" w:sz="0" w:space="0" w:color="auto"/>
        <w:bottom w:val="none" w:sz="0" w:space="0" w:color="auto"/>
        <w:right w:val="none" w:sz="0" w:space="0" w:color="auto"/>
      </w:divBdr>
    </w:div>
    <w:div w:id="848107163">
      <w:bodyDiv w:val="1"/>
      <w:marLeft w:val="0"/>
      <w:marRight w:val="0"/>
      <w:marTop w:val="0"/>
      <w:marBottom w:val="0"/>
      <w:divBdr>
        <w:top w:val="none" w:sz="0" w:space="0" w:color="auto"/>
        <w:left w:val="none" w:sz="0" w:space="0" w:color="auto"/>
        <w:bottom w:val="none" w:sz="0" w:space="0" w:color="auto"/>
        <w:right w:val="none" w:sz="0" w:space="0" w:color="auto"/>
      </w:divBdr>
    </w:div>
    <w:div w:id="855117836">
      <w:bodyDiv w:val="1"/>
      <w:marLeft w:val="0"/>
      <w:marRight w:val="0"/>
      <w:marTop w:val="0"/>
      <w:marBottom w:val="0"/>
      <w:divBdr>
        <w:top w:val="none" w:sz="0" w:space="0" w:color="auto"/>
        <w:left w:val="none" w:sz="0" w:space="0" w:color="auto"/>
        <w:bottom w:val="none" w:sz="0" w:space="0" w:color="auto"/>
        <w:right w:val="none" w:sz="0" w:space="0" w:color="auto"/>
      </w:divBdr>
    </w:div>
    <w:div w:id="905530212">
      <w:bodyDiv w:val="1"/>
      <w:marLeft w:val="0"/>
      <w:marRight w:val="0"/>
      <w:marTop w:val="0"/>
      <w:marBottom w:val="0"/>
      <w:divBdr>
        <w:top w:val="none" w:sz="0" w:space="0" w:color="auto"/>
        <w:left w:val="none" w:sz="0" w:space="0" w:color="auto"/>
        <w:bottom w:val="none" w:sz="0" w:space="0" w:color="auto"/>
        <w:right w:val="none" w:sz="0" w:space="0" w:color="auto"/>
      </w:divBdr>
    </w:div>
    <w:div w:id="1217007653">
      <w:bodyDiv w:val="1"/>
      <w:marLeft w:val="0"/>
      <w:marRight w:val="0"/>
      <w:marTop w:val="0"/>
      <w:marBottom w:val="0"/>
      <w:divBdr>
        <w:top w:val="none" w:sz="0" w:space="0" w:color="auto"/>
        <w:left w:val="none" w:sz="0" w:space="0" w:color="auto"/>
        <w:bottom w:val="none" w:sz="0" w:space="0" w:color="auto"/>
        <w:right w:val="none" w:sz="0" w:space="0" w:color="auto"/>
      </w:divBdr>
    </w:div>
    <w:div w:id="1259288931">
      <w:bodyDiv w:val="1"/>
      <w:marLeft w:val="0"/>
      <w:marRight w:val="0"/>
      <w:marTop w:val="0"/>
      <w:marBottom w:val="0"/>
      <w:divBdr>
        <w:top w:val="none" w:sz="0" w:space="0" w:color="auto"/>
        <w:left w:val="none" w:sz="0" w:space="0" w:color="auto"/>
        <w:bottom w:val="none" w:sz="0" w:space="0" w:color="auto"/>
        <w:right w:val="none" w:sz="0" w:space="0" w:color="auto"/>
      </w:divBdr>
    </w:div>
    <w:div w:id="1270577414">
      <w:bodyDiv w:val="1"/>
      <w:marLeft w:val="0"/>
      <w:marRight w:val="0"/>
      <w:marTop w:val="0"/>
      <w:marBottom w:val="0"/>
      <w:divBdr>
        <w:top w:val="none" w:sz="0" w:space="0" w:color="auto"/>
        <w:left w:val="none" w:sz="0" w:space="0" w:color="auto"/>
        <w:bottom w:val="none" w:sz="0" w:space="0" w:color="auto"/>
        <w:right w:val="none" w:sz="0" w:space="0" w:color="auto"/>
      </w:divBdr>
    </w:div>
    <w:div w:id="1330520729">
      <w:bodyDiv w:val="1"/>
      <w:marLeft w:val="0"/>
      <w:marRight w:val="0"/>
      <w:marTop w:val="0"/>
      <w:marBottom w:val="0"/>
      <w:divBdr>
        <w:top w:val="none" w:sz="0" w:space="0" w:color="auto"/>
        <w:left w:val="none" w:sz="0" w:space="0" w:color="auto"/>
        <w:bottom w:val="none" w:sz="0" w:space="0" w:color="auto"/>
        <w:right w:val="none" w:sz="0" w:space="0" w:color="auto"/>
      </w:divBdr>
      <w:divsChild>
        <w:div w:id="1667056335">
          <w:marLeft w:val="547"/>
          <w:marRight w:val="0"/>
          <w:marTop w:val="0"/>
          <w:marBottom w:val="0"/>
          <w:divBdr>
            <w:top w:val="none" w:sz="0" w:space="0" w:color="auto"/>
            <w:left w:val="none" w:sz="0" w:space="0" w:color="auto"/>
            <w:bottom w:val="none" w:sz="0" w:space="0" w:color="auto"/>
            <w:right w:val="none" w:sz="0" w:space="0" w:color="auto"/>
          </w:divBdr>
        </w:div>
        <w:div w:id="753016534">
          <w:marLeft w:val="547"/>
          <w:marRight w:val="0"/>
          <w:marTop w:val="0"/>
          <w:marBottom w:val="0"/>
          <w:divBdr>
            <w:top w:val="none" w:sz="0" w:space="0" w:color="auto"/>
            <w:left w:val="none" w:sz="0" w:space="0" w:color="auto"/>
            <w:bottom w:val="none" w:sz="0" w:space="0" w:color="auto"/>
            <w:right w:val="none" w:sz="0" w:space="0" w:color="auto"/>
          </w:divBdr>
        </w:div>
        <w:div w:id="90705495">
          <w:marLeft w:val="547"/>
          <w:marRight w:val="0"/>
          <w:marTop w:val="0"/>
          <w:marBottom w:val="0"/>
          <w:divBdr>
            <w:top w:val="none" w:sz="0" w:space="0" w:color="auto"/>
            <w:left w:val="none" w:sz="0" w:space="0" w:color="auto"/>
            <w:bottom w:val="none" w:sz="0" w:space="0" w:color="auto"/>
            <w:right w:val="none" w:sz="0" w:space="0" w:color="auto"/>
          </w:divBdr>
        </w:div>
        <w:div w:id="1069688473">
          <w:marLeft w:val="547"/>
          <w:marRight w:val="0"/>
          <w:marTop w:val="0"/>
          <w:marBottom w:val="0"/>
          <w:divBdr>
            <w:top w:val="none" w:sz="0" w:space="0" w:color="auto"/>
            <w:left w:val="none" w:sz="0" w:space="0" w:color="auto"/>
            <w:bottom w:val="none" w:sz="0" w:space="0" w:color="auto"/>
            <w:right w:val="none" w:sz="0" w:space="0" w:color="auto"/>
          </w:divBdr>
        </w:div>
      </w:divsChild>
    </w:div>
    <w:div w:id="1363749568">
      <w:bodyDiv w:val="1"/>
      <w:marLeft w:val="0"/>
      <w:marRight w:val="0"/>
      <w:marTop w:val="0"/>
      <w:marBottom w:val="0"/>
      <w:divBdr>
        <w:top w:val="none" w:sz="0" w:space="0" w:color="auto"/>
        <w:left w:val="none" w:sz="0" w:space="0" w:color="auto"/>
        <w:bottom w:val="none" w:sz="0" w:space="0" w:color="auto"/>
        <w:right w:val="none" w:sz="0" w:space="0" w:color="auto"/>
      </w:divBdr>
    </w:div>
    <w:div w:id="1384911737">
      <w:bodyDiv w:val="1"/>
      <w:marLeft w:val="0"/>
      <w:marRight w:val="0"/>
      <w:marTop w:val="0"/>
      <w:marBottom w:val="0"/>
      <w:divBdr>
        <w:top w:val="none" w:sz="0" w:space="0" w:color="auto"/>
        <w:left w:val="none" w:sz="0" w:space="0" w:color="auto"/>
        <w:bottom w:val="none" w:sz="0" w:space="0" w:color="auto"/>
        <w:right w:val="none" w:sz="0" w:space="0" w:color="auto"/>
      </w:divBdr>
      <w:divsChild>
        <w:div w:id="821852272">
          <w:marLeft w:val="547"/>
          <w:marRight w:val="0"/>
          <w:marTop w:val="0"/>
          <w:marBottom w:val="0"/>
          <w:divBdr>
            <w:top w:val="none" w:sz="0" w:space="0" w:color="auto"/>
            <w:left w:val="none" w:sz="0" w:space="0" w:color="auto"/>
            <w:bottom w:val="none" w:sz="0" w:space="0" w:color="auto"/>
            <w:right w:val="none" w:sz="0" w:space="0" w:color="auto"/>
          </w:divBdr>
        </w:div>
        <w:div w:id="2130783434">
          <w:marLeft w:val="547"/>
          <w:marRight w:val="0"/>
          <w:marTop w:val="0"/>
          <w:marBottom w:val="0"/>
          <w:divBdr>
            <w:top w:val="none" w:sz="0" w:space="0" w:color="auto"/>
            <w:left w:val="none" w:sz="0" w:space="0" w:color="auto"/>
            <w:bottom w:val="none" w:sz="0" w:space="0" w:color="auto"/>
            <w:right w:val="none" w:sz="0" w:space="0" w:color="auto"/>
          </w:divBdr>
        </w:div>
      </w:divsChild>
    </w:div>
    <w:div w:id="1414201868">
      <w:bodyDiv w:val="1"/>
      <w:marLeft w:val="0"/>
      <w:marRight w:val="0"/>
      <w:marTop w:val="0"/>
      <w:marBottom w:val="0"/>
      <w:divBdr>
        <w:top w:val="none" w:sz="0" w:space="0" w:color="auto"/>
        <w:left w:val="none" w:sz="0" w:space="0" w:color="auto"/>
        <w:bottom w:val="none" w:sz="0" w:space="0" w:color="auto"/>
        <w:right w:val="none" w:sz="0" w:space="0" w:color="auto"/>
      </w:divBdr>
      <w:divsChild>
        <w:div w:id="661085057">
          <w:marLeft w:val="547"/>
          <w:marRight w:val="0"/>
          <w:marTop w:val="0"/>
          <w:marBottom w:val="0"/>
          <w:divBdr>
            <w:top w:val="none" w:sz="0" w:space="0" w:color="auto"/>
            <w:left w:val="none" w:sz="0" w:space="0" w:color="auto"/>
            <w:bottom w:val="none" w:sz="0" w:space="0" w:color="auto"/>
            <w:right w:val="none" w:sz="0" w:space="0" w:color="auto"/>
          </w:divBdr>
        </w:div>
        <w:div w:id="586353448">
          <w:marLeft w:val="547"/>
          <w:marRight w:val="0"/>
          <w:marTop w:val="0"/>
          <w:marBottom w:val="0"/>
          <w:divBdr>
            <w:top w:val="none" w:sz="0" w:space="0" w:color="auto"/>
            <w:left w:val="none" w:sz="0" w:space="0" w:color="auto"/>
            <w:bottom w:val="none" w:sz="0" w:space="0" w:color="auto"/>
            <w:right w:val="none" w:sz="0" w:space="0" w:color="auto"/>
          </w:divBdr>
        </w:div>
        <w:div w:id="1644429513">
          <w:marLeft w:val="547"/>
          <w:marRight w:val="0"/>
          <w:marTop w:val="0"/>
          <w:marBottom w:val="0"/>
          <w:divBdr>
            <w:top w:val="none" w:sz="0" w:space="0" w:color="auto"/>
            <w:left w:val="none" w:sz="0" w:space="0" w:color="auto"/>
            <w:bottom w:val="none" w:sz="0" w:space="0" w:color="auto"/>
            <w:right w:val="none" w:sz="0" w:space="0" w:color="auto"/>
          </w:divBdr>
        </w:div>
        <w:div w:id="937444835">
          <w:marLeft w:val="547"/>
          <w:marRight w:val="0"/>
          <w:marTop w:val="0"/>
          <w:marBottom w:val="0"/>
          <w:divBdr>
            <w:top w:val="none" w:sz="0" w:space="0" w:color="auto"/>
            <w:left w:val="none" w:sz="0" w:space="0" w:color="auto"/>
            <w:bottom w:val="none" w:sz="0" w:space="0" w:color="auto"/>
            <w:right w:val="none" w:sz="0" w:space="0" w:color="auto"/>
          </w:divBdr>
        </w:div>
        <w:div w:id="1735589960">
          <w:marLeft w:val="547"/>
          <w:marRight w:val="0"/>
          <w:marTop w:val="0"/>
          <w:marBottom w:val="0"/>
          <w:divBdr>
            <w:top w:val="none" w:sz="0" w:space="0" w:color="auto"/>
            <w:left w:val="none" w:sz="0" w:space="0" w:color="auto"/>
            <w:bottom w:val="none" w:sz="0" w:space="0" w:color="auto"/>
            <w:right w:val="none" w:sz="0" w:space="0" w:color="auto"/>
          </w:divBdr>
        </w:div>
        <w:div w:id="1086733231">
          <w:marLeft w:val="547"/>
          <w:marRight w:val="0"/>
          <w:marTop w:val="0"/>
          <w:marBottom w:val="0"/>
          <w:divBdr>
            <w:top w:val="none" w:sz="0" w:space="0" w:color="auto"/>
            <w:left w:val="none" w:sz="0" w:space="0" w:color="auto"/>
            <w:bottom w:val="none" w:sz="0" w:space="0" w:color="auto"/>
            <w:right w:val="none" w:sz="0" w:space="0" w:color="auto"/>
          </w:divBdr>
        </w:div>
      </w:divsChild>
    </w:div>
    <w:div w:id="1436093885">
      <w:bodyDiv w:val="1"/>
      <w:marLeft w:val="0"/>
      <w:marRight w:val="0"/>
      <w:marTop w:val="0"/>
      <w:marBottom w:val="0"/>
      <w:divBdr>
        <w:top w:val="none" w:sz="0" w:space="0" w:color="auto"/>
        <w:left w:val="none" w:sz="0" w:space="0" w:color="auto"/>
        <w:bottom w:val="none" w:sz="0" w:space="0" w:color="auto"/>
        <w:right w:val="none" w:sz="0" w:space="0" w:color="auto"/>
      </w:divBdr>
    </w:div>
    <w:div w:id="1438793459">
      <w:bodyDiv w:val="1"/>
      <w:marLeft w:val="0"/>
      <w:marRight w:val="0"/>
      <w:marTop w:val="0"/>
      <w:marBottom w:val="0"/>
      <w:divBdr>
        <w:top w:val="none" w:sz="0" w:space="0" w:color="auto"/>
        <w:left w:val="none" w:sz="0" w:space="0" w:color="auto"/>
        <w:bottom w:val="none" w:sz="0" w:space="0" w:color="auto"/>
        <w:right w:val="none" w:sz="0" w:space="0" w:color="auto"/>
      </w:divBdr>
    </w:div>
    <w:div w:id="1440905494">
      <w:bodyDiv w:val="1"/>
      <w:marLeft w:val="0"/>
      <w:marRight w:val="0"/>
      <w:marTop w:val="0"/>
      <w:marBottom w:val="0"/>
      <w:divBdr>
        <w:top w:val="none" w:sz="0" w:space="0" w:color="auto"/>
        <w:left w:val="none" w:sz="0" w:space="0" w:color="auto"/>
        <w:bottom w:val="none" w:sz="0" w:space="0" w:color="auto"/>
        <w:right w:val="none" w:sz="0" w:space="0" w:color="auto"/>
      </w:divBdr>
    </w:div>
    <w:div w:id="1472938840">
      <w:bodyDiv w:val="1"/>
      <w:marLeft w:val="0"/>
      <w:marRight w:val="0"/>
      <w:marTop w:val="0"/>
      <w:marBottom w:val="0"/>
      <w:divBdr>
        <w:top w:val="none" w:sz="0" w:space="0" w:color="auto"/>
        <w:left w:val="none" w:sz="0" w:space="0" w:color="auto"/>
        <w:bottom w:val="none" w:sz="0" w:space="0" w:color="auto"/>
        <w:right w:val="none" w:sz="0" w:space="0" w:color="auto"/>
      </w:divBdr>
    </w:div>
    <w:div w:id="1527716886">
      <w:bodyDiv w:val="1"/>
      <w:marLeft w:val="0"/>
      <w:marRight w:val="0"/>
      <w:marTop w:val="0"/>
      <w:marBottom w:val="0"/>
      <w:divBdr>
        <w:top w:val="none" w:sz="0" w:space="0" w:color="auto"/>
        <w:left w:val="none" w:sz="0" w:space="0" w:color="auto"/>
        <w:bottom w:val="none" w:sz="0" w:space="0" w:color="auto"/>
        <w:right w:val="none" w:sz="0" w:space="0" w:color="auto"/>
      </w:divBdr>
    </w:div>
    <w:div w:id="1662350005">
      <w:bodyDiv w:val="1"/>
      <w:marLeft w:val="0"/>
      <w:marRight w:val="0"/>
      <w:marTop w:val="0"/>
      <w:marBottom w:val="0"/>
      <w:divBdr>
        <w:top w:val="none" w:sz="0" w:space="0" w:color="auto"/>
        <w:left w:val="none" w:sz="0" w:space="0" w:color="auto"/>
        <w:bottom w:val="none" w:sz="0" w:space="0" w:color="auto"/>
        <w:right w:val="none" w:sz="0" w:space="0" w:color="auto"/>
      </w:divBdr>
    </w:div>
    <w:div w:id="1680545274">
      <w:bodyDiv w:val="1"/>
      <w:marLeft w:val="0"/>
      <w:marRight w:val="0"/>
      <w:marTop w:val="0"/>
      <w:marBottom w:val="0"/>
      <w:divBdr>
        <w:top w:val="none" w:sz="0" w:space="0" w:color="auto"/>
        <w:left w:val="none" w:sz="0" w:space="0" w:color="auto"/>
        <w:bottom w:val="none" w:sz="0" w:space="0" w:color="auto"/>
        <w:right w:val="none" w:sz="0" w:space="0" w:color="auto"/>
      </w:divBdr>
    </w:div>
    <w:div w:id="1685665697">
      <w:bodyDiv w:val="1"/>
      <w:marLeft w:val="0"/>
      <w:marRight w:val="0"/>
      <w:marTop w:val="0"/>
      <w:marBottom w:val="0"/>
      <w:divBdr>
        <w:top w:val="none" w:sz="0" w:space="0" w:color="auto"/>
        <w:left w:val="none" w:sz="0" w:space="0" w:color="auto"/>
        <w:bottom w:val="none" w:sz="0" w:space="0" w:color="auto"/>
        <w:right w:val="none" w:sz="0" w:space="0" w:color="auto"/>
      </w:divBdr>
    </w:div>
    <w:div w:id="1772236647">
      <w:bodyDiv w:val="1"/>
      <w:marLeft w:val="0"/>
      <w:marRight w:val="0"/>
      <w:marTop w:val="0"/>
      <w:marBottom w:val="0"/>
      <w:divBdr>
        <w:top w:val="none" w:sz="0" w:space="0" w:color="auto"/>
        <w:left w:val="none" w:sz="0" w:space="0" w:color="auto"/>
        <w:bottom w:val="none" w:sz="0" w:space="0" w:color="auto"/>
        <w:right w:val="none" w:sz="0" w:space="0" w:color="auto"/>
      </w:divBdr>
    </w:div>
    <w:div w:id="1790590178">
      <w:bodyDiv w:val="1"/>
      <w:marLeft w:val="0"/>
      <w:marRight w:val="0"/>
      <w:marTop w:val="0"/>
      <w:marBottom w:val="0"/>
      <w:divBdr>
        <w:top w:val="none" w:sz="0" w:space="0" w:color="auto"/>
        <w:left w:val="none" w:sz="0" w:space="0" w:color="auto"/>
        <w:bottom w:val="none" w:sz="0" w:space="0" w:color="auto"/>
        <w:right w:val="none" w:sz="0" w:space="0" w:color="auto"/>
      </w:divBdr>
    </w:div>
    <w:div w:id="1824152594">
      <w:bodyDiv w:val="1"/>
      <w:marLeft w:val="0"/>
      <w:marRight w:val="0"/>
      <w:marTop w:val="0"/>
      <w:marBottom w:val="0"/>
      <w:divBdr>
        <w:top w:val="none" w:sz="0" w:space="0" w:color="auto"/>
        <w:left w:val="none" w:sz="0" w:space="0" w:color="auto"/>
        <w:bottom w:val="none" w:sz="0" w:space="0" w:color="auto"/>
        <w:right w:val="none" w:sz="0" w:space="0" w:color="auto"/>
      </w:divBdr>
      <w:divsChild>
        <w:div w:id="332608245">
          <w:marLeft w:val="0"/>
          <w:marRight w:val="0"/>
          <w:marTop w:val="0"/>
          <w:marBottom w:val="0"/>
          <w:divBdr>
            <w:top w:val="none" w:sz="0" w:space="0" w:color="auto"/>
            <w:left w:val="none" w:sz="0" w:space="0" w:color="auto"/>
            <w:bottom w:val="none" w:sz="0" w:space="0" w:color="auto"/>
            <w:right w:val="none" w:sz="0" w:space="0" w:color="auto"/>
          </w:divBdr>
        </w:div>
      </w:divsChild>
    </w:div>
    <w:div w:id="1824348974">
      <w:bodyDiv w:val="1"/>
      <w:marLeft w:val="0"/>
      <w:marRight w:val="0"/>
      <w:marTop w:val="0"/>
      <w:marBottom w:val="0"/>
      <w:divBdr>
        <w:top w:val="none" w:sz="0" w:space="0" w:color="auto"/>
        <w:left w:val="none" w:sz="0" w:space="0" w:color="auto"/>
        <w:bottom w:val="none" w:sz="0" w:space="0" w:color="auto"/>
        <w:right w:val="none" w:sz="0" w:space="0" w:color="auto"/>
      </w:divBdr>
    </w:div>
    <w:div w:id="1901624567">
      <w:bodyDiv w:val="1"/>
      <w:marLeft w:val="0"/>
      <w:marRight w:val="0"/>
      <w:marTop w:val="0"/>
      <w:marBottom w:val="0"/>
      <w:divBdr>
        <w:top w:val="none" w:sz="0" w:space="0" w:color="auto"/>
        <w:left w:val="none" w:sz="0" w:space="0" w:color="auto"/>
        <w:bottom w:val="none" w:sz="0" w:space="0" w:color="auto"/>
        <w:right w:val="none" w:sz="0" w:space="0" w:color="auto"/>
      </w:divBdr>
      <w:divsChild>
        <w:div w:id="920792069">
          <w:marLeft w:val="1224"/>
          <w:marRight w:val="0"/>
          <w:marTop w:val="240"/>
          <w:marBottom w:val="160"/>
          <w:divBdr>
            <w:top w:val="none" w:sz="0" w:space="0" w:color="auto"/>
            <w:left w:val="none" w:sz="0" w:space="0" w:color="auto"/>
            <w:bottom w:val="none" w:sz="0" w:space="0" w:color="auto"/>
            <w:right w:val="none" w:sz="0" w:space="0" w:color="auto"/>
          </w:divBdr>
        </w:div>
        <w:div w:id="324668054">
          <w:marLeft w:val="1224"/>
          <w:marRight w:val="0"/>
          <w:marTop w:val="240"/>
          <w:marBottom w:val="160"/>
          <w:divBdr>
            <w:top w:val="none" w:sz="0" w:space="0" w:color="auto"/>
            <w:left w:val="none" w:sz="0" w:space="0" w:color="auto"/>
            <w:bottom w:val="none" w:sz="0" w:space="0" w:color="auto"/>
            <w:right w:val="none" w:sz="0" w:space="0" w:color="auto"/>
          </w:divBdr>
        </w:div>
        <w:div w:id="2016423592">
          <w:marLeft w:val="1224"/>
          <w:marRight w:val="0"/>
          <w:marTop w:val="240"/>
          <w:marBottom w:val="160"/>
          <w:divBdr>
            <w:top w:val="none" w:sz="0" w:space="0" w:color="auto"/>
            <w:left w:val="none" w:sz="0" w:space="0" w:color="auto"/>
            <w:bottom w:val="none" w:sz="0" w:space="0" w:color="auto"/>
            <w:right w:val="none" w:sz="0" w:space="0" w:color="auto"/>
          </w:divBdr>
        </w:div>
      </w:divsChild>
    </w:div>
    <w:div w:id="1937784829">
      <w:bodyDiv w:val="1"/>
      <w:marLeft w:val="0"/>
      <w:marRight w:val="0"/>
      <w:marTop w:val="0"/>
      <w:marBottom w:val="0"/>
      <w:divBdr>
        <w:top w:val="none" w:sz="0" w:space="0" w:color="auto"/>
        <w:left w:val="none" w:sz="0" w:space="0" w:color="auto"/>
        <w:bottom w:val="none" w:sz="0" w:space="0" w:color="auto"/>
        <w:right w:val="none" w:sz="0" w:space="0" w:color="auto"/>
      </w:divBdr>
    </w:div>
    <w:div w:id="1959674290">
      <w:bodyDiv w:val="1"/>
      <w:marLeft w:val="0"/>
      <w:marRight w:val="0"/>
      <w:marTop w:val="0"/>
      <w:marBottom w:val="0"/>
      <w:divBdr>
        <w:top w:val="none" w:sz="0" w:space="0" w:color="auto"/>
        <w:left w:val="none" w:sz="0" w:space="0" w:color="auto"/>
        <w:bottom w:val="none" w:sz="0" w:space="0" w:color="auto"/>
        <w:right w:val="none" w:sz="0" w:space="0" w:color="auto"/>
      </w:divBdr>
    </w:div>
    <w:div w:id="1990552232">
      <w:bodyDiv w:val="1"/>
      <w:marLeft w:val="0"/>
      <w:marRight w:val="0"/>
      <w:marTop w:val="0"/>
      <w:marBottom w:val="0"/>
      <w:divBdr>
        <w:top w:val="none" w:sz="0" w:space="0" w:color="auto"/>
        <w:left w:val="none" w:sz="0" w:space="0" w:color="auto"/>
        <w:bottom w:val="none" w:sz="0" w:space="0" w:color="auto"/>
        <w:right w:val="none" w:sz="0" w:space="0" w:color="auto"/>
      </w:divBdr>
    </w:div>
    <w:div w:id="210672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greeningaustralia.org.au/" TargetMode="External"/><Relationship Id="rId26" Type="http://schemas.openxmlformats.org/officeDocument/2006/relationships/hyperlink" Target="https://esml.epa.gov/detail/bib/97" TargetMode="Externa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6.tmp"/><Relationship Id="rId33" Type="http://schemas.openxmlformats.org/officeDocument/2006/relationships/hyperlink" Target="https://seea.un.org/unsd-events-listin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chart" Target="charts/chart2.xml"/><Relationship Id="rId29" Type="http://schemas.openxmlformats.org/officeDocument/2006/relationships/hyperlink" Target="https://esml.epa.gov/detail/bib/335"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ideeagroup.com" TargetMode="External"/><Relationship Id="rId23" Type="http://schemas.openxmlformats.org/officeDocument/2006/relationships/footer" Target="footer1.xml"/><Relationship Id="rId28" Type="http://schemas.openxmlformats.org/officeDocument/2006/relationships/hyperlink" Target="https://esml.epa.gov/detail/bib/302" TargetMode="External"/><Relationship Id="rId36" Type="http://schemas.openxmlformats.org/officeDocument/2006/relationships/chart" Target="charts/chart4.xml"/><Relationship Id="rId10" Type="http://schemas.openxmlformats.org/officeDocument/2006/relationships/webSettings" Target="webSettings.xml"/><Relationship Id="rId19" Type="http://schemas.openxmlformats.org/officeDocument/2006/relationships/chart" Target="charts/chart1.xml"/><Relationship Id="rId31" Type="http://schemas.openxmlformats.org/officeDocument/2006/relationships/hyperlink" Target="https://esml.epa.gov/detail/bib/35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upport@ideeagroup.com" TargetMode="External"/><Relationship Id="rId22" Type="http://schemas.openxmlformats.org/officeDocument/2006/relationships/header" Target="header1.xml"/><Relationship Id="rId27" Type="http://schemas.openxmlformats.org/officeDocument/2006/relationships/hyperlink" Target="https://esml.epa.gov/detail/bib/296" TargetMode="External"/><Relationship Id="rId30" Type="http://schemas.openxmlformats.org/officeDocument/2006/relationships/hyperlink" Target="https://esml.epa.gov/detail/bib/335" TargetMode="External"/><Relationship Id="rId35"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www.taxonomywarehous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IDEEA%20Comms\Templates\IDEEA%20Letterhea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ropbox\IDEEA%20Group%20-%20Wetlands%20project\Report%20writing\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ropbox\IDEEA%20Group%20-%20Wetlands%20project\Report%20writing\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ropbox\IDEEA%20Group%20-%20Wetlands%20project\Report%20writing\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hn%20Finisdore\Dropbox\Why%20ES%20Classification\ES%20vs%20FES%20search%20on%20google%20schol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Valuation of 148 coastal wetlands captured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Nunber of Wetlands Captured</c:v>
                </c:pt>
              </c:strCache>
            </c:strRef>
          </c:tx>
          <c:dPt>
            <c:idx val="0"/>
            <c:bubble3D val="0"/>
            <c:explosion val="7"/>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A7-4458-BD9D-BA746480301F}"/>
              </c:ext>
            </c:extLst>
          </c:dPt>
          <c:dPt>
            <c:idx val="1"/>
            <c:bubble3D val="0"/>
            <c:explosion val="5"/>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A7-4458-BD9D-BA746480301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DA7-4458-BD9D-BA746480301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Australia</c:v>
                </c:pt>
                <c:pt idx="1">
                  <c:v>Pacific </c:v>
                </c:pt>
                <c:pt idx="2">
                  <c:v>Other</c:v>
                </c:pt>
              </c:strCache>
            </c:strRef>
          </c:cat>
          <c:val>
            <c:numRef>
              <c:f>Sheet1!$B$2:$B$4</c:f>
              <c:numCache>
                <c:formatCode>General</c:formatCode>
                <c:ptCount val="3"/>
                <c:pt idx="0">
                  <c:v>28</c:v>
                </c:pt>
                <c:pt idx="1">
                  <c:v>19</c:v>
                </c:pt>
                <c:pt idx="2">
                  <c:v>101</c:v>
                </c:pt>
              </c:numCache>
            </c:numRef>
          </c:val>
          <c:extLst>
            <c:ext xmlns:c16="http://schemas.microsoft.com/office/drawing/2014/chart" uri="{C3380CC4-5D6E-409C-BE32-E72D297353CC}">
              <c16:uniqueId val="{00000006-BDA7-4458-BD9D-BA746480301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Valuation of 148 coastal wetlands captured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Nunber of Wetlands Captured</c:v>
                </c:pt>
              </c:strCache>
            </c:strRef>
          </c:tx>
          <c:dPt>
            <c:idx val="0"/>
            <c:bubble3D val="0"/>
            <c:explosion val="7"/>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A7-4458-BD9D-BA746480301F}"/>
              </c:ext>
            </c:extLst>
          </c:dPt>
          <c:dPt>
            <c:idx val="1"/>
            <c:bubble3D val="0"/>
            <c:explosion val="5"/>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A7-4458-BD9D-BA746480301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DA7-4458-BD9D-BA746480301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Australia</c:v>
                </c:pt>
                <c:pt idx="1">
                  <c:v>Pacific </c:v>
                </c:pt>
                <c:pt idx="2">
                  <c:v>Other</c:v>
                </c:pt>
              </c:strCache>
            </c:strRef>
          </c:cat>
          <c:val>
            <c:numRef>
              <c:f>Sheet1!$B$2:$B$4</c:f>
              <c:numCache>
                <c:formatCode>General</c:formatCode>
                <c:ptCount val="3"/>
                <c:pt idx="0">
                  <c:v>28</c:v>
                </c:pt>
                <c:pt idx="1">
                  <c:v>19</c:v>
                </c:pt>
                <c:pt idx="2">
                  <c:v>101</c:v>
                </c:pt>
              </c:numCache>
            </c:numRef>
          </c:val>
          <c:extLst>
            <c:ext xmlns:c16="http://schemas.microsoft.com/office/drawing/2014/chart" uri="{C3380CC4-5D6E-409C-BE32-E72D297353CC}">
              <c16:uniqueId val="{00000006-BDA7-4458-BD9D-BA746480301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aseline="0"/>
              <a:t>Techniques from 148 valuations</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Sheet1!$B$10</c:f>
              <c:strCache>
                <c:ptCount val="1"/>
                <c:pt idx="0">
                  <c:v>number of wetland studies </c:v>
                </c:pt>
              </c:strCache>
            </c:strRef>
          </c:tx>
          <c:dPt>
            <c:idx val="0"/>
            <c:bubble3D val="0"/>
            <c:explosion val="4"/>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9AB-4E04-B5D3-3AD2EBD17721}"/>
              </c:ext>
            </c:extLst>
          </c:dPt>
          <c:dPt>
            <c:idx val="1"/>
            <c:bubble3D val="0"/>
            <c:explosion val="5"/>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9AB-4E04-B5D3-3AD2EBD17721}"/>
              </c:ext>
            </c:extLst>
          </c:dPt>
          <c:dPt>
            <c:idx val="2"/>
            <c:bubble3D val="0"/>
            <c:explosion val="7"/>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9AB-4E04-B5D3-3AD2EBD17721}"/>
              </c:ext>
            </c:extLst>
          </c:dPt>
          <c:dPt>
            <c:idx val="3"/>
            <c:bubble3D val="0"/>
            <c:explosion val="6"/>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9AB-4E04-B5D3-3AD2EBD1772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9AB-4E04-B5D3-3AD2EBD17721}"/>
              </c:ext>
            </c:extLst>
          </c:dPt>
          <c:dLbls>
            <c:dLbl>
              <c:idx val="0"/>
              <c:layout>
                <c:manualLayout>
                  <c:x val="-4.1096040657321283E-3"/>
                  <c:y val="0.128361287595058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AB-4E04-B5D3-3AD2EBD17721}"/>
                </c:ext>
              </c:extLst>
            </c:dLbl>
            <c:dLbl>
              <c:idx val="1"/>
              <c:layout>
                <c:manualLayout>
                  <c:x val="-4.998369758674439E-2"/>
                  <c:y val="0.1839648967888539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AB-4E04-B5D3-3AD2EBD17721}"/>
                </c:ext>
              </c:extLst>
            </c:dLbl>
            <c:dLbl>
              <c:idx val="2"/>
              <c:layout>
                <c:manualLayout>
                  <c:x val="-7.6185215356374736E-2"/>
                  <c:y val="0.1307509380119431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AB-4E04-B5D3-3AD2EBD17721}"/>
                </c:ext>
              </c:extLst>
            </c:dLbl>
            <c:dLbl>
              <c:idx val="3"/>
              <c:layout>
                <c:manualLayout>
                  <c:x val="-0.11217316652690805"/>
                  <c:y val="3.995479131897861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AB-4E04-B5D3-3AD2EBD1772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Sheet1!$A$11:$A$15</c:f>
              <c:strCache>
                <c:ptCount val="5"/>
                <c:pt idx="0">
                  <c:v>Production function </c:v>
                </c:pt>
                <c:pt idx="1">
                  <c:v>Contingent Valuation</c:v>
                </c:pt>
                <c:pt idx="2">
                  <c:v>Benefit transfer</c:v>
                </c:pt>
                <c:pt idx="3">
                  <c:v>Replacement cost</c:v>
                </c:pt>
                <c:pt idx="4">
                  <c:v>Expected damage function</c:v>
                </c:pt>
              </c:strCache>
            </c:strRef>
          </c:cat>
          <c:val>
            <c:numRef>
              <c:f>Sheet1!$B$11:$B$15</c:f>
              <c:numCache>
                <c:formatCode>General</c:formatCode>
                <c:ptCount val="5"/>
                <c:pt idx="0">
                  <c:v>1</c:v>
                </c:pt>
                <c:pt idx="1">
                  <c:v>13</c:v>
                </c:pt>
                <c:pt idx="2">
                  <c:v>16</c:v>
                </c:pt>
                <c:pt idx="3">
                  <c:v>20</c:v>
                </c:pt>
                <c:pt idx="4">
                  <c:v>98</c:v>
                </c:pt>
              </c:numCache>
            </c:numRef>
          </c:val>
          <c:extLst>
            <c:ext xmlns:c16="http://schemas.microsoft.com/office/drawing/2014/chart" uri="{C3380CC4-5D6E-409C-BE32-E72D297353CC}">
              <c16:uniqueId val="{0000000A-E9AB-4E04-B5D3-3AD2EBD17721}"/>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Chart A1:</a:t>
            </a:r>
            <a:r>
              <a:rPr lang="en-US" sz="1400" b="1" i="0" u="none" strike="noStrike" kern="1200" spc="0" baseline="0">
                <a:solidFill>
                  <a:srgbClr val="333333">
                    <a:lumMod val="65000"/>
                    <a:lumOff val="35000"/>
                  </a:srgbClr>
                </a:solidFill>
                <a:latin typeface="Times New Roman" panose="02020603050405020304" pitchFamily="18" charset="0"/>
                <a:ea typeface="+mn-ea"/>
                <a:cs typeface="Times New Roman" panose="02020603050405020304" pitchFamily="18" charset="0"/>
              </a:rPr>
              <a:t> ecosystem services </a:t>
            </a:r>
            <a:r>
              <a:rPr lang="en-US" b="1">
                <a:latin typeface="Times New Roman" panose="02020603050405020304" pitchFamily="18" charset="0"/>
                <a:cs typeface="Times New Roman" panose="02020603050405020304" pitchFamily="18" charset="0"/>
              </a:rPr>
              <a:t>and FES documents</a:t>
            </a:r>
            <a:r>
              <a:rPr lang="en-US" b="1" baseline="0">
                <a:latin typeface="Times New Roman" panose="02020603050405020304" pitchFamily="18" charset="0"/>
                <a:cs typeface="Times New Roman" panose="02020603050405020304" pitchFamily="18" charset="0"/>
              </a:rPr>
              <a:t> per year</a:t>
            </a:r>
          </a:p>
          <a:p>
            <a:pPr>
              <a:defRPr sz="1400" b="0" i="0" u="none" strike="noStrike" kern="1200" spc="0" baseline="0">
                <a:solidFill>
                  <a:schemeClr val="tx1">
                    <a:lumMod val="65000"/>
                    <a:lumOff val="35000"/>
                  </a:schemeClr>
                </a:solidFill>
                <a:latin typeface="+mn-lt"/>
                <a:ea typeface="+mn-ea"/>
                <a:cs typeface="+mn-cs"/>
              </a:defRPr>
            </a:pPr>
            <a:r>
              <a:rPr lang="en-US" sz="1000" b="0">
                <a:latin typeface="Times New Roman" panose="02020603050405020304" pitchFamily="18" charset="0"/>
                <a:cs typeface="Times New Roman" panose="02020603050405020304" pitchFamily="18" charset="0"/>
              </a:rPr>
              <a:t>Google</a:t>
            </a:r>
            <a:r>
              <a:rPr lang="en-US" sz="1000" b="0" baseline="0">
                <a:latin typeface="Times New Roman" panose="02020603050405020304" pitchFamily="18" charset="0"/>
                <a:cs typeface="Times New Roman" panose="02020603050405020304" pitchFamily="18" charset="0"/>
              </a:rPr>
              <a:t> Scholar hits (25 May 2018)</a:t>
            </a:r>
            <a:endParaRPr lang="en-US" sz="1000" b="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25960036656440116"/>
          <c:y val="0.233677542779889"/>
          <c:w val="0.5477221924121608"/>
          <c:h val="0.51204385429681065"/>
        </c:manualLayout>
      </c:layout>
      <c:lineChart>
        <c:grouping val="standard"/>
        <c:varyColors val="0"/>
        <c:ser>
          <c:idx val="0"/>
          <c:order val="0"/>
          <c:tx>
            <c:strRef>
              <c:f>Sheet1!$B$4</c:f>
              <c:strCache>
                <c:ptCount val="1"/>
                <c:pt idx="0">
                  <c:v>ES</c:v>
                </c:pt>
              </c:strCache>
            </c:strRef>
          </c:tx>
          <c:spPr>
            <a:ln w="28575" cap="rnd">
              <a:solidFill>
                <a:schemeClr val="accent1"/>
              </a:solidFill>
              <a:round/>
            </a:ln>
            <a:effectLst/>
          </c:spPr>
          <c:marker>
            <c:symbol val="none"/>
          </c:marker>
          <c:cat>
            <c:numRef>
              <c:f>Sheet1!$A$5:$A$22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Sheet1!$B$5:$B$22</c:f>
              <c:numCache>
                <c:formatCode>General</c:formatCode>
                <c:ptCount val="18"/>
                <c:pt idx="0" formatCode="#,##0">
                  <c:v>1620</c:v>
                </c:pt>
                <c:pt idx="1">
                  <c:v>1920</c:v>
                </c:pt>
                <c:pt idx="2">
                  <c:v>2320</c:v>
                </c:pt>
                <c:pt idx="3">
                  <c:v>2960</c:v>
                </c:pt>
                <c:pt idx="4">
                  <c:v>3790</c:v>
                </c:pt>
                <c:pt idx="5">
                  <c:v>4830</c:v>
                </c:pt>
                <c:pt idx="6">
                  <c:v>5870</c:v>
                </c:pt>
                <c:pt idx="7">
                  <c:v>7970</c:v>
                </c:pt>
                <c:pt idx="8">
                  <c:v>9860</c:v>
                </c:pt>
                <c:pt idx="9">
                  <c:v>12500</c:v>
                </c:pt>
                <c:pt idx="10">
                  <c:v>15800</c:v>
                </c:pt>
                <c:pt idx="11">
                  <c:v>18700</c:v>
                </c:pt>
                <c:pt idx="12">
                  <c:v>23000</c:v>
                </c:pt>
                <c:pt idx="13">
                  <c:v>26400</c:v>
                </c:pt>
                <c:pt idx="14">
                  <c:v>29800</c:v>
                </c:pt>
                <c:pt idx="15">
                  <c:v>31200</c:v>
                </c:pt>
                <c:pt idx="16">
                  <c:v>32700</c:v>
                </c:pt>
                <c:pt idx="17">
                  <c:v>30600</c:v>
                </c:pt>
              </c:numCache>
            </c:numRef>
          </c:val>
          <c:smooth val="0"/>
          <c:extLst>
            <c:ext xmlns:c16="http://schemas.microsoft.com/office/drawing/2014/chart" uri="{C3380CC4-5D6E-409C-BE32-E72D297353CC}">
              <c16:uniqueId val="{00000000-E72A-44CE-9AA7-B76385B89AE5}"/>
            </c:ext>
          </c:extLst>
        </c:ser>
        <c:dLbls>
          <c:showLegendKey val="0"/>
          <c:showVal val="0"/>
          <c:showCatName val="0"/>
          <c:showSerName val="0"/>
          <c:showPercent val="0"/>
          <c:showBubbleSize val="0"/>
        </c:dLbls>
        <c:marker val="1"/>
        <c:smooth val="0"/>
        <c:axId val="237409664"/>
        <c:axId val="58303496"/>
      </c:lineChart>
      <c:lineChart>
        <c:grouping val="standard"/>
        <c:varyColors val="0"/>
        <c:ser>
          <c:idx val="1"/>
          <c:order val="1"/>
          <c:tx>
            <c:strRef>
              <c:f>Sheet1!$D$4</c:f>
              <c:strCache>
                <c:ptCount val="1"/>
                <c:pt idx="0">
                  <c:v>FES</c:v>
                </c:pt>
              </c:strCache>
            </c:strRef>
          </c:tx>
          <c:spPr>
            <a:ln w="28575" cap="rnd">
              <a:solidFill>
                <a:schemeClr val="accent2"/>
              </a:solidFill>
              <a:prstDash val="sysDash"/>
              <a:round/>
            </a:ln>
            <a:effectLst/>
          </c:spPr>
          <c:marker>
            <c:symbol val="none"/>
          </c:marker>
          <c:cat>
            <c:numRef>
              <c:f>Sheet1!$A$5:$A$22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Sheet1!$D$5:$D$22</c:f>
              <c:numCache>
                <c:formatCode>General</c:formatCode>
                <c:ptCount val="18"/>
                <c:pt idx="0">
                  <c:v>0</c:v>
                </c:pt>
                <c:pt idx="1">
                  <c:v>1</c:v>
                </c:pt>
                <c:pt idx="2">
                  <c:v>0</c:v>
                </c:pt>
                <c:pt idx="3">
                  <c:v>1</c:v>
                </c:pt>
                <c:pt idx="4">
                  <c:v>0</c:v>
                </c:pt>
                <c:pt idx="5">
                  <c:v>2</c:v>
                </c:pt>
                <c:pt idx="6">
                  <c:v>2</c:v>
                </c:pt>
                <c:pt idx="7">
                  <c:v>5</c:v>
                </c:pt>
                <c:pt idx="8">
                  <c:v>5</c:v>
                </c:pt>
                <c:pt idx="9">
                  <c:v>13</c:v>
                </c:pt>
                <c:pt idx="10">
                  <c:v>26</c:v>
                </c:pt>
                <c:pt idx="11">
                  <c:v>57</c:v>
                </c:pt>
                <c:pt idx="12">
                  <c:v>57</c:v>
                </c:pt>
                <c:pt idx="13">
                  <c:v>106</c:v>
                </c:pt>
                <c:pt idx="14">
                  <c:v>90</c:v>
                </c:pt>
                <c:pt idx="15">
                  <c:v>143</c:v>
                </c:pt>
                <c:pt idx="16">
                  <c:v>150</c:v>
                </c:pt>
                <c:pt idx="17">
                  <c:v>130</c:v>
                </c:pt>
              </c:numCache>
            </c:numRef>
          </c:val>
          <c:smooth val="0"/>
          <c:extLst>
            <c:ext xmlns:c16="http://schemas.microsoft.com/office/drawing/2014/chart" uri="{C3380CC4-5D6E-409C-BE32-E72D297353CC}">
              <c16:uniqueId val="{00000001-E72A-44CE-9AA7-B76385B89AE5}"/>
            </c:ext>
          </c:extLst>
        </c:ser>
        <c:dLbls>
          <c:showLegendKey val="0"/>
          <c:showVal val="0"/>
          <c:showCatName val="0"/>
          <c:showSerName val="0"/>
          <c:showPercent val="0"/>
          <c:showBubbleSize val="0"/>
        </c:dLbls>
        <c:marker val="1"/>
        <c:smooth val="0"/>
        <c:axId val="57900536"/>
        <c:axId val="57348680"/>
      </c:lineChart>
      <c:catAx>
        <c:axId val="237409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303496"/>
        <c:crosses val="autoZero"/>
        <c:auto val="1"/>
        <c:lblAlgn val="ctr"/>
        <c:lblOffset val="100"/>
        <c:noMultiLvlLbl val="0"/>
      </c:catAx>
      <c:valAx>
        <c:axId val="58303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ES</a:t>
                </a:r>
                <a:r>
                  <a:rPr lang="en-US"/>
                  <a:t> </a:t>
                </a:r>
                <a:r>
                  <a:rPr lang="en-US">
                    <a:latin typeface="Times New Roman" panose="02020603050405020304" pitchFamily="18" charset="0"/>
                    <a:cs typeface="Times New Roman" panose="02020603050405020304" pitchFamily="18" charset="0"/>
                  </a:rPr>
                  <a:t>Documents</a:t>
                </a:r>
                <a:r>
                  <a:rPr lang="en-US"/>
                  <a:t> </a:t>
                </a:r>
              </a:p>
              <a:p>
                <a:pPr>
                  <a:defRPr sz="1000" b="0" i="0" u="none" strike="noStrike" kern="1200" baseline="0">
                    <a:solidFill>
                      <a:schemeClr val="tx1">
                        <a:lumMod val="65000"/>
                        <a:lumOff val="35000"/>
                      </a:schemeClr>
                    </a:solidFill>
                    <a:latin typeface="+mn-lt"/>
                    <a:ea typeface="+mn-ea"/>
                    <a:cs typeface="+mn-cs"/>
                  </a:defRPr>
                </a:pPr>
                <a:endParaRPr lang="en-US"/>
              </a:p>
            </c:rich>
          </c:tx>
          <c:layout>
            <c:manualLayout>
              <c:xMode val="edge"/>
              <c:yMode val="edge"/>
              <c:x val="0.12466983623877444"/>
              <c:y val="0.3221315047796147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US"/>
          </a:p>
        </c:txPr>
        <c:crossAx val="237409664"/>
        <c:crosses val="autoZero"/>
        <c:crossBetween val="between"/>
      </c:valAx>
      <c:valAx>
        <c:axId val="573486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FES</a:t>
                </a:r>
                <a:r>
                  <a:rPr lang="en-US"/>
                  <a:t> </a:t>
                </a:r>
                <a:r>
                  <a:rPr lang="en-US">
                    <a:latin typeface="Times New Roman" panose="02020603050405020304" pitchFamily="18" charset="0"/>
                    <a:cs typeface="Times New Roman" panose="02020603050405020304" pitchFamily="18" charset="0"/>
                  </a:rPr>
                  <a:t>Documents</a:t>
                </a:r>
                <a:r>
                  <a:rPr lang="en-US" baseline="0"/>
                  <a:t> </a:t>
                </a:r>
                <a:endParaRPr lang="en-US"/>
              </a:p>
            </c:rich>
          </c:tx>
          <c:layout>
            <c:manualLayout>
              <c:xMode val="edge"/>
              <c:yMode val="edge"/>
              <c:x val="0.90445944694741542"/>
              <c:y val="0.2968304889923376"/>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US"/>
          </a:p>
        </c:txPr>
        <c:crossAx val="57900536"/>
        <c:crosses val="max"/>
        <c:crossBetween val="between"/>
      </c:valAx>
      <c:catAx>
        <c:axId val="57900536"/>
        <c:scaling>
          <c:orientation val="minMax"/>
        </c:scaling>
        <c:delete val="1"/>
        <c:axPos val="b"/>
        <c:numFmt formatCode="General" sourceLinked="1"/>
        <c:majorTickMark val="out"/>
        <c:minorTickMark val="none"/>
        <c:tickLblPos val="nextTo"/>
        <c:crossAx val="57348680"/>
        <c:crosses val="autoZero"/>
        <c:auto val="1"/>
        <c:lblAlgn val="ctr"/>
        <c:lblOffset val="100"/>
        <c:noMultiLvlLbl val="0"/>
      </c:catAx>
      <c:spPr>
        <a:noFill/>
        <a:ln>
          <a:noFill/>
        </a:ln>
        <a:effectLst/>
      </c:spPr>
    </c:plotArea>
    <c:legend>
      <c:legendPos val="b"/>
      <c:layout>
        <c:manualLayout>
          <c:xMode val="edge"/>
          <c:yMode val="edge"/>
          <c:x val="0.40738718278281777"/>
          <c:y val="0.91636725021022858"/>
          <c:w val="0.33963587206647289"/>
          <c:h val="8.2117363066842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ELAA">
  <a:themeElements>
    <a:clrScheme name="IDEEA">
      <a:dk1>
        <a:srgbClr val="333333"/>
      </a:dk1>
      <a:lt1>
        <a:srgbClr val="FFFFFF"/>
      </a:lt1>
      <a:dk2>
        <a:srgbClr val="156471"/>
      </a:dk2>
      <a:lt2>
        <a:srgbClr val="D7E7A4"/>
      </a:lt2>
      <a:accent1>
        <a:srgbClr val="0064B9"/>
      </a:accent1>
      <a:accent2>
        <a:srgbClr val="0091B3"/>
      </a:accent2>
      <a:accent3>
        <a:srgbClr val="5E2F7D"/>
      </a:accent3>
      <a:accent4>
        <a:srgbClr val="A11D20"/>
      </a:accent4>
      <a:accent5>
        <a:srgbClr val="5B6770"/>
      </a:accent5>
      <a:accent6>
        <a:srgbClr val="40C5DB"/>
      </a:accent6>
      <a:hlink>
        <a:srgbClr val="0000FF"/>
      </a:hlink>
      <a:folHlink>
        <a:srgbClr val="800080"/>
      </a:folHlink>
    </a:clrScheme>
    <a:fontScheme name="IDEEA">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Word Document" ma:contentTypeID="0x010100DB29C2AB6EB75541991FB3E24043BFB60100D63168806F775A48ADB1FF2483304CC4" ma:contentTypeVersion="26" ma:contentTypeDescription="Create a new Word Document" ma:contentTypeScope="" ma:versionID="e4f60fefa4d92be901690d5907dcc4f9">
  <xsd:schema xmlns:xsd="http://www.w3.org/2001/XMLSchema" xmlns:xs="http://www.w3.org/2001/XMLSchema" xmlns:p="http://schemas.microsoft.com/office/2006/metadata/properties" xmlns:ns2="5af92df4-ae3d-4772-abff-92e7cba13994" targetNamespace="http://schemas.microsoft.com/office/2006/metadata/properties" ma:root="true" ma:fieldsID="fa0944682220f84d0c28097b6fdef6f5" ns2:_="">
    <xsd:import namespace="5af92df4-ae3d-4772-abff-92e7cba1399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003505805</RecordNumber>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A230E-4700-4829-91C3-EBC661187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BA3C1E-8C10-4204-8DF4-3B7FDADFF4FD}">
  <ds:schemaRefs>
    <ds:schemaRef ds:uri="http://schemas.microsoft.com/sharepoint/v3/contenttype/forms"/>
  </ds:schemaRefs>
</ds:datastoreItem>
</file>

<file path=customXml/itemProps3.xml><?xml version="1.0" encoding="utf-8"?>
<ds:datastoreItem xmlns:ds="http://schemas.openxmlformats.org/officeDocument/2006/customXml" ds:itemID="{700C2449-5502-4A96-A3B9-F0932E0064F4}">
  <ds:schemaRefs>
    <ds:schemaRef ds:uri="http://schemas.microsoft.com/sharepoint/events"/>
  </ds:schemaRefs>
</ds:datastoreItem>
</file>

<file path=customXml/itemProps4.xml><?xml version="1.0" encoding="utf-8"?>
<ds:datastoreItem xmlns:ds="http://schemas.openxmlformats.org/officeDocument/2006/customXml" ds:itemID="{62305913-7D44-40BE-878A-E54EFE952D43}">
  <ds:schemaRefs>
    <ds:schemaRef ds:uri="http://schemas.microsoft.com/office/2006/metadata/customXsn"/>
  </ds:schemaRefs>
</ds:datastoreItem>
</file>

<file path=customXml/itemProps5.xml><?xml version="1.0" encoding="utf-8"?>
<ds:datastoreItem xmlns:ds="http://schemas.openxmlformats.org/officeDocument/2006/customXml" ds:itemID="{E11158CB-77E1-4AA5-935E-E4D2F69E01C6}">
  <ds:schemaRefs>
    <ds:schemaRef ds:uri="http://schemas.microsoft.com/office/2006/metadata/properties"/>
    <ds:schemaRef ds:uri="http://schemas.microsoft.com/office/infopath/2007/PartnerControls"/>
    <ds:schemaRef ds:uri="5af92df4-ae3d-4772-abff-92e7cba13994"/>
  </ds:schemaRefs>
</ds:datastoreItem>
</file>

<file path=customXml/itemProps6.xml><?xml version="1.0" encoding="utf-8"?>
<ds:datastoreItem xmlns:ds="http://schemas.openxmlformats.org/officeDocument/2006/customXml" ds:itemID="{9B12A78B-5A1E-40EF-8EB0-A6573CF6D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IDEEA Letterhead Template.dotx</Template>
  <TotalTime>3</TotalTime>
  <Pages>80</Pages>
  <Words>102162</Words>
  <Characters>582330</Characters>
  <Application>Microsoft Office Word</Application>
  <DocSecurity>4</DocSecurity>
  <Lines>4852</Lines>
  <Paragraphs>1366</Paragraphs>
  <ScaleCrop>false</ScaleCrop>
  <HeadingPairs>
    <vt:vector size="2" baseType="variant">
      <vt:variant>
        <vt:lpstr>Title</vt:lpstr>
      </vt:variant>
      <vt:variant>
        <vt:i4>1</vt:i4>
      </vt:variant>
    </vt:vector>
  </HeadingPairs>
  <TitlesOfParts>
    <vt:vector size="1" baseType="lpstr">
      <vt:lpstr>Wetland Disaster Risk Reduction-Valuation Project-Brief-Final Report-July 2020</vt:lpstr>
    </vt:vector>
  </TitlesOfParts>
  <Company>IDEEA Group</Company>
  <LinksUpToDate>false</LinksUpToDate>
  <CharactersWithSpaces>683126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of disaster risk reduction ecosystem services of Australia’s coastal wetlands: review and recommendations</dc:title>
  <dc:creator>John Finisdore, Dr. Nathan Waltham, Carl Obst, Ben Chipperfield, Reiss Mcleod, and Mark Eigenraam</dc:creator>
  <cp:lastModifiedBy>Bec Durack</cp:lastModifiedBy>
  <cp:revision>2</cp:revision>
  <cp:lastPrinted>2020-11-17T00:09:00Z</cp:lastPrinted>
  <dcterms:created xsi:type="dcterms:W3CDTF">2020-11-18T04:07:00Z</dcterms:created>
  <dcterms:modified xsi:type="dcterms:W3CDTF">2020-11-18T04:07:00Z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http://www.zotero.org/styles/ecosystem-services</vt:lpwstr>
  </property>
  <property fmtid="{D5CDD505-2E9C-101B-9397-08002B2CF9AE}" pid="15" name="Mendeley Recent Style Name 6_1">
    <vt:lpwstr>Ecosystem Services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http://www.zotero.org/styles/style-manual-australian-government</vt:lpwstr>
  </property>
  <property fmtid="{D5CDD505-2E9C-101B-9397-08002B2CF9AE}" pid="21" name="Mendeley Recent Style Name 9_1">
    <vt:lpwstr>Style Manual - Australian Government (author-date)</vt:lpwstr>
  </property>
  <property fmtid="{D5CDD505-2E9C-101B-9397-08002B2CF9AE}" pid="22" name="Mendeley Document_1">
    <vt:lpwstr>True</vt:lpwstr>
  </property>
  <property fmtid="{D5CDD505-2E9C-101B-9397-08002B2CF9AE}" pid="23" name="Mendeley Unique User Id_1">
    <vt:lpwstr>efb7a5b5-13f3-3d5a-81e5-c505e50682c8</vt:lpwstr>
  </property>
  <property fmtid="{D5CDD505-2E9C-101B-9397-08002B2CF9AE}" pid="24" name="Mendeley Citation Style_1">
    <vt:lpwstr>http://www.zotero.org/styles/style-manual-australian-government</vt:lpwstr>
  </property>
  <property fmtid="{D5CDD505-2E9C-101B-9397-08002B2CF9AE}" pid="25" name="ContentTypeId">
    <vt:lpwstr>0x010100DB29C2AB6EB75541991FB3E24043BFB60100D63168806F775A48ADB1FF2483304CC4</vt:lpwstr>
  </property>
  <property fmtid="{D5CDD505-2E9C-101B-9397-08002B2CF9AE}" pid="26" name="RecordPoint_WorkflowType">
    <vt:lpwstr>ActiveSubmitStub</vt:lpwstr>
  </property>
  <property fmtid="{D5CDD505-2E9C-101B-9397-08002B2CF9AE}" pid="27" name="RecordPoint_ActiveItemWebId">
    <vt:lpwstr>{ce69ccc6-cff4-456b-a994-3619330453a8}</vt:lpwstr>
  </property>
  <property fmtid="{D5CDD505-2E9C-101B-9397-08002B2CF9AE}" pid="28" name="RecordPoint_ActiveItemSiteId">
    <vt:lpwstr>{a8f0bc9d-7c61-4d87-8154-4194e40ae5d3}</vt:lpwstr>
  </property>
  <property fmtid="{D5CDD505-2E9C-101B-9397-08002B2CF9AE}" pid="29" name="RecordPoint_ActiveItemListId">
    <vt:lpwstr>{ff1fe79b-5b31-49d7-bd5a-b64d0aa43a8a}</vt:lpwstr>
  </property>
  <property fmtid="{D5CDD505-2E9C-101B-9397-08002B2CF9AE}" pid="30" name="RecordPoint_ActiveItemUniqueId">
    <vt:lpwstr>{767571a3-3c12-4c33-9945-3744c22cba15}</vt:lpwstr>
  </property>
  <property fmtid="{D5CDD505-2E9C-101B-9397-08002B2CF9AE}" pid="31" name="RecordPoint_RecordNumberSubmitted">
    <vt:lpwstr/>
  </property>
  <property fmtid="{D5CDD505-2E9C-101B-9397-08002B2CF9AE}" pid="32" name="RecordPoint_SubmissionCompleted">
    <vt:lpwstr/>
  </property>
  <property fmtid="{D5CDD505-2E9C-101B-9397-08002B2CF9AE}" pid="33" name="RecordPoint_SubmissionDate">
    <vt:lpwstr/>
  </property>
  <property fmtid="{D5CDD505-2E9C-101B-9397-08002B2CF9AE}" pid="34" name="RecordPoint_RecordFormat">
    <vt:lpwstr/>
  </property>
  <property fmtid="{D5CDD505-2E9C-101B-9397-08002B2CF9AE}" pid="35" name="RecordPoint_ActiveItemMoved">
    <vt:lpwstr/>
  </property>
  <property fmtid="{D5CDD505-2E9C-101B-9397-08002B2CF9AE}" pid="36" name="IconOverlay">
    <vt:lpwstr/>
  </property>
</Properties>
</file>